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D0D68" w14:textId="7723C6B3" w:rsidR="00F6036E" w:rsidRDefault="00F6036E" w:rsidP="00F6036E"/>
    <w:p w14:paraId="7A583714" w14:textId="77777777" w:rsidR="00F6036E" w:rsidRDefault="00F6036E" w:rsidP="00F6036E"/>
    <w:p w14:paraId="2545F47A" w14:textId="77777777" w:rsidR="00F6036E" w:rsidRDefault="00F6036E" w:rsidP="00F6036E"/>
    <w:p w14:paraId="07C0A9B1" w14:textId="77777777" w:rsidR="00F6036E" w:rsidRDefault="00F6036E" w:rsidP="00F6036E"/>
    <w:p w14:paraId="053A95B7" w14:textId="77777777" w:rsidR="00F6036E" w:rsidRDefault="00F6036E" w:rsidP="00F6036E"/>
    <w:p w14:paraId="338E399D" w14:textId="77777777" w:rsidR="00F6036E" w:rsidRDefault="00F6036E" w:rsidP="00F6036E"/>
    <w:p w14:paraId="72451559" w14:textId="77777777" w:rsidR="00F6036E" w:rsidRDefault="00F6036E" w:rsidP="00F6036E"/>
    <w:p w14:paraId="5F50E4F3" w14:textId="77777777" w:rsidR="00F6036E" w:rsidRDefault="00F6036E" w:rsidP="00F6036E"/>
    <w:p w14:paraId="3D6C3497" w14:textId="77777777" w:rsidR="00F6036E" w:rsidRDefault="00F6036E" w:rsidP="00F6036E"/>
    <w:p w14:paraId="7B2A576C" w14:textId="77777777" w:rsidR="00F6036E" w:rsidRDefault="00F6036E" w:rsidP="00F6036E"/>
    <w:p w14:paraId="2268D0E2" w14:textId="77777777" w:rsidR="00F6036E" w:rsidRDefault="00F6036E" w:rsidP="00F6036E"/>
    <w:p w14:paraId="2A223150" w14:textId="77777777" w:rsidR="00F6036E" w:rsidRDefault="00F6036E" w:rsidP="00F6036E"/>
    <w:p w14:paraId="7CCAA147" w14:textId="77777777" w:rsidR="00F6036E" w:rsidRDefault="009C30F1" w:rsidP="00F6036E">
      <w:r>
        <w:rPr>
          <w:noProof/>
          <w:lang w:val="en-AU" w:eastAsia="en-AU"/>
        </w:rPr>
        <mc:AlternateContent>
          <mc:Choice Requires="wps">
            <w:drawing>
              <wp:anchor distT="0" distB="0" distL="114300" distR="114300" simplePos="0" relativeHeight="251658242" behindDoc="1" locked="1" layoutInCell="0" allowOverlap="1" wp14:anchorId="0138388C" wp14:editId="64DDF21A">
                <wp:simplePos x="0" y="0"/>
                <wp:positionH relativeFrom="page">
                  <wp:posOffset>276225</wp:posOffset>
                </wp:positionH>
                <wp:positionV relativeFrom="page">
                  <wp:posOffset>5381625</wp:posOffset>
                </wp:positionV>
                <wp:extent cx="7219950" cy="3171825"/>
                <wp:effectExtent l="0" t="0" r="0" b="3175"/>
                <wp:wrapNone/>
                <wp:docPr id="4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420DF071" w14:textId="77777777" w:rsidR="000F5291" w:rsidRDefault="000F5291" w:rsidP="00F6036E">
                            <w:pPr>
                              <w:contextualSpacing/>
                              <w:rPr>
                                <w:rFonts w:cstheme="minorHAnsi"/>
                                <w:color w:val="FFFFFF" w:themeColor="background1"/>
                              </w:rPr>
                            </w:pP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38388C" id="Rectangle 79" o:spid="_x0000_s1026" style="position:absolute;left:0;text-align:left;margin-left:21.75pt;margin-top:423.75pt;width:568.5pt;height:249.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" o:allowincell="f" fillcolor="#7f7f7f [1612]" stroked="f">
                <v:textbox inset="18pt,18pt,1in,18pt">
                  <w:txbxContent>
                    <w:p w14:paraId="420DF071" w14:textId="77777777" w:rsidR="000F5291" w:rsidRDefault="000F5291" w:rsidP="00F6036E">
                      <w:pPr>
                        <w:contextualSpacing/>
                        <w:rPr>
                          <w:rFonts w:cstheme="minorHAnsi"/>
                          <w:color w:val="FFFFFF" w:themeColor="background1"/>
                        </w:rPr>
                      </w:pPr>
                    </w:p>
                  </w:txbxContent>
                </v:textbox>
                <w10:wrap anchorx="page" anchory="page"/>
                <w10:anchorlock/>
              </v:rect>
            </w:pict>
          </mc:Fallback>
        </mc:AlternateContent>
      </w:r>
    </w:p>
    <w:p w14:paraId="049A0B1F" w14:textId="77777777" w:rsidR="00F6036E" w:rsidRDefault="00F6036E" w:rsidP="00F6036E"/>
    <w:p w14:paraId="24A94E26" w14:textId="77777777" w:rsidR="00F6036E" w:rsidRDefault="00F6036E" w:rsidP="00F6036E"/>
    <w:p w14:paraId="0E27CFE4" w14:textId="77777777" w:rsidR="00F6036E" w:rsidRDefault="00F6036E" w:rsidP="00F6036E"/>
    <w:p w14:paraId="285F0744" w14:textId="77777777" w:rsidR="00F6036E" w:rsidRDefault="00F6036E" w:rsidP="00F6036E"/>
    <w:p w14:paraId="60A68056" w14:textId="77777777" w:rsidR="00821250" w:rsidRDefault="00821250" w:rsidP="00E00099">
      <w:pPr>
        <w:pStyle w:val="Subtitle"/>
        <w:spacing w:before="720"/>
        <w:ind w:right="-1196"/>
        <w:rPr>
          <w:color w:val="FFFFFF" w:themeColor="background1"/>
          <w:sz w:val="36"/>
          <w:szCs w:val="36"/>
        </w:rPr>
      </w:pPr>
    </w:p>
    <w:p w14:paraId="6E964BC4" w14:textId="77777777" w:rsidR="00821250" w:rsidRDefault="00821250" w:rsidP="00821250"/>
    <w:p w14:paraId="16E586F5" w14:textId="77777777" w:rsidR="00821250" w:rsidRDefault="00821250" w:rsidP="00821250"/>
    <w:p w14:paraId="7E771614" w14:textId="77777777" w:rsidR="00821250" w:rsidRPr="00821250" w:rsidRDefault="00821250" w:rsidP="00821250"/>
    <w:p w14:paraId="3996FC7F" w14:textId="77777777" w:rsidR="00821250" w:rsidRDefault="00821250" w:rsidP="00821250">
      <w:pPr>
        <w:pStyle w:val="Subtitle"/>
        <w:spacing w:before="240" w:after="0"/>
        <w:ind w:right="-1196"/>
        <w:rPr>
          <w:color w:val="FFFFFF" w:themeColor="background1"/>
          <w:sz w:val="36"/>
          <w:szCs w:val="36"/>
        </w:rPr>
      </w:pPr>
    </w:p>
    <w:p w14:paraId="0A9A9A2F" w14:textId="77777777" w:rsidR="00F41858" w:rsidRDefault="00F41858" w:rsidP="00821250">
      <w:pPr>
        <w:pStyle w:val="Subtitle"/>
        <w:spacing w:before="240" w:after="0"/>
        <w:ind w:right="-1196"/>
        <w:rPr>
          <w:color w:val="FFFFFF" w:themeColor="background1"/>
          <w:sz w:val="36"/>
          <w:szCs w:val="36"/>
        </w:rPr>
      </w:pPr>
    </w:p>
    <w:p w14:paraId="70615818" w14:textId="42E5F2A6" w:rsidR="00C31982" w:rsidRDefault="00F6036E" w:rsidP="00821250">
      <w:pPr>
        <w:pStyle w:val="Subtitle"/>
        <w:spacing w:before="240" w:after="0"/>
        <w:ind w:right="-1196"/>
        <w:rPr>
          <w:color w:val="FFFFFF" w:themeColor="background1"/>
          <w:sz w:val="36"/>
          <w:szCs w:val="36"/>
        </w:rPr>
      </w:pPr>
      <w:r w:rsidRPr="00B83873">
        <w:rPr>
          <w:color w:val="FFFFFF" w:themeColor="background1"/>
          <w:sz w:val="36"/>
          <w:szCs w:val="36"/>
        </w:rPr>
        <w:t xml:space="preserve">Prepared for the Department of </w:t>
      </w:r>
      <w:r w:rsidR="00C31982">
        <w:rPr>
          <w:color w:val="FFFFFF" w:themeColor="background1"/>
          <w:sz w:val="36"/>
          <w:szCs w:val="36"/>
        </w:rPr>
        <w:t>the Environment</w:t>
      </w:r>
      <w:r w:rsidR="00442990">
        <w:rPr>
          <w:color w:val="FFFFFF" w:themeColor="background1"/>
          <w:sz w:val="36"/>
          <w:szCs w:val="36"/>
        </w:rPr>
        <w:t xml:space="preserve"> and Energy</w:t>
      </w:r>
    </w:p>
    <w:p w14:paraId="617D8741" w14:textId="5242943F" w:rsidR="00F6036E" w:rsidRDefault="004E4032" w:rsidP="00821250">
      <w:pPr>
        <w:pStyle w:val="Date"/>
        <w:spacing w:before="240"/>
        <w:ind w:right="-1198"/>
        <w:rPr>
          <w:color w:val="FFFFFF" w:themeColor="background1"/>
          <w:sz w:val="36"/>
          <w:szCs w:val="36"/>
        </w:rPr>
      </w:pPr>
      <w:r>
        <w:rPr>
          <w:color w:val="FFFFFF" w:themeColor="background1"/>
          <w:sz w:val="36"/>
          <w:szCs w:val="36"/>
        </w:rPr>
        <w:t>September</w:t>
      </w:r>
      <w:r w:rsidR="003A173D">
        <w:rPr>
          <w:color w:val="FFFFFF" w:themeColor="background1"/>
          <w:sz w:val="36"/>
          <w:szCs w:val="36"/>
        </w:rPr>
        <w:t xml:space="preserve"> </w:t>
      </w:r>
      <w:r w:rsidR="00F6036E" w:rsidRPr="00B83873">
        <w:rPr>
          <w:color w:val="FFFFFF" w:themeColor="background1"/>
          <w:sz w:val="36"/>
          <w:szCs w:val="36"/>
        </w:rPr>
        <w:t>201</w:t>
      </w:r>
      <w:r w:rsidR="006A5E3C">
        <w:rPr>
          <w:color w:val="FFFFFF" w:themeColor="background1"/>
          <w:sz w:val="36"/>
          <w:szCs w:val="36"/>
        </w:rPr>
        <w:t>8</w:t>
      </w:r>
    </w:p>
    <w:p w14:paraId="27BAB03E" w14:textId="77777777" w:rsidR="00821250" w:rsidRPr="00821250" w:rsidRDefault="00821250" w:rsidP="00821250"/>
    <w:p w14:paraId="4007F604" w14:textId="77777777" w:rsidR="00F6036E" w:rsidRDefault="00F6036E" w:rsidP="00F6036E">
      <w:r>
        <w:t xml:space="preserve"> </w:t>
      </w:r>
    </w:p>
    <w:p w14:paraId="0C75D9D6" w14:textId="2DB534B4" w:rsidR="003937A5" w:rsidRDefault="000817D6" w:rsidP="000817D6">
      <w:pPr>
        <w:ind w:right="-1198"/>
        <w:jc w:val="right"/>
        <w:sectPr w:rsidR="003937A5" w:rsidSect="00474B83">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sectPr>
      </w:pPr>
      <w:r>
        <w:rPr>
          <w:noProof/>
          <w:lang w:val="en-AU" w:eastAsia="en-AU"/>
        </w:rPr>
        <w:drawing>
          <wp:inline distT="0" distB="0" distL="0" distR="0" wp14:anchorId="319DC5D6" wp14:editId="0CBB6163">
            <wp:extent cx="3266220" cy="558800"/>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 Group Logo.jpg"/>
                    <pic:cNvPicPr/>
                  </pic:nvPicPr>
                  <pic:blipFill>
                    <a:blip r:embed="rId14">
                      <a:extLst>
                        <a:ext uri="{28A0092B-C50C-407E-A947-70E740481C1C}">
                          <a14:useLocalDpi xmlns:a14="http://schemas.microsoft.com/office/drawing/2010/main" val="0"/>
                        </a:ext>
                      </a:extLst>
                    </a:blip>
                    <a:stretch>
                      <a:fillRect/>
                    </a:stretch>
                  </pic:blipFill>
                  <pic:spPr>
                    <a:xfrm>
                      <a:off x="0" y="0"/>
                      <a:ext cx="3278964" cy="560980"/>
                    </a:xfrm>
                    <a:prstGeom prst="rect">
                      <a:avLst/>
                    </a:prstGeom>
                  </pic:spPr>
                </pic:pic>
              </a:graphicData>
            </a:graphic>
          </wp:inline>
        </w:drawing>
      </w:r>
      <w:r w:rsidR="005E3891" w:rsidRPr="005E3891">
        <w:rPr>
          <w:noProof/>
          <w:lang w:val="en-US"/>
        </w:rPr>
        <w:t xml:space="preserve"> </w:t>
      </w:r>
      <w:r w:rsidR="005E3891">
        <w:rPr>
          <w:noProof/>
          <w:lang w:val="en-AU" w:eastAsia="en-AU"/>
        </w:rPr>
        <w:drawing>
          <wp:anchor distT="0" distB="0" distL="114300" distR="114300" simplePos="0" relativeHeight="251658243" behindDoc="1" locked="1" layoutInCell="0" allowOverlap="1" wp14:anchorId="0B93C0C0" wp14:editId="0259CF5C">
            <wp:simplePos x="0" y="0"/>
            <wp:positionH relativeFrom="page">
              <wp:posOffset>212725</wp:posOffset>
            </wp:positionH>
            <wp:positionV relativeFrom="page">
              <wp:posOffset>599440</wp:posOffset>
            </wp:positionV>
            <wp:extent cx="7352030" cy="6618605"/>
            <wp:effectExtent l="0" t="0" r="127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5"/>
                    <a:stretch>
                      <a:fillRect/>
                    </a:stretch>
                  </pic:blipFill>
                  <pic:spPr bwMode="auto">
                    <a:xfrm>
                      <a:off x="0" y="0"/>
                      <a:ext cx="7352030" cy="6618605"/>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anchor>
        </w:drawing>
      </w:r>
      <w:r w:rsidR="005E3891">
        <w:rPr>
          <w:noProof/>
          <w:lang w:val="en-US"/>
        </w:rPr>
        <w:t xml:space="preserve"> </w:t>
      </w:r>
      <w:r w:rsidR="009C30F1">
        <w:rPr>
          <w:noProof/>
          <w:lang w:val="en-AU" w:eastAsia="en-AU"/>
        </w:rPr>
        <mc:AlternateContent>
          <mc:Choice Requires="wps">
            <w:drawing>
              <wp:anchor distT="0" distB="0" distL="114300" distR="114300" simplePos="0" relativeHeight="251658241" behindDoc="0" locked="1" layoutInCell="0" allowOverlap="1" wp14:anchorId="0CC458E9" wp14:editId="699E2108">
                <wp:simplePos x="0" y="0"/>
                <wp:positionH relativeFrom="page">
                  <wp:posOffset>284480</wp:posOffset>
                </wp:positionH>
                <wp:positionV relativeFrom="page">
                  <wp:posOffset>3035935</wp:posOffset>
                </wp:positionV>
                <wp:extent cx="7199630" cy="1544320"/>
                <wp:effectExtent l="0" t="0" r="1270" b="0"/>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1544320"/>
                        </a:xfrm>
                        <a:prstGeom prst="rect">
                          <a:avLst/>
                        </a:prstGeom>
                        <a:solidFill>
                          <a:srgbClr val="000000">
                            <a:alpha val="70000"/>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4E3D642" w14:textId="0F20D550" w:rsidR="000F5291" w:rsidRPr="00451437" w:rsidRDefault="000F5291" w:rsidP="00F6036E">
                            <w:pPr>
                              <w:pStyle w:val="NoSpacing"/>
                              <w:snapToGrid w:val="0"/>
                              <w:spacing w:before="120" w:after="240"/>
                              <w:rPr>
                                <w:rFonts w:asciiTheme="minorHAnsi" w:eastAsiaTheme="majorEastAsia" w:hAnsiTheme="minorHAnsi" w:cstheme="minorHAnsi"/>
                                <w:color w:val="FFFFFF" w:themeColor="background1"/>
                                <w:sz w:val="72"/>
                                <w:szCs w:val="72"/>
                              </w:rPr>
                            </w:pPr>
                            <w:r w:rsidRPr="00451437">
                              <w:rPr>
                                <w:rFonts w:asciiTheme="minorHAnsi" w:eastAsiaTheme="majorEastAsia" w:hAnsiTheme="minorHAnsi" w:cstheme="minorHAnsi"/>
                                <w:color w:val="FFFFFF" w:themeColor="background1"/>
                                <w:sz w:val="72"/>
                                <w:szCs w:val="72"/>
                              </w:rPr>
                              <w:t>Cold Hard Facts 3</w:t>
                            </w:r>
                            <w:r>
                              <w:rPr>
                                <w:rFonts w:asciiTheme="minorHAnsi" w:eastAsiaTheme="majorEastAsia" w:hAnsiTheme="minorHAnsi" w:cstheme="minorHAnsi"/>
                                <w:color w:val="FFFFFF" w:themeColor="background1"/>
                                <w:sz w:val="72"/>
                                <w:szCs w:val="72"/>
                              </w:rPr>
                              <w:t xml:space="preserve"> </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0CC458E9" id="Rectangle 82" o:spid="_x0000_s1027" style="position:absolute;left:0;text-align:left;margin-left:22.4pt;margin-top:239.05pt;width:566.9pt;height:121.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" o:allowincell="f" fillcolor="black" stroked="f">
                <v:fill opacity="46003f"/>
                <v:textbox style="mso-fit-shape-to-text:t" inset="18pt,,1in">
                  <w:txbxContent>
                    <w:p w14:paraId="14E3D642" w14:textId="0F20D550" w:rsidR="000F5291" w:rsidRPr="00451437" w:rsidRDefault="000F5291" w:rsidP="00F6036E">
                      <w:pPr>
                        <w:pStyle w:val="NoSpacing"/>
                        <w:snapToGrid w:val="0"/>
                        <w:spacing w:before="120" w:after="240"/>
                        <w:rPr>
                          <w:rFonts w:asciiTheme="minorHAnsi" w:eastAsiaTheme="majorEastAsia" w:hAnsiTheme="minorHAnsi" w:cstheme="minorHAnsi"/>
                          <w:color w:val="FFFFFF" w:themeColor="background1"/>
                          <w:sz w:val="72"/>
                          <w:szCs w:val="72"/>
                        </w:rPr>
                      </w:pPr>
                      <w:r w:rsidRPr="00451437">
                        <w:rPr>
                          <w:rFonts w:asciiTheme="minorHAnsi" w:eastAsiaTheme="majorEastAsia" w:hAnsiTheme="minorHAnsi" w:cstheme="minorHAnsi"/>
                          <w:color w:val="FFFFFF" w:themeColor="background1"/>
                          <w:sz w:val="72"/>
                          <w:szCs w:val="72"/>
                        </w:rPr>
                        <w:t>Cold Hard Facts 3</w:t>
                      </w:r>
                      <w:r>
                        <w:rPr>
                          <w:rFonts w:asciiTheme="minorHAnsi" w:eastAsiaTheme="majorEastAsia" w:hAnsiTheme="minorHAnsi" w:cstheme="minorHAnsi"/>
                          <w:color w:val="FFFFFF" w:themeColor="background1"/>
                          <w:sz w:val="72"/>
                          <w:szCs w:val="72"/>
                        </w:rPr>
                        <w:t xml:space="preserve"> </w:t>
                      </w:r>
                    </w:p>
                  </w:txbxContent>
                </v:textbox>
                <w10:wrap anchorx="page" anchory="page"/>
                <w10:anchorlock/>
              </v:rect>
            </w:pict>
          </mc:Fallback>
        </mc:AlternateContent>
      </w:r>
      <w:r w:rsidR="009C30F1">
        <w:rPr>
          <w:noProof/>
          <w:lang w:val="en-AU" w:eastAsia="en-AU"/>
        </w:rPr>
        <mc:AlternateContent>
          <mc:Choice Requires="wps">
            <w:drawing>
              <wp:anchor distT="0" distB="0" distL="114300" distR="114300" simplePos="0" relativeHeight="251658240" behindDoc="1" locked="1" layoutInCell="0" allowOverlap="1" wp14:anchorId="2FB0D7E9" wp14:editId="2E57CABB">
                <wp:simplePos x="0" y="0"/>
                <wp:positionH relativeFrom="page">
                  <wp:posOffset>276225</wp:posOffset>
                </wp:positionH>
                <wp:positionV relativeFrom="page">
                  <wp:posOffset>276225</wp:posOffset>
                </wp:positionV>
                <wp:extent cx="7223760" cy="320040"/>
                <wp:effectExtent l="0" t="0" r="0" b="10160"/>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320040"/>
                        </a:xfrm>
                        <a:prstGeom prst="rect">
                          <a:avLst/>
                        </a:prstGeom>
                        <a:solidFill>
                          <a:schemeClr val="accent5">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44F144" id="Rectangle 73" o:spid="_x0000_s1026" style="position:absolute;margin-left:21.75pt;margin-top:21.75pt;width:568.8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" o:allowincell="f" fillcolor="#31849b [2408]" stroked="f">
                <v:textbox inset=",7.2pt,,7.2pt"/>
                <w10:wrap anchorx="page" anchory="page"/>
                <w10:anchorlock/>
              </v:rect>
            </w:pict>
          </mc:Fallback>
        </mc:AlternateContent>
      </w:r>
    </w:p>
    <w:p w14:paraId="2032AD2D" w14:textId="77777777" w:rsidR="003937A5" w:rsidRPr="003937A5" w:rsidRDefault="003937A5" w:rsidP="003937A5">
      <w:pPr>
        <w:rPr>
          <w:rFonts w:asciiTheme="majorHAnsi" w:hAnsiTheme="majorHAnsi"/>
          <w:sz w:val="36"/>
          <w:szCs w:val="36"/>
        </w:rPr>
      </w:pPr>
      <w:r w:rsidRPr="003937A5">
        <w:rPr>
          <w:rFonts w:asciiTheme="majorHAnsi" w:hAnsiTheme="majorHAnsi"/>
          <w:sz w:val="36"/>
          <w:szCs w:val="36"/>
        </w:rPr>
        <w:lastRenderedPageBreak/>
        <w:t>Table of Contents</w:t>
      </w:r>
    </w:p>
    <w:p w14:paraId="3DA61ADC" w14:textId="7069B3D4" w:rsidR="000F24EB" w:rsidRDefault="000F24EB">
      <w:pPr>
        <w:pStyle w:val="TOC1"/>
        <w:rPr>
          <w:rFonts w:asciiTheme="minorHAnsi" w:eastAsiaTheme="minorEastAsia" w:hAnsiTheme="minorHAnsi" w:cstheme="minorBidi"/>
          <w:b w:val="0"/>
          <w:color w:val="auto"/>
          <w:lang w:val="en-AU"/>
        </w:rPr>
      </w:pPr>
      <w:r>
        <w:rPr>
          <w:rFonts w:ascii="Verdana" w:hAnsi="Verdana"/>
          <w:b w:val="0"/>
          <w:sz w:val="20"/>
          <w:szCs w:val="20"/>
        </w:rPr>
        <w:fldChar w:fldCharType="begin"/>
      </w:r>
      <w:r>
        <w:rPr>
          <w:rFonts w:ascii="Verdana" w:hAnsi="Verdana"/>
          <w:b w:val="0"/>
          <w:sz w:val="20"/>
          <w:szCs w:val="20"/>
        </w:rPr>
        <w:instrText xml:space="preserve"> TOC \o "1-3" </w:instrText>
      </w:r>
      <w:r>
        <w:rPr>
          <w:rFonts w:ascii="Verdana" w:hAnsi="Verdana"/>
          <w:b w:val="0"/>
          <w:sz w:val="20"/>
          <w:szCs w:val="20"/>
        </w:rPr>
        <w:fldChar w:fldCharType="separate"/>
      </w:r>
      <w:r>
        <w:t>Glossary</w:t>
      </w:r>
      <w:r>
        <w:tab/>
      </w:r>
      <w:r>
        <w:fldChar w:fldCharType="begin"/>
      </w:r>
      <w:r>
        <w:instrText xml:space="preserve"> PAGEREF _Toc525141254 \h </w:instrText>
      </w:r>
      <w:r>
        <w:fldChar w:fldCharType="separate"/>
      </w:r>
      <w:r>
        <w:t>7</w:t>
      </w:r>
      <w:r>
        <w:fldChar w:fldCharType="end"/>
      </w:r>
    </w:p>
    <w:p w14:paraId="28613C92" w14:textId="2C131375" w:rsidR="000F24EB" w:rsidRDefault="000F24EB">
      <w:pPr>
        <w:pStyle w:val="TOC1"/>
        <w:rPr>
          <w:rFonts w:asciiTheme="minorHAnsi" w:eastAsiaTheme="minorEastAsia" w:hAnsiTheme="minorHAnsi" w:cstheme="minorBidi"/>
          <w:b w:val="0"/>
          <w:color w:val="auto"/>
          <w:lang w:val="en-AU"/>
        </w:rPr>
      </w:pPr>
      <w:r>
        <w:t>Abbreviations</w:t>
      </w:r>
      <w:r>
        <w:tab/>
      </w:r>
      <w:r>
        <w:fldChar w:fldCharType="begin"/>
      </w:r>
      <w:r>
        <w:instrText xml:space="preserve"> PAGEREF _Toc525141255 \h </w:instrText>
      </w:r>
      <w:r>
        <w:fldChar w:fldCharType="separate"/>
      </w:r>
      <w:r>
        <w:t>13</w:t>
      </w:r>
      <w:r>
        <w:fldChar w:fldCharType="end"/>
      </w:r>
    </w:p>
    <w:p w14:paraId="355D6DEE" w14:textId="158D739D" w:rsidR="000F24EB" w:rsidRDefault="000F24EB">
      <w:pPr>
        <w:pStyle w:val="TOC1"/>
        <w:rPr>
          <w:rFonts w:asciiTheme="minorHAnsi" w:eastAsiaTheme="minorEastAsia" w:hAnsiTheme="minorHAnsi" w:cstheme="minorBidi"/>
          <w:b w:val="0"/>
          <w:color w:val="auto"/>
          <w:lang w:val="en-AU"/>
        </w:rPr>
      </w:pPr>
      <w:r>
        <w:t>1</w:t>
      </w:r>
      <w:r>
        <w:rPr>
          <w:rFonts w:asciiTheme="minorHAnsi" w:eastAsiaTheme="minorEastAsia" w:hAnsiTheme="minorHAnsi" w:cstheme="minorBidi"/>
          <w:b w:val="0"/>
          <w:color w:val="auto"/>
          <w:lang w:val="en-AU"/>
        </w:rPr>
        <w:tab/>
      </w:r>
      <w:r>
        <w:t>Executive summary</w:t>
      </w:r>
      <w:r>
        <w:tab/>
      </w:r>
      <w:r>
        <w:fldChar w:fldCharType="begin"/>
      </w:r>
      <w:r>
        <w:instrText xml:space="preserve"> PAGEREF _Toc525141256 \h </w:instrText>
      </w:r>
      <w:r>
        <w:fldChar w:fldCharType="separate"/>
      </w:r>
      <w:r>
        <w:t>15</w:t>
      </w:r>
      <w:r>
        <w:fldChar w:fldCharType="end"/>
      </w:r>
    </w:p>
    <w:p w14:paraId="5C4F0279" w14:textId="51F090E9" w:rsidR="000F24EB" w:rsidRDefault="000F24EB">
      <w:pPr>
        <w:pStyle w:val="TOC1"/>
        <w:rPr>
          <w:rFonts w:asciiTheme="minorHAnsi" w:eastAsiaTheme="minorEastAsia" w:hAnsiTheme="minorHAnsi" w:cstheme="minorBidi"/>
          <w:b w:val="0"/>
          <w:color w:val="auto"/>
          <w:lang w:val="en-AU"/>
        </w:rPr>
      </w:pPr>
      <w:r>
        <w:t>2</w:t>
      </w:r>
      <w:r>
        <w:rPr>
          <w:rFonts w:asciiTheme="minorHAnsi" w:eastAsiaTheme="minorEastAsia" w:hAnsiTheme="minorHAnsi" w:cstheme="minorBidi"/>
          <w:b w:val="0"/>
          <w:color w:val="auto"/>
          <w:lang w:val="en-AU"/>
        </w:rPr>
        <w:tab/>
      </w:r>
      <w:r>
        <w:t>Introduction</w:t>
      </w:r>
      <w:r>
        <w:tab/>
      </w:r>
      <w:r>
        <w:fldChar w:fldCharType="begin"/>
      </w:r>
      <w:r>
        <w:instrText xml:space="preserve"> PAGEREF _Toc525141257 \h </w:instrText>
      </w:r>
      <w:r>
        <w:fldChar w:fldCharType="separate"/>
      </w:r>
      <w:r>
        <w:t>18</w:t>
      </w:r>
      <w:r>
        <w:fldChar w:fldCharType="end"/>
      </w:r>
    </w:p>
    <w:p w14:paraId="5E1ED2F1" w14:textId="77C44C74" w:rsidR="000F24EB" w:rsidRDefault="000F24EB">
      <w:pPr>
        <w:pStyle w:val="TOC2"/>
        <w:rPr>
          <w:rFonts w:asciiTheme="minorHAnsi" w:eastAsiaTheme="minorEastAsia" w:hAnsiTheme="minorHAnsi" w:cstheme="minorBidi"/>
          <w:noProof/>
          <w:sz w:val="24"/>
          <w:szCs w:val="24"/>
          <w:lang w:val="en-AU"/>
        </w:rPr>
      </w:pPr>
      <w:r w:rsidRPr="00174DE0">
        <w:rPr>
          <w:noProof/>
        </w:rPr>
        <w:t>2.1</w:t>
      </w:r>
      <w:r>
        <w:rPr>
          <w:rFonts w:asciiTheme="minorHAnsi" w:eastAsiaTheme="minorEastAsia" w:hAnsiTheme="minorHAnsi" w:cstheme="minorBidi"/>
          <w:noProof/>
          <w:sz w:val="24"/>
          <w:szCs w:val="24"/>
          <w:lang w:val="en-AU"/>
        </w:rPr>
        <w:tab/>
      </w:r>
      <w:r>
        <w:rPr>
          <w:noProof/>
        </w:rPr>
        <w:t>Structure of Cold Hard Facts 3</w:t>
      </w:r>
      <w:r>
        <w:rPr>
          <w:noProof/>
        </w:rPr>
        <w:tab/>
      </w:r>
      <w:r>
        <w:rPr>
          <w:noProof/>
        </w:rPr>
        <w:fldChar w:fldCharType="begin"/>
      </w:r>
      <w:r>
        <w:rPr>
          <w:noProof/>
        </w:rPr>
        <w:instrText xml:space="preserve"> PAGEREF _Toc525141258 \h </w:instrText>
      </w:r>
      <w:r>
        <w:rPr>
          <w:noProof/>
        </w:rPr>
      </w:r>
      <w:r>
        <w:rPr>
          <w:noProof/>
        </w:rPr>
        <w:fldChar w:fldCharType="separate"/>
      </w:r>
      <w:r>
        <w:rPr>
          <w:noProof/>
        </w:rPr>
        <w:t>19</w:t>
      </w:r>
      <w:r>
        <w:rPr>
          <w:noProof/>
        </w:rPr>
        <w:fldChar w:fldCharType="end"/>
      </w:r>
    </w:p>
    <w:p w14:paraId="5F8F5279" w14:textId="7B4433C5" w:rsidR="000F24EB" w:rsidRDefault="000F24EB">
      <w:pPr>
        <w:pStyle w:val="TOC1"/>
        <w:rPr>
          <w:rFonts w:asciiTheme="minorHAnsi" w:eastAsiaTheme="minorEastAsia" w:hAnsiTheme="minorHAnsi" w:cstheme="minorBidi"/>
          <w:b w:val="0"/>
          <w:color w:val="auto"/>
          <w:lang w:val="en-AU"/>
        </w:rPr>
      </w:pPr>
      <w:r>
        <w:t>3</w:t>
      </w:r>
      <w:r>
        <w:rPr>
          <w:rFonts w:asciiTheme="minorHAnsi" w:eastAsiaTheme="minorEastAsia" w:hAnsiTheme="minorHAnsi" w:cstheme="minorBidi"/>
          <w:b w:val="0"/>
          <w:color w:val="auto"/>
          <w:lang w:val="en-AU"/>
        </w:rPr>
        <w:tab/>
      </w:r>
      <w:r>
        <w:t>Taxonomy of a technology</w:t>
      </w:r>
      <w:r>
        <w:tab/>
      </w:r>
      <w:r>
        <w:fldChar w:fldCharType="begin"/>
      </w:r>
      <w:r>
        <w:instrText xml:space="preserve"> PAGEREF _Toc525141259 \h </w:instrText>
      </w:r>
      <w:r>
        <w:fldChar w:fldCharType="separate"/>
      </w:r>
      <w:r>
        <w:t>21</w:t>
      </w:r>
      <w:r>
        <w:fldChar w:fldCharType="end"/>
      </w:r>
    </w:p>
    <w:p w14:paraId="185BCD84" w14:textId="7CB35B15" w:rsidR="000F24EB" w:rsidRDefault="000F24EB">
      <w:pPr>
        <w:pStyle w:val="TOC1"/>
        <w:rPr>
          <w:rFonts w:asciiTheme="minorHAnsi" w:eastAsiaTheme="minorEastAsia" w:hAnsiTheme="minorHAnsi" w:cstheme="minorBidi"/>
          <w:b w:val="0"/>
          <w:color w:val="auto"/>
          <w:lang w:val="en-AU"/>
        </w:rPr>
      </w:pPr>
      <w:r>
        <w:t>4</w:t>
      </w:r>
      <w:r>
        <w:rPr>
          <w:rFonts w:asciiTheme="minorHAnsi" w:eastAsiaTheme="minorEastAsia" w:hAnsiTheme="minorHAnsi" w:cstheme="minorBidi"/>
          <w:b w:val="0"/>
          <w:color w:val="auto"/>
          <w:lang w:val="en-AU"/>
        </w:rPr>
        <w:tab/>
      </w:r>
      <w:r>
        <w:t>The stock of equipment</w:t>
      </w:r>
      <w:r>
        <w:tab/>
      </w:r>
      <w:r>
        <w:fldChar w:fldCharType="begin"/>
      </w:r>
      <w:r>
        <w:instrText xml:space="preserve"> PAGEREF _Toc525141260 \h </w:instrText>
      </w:r>
      <w:r>
        <w:fldChar w:fldCharType="separate"/>
      </w:r>
      <w:r>
        <w:t>23</w:t>
      </w:r>
      <w:r>
        <w:fldChar w:fldCharType="end"/>
      </w:r>
    </w:p>
    <w:p w14:paraId="14E80777" w14:textId="550C7388" w:rsidR="000F24EB" w:rsidRDefault="000F24EB">
      <w:pPr>
        <w:pStyle w:val="TOC2"/>
        <w:rPr>
          <w:rFonts w:asciiTheme="minorHAnsi" w:eastAsiaTheme="minorEastAsia" w:hAnsiTheme="minorHAnsi" w:cstheme="minorBidi"/>
          <w:noProof/>
          <w:sz w:val="24"/>
          <w:szCs w:val="24"/>
          <w:lang w:val="en-AU"/>
        </w:rPr>
      </w:pPr>
      <w:r w:rsidRPr="00174DE0">
        <w:rPr>
          <w:noProof/>
        </w:rPr>
        <w:t>4.1</w:t>
      </w:r>
      <w:r>
        <w:rPr>
          <w:rFonts w:asciiTheme="minorHAnsi" w:eastAsiaTheme="minorEastAsia" w:hAnsiTheme="minorHAnsi" w:cstheme="minorBidi"/>
          <w:noProof/>
          <w:sz w:val="24"/>
          <w:szCs w:val="24"/>
          <w:lang w:val="en-AU"/>
        </w:rPr>
        <w:tab/>
      </w:r>
      <w:r>
        <w:rPr>
          <w:noProof/>
        </w:rPr>
        <w:t>The scale of events</w:t>
      </w:r>
      <w:r>
        <w:rPr>
          <w:noProof/>
        </w:rPr>
        <w:tab/>
      </w:r>
      <w:r>
        <w:rPr>
          <w:noProof/>
        </w:rPr>
        <w:fldChar w:fldCharType="begin"/>
      </w:r>
      <w:r>
        <w:rPr>
          <w:noProof/>
        </w:rPr>
        <w:instrText xml:space="preserve"> PAGEREF _Toc525141261 \h </w:instrText>
      </w:r>
      <w:r>
        <w:rPr>
          <w:noProof/>
        </w:rPr>
      </w:r>
      <w:r>
        <w:rPr>
          <w:noProof/>
        </w:rPr>
        <w:fldChar w:fldCharType="separate"/>
      </w:r>
      <w:r>
        <w:rPr>
          <w:noProof/>
        </w:rPr>
        <w:t>23</w:t>
      </w:r>
      <w:r>
        <w:rPr>
          <w:noProof/>
        </w:rPr>
        <w:fldChar w:fldCharType="end"/>
      </w:r>
    </w:p>
    <w:p w14:paraId="247310C9" w14:textId="69B78B21" w:rsidR="000F24EB" w:rsidRDefault="000F24EB">
      <w:pPr>
        <w:pStyle w:val="TOC2"/>
        <w:rPr>
          <w:rFonts w:asciiTheme="minorHAnsi" w:eastAsiaTheme="minorEastAsia" w:hAnsiTheme="minorHAnsi" w:cstheme="minorBidi"/>
          <w:noProof/>
          <w:sz w:val="24"/>
          <w:szCs w:val="24"/>
          <w:lang w:val="en-AU"/>
        </w:rPr>
      </w:pPr>
      <w:r w:rsidRPr="00174DE0">
        <w:rPr>
          <w:noProof/>
        </w:rPr>
        <w:t>4.2</w:t>
      </w:r>
      <w:r>
        <w:rPr>
          <w:rFonts w:asciiTheme="minorHAnsi" w:eastAsiaTheme="minorEastAsia" w:hAnsiTheme="minorHAnsi" w:cstheme="minorBidi"/>
          <w:noProof/>
          <w:sz w:val="24"/>
          <w:szCs w:val="24"/>
          <w:lang w:val="en-AU"/>
        </w:rPr>
        <w:tab/>
      </w:r>
      <w:r>
        <w:rPr>
          <w:noProof/>
        </w:rPr>
        <w:t>Stationary air conditioning</w:t>
      </w:r>
      <w:r>
        <w:rPr>
          <w:noProof/>
        </w:rPr>
        <w:tab/>
      </w:r>
      <w:r>
        <w:rPr>
          <w:noProof/>
        </w:rPr>
        <w:fldChar w:fldCharType="begin"/>
      </w:r>
      <w:r>
        <w:rPr>
          <w:noProof/>
        </w:rPr>
        <w:instrText xml:space="preserve"> PAGEREF _Toc525141262 \h </w:instrText>
      </w:r>
      <w:r>
        <w:rPr>
          <w:noProof/>
        </w:rPr>
      </w:r>
      <w:r>
        <w:rPr>
          <w:noProof/>
        </w:rPr>
        <w:fldChar w:fldCharType="separate"/>
      </w:r>
      <w:r>
        <w:rPr>
          <w:noProof/>
        </w:rPr>
        <w:t>24</w:t>
      </w:r>
      <w:r>
        <w:rPr>
          <w:noProof/>
        </w:rPr>
        <w:fldChar w:fldCharType="end"/>
      </w:r>
    </w:p>
    <w:p w14:paraId="6D57BD78" w14:textId="482ABB31" w:rsidR="000F24EB" w:rsidRDefault="000F24EB">
      <w:pPr>
        <w:pStyle w:val="TOC2"/>
        <w:rPr>
          <w:rFonts w:asciiTheme="minorHAnsi" w:eastAsiaTheme="minorEastAsia" w:hAnsiTheme="minorHAnsi" w:cstheme="minorBidi"/>
          <w:noProof/>
          <w:sz w:val="24"/>
          <w:szCs w:val="24"/>
          <w:lang w:val="en-AU"/>
        </w:rPr>
      </w:pPr>
      <w:r w:rsidRPr="00174DE0">
        <w:rPr>
          <w:rFonts w:eastAsiaTheme="minorEastAsia"/>
          <w:noProof/>
        </w:rPr>
        <w:t>4.3</w:t>
      </w:r>
      <w:r>
        <w:rPr>
          <w:rFonts w:asciiTheme="minorHAnsi" w:eastAsiaTheme="minorEastAsia" w:hAnsiTheme="minorHAnsi" w:cstheme="minorBidi"/>
          <w:noProof/>
          <w:sz w:val="24"/>
          <w:szCs w:val="24"/>
          <w:lang w:val="en-AU"/>
        </w:rPr>
        <w:tab/>
      </w:r>
      <w:r w:rsidRPr="00174DE0">
        <w:rPr>
          <w:rFonts w:eastAsiaTheme="minorEastAsia"/>
          <w:noProof/>
        </w:rPr>
        <w:t>Mobile air conditioning</w:t>
      </w:r>
      <w:r>
        <w:rPr>
          <w:noProof/>
        </w:rPr>
        <w:tab/>
      </w:r>
      <w:r>
        <w:rPr>
          <w:noProof/>
        </w:rPr>
        <w:fldChar w:fldCharType="begin"/>
      </w:r>
      <w:r>
        <w:rPr>
          <w:noProof/>
        </w:rPr>
        <w:instrText xml:space="preserve"> PAGEREF _Toc525141263 \h </w:instrText>
      </w:r>
      <w:r>
        <w:rPr>
          <w:noProof/>
        </w:rPr>
      </w:r>
      <w:r>
        <w:rPr>
          <w:noProof/>
        </w:rPr>
        <w:fldChar w:fldCharType="separate"/>
      </w:r>
      <w:r>
        <w:rPr>
          <w:noProof/>
        </w:rPr>
        <w:t>37</w:t>
      </w:r>
      <w:r>
        <w:rPr>
          <w:noProof/>
        </w:rPr>
        <w:fldChar w:fldCharType="end"/>
      </w:r>
    </w:p>
    <w:p w14:paraId="5A0C8540" w14:textId="6BD0EDE2" w:rsidR="000F24EB" w:rsidRDefault="000F24EB">
      <w:pPr>
        <w:pStyle w:val="TOC2"/>
        <w:rPr>
          <w:rFonts w:asciiTheme="minorHAnsi" w:eastAsiaTheme="minorEastAsia" w:hAnsiTheme="minorHAnsi" w:cstheme="minorBidi"/>
          <w:noProof/>
          <w:sz w:val="24"/>
          <w:szCs w:val="24"/>
          <w:lang w:val="en-AU"/>
        </w:rPr>
      </w:pPr>
      <w:r w:rsidRPr="00174DE0">
        <w:rPr>
          <w:noProof/>
        </w:rPr>
        <w:t>4.4</w:t>
      </w:r>
      <w:r>
        <w:rPr>
          <w:rFonts w:asciiTheme="minorHAnsi" w:eastAsiaTheme="minorEastAsia" w:hAnsiTheme="minorHAnsi" w:cstheme="minorBidi"/>
          <w:noProof/>
          <w:sz w:val="24"/>
          <w:szCs w:val="24"/>
          <w:lang w:val="en-AU"/>
        </w:rPr>
        <w:tab/>
      </w:r>
      <w:r>
        <w:rPr>
          <w:noProof/>
        </w:rPr>
        <w:t>Refrigerated cold food chain</w:t>
      </w:r>
      <w:r>
        <w:rPr>
          <w:noProof/>
        </w:rPr>
        <w:tab/>
      </w:r>
      <w:r>
        <w:rPr>
          <w:noProof/>
        </w:rPr>
        <w:fldChar w:fldCharType="begin"/>
      </w:r>
      <w:r>
        <w:rPr>
          <w:noProof/>
        </w:rPr>
        <w:instrText xml:space="preserve"> PAGEREF _Toc525141264 \h </w:instrText>
      </w:r>
      <w:r>
        <w:rPr>
          <w:noProof/>
        </w:rPr>
      </w:r>
      <w:r>
        <w:rPr>
          <w:noProof/>
        </w:rPr>
        <w:fldChar w:fldCharType="separate"/>
      </w:r>
      <w:r>
        <w:rPr>
          <w:noProof/>
        </w:rPr>
        <w:t>49</w:t>
      </w:r>
      <w:r>
        <w:rPr>
          <w:noProof/>
        </w:rPr>
        <w:fldChar w:fldCharType="end"/>
      </w:r>
    </w:p>
    <w:p w14:paraId="2D60CE61" w14:textId="6359574F" w:rsidR="000F24EB" w:rsidRDefault="000F24EB">
      <w:pPr>
        <w:pStyle w:val="TOC3"/>
        <w:rPr>
          <w:rFonts w:asciiTheme="minorHAnsi" w:eastAsiaTheme="minorEastAsia" w:hAnsiTheme="minorHAnsi" w:cstheme="minorBidi"/>
          <w:i w:val="0"/>
          <w:noProof/>
          <w:sz w:val="24"/>
          <w:szCs w:val="24"/>
          <w:lang w:val="en-AU"/>
        </w:rPr>
      </w:pPr>
      <w:r>
        <w:rPr>
          <w:noProof/>
        </w:rPr>
        <w:t>4.4.1</w:t>
      </w:r>
      <w:r>
        <w:rPr>
          <w:rFonts w:asciiTheme="minorHAnsi" w:eastAsiaTheme="minorEastAsia" w:hAnsiTheme="minorHAnsi" w:cstheme="minorBidi"/>
          <w:i w:val="0"/>
          <w:noProof/>
          <w:sz w:val="24"/>
          <w:szCs w:val="24"/>
          <w:lang w:val="en-AU"/>
        </w:rPr>
        <w:tab/>
      </w:r>
      <w:r>
        <w:rPr>
          <w:noProof/>
        </w:rPr>
        <w:t>Small commercial refrigeration</w:t>
      </w:r>
      <w:r>
        <w:rPr>
          <w:noProof/>
        </w:rPr>
        <w:tab/>
      </w:r>
      <w:r>
        <w:rPr>
          <w:noProof/>
        </w:rPr>
        <w:fldChar w:fldCharType="begin"/>
      </w:r>
      <w:r>
        <w:rPr>
          <w:noProof/>
        </w:rPr>
        <w:instrText xml:space="preserve"> PAGEREF _Toc525141265 \h </w:instrText>
      </w:r>
      <w:r>
        <w:rPr>
          <w:noProof/>
        </w:rPr>
      </w:r>
      <w:r>
        <w:rPr>
          <w:noProof/>
        </w:rPr>
        <w:fldChar w:fldCharType="separate"/>
      </w:r>
      <w:r>
        <w:rPr>
          <w:noProof/>
        </w:rPr>
        <w:t>58</w:t>
      </w:r>
      <w:r>
        <w:rPr>
          <w:noProof/>
        </w:rPr>
        <w:fldChar w:fldCharType="end"/>
      </w:r>
    </w:p>
    <w:p w14:paraId="75DA28D1" w14:textId="59E52235" w:rsidR="000F24EB" w:rsidRDefault="000F24EB">
      <w:pPr>
        <w:pStyle w:val="TOC3"/>
        <w:rPr>
          <w:rFonts w:asciiTheme="minorHAnsi" w:eastAsiaTheme="minorEastAsia" w:hAnsiTheme="minorHAnsi" w:cstheme="minorBidi"/>
          <w:i w:val="0"/>
          <w:noProof/>
          <w:sz w:val="24"/>
          <w:szCs w:val="24"/>
          <w:lang w:val="en-AU"/>
        </w:rPr>
      </w:pPr>
      <w:r>
        <w:rPr>
          <w:noProof/>
        </w:rPr>
        <w:t>4.4.2</w:t>
      </w:r>
      <w:r>
        <w:rPr>
          <w:rFonts w:asciiTheme="minorHAnsi" w:eastAsiaTheme="minorEastAsia" w:hAnsiTheme="minorHAnsi" w:cstheme="minorBidi"/>
          <w:i w:val="0"/>
          <w:noProof/>
          <w:sz w:val="24"/>
          <w:szCs w:val="24"/>
          <w:lang w:val="en-AU"/>
        </w:rPr>
        <w:tab/>
      </w:r>
      <w:r>
        <w:rPr>
          <w:noProof/>
        </w:rPr>
        <w:t>RCFC2 Medium commercial refrigeration</w:t>
      </w:r>
      <w:r>
        <w:rPr>
          <w:noProof/>
        </w:rPr>
        <w:tab/>
      </w:r>
      <w:r>
        <w:rPr>
          <w:noProof/>
        </w:rPr>
        <w:fldChar w:fldCharType="begin"/>
      </w:r>
      <w:r>
        <w:rPr>
          <w:noProof/>
        </w:rPr>
        <w:instrText xml:space="preserve"> PAGEREF _Toc525141266 \h </w:instrText>
      </w:r>
      <w:r>
        <w:rPr>
          <w:noProof/>
        </w:rPr>
      </w:r>
      <w:r>
        <w:rPr>
          <w:noProof/>
        </w:rPr>
        <w:fldChar w:fldCharType="separate"/>
      </w:r>
      <w:r>
        <w:rPr>
          <w:noProof/>
        </w:rPr>
        <w:t>60</w:t>
      </w:r>
      <w:r>
        <w:rPr>
          <w:noProof/>
        </w:rPr>
        <w:fldChar w:fldCharType="end"/>
      </w:r>
    </w:p>
    <w:p w14:paraId="4D5CC200" w14:textId="1DFDAFBC" w:rsidR="000F24EB" w:rsidRDefault="000F24EB">
      <w:pPr>
        <w:pStyle w:val="TOC3"/>
        <w:rPr>
          <w:rFonts w:asciiTheme="minorHAnsi" w:eastAsiaTheme="minorEastAsia" w:hAnsiTheme="minorHAnsi" w:cstheme="minorBidi"/>
          <w:i w:val="0"/>
          <w:noProof/>
          <w:sz w:val="24"/>
          <w:szCs w:val="24"/>
          <w:lang w:val="en-AU"/>
        </w:rPr>
      </w:pPr>
      <w:r>
        <w:rPr>
          <w:noProof/>
        </w:rPr>
        <w:t>4.4.3</w:t>
      </w:r>
      <w:r>
        <w:rPr>
          <w:rFonts w:asciiTheme="minorHAnsi" w:eastAsiaTheme="minorEastAsia" w:hAnsiTheme="minorHAnsi" w:cstheme="minorBidi"/>
          <w:i w:val="0"/>
          <w:noProof/>
          <w:sz w:val="24"/>
          <w:szCs w:val="24"/>
          <w:lang w:val="en-AU"/>
        </w:rPr>
        <w:tab/>
      </w:r>
      <w:r>
        <w:rPr>
          <w:noProof/>
        </w:rPr>
        <w:t>RCFC3 Supermarkets</w:t>
      </w:r>
      <w:r>
        <w:rPr>
          <w:noProof/>
        </w:rPr>
        <w:tab/>
      </w:r>
      <w:r>
        <w:rPr>
          <w:noProof/>
        </w:rPr>
        <w:fldChar w:fldCharType="begin"/>
      </w:r>
      <w:r>
        <w:rPr>
          <w:noProof/>
        </w:rPr>
        <w:instrText xml:space="preserve"> PAGEREF _Toc525141267 \h </w:instrText>
      </w:r>
      <w:r>
        <w:rPr>
          <w:noProof/>
        </w:rPr>
      </w:r>
      <w:r>
        <w:rPr>
          <w:noProof/>
        </w:rPr>
        <w:fldChar w:fldCharType="separate"/>
      </w:r>
      <w:r>
        <w:rPr>
          <w:noProof/>
        </w:rPr>
        <w:t>62</w:t>
      </w:r>
      <w:r>
        <w:rPr>
          <w:noProof/>
        </w:rPr>
        <w:fldChar w:fldCharType="end"/>
      </w:r>
    </w:p>
    <w:p w14:paraId="7A8B5F60" w14:textId="39B8F7AD" w:rsidR="000F24EB" w:rsidRDefault="000F24EB">
      <w:pPr>
        <w:pStyle w:val="TOC3"/>
        <w:rPr>
          <w:rFonts w:asciiTheme="minorHAnsi" w:eastAsiaTheme="minorEastAsia" w:hAnsiTheme="minorHAnsi" w:cstheme="minorBidi"/>
          <w:i w:val="0"/>
          <w:noProof/>
          <w:sz w:val="24"/>
          <w:szCs w:val="24"/>
          <w:lang w:val="en-AU"/>
        </w:rPr>
      </w:pPr>
      <w:r>
        <w:rPr>
          <w:noProof/>
        </w:rPr>
        <w:t>4.4.4</w:t>
      </w:r>
      <w:r>
        <w:rPr>
          <w:rFonts w:asciiTheme="minorHAnsi" w:eastAsiaTheme="minorEastAsia" w:hAnsiTheme="minorHAnsi" w:cstheme="minorBidi"/>
          <w:i w:val="0"/>
          <w:noProof/>
          <w:sz w:val="24"/>
          <w:szCs w:val="24"/>
          <w:lang w:val="en-AU"/>
        </w:rPr>
        <w:tab/>
      </w:r>
      <w:r>
        <w:rPr>
          <w:noProof/>
        </w:rPr>
        <w:t>RCFC4 transport refrigeration</w:t>
      </w:r>
      <w:r>
        <w:rPr>
          <w:noProof/>
        </w:rPr>
        <w:tab/>
      </w:r>
      <w:r>
        <w:rPr>
          <w:noProof/>
        </w:rPr>
        <w:fldChar w:fldCharType="begin"/>
      </w:r>
      <w:r>
        <w:rPr>
          <w:noProof/>
        </w:rPr>
        <w:instrText xml:space="preserve"> PAGEREF _Toc525141268 \h </w:instrText>
      </w:r>
      <w:r>
        <w:rPr>
          <w:noProof/>
        </w:rPr>
      </w:r>
      <w:r>
        <w:rPr>
          <w:noProof/>
        </w:rPr>
        <w:fldChar w:fldCharType="separate"/>
      </w:r>
      <w:r>
        <w:rPr>
          <w:noProof/>
        </w:rPr>
        <w:t>68</w:t>
      </w:r>
      <w:r>
        <w:rPr>
          <w:noProof/>
        </w:rPr>
        <w:fldChar w:fldCharType="end"/>
      </w:r>
    </w:p>
    <w:p w14:paraId="4FD6DCDC" w14:textId="5F404B6E" w:rsidR="000F24EB" w:rsidRDefault="000F24EB">
      <w:pPr>
        <w:pStyle w:val="TOC3"/>
        <w:rPr>
          <w:rFonts w:asciiTheme="minorHAnsi" w:eastAsiaTheme="minorEastAsia" w:hAnsiTheme="minorHAnsi" w:cstheme="minorBidi"/>
          <w:i w:val="0"/>
          <w:noProof/>
          <w:sz w:val="24"/>
          <w:szCs w:val="24"/>
          <w:lang w:val="en-AU"/>
        </w:rPr>
      </w:pPr>
      <w:r>
        <w:rPr>
          <w:noProof/>
        </w:rPr>
        <w:t>4.4.5</w:t>
      </w:r>
      <w:r>
        <w:rPr>
          <w:rFonts w:asciiTheme="minorHAnsi" w:eastAsiaTheme="minorEastAsia" w:hAnsiTheme="minorHAnsi" w:cstheme="minorBidi"/>
          <w:i w:val="0"/>
          <w:noProof/>
          <w:sz w:val="24"/>
          <w:szCs w:val="24"/>
          <w:lang w:val="en-AU"/>
        </w:rPr>
        <w:tab/>
      </w:r>
      <w:r>
        <w:rPr>
          <w:noProof/>
        </w:rPr>
        <w:t>RCFC5 Cold storage, distribution, industrial refrigeration and large process chilling</w:t>
      </w:r>
      <w:r>
        <w:rPr>
          <w:noProof/>
        </w:rPr>
        <w:tab/>
      </w:r>
      <w:r>
        <w:rPr>
          <w:noProof/>
        </w:rPr>
        <w:fldChar w:fldCharType="begin"/>
      </w:r>
      <w:r>
        <w:rPr>
          <w:noProof/>
        </w:rPr>
        <w:instrText xml:space="preserve"> PAGEREF _Toc525141269 \h </w:instrText>
      </w:r>
      <w:r>
        <w:rPr>
          <w:noProof/>
        </w:rPr>
      </w:r>
      <w:r>
        <w:rPr>
          <w:noProof/>
        </w:rPr>
        <w:fldChar w:fldCharType="separate"/>
      </w:r>
      <w:r>
        <w:rPr>
          <w:noProof/>
        </w:rPr>
        <w:t>71</w:t>
      </w:r>
      <w:r>
        <w:rPr>
          <w:noProof/>
        </w:rPr>
        <w:fldChar w:fldCharType="end"/>
      </w:r>
    </w:p>
    <w:p w14:paraId="00E3CED9" w14:textId="0B0016AD" w:rsidR="000F24EB" w:rsidRDefault="000F24EB">
      <w:pPr>
        <w:pStyle w:val="TOC2"/>
        <w:rPr>
          <w:rFonts w:asciiTheme="minorHAnsi" w:eastAsiaTheme="minorEastAsia" w:hAnsiTheme="minorHAnsi" w:cstheme="minorBidi"/>
          <w:noProof/>
          <w:sz w:val="24"/>
          <w:szCs w:val="24"/>
          <w:lang w:val="en-AU"/>
        </w:rPr>
      </w:pPr>
      <w:r w:rsidRPr="00174DE0">
        <w:rPr>
          <w:noProof/>
        </w:rPr>
        <w:t>4.5</w:t>
      </w:r>
      <w:r>
        <w:rPr>
          <w:rFonts w:asciiTheme="minorHAnsi" w:eastAsiaTheme="minorEastAsia" w:hAnsiTheme="minorHAnsi" w:cstheme="minorBidi"/>
          <w:noProof/>
          <w:sz w:val="24"/>
          <w:szCs w:val="24"/>
          <w:lang w:val="en-AU"/>
        </w:rPr>
        <w:tab/>
      </w:r>
      <w:r>
        <w:rPr>
          <w:noProof/>
        </w:rPr>
        <w:t>Domestic refrigeration</w:t>
      </w:r>
      <w:r>
        <w:rPr>
          <w:noProof/>
        </w:rPr>
        <w:tab/>
      </w:r>
      <w:r>
        <w:rPr>
          <w:noProof/>
        </w:rPr>
        <w:fldChar w:fldCharType="begin"/>
      </w:r>
      <w:r>
        <w:rPr>
          <w:noProof/>
        </w:rPr>
        <w:instrText xml:space="preserve"> PAGEREF _Toc525141270 \h </w:instrText>
      </w:r>
      <w:r>
        <w:rPr>
          <w:noProof/>
        </w:rPr>
      </w:r>
      <w:r>
        <w:rPr>
          <w:noProof/>
        </w:rPr>
        <w:fldChar w:fldCharType="separate"/>
      </w:r>
      <w:r>
        <w:rPr>
          <w:noProof/>
        </w:rPr>
        <w:t>74</w:t>
      </w:r>
      <w:r>
        <w:rPr>
          <w:noProof/>
        </w:rPr>
        <w:fldChar w:fldCharType="end"/>
      </w:r>
    </w:p>
    <w:p w14:paraId="3E831607" w14:textId="157D7924" w:rsidR="000F24EB" w:rsidRDefault="000F24EB">
      <w:pPr>
        <w:pStyle w:val="TOC1"/>
        <w:rPr>
          <w:rFonts w:asciiTheme="minorHAnsi" w:eastAsiaTheme="minorEastAsia" w:hAnsiTheme="minorHAnsi" w:cstheme="minorBidi"/>
          <w:b w:val="0"/>
          <w:color w:val="auto"/>
          <w:lang w:val="en-AU"/>
        </w:rPr>
      </w:pPr>
      <w:r>
        <w:t>5</w:t>
      </w:r>
      <w:r>
        <w:rPr>
          <w:rFonts w:asciiTheme="minorHAnsi" w:eastAsiaTheme="minorEastAsia" w:hAnsiTheme="minorHAnsi" w:cstheme="minorBidi"/>
          <w:b w:val="0"/>
          <w:color w:val="auto"/>
          <w:lang w:val="en-AU"/>
        </w:rPr>
        <w:tab/>
      </w:r>
      <w:r>
        <w:t>The refrigerant bank</w:t>
      </w:r>
      <w:r>
        <w:tab/>
      </w:r>
      <w:r>
        <w:fldChar w:fldCharType="begin"/>
      </w:r>
      <w:r>
        <w:instrText xml:space="preserve"> PAGEREF _Toc525141271 \h </w:instrText>
      </w:r>
      <w:r>
        <w:fldChar w:fldCharType="separate"/>
      </w:r>
      <w:r>
        <w:t>79</w:t>
      </w:r>
      <w:r>
        <w:fldChar w:fldCharType="end"/>
      </w:r>
    </w:p>
    <w:p w14:paraId="45F0D10D" w14:textId="41B998CB" w:rsidR="000F24EB" w:rsidRDefault="000F24EB">
      <w:pPr>
        <w:pStyle w:val="TOC2"/>
        <w:rPr>
          <w:rFonts w:asciiTheme="minorHAnsi" w:eastAsiaTheme="minorEastAsia" w:hAnsiTheme="minorHAnsi" w:cstheme="minorBidi"/>
          <w:noProof/>
          <w:sz w:val="24"/>
          <w:szCs w:val="24"/>
          <w:lang w:val="en-AU"/>
        </w:rPr>
      </w:pPr>
      <w:r w:rsidRPr="00174DE0">
        <w:rPr>
          <w:noProof/>
        </w:rPr>
        <w:t>5.1</w:t>
      </w:r>
      <w:r>
        <w:rPr>
          <w:rFonts w:asciiTheme="minorHAnsi" w:eastAsiaTheme="minorEastAsia" w:hAnsiTheme="minorHAnsi" w:cstheme="minorBidi"/>
          <w:noProof/>
          <w:sz w:val="24"/>
          <w:szCs w:val="24"/>
          <w:lang w:val="en-AU"/>
        </w:rPr>
        <w:tab/>
      </w:r>
      <w:r>
        <w:rPr>
          <w:noProof/>
        </w:rPr>
        <w:t>Constituents of the bank, GWP and CO</w:t>
      </w:r>
      <w:r w:rsidRPr="00174DE0">
        <w:rPr>
          <w:noProof/>
          <w:vertAlign w:val="subscript"/>
        </w:rPr>
        <w:t>2</w:t>
      </w:r>
      <w:r>
        <w:rPr>
          <w:noProof/>
        </w:rPr>
        <w:t>e</w:t>
      </w:r>
      <w:r>
        <w:rPr>
          <w:noProof/>
        </w:rPr>
        <w:tab/>
      </w:r>
      <w:r>
        <w:rPr>
          <w:noProof/>
        </w:rPr>
        <w:fldChar w:fldCharType="begin"/>
      </w:r>
      <w:r>
        <w:rPr>
          <w:noProof/>
        </w:rPr>
        <w:instrText xml:space="preserve"> PAGEREF _Toc525141272 \h </w:instrText>
      </w:r>
      <w:r>
        <w:rPr>
          <w:noProof/>
        </w:rPr>
      </w:r>
      <w:r>
        <w:rPr>
          <w:noProof/>
        </w:rPr>
        <w:fldChar w:fldCharType="separate"/>
      </w:r>
      <w:r>
        <w:rPr>
          <w:noProof/>
        </w:rPr>
        <w:t>81</w:t>
      </w:r>
      <w:r>
        <w:rPr>
          <w:noProof/>
        </w:rPr>
        <w:fldChar w:fldCharType="end"/>
      </w:r>
    </w:p>
    <w:p w14:paraId="4290C21B" w14:textId="6429D7B4" w:rsidR="000F24EB" w:rsidRDefault="000F24EB">
      <w:pPr>
        <w:pStyle w:val="TOC2"/>
        <w:rPr>
          <w:rFonts w:asciiTheme="minorHAnsi" w:eastAsiaTheme="minorEastAsia" w:hAnsiTheme="minorHAnsi" w:cstheme="minorBidi"/>
          <w:noProof/>
          <w:sz w:val="24"/>
          <w:szCs w:val="24"/>
          <w:lang w:val="en-AU"/>
        </w:rPr>
      </w:pPr>
      <w:r w:rsidRPr="00174DE0">
        <w:rPr>
          <w:noProof/>
        </w:rPr>
        <w:t>5.2</w:t>
      </w:r>
      <w:r>
        <w:rPr>
          <w:rFonts w:asciiTheme="minorHAnsi" w:eastAsiaTheme="minorEastAsia" w:hAnsiTheme="minorHAnsi" w:cstheme="minorBidi"/>
          <w:noProof/>
          <w:sz w:val="24"/>
          <w:szCs w:val="24"/>
          <w:lang w:val="en-AU"/>
        </w:rPr>
        <w:tab/>
      </w:r>
      <w:r>
        <w:rPr>
          <w:noProof/>
        </w:rPr>
        <w:t>Bank by class of equipment</w:t>
      </w:r>
      <w:r>
        <w:rPr>
          <w:noProof/>
        </w:rPr>
        <w:tab/>
      </w:r>
      <w:r>
        <w:rPr>
          <w:noProof/>
        </w:rPr>
        <w:fldChar w:fldCharType="begin"/>
      </w:r>
      <w:r>
        <w:rPr>
          <w:noProof/>
        </w:rPr>
        <w:instrText xml:space="preserve"> PAGEREF _Toc525141273 \h </w:instrText>
      </w:r>
      <w:r>
        <w:rPr>
          <w:noProof/>
        </w:rPr>
      </w:r>
      <w:r>
        <w:rPr>
          <w:noProof/>
        </w:rPr>
        <w:fldChar w:fldCharType="separate"/>
      </w:r>
      <w:r>
        <w:rPr>
          <w:noProof/>
        </w:rPr>
        <w:t>88</w:t>
      </w:r>
      <w:r>
        <w:rPr>
          <w:noProof/>
        </w:rPr>
        <w:fldChar w:fldCharType="end"/>
      </w:r>
    </w:p>
    <w:p w14:paraId="46734C3E" w14:textId="459FBF5F" w:rsidR="000F24EB" w:rsidRDefault="000F24EB">
      <w:pPr>
        <w:pStyle w:val="TOC2"/>
        <w:rPr>
          <w:rFonts w:asciiTheme="minorHAnsi" w:eastAsiaTheme="minorEastAsia" w:hAnsiTheme="minorHAnsi" w:cstheme="minorBidi"/>
          <w:noProof/>
          <w:sz w:val="24"/>
          <w:szCs w:val="24"/>
          <w:lang w:val="en-AU"/>
        </w:rPr>
      </w:pPr>
      <w:r w:rsidRPr="00174DE0">
        <w:rPr>
          <w:noProof/>
        </w:rPr>
        <w:t>5.3</w:t>
      </w:r>
      <w:r>
        <w:rPr>
          <w:rFonts w:asciiTheme="minorHAnsi" w:eastAsiaTheme="minorEastAsia" w:hAnsiTheme="minorHAnsi" w:cstheme="minorBidi"/>
          <w:noProof/>
          <w:sz w:val="24"/>
          <w:szCs w:val="24"/>
          <w:lang w:val="en-AU"/>
        </w:rPr>
        <w:tab/>
      </w:r>
      <w:r>
        <w:rPr>
          <w:noProof/>
        </w:rPr>
        <w:t>Mass flows in the bank</w:t>
      </w:r>
      <w:r>
        <w:rPr>
          <w:noProof/>
        </w:rPr>
        <w:tab/>
      </w:r>
      <w:r>
        <w:rPr>
          <w:noProof/>
        </w:rPr>
        <w:fldChar w:fldCharType="begin"/>
      </w:r>
      <w:r>
        <w:rPr>
          <w:noProof/>
        </w:rPr>
        <w:instrText xml:space="preserve"> PAGEREF _Toc525141274 \h </w:instrText>
      </w:r>
      <w:r>
        <w:rPr>
          <w:noProof/>
        </w:rPr>
      </w:r>
      <w:r>
        <w:rPr>
          <w:noProof/>
        </w:rPr>
        <w:fldChar w:fldCharType="separate"/>
      </w:r>
      <w:r>
        <w:rPr>
          <w:noProof/>
        </w:rPr>
        <w:t>89</w:t>
      </w:r>
      <w:r>
        <w:rPr>
          <w:noProof/>
        </w:rPr>
        <w:fldChar w:fldCharType="end"/>
      </w:r>
    </w:p>
    <w:p w14:paraId="5040B679" w14:textId="3B00FD44" w:rsidR="000F24EB" w:rsidRDefault="000F24EB">
      <w:pPr>
        <w:pStyle w:val="TOC2"/>
        <w:rPr>
          <w:rFonts w:asciiTheme="minorHAnsi" w:eastAsiaTheme="minorEastAsia" w:hAnsiTheme="minorHAnsi" w:cstheme="minorBidi"/>
          <w:noProof/>
          <w:sz w:val="24"/>
          <w:szCs w:val="24"/>
          <w:lang w:val="en-AU"/>
        </w:rPr>
      </w:pPr>
      <w:r w:rsidRPr="00174DE0">
        <w:rPr>
          <w:rFonts w:eastAsiaTheme="minorEastAsia"/>
          <w:noProof/>
        </w:rPr>
        <w:t>5.4</w:t>
      </w:r>
      <w:r>
        <w:rPr>
          <w:rFonts w:asciiTheme="minorHAnsi" w:eastAsiaTheme="minorEastAsia" w:hAnsiTheme="minorHAnsi" w:cstheme="minorBidi"/>
          <w:noProof/>
          <w:sz w:val="24"/>
          <w:szCs w:val="24"/>
          <w:lang w:val="en-AU"/>
        </w:rPr>
        <w:tab/>
      </w:r>
      <w:r>
        <w:rPr>
          <w:noProof/>
        </w:rPr>
        <w:t>Pre-charged equipment imports</w:t>
      </w:r>
      <w:r>
        <w:rPr>
          <w:noProof/>
        </w:rPr>
        <w:tab/>
      </w:r>
      <w:r>
        <w:rPr>
          <w:noProof/>
        </w:rPr>
        <w:fldChar w:fldCharType="begin"/>
      </w:r>
      <w:r>
        <w:rPr>
          <w:noProof/>
        </w:rPr>
        <w:instrText xml:space="preserve"> PAGEREF _Toc525141275 \h </w:instrText>
      </w:r>
      <w:r>
        <w:rPr>
          <w:noProof/>
        </w:rPr>
      </w:r>
      <w:r>
        <w:rPr>
          <w:noProof/>
        </w:rPr>
        <w:fldChar w:fldCharType="separate"/>
      </w:r>
      <w:r>
        <w:rPr>
          <w:noProof/>
        </w:rPr>
        <w:t>91</w:t>
      </w:r>
      <w:r>
        <w:rPr>
          <w:noProof/>
        </w:rPr>
        <w:fldChar w:fldCharType="end"/>
      </w:r>
    </w:p>
    <w:p w14:paraId="5DA51287" w14:textId="72B168A3" w:rsidR="000F24EB" w:rsidRDefault="000F24EB">
      <w:pPr>
        <w:pStyle w:val="TOC2"/>
        <w:rPr>
          <w:rFonts w:asciiTheme="minorHAnsi" w:eastAsiaTheme="minorEastAsia" w:hAnsiTheme="minorHAnsi" w:cstheme="minorBidi"/>
          <w:noProof/>
          <w:sz w:val="24"/>
          <w:szCs w:val="24"/>
          <w:lang w:val="en-AU"/>
        </w:rPr>
      </w:pPr>
      <w:r w:rsidRPr="00174DE0">
        <w:rPr>
          <w:noProof/>
        </w:rPr>
        <w:t>5.5</w:t>
      </w:r>
      <w:r>
        <w:rPr>
          <w:rFonts w:asciiTheme="minorHAnsi" w:eastAsiaTheme="minorEastAsia" w:hAnsiTheme="minorHAnsi" w:cstheme="minorBidi"/>
          <w:noProof/>
          <w:sz w:val="24"/>
          <w:szCs w:val="24"/>
          <w:lang w:val="en-AU"/>
        </w:rPr>
        <w:tab/>
      </w:r>
      <w:r>
        <w:rPr>
          <w:noProof/>
        </w:rPr>
        <w:t>Bulk refrigerant imports</w:t>
      </w:r>
      <w:r>
        <w:rPr>
          <w:noProof/>
        </w:rPr>
        <w:tab/>
      </w:r>
      <w:r>
        <w:rPr>
          <w:noProof/>
        </w:rPr>
        <w:fldChar w:fldCharType="begin"/>
      </w:r>
      <w:r>
        <w:rPr>
          <w:noProof/>
        </w:rPr>
        <w:instrText xml:space="preserve"> PAGEREF _Toc525141276 \h </w:instrText>
      </w:r>
      <w:r>
        <w:rPr>
          <w:noProof/>
        </w:rPr>
      </w:r>
      <w:r>
        <w:rPr>
          <w:noProof/>
        </w:rPr>
        <w:fldChar w:fldCharType="separate"/>
      </w:r>
      <w:r>
        <w:rPr>
          <w:noProof/>
        </w:rPr>
        <w:t>95</w:t>
      </w:r>
      <w:r>
        <w:rPr>
          <w:noProof/>
        </w:rPr>
        <w:fldChar w:fldCharType="end"/>
      </w:r>
    </w:p>
    <w:p w14:paraId="20C4A554" w14:textId="3E1CAEF5" w:rsidR="000F24EB" w:rsidRDefault="000F24EB">
      <w:pPr>
        <w:pStyle w:val="TOC2"/>
        <w:rPr>
          <w:rFonts w:asciiTheme="minorHAnsi" w:eastAsiaTheme="minorEastAsia" w:hAnsiTheme="minorHAnsi" w:cstheme="minorBidi"/>
          <w:noProof/>
          <w:sz w:val="24"/>
          <w:szCs w:val="24"/>
          <w:lang w:val="en-AU"/>
        </w:rPr>
      </w:pPr>
      <w:r w:rsidRPr="00174DE0">
        <w:rPr>
          <w:noProof/>
        </w:rPr>
        <w:t>5.6</w:t>
      </w:r>
      <w:r>
        <w:rPr>
          <w:rFonts w:asciiTheme="minorHAnsi" w:eastAsiaTheme="minorEastAsia" w:hAnsiTheme="minorHAnsi" w:cstheme="minorBidi"/>
          <w:noProof/>
          <w:sz w:val="24"/>
          <w:szCs w:val="24"/>
          <w:lang w:val="en-AU"/>
        </w:rPr>
        <w:tab/>
      </w:r>
      <w:r>
        <w:rPr>
          <w:noProof/>
        </w:rPr>
        <w:t>Refrigerant prices and market behavior</w:t>
      </w:r>
      <w:r>
        <w:rPr>
          <w:noProof/>
        </w:rPr>
        <w:tab/>
      </w:r>
      <w:r>
        <w:rPr>
          <w:noProof/>
        </w:rPr>
        <w:fldChar w:fldCharType="begin"/>
      </w:r>
      <w:r>
        <w:rPr>
          <w:noProof/>
        </w:rPr>
        <w:instrText xml:space="preserve"> PAGEREF _Toc525141277 \h </w:instrText>
      </w:r>
      <w:r>
        <w:rPr>
          <w:noProof/>
        </w:rPr>
      </w:r>
      <w:r>
        <w:rPr>
          <w:noProof/>
        </w:rPr>
        <w:fldChar w:fldCharType="separate"/>
      </w:r>
      <w:r>
        <w:rPr>
          <w:noProof/>
        </w:rPr>
        <w:t>99</w:t>
      </w:r>
      <w:r>
        <w:rPr>
          <w:noProof/>
        </w:rPr>
        <w:fldChar w:fldCharType="end"/>
      </w:r>
    </w:p>
    <w:p w14:paraId="33074AA7" w14:textId="523191D1" w:rsidR="000F24EB" w:rsidRDefault="000F24EB">
      <w:pPr>
        <w:pStyle w:val="TOC2"/>
        <w:rPr>
          <w:rFonts w:asciiTheme="minorHAnsi" w:eastAsiaTheme="minorEastAsia" w:hAnsiTheme="minorHAnsi" w:cstheme="minorBidi"/>
          <w:noProof/>
          <w:sz w:val="24"/>
          <w:szCs w:val="24"/>
          <w:lang w:val="en-AU"/>
        </w:rPr>
      </w:pPr>
      <w:r w:rsidRPr="00174DE0">
        <w:rPr>
          <w:noProof/>
        </w:rPr>
        <w:t>5.7</w:t>
      </w:r>
      <w:r>
        <w:rPr>
          <w:rFonts w:asciiTheme="minorHAnsi" w:eastAsiaTheme="minorEastAsia" w:hAnsiTheme="minorHAnsi" w:cstheme="minorBidi"/>
          <w:noProof/>
          <w:sz w:val="24"/>
          <w:szCs w:val="24"/>
          <w:lang w:val="en-AU"/>
        </w:rPr>
        <w:tab/>
      </w:r>
      <w:r>
        <w:rPr>
          <w:noProof/>
        </w:rPr>
        <w:t>CHF2 bank projections and predictions</w:t>
      </w:r>
      <w:r>
        <w:rPr>
          <w:noProof/>
        </w:rPr>
        <w:tab/>
      </w:r>
      <w:r>
        <w:rPr>
          <w:noProof/>
        </w:rPr>
        <w:fldChar w:fldCharType="begin"/>
      </w:r>
      <w:r>
        <w:rPr>
          <w:noProof/>
        </w:rPr>
        <w:instrText xml:space="preserve"> PAGEREF _Toc525141278 \h </w:instrText>
      </w:r>
      <w:r>
        <w:rPr>
          <w:noProof/>
        </w:rPr>
      </w:r>
      <w:r>
        <w:rPr>
          <w:noProof/>
        </w:rPr>
        <w:fldChar w:fldCharType="separate"/>
      </w:r>
      <w:r>
        <w:rPr>
          <w:noProof/>
        </w:rPr>
        <w:t>101</w:t>
      </w:r>
      <w:r>
        <w:rPr>
          <w:noProof/>
        </w:rPr>
        <w:fldChar w:fldCharType="end"/>
      </w:r>
    </w:p>
    <w:p w14:paraId="39C7B8EB" w14:textId="6521B06F" w:rsidR="000F24EB" w:rsidRDefault="000F24EB">
      <w:pPr>
        <w:pStyle w:val="TOC1"/>
        <w:rPr>
          <w:rFonts w:asciiTheme="minorHAnsi" w:eastAsiaTheme="minorEastAsia" w:hAnsiTheme="minorHAnsi" w:cstheme="minorBidi"/>
          <w:b w:val="0"/>
          <w:color w:val="auto"/>
          <w:lang w:val="en-AU"/>
        </w:rPr>
      </w:pPr>
      <w:r>
        <w:t>6</w:t>
      </w:r>
      <w:r>
        <w:rPr>
          <w:rFonts w:asciiTheme="minorHAnsi" w:eastAsiaTheme="minorEastAsia" w:hAnsiTheme="minorHAnsi" w:cstheme="minorBidi"/>
          <w:b w:val="0"/>
          <w:color w:val="auto"/>
          <w:lang w:val="en-AU"/>
        </w:rPr>
        <w:tab/>
      </w:r>
      <w:r>
        <w:t>Natural refrigerants</w:t>
      </w:r>
      <w:r>
        <w:tab/>
      </w:r>
      <w:r>
        <w:fldChar w:fldCharType="begin"/>
      </w:r>
      <w:r>
        <w:instrText xml:space="preserve"> PAGEREF _Toc525141279 \h </w:instrText>
      </w:r>
      <w:r>
        <w:fldChar w:fldCharType="separate"/>
      </w:r>
      <w:r>
        <w:t>105</w:t>
      </w:r>
      <w:r>
        <w:fldChar w:fldCharType="end"/>
      </w:r>
    </w:p>
    <w:p w14:paraId="3E0DD774" w14:textId="73765B2D" w:rsidR="000F24EB" w:rsidRDefault="000F24EB">
      <w:pPr>
        <w:pStyle w:val="TOC2"/>
        <w:rPr>
          <w:rFonts w:asciiTheme="minorHAnsi" w:eastAsiaTheme="minorEastAsia" w:hAnsiTheme="minorHAnsi" w:cstheme="minorBidi"/>
          <w:noProof/>
          <w:sz w:val="24"/>
          <w:szCs w:val="24"/>
          <w:lang w:val="en-AU"/>
        </w:rPr>
      </w:pPr>
      <w:r w:rsidRPr="00174DE0">
        <w:rPr>
          <w:noProof/>
        </w:rPr>
        <w:t>6.1</w:t>
      </w:r>
      <w:r>
        <w:rPr>
          <w:rFonts w:asciiTheme="minorHAnsi" w:eastAsiaTheme="minorEastAsia" w:hAnsiTheme="minorHAnsi" w:cstheme="minorBidi"/>
          <w:noProof/>
          <w:sz w:val="24"/>
          <w:szCs w:val="24"/>
          <w:lang w:val="en-AU"/>
        </w:rPr>
        <w:tab/>
      </w:r>
      <w:r>
        <w:rPr>
          <w:noProof/>
        </w:rPr>
        <w:t>Ammonia refrigerant</w:t>
      </w:r>
      <w:r>
        <w:rPr>
          <w:noProof/>
        </w:rPr>
        <w:tab/>
      </w:r>
      <w:r>
        <w:rPr>
          <w:noProof/>
        </w:rPr>
        <w:fldChar w:fldCharType="begin"/>
      </w:r>
      <w:r>
        <w:rPr>
          <w:noProof/>
        </w:rPr>
        <w:instrText xml:space="preserve"> PAGEREF _Toc525141280 \h </w:instrText>
      </w:r>
      <w:r>
        <w:rPr>
          <w:noProof/>
        </w:rPr>
      </w:r>
      <w:r>
        <w:rPr>
          <w:noProof/>
        </w:rPr>
        <w:fldChar w:fldCharType="separate"/>
      </w:r>
      <w:r>
        <w:rPr>
          <w:noProof/>
        </w:rPr>
        <w:t>106</w:t>
      </w:r>
      <w:r>
        <w:rPr>
          <w:noProof/>
        </w:rPr>
        <w:fldChar w:fldCharType="end"/>
      </w:r>
    </w:p>
    <w:p w14:paraId="340F4CF1" w14:textId="7F8F72D7" w:rsidR="000F24EB" w:rsidRDefault="000F24EB">
      <w:pPr>
        <w:pStyle w:val="TOC2"/>
        <w:rPr>
          <w:rFonts w:asciiTheme="minorHAnsi" w:eastAsiaTheme="minorEastAsia" w:hAnsiTheme="minorHAnsi" w:cstheme="minorBidi"/>
          <w:noProof/>
          <w:sz w:val="24"/>
          <w:szCs w:val="24"/>
          <w:lang w:val="en-AU"/>
        </w:rPr>
      </w:pPr>
      <w:r w:rsidRPr="00174DE0">
        <w:rPr>
          <w:noProof/>
        </w:rPr>
        <w:t>6.2</w:t>
      </w:r>
      <w:r>
        <w:rPr>
          <w:rFonts w:asciiTheme="minorHAnsi" w:eastAsiaTheme="minorEastAsia" w:hAnsiTheme="minorHAnsi" w:cstheme="minorBidi"/>
          <w:noProof/>
          <w:sz w:val="24"/>
          <w:szCs w:val="24"/>
          <w:lang w:val="en-AU"/>
        </w:rPr>
        <w:tab/>
      </w:r>
      <w:r>
        <w:rPr>
          <w:noProof/>
        </w:rPr>
        <w:t>Carbon dioxide refrigerant</w:t>
      </w:r>
      <w:r>
        <w:rPr>
          <w:noProof/>
        </w:rPr>
        <w:tab/>
      </w:r>
      <w:r>
        <w:rPr>
          <w:noProof/>
        </w:rPr>
        <w:fldChar w:fldCharType="begin"/>
      </w:r>
      <w:r>
        <w:rPr>
          <w:noProof/>
        </w:rPr>
        <w:instrText xml:space="preserve"> PAGEREF _Toc525141281 \h </w:instrText>
      </w:r>
      <w:r>
        <w:rPr>
          <w:noProof/>
        </w:rPr>
      </w:r>
      <w:r>
        <w:rPr>
          <w:noProof/>
        </w:rPr>
        <w:fldChar w:fldCharType="separate"/>
      </w:r>
      <w:r>
        <w:rPr>
          <w:noProof/>
        </w:rPr>
        <w:t>107</w:t>
      </w:r>
      <w:r>
        <w:rPr>
          <w:noProof/>
        </w:rPr>
        <w:fldChar w:fldCharType="end"/>
      </w:r>
    </w:p>
    <w:p w14:paraId="4A077E2F" w14:textId="44EE21C7" w:rsidR="000F24EB" w:rsidRDefault="000F24EB">
      <w:pPr>
        <w:pStyle w:val="TOC2"/>
        <w:rPr>
          <w:rFonts w:asciiTheme="minorHAnsi" w:eastAsiaTheme="minorEastAsia" w:hAnsiTheme="minorHAnsi" w:cstheme="minorBidi"/>
          <w:noProof/>
          <w:sz w:val="24"/>
          <w:szCs w:val="24"/>
          <w:lang w:val="en-AU"/>
        </w:rPr>
      </w:pPr>
      <w:r w:rsidRPr="00174DE0">
        <w:rPr>
          <w:noProof/>
        </w:rPr>
        <w:t>6.3</w:t>
      </w:r>
      <w:r>
        <w:rPr>
          <w:rFonts w:asciiTheme="minorHAnsi" w:eastAsiaTheme="minorEastAsia" w:hAnsiTheme="minorHAnsi" w:cstheme="minorBidi"/>
          <w:noProof/>
          <w:sz w:val="24"/>
          <w:szCs w:val="24"/>
          <w:lang w:val="en-AU"/>
        </w:rPr>
        <w:tab/>
      </w:r>
      <w:r>
        <w:rPr>
          <w:noProof/>
        </w:rPr>
        <w:t>Hydrocarbon refrigerant</w:t>
      </w:r>
      <w:r>
        <w:rPr>
          <w:noProof/>
        </w:rPr>
        <w:tab/>
      </w:r>
      <w:r>
        <w:rPr>
          <w:noProof/>
        </w:rPr>
        <w:fldChar w:fldCharType="begin"/>
      </w:r>
      <w:r>
        <w:rPr>
          <w:noProof/>
        </w:rPr>
        <w:instrText xml:space="preserve"> PAGEREF _Toc525141282 \h </w:instrText>
      </w:r>
      <w:r>
        <w:rPr>
          <w:noProof/>
        </w:rPr>
      </w:r>
      <w:r>
        <w:rPr>
          <w:noProof/>
        </w:rPr>
        <w:fldChar w:fldCharType="separate"/>
      </w:r>
      <w:r>
        <w:rPr>
          <w:noProof/>
        </w:rPr>
        <w:t>109</w:t>
      </w:r>
      <w:r>
        <w:rPr>
          <w:noProof/>
        </w:rPr>
        <w:fldChar w:fldCharType="end"/>
      </w:r>
    </w:p>
    <w:p w14:paraId="1C80B99A" w14:textId="05A9878A" w:rsidR="000F24EB" w:rsidRDefault="000F24EB">
      <w:pPr>
        <w:pStyle w:val="TOC1"/>
        <w:rPr>
          <w:rFonts w:asciiTheme="minorHAnsi" w:eastAsiaTheme="minorEastAsia" w:hAnsiTheme="minorHAnsi" w:cstheme="minorBidi"/>
          <w:b w:val="0"/>
          <w:color w:val="auto"/>
          <w:lang w:val="en-AU"/>
        </w:rPr>
      </w:pPr>
      <w:r>
        <w:t>7</w:t>
      </w:r>
      <w:r>
        <w:rPr>
          <w:rFonts w:asciiTheme="minorHAnsi" w:eastAsiaTheme="minorEastAsia" w:hAnsiTheme="minorHAnsi" w:cstheme="minorBidi"/>
          <w:b w:val="0"/>
          <w:color w:val="auto"/>
          <w:lang w:val="en-AU"/>
        </w:rPr>
        <w:tab/>
      </w:r>
      <w:r>
        <w:t>The future bank – projections of the bank to 2030</w:t>
      </w:r>
      <w:r>
        <w:tab/>
      </w:r>
      <w:r>
        <w:fldChar w:fldCharType="begin"/>
      </w:r>
      <w:r>
        <w:instrText xml:space="preserve"> PAGEREF _Toc525141283 \h </w:instrText>
      </w:r>
      <w:r>
        <w:fldChar w:fldCharType="separate"/>
      </w:r>
      <w:r>
        <w:t>111</w:t>
      </w:r>
      <w:r>
        <w:fldChar w:fldCharType="end"/>
      </w:r>
    </w:p>
    <w:p w14:paraId="115D0B56" w14:textId="25B21328" w:rsidR="000F24EB" w:rsidRDefault="000F24EB">
      <w:pPr>
        <w:pStyle w:val="TOC2"/>
        <w:rPr>
          <w:rFonts w:asciiTheme="minorHAnsi" w:eastAsiaTheme="minorEastAsia" w:hAnsiTheme="minorHAnsi" w:cstheme="minorBidi"/>
          <w:noProof/>
          <w:sz w:val="24"/>
          <w:szCs w:val="24"/>
          <w:lang w:val="en-AU"/>
        </w:rPr>
      </w:pPr>
      <w:r w:rsidRPr="00174DE0">
        <w:rPr>
          <w:noProof/>
        </w:rPr>
        <w:t>7.1</w:t>
      </w:r>
      <w:r>
        <w:rPr>
          <w:rFonts w:asciiTheme="minorHAnsi" w:eastAsiaTheme="minorEastAsia" w:hAnsiTheme="minorHAnsi" w:cstheme="minorBidi"/>
          <w:noProof/>
          <w:sz w:val="24"/>
          <w:szCs w:val="24"/>
          <w:lang w:val="en-AU"/>
        </w:rPr>
        <w:tab/>
      </w:r>
      <w:r>
        <w:rPr>
          <w:noProof/>
        </w:rPr>
        <w:t>Projections of the bank 2016 to 2030</w:t>
      </w:r>
      <w:r>
        <w:rPr>
          <w:noProof/>
        </w:rPr>
        <w:tab/>
      </w:r>
      <w:r>
        <w:rPr>
          <w:noProof/>
        </w:rPr>
        <w:fldChar w:fldCharType="begin"/>
      </w:r>
      <w:r>
        <w:rPr>
          <w:noProof/>
        </w:rPr>
        <w:instrText xml:space="preserve"> PAGEREF _Toc525141284 \h </w:instrText>
      </w:r>
      <w:r>
        <w:rPr>
          <w:noProof/>
        </w:rPr>
      </w:r>
      <w:r>
        <w:rPr>
          <w:noProof/>
        </w:rPr>
        <w:fldChar w:fldCharType="separate"/>
      </w:r>
      <w:r>
        <w:rPr>
          <w:noProof/>
        </w:rPr>
        <w:t>113</w:t>
      </w:r>
      <w:r>
        <w:rPr>
          <w:noProof/>
        </w:rPr>
        <w:fldChar w:fldCharType="end"/>
      </w:r>
    </w:p>
    <w:p w14:paraId="3988932C" w14:textId="640C3762" w:rsidR="000F24EB" w:rsidRDefault="000F24EB">
      <w:pPr>
        <w:pStyle w:val="TOC2"/>
        <w:rPr>
          <w:rFonts w:asciiTheme="minorHAnsi" w:eastAsiaTheme="minorEastAsia" w:hAnsiTheme="minorHAnsi" w:cstheme="minorBidi"/>
          <w:noProof/>
          <w:sz w:val="24"/>
          <w:szCs w:val="24"/>
          <w:lang w:val="en-AU"/>
        </w:rPr>
      </w:pPr>
      <w:r w:rsidRPr="00174DE0">
        <w:rPr>
          <w:noProof/>
        </w:rPr>
        <w:t>7.2</w:t>
      </w:r>
      <w:r>
        <w:rPr>
          <w:rFonts w:asciiTheme="minorHAnsi" w:eastAsiaTheme="minorEastAsia" w:hAnsiTheme="minorHAnsi" w:cstheme="minorBidi"/>
          <w:noProof/>
          <w:sz w:val="24"/>
          <w:szCs w:val="24"/>
          <w:lang w:val="en-AU"/>
        </w:rPr>
        <w:tab/>
      </w:r>
      <w:r>
        <w:rPr>
          <w:noProof/>
        </w:rPr>
        <w:t>Stationary AC</w:t>
      </w:r>
      <w:r>
        <w:rPr>
          <w:noProof/>
        </w:rPr>
        <w:tab/>
      </w:r>
      <w:r>
        <w:rPr>
          <w:noProof/>
        </w:rPr>
        <w:fldChar w:fldCharType="begin"/>
      </w:r>
      <w:r>
        <w:rPr>
          <w:noProof/>
        </w:rPr>
        <w:instrText xml:space="preserve"> PAGEREF _Toc525141285 \h </w:instrText>
      </w:r>
      <w:r>
        <w:rPr>
          <w:noProof/>
        </w:rPr>
      </w:r>
      <w:r>
        <w:rPr>
          <w:noProof/>
        </w:rPr>
        <w:fldChar w:fldCharType="separate"/>
      </w:r>
      <w:r>
        <w:rPr>
          <w:noProof/>
        </w:rPr>
        <w:t>115</w:t>
      </w:r>
      <w:r>
        <w:rPr>
          <w:noProof/>
        </w:rPr>
        <w:fldChar w:fldCharType="end"/>
      </w:r>
    </w:p>
    <w:p w14:paraId="4782C9EA" w14:textId="579A8923" w:rsidR="000F24EB" w:rsidRDefault="000F24EB">
      <w:pPr>
        <w:pStyle w:val="TOC2"/>
        <w:rPr>
          <w:rFonts w:asciiTheme="minorHAnsi" w:eastAsiaTheme="minorEastAsia" w:hAnsiTheme="minorHAnsi" w:cstheme="minorBidi"/>
          <w:noProof/>
          <w:sz w:val="24"/>
          <w:szCs w:val="24"/>
          <w:lang w:val="en-AU"/>
        </w:rPr>
      </w:pPr>
      <w:r w:rsidRPr="00174DE0">
        <w:rPr>
          <w:noProof/>
        </w:rPr>
        <w:t>7.3</w:t>
      </w:r>
      <w:r>
        <w:rPr>
          <w:rFonts w:asciiTheme="minorHAnsi" w:eastAsiaTheme="minorEastAsia" w:hAnsiTheme="minorHAnsi" w:cstheme="minorBidi"/>
          <w:noProof/>
          <w:sz w:val="24"/>
          <w:szCs w:val="24"/>
          <w:lang w:val="en-AU"/>
        </w:rPr>
        <w:tab/>
      </w:r>
      <w:r>
        <w:rPr>
          <w:noProof/>
        </w:rPr>
        <w:t>Mobile AC</w:t>
      </w:r>
      <w:r>
        <w:rPr>
          <w:noProof/>
        </w:rPr>
        <w:tab/>
      </w:r>
      <w:r>
        <w:rPr>
          <w:noProof/>
        </w:rPr>
        <w:fldChar w:fldCharType="begin"/>
      </w:r>
      <w:r>
        <w:rPr>
          <w:noProof/>
        </w:rPr>
        <w:instrText xml:space="preserve"> PAGEREF _Toc525141286 \h </w:instrText>
      </w:r>
      <w:r>
        <w:rPr>
          <w:noProof/>
        </w:rPr>
      </w:r>
      <w:r>
        <w:rPr>
          <w:noProof/>
        </w:rPr>
        <w:fldChar w:fldCharType="separate"/>
      </w:r>
      <w:r>
        <w:rPr>
          <w:noProof/>
        </w:rPr>
        <w:t>119</w:t>
      </w:r>
      <w:r>
        <w:rPr>
          <w:noProof/>
        </w:rPr>
        <w:fldChar w:fldCharType="end"/>
      </w:r>
    </w:p>
    <w:p w14:paraId="7F88E20E" w14:textId="19B486FE" w:rsidR="000F24EB" w:rsidRDefault="000F24EB">
      <w:pPr>
        <w:pStyle w:val="TOC2"/>
        <w:rPr>
          <w:rFonts w:asciiTheme="minorHAnsi" w:eastAsiaTheme="minorEastAsia" w:hAnsiTheme="minorHAnsi" w:cstheme="minorBidi"/>
          <w:noProof/>
          <w:sz w:val="24"/>
          <w:szCs w:val="24"/>
          <w:lang w:val="en-AU"/>
        </w:rPr>
      </w:pPr>
      <w:r w:rsidRPr="00174DE0">
        <w:rPr>
          <w:noProof/>
        </w:rPr>
        <w:t>7.4</w:t>
      </w:r>
      <w:r>
        <w:rPr>
          <w:rFonts w:asciiTheme="minorHAnsi" w:eastAsiaTheme="minorEastAsia" w:hAnsiTheme="minorHAnsi" w:cstheme="minorBidi"/>
          <w:noProof/>
          <w:sz w:val="24"/>
          <w:szCs w:val="24"/>
          <w:lang w:val="en-AU"/>
        </w:rPr>
        <w:tab/>
      </w:r>
      <w:r>
        <w:rPr>
          <w:noProof/>
        </w:rPr>
        <w:t>The refrigerated cold food chain</w:t>
      </w:r>
      <w:r>
        <w:rPr>
          <w:noProof/>
        </w:rPr>
        <w:tab/>
      </w:r>
      <w:r>
        <w:rPr>
          <w:noProof/>
        </w:rPr>
        <w:fldChar w:fldCharType="begin"/>
      </w:r>
      <w:r>
        <w:rPr>
          <w:noProof/>
        </w:rPr>
        <w:instrText xml:space="preserve"> PAGEREF _Toc525141287 \h </w:instrText>
      </w:r>
      <w:r>
        <w:rPr>
          <w:noProof/>
        </w:rPr>
      </w:r>
      <w:r>
        <w:rPr>
          <w:noProof/>
        </w:rPr>
        <w:fldChar w:fldCharType="separate"/>
      </w:r>
      <w:r>
        <w:rPr>
          <w:noProof/>
        </w:rPr>
        <w:t>122</w:t>
      </w:r>
      <w:r>
        <w:rPr>
          <w:noProof/>
        </w:rPr>
        <w:fldChar w:fldCharType="end"/>
      </w:r>
    </w:p>
    <w:p w14:paraId="4155414D" w14:textId="044615A1" w:rsidR="000F24EB" w:rsidRDefault="000F24EB">
      <w:pPr>
        <w:pStyle w:val="TOC2"/>
        <w:rPr>
          <w:rFonts w:asciiTheme="minorHAnsi" w:eastAsiaTheme="minorEastAsia" w:hAnsiTheme="minorHAnsi" w:cstheme="minorBidi"/>
          <w:noProof/>
          <w:sz w:val="24"/>
          <w:szCs w:val="24"/>
          <w:lang w:val="en-AU"/>
        </w:rPr>
      </w:pPr>
      <w:r w:rsidRPr="00174DE0">
        <w:rPr>
          <w:noProof/>
        </w:rPr>
        <w:t>7.5</w:t>
      </w:r>
      <w:r>
        <w:rPr>
          <w:rFonts w:asciiTheme="minorHAnsi" w:eastAsiaTheme="minorEastAsia" w:hAnsiTheme="minorHAnsi" w:cstheme="minorBidi"/>
          <w:noProof/>
          <w:sz w:val="24"/>
          <w:szCs w:val="24"/>
          <w:lang w:val="en-AU"/>
        </w:rPr>
        <w:tab/>
      </w:r>
      <w:r>
        <w:rPr>
          <w:noProof/>
        </w:rPr>
        <w:t>Domestic refrigeration</w:t>
      </w:r>
      <w:r>
        <w:rPr>
          <w:noProof/>
        </w:rPr>
        <w:tab/>
      </w:r>
      <w:r>
        <w:rPr>
          <w:noProof/>
        </w:rPr>
        <w:fldChar w:fldCharType="begin"/>
      </w:r>
      <w:r>
        <w:rPr>
          <w:noProof/>
        </w:rPr>
        <w:instrText xml:space="preserve"> PAGEREF _Toc525141288 \h </w:instrText>
      </w:r>
      <w:r>
        <w:rPr>
          <w:noProof/>
        </w:rPr>
      </w:r>
      <w:r>
        <w:rPr>
          <w:noProof/>
        </w:rPr>
        <w:fldChar w:fldCharType="separate"/>
      </w:r>
      <w:r>
        <w:rPr>
          <w:noProof/>
        </w:rPr>
        <w:t>127</w:t>
      </w:r>
      <w:r>
        <w:rPr>
          <w:noProof/>
        </w:rPr>
        <w:fldChar w:fldCharType="end"/>
      </w:r>
    </w:p>
    <w:p w14:paraId="7EB6F784" w14:textId="74F467A8" w:rsidR="000F24EB" w:rsidRDefault="000F24EB">
      <w:pPr>
        <w:pStyle w:val="TOC1"/>
        <w:rPr>
          <w:rFonts w:asciiTheme="minorHAnsi" w:eastAsiaTheme="minorEastAsia" w:hAnsiTheme="minorHAnsi" w:cstheme="minorBidi"/>
          <w:b w:val="0"/>
          <w:color w:val="auto"/>
          <w:lang w:val="en-AU"/>
        </w:rPr>
      </w:pPr>
      <w:r>
        <w:t>8</w:t>
      </w:r>
      <w:r>
        <w:rPr>
          <w:rFonts w:asciiTheme="minorHAnsi" w:eastAsiaTheme="minorEastAsia" w:hAnsiTheme="minorHAnsi" w:cstheme="minorBidi"/>
          <w:b w:val="0"/>
          <w:color w:val="auto"/>
          <w:lang w:val="en-AU"/>
        </w:rPr>
        <w:tab/>
      </w:r>
      <w:r>
        <w:t>Refrigerant use and direct emissions</w:t>
      </w:r>
      <w:r>
        <w:tab/>
      </w:r>
      <w:r>
        <w:fldChar w:fldCharType="begin"/>
      </w:r>
      <w:r>
        <w:instrText xml:space="preserve"> PAGEREF _Toc525141289 \h </w:instrText>
      </w:r>
      <w:r>
        <w:fldChar w:fldCharType="separate"/>
      </w:r>
      <w:r>
        <w:t>129</w:t>
      </w:r>
      <w:r>
        <w:fldChar w:fldCharType="end"/>
      </w:r>
    </w:p>
    <w:p w14:paraId="4C428D45" w14:textId="0A3CC3E3" w:rsidR="000F24EB" w:rsidRDefault="000F24EB">
      <w:pPr>
        <w:pStyle w:val="TOC2"/>
        <w:rPr>
          <w:rFonts w:asciiTheme="minorHAnsi" w:eastAsiaTheme="minorEastAsia" w:hAnsiTheme="minorHAnsi" w:cstheme="minorBidi"/>
          <w:noProof/>
          <w:sz w:val="24"/>
          <w:szCs w:val="24"/>
          <w:lang w:val="en-AU"/>
        </w:rPr>
      </w:pPr>
      <w:r w:rsidRPr="00174DE0">
        <w:rPr>
          <w:noProof/>
        </w:rPr>
        <w:t>8.1</w:t>
      </w:r>
      <w:r>
        <w:rPr>
          <w:rFonts w:asciiTheme="minorHAnsi" w:eastAsiaTheme="minorEastAsia" w:hAnsiTheme="minorHAnsi" w:cstheme="minorBidi"/>
          <w:noProof/>
          <w:sz w:val="24"/>
          <w:szCs w:val="24"/>
          <w:lang w:val="en-AU"/>
        </w:rPr>
        <w:tab/>
      </w:r>
      <w:r>
        <w:rPr>
          <w:noProof/>
        </w:rPr>
        <w:t>Refrigerant use</w:t>
      </w:r>
      <w:r>
        <w:rPr>
          <w:noProof/>
        </w:rPr>
        <w:tab/>
      </w:r>
      <w:r>
        <w:rPr>
          <w:noProof/>
        </w:rPr>
        <w:fldChar w:fldCharType="begin"/>
      </w:r>
      <w:r>
        <w:rPr>
          <w:noProof/>
        </w:rPr>
        <w:instrText xml:space="preserve"> PAGEREF _Toc525141290 \h </w:instrText>
      </w:r>
      <w:r>
        <w:rPr>
          <w:noProof/>
        </w:rPr>
      </w:r>
      <w:r>
        <w:rPr>
          <w:noProof/>
        </w:rPr>
        <w:fldChar w:fldCharType="separate"/>
      </w:r>
      <w:r>
        <w:rPr>
          <w:noProof/>
        </w:rPr>
        <w:t>129</w:t>
      </w:r>
      <w:r>
        <w:rPr>
          <w:noProof/>
        </w:rPr>
        <w:fldChar w:fldCharType="end"/>
      </w:r>
    </w:p>
    <w:p w14:paraId="303275E5" w14:textId="601A6CF1" w:rsidR="000F24EB" w:rsidRDefault="000F24EB">
      <w:pPr>
        <w:pStyle w:val="TOC2"/>
        <w:rPr>
          <w:rFonts w:asciiTheme="minorHAnsi" w:eastAsiaTheme="minorEastAsia" w:hAnsiTheme="minorHAnsi" w:cstheme="minorBidi"/>
          <w:noProof/>
          <w:sz w:val="24"/>
          <w:szCs w:val="24"/>
          <w:lang w:val="en-AU"/>
        </w:rPr>
      </w:pPr>
      <w:r w:rsidRPr="00174DE0">
        <w:rPr>
          <w:noProof/>
        </w:rPr>
        <w:t>8.2</w:t>
      </w:r>
      <w:r>
        <w:rPr>
          <w:rFonts w:asciiTheme="minorHAnsi" w:eastAsiaTheme="minorEastAsia" w:hAnsiTheme="minorHAnsi" w:cstheme="minorBidi"/>
          <w:noProof/>
          <w:sz w:val="24"/>
          <w:szCs w:val="24"/>
          <w:lang w:val="en-AU"/>
        </w:rPr>
        <w:tab/>
      </w:r>
      <w:r>
        <w:rPr>
          <w:noProof/>
        </w:rPr>
        <w:t>Refrigerant usage 2006 to 2016</w:t>
      </w:r>
      <w:r>
        <w:rPr>
          <w:noProof/>
        </w:rPr>
        <w:tab/>
      </w:r>
      <w:r>
        <w:rPr>
          <w:noProof/>
        </w:rPr>
        <w:fldChar w:fldCharType="begin"/>
      </w:r>
      <w:r>
        <w:rPr>
          <w:noProof/>
        </w:rPr>
        <w:instrText xml:space="preserve"> PAGEREF _Toc525141291 \h </w:instrText>
      </w:r>
      <w:r>
        <w:rPr>
          <w:noProof/>
        </w:rPr>
      </w:r>
      <w:r>
        <w:rPr>
          <w:noProof/>
        </w:rPr>
        <w:fldChar w:fldCharType="separate"/>
      </w:r>
      <w:r>
        <w:rPr>
          <w:noProof/>
        </w:rPr>
        <w:t>130</w:t>
      </w:r>
      <w:r>
        <w:rPr>
          <w:noProof/>
        </w:rPr>
        <w:fldChar w:fldCharType="end"/>
      </w:r>
    </w:p>
    <w:p w14:paraId="1AE1A643" w14:textId="7A0C34A2" w:rsidR="000F24EB" w:rsidRDefault="000F24EB">
      <w:pPr>
        <w:pStyle w:val="TOC2"/>
        <w:rPr>
          <w:rFonts w:asciiTheme="minorHAnsi" w:eastAsiaTheme="minorEastAsia" w:hAnsiTheme="minorHAnsi" w:cstheme="minorBidi"/>
          <w:noProof/>
          <w:sz w:val="24"/>
          <w:szCs w:val="24"/>
          <w:lang w:val="en-AU"/>
        </w:rPr>
      </w:pPr>
      <w:r w:rsidRPr="00174DE0">
        <w:rPr>
          <w:noProof/>
        </w:rPr>
        <w:t>8.3</w:t>
      </w:r>
      <w:r>
        <w:rPr>
          <w:rFonts w:asciiTheme="minorHAnsi" w:eastAsiaTheme="minorEastAsia" w:hAnsiTheme="minorHAnsi" w:cstheme="minorBidi"/>
          <w:noProof/>
          <w:sz w:val="24"/>
          <w:szCs w:val="24"/>
          <w:lang w:val="en-AU"/>
        </w:rPr>
        <w:tab/>
      </w:r>
      <w:r>
        <w:rPr>
          <w:noProof/>
        </w:rPr>
        <w:t>Refrigerant use projection from 2016 to 2030</w:t>
      </w:r>
      <w:r>
        <w:rPr>
          <w:noProof/>
        </w:rPr>
        <w:tab/>
      </w:r>
      <w:r>
        <w:rPr>
          <w:noProof/>
        </w:rPr>
        <w:fldChar w:fldCharType="begin"/>
      </w:r>
      <w:r>
        <w:rPr>
          <w:noProof/>
        </w:rPr>
        <w:instrText xml:space="preserve"> PAGEREF _Toc525141292 \h </w:instrText>
      </w:r>
      <w:r>
        <w:rPr>
          <w:noProof/>
        </w:rPr>
      </w:r>
      <w:r>
        <w:rPr>
          <w:noProof/>
        </w:rPr>
        <w:fldChar w:fldCharType="separate"/>
      </w:r>
      <w:r>
        <w:rPr>
          <w:noProof/>
        </w:rPr>
        <w:t>132</w:t>
      </w:r>
      <w:r>
        <w:rPr>
          <w:noProof/>
        </w:rPr>
        <w:fldChar w:fldCharType="end"/>
      </w:r>
    </w:p>
    <w:p w14:paraId="5DB42A89" w14:textId="68F26E82" w:rsidR="000F24EB" w:rsidRDefault="000F24EB">
      <w:pPr>
        <w:pStyle w:val="TOC2"/>
        <w:rPr>
          <w:rFonts w:asciiTheme="minorHAnsi" w:eastAsiaTheme="minorEastAsia" w:hAnsiTheme="minorHAnsi" w:cstheme="minorBidi"/>
          <w:noProof/>
          <w:sz w:val="24"/>
          <w:szCs w:val="24"/>
          <w:lang w:val="en-AU"/>
        </w:rPr>
      </w:pPr>
      <w:r w:rsidRPr="00174DE0">
        <w:rPr>
          <w:noProof/>
        </w:rPr>
        <w:t>8.4</w:t>
      </w:r>
      <w:r>
        <w:rPr>
          <w:rFonts w:asciiTheme="minorHAnsi" w:eastAsiaTheme="minorEastAsia" w:hAnsiTheme="minorHAnsi" w:cstheme="minorBidi"/>
          <w:noProof/>
          <w:sz w:val="24"/>
          <w:szCs w:val="24"/>
          <w:lang w:val="en-AU"/>
        </w:rPr>
        <w:tab/>
      </w:r>
      <w:r>
        <w:rPr>
          <w:noProof/>
        </w:rPr>
        <w:t>Service rates</w:t>
      </w:r>
      <w:r>
        <w:rPr>
          <w:noProof/>
        </w:rPr>
        <w:tab/>
      </w:r>
      <w:r>
        <w:rPr>
          <w:noProof/>
        </w:rPr>
        <w:fldChar w:fldCharType="begin"/>
      </w:r>
      <w:r>
        <w:rPr>
          <w:noProof/>
        </w:rPr>
        <w:instrText xml:space="preserve"> PAGEREF _Toc525141293 \h </w:instrText>
      </w:r>
      <w:r>
        <w:rPr>
          <w:noProof/>
        </w:rPr>
      </w:r>
      <w:r>
        <w:rPr>
          <w:noProof/>
        </w:rPr>
        <w:fldChar w:fldCharType="separate"/>
      </w:r>
      <w:r>
        <w:rPr>
          <w:noProof/>
        </w:rPr>
        <w:t>134</w:t>
      </w:r>
      <w:r>
        <w:rPr>
          <w:noProof/>
        </w:rPr>
        <w:fldChar w:fldCharType="end"/>
      </w:r>
    </w:p>
    <w:p w14:paraId="63D0AD92" w14:textId="0725A166" w:rsidR="000F24EB" w:rsidRDefault="000F24EB">
      <w:pPr>
        <w:pStyle w:val="TOC2"/>
        <w:rPr>
          <w:rFonts w:asciiTheme="minorHAnsi" w:eastAsiaTheme="minorEastAsia" w:hAnsiTheme="minorHAnsi" w:cstheme="minorBidi"/>
          <w:noProof/>
          <w:sz w:val="24"/>
          <w:szCs w:val="24"/>
          <w:lang w:val="en-AU"/>
        </w:rPr>
      </w:pPr>
      <w:r w:rsidRPr="00174DE0">
        <w:rPr>
          <w:noProof/>
        </w:rPr>
        <w:t>8.5</w:t>
      </w:r>
      <w:r>
        <w:rPr>
          <w:rFonts w:asciiTheme="minorHAnsi" w:eastAsiaTheme="minorEastAsia" w:hAnsiTheme="minorHAnsi" w:cstheme="minorBidi"/>
          <w:noProof/>
          <w:sz w:val="24"/>
          <w:szCs w:val="24"/>
          <w:lang w:val="en-AU"/>
        </w:rPr>
        <w:tab/>
      </w:r>
      <w:r>
        <w:rPr>
          <w:noProof/>
        </w:rPr>
        <w:t>Refrigerant leaks</w:t>
      </w:r>
      <w:r>
        <w:rPr>
          <w:noProof/>
        </w:rPr>
        <w:tab/>
      </w:r>
      <w:r>
        <w:rPr>
          <w:noProof/>
        </w:rPr>
        <w:fldChar w:fldCharType="begin"/>
      </w:r>
      <w:r>
        <w:rPr>
          <w:noProof/>
        </w:rPr>
        <w:instrText xml:space="preserve"> PAGEREF _Toc525141294 \h </w:instrText>
      </w:r>
      <w:r>
        <w:rPr>
          <w:noProof/>
        </w:rPr>
      </w:r>
      <w:r>
        <w:rPr>
          <w:noProof/>
        </w:rPr>
        <w:fldChar w:fldCharType="separate"/>
      </w:r>
      <w:r>
        <w:rPr>
          <w:noProof/>
        </w:rPr>
        <w:t>135</w:t>
      </w:r>
      <w:r>
        <w:rPr>
          <w:noProof/>
        </w:rPr>
        <w:fldChar w:fldCharType="end"/>
      </w:r>
    </w:p>
    <w:p w14:paraId="579FB824" w14:textId="2E251763" w:rsidR="000F24EB" w:rsidRDefault="000F24EB">
      <w:pPr>
        <w:pStyle w:val="TOC2"/>
        <w:rPr>
          <w:rFonts w:asciiTheme="minorHAnsi" w:eastAsiaTheme="minorEastAsia" w:hAnsiTheme="minorHAnsi" w:cstheme="minorBidi"/>
          <w:noProof/>
          <w:sz w:val="24"/>
          <w:szCs w:val="24"/>
          <w:lang w:val="en-AU"/>
        </w:rPr>
      </w:pPr>
      <w:r w:rsidRPr="00174DE0">
        <w:rPr>
          <w:noProof/>
        </w:rPr>
        <w:t>8.6</w:t>
      </w:r>
      <w:r>
        <w:rPr>
          <w:rFonts w:asciiTheme="minorHAnsi" w:eastAsiaTheme="minorEastAsia" w:hAnsiTheme="minorHAnsi" w:cstheme="minorBidi"/>
          <w:noProof/>
          <w:sz w:val="24"/>
          <w:szCs w:val="24"/>
          <w:lang w:val="en-AU"/>
        </w:rPr>
        <w:tab/>
      </w:r>
      <w:r>
        <w:rPr>
          <w:noProof/>
        </w:rPr>
        <w:t>Direct emissions estimates and projections</w:t>
      </w:r>
      <w:r>
        <w:rPr>
          <w:noProof/>
        </w:rPr>
        <w:tab/>
      </w:r>
      <w:r>
        <w:rPr>
          <w:noProof/>
        </w:rPr>
        <w:fldChar w:fldCharType="begin"/>
      </w:r>
      <w:r>
        <w:rPr>
          <w:noProof/>
        </w:rPr>
        <w:instrText xml:space="preserve"> PAGEREF _Toc525141295 \h </w:instrText>
      </w:r>
      <w:r>
        <w:rPr>
          <w:noProof/>
        </w:rPr>
      </w:r>
      <w:r>
        <w:rPr>
          <w:noProof/>
        </w:rPr>
        <w:fldChar w:fldCharType="separate"/>
      </w:r>
      <w:r>
        <w:rPr>
          <w:noProof/>
        </w:rPr>
        <w:t>136</w:t>
      </w:r>
      <w:r>
        <w:rPr>
          <w:noProof/>
        </w:rPr>
        <w:fldChar w:fldCharType="end"/>
      </w:r>
    </w:p>
    <w:p w14:paraId="256831D1" w14:textId="55875B39" w:rsidR="000F24EB" w:rsidRDefault="000F24EB">
      <w:pPr>
        <w:pStyle w:val="TOC2"/>
        <w:rPr>
          <w:rFonts w:asciiTheme="minorHAnsi" w:eastAsiaTheme="minorEastAsia" w:hAnsiTheme="minorHAnsi" w:cstheme="minorBidi"/>
          <w:noProof/>
          <w:sz w:val="24"/>
          <w:szCs w:val="24"/>
          <w:lang w:val="en-AU"/>
        </w:rPr>
      </w:pPr>
      <w:r w:rsidRPr="00174DE0">
        <w:rPr>
          <w:noProof/>
        </w:rPr>
        <w:t>8.7</w:t>
      </w:r>
      <w:r>
        <w:rPr>
          <w:rFonts w:asciiTheme="minorHAnsi" w:eastAsiaTheme="minorEastAsia" w:hAnsiTheme="minorHAnsi" w:cstheme="minorBidi"/>
          <w:noProof/>
          <w:sz w:val="24"/>
          <w:szCs w:val="24"/>
          <w:lang w:val="en-AU"/>
        </w:rPr>
        <w:tab/>
      </w:r>
      <w:r>
        <w:rPr>
          <w:noProof/>
        </w:rPr>
        <w:t>End-of-life emissions and refrigerant recovery</w:t>
      </w:r>
      <w:r>
        <w:rPr>
          <w:noProof/>
        </w:rPr>
        <w:tab/>
      </w:r>
      <w:r>
        <w:rPr>
          <w:noProof/>
        </w:rPr>
        <w:fldChar w:fldCharType="begin"/>
      </w:r>
      <w:r>
        <w:rPr>
          <w:noProof/>
        </w:rPr>
        <w:instrText xml:space="preserve"> PAGEREF _Toc525141296 \h </w:instrText>
      </w:r>
      <w:r>
        <w:rPr>
          <w:noProof/>
        </w:rPr>
      </w:r>
      <w:r>
        <w:rPr>
          <w:noProof/>
        </w:rPr>
        <w:fldChar w:fldCharType="separate"/>
      </w:r>
      <w:r>
        <w:rPr>
          <w:noProof/>
        </w:rPr>
        <w:t>142</w:t>
      </w:r>
      <w:r>
        <w:rPr>
          <w:noProof/>
        </w:rPr>
        <w:fldChar w:fldCharType="end"/>
      </w:r>
    </w:p>
    <w:p w14:paraId="294BF89E" w14:textId="4B719BE3" w:rsidR="000F24EB" w:rsidRDefault="000F24EB">
      <w:pPr>
        <w:pStyle w:val="TOC3"/>
        <w:rPr>
          <w:rFonts w:asciiTheme="minorHAnsi" w:eastAsiaTheme="minorEastAsia" w:hAnsiTheme="minorHAnsi" w:cstheme="minorBidi"/>
          <w:i w:val="0"/>
          <w:noProof/>
          <w:sz w:val="24"/>
          <w:szCs w:val="24"/>
          <w:lang w:val="en-AU"/>
        </w:rPr>
      </w:pPr>
      <w:r>
        <w:rPr>
          <w:noProof/>
        </w:rPr>
        <w:t>8.7.1</w:t>
      </w:r>
      <w:r>
        <w:rPr>
          <w:rFonts w:asciiTheme="minorHAnsi" w:eastAsiaTheme="minorEastAsia" w:hAnsiTheme="minorHAnsi" w:cstheme="minorBidi"/>
          <w:i w:val="0"/>
          <w:noProof/>
          <w:sz w:val="24"/>
          <w:szCs w:val="24"/>
          <w:lang w:val="en-AU"/>
        </w:rPr>
        <w:tab/>
      </w:r>
      <w:r>
        <w:rPr>
          <w:noProof/>
        </w:rPr>
        <w:t>End-of-life emissions</w:t>
      </w:r>
      <w:r>
        <w:rPr>
          <w:noProof/>
        </w:rPr>
        <w:tab/>
      </w:r>
      <w:r>
        <w:rPr>
          <w:noProof/>
        </w:rPr>
        <w:fldChar w:fldCharType="begin"/>
      </w:r>
      <w:r>
        <w:rPr>
          <w:noProof/>
        </w:rPr>
        <w:instrText xml:space="preserve"> PAGEREF _Toc525141297 \h </w:instrText>
      </w:r>
      <w:r>
        <w:rPr>
          <w:noProof/>
        </w:rPr>
      </w:r>
      <w:r>
        <w:rPr>
          <w:noProof/>
        </w:rPr>
        <w:fldChar w:fldCharType="separate"/>
      </w:r>
      <w:r>
        <w:rPr>
          <w:noProof/>
        </w:rPr>
        <w:t>142</w:t>
      </w:r>
      <w:r>
        <w:rPr>
          <w:noProof/>
        </w:rPr>
        <w:fldChar w:fldCharType="end"/>
      </w:r>
    </w:p>
    <w:p w14:paraId="628D8922" w14:textId="5E1E2277" w:rsidR="000F24EB" w:rsidRDefault="000F24EB">
      <w:pPr>
        <w:pStyle w:val="TOC3"/>
        <w:rPr>
          <w:rFonts w:asciiTheme="minorHAnsi" w:eastAsiaTheme="minorEastAsia" w:hAnsiTheme="minorHAnsi" w:cstheme="minorBidi"/>
          <w:i w:val="0"/>
          <w:noProof/>
          <w:sz w:val="24"/>
          <w:szCs w:val="24"/>
          <w:lang w:val="en-AU"/>
        </w:rPr>
      </w:pPr>
      <w:r>
        <w:rPr>
          <w:noProof/>
        </w:rPr>
        <w:t>8.7.2</w:t>
      </w:r>
      <w:r>
        <w:rPr>
          <w:rFonts w:asciiTheme="minorHAnsi" w:eastAsiaTheme="minorEastAsia" w:hAnsiTheme="minorHAnsi" w:cstheme="minorBidi"/>
          <w:i w:val="0"/>
          <w:noProof/>
          <w:sz w:val="24"/>
          <w:szCs w:val="24"/>
          <w:lang w:val="en-AU"/>
        </w:rPr>
        <w:tab/>
      </w:r>
      <w:r>
        <w:rPr>
          <w:noProof/>
        </w:rPr>
        <w:t>Refrigerant Reclaim Australia data</w:t>
      </w:r>
      <w:r>
        <w:rPr>
          <w:noProof/>
        </w:rPr>
        <w:tab/>
      </w:r>
      <w:r>
        <w:rPr>
          <w:noProof/>
        </w:rPr>
        <w:fldChar w:fldCharType="begin"/>
      </w:r>
      <w:r>
        <w:rPr>
          <w:noProof/>
        </w:rPr>
        <w:instrText xml:space="preserve"> PAGEREF _Toc525141298 \h </w:instrText>
      </w:r>
      <w:r>
        <w:rPr>
          <w:noProof/>
        </w:rPr>
      </w:r>
      <w:r>
        <w:rPr>
          <w:noProof/>
        </w:rPr>
        <w:fldChar w:fldCharType="separate"/>
      </w:r>
      <w:r>
        <w:rPr>
          <w:noProof/>
        </w:rPr>
        <w:t>145</w:t>
      </w:r>
      <w:r>
        <w:rPr>
          <w:noProof/>
        </w:rPr>
        <w:fldChar w:fldCharType="end"/>
      </w:r>
    </w:p>
    <w:p w14:paraId="6AD2BEFB" w14:textId="729433AD" w:rsidR="000F24EB" w:rsidRDefault="000F24EB">
      <w:pPr>
        <w:pStyle w:val="TOC1"/>
        <w:rPr>
          <w:rFonts w:asciiTheme="minorHAnsi" w:eastAsiaTheme="minorEastAsia" w:hAnsiTheme="minorHAnsi" w:cstheme="minorBidi"/>
          <w:b w:val="0"/>
          <w:color w:val="auto"/>
          <w:lang w:val="en-AU"/>
        </w:rPr>
      </w:pPr>
      <w:r>
        <w:t>9</w:t>
      </w:r>
      <w:r>
        <w:rPr>
          <w:rFonts w:asciiTheme="minorHAnsi" w:eastAsiaTheme="minorEastAsia" w:hAnsiTheme="minorHAnsi" w:cstheme="minorBidi"/>
          <w:b w:val="0"/>
          <w:color w:val="auto"/>
          <w:lang w:val="en-AU"/>
        </w:rPr>
        <w:tab/>
      </w:r>
      <w:r>
        <w:t>Energy and indirect emissions</w:t>
      </w:r>
      <w:r>
        <w:tab/>
      </w:r>
      <w:r>
        <w:fldChar w:fldCharType="begin"/>
      </w:r>
      <w:r>
        <w:instrText xml:space="preserve"> PAGEREF _Toc525141299 \h </w:instrText>
      </w:r>
      <w:r>
        <w:fldChar w:fldCharType="separate"/>
      </w:r>
      <w:r>
        <w:t>147</w:t>
      </w:r>
      <w:r>
        <w:fldChar w:fldCharType="end"/>
      </w:r>
    </w:p>
    <w:p w14:paraId="31F59706" w14:textId="41583B42" w:rsidR="000F24EB" w:rsidRDefault="000F24EB">
      <w:pPr>
        <w:pStyle w:val="TOC2"/>
        <w:rPr>
          <w:rFonts w:asciiTheme="minorHAnsi" w:eastAsiaTheme="minorEastAsia" w:hAnsiTheme="minorHAnsi" w:cstheme="minorBidi"/>
          <w:noProof/>
          <w:sz w:val="24"/>
          <w:szCs w:val="24"/>
          <w:lang w:val="en-AU"/>
        </w:rPr>
      </w:pPr>
      <w:r w:rsidRPr="00174DE0">
        <w:rPr>
          <w:noProof/>
        </w:rPr>
        <w:t>9.1</w:t>
      </w:r>
      <w:r>
        <w:rPr>
          <w:rFonts w:asciiTheme="minorHAnsi" w:eastAsiaTheme="minorEastAsia" w:hAnsiTheme="minorHAnsi" w:cstheme="minorBidi"/>
          <w:noProof/>
          <w:sz w:val="24"/>
          <w:szCs w:val="24"/>
          <w:lang w:val="en-AU"/>
        </w:rPr>
        <w:tab/>
      </w:r>
      <w:r>
        <w:rPr>
          <w:noProof/>
        </w:rPr>
        <w:t>National energy consumption</w:t>
      </w:r>
      <w:r>
        <w:rPr>
          <w:noProof/>
        </w:rPr>
        <w:tab/>
      </w:r>
      <w:r>
        <w:rPr>
          <w:noProof/>
        </w:rPr>
        <w:fldChar w:fldCharType="begin"/>
      </w:r>
      <w:r>
        <w:rPr>
          <w:noProof/>
        </w:rPr>
        <w:instrText xml:space="preserve"> PAGEREF _Toc525141300 \h </w:instrText>
      </w:r>
      <w:r>
        <w:rPr>
          <w:noProof/>
        </w:rPr>
      </w:r>
      <w:r>
        <w:rPr>
          <w:noProof/>
        </w:rPr>
        <w:fldChar w:fldCharType="separate"/>
      </w:r>
      <w:r>
        <w:rPr>
          <w:noProof/>
        </w:rPr>
        <w:t>147</w:t>
      </w:r>
      <w:r>
        <w:rPr>
          <w:noProof/>
        </w:rPr>
        <w:fldChar w:fldCharType="end"/>
      </w:r>
    </w:p>
    <w:p w14:paraId="35AF9420" w14:textId="09EE3183" w:rsidR="000F24EB" w:rsidRDefault="000F24EB">
      <w:pPr>
        <w:pStyle w:val="TOC2"/>
        <w:rPr>
          <w:rFonts w:asciiTheme="minorHAnsi" w:eastAsiaTheme="minorEastAsia" w:hAnsiTheme="minorHAnsi" w:cstheme="minorBidi"/>
          <w:noProof/>
          <w:sz w:val="24"/>
          <w:szCs w:val="24"/>
          <w:lang w:val="en-AU"/>
        </w:rPr>
      </w:pPr>
      <w:r w:rsidRPr="00174DE0">
        <w:rPr>
          <w:noProof/>
        </w:rPr>
        <w:t>9.2</w:t>
      </w:r>
      <w:r>
        <w:rPr>
          <w:rFonts w:asciiTheme="minorHAnsi" w:eastAsiaTheme="minorEastAsia" w:hAnsiTheme="minorHAnsi" w:cstheme="minorBidi"/>
          <w:noProof/>
          <w:sz w:val="24"/>
          <w:szCs w:val="24"/>
          <w:lang w:val="en-AU"/>
        </w:rPr>
        <w:tab/>
      </w:r>
      <w:r>
        <w:rPr>
          <w:noProof/>
        </w:rPr>
        <w:t>Indirect emissions and total emissions</w:t>
      </w:r>
      <w:r>
        <w:rPr>
          <w:noProof/>
        </w:rPr>
        <w:tab/>
      </w:r>
      <w:r>
        <w:rPr>
          <w:noProof/>
        </w:rPr>
        <w:fldChar w:fldCharType="begin"/>
      </w:r>
      <w:r>
        <w:rPr>
          <w:noProof/>
        </w:rPr>
        <w:instrText xml:space="preserve"> PAGEREF _Toc525141301 \h </w:instrText>
      </w:r>
      <w:r>
        <w:rPr>
          <w:noProof/>
        </w:rPr>
      </w:r>
      <w:r>
        <w:rPr>
          <w:noProof/>
        </w:rPr>
        <w:fldChar w:fldCharType="separate"/>
      </w:r>
      <w:r>
        <w:rPr>
          <w:noProof/>
        </w:rPr>
        <w:t>149</w:t>
      </w:r>
      <w:r>
        <w:rPr>
          <w:noProof/>
        </w:rPr>
        <w:fldChar w:fldCharType="end"/>
      </w:r>
    </w:p>
    <w:p w14:paraId="2BD26C63" w14:textId="2FF4B9D4" w:rsidR="000F24EB" w:rsidRDefault="000F24EB">
      <w:pPr>
        <w:pStyle w:val="TOC1"/>
        <w:rPr>
          <w:rFonts w:asciiTheme="minorHAnsi" w:eastAsiaTheme="minorEastAsia" w:hAnsiTheme="minorHAnsi" w:cstheme="minorBidi"/>
          <w:b w:val="0"/>
          <w:color w:val="auto"/>
          <w:lang w:val="en-AU"/>
        </w:rPr>
      </w:pPr>
      <w:r>
        <w:t>10</w:t>
      </w:r>
      <w:r>
        <w:rPr>
          <w:rFonts w:asciiTheme="minorHAnsi" w:eastAsiaTheme="minorEastAsia" w:hAnsiTheme="minorHAnsi" w:cstheme="minorBidi"/>
          <w:b w:val="0"/>
          <w:color w:val="auto"/>
          <w:lang w:val="en-AU"/>
        </w:rPr>
        <w:tab/>
      </w:r>
      <w:r>
        <w:t>Economics and employment</w:t>
      </w:r>
      <w:r>
        <w:tab/>
      </w:r>
      <w:r>
        <w:fldChar w:fldCharType="begin"/>
      </w:r>
      <w:r>
        <w:instrText xml:space="preserve"> PAGEREF _Toc525141302 \h </w:instrText>
      </w:r>
      <w:r>
        <w:fldChar w:fldCharType="separate"/>
      </w:r>
      <w:r>
        <w:t>153</w:t>
      </w:r>
      <w:r>
        <w:fldChar w:fldCharType="end"/>
      </w:r>
    </w:p>
    <w:p w14:paraId="4294E6DC" w14:textId="61A4A0D1" w:rsidR="000F24EB" w:rsidRDefault="000F24EB">
      <w:pPr>
        <w:pStyle w:val="TOC2"/>
        <w:rPr>
          <w:rFonts w:asciiTheme="minorHAnsi" w:eastAsiaTheme="minorEastAsia" w:hAnsiTheme="minorHAnsi" w:cstheme="minorBidi"/>
          <w:noProof/>
          <w:sz w:val="24"/>
          <w:szCs w:val="24"/>
          <w:lang w:val="en-AU"/>
        </w:rPr>
      </w:pPr>
      <w:r w:rsidRPr="00174DE0">
        <w:rPr>
          <w:noProof/>
        </w:rPr>
        <w:t>10.1</w:t>
      </w:r>
      <w:r>
        <w:rPr>
          <w:rFonts w:asciiTheme="minorHAnsi" w:eastAsiaTheme="minorEastAsia" w:hAnsiTheme="minorHAnsi" w:cstheme="minorBidi"/>
          <w:noProof/>
          <w:sz w:val="24"/>
          <w:szCs w:val="24"/>
          <w:lang w:val="en-AU"/>
        </w:rPr>
        <w:tab/>
      </w:r>
      <w:r>
        <w:rPr>
          <w:noProof/>
        </w:rPr>
        <w:t>Structure of the industry</w:t>
      </w:r>
      <w:r>
        <w:rPr>
          <w:noProof/>
        </w:rPr>
        <w:tab/>
      </w:r>
      <w:r>
        <w:rPr>
          <w:noProof/>
        </w:rPr>
        <w:fldChar w:fldCharType="begin"/>
      </w:r>
      <w:r>
        <w:rPr>
          <w:noProof/>
        </w:rPr>
        <w:instrText xml:space="preserve"> PAGEREF _Toc525141303 \h </w:instrText>
      </w:r>
      <w:r>
        <w:rPr>
          <w:noProof/>
        </w:rPr>
      </w:r>
      <w:r>
        <w:rPr>
          <w:noProof/>
        </w:rPr>
        <w:fldChar w:fldCharType="separate"/>
      </w:r>
      <w:r>
        <w:rPr>
          <w:noProof/>
        </w:rPr>
        <w:t>153</w:t>
      </w:r>
      <w:r>
        <w:rPr>
          <w:noProof/>
        </w:rPr>
        <w:fldChar w:fldCharType="end"/>
      </w:r>
    </w:p>
    <w:p w14:paraId="6569580B" w14:textId="3B88E09E" w:rsidR="000F24EB" w:rsidRDefault="000F24EB">
      <w:pPr>
        <w:pStyle w:val="TOC2"/>
        <w:rPr>
          <w:rFonts w:asciiTheme="minorHAnsi" w:eastAsiaTheme="minorEastAsia" w:hAnsiTheme="minorHAnsi" w:cstheme="minorBidi"/>
          <w:noProof/>
          <w:sz w:val="24"/>
          <w:szCs w:val="24"/>
          <w:lang w:val="en-AU"/>
        </w:rPr>
      </w:pPr>
      <w:r w:rsidRPr="00174DE0">
        <w:rPr>
          <w:noProof/>
        </w:rPr>
        <w:t>10.2</w:t>
      </w:r>
      <w:r>
        <w:rPr>
          <w:rFonts w:asciiTheme="minorHAnsi" w:eastAsiaTheme="minorEastAsia" w:hAnsiTheme="minorHAnsi" w:cstheme="minorBidi"/>
          <w:noProof/>
          <w:sz w:val="24"/>
          <w:szCs w:val="24"/>
          <w:lang w:val="en-AU"/>
        </w:rPr>
        <w:tab/>
      </w:r>
      <w:r>
        <w:rPr>
          <w:noProof/>
        </w:rPr>
        <w:t>Supply lines</w:t>
      </w:r>
      <w:r>
        <w:rPr>
          <w:noProof/>
        </w:rPr>
        <w:tab/>
      </w:r>
      <w:r>
        <w:rPr>
          <w:noProof/>
        </w:rPr>
        <w:fldChar w:fldCharType="begin"/>
      </w:r>
      <w:r>
        <w:rPr>
          <w:noProof/>
        </w:rPr>
        <w:instrText xml:space="preserve"> PAGEREF _Toc525141304 \h </w:instrText>
      </w:r>
      <w:r>
        <w:rPr>
          <w:noProof/>
        </w:rPr>
      </w:r>
      <w:r>
        <w:rPr>
          <w:noProof/>
        </w:rPr>
        <w:fldChar w:fldCharType="separate"/>
      </w:r>
      <w:r>
        <w:rPr>
          <w:noProof/>
        </w:rPr>
        <w:t>153</w:t>
      </w:r>
      <w:r>
        <w:rPr>
          <w:noProof/>
        </w:rPr>
        <w:fldChar w:fldCharType="end"/>
      </w:r>
    </w:p>
    <w:p w14:paraId="15637AD6" w14:textId="6F9025F0" w:rsidR="000F24EB" w:rsidRDefault="000F24EB">
      <w:pPr>
        <w:pStyle w:val="TOC2"/>
        <w:rPr>
          <w:rFonts w:asciiTheme="minorHAnsi" w:eastAsiaTheme="minorEastAsia" w:hAnsiTheme="minorHAnsi" w:cstheme="minorBidi"/>
          <w:noProof/>
          <w:sz w:val="24"/>
          <w:szCs w:val="24"/>
          <w:lang w:val="en-AU"/>
        </w:rPr>
      </w:pPr>
      <w:r w:rsidRPr="00174DE0">
        <w:rPr>
          <w:noProof/>
        </w:rPr>
        <w:t>10.3</w:t>
      </w:r>
      <w:r>
        <w:rPr>
          <w:rFonts w:asciiTheme="minorHAnsi" w:eastAsiaTheme="minorEastAsia" w:hAnsiTheme="minorHAnsi" w:cstheme="minorBidi"/>
          <w:noProof/>
          <w:sz w:val="24"/>
          <w:szCs w:val="24"/>
          <w:lang w:val="en-AU"/>
        </w:rPr>
        <w:tab/>
      </w:r>
      <w:r>
        <w:rPr>
          <w:noProof/>
        </w:rPr>
        <w:t>Indicators of value</w:t>
      </w:r>
      <w:r>
        <w:rPr>
          <w:noProof/>
        </w:rPr>
        <w:tab/>
      </w:r>
      <w:r>
        <w:rPr>
          <w:noProof/>
        </w:rPr>
        <w:fldChar w:fldCharType="begin"/>
      </w:r>
      <w:r>
        <w:rPr>
          <w:noProof/>
        </w:rPr>
        <w:instrText xml:space="preserve"> PAGEREF _Toc525141305 \h </w:instrText>
      </w:r>
      <w:r>
        <w:rPr>
          <w:noProof/>
        </w:rPr>
      </w:r>
      <w:r>
        <w:rPr>
          <w:noProof/>
        </w:rPr>
        <w:fldChar w:fldCharType="separate"/>
      </w:r>
      <w:r>
        <w:rPr>
          <w:noProof/>
        </w:rPr>
        <w:t>154</w:t>
      </w:r>
      <w:r>
        <w:rPr>
          <w:noProof/>
        </w:rPr>
        <w:fldChar w:fldCharType="end"/>
      </w:r>
    </w:p>
    <w:p w14:paraId="246C193E" w14:textId="6CBF200F" w:rsidR="000F24EB" w:rsidRDefault="000F24EB">
      <w:pPr>
        <w:pStyle w:val="TOC1"/>
        <w:rPr>
          <w:rFonts w:asciiTheme="minorHAnsi" w:eastAsiaTheme="minorEastAsia" w:hAnsiTheme="minorHAnsi" w:cstheme="minorBidi"/>
          <w:b w:val="0"/>
          <w:color w:val="auto"/>
          <w:lang w:val="en-AU"/>
        </w:rPr>
      </w:pPr>
      <w:r>
        <w:t>Acknowledgements</w:t>
      </w:r>
      <w:r>
        <w:tab/>
      </w:r>
      <w:r>
        <w:fldChar w:fldCharType="begin"/>
      </w:r>
      <w:r>
        <w:instrText xml:space="preserve"> PAGEREF _Toc525141306 \h </w:instrText>
      </w:r>
      <w:r>
        <w:fldChar w:fldCharType="separate"/>
      </w:r>
      <w:r>
        <w:t>166</w:t>
      </w:r>
      <w:r>
        <w:fldChar w:fldCharType="end"/>
      </w:r>
    </w:p>
    <w:p w14:paraId="62112D86" w14:textId="744758F6" w:rsidR="000F24EB" w:rsidRDefault="000F24EB">
      <w:pPr>
        <w:pStyle w:val="TOC1"/>
        <w:rPr>
          <w:rFonts w:asciiTheme="minorHAnsi" w:eastAsiaTheme="minorEastAsia" w:hAnsiTheme="minorHAnsi" w:cstheme="minorBidi"/>
          <w:b w:val="0"/>
          <w:color w:val="auto"/>
          <w:lang w:val="en-AU"/>
        </w:rPr>
      </w:pPr>
      <w:r>
        <w:t>References</w:t>
      </w:r>
      <w:r>
        <w:tab/>
      </w:r>
      <w:r>
        <w:fldChar w:fldCharType="begin"/>
      </w:r>
      <w:r>
        <w:instrText xml:space="preserve"> PAGEREF _Toc525141307 \h </w:instrText>
      </w:r>
      <w:r>
        <w:fldChar w:fldCharType="separate"/>
      </w:r>
      <w:r>
        <w:t>167</w:t>
      </w:r>
      <w:r>
        <w:fldChar w:fldCharType="end"/>
      </w:r>
    </w:p>
    <w:p w14:paraId="480C4AE4" w14:textId="24D0548A" w:rsidR="000F24EB" w:rsidRDefault="000F24EB">
      <w:pPr>
        <w:pStyle w:val="TOC1"/>
        <w:rPr>
          <w:rFonts w:asciiTheme="minorHAnsi" w:eastAsiaTheme="minorEastAsia" w:hAnsiTheme="minorHAnsi" w:cstheme="minorBidi"/>
          <w:b w:val="0"/>
          <w:color w:val="auto"/>
          <w:lang w:val="en-AU"/>
        </w:rPr>
      </w:pPr>
      <w:r>
        <w:t>11</w:t>
      </w:r>
      <w:r>
        <w:rPr>
          <w:rFonts w:asciiTheme="minorHAnsi" w:eastAsiaTheme="minorEastAsia" w:hAnsiTheme="minorHAnsi" w:cstheme="minorBidi"/>
          <w:b w:val="0"/>
          <w:color w:val="auto"/>
          <w:lang w:val="en-AU"/>
        </w:rPr>
        <w:tab/>
      </w:r>
      <w:r>
        <w:t>Appendix A: Methodology – Taxonomy, data and assumptions</w:t>
      </w:r>
      <w:r>
        <w:tab/>
      </w:r>
      <w:r>
        <w:fldChar w:fldCharType="begin"/>
      </w:r>
      <w:r>
        <w:instrText xml:space="preserve"> PAGEREF _Toc525141308 \h </w:instrText>
      </w:r>
      <w:r>
        <w:fldChar w:fldCharType="separate"/>
      </w:r>
      <w:r>
        <w:t>170</w:t>
      </w:r>
      <w:r>
        <w:fldChar w:fldCharType="end"/>
      </w:r>
    </w:p>
    <w:p w14:paraId="1AA1E52C" w14:textId="5904E0E9" w:rsidR="000F24EB" w:rsidRDefault="000F24EB">
      <w:pPr>
        <w:pStyle w:val="TOC2"/>
        <w:rPr>
          <w:rFonts w:asciiTheme="minorHAnsi" w:eastAsiaTheme="minorEastAsia" w:hAnsiTheme="minorHAnsi" w:cstheme="minorBidi"/>
          <w:noProof/>
          <w:sz w:val="24"/>
          <w:szCs w:val="24"/>
          <w:lang w:val="en-AU"/>
        </w:rPr>
      </w:pPr>
      <w:r w:rsidRPr="00174DE0">
        <w:rPr>
          <w:noProof/>
        </w:rPr>
        <w:t>11.1</w:t>
      </w:r>
      <w:r>
        <w:rPr>
          <w:rFonts w:asciiTheme="minorHAnsi" w:eastAsiaTheme="minorEastAsia" w:hAnsiTheme="minorHAnsi" w:cstheme="minorBidi"/>
          <w:noProof/>
          <w:sz w:val="24"/>
          <w:szCs w:val="24"/>
          <w:lang w:val="en-AU"/>
        </w:rPr>
        <w:tab/>
      </w:r>
      <w:r>
        <w:rPr>
          <w:noProof/>
        </w:rPr>
        <w:t>Taxonomy of a technology</w:t>
      </w:r>
      <w:r>
        <w:rPr>
          <w:noProof/>
        </w:rPr>
        <w:tab/>
      </w:r>
      <w:r>
        <w:rPr>
          <w:noProof/>
        </w:rPr>
        <w:fldChar w:fldCharType="begin"/>
      </w:r>
      <w:r>
        <w:rPr>
          <w:noProof/>
        </w:rPr>
        <w:instrText xml:space="preserve"> PAGEREF _Toc525141309 \h </w:instrText>
      </w:r>
      <w:r>
        <w:rPr>
          <w:noProof/>
        </w:rPr>
      </w:r>
      <w:r>
        <w:rPr>
          <w:noProof/>
        </w:rPr>
        <w:fldChar w:fldCharType="separate"/>
      </w:r>
      <w:r>
        <w:rPr>
          <w:noProof/>
        </w:rPr>
        <w:t>170</w:t>
      </w:r>
      <w:r>
        <w:rPr>
          <w:noProof/>
        </w:rPr>
        <w:fldChar w:fldCharType="end"/>
      </w:r>
    </w:p>
    <w:p w14:paraId="4FE18261" w14:textId="3CB43BEB" w:rsidR="000F24EB" w:rsidRDefault="000F24EB">
      <w:pPr>
        <w:pStyle w:val="TOC2"/>
        <w:rPr>
          <w:rFonts w:asciiTheme="minorHAnsi" w:eastAsiaTheme="minorEastAsia" w:hAnsiTheme="minorHAnsi" w:cstheme="minorBidi"/>
          <w:noProof/>
          <w:sz w:val="24"/>
          <w:szCs w:val="24"/>
          <w:lang w:val="en-AU"/>
        </w:rPr>
      </w:pPr>
      <w:r w:rsidRPr="00174DE0">
        <w:rPr>
          <w:noProof/>
        </w:rPr>
        <w:t>11.2</w:t>
      </w:r>
      <w:r>
        <w:rPr>
          <w:rFonts w:asciiTheme="minorHAnsi" w:eastAsiaTheme="minorEastAsia" w:hAnsiTheme="minorHAnsi" w:cstheme="minorBidi"/>
          <w:noProof/>
          <w:sz w:val="24"/>
          <w:szCs w:val="24"/>
          <w:lang w:val="en-AU"/>
        </w:rPr>
        <w:tab/>
      </w:r>
      <w:r>
        <w:rPr>
          <w:noProof/>
        </w:rPr>
        <w:t>Data and assumptions</w:t>
      </w:r>
      <w:r>
        <w:rPr>
          <w:noProof/>
        </w:rPr>
        <w:tab/>
      </w:r>
      <w:r>
        <w:rPr>
          <w:noProof/>
        </w:rPr>
        <w:fldChar w:fldCharType="begin"/>
      </w:r>
      <w:r>
        <w:rPr>
          <w:noProof/>
        </w:rPr>
        <w:instrText xml:space="preserve"> PAGEREF _Toc525141310 \h </w:instrText>
      </w:r>
      <w:r>
        <w:rPr>
          <w:noProof/>
        </w:rPr>
      </w:r>
      <w:r>
        <w:rPr>
          <w:noProof/>
        </w:rPr>
        <w:fldChar w:fldCharType="separate"/>
      </w:r>
      <w:r>
        <w:rPr>
          <w:noProof/>
        </w:rPr>
        <w:t>173</w:t>
      </w:r>
      <w:r>
        <w:rPr>
          <w:noProof/>
        </w:rPr>
        <w:fldChar w:fldCharType="end"/>
      </w:r>
    </w:p>
    <w:p w14:paraId="1953A253" w14:textId="77DC34AA" w:rsidR="000F24EB" w:rsidRDefault="000F24EB">
      <w:pPr>
        <w:pStyle w:val="TOC3"/>
        <w:rPr>
          <w:rFonts w:asciiTheme="minorHAnsi" w:eastAsiaTheme="minorEastAsia" w:hAnsiTheme="minorHAnsi" w:cstheme="minorBidi"/>
          <w:i w:val="0"/>
          <w:noProof/>
          <w:sz w:val="24"/>
          <w:szCs w:val="24"/>
          <w:lang w:val="en-AU"/>
        </w:rPr>
      </w:pPr>
      <w:r>
        <w:rPr>
          <w:noProof/>
        </w:rPr>
        <w:t>11.2.1</w:t>
      </w:r>
      <w:r>
        <w:rPr>
          <w:rFonts w:asciiTheme="minorHAnsi" w:eastAsiaTheme="minorEastAsia" w:hAnsiTheme="minorHAnsi" w:cstheme="minorBidi"/>
          <w:i w:val="0"/>
          <w:noProof/>
          <w:sz w:val="24"/>
          <w:szCs w:val="24"/>
          <w:lang w:val="en-AU"/>
        </w:rPr>
        <w:tab/>
      </w:r>
      <w:r>
        <w:rPr>
          <w:noProof/>
        </w:rPr>
        <w:t>Data underlying the stock model</w:t>
      </w:r>
      <w:r>
        <w:rPr>
          <w:noProof/>
        </w:rPr>
        <w:tab/>
      </w:r>
      <w:r>
        <w:rPr>
          <w:noProof/>
        </w:rPr>
        <w:fldChar w:fldCharType="begin"/>
      </w:r>
      <w:r>
        <w:rPr>
          <w:noProof/>
        </w:rPr>
        <w:instrText xml:space="preserve"> PAGEREF _Toc525141311 \h </w:instrText>
      </w:r>
      <w:r>
        <w:rPr>
          <w:noProof/>
        </w:rPr>
      </w:r>
      <w:r>
        <w:rPr>
          <w:noProof/>
        </w:rPr>
        <w:fldChar w:fldCharType="separate"/>
      </w:r>
      <w:r>
        <w:rPr>
          <w:noProof/>
        </w:rPr>
        <w:t>173</w:t>
      </w:r>
      <w:r>
        <w:rPr>
          <w:noProof/>
        </w:rPr>
        <w:fldChar w:fldCharType="end"/>
      </w:r>
    </w:p>
    <w:p w14:paraId="388710E3" w14:textId="317F88CB" w:rsidR="000F24EB" w:rsidRDefault="000F24EB">
      <w:pPr>
        <w:pStyle w:val="TOC3"/>
        <w:rPr>
          <w:rFonts w:asciiTheme="minorHAnsi" w:eastAsiaTheme="minorEastAsia" w:hAnsiTheme="minorHAnsi" w:cstheme="minorBidi"/>
          <w:i w:val="0"/>
          <w:noProof/>
          <w:sz w:val="24"/>
          <w:szCs w:val="24"/>
          <w:lang w:val="en-AU"/>
        </w:rPr>
      </w:pPr>
      <w:r>
        <w:rPr>
          <w:noProof/>
        </w:rPr>
        <w:t>11.2.2</w:t>
      </w:r>
      <w:r>
        <w:rPr>
          <w:rFonts w:asciiTheme="minorHAnsi" w:eastAsiaTheme="minorEastAsia" w:hAnsiTheme="minorHAnsi" w:cstheme="minorBidi"/>
          <w:i w:val="0"/>
          <w:noProof/>
          <w:sz w:val="24"/>
          <w:szCs w:val="24"/>
          <w:lang w:val="en-AU"/>
        </w:rPr>
        <w:tab/>
      </w:r>
      <w:r>
        <w:rPr>
          <w:noProof/>
        </w:rPr>
        <w:t>Product category stock models</w:t>
      </w:r>
      <w:r>
        <w:rPr>
          <w:noProof/>
        </w:rPr>
        <w:tab/>
      </w:r>
      <w:r>
        <w:rPr>
          <w:noProof/>
        </w:rPr>
        <w:fldChar w:fldCharType="begin"/>
      </w:r>
      <w:r>
        <w:rPr>
          <w:noProof/>
        </w:rPr>
        <w:instrText xml:space="preserve"> PAGEREF _Toc525141312 \h </w:instrText>
      </w:r>
      <w:r>
        <w:rPr>
          <w:noProof/>
        </w:rPr>
      </w:r>
      <w:r>
        <w:rPr>
          <w:noProof/>
        </w:rPr>
        <w:fldChar w:fldCharType="separate"/>
      </w:r>
      <w:r>
        <w:rPr>
          <w:noProof/>
        </w:rPr>
        <w:t>174</w:t>
      </w:r>
      <w:r>
        <w:rPr>
          <w:noProof/>
        </w:rPr>
        <w:fldChar w:fldCharType="end"/>
      </w:r>
    </w:p>
    <w:p w14:paraId="309F99ED" w14:textId="4D6DE025" w:rsidR="000F24EB" w:rsidRDefault="000F24EB">
      <w:pPr>
        <w:pStyle w:val="TOC3"/>
        <w:rPr>
          <w:rFonts w:asciiTheme="minorHAnsi" w:eastAsiaTheme="minorEastAsia" w:hAnsiTheme="minorHAnsi" w:cstheme="minorBidi"/>
          <w:i w:val="0"/>
          <w:noProof/>
          <w:sz w:val="24"/>
          <w:szCs w:val="24"/>
          <w:lang w:val="en-AU"/>
        </w:rPr>
      </w:pPr>
      <w:r>
        <w:rPr>
          <w:noProof/>
        </w:rPr>
        <w:t>11.2.3</w:t>
      </w:r>
      <w:r>
        <w:rPr>
          <w:rFonts w:asciiTheme="minorHAnsi" w:eastAsiaTheme="minorEastAsia" w:hAnsiTheme="minorHAnsi" w:cstheme="minorBidi"/>
          <w:i w:val="0"/>
          <w:noProof/>
          <w:sz w:val="24"/>
          <w:szCs w:val="24"/>
          <w:lang w:val="en-AU"/>
        </w:rPr>
        <w:tab/>
      </w:r>
      <w:r>
        <w:rPr>
          <w:noProof/>
        </w:rPr>
        <w:t>Refrigerant charges and species</w:t>
      </w:r>
      <w:r>
        <w:rPr>
          <w:noProof/>
        </w:rPr>
        <w:tab/>
      </w:r>
      <w:r>
        <w:rPr>
          <w:noProof/>
        </w:rPr>
        <w:fldChar w:fldCharType="begin"/>
      </w:r>
      <w:r>
        <w:rPr>
          <w:noProof/>
        </w:rPr>
        <w:instrText xml:space="preserve"> PAGEREF _Toc525141313 \h </w:instrText>
      </w:r>
      <w:r>
        <w:rPr>
          <w:noProof/>
        </w:rPr>
      </w:r>
      <w:r>
        <w:rPr>
          <w:noProof/>
        </w:rPr>
        <w:fldChar w:fldCharType="separate"/>
      </w:r>
      <w:r>
        <w:rPr>
          <w:noProof/>
        </w:rPr>
        <w:t>175</w:t>
      </w:r>
      <w:r>
        <w:rPr>
          <w:noProof/>
        </w:rPr>
        <w:fldChar w:fldCharType="end"/>
      </w:r>
    </w:p>
    <w:p w14:paraId="75E0DB2E" w14:textId="2314B9DB" w:rsidR="000F24EB" w:rsidRDefault="000F24EB">
      <w:pPr>
        <w:pStyle w:val="TOC3"/>
        <w:rPr>
          <w:rFonts w:asciiTheme="minorHAnsi" w:eastAsiaTheme="minorEastAsia" w:hAnsiTheme="minorHAnsi" w:cstheme="minorBidi"/>
          <w:i w:val="0"/>
          <w:noProof/>
          <w:sz w:val="24"/>
          <w:szCs w:val="24"/>
          <w:lang w:val="en-AU"/>
        </w:rPr>
      </w:pPr>
      <w:r>
        <w:rPr>
          <w:noProof/>
        </w:rPr>
        <w:t>11.2.4</w:t>
      </w:r>
      <w:r>
        <w:rPr>
          <w:rFonts w:asciiTheme="minorHAnsi" w:eastAsiaTheme="minorEastAsia" w:hAnsiTheme="minorHAnsi" w:cstheme="minorBidi"/>
          <w:i w:val="0"/>
          <w:noProof/>
          <w:sz w:val="24"/>
          <w:szCs w:val="24"/>
          <w:lang w:val="en-AU"/>
        </w:rPr>
        <w:tab/>
      </w:r>
      <w:r>
        <w:rPr>
          <w:noProof/>
        </w:rPr>
        <w:t>Small MAC refrigerant charges</w:t>
      </w:r>
      <w:r>
        <w:rPr>
          <w:noProof/>
        </w:rPr>
        <w:tab/>
      </w:r>
      <w:r>
        <w:rPr>
          <w:noProof/>
        </w:rPr>
        <w:fldChar w:fldCharType="begin"/>
      </w:r>
      <w:r>
        <w:rPr>
          <w:noProof/>
        </w:rPr>
        <w:instrText xml:space="preserve"> PAGEREF _Toc525141314 \h </w:instrText>
      </w:r>
      <w:r>
        <w:rPr>
          <w:noProof/>
        </w:rPr>
      </w:r>
      <w:r>
        <w:rPr>
          <w:noProof/>
        </w:rPr>
        <w:fldChar w:fldCharType="separate"/>
      </w:r>
      <w:r>
        <w:rPr>
          <w:noProof/>
        </w:rPr>
        <w:t>176</w:t>
      </w:r>
      <w:r>
        <w:rPr>
          <w:noProof/>
        </w:rPr>
        <w:fldChar w:fldCharType="end"/>
      </w:r>
    </w:p>
    <w:p w14:paraId="4E457BDB" w14:textId="7B4D532A" w:rsidR="000F24EB" w:rsidRDefault="000F24EB">
      <w:pPr>
        <w:pStyle w:val="TOC3"/>
        <w:rPr>
          <w:rFonts w:asciiTheme="minorHAnsi" w:eastAsiaTheme="minorEastAsia" w:hAnsiTheme="minorHAnsi" w:cstheme="minorBidi"/>
          <w:i w:val="0"/>
          <w:noProof/>
          <w:sz w:val="24"/>
          <w:szCs w:val="24"/>
          <w:lang w:val="en-AU"/>
        </w:rPr>
      </w:pPr>
      <w:r>
        <w:rPr>
          <w:noProof/>
        </w:rPr>
        <w:t>11.2.5</w:t>
      </w:r>
      <w:r>
        <w:rPr>
          <w:rFonts w:asciiTheme="minorHAnsi" w:eastAsiaTheme="minorEastAsia" w:hAnsiTheme="minorHAnsi" w:cstheme="minorBidi"/>
          <w:i w:val="0"/>
          <w:noProof/>
          <w:sz w:val="24"/>
          <w:szCs w:val="24"/>
          <w:lang w:val="en-AU"/>
        </w:rPr>
        <w:tab/>
      </w:r>
      <w:r>
        <w:rPr>
          <w:noProof/>
        </w:rPr>
        <w:t>Proportion of hydrocarbon in small MAC</w:t>
      </w:r>
      <w:r>
        <w:rPr>
          <w:noProof/>
        </w:rPr>
        <w:tab/>
      </w:r>
      <w:r>
        <w:rPr>
          <w:noProof/>
        </w:rPr>
        <w:fldChar w:fldCharType="begin"/>
      </w:r>
      <w:r>
        <w:rPr>
          <w:noProof/>
        </w:rPr>
        <w:instrText xml:space="preserve"> PAGEREF _Toc525141315 \h </w:instrText>
      </w:r>
      <w:r>
        <w:rPr>
          <w:noProof/>
        </w:rPr>
      </w:r>
      <w:r>
        <w:rPr>
          <w:noProof/>
        </w:rPr>
        <w:fldChar w:fldCharType="separate"/>
      </w:r>
      <w:r>
        <w:rPr>
          <w:noProof/>
        </w:rPr>
        <w:t>177</w:t>
      </w:r>
      <w:r>
        <w:rPr>
          <w:noProof/>
        </w:rPr>
        <w:fldChar w:fldCharType="end"/>
      </w:r>
    </w:p>
    <w:p w14:paraId="5AAD5C0B" w14:textId="5F22ED50" w:rsidR="000F24EB" w:rsidRDefault="000F24EB">
      <w:pPr>
        <w:pStyle w:val="TOC3"/>
        <w:rPr>
          <w:rFonts w:asciiTheme="minorHAnsi" w:eastAsiaTheme="minorEastAsia" w:hAnsiTheme="minorHAnsi" w:cstheme="minorBidi"/>
          <w:i w:val="0"/>
          <w:noProof/>
          <w:sz w:val="24"/>
          <w:szCs w:val="24"/>
          <w:lang w:val="en-AU"/>
        </w:rPr>
      </w:pPr>
      <w:r>
        <w:rPr>
          <w:noProof/>
        </w:rPr>
        <w:t>11.2.6</w:t>
      </w:r>
      <w:r>
        <w:rPr>
          <w:rFonts w:asciiTheme="minorHAnsi" w:eastAsiaTheme="minorEastAsia" w:hAnsiTheme="minorHAnsi" w:cstheme="minorBidi"/>
          <w:i w:val="0"/>
          <w:noProof/>
          <w:sz w:val="24"/>
          <w:szCs w:val="24"/>
          <w:lang w:val="en-AU"/>
        </w:rPr>
        <w:tab/>
      </w:r>
      <w:r>
        <w:rPr>
          <w:noProof/>
        </w:rPr>
        <w:t>Surveys of mobile air conditioner refrigerants</w:t>
      </w:r>
      <w:r>
        <w:rPr>
          <w:noProof/>
        </w:rPr>
        <w:tab/>
      </w:r>
      <w:r>
        <w:rPr>
          <w:noProof/>
        </w:rPr>
        <w:fldChar w:fldCharType="begin"/>
      </w:r>
      <w:r>
        <w:rPr>
          <w:noProof/>
        </w:rPr>
        <w:instrText xml:space="preserve"> PAGEREF _Toc525141316 \h </w:instrText>
      </w:r>
      <w:r>
        <w:rPr>
          <w:noProof/>
        </w:rPr>
      </w:r>
      <w:r>
        <w:rPr>
          <w:noProof/>
        </w:rPr>
        <w:fldChar w:fldCharType="separate"/>
      </w:r>
      <w:r>
        <w:rPr>
          <w:noProof/>
        </w:rPr>
        <w:t>177</w:t>
      </w:r>
      <w:r>
        <w:rPr>
          <w:noProof/>
        </w:rPr>
        <w:fldChar w:fldCharType="end"/>
      </w:r>
    </w:p>
    <w:p w14:paraId="47B109E2" w14:textId="20700B79" w:rsidR="000F24EB" w:rsidRDefault="000F24EB">
      <w:pPr>
        <w:pStyle w:val="TOC3"/>
        <w:rPr>
          <w:rFonts w:asciiTheme="minorHAnsi" w:eastAsiaTheme="minorEastAsia" w:hAnsiTheme="minorHAnsi" w:cstheme="minorBidi"/>
          <w:i w:val="0"/>
          <w:noProof/>
          <w:sz w:val="24"/>
          <w:szCs w:val="24"/>
          <w:lang w:val="en-AU"/>
        </w:rPr>
      </w:pPr>
      <w:r>
        <w:rPr>
          <w:noProof/>
        </w:rPr>
        <w:t>11.2.7</w:t>
      </w:r>
      <w:r>
        <w:rPr>
          <w:rFonts w:asciiTheme="minorHAnsi" w:eastAsiaTheme="minorEastAsia" w:hAnsiTheme="minorHAnsi" w:cstheme="minorBidi"/>
          <w:i w:val="0"/>
          <w:noProof/>
          <w:sz w:val="24"/>
          <w:szCs w:val="24"/>
          <w:lang w:val="en-AU"/>
        </w:rPr>
        <w:tab/>
      </w:r>
      <w:r>
        <w:rPr>
          <w:noProof/>
        </w:rPr>
        <w:t>Leak rates and direct emissions</w:t>
      </w:r>
      <w:r>
        <w:rPr>
          <w:noProof/>
        </w:rPr>
        <w:tab/>
      </w:r>
      <w:r>
        <w:rPr>
          <w:noProof/>
        </w:rPr>
        <w:fldChar w:fldCharType="begin"/>
      </w:r>
      <w:r>
        <w:rPr>
          <w:noProof/>
        </w:rPr>
        <w:instrText xml:space="preserve"> PAGEREF _Toc525141317 \h </w:instrText>
      </w:r>
      <w:r>
        <w:rPr>
          <w:noProof/>
        </w:rPr>
      </w:r>
      <w:r>
        <w:rPr>
          <w:noProof/>
        </w:rPr>
        <w:fldChar w:fldCharType="separate"/>
      </w:r>
      <w:r>
        <w:rPr>
          <w:noProof/>
        </w:rPr>
        <w:t>177</w:t>
      </w:r>
      <w:r>
        <w:rPr>
          <w:noProof/>
        </w:rPr>
        <w:fldChar w:fldCharType="end"/>
      </w:r>
    </w:p>
    <w:p w14:paraId="6DD4EE8D" w14:textId="5F53C3F9" w:rsidR="000F24EB" w:rsidRDefault="000F24EB">
      <w:pPr>
        <w:pStyle w:val="TOC3"/>
        <w:rPr>
          <w:rFonts w:asciiTheme="minorHAnsi" w:eastAsiaTheme="minorEastAsia" w:hAnsiTheme="minorHAnsi" w:cstheme="minorBidi"/>
          <w:i w:val="0"/>
          <w:noProof/>
          <w:sz w:val="24"/>
          <w:szCs w:val="24"/>
          <w:lang w:val="en-AU"/>
        </w:rPr>
      </w:pPr>
      <w:r>
        <w:rPr>
          <w:noProof/>
        </w:rPr>
        <w:t>11.2.8</w:t>
      </w:r>
      <w:r>
        <w:rPr>
          <w:rFonts w:asciiTheme="minorHAnsi" w:eastAsiaTheme="minorEastAsia" w:hAnsiTheme="minorHAnsi" w:cstheme="minorBidi"/>
          <w:i w:val="0"/>
          <w:noProof/>
          <w:sz w:val="24"/>
          <w:szCs w:val="24"/>
          <w:lang w:val="en-AU"/>
        </w:rPr>
        <w:tab/>
      </w:r>
      <w:r>
        <w:rPr>
          <w:noProof/>
        </w:rPr>
        <w:t>OEM, service usage and service rates</w:t>
      </w:r>
      <w:r>
        <w:rPr>
          <w:noProof/>
        </w:rPr>
        <w:tab/>
      </w:r>
      <w:r>
        <w:rPr>
          <w:noProof/>
        </w:rPr>
        <w:fldChar w:fldCharType="begin"/>
      </w:r>
      <w:r>
        <w:rPr>
          <w:noProof/>
        </w:rPr>
        <w:instrText xml:space="preserve"> PAGEREF _Toc525141318 \h </w:instrText>
      </w:r>
      <w:r>
        <w:rPr>
          <w:noProof/>
        </w:rPr>
      </w:r>
      <w:r>
        <w:rPr>
          <w:noProof/>
        </w:rPr>
        <w:fldChar w:fldCharType="separate"/>
      </w:r>
      <w:r>
        <w:rPr>
          <w:noProof/>
        </w:rPr>
        <w:t>179</w:t>
      </w:r>
      <w:r>
        <w:rPr>
          <w:noProof/>
        </w:rPr>
        <w:fldChar w:fldCharType="end"/>
      </w:r>
    </w:p>
    <w:p w14:paraId="1CD0940E" w14:textId="08B0C717" w:rsidR="000F24EB" w:rsidRDefault="000F24EB">
      <w:pPr>
        <w:pStyle w:val="TOC3"/>
        <w:rPr>
          <w:rFonts w:asciiTheme="minorHAnsi" w:eastAsiaTheme="minorEastAsia" w:hAnsiTheme="minorHAnsi" w:cstheme="minorBidi"/>
          <w:i w:val="0"/>
          <w:noProof/>
          <w:sz w:val="24"/>
          <w:szCs w:val="24"/>
          <w:lang w:val="en-AU"/>
        </w:rPr>
      </w:pPr>
      <w:r>
        <w:rPr>
          <w:noProof/>
        </w:rPr>
        <w:t>11.2.9</w:t>
      </w:r>
      <w:r>
        <w:rPr>
          <w:rFonts w:asciiTheme="minorHAnsi" w:eastAsiaTheme="minorEastAsia" w:hAnsiTheme="minorHAnsi" w:cstheme="minorBidi"/>
          <w:i w:val="0"/>
          <w:noProof/>
          <w:sz w:val="24"/>
          <w:szCs w:val="24"/>
          <w:lang w:val="en-AU"/>
        </w:rPr>
        <w:tab/>
      </w:r>
      <w:r>
        <w:rPr>
          <w:noProof/>
        </w:rPr>
        <w:t>Calculating the full bank and partially charged bank</w:t>
      </w:r>
      <w:r>
        <w:rPr>
          <w:noProof/>
        </w:rPr>
        <w:tab/>
      </w:r>
      <w:r>
        <w:rPr>
          <w:noProof/>
        </w:rPr>
        <w:fldChar w:fldCharType="begin"/>
      </w:r>
      <w:r>
        <w:rPr>
          <w:noProof/>
        </w:rPr>
        <w:instrText xml:space="preserve"> PAGEREF _Toc525141319 \h </w:instrText>
      </w:r>
      <w:r>
        <w:rPr>
          <w:noProof/>
        </w:rPr>
      </w:r>
      <w:r>
        <w:rPr>
          <w:noProof/>
        </w:rPr>
        <w:fldChar w:fldCharType="separate"/>
      </w:r>
      <w:r>
        <w:rPr>
          <w:noProof/>
        </w:rPr>
        <w:t>180</w:t>
      </w:r>
      <w:r>
        <w:rPr>
          <w:noProof/>
        </w:rPr>
        <w:fldChar w:fldCharType="end"/>
      </w:r>
    </w:p>
    <w:p w14:paraId="08CCA83E" w14:textId="0ACE37BA" w:rsidR="000F24EB" w:rsidRDefault="000F24EB">
      <w:pPr>
        <w:pStyle w:val="TOC3"/>
        <w:rPr>
          <w:rFonts w:asciiTheme="minorHAnsi" w:eastAsiaTheme="minorEastAsia" w:hAnsiTheme="minorHAnsi" w:cstheme="minorBidi"/>
          <w:i w:val="0"/>
          <w:noProof/>
          <w:sz w:val="24"/>
          <w:szCs w:val="24"/>
          <w:lang w:val="en-AU"/>
        </w:rPr>
      </w:pPr>
      <w:r>
        <w:rPr>
          <w:noProof/>
        </w:rPr>
        <w:t>11.2.10</w:t>
      </w:r>
      <w:r>
        <w:rPr>
          <w:rFonts w:asciiTheme="minorHAnsi" w:eastAsiaTheme="minorEastAsia" w:hAnsiTheme="minorHAnsi" w:cstheme="minorBidi"/>
          <w:i w:val="0"/>
          <w:noProof/>
          <w:sz w:val="24"/>
          <w:szCs w:val="24"/>
          <w:lang w:val="en-AU"/>
        </w:rPr>
        <w:tab/>
      </w:r>
      <w:r>
        <w:rPr>
          <w:noProof/>
        </w:rPr>
        <w:t>The bank of refrigerant</w:t>
      </w:r>
      <w:r>
        <w:rPr>
          <w:noProof/>
        </w:rPr>
        <w:tab/>
      </w:r>
      <w:r>
        <w:rPr>
          <w:noProof/>
        </w:rPr>
        <w:fldChar w:fldCharType="begin"/>
      </w:r>
      <w:r>
        <w:rPr>
          <w:noProof/>
        </w:rPr>
        <w:instrText xml:space="preserve"> PAGEREF _Toc525141320 \h </w:instrText>
      </w:r>
      <w:r>
        <w:rPr>
          <w:noProof/>
        </w:rPr>
      </w:r>
      <w:r>
        <w:rPr>
          <w:noProof/>
        </w:rPr>
        <w:fldChar w:fldCharType="separate"/>
      </w:r>
      <w:r>
        <w:rPr>
          <w:noProof/>
        </w:rPr>
        <w:t>182</w:t>
      </w:r>
      <w:r>
        <w:rPr>
          <w:noProof/>
        </w:rPr>
        <w:fldChar w:fldCharType="end"/>
      </w:r>
    </w:p>
    <w:p w14:paraId="2E5F0D1E" w14:textId="546B6E83" w:rsidR="000F24EB" w:rsidRDefault="000F24EB">
      <w:pPr>
        <w:pStyle w:val="TOC3"/>
        <w:rPr>
          <w:rFonts w:asciiTheme="minorHAnsi" w:eastAsiaTheme="minorEastAsia" w:hAnsiTheme="minorHAnsi" w:cstheme="minorBidi"/>
          <w:i w:val="0"/>
          <w:noProof/>
          <w:sz w:val="24"/>
          <w:szCs w:val="24"/>
          <w:lang w:val="en-AU"/>
        </w:rPr>
      </w:pPr>
      <w:r>
        <w:rPr>
          <w:noProof/>
        </w:rPr>
        <w:t>11.2.11</w:t>
      </w:r>
      <w:r>
        <w:rPr>
          <w:rFonts w:asciiTheme="minorHAnsi" w:eastAsiaTheme="minorEastAsia" w:hAnsiTheme="minorHAnsi" w:cstheme="minorBidi"/>
          <w:i w:val="0"/>
          <w:noProof/>
          <w:sz w:val="24"/>
          <w:szCs w:val="24"/>
          <w:lang w:val="en-AU"/>
        </w:rPr>
        <w:tab/>
      </w:r>
      <w:r>
        <w:rPr>
          <w:noProof/>
        </w:rPr>
        <w:t>Bank by product category</w:t>
      </w:r>
      <w:r>
        <w:rPr>
          <w:noProof/>
        </w:rPr>
        <w:tab/>
      </w:r>
      <w:r>
        <w:rPr>
          <w:noProof/>
        </w:rPr>
        <w:fldChar w:fldCharType="begin"/>
      </w:r>
      <w:r>
        <w:rPr>
          <w:noProof/>
        </w:rPr>
        <w:instrText xml:space="preserve"> PAGEREF _Toc525141321 \h </w:instrText>
      </w:r>
      <w:r>
        <w:rPr>
          <w:noProof/>
        </w:rPr>
      </w:r>
      <w:r>
        <w:rPr>
          <w:noProof/>
        </w:rPr>
        <w:fldChar w:fldCharType="separate"/>
      </w:r>
      <w:r>
        <w:rPr>
          <w:noProof/>
        </w:rPr>
        <w:t>182</w:t>
      </w:r>
      <w:r>
        <w:rPr>
          <w:noProof/>
        </w:rPr>
        <w:fldChar w:fldCharType="end"/>
      </w:r>
    </w:p>
    <w:p w14:paraId="0F871364" w14:textId="1A589933" w:rsidR="000F24EB" w:rsidRDefault="000F24EB">
      <w:pPr>
        <w:pStyle w:val="TOC3"/>
        <w:rPr>
          <w:rFonts w:asciiTheme="minorHAnsi" w:eastAsiaTheme="minorEastAsia" w:hAnsiTheme="minorHAnsi" w:cstheme="minorBidi"/>
          <w:i w:val="0"/>
          <w:noProof/>
          <w:sz w:val="24"/>
          <w:szCs w:val="24"/>
          <w:lang w:val="en-AU"/>
        </w:rPr>
      </w:pPr>
      <w:r>
        <w:rPr>
          <w:noProof/>
        </w:rPr>
        <w:t>11.2.12</w:t>
      </w:r>
      <w:r>
        <w:rPr>
          <w:rFonts w:asciiTheme="minorHAnsi" w:eastAsiaTheme="minorEastAsia" w:hAnsiTheme="minorHAnsi" w:cstheme="minorBidi"/>
          <w:i w:val="0"/>
          <w:noProof/>
          <w:sz w:val="24"/>
          <w:szCs w:val="24"/>
          <w:lang w:val="en-AU"/>
        </w:rPr>
        <w:tab/>
      </w:r>
      <w:r>
        <w:rPr>
          <w:noProof/>
        </w:rPr>
        <w:t>Hydrocarbons and equivalent refrigerant charge</w:t>
      </w:r>
      <w:r>
        <w:rPr>
          <w:noProof/>
        </w:rPr>
        <w:tab/>
      </w:r>
      <w:r>
        <w:rPr>
          <w:noProof/>
        </w:rPr>
        <w:fldChar w:fldCharType="begin"/>
      </w:r>
      <w:r>
        <w:rPr>
          <w:noProof/>
        </w:rPr>
        <w:instrText xml:space="preserve"> PAGEREF _Toc525141322 \h </w:instrText>
      </w:r>
      <w:r>
        <w:rPr>
          <w:noProof/>
        </w:rPr>
      </w:r>
      <w:r>
        <w:rPr>
          <w:noProof/>
        </w:rPr>
        <w:fldChar w:fldCharType="separate"/>
      </w:r>
      <w:r>
        <w:rPr>
          <w:noProof/>
        </w:rPr>
        <w:t>187</w:t>
      </w:r>
      <w:r>
        <w:rPr>
          <w:noProof/>
        </w:rPr>
        <w:fldChar w:fldCharType="end"/>
      </w:r>
    </w:p>
    <w:p w14:paraId="4BFF8E7D" w14:textId="4299F92C" w:rsidR="000F24EB" w:rsidRDefault="000F24EB">
      <w:pPr>
        <w:pStyle w:val="TOC3"/>
        <w:rPr>
          <w:rFonts w:asciiTheme="minorHAnsi" w:eastAsiaTheme="minorEastAsia" w:hAnsiTheme="minorHAnsi" w:cstheme="minorBidi"/>
          <w:i w:val="0"/>
          <w:noProof/>
          <w:sz w:val="24"/>
          <w:szCs w:val="24"/>
          <w:lang w:val="en-AU"/>
        </w:rPr>
      </w:pPr>
      <w:r>
        <w:rPr>
          <w:noProof/>
        </w:rPr>
        <w:t>11.2.13</w:t>
      </w:r>
      <w:r>
        <w:rPr>
          <w:rFonts w:asciiTheme="minorHAnsi" w:eastAsiaTheme="minorEastAsia" w:hAnsiTheme="minorHAnsi" w:cstheme="minorBidi"/>
          <w:i w:val="0"/>
          <w:noProof/>
          <w:sz w:val="24"/>
          <w:szCs w:val="24"/>
          <w:lang w:val="en-AU"/>
        </w:rPr>
        <w:tab/>
      </w:r>
      <w:r>
        <w:rPr>
          <w:noProof/>
        </w:rPr>
        <w:t>Leak rate improvements over time</w:t>
      </w:r>
      <w:r>
        <w:rPr>
          <w:noProof/>
        </w:rPr>
        <w:tab/>
      </w:r>
      <w:r>
        <w:rPr>
          <w:noProof/>
        </w:rPr>
        <w:fldChar w:fldCharType="begin"/>
      </w:r>
      <w:r>
        <w:rPr>
          <w:noProof/>
        </w:rPr>
        <w:instrText xml:space="preserve"> PAGEREF _Toc525141323 \h </w:instrText>
      </w:r>
      <w:r>
        <w:rPr>
          <w:noProof/>
        </w:rPr>
      </w:r>
      <w:r>
        <w:rPr>
          <w:noProof/>
        </w:rPr>
        <w:fldChar w:fldCharType="separate"/>
      </w:r>
      <w:r>
        <w:rPr>
          <w:noProof/>
        </w:rPr>
        <w:t>187</w:t>
      </w:r>
      <w:r>
        <w:rPr>
          <w:noProof/>
        </w:rPr>
        <w:fldChar w:fldCharType="end"/>
      </w:r>
    </w:p>
    <w:p w14:paraId="260A1CDD" w14:textId="0A131A00" w:rsidR="000F24EB" w:rsidRDefault="000F24EB">
      <w:pPr>
        <w:pStyle w:val="TOC3"/>
        <w:rPr>
          <w:rFonts w:asciiTheme="minorHAnsi" w:eastAsiaTheme="minorEastAsia" w:hAnsiTheme="minorHAnsi" w:cstheme="minorBidi"/>
          <w:i w:val="0"/>
          <w:noProof/>
          <w:sz w:val="24"/>
          <w:szCs w:val="24"/>
          <w:lang w:val="en-AU"/>
        </w:rPr>
      </w:pPr>
      <w:r>
        <w:rPr>
          <w:noProof/>
        </w:rPr>
        <w:t>11.2.14</w:t>
      </w:r>
      <w:r>
        <w:rPr>
          <w:rFonts w:asciiTheme="minorHAnsi" w:eastAsiaTheme="minorEastAsia" w:hAnsiTheme="minorHAnsi" w:cstheme="minorBidi"/>
          <w:i w:val="0"/>
          <w:noProof/>
          <w:sz w:val="24"/>
          <w:szCs w:val="24"/>
          <w:lang w:val="en-AU"/>
        </w:rPr>
        <w:tab/>
      </w:r>
      <w:r>
        <w:rPr>
          <w:noProof/>
        </w:rPr>
        <w:t>Losses at end-of-life and recoverable refrigerant</w:t>
      </w:r>
      <w:r>
        <w:rPr>
          <w:noProof/>
        </w:rPr>
        <w:tab/>
      </w:r>
      <w:r>
        <w:rPr>
          <w:noProof/>
        </w:rPr>
        <w:fldChar w:fldCharType="begin"/>
      </w:r>
      <w:r>
        <w:rPr>
          <w:noProof/>
        </w:rPr>
        <w:instrText xml:space="preserve"> PAGEREF _Toc525141324 \h </w:instrText>
      </w:r>
      <w:r>
        <w:rPr>
          <w:noProof/>
        </w:rPr>
      </w:r>
      <w:r>
        <w:rPr>
          <w:noProof/>
        </w:rPr>
        <w:fldChar w:fldCharType="separate"/>
      </w:r>
      <w:r>
        <w:rPr>
          <w:noProof/>
        </w:rPr>
        <w:t>188</w:t>
      </w:r>
      <w:r>
        <w:rPr>
          <w:noProof/>
        </w:rPr>
        <w:fldChar w:fldCharType="end"/>
      </w:r>
    </w:p>
    <w:p w14:paraId="6D0220C0" w14:textId="2246A2E4" w:rsidR="000F24EB" w:rsidRDefault="000F24EB">
      <w:pPr>
        <w:pStyle w:val="TOC3"/>
        <w:rPr>
          <w:rFonts w:asciiTheme="minorHAnsi" w:eastAsiaTheme="minorEastAsia" w:hAnsiTheme="minorHAnsi" w:cstheme="minorBidi"/>
          <w:i w:val="0"/>
          <w:noProof/>
          <w:sz w:val="24"/>
          <w:szCs w:val="24"/>
          <w:lang w:val="en-AU"/>
        </w:rPr>
      </w:pPr>
      <w:r>
        <w:rPr>
          <w:noProof/>
        </w:rPr>
        <w:t>11.2.15</w:t>
      </w:r>
      <w:r>
        <w:rPr>
          <w:rFonts w:asciiTheme="minorHAnsi" w:eastAsiaTheme="minorEastAsia" w:hAnsiTheme="minorHAnsi" w:cstheme="minorBidi"/>
          <w:i w:val="0"/>
          <w:noProof/>
          <w:sz w:val="24"/>
          <w:szCs w:val="24"/>
          <w:lang w:val="en-AU"/>
        </w:rPr>
        <w:tab/>
      </w:r>
      <w:r>
        <w:rPr>
          <w:noProof/>
        </w:rPr>
        <w:t>New sales mix projections</w:t>
      </w:r>
      <w:r>
        <w:rPr>
          <w:noProof/>
        </w:rPr>
        <w:tab/>
      </w:r>
      <w:r>
        <w:rPr>
          <w:noProof/>
        </w:rPr>
        <w:fldChar w:fldCharType="begin"/>
      </w:r>
      <w:r>
        <w:rPr>
          <w:noProof/>
        </w:rPr>
        <w:instrText xml:space="preserve"> PAGEREF _Toc525141325 \h </w:instrText>
      </w:r>
      <w:r>
        <w:rPr>
          <w:noProof/>
        </w:rPr>
      </w:r>
      <w:r>
        <w:rPr>
          <w:noProof/>
        </w:rPr>
        <w:fldChar w:fldCharType="separate"/>
      </w:r>
      <w:r>
        <w:rPr>
          <w:noProof/>
        </w:rPr>
        <w:t>188</w:t>
      </w:r>
      <w:r>
        <w:rPr>
          <w:noProof/>
        </w:rPr>
        <w:fldChar w:fldCharType="end"/>
      </w:r>
    </w:p>
    <w:p w14:paraId="05AF571F" w14:textId="71BAE72C" w:rsidR="000F24EB" w:rsidRDefault="000F24EB">
      <w:pPr>
        <w:pStyle w:val="TOC3"/>
        <w:rPr>
          <w:rFonts w:asciiTheme="minorHAnsi" w:eastAsiaTheme="minorEastAsia" w:hAnsiTheme="minorHAnsi" w:cstheme="minorBidi"/>
          <w:i w:val="0"/>
          <w:noProof/>
          <w:sz w:val="24"/>
          <w:szCs w:val="24"/>
          <w:lang w:val="en-AU"/>
        </w:rPr>
      </w:pPr>
      <w:r>
        <w:rPr>
          <w:noProof/>
        </w:rPr>
        <w:t>11.2.16</w:t>
      </w:r>
      <w:r>
        <w:rPr>
          <w:rFonts w:asciiTheme="minorHAnsi" w:eastAsiaTheme="minorEastAsia" w:hAnsiTheme="minorHAnsi" w:cstheme="minorBidi"/>
          <w:i w:val="0"/>
          <w:noProof/>
          <w:sz w:val="24"/>
          <w:szCs w:val="24"/>
          <w:lang w:val="en-AU"/>
        </w:rPr>
        <w:tab/>
      </w:r>
      <w:r>
        <w:rPr>
          <w:noProof/>
        </w:rPr>
        <w:t>GWPs and refrigerant compositions</w:t>
      </w:r>
      <w:r>
        <w:rPr>
          <w:noProof/>
        </w:rPr>
        <w:tab/>
      </w:r>
      <w:r>
        <w:rPr>
          <w:noProof/>
        </w:rPr>
        <w:fldChar w:fldCharType="begin"/>
      </w:r>
      <w:r>
        <w:rPr>
          <w:noProof/>
        </w:rPr>
        <w:instrText xml:space="preserve"> PAGEREF _Toc525141326 \h </w:instrText>
      </w:r>
      <w:r>
        <w:rPr>
          <w:noProof/>
        </w:rPr>
      </w:r>
      <w:r>
        <w:rPr>
          <w:noProof/>
        </w:rPr>
        <w:fldChar w:fldCharType="separate"/>
      </w:r>
      <w:r>
        <w:rPr>
          <w:noProof/>
        </w:rPr>
        <w:t>190</w:t>
      </w:r>
      <w:r>
        <w:rPr>
          <w:noProof/>
        </w:rPr>
        <w:fldChar w:fldCharType="end"/>
      </w:r>
    </w:p>
    <w:p w14:paraId="32ADECFF" w14:textId="4999B39C" w:rsidR="000F24EB" w:rsidRDefault="000F24EB">
      <w:pPr>
        <w:pStyle w:val="TOC3"/>
        <w:rPr>
          <w:rFonts w:asciiTheme="minorHAnsi" w:eastAsiaTheme="minorEastAsia" w:hAnsiTheme="minorHAnsi" w:cstheme="minorBidi"/>
          <w:i w:val="0"/>
          <w:noProof/>
          <w:sz w:val="24"/>
          <w:szCs w:val="24"/>
          <w:lang w:val="en-AU"/>
        </w:rPr>
      </w:pPr>
      <w:r>
        <w:rPr>
          <w:noProof/>
        </w:rPr>
        <w:t>11.2.17</w:t>
      </w:r>
      <w:r>
        <w:rPr>
          <w:rFonts w:asciiTheme="minorHAnsi" w:eastAsiaTheme="minorEastAsia" w:hAnsiTheme="minorHAnsi" w:cstheme="minorBidi"/>
          <w:i w:val="0"/>
          <w:noProof/>
          <w:sz w:val="24"/>
          <w:szCs w:val="24"/>
          <w:lang w:val="en-AU"/>
        </w:rPr>
        <w:tab/>
      </w:r>
      <w:r>
        <w:rPr>
          <w:noProof/>
        </w:rPr>
        <w:t>Energy consumption calculations and comparisons</w:t>
      </w:r>
      <w:r>
        <w:rPr>
          <w:noProof/>
        </w:rPr>
        <w:tab/>
      </w:r>
      <w:r>
        <w:rPr>
          <w:noProof/>
        </w:rPr>
        <w:fldChar w:fldCharType="begin"/>
      </w:r>
      <w:r>
        <w:rPr>
          <w:noProof/>
        </w:rPr>
        <w:instrText xml:space="preserve"> PAGEREF _Toc525141327 \h </w:instrText>
      </w:r>
      <w:r>
        <w:rPr>
          <w:noProof/>
        </w:rPr>
      </w:r>
      <w:r>
        <w:rPr>
          <w:noProof/>
        </w:rPr>
        <w:fldChar w:fldCharType="separate"/>
      </w:r>
      <w:r>
        <w:rPr>
          <w:noProof/>
        </w:rPr>
        <w:t>193</w:t>
      </w:r>
      <w:r>
        <w:rPr>
          <w:noProof/>
        </w:rPr>
        <w:fldChar w:fldCharType="end"/>
      </w:r>
    </w:p>
    <w:p w14:paraId="5569B6F8" w14:textId="41C1316A" w:rsidR="000F24EB" w:rsidRDefault="000F24EB">
      <w:pPr>
        <w:pStyle w:val="TOC3"/>
        <w:rPr>
          <w:rFonts w:asciiTheme="minorHAnsi" w:eastAsiaTheme="minorEastAsia" w:hAnsiTheme="minorHAnsi" w:cstheme="minorBidi"/>
          <w:i w:val="0"/>
          <w:noProof/>
          <w:sz w:val="24"/>
          <w:szCs w:val="24"/>
          <w:lang w:val="en-AU"/>
        </w:rPr>
      </w:pPr>
      <w:r>
        <w:rPr>
          <w:noProof/>
        </w:rPr>
        <w:t>11.2.18</w:t>
      </w:r>
      <w:r>
        <w:rPr>
          <w:rFonts w:asciiTheme="minorHAnsi" w:eastAsiaTheme="minorEastAsia" w:hAnsiTheme="minorHAnsi" w:cstheme="minorBidi"/>
          <w:i w:val="0"/>
          <w:noProof/>
          <w:sz w:val="24"/>
          <w:szCs w:val="24"/>
          <w:lang w:val="en-AU"/>
        </w:rPr>
        <w:tab/>
      </w:r>
      <w:r>
        <w:rPr>
          <w:noProof/>
        </w:rPr>
        <w:t>Energy related greenhouse emissions</w:t>
      </w:r>
      <w:r>
        <w:rPr>
          <w:noProof/>
        </w:rPr>
        <w:tab/>
      </w:r>
      <w:r>
        <w:rPr>
          <w:noProof/>
        </w:rPr>
        <w:fldChar w:fldCharType="begin"/>
      </w:r>
      <w:r>
        <w:rPr>
          <w:noProof/>
        </w:rPr>
        <w:instrText xml:space="preserve"> PAGEREF _Toc525141328 \h </w:instrText>
      </w:r>
      <w:r>
        <w:rPr>
          <w:noProof/>
        </w:rPr>
      </w:r>
      <w:r>
        <w:rPr>
          <w:noProof/>
        </w:rPr>
        <w:fldChar w:fldCharType="separate"/>
      </w:r>
      <w:r>
        <w:rPr>
          <w:noProof/>
        </w:rPr>
        <w:t>197</w:t>
      </w:r>
      <w:r>
        <w:rPr>
          <w:noProof/>
        </w:rPr>
        <w:fldChar w:fldCharType="end"/>
      </w:r>
    </w:p>
    <w:p w14:paraId="539D3B1C" w14:textId="7C953825" w:rsidR="000F24EB" w:rsidRDefault="000F24EB">
      <w:pPr>
        <w:pStyle w:val="TOC3"/>
        <w:rPr>
          <w:rFonts w:asciiTheme="minorHAnsi" w:eastAsiaTheme="minorEastAsia" w:hAnsiTheme="minorHAnsi" w:cstheme="minorBidi"/>
          <w:i w:val="0"/>
          <w:noProof/>
          <w:sz w:val="24"/>
          <w:szCs w:val="24"/>
          <w:lang w:val="en-AU"/>
        </w:rPr>
      </w:pPr>
      <w:r>
        <w:rPr>
          <w:noProof/>
        </w:rPr>
        <w:t>11.2.19</w:t>
      </w:r>
      <w:r>
        <w:rPr>
          <w:rFonts w:asciiTheme="minorHAnsi" w:eastAsiaTheme="minorEastAsia" w:hAnsiTheme="minorHAnsi" w:cstheme="minorBidi"/>
          <w:i w:val="0"/>
          <w:noProof/>
          <w:sz w:val="24"/>
          <w:szCs w:val="24"/>
          <w:lang w:val="en-AU"/>
        </w:rPr>
        <w:tab/>
      </w:r>
      <w:r>
        <w:rPr>
          <w:noProof/>
        </w:rPr>
        <w:t>Annual expenditure</w:t>
      </w:r>
      <w:r>
        <w:rPr>
          <w:noProof/>
        </w:rPr>
        <w:tab/>
      </w:r>
      <w:r>
        <w:rPr>
          <w:noProof/>
        </w:rPr>
        <w:fldChar w:fldCharType="begin"/>
      </w:r>
      <w:r>
        <w:rPr>
          <w:noProof/>
        </w:rPr>
        <w:instrText xml:space="preserve"> PAGEREF _Toc525141329 \h </w:instrText>
      </w:r>
      <w:r>
        <w:rPr>
          <w:noProof/>
        </w:rPr>
      </w:r>
      <w:r>
        <w:rPr>
          <w:noProof/>
        </w:rPr>
        <w:fldChar w:fldCharType="separate"/>
      </w:r>
      <w:r>
        <w:rPr>
          <w:noProof/>
        </w:rPr>
        <w:t>197</w:t>
      </w:r>
      <w:r>
        <w:rPr>
          <w:noProof/>
        </w:rPr>
        <w:fldChar w:fldCharType="end"/>
      </w:r>
    </w:p>
    <w:p w14:paraId="51F1740B" w14:textId="7635B231" w:rsidR="000F24EB" w:rsidRDefault="000F24EB">
      <w:pPr>
        <w:pStyle w:val="TOC2"/>
        <w:rPr>
          <w:rFonts w:asciiTheme="minorHAnsi" w:eastAsiaTheme="minorEastAsia" w:hAnsiTheme="minorHAnsi" w:cstheme="minorBidi"/>
          <w:noProof/>
          <w:sz w:val="24"/>
          <w:szCs w:val="24"/>
          <w:lang w:val="en-AU"/>
        </w:rPr>
      </w:pPr>
      <w:r w:rsidRPr="00174DE0">
        <w:rPr>
          <w:noProof/>
        </w:rPr>
        <w:t>11.3</w:t>
      </w:r>
      <w:r>
        <w:rPr>
          <w:rFonts w:asciiTheme="minorHAnsi" w:eastAsiaTheme="minorEastAsia" w:hAnsiTheme="minorHAnsi" w:cstheme="minorBidi"/>
          <w:noProof/>
          <w:sz w:val="24"/>
          <w:szCs w:val="24"/>
          <w:lang w:val="en-AU"/>
        </w:rPr>
        <w:tab/>
      </w:r>
      <w:r>
        <w:rPr>
          <w:noProof/>
        </w:rPr>
        <w:t>RAC Stock model outputs and projections</w:t>
      </w:r>
      <w:r>
        <w:rPr>
          <w:noProof/>
        </w:rPr>
        <w:tab/>
      </w:r>
      <w:r>
        <w:rPr>
          <w:noProof/>
        </w:rPr>
        <w:fldChar w:fldCharType="begin"/>
      </w:r>
      <w:r>
        <w:rPr>
          <w:noProof/>
        </w:rPr>
        <w:instrText xml:space="preserve"> PAGEREF _Toc525141330 \h </w:instrText>
      </w:r>
      <w:r>
        <w:rPr>
          <w:noProof/>
        </w:rPr>
      </w:r>
      <w:r>
        <w:rPr>
          <w:noProof/>
        </w:rPr>
        <w:fldChar w:fldCharType="separate"/>
      </w:r>
      <w:r>
        <w:rPr>
          <w:noProof/>
        </w:rPr>
        <w:t>199</w:t>
      </w:r>
      <w:r>
        <w:rPr>
          <w:noProof/>
        </w:rPr>
        <w:fldChar w:fldCharType="end"/>
      </w:r>
    </w:p>
    <w:p w14:paraId="36FD9FCA" w14:textId="693D0706" w:rsidR="000F24EB" w:rsidRDefault="000F24EB">
      <w:pPr>
        <w:pStyle w:val="TOC2"/>
        <w:rPr>
          <w:rFonts w:asciiTheme="minorHAnsi" w:eastAsiaTheme="minorEastAsia" w:hAnsiTheme="minorHAnsi" w:cstheme="minorBidi"/>
          <w:noProof/>
          <w:sz w:val="24"/>
          <w:szCs w:val="24"/>
          <w:lang w:val="en-AU"/>
        </w:rPr>
      </w:pPr>
      <w:r w:rsidRPr="00174DE0">
        <w:rPr>
          <w:noProof/>
        </w:rPr>
        <w:t>11.4</w:t>
      </w:r>
      <w:r>
        <w:rPr>
          <w:rFonts w:asciiTheme="minorHAnsi" w:eastAsiaTheme="minorEastAsia" w:hAnsiTheme="minorHAnsi" w:cstheme="minorBidi"/>
          <w:noProof/>
          <w:sz w:val="24"/>
          <w:szCs w:val="24"/>
          <w:lang w:val="en-AU"/>
        </w:rPr>
        <w:tab/>
      </w:r>
      <w:r>
        <w:rPr>
          <w:noProof/>
        </w:rPr>
        <w:t>HVAC&amp;R Supply chain business types and end use applications</w:t>
      </w:r>
      <w:r>
        <w:rPr>
          <w:noProof/>
        </w:rPr>
        <w:tab/>
      </w:r>
      <w:r>
        <w:rPr>
          <w:noProof/>
        </w:rPr>
        <w:fldChar w:fldCharType="begin"/>
      </w:r>
      <w:r>
        <w:rPr>
          <w:noProof/>
        </w:rPr>
        <w:instrText xml:space="preserve"> PAGEREF _Toc525141331 \h </w:instrText>
      </w:r>
      <w:r>
        <w:rPr>
          <w:noProof/>
        </w:rPr>
      </w:r>
      <w:r>
        <w:rPr>
          <w:noProof/>
        </w:rPr>
        <w:fldChar w:fldCharType="separate"/>
      </w:r>
      <w:r>
        <w:rPr>
          <w:noProof/>
        </w:rPr>
        <w:t>201</w:t>
      </w:r>
      <w:r>
        <w:rPr>
          <w:noProof/>
        </w:rPr>
        <w:fldChar w:fldCharType="end"/>
      </w:r>
    </w:p>
    <w:p w14:paraId="064DB4EF" w14:textId="182A0D47" w:rsidR="00CF358B" w:rsidRDefault="000F24EB" w:rsidP="003937A5">
      <w:pPr>
        <w:rPr>
          <w:rFonts w:ascii="Verdana" w:eastAsia="Times New Roman" w:hAnsi="Verdana" w:cs="Times New Roman"/>
          <w:noProof/>
          <w:color w:val="31849B" w:themeColor="accent5" w:themeShade="BF"/>
          <w:sz w:val="20"/>
          <w:szCs w:val="20"/>
          <w:lang w:val="en-US"/>
        </w:rPr>
      </w:pPr>
      <w:r>
        <w:rPr>
          <w:rFonts w:ascii="Verdana" w:eastAsia="Times New Roman" w:hAnsi="Verdana" w:cs="Times New Roman"/>
          <w:b/>
          <w:noProof/>
          <w:color w:val="31849B" w:themeColor="accent5" w:themeShade="BF"/>
          <w:sz w:val="20"/>
          <w:szCs w:val="20"/>
          <w:lang w:val="en-US"/>
        </w:rPr>
        <w:fldChar w:fldCharType="end"/>
      </w:r>
    </w:p>
    <w:p w14:paraId="37869DD9" w14:textId="530DB038" w:rsidR="00BC52AB" w:rsidRDefault="003937A5" w:rsidP="00E72ADE">
      <w:pPr>
        <w:rPr>
          <w:rFonts w:asciiTheme="majorHAnsi" w:hAnsiTheme="majorHAnsi"/>
          <w:sz w:val="36"/>
          <w:szCs w:val="36"/>
        </w:rPr>
      </w:pPr>
      <w:r w:rsidRPr="00BE3B27">
        <w:rPr>
          <w:rFonts w:asciiTheme="majorHAnsi" w:hAnsiTheme="majorHAnsi"/>
          <w:sz w:val="36"/>
          <w:szCs w:val="36"/>
        </w:rPr>
        <w:t>Appendices</w:t>
      </w:r>
    </w:p>
    <w:p w14:paraId="1FE78950" w14:textId="347C5A36" w:rsidR="00BC52AB" w:rsidRPr="00BC52AB" w:rsidRDefault="00BC52AB" w:rsidP="00B450D5">
      <w:pPr>
        <w:spacing w:before="60"/>
        <w:rPr>
          <w:rFonts w:ascii="Calibri" w:hAnsi="Calibri"/>
          <w:b/>
          <w:noProof/>
          <w:color w:val="31849B" w:themeColor="accent5" w:themeShade="BF"/>
        </w:rPr>
      </w:pPr>
      <w:r w:rsidRPr="00BC52AB">
        <w:rPr>
          <w:rFonts w:ascii="Calibri" w:hAnsi="Calibri"/>
          <w:b/>
          <w:noProof/>
          <w:color w:val="31849B" w:themeColor="accent5" w:themeShade="BF"/>
        </w:rPr>
        <w:t xml:space="preserve">Appendix </w:t>
      </w:r>
      <w:r w:rsidR="00CE6F99">
        <w:rPr>
          <w:rFonts w:ascii="Calibri" w:hAnsi="Calibri"/>
          <w:b/>
          <w:noProof/>
          <w:color w:val="31849B" w:themeColor="accent5" w:themeShade="BF"/>
        </w:rPr>
        <w:t>B</w:t>
      </w:r>
      <w:r>
        <w:rPr>
          <w:rFonts w:ascii="Calibri" w:hAnsi="Calibri"/>
          <w:b/>
          <w:noProof/>
          <w:color w:val="31849B" w:themeColor="accent5" w:themeShade="BF"/>
        </w:rPr>
        <w:t>: Spread-sheet</w:t>
      </w:r>
      <w:r w:rsidRPr="00BC52AB">
        <w:rPr>
          <w:rFonts w:ascii="Calibri" w:hAnsi="Calibri"/>
          <w:b/>
          <w:noProof/>
          <w:color w:val="31849B" w:themeColor="accent5" w:themeShade="BF"/>
        </w:rPr>
        <w:t xml:space="preserve"> </w:t>
      </w:r>
    </w:p>
    <w:p w14:paraId="37C0AB0B" w14:textId="38130B7C" w:rsidR="004B1619" w:rsidRDefault="00CE6F99" w:rsidP="00B450D5">
      <w:pPr>
        <w:spacing w:before="60"/>
        <w:rPr>
          <w:rFonts w:ascii="Calibri" w:hAnsi="Calibri"/>
          <w:b/>
          <w:noProof/>
          <w:color w:val="31849B" w:themeColor="accent5" w:themeShade="BF"/>
        </w:rPr>
      </w:pPr>
      <w:r>
        <w:rPr>
          <w:rFonts w:ascii="Calibri" w:hAnsi="Calibri"/>
          <w:b/>
          <w:noProof/>
          <w:color w:val="31849B" w:themeColor="accent5" w:themeShade="BF"/>
        </w:rPr>
        <w:t>B</w:t>
      </w:r>
      <w:r w:rsidR="00971069" w:rsidRPr="00971069">
        <w:rPr>
          <w:rFonts w:ascii="Calibri" w:hAnsi="Calibri"/>
          <w:b/>
          <w:noProof/>
          <w:color w:val="31849B" w:themeColor="accent5" w:themeShade="BF"/>
        </w:rPr>
        <w:t>1: CHF3 Taxonomy</w:t>
      </w:r>
    </w:p>
    <w:p w14:paraId="407A2871" w14:textId="27F11664" w:rsidR="005120BE" w:rsidRDefault="00CE6F99" w:rsidP="00B450D5">
      <w:pPr>
        <w:spacing w:before="60"/>
        <w:rPr>
          <w:rFonts w:ascii="Calibri" w:hAnsi="Calibri"/>
          <w:b/>
          <w:noProof/>
          <w:color w:val="31849B" w:themeColor="accent5" w:themeShade="BF"/>
        </w:rPr>
      </w:pPr>
      <w:r>
        <w:rPr>
          <w:rFonts w:ascii="Calibri" w:hAnsi="Calibri"/>
          <w:b/>
          <w:noProof/>
          <w:color w:val="31849B" w:themeColor="accent5" w:themeShade="BF"/>
        </w:rPr>
        <w:t>B</w:t>
      </w:r>
      <w:r w:rsidR="00D12068">
        <w:rPr>
          <w:rFonts w:ascii="Calibri" w:hAnsi="Calibri"/>
          <w:b/>
          <w:noProof/>
          <w:color w:val="31849B" w:themeColor="accent5" w:themeShade="BF"/>
        </w:rPr>
        <w:t>2</w:t>
      </w:r>
      <w:r w:rsidR="005120BE">
        <w:rPr>
          <w:rFonts w:ascii="Calibri" w:hAnsi="Calibri"/>
          <w:b/>
          <w:noProof/>
          <w:color w:val="31849B" w:themeColor="accent5" w:themeShade="BF"/>
        </w:rPr>
        <w:t xml:space="preserve">: </w:t>
      </w:r>
      <w:r w:rsidR="005120BE" w:rsidRPr="005120BE">
        <w:rPr>
          <w:rFonts w:ascii="Calibri" w:hAnsi="Calibri"/>
          <w:b/>
          <w:noProof/>
          <w:color w:val="31849B" w:themeColor="accent5" w:themeShade="BF"/>
        </w:rPr>
        <w:t xml:space="preserve">New </w:t>
      </w:r>
      <w:r>
        <w:rPr>
          <w:rFonts w:ascii="Calibri" w:hAnsi="Calibri"/>
          <w:b/>
          <w:noProof/>
          <w:color w:val="31849B" w:themeColor="accent5" w:themeShade="BF"/>
        </w:rPr>
        <w:t>e</w:t>
      </w:r>
      <w:r w:rsidR="005120BE" w:rsidRPr="005120BE">
        <w:rPr>
          <w:rFonts w:ascii="Calibri" w:hAnsi="Calibri"/>
          <w:b/>
          <w:noProof/>
          <w:color w:val="31849B" w:themeColor="accent5" w:themeShade="BF"/>
        </w:rPr>
        <w:t xml:space="preserve">quipment </w:t>
      </w:r>
      <w:r>
        <w:rPr>
          <w:rFonts w:ascii="Calibri" w:hAnsi="Calibri"/>
          <w:b/>
          <w:noProof/>
          <w:color w:val="31849B" w:themeColor="accent5" w:themeShade="BF"/>
        </w:rPr>
        <w:t>s</w:t>
      </w:r>
      <w:r w:rsidR="005120BE" w:rsidRPr="005120BE">
        <w:rPr>
          <w:rFonts w:ascii="Calibri" w:hAnsi="Calibri"/>
          <w:b/>
          <w:noProof/>
          <w:color w:val="31849B" w:themeColor="accent5" w:themeShade="BF"/>
        </w:rPr>
        <w:t xml:space="preserve">ales </w:t>
      </w:r>
      <w:r>
        <w:rPr>
          <w:rFonts w:ascii="Calibri" w:hAnsi="Calibri"/>
          <w:b/>
          <w:noProof/>
          <w:color w:val="31849B" w:themeColor="accent5" w:themeShade="BF"/>
        </w:rPr>
        <w:t>m</w:t>
      </w:r>
      <w:r w:rsidR="005120BE" w:rsidRPr="005120BE">
        <w:rPr>
          <w:rFonts w:ascii="Calibri" w:hAnsi="Calibri"/>
          <w:b/>
          <w:noProof/>
          <w:color w:val="31849B" w:themeColor="accent5" w:themeShade="BF"/>
        </w:rPr>
        <w:t xml:space="preserve">ix by </w:t>
      </w:r>
      <w:r>
        <w:rPr>
          <w:rFonts w:ascii="Calibri" w:hAnsi="Calibri"/>
          <w:b/>
          <w:noProof/>
          <w:color w:val="31849B" w:themeColor="accent5" w:themeShade="BF"/>
        </w:rPr>
        <w:t>s</w:t>
      </w:r>
      <w:r w:rsidR="005120BE" w:rsidRPr="005120BE">
        <w:rPr>
          <w:rFonts w:ascii="Calibri" w:hAnsi="Calibri"/>
          <w:b/>
          <w:noProof/>
          <w:color w:val="31849B" w:themeColor="accent5" w:themeShade="BF"/>
        </w:rPr>
        <w:t>e</w:t>
      </w:r>
      <w:r w:rsidR="00D12068">
        <w:rPr>
          <w:rFonts w:ascii="Calibri" w:hAnsi="Calibri"/>
          <w:b/>
          <w:noProof/>
          <w:color w:val="31849B" w:themeColor="accent5" w:themeShade="BF"/>
        </w:rPr>
        <w:t>gment</w:t>
      </w:r>
    </w:p>
    <w:p w14:paraId="4C8B8442" w14:textId="1B660831" w:rsidR="005120BE" w:rsidRDefault="00CE6F99" w:rsidP="00B450D5">
      <w:pPr>
        <w:spacing w:before="60"/>
        <w:rPr>
          <w:rFonts w:ascii="Calibri" w:hAnsi="Calibri"/>
          <w:b/>
          <w:noProof/>
          <w:color w:val="31849B" w:themeColor="accent5" w:themeShade="BF"/>
        </w:rPr>
      </w:pPr>
      <w:r>
        <w:rPr>
          <w:rFonts w:ascii="Calibri" w:hAnsi="Calibri"/>
          <w:b/>
          <w:noProof/>
          <w:color w:val="31849B" w:themeColor="accent5" w:themeShade="BF"/>
        </w:rPr>
        <w:t>B</w:t>
      </w:r>
      <w:r w:rsidR="00353DC3">
        <w:rPr>
          <w:rFonts w:ascii="Calibri" w:hAnsi="Calibri"/>
          <w:b/>
          <w:noProof/>
          <w:color w:val="31849B" w:themeColor="accent5" w:themeShade="BF"/>
        </w:rPr>
        <w:t>3</w:t>
      </w:r>
      <w:r w:rsidR="00817175" w:rsidRPr="00817175">
        <w:rPr>
          <w:rFonts w:ascii="Calibri" w:hAnsi="Calibri"/>
          <w:b/>
          <w:noProof/>
          <w:color w:val="31849B" w:themeColor="accent5" w:themeShade="BF"/>
        </w:rPr>
        <w:t xml:space="preserve">: Bank projections by </w:t>
      </w:r>
      <w:r>
        <w:rPr>
          <w:rFonts w:ascii="Calibri" w:hAnsi="Calibri"/>
          <w:b/>
          <w:noProof/>
          <w:color w:val="31849B" w:themeColor="accent5" w:themeShade="BF"/>
        </w:rPr>
        <w:t>c</w:t>
      </w:r>
      <w:r w:rsidR="00817175" w:rsidRPr="00817175">
        <w:rPr>
          <w:rFonts w:ascii="Calibri" w:hAnsi="Calibri"/>
          <w:b/>
          <w:noProof/>
          <w:color w:val="31849B" w:themeColor="accent5" w:themeShade="BF"/>
        </w:rPr>
        <w:t xml:space="preserve">lass and </w:t>
      </w:r>
      <w:r>
        <w:rPr>
          <w:rFonts w:ascii="Calibri" w:hAnsi="Calibri"/>
          <w:b/>
          <w:noProof/>
          <w:color w:val="31849B" w:themeColor="accent5" w:themeShade="BF"/>
        </w:rPr>
        <w:t>s</w:t>
      </w:r>
      <w:r w:rsidR="00817175" w:rsidRPr="00817175">
        <w:rPr>
          <w:rFonts w:ascii="Calibri" w:hAnsi="Calibri"/>
          <w:b/>
          <w:noProof/>
          <w:color w:val="31849B" w:themeColor="accent5" w:themeShade="BF"/>
        </w:rPr>
        <w:t>egment</w:t>
      </w:r>
    </w:p>
    <w:p w14:paraId="70322F9F" w14:textId="2438E7F2" w:rsidR="00C265E8" w:rsidRDefault="00CE6F99" w:rsidP="00B450D5">
      <w:pPr>
        <w:spacing w:before="60"/>
        <w:rPr>
          <w:rFonts w:ascii="Calibri" w:hAnsi="Calibri"/>
          <w:b/>
          <w:noProof/>
          <w:color w:val="31849B" w:themeColor="accent5" w:themeShade="BF"/>
        </w:rPr>
      </w:pPr>
      <w:r>
        <w:rPr>
          <w:rFonts w:ascii="Calibri" w:hAnsi="Calibri"/>
          <w:b/>
          <w:noProof/>
          <w:color w:val="31849B" w:themeColor="accent5" w:themeShade="BF"/>
        </w:rPr>
        <w:t>B</w:t>
      </w:r>
      <w:r w:rsidR="00353DC3">
        <w:rPr>
          <w:rFonts w:ascii="Calibri" w:hAnsi="Calibri"/>
          <w:b/>
          <w:noProof/>
          <w:color w:val="31849B" w:themeColor="accent5" w:themeShade="BF"/>
        </w:rPr>
        <w:t>4</w:t>
      </w:r>
      <w:r w:rsidR="00C265E8">
        <w:rPr>
          <w:rFonts w:ascii="Calibri" w:hAnsi="Calibri"/>
          <w:b/>
          <w:noProof/>
          <w:color w:val="31849B" w:themeColor="accent5" w:themeShade="BF"/>
        </w:rPr>
        <w:t>: Bulk imports and pre-charged equipment imports</w:t>
      </w:r>
    </w:p>
    <w:p w14:paraId="52FFAE65" w14:textId="77777777" w:rsidR="005120BE" w:rsidRDefault="005120BE" w:rsidP="00E72ADE">
      <w:pPr>
        <w:rPr>
          <w:rFonts w:ascii="Calibri" w:hAnsi="Calibri"/>
          <w:b/>
          <w:noProof/>
          <w:color w:val="31849B" w:themeColor="accent5" w:themeShade="BF"/>
        </w:rPr>
      </w:pPr>
    </w:p>
    <w:p w14:paraId="0635A872" w14:textId="77777777" w:rsidR="00971069" w:rsidRDefault="00971069" w:rsidP="00E72ADE">
      <w:pPr>
        <w:rPr>
          <w:rFonts w:ascii="Calibri" w:hAnsi="Calibri"/>
          <w:b/>
          <w:noProof/>
          <w:color w:val="31849B" w:themeColor="accent5" w:themeShade="BF"/>
        </w:rPr>
      </w:pPr>
    </w:p>
    <w:p w14:paraId="4DB063E8" w14:textId="5D17299B" w:rsidR="00971069" w:rsidRPr="00161A3C" w:rsidRDefault="00971069" w:rsidP="00161A3C">
      <w:pPr>
        <w:rPr>
          <w:rFonts w:ascii="Calibri" w:hAnsi="Calibri"/>
          <w:b/>
          <w:noProof/>
          <w:color w:val="31849B" w:themeColor="accent5" w:themeShade="BF"/>
        </w:rPr>
      </w:pPr>
    </w:p>
    <w:p w14:paraId="2EA556DE" w14:textId="2529BFD0" w:rsidR="003937A5" w:rsidRPr="003937A5" w:rsidRDefault="003937A5" w:rsidP="00941E84">
      <w:pPr>
        <w:rPr>
          <w:rFonts w:asciiTheme="majorHAnsi" w:hAnsiTheme="majorHAnsi"/>
          <w:sz w:val="36"/>
          <w:szCs w:val="36"/>
        </w:rPr>
      </w:pPr>
      <w:r w:rsidRPr="003937A5">
        <w:rPr>
          <w:rFonts w:asciiTheme="majorHAnsi" w:hAnsiTheme="majorHAnsi"/>
          <w:sz w:val="36"/>
          <w:szCs w:val="36"/>
        </w:rPr>
        <w:t>List of Figures</w:t>
      </w:r>
    </w:p>
    <w:p w14:paraId="5612AB3E" w14:textId="694A8D7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szCs w:val="20"/>
        </w:rPr>
        <w:fldChar w:fldCharType="begin"/>
      </w:r>
      <w:r>
        <w:rPr>
          <w:noProof/>
          <w:szCs w:val="20"/>
        </w:rPr>
        <w:instrText xml:space="preserve"> TOC \c "Figure" </w:instrText>
      </w:r>
      <w:r>
        <w:rPr>
          <w:noProof/>
          <w:szCs w:val="20"/>
        </w:rPr>
        <w:fldChar w:fldCharType="separate"/>
      </w:r>
      <w:r>
        <w:rPr>
          <w:noProof/>
        </w:rPr>
        <w:t>Figure 1: Pre-charged equipment imports of mobile AC from 2012 to 2016 in tonnes.</w:t>
      </w:r>
      <w:r>
        <w:rPr>
          <w:noProof/>
        </w:rPr>
        <w:tab/>
      </w:r>
      <w:r>
        <w:rPr>
          <w:noProof/>
        </w:rPr>
        <w:fldChar w:fldCharType="begin"/>
      </w:r>
      <w:r>
        <w:rPr>
          <w:noProof/>
        </w:rPr>
        <w:instrText xml:space="preserve"> PAGEREF _Toc525141332 \h </w:instrText>
      </w:r>
      <w:r>
        <w:rPr>
          <w:noProof/>
        </w:rPr>
      </w:r>
      <w:r>
        <w:rPr>
          <w:noProof/>
        </w:rPr>
        <w:fldChar w:fldCharType="separate"/>
      </w:r>
      <w:r>
        <w:rPr>
          <w:noProof/>
        </w:rPr>
        <w:t>41</w:t>
      </w:r>
      <w:r>
        <w:rPr>
          <w:noProof/>
        </w:rPr>
        <w:fldChar w:fldCharType="end"/>
      </w:r>
    </w:p>
    <w:p w14:paraId="254053B3" w14:textId="3E427AD8" w:rsidR="0032645B" w:rsidRDefault="0032645B">
      <w:pPr>
        <w:pStyle w:val="TableofFigures"/>
        <w:tabs>
          <w:tab w:val="right" w:leader="dot" w:pos="9487"/>
        </w:tabs>
        <w:rPr>
          <w:rFonts w:asciiTheme="minorHAnsi" w:eastAsiaTheme="minorEastAsia" w:hAnsiTheme="minorHAnsi" w:cstheme="minorBidi"/>
          <w:noProof/>
          <w:sz w:val="24"/>
          <w:lang w:val="en-AU"/>
        </w:rPr>
      </w:pPr>
      <w:r w:rsidRPr="00007637">
        <w:rPr>
          <w:i/>
          <w:noProof/>
        </w:rPr>
        <w:t>Figure 2: S</w:t>
      </w:r>
      <w:r w:rsidRPr="00007637">
        <w:rPr>
          <w:bCs/>
          <w:i/>
          <w:noProof/>
        </w:rPr>
        <w:t>ales and local manufacturing of passenger and light commercial vehicles in Australia from 2010 to 2016.</w:t>
      </w:r>
      <w:r>
        <w:rPr>
          <w:noProof/>
        </w:rPr>
        <w:tab/>
      </w:r>
      <w:r>
        <w:rPr>
          <w:noProof/>
        </w:rPr>
        <w:fldChar w:fldCharType="begin"/>
      </w:r>
      <w:r>
        <w:rPr>
          <w:noProof/>
        </w:rPr>
        <w:instrText xml:space="preserve"> PAGEREF _Toc525141333 \h </w:instrText>
      </w:r>
      <w:r>
        <w:rPr>
          <w:noProof/>
        </w:rPr>
      </w:r>
      <w:r>
        <w:rPr>
          <w:noProof/>
        </w:rPr>
        <w:fldChar w:fldCharType="separate"/>
      </w:r>
      <w:r>
        <w:rPr>
          <w:noProof/>
        </w:rPr>
        <w:t>45</w:t>
      </w:r>
      <w:r>
        <w:rPr>
          <w:noProof/>
        </w:rPr>
        <w:fldChar w:fldCharType="end"/>
      </w:r>
    </w:p>
    <w:p w14:paraId="2FD7BC44" w14:textId="70FBBEE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w:t>
      </w:r>
      <w:r w:rsidRPr="00007637">
        <w:rPr>
          <w:noProof/>
        </w:rPr>
        <w:t>:</w:t>
      </w:r>
      <w:r>
        <w:rPr>
          <w:noProof/>
        </w:rPr>
        <w:t xml:space="preserve"> </w:t>
      </w:r>
      <w:r w:rsidRPr="00007637">
        <w:rPr>
          <w:noProof/>
        </w:rPr>
        <w:t>HFCs in tonnes contained in pre-charged domestic refrigeration imports 2006 to 2016.</w:t>
      </w:r>
      <w:r>
        <w:rPr>
          <w:noProof/>
        </w:rPr>
        <w:tab/>
      </w:r>
      <w:r>
        <w:rPr>
          <w:noProof/>
        </w:rPr>
        <w:fldChar w:fldCharType="begin"/>
      </w:r>
      <w:r>
        <w:rPr>
          <w:noProof/>
        </w:rPr>
        <w:instrText xml:space="preserve"> PAGEREF _Toc525141334 \h </w:instrText>
      </w:r>
      <w:r>
        <w:rPr>
          <w:noProof/>
        </w:rPr>
      </w:r>
      <w:r>
        <w:rPr>
          <w:noProof/>
        </w:rPr>
        <w:fldChar w:fldCharType="separate"/>
      </w:r>
      <w:r>
        <w:rPr>
          <w:noProof/>
        </w:rPr>
        <w:t>76</w:t>
      </w:r>
      <w:r>
        <w:rPr>
          <w:noProof/>
        </w:rPr>
        <w:fldChar w:fldCharType="end"/>
      </w:r>
    </w:p>
    <w:p w14:paraId="025E4610" w14:textId="7E4D89DA"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4: </w:t>
      </w:r>
      <w:r w:rsidRPr="00007637">
        <w:rPr>
          <w:noProof/>
        </w:rPr>
        <w:t>New equipment sales mix for domestic refrigeration from 2013 to 2030.</w:t>
      </w:r>
      <w:r>
        <w:rPr>
          <w:noProof/>
        </w:rPr>
        <w:tab/>
      </w:r>
      <w:r>
        <w:rPr>
          <w:noProof/>
        </w:rPr>
        <w:fldChar w:fldCharType="begin"/>
      </w:r>
      <w:r>
        <w:rPr>
          <w:noProof/>
        </w:rPr>
        <w:instrText xml:space="preserve"> PAGEREF _Toc525141335 \h </w:instrText>
      </w:r>
      <w:r>
        <w:rPr>
          <w:noProof/>
        </w:rPr>
      </w:r>
      <w:r>
        <w:rPr>
          <w:noProof/>
        </w:rPr>
        <w:fldChar w:fldCharType="separate"/>
      </w:r>
      <w:r>
        <w:rPr>
          <w:noProof/>
        </w:rPr>
        <w:t>77</w:t>
      </w:r>
      <w:r>
        <w:rPr>
          <w:noProof/>
        </w:rPr>
        <w:fldChar w:fldCharType="end"/>
      </w:r>
    </w:p>
    <w:p w14:paraId="75B2809E" w14:textId="19BA0B3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 The refrigerant bank from 2006 to 2016, and sensitivity analysis in tonnes.</w:t>
      </w:r>
      <w:r>
        <w:rPr>
          <w:noProof/>
        </w:rPr>
        <w:tab/>
      </w:r>
      <w:r>
        <w:rPr>
          <w:noProof/>
        </w:rPr>
        <w:fldChar w:fldCharType="begin"/>
      </w:r>
      <w:r>
        <w:rPr>
          <w:noProof/>
        </w:rPr>
        <w:instrText xml:space="preserve"> PAGEREF _Toc525141336 \h </w:instrText>
      </w:r>
      <w:r>
        <w:rPr>
          <w:noProof/>
        </w:rPr>
      </w:r>
      <w:r>
        <w:rPr>
          <w:noProof/>
        </w:rPr>
        <w:fldChar w:fldCharType="separate"/>
      </w:r>
      <w:r>
        <w:rPr>
          <w:noProof/>
        </w:rPr>
        <w:t>79</w:t>
      </w:r>
      <w:r>
        <w:rPr>
          <w:noProof/>
        </w:rPr>
        <w:fldChar w:fldCharType="end"/>
      </w:r>
    </w:p>
    <w:p w14:paraId="5BFD1F11" w14:textId="67597668"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6: Refrigerant bank by species 2006, 2012, 2016 in tonnes.</w:t>
      </w:r>
      <w:r>
        <w:rPr>
          <w:noProof/>
        </w:rPr>
        <w:tab/>
      </w:r>
      <w:r>
        <w:rPr>
          <w:noProof/>
        </w:rPr>
        <w:fldChar w:fldCharType="begin"/>
      </w:r>
      <w:r>
        <w:rPr>
          <w:noProof/>
        </w:rPr>
        <w:instrText xml:space="preserve"> PAGEREF _Toc525141337 \h </w:instrText>
      </w:r>
      <w:r>
        <w:rPr>
          <w:noProof/>
        </w:rPr>
      </w:r>
      <w:r>
        <w:rPr>
          <w:noProof/>
        </w:rPr>
        <w:fldChar w:fldCharType="separate"/>
      </w:r>
      <w:r>
        <w:rPr>
          <w:noProof/>
        </w:rPr>
        <w:t>82</w:t>
      </w:r>
      <w:r>
        <w:rPr>
          <w:noProof/>
        </w:rPr>
        <w:fldChar w:fldCharType="end"/>
      </w:r>
    </w:p>
    <w:p w14:paraId="189DAEB6" w14:textId="463DCF2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7: 2016 Refrigerant bank by species in per cent by mass.</w:t>
      </w:r>
      <w:r>
        <w:rPr>
          <w:noProof/>
        </w:rPr>
        <w:tab/>
      </w:r>
      <w:r>
        <w:rPr>
          <w:noProof/>
        </w:rPr>
        <w:fldChar w:fldCharType="begin"/>
      </w:r>
      <w:r>
        <w:rPr>
          <w:noProof/>
        </w:rPr>
        <w:instrText xml:space="preserve"> PAGEREF _Toc525141338 \h </w:instrText>
      </w:r>
      <w:r>
        <w:rPr>
          <w:noProof/>
        </w:rPr>
      </w:r>
      <w:r>
        <w:rPr>
          <w:noProof/>
        </w:rPr>
        <w:fldChar w:fldCharType="separate"/>
      </w:r>
      <w:r>
        <w:rPr>
          <w:noProof/>
        </w:rPr>
        <w:t>86</w:t>
      </w:r>
      <w:r>
        <w:rPr>
          <w:noProof/>
        </w:rPr>
        <w:fldChar w:fldCharType="end"/>
      </w:r>
    </w:p>
    <w:p w14:paraId="7444464B" w14:textId="21AD64AC"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8: Bank of refrigerants by class of equipment 2016 in tonnes and per cent.</w:t>
      </w:r>
      <w:r>
        <w:rPr>
          <w:noProof/>
        </w:rPr>
        <w:tab/>
      </w:r>
      <w:r>
        <w:rPr>
          <w:noProof/>
        </w:rPr>
        <w:fldChar w:fldCharType="begin"/>
      </w:r>
      <w:r>
        <w:rPr>
          <w:noProof/>
        </w:rPr>
        <w:instrText xml:space="preserve"> PAGEREF _Toc525141339 \h </w:instrText>
      </w:r>
      <w:r>
        <w:rPr>
          <w:noProof/>
        </w:rPr>
      </w:r>
      <w:r>
        <w:rPr>
          <w:noProof/>
        </w:rPr>
        <w:fldChar w:fldCharType="separate"/>
      </w:r>
      <w:r>
        <w:rPr>
          <w:noProof/>
        </w:rPr>
        <w:t>88</w:t>
      </w:r>
      <w:r>
        <w:rPr>
          <w:noProof/>
        </w:rPr>
        <w:fldChar w:fldCharType="end"/>
      </w:r>
    </w:p>
    <w:p w14:paraId="7A49A4B4" w14:textId="263B874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9: Mass flows in the Australian bank of working gases 2016.</w:t>
      </w:r>
      <w:r>
        <w:rPr>
          <w:noProof/>
        </w:rPr>
        <w:tab/>
      </w:r>
      <w:r>
        <w:rPr>
          <w:noProof/>
        </w:rPr>
        <w:fldChar w:fldCharType="begin"/>
      </w:r>
      <w:r>
        <w:rPr>
          <w:noProof/>
        </w:rPr>
        <w:instrText xml:space="preserve"> PAGEREF _Toc525141340 \h </w:instrText>
      </w:r>
      <w:r>
        <w:rPr>
          <w:noProof/>
        </w:rPr>
      </w:r>
      <w:r>
        <w:rPr>
          <w:noProof/>
        </w:rPr>
        <w:fldChar w:fldCharType="separate"/>
      </w:r>
      <w:r>
        <w:rPr>
          <w:noProof/>
        </w:rPr>
        <w:t>90</w:t>
      </w:r>
      <w:r>
        <w:rPr>
          <w:noProof/>
        </w:rPr>
        <w:fldChar w:fldCharType="end"/>
      </w:r>
    </w:p>
    <w:p w14:paraId="76407829" w14:textId="00DFE87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10</w:t>
      </w:r>
      <w:r w:rsidRPr="00007637">
        <w:rPr>
          <w:noProof/>
        </w:rPr>
        <w:t>: Tonnes of refrigerant in pre-charged equipment imports in 2016 dissected by application and per cent of annual imports.</w:t>
      </w:r>
      <w:r>
        <w:rPr>
          <w:noProof/>
        </w:rPr>
        <w:tab/>
      </w:r>
      <w:r>
        <w:rPr>
          <w:noProof/>
        </w:rPr>
        <w:fldChar w:fldCharType="begin"/>
      </w:r>
      <w:r>
        <w:rPr>
          <w:noProof/>
        </w:rPr>
        <w:instrText xml:space="preserve"> PAGEREF _Toc525141341 \h </w:instrText>
      </w:r>
      <w:r>
        <w:rPr>
          <w:noProof/>
        </w:rPr>
      </w:r>
      <w:r>
        <w:rPr>
          <w:noProof/>
        </w:rPr>
        <w:fldChar w:fldCharType="separate"/>
      </w:r>
      <w:r>
        <w:rPr>
          <w:noProof/>
        </w:rPr>
        <w:t>92</w:t>
      </w:r>
      <w:r>
        <w:rPr>
          <w:noProof/>
        </w:rPr>
        <w:fldChar w:fldCharType="end"/>
      </w:r>
    </w:p>
    <w:p w14:paraId="224EB6F4" w14:textId="5D597E0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11</w:t>
      </w:r>
      <w:r w:rsidRPr="00007637">
        <w:rPr>
          <w:noProof/>
        </w:rPr>
        <w:t>: Pre-charged equipment imports in 2016 dissected by major species in tonnes.</w:t>
      </w:r>
      <w:r>
        <w:rPr>
          <w:noProof/>
        </w:rPr>
        <w:tab/>
      </w:r>
      <w:r>
        <w:rPr>
          <w:noProof/>
        </w:rPr>
        <w:fldChar w:fldCharType="begin"/>
      </w:r>
      <w:r>
        <w:rPr>
          <w:noProof/>
        </w:rPr>
        <w:instrText xml:space="preserve"> PAGEREF _Toc525141342 \h </w:instrText>
      </w:r>
      <w:r>
        <w:rPr>
          <w:noProof/>
        </w:rPr>
      </w:r>
      <w:r>
        <w:rPr>
          <w:noProof/>
        </w:rPr>
        <w:fldChar w:fldCharType="separate"/>
      </w:r>
      <w:r>
        <w:rPr>
          <w:noProof/>
        </w:rPr>
        <w:t>94</w:t>
      </w:r>
      <w:r>
        <w:rPr>
          <w:noProof/>
        </w:rPr>
        <w:fldChar w:fldCharType="end"/>
      </w:r>
    </w:p>
    <w:p w14:paraId="40CD846F" w14:textId="27D5DB28"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12: HCFCs and HFCs in pre-charged equipment from 2006 to 2016 by species in tonnes.</w:t>
      </w:r>
      <w:r>
        <w:rPr>
          <w:noProof/>
        </w:rPr>
        <w:tab/>
      </w:r>
      <w:r>
        <w:rPr>
          <w:noProof/>
        </w:rPr>
        <w:fldChar w:fldCharType="begin"/>
      </w:r>
      <w:r>
        <w:rPr>
          <w:noProof/>
        </w:rPr>
        <w:instrText xml:space="preserve"> PAGEREF _Toc525141343 \h </w:instrText>
      </w:r>
      <w:r>
        <w:rPr>
          <w:noProof/>
        </w:rPr>
      </w:r>
      <w:r>
        <w:rPr>
          <w:noProof/>
        </w:rPr>
        <w:fldChar w:fldCharType="separate"/>
      </w:r>
      <w:r>
        <w:rPr>
          <w:noProof/>
        </w:rPr>
        <w:t>95</w:t>
      </w:r>
      <w:r>
        <w:rPr>
          <w:noProof/>
        </w:rPr>
        <w:fldChar w:fldCharType="end"/>
      </w:r>
    </w:p>
    <w:p w14:paraId="275E6F57" w14:textId="1B97F583"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13: Bulk imports of HFCs and HCFCs from 2012 to 2016, and 5 year average in tonnes.</w:t>
      </w:r>
      <w:r>
        <w:rPr>
          <w:noProof/>
        </w:rPr>
        <w:tab/>
      </w:r>
      <w:r>
        <w:rPr>
          <w:noProof/>
        </w:rPr>
        <w:fldChar w:fldCharType="begin"/>
      </w:r>
      <w:r>
        <w:rPr>
          <w:noProof/>
        </w:rPr>
        <w:instrText xml:space="preserve"> PAGEREF _Toc525141344 \h </w:instrText>
      </w:r>
      <w:r>
        <w:rPr>
          <w:noProof/>
        </w:rPr>
      </w:r>
      <w:r>
        <w:rPr>
          <w:noProof/>
        </w:rPr>
        <w:fldChar w:fldCharType="separate"/>
      </w:r>
      <w:r>
        <w:rPr>
          <w:noProof/>
        </w:rPr>
        <w:t>96</w:t>
      </w:r>
      <w:r>
        <w:rPr>
          <w:noProof/>
        </w:rPr>
        <w:fldChar w:fldCharType="end"/>
      </w:r>
    </w:p>
    <w:p w14:paraId="6CE22E5A" w14:textId="42F4047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14: Trend of HFC and HCFC bulk imports in kt CO</w:t>
      </w:r>
      <w:r w:rsidRPr="00007637">
        <w:rPr>
          <w:noProof/>
          <w:vertAlign w:val="subscript"/>
        </w:rPr>
        <w:t>2</w:t>
      </w:r>
      <w:r>
        <w:rPr>
          <w:noProof/>
        </w:rPr>
        <w:t>e from 2008 to 2016.</w:t>
      </w:r>
      <w:r>
        <w:rPr>
          <w:noProof/>
        </w:rPr>
        <w:tab/>
      </w:r>
      <w:r>
        <w:rPr>
          <w:noProof/>
        </w:rPr>
        <w:fldChar w:fldCharType="begin"/>
      </w:r>
      <w:r>
        <w:rPr>
          <w:noProof/>
        </w:rPr>
        <w:instrText xml:space="preserve"> PAGEREF _Toc525141345 \h </w:instrText>
      </w:r>
      <w:r>
        <w:rPr>
          <w:noProof/>
        </w:rPr>
      </w:r>
      <w:r>
        <w:rPr>
          <w:noProof/>
        </w:rPr>
        <w:fldChar w:fldCharType="separate"/>
      </w:r>
      <w:r>
        <w:rPr>
          <w:noProof/>
        </w:rPr>
        <w:t>98</w:t>
      </w:r>
      <w:r>
        <w:rPr>
          <w:noProof/>
        </w:rPr>
        <w:fldChar w:fldCharType="end"/>
      </w:r>
    </w:p>
    <w:p w14:paraId="3C19130E" w14:textId="5F34A767" w:rsidR="0032645B" w:rsidRDefault="0032645B">
      <w:pPr>
        <w:pStyle w:val="TableofFigures"/>
        <w:tabs>
          <w:tab w:val="right" w:leader="dot" w:pos="9487"/>
        </w:tabs>
        <w:rPr>
          <w:rFonts w:asciiTheme="minorHAnsi" w:eastAsiaTheme="minorEastAsia" w:hAnsiTheme="minorHAnsi" w:cstheme="minorBidi"/>
          <w:noProof/>
          <w:sz w:val="24"/>
          <w:lang w:val="en-AU"/>
        </w:rPr>
      </w:pPr>
      <w:r w:rsidRPr="00007637">
        <w:rPr>
          <w:i/>
          <w:noProof/>
        </w:rPr>
        <w:t>Figure 15: Five year average HFC bulk imports by species in tonnes and percent.</w:t>
      </w:r>
      <w:r>
        <w:rPr>
          <w:noProof/>
        </w:rPr>
        <w:tab/>
      </w:r>
      <w:r>
        <w:rPr>
          <w:noProof/>
        </w:rPr>
        <w:fldChar w:fldCharType="begin"/>
      </w:r>
      <w:r>
        <w:rPr>
          <w:noProof/>
        </w:rPr>
        <w:instrText xml:space="preserve"> PAGEREF _Toc525141346 \h </w:instrText>
      </w:r>
      <w:r>
        <w:rPr>
          <w:noProof/>
        </w:rPr>
      </w:r>
      <w:r>
        <w:rPr>
          <w:noProof/>
        </w:rPr>
        <w:fldChar w:fldCharType="separate"/>
      </w:r>
      <w:r>
        <w:rPr>
          <w:noProof/>
        </w:rPr>
        <w:t>99</w:t>
      </w:r>
      <w:r>
        <w:rPr>
          <w:noProof/>
        </w:rPr>
        <w:fldChar w:fldCharType="end"/>
      </w:r>
    </w:p>
    <w:p w14:paraId="28FCCA57" w14:textId="41CCAE10"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16: Projected development - refrigerant bank trend by species from 2012 to 2017 (2010 to 2012 actual).</w:t>
      </w:r>
      <w:r>
        <w:rPr>
          <w:noProof/>
        </w:rPr>
        <w:tab/>
      </w:r>
      <w:r>
        <w:rPr>
          <w:noProof/>
        </w:rPr>
        <w:fldChar w:fldCharType="begin"/>
      </w:r>
      <w:r>
        <w:rPr>
          <w:noProof/>
        </w:rPr>
        <w:instrText xml:space="preserve"> PAGEREF _Toc525141347 \h </w:instrText>
      </w:r>
      <w:r>
        <w:rPr>
          <w:noProof/>
        </w:rPr>
      </w:r>
      <w:r>
        <w:rPr>
          <w:noProof/>
        </w:rPr>
        <w:fldChar w:fldCharType="separate"/>
      </w:r>
      <w:r>
        <w:rPr>
          <w:noProof/>
        </w:rPr>
        <w:t>102</w:t>
      </w:r>
      <w:r>
        <w:rPr>
          <w:noProof/>
        </w:rPr>
        <w:fldChar w:fldCharType="end"/>
      </w:r>
    </w:p>
    <w:p w14:paraId="04EB45AC" w14:textId="6929A42C"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17: Refrigerant types and international industrial gas management regimes.</w:t>
      </w:r>
      <w:r>
        <w:rPr>
          <w:noProof/>
        </w:rPr>
        <w:tab/>
      </w:r>
      <w:r>
        <w:rPr>
          <w:noProof/>
        </w:rPr>
        <w:fldChar w:fldCharType="begin"/>
      </w:r>
      <w:r>
        <w:rPr>
          <w:noProof/>
        </w:rPr>
        <w:instrText xml:space="preserve"> PAGEREF _Toc525141348 \h </w:instrText>
      </w:r>
      <w:r>
        <w:rPr>
          <w:noProof/>
        </w:rPr>
      </w:r>
      <w:r>
        <w:rPr>
          <w:noProof/>
        </w:rPr>
        <w:fldChar w:fldCharType="separate"/>
      </w:r>
      <w:r>
        <w:rPr>
          <w:noProof/>
        </w:rPr>
        <w:t>111</w:t>
      </w:r>
      <w:r>
        <w:rPr>
          <w:noProof/>
        </w:rPr>
        <w:fldChar w:fldCharType="end"/>
      </w:r>
    </w:p>
    <w:p w14:paraId="50DC97B2" w14:textId="01341E84"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18: </w:t>
      </w:r>
      <w:r w:rsidRPr="00007637">
        <w:rPr>
          <w:noProof/>
        </w:rPr>
        <w:t>Refrigerant bank (actual) by species from 2016 to 2030 in tonnes.</w:t>
      </w:r>
      <w:r>
        <w:rPr>
          <w:noProof/>
        </w:rPr>
        <w:tab/>
      </w:r>
      <w:r>
        <w:rPr>
          <w:noProof/>
        </w:rPr>
        <w:fldChar w:fldCharType="begin"/>
      </w:r>
      <w:r>
        <w:rPr>
          <w:noProof/>
        </w:rPr>
        <w:instrText xml:space="preserve"> PAGEREF _Toc525141349 \h </w:instrText>
      </w:r>
      <w:r>
        <w:rPr>
          <w:noProof/>
        </w:rPr>
      </w:r>
      <w:r>
        <w:rPr>
          <w:noProof/>
        </w:rPr>
        <w:fldChar w:fldCharType="separate"/>
      </w:r>
      <w:r>
        <w:rPr>
          <w:noProof/>
        </w:rPr>
        <w:t>113</w:t>
      </w:r>
      <w:r>
        <w:rPr>
          <w:noProof/>
        </w:rPr>
        <w:fldChar w:fldCharType="end"/>
      </w:r>
    </w:p>
    <w:p w14:paraId="39B47B0E" w14:textId="581EC116"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19:</w:t>
      </w:r>
      <w:r w:rsidRPr="00007637">
        <w:rPr>
          <w:noProof/>
        </w:rPr>
        <w:t xml:space="preserve"> Refrigerant bank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_Toc525141350 \h </w:instrText>
      </w:r>
      <w:r>
        <w:rPr>
          <w:noProof/>
        </w:rPr>
      </w:r>
      <w:r>
        <w:rPr>
          <w:noProof/>
        </w:rPr>
        <w:fldChar w:fldCharType="separate"/>
      </w:r>
      <w:r>
        <w:rPr>
          <w:noProof/>
        </w:rPr>
        <w:t>114</w:t>
      </w:r>
      <w:r>
        <w:rPr>
          <w:noProof/>
        </w:rPr>
        <w:fldChar w:fldCharType="end"/>
      </w:r>
    </w:p>
    <w:p w14:paraId="5BE1976F" w14:textId="6DD0ED80"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20: </w:t>
      </w:r>
      <w:r w:rsidRPr="00007637">
        <w:rPr>
          <w:noProof/>
        </w:rPr>
        <w:t>Refrigerant bank (equivalent) by species from 2016 to 2030 in tonnes.</w:t>
      </w:r>
      <w:r>
        <w:rPr>
          <w:noProof/>
        </w:rPr>
        <w:tab/>
      </w:r>
      <w:r>
        <w:rPr>
          <w:noProof/>
        </w:rPr>
        <w:fldChar w:fldCharType="begin"/>
      </w:r>
      <w:r>
        <w:rPr>
          <w:noProof/>
        </w:rPr>
        <w:instrText xml:space="preserve"> PAGEREF _Toc525141351 \h </w:instrText>
      </w:r>
      <w:r>
        <w:rPr>
          <w:noProof/>
        </w:rPr>
      </w:r>
      <w:r>
        <w:rPr>
          <w:noProof/>
        </w:rPr>
        <w:fldChar w:fldCharType="separate"/>
      </w:r>
      <w:r>
        <w:rPr>
          <w:noProof/>
        </w:rPr>
        <w:t>115</w:t>
      </w:r>
      <w:r>
        <w:rPr>
          <w:noProof/>
        </w:rPr>
        <w:fldChar w:fldCharType="end"/>
      </w:r>
    </w:p>
    <w:p w14:paraId="787B64DF" w14:textId="44DFBFFB"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21: </w:t>
      </w:r>
      <w:r w:rsidRPr="00007637">
        <w:rPr>
          <w:noProof/>
        </w:rPr>
        <w:t>Stationary AC refrigerant bank (actual) by species from 2016 to 2030 in tonnes.</w:t>
      </w:r>
      <w:r>
        <w:rPr>
          <w:noProof/>
        </w:rPr>
        <w:tab/>
      </w:r>
      <w:r>
        <w:rPr>
          <w:noProof/>
        </w:rPr>
        <w:fldChar w:fldCharType="begin"/>
      </w:r>
      <w:r>
        <w:rPr>
          <w:noProof/>
        </w:rPr>
        <w:instrText xml:space="preserve"> PAGEREF _Toc525141352 \h </w:instrText>
      </w:r>
      <w:r>
        <w:rPr>
          <w:noProof/>
        </w:rPr>
      </w:r>
      <w:r>
        <w:rPr>
          <w:noProof/>
        </w:rPr>
        <w:fldChar w:fldCharType="separate"/>
      </w:r>
      <w:r>
        <w:rPr>
          <w:noProof/>
        </w:rPr>
        <w:t>115</w:t>
      </w:r>
      <w:r>
        <w:rPr>
          <w:noProof/>
        </w:rPr>
        <w:fldChar w:fldCharType="end"/>
      </w:r>
    </w:p>
    <w:p w14:paraId="30D9C044" w14:textId="35091653"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22:</w:t>
      </w:r>
      <w:r w:rsidRPr="00007637">
        <w:rPr>
          <w:noProof/>
        </w:rPr>
        <w:t xml:space="preserve"> Stationary AC refrigerant bank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_Toc525141353 \h </w:instrText>
      </w:r>
      <w:r>
        <w:rPr>
          <w:noProof/>
        </w:rPr>
      </w:r>
      <w:r>
        <w:rPr>
          <w:noProof/>
        </w:rPr>
        <w:fldChar w:fldCharType="separate"/>
      </w:r>
      <w:r>
        <w:rPr>
          <w:noProof/>
        </w:rPr>
        <w:t>116</w:t>
      </w:r>
      <w:r>
        <w:rPr>
          <w:noProof/>
        </w:rPr>
        <w:fldChar w:fldCharType="end"/>
      </w:r>
    </w:p>
    <w:p w14:paraId="2CB1B0EB" w14:textId="0DC986A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23: </w:t>
      </w:r>
      <w:r w:rsidRPr="00007637">
        <w:rPr>
          <w:noProof/>
        </w:rPr>
        <w:t>Small AC: Split refrigerant bank (actual) by species from 2016 to 2030 in tonnes.</w:t>
      </w:r>
      <w:r>
        <w:rPr>
          <w:noProof/>
        </w:rPr>
        <w:tab/>
      </w:r>
      <w:r>
        <w:rPr>
          <w:noProof/>
        </w:rPr>
        <w:fldChar w:fldCharType="begin"/>
      </w:r>
      <w:r>
        <w:rPr>
          <w:noProof/>
        </w:rPr>
        <w:instrText xml:space="preserve"> PAGEREF _Toc525141354 \h </w:instrText>
      </w:r>
      <w:r>
        <w:rPr>
          <w:noProof/>
        </w:rPr>
      </w:r>
      <w:r>
        <w:rPr>
          <w:noProof/>
        </w:rPr>
        <w:fldChar w:fldCharType="separate"/>
      </w:r>
      <w:r>
        <w:rPr>
          <w:noProof/>
        </w:rPr>
        <w:t>117</w:t>
      </w:r>
      <w:r>
        <w:rPr>
          <w:noProof/>
        </w:rPr>
        <w:fldChar w:fldCharType="end"/>
      </w:r>
    </w:p>
    <w:p w14:paraId="37DCF466" w14:textId="045FD2C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24: </w:t>
      </w:r>
      <w:r w:rsidRPr="00007637">
        <w:rPr>
          <w:noProof/>
        </w:rPr>
        <w:t>Medium AC refrigerant bank (actual) by species from 2016 to 2030 in tonnes.</w:t>
      </w:r>
      <w:r>
        <w:rPr>
          <w:noProof/>
        </w:rPr>
        <w:tab/>
      </w:r>
      <w:r>
        <w:rPr>
          <w:noProof/>
        </w:rPr>
        <w:fldChar w:fldCharType="begin"/>
      </w:r>
      <w:r>
        <w:rPr>
          <w:noProof/>
        </w:rPr>
        <w:instrText xml:space="preserve"> PAGEREF _Toc525141355 \h </w:instrText>
      </w:r>
      <w:r>
        <w:rPr>
          <w:noProof/>
        </w:rPr>
      </w:r>
      <w:r>
        <w:rPr>
          <w:noProof/>
        </w:rPr>
        <w:fldChar w:fldCharType="separate"/>
      </w:r>
      <w:r>
        <w:rPr>
          <w:noProof/>
        </w:rPr>
        <w:t>118</w:t>
      </w:r>
      <w:r>
        <w:rPr>
          <w:noProof/>
        </w:rPr>
        <w:fldChar w:fldCharType="end"/>
      </w:r>
    </w:p>
    <w:p w14:paraId="3298BC68" w14:textId="184A294C"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25:</w:t>
      </w:r>
      <w:r w:rsidRPr="00007637">
        <w:rPr>
          <w:noProof/>
        </w:rPr>
        <w:t xml:space="preserve"> Mobile AC refrigerant bank (actual) by species from 2016 to 2030 in tonnes.</w:t>
      </w:r>
      <w:r>
        <w:rPr>
          <w:noProof/>
        </w:rPr>
        <w:tab/>
      </w:r>
      <w:r>
        <w:rPr>
          <w:noProof/>
        </w:rPr>
        <w:fldChar w:fldCharType="begin"/>
      </w:r>
      <w:r>
        <w:rPr>
          <w:noProof/>
        </w:rPr>
        <w:instrText xml:space="preserve"> PAGEREF _Toc525141356 \h </w:instrText>
      </w:r>
      <w:r>
        <w:rPr>
          <w:noProof/>
        </w:rPr>
      </w:r>
      <w:r>
        <w:rPr>
          <w:noProof/>
        </w:rPr>
        <w:fldChar w:fldCharType="separate"/>
      </w:r>
      <w:r>
        <w:rPr>
          <w:noProof/>
        </w:rPr>
        <w:t>119</w:t>
      </w:r>
      <w:r>
        <w:rPr>
          <w:noProof/>
        </w:rPr>
        <w:fldChar w:fldCharType="end"/>
      </w:r>
    </w:p>
    <w:p w14:paraId="2880A2F8" w14:textId="41FA0AC0"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26</w:t>
      </w:r>
      <w:r w:rsidRPr="00007637">
        <w:rPr>
          <w:noProof/>
        </w:rPr>
        <w:t>: Mobile AC refrigerant bank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_Toc525141357 \h </w:instrText>
      </w:r>
      <w:r>
        <w:rPr>
          <w:noProof/>
        </w:rPr>
      </w:r>
      <w:r>
        <w:rPr>
          <w:noProof/>
        </w:rPr>
        <w:fldChar w:fldCharType="separate"/>
      </w:r>
      <w:r>
        <w:rPr>
          <w:noProof/>
        </w:rPr>
        <w:t>120</w:t>
      </w:r>
      <w:r>
        <w:rPr>
          <w:noProof/>
        </w:rPr>
        <w:fldChar w:fldCharType="end"/>
      </w:r>
    </w:p>
    <w:p w14:paraId="69F8DEFB" w14:textId="61E690B0"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27: </w:t>
      </w:r>
      <w:r w:rsidRPr="00007637">
        <w:rPr>
          <w:noProof/>
        </w:rPr>
        <w:t>Small Mobile AC refrigerant bank (actual) by species from 2016 to 2030 in tonnes.</w:t>
      </w:r>
      <w:r>
        <w:rPr>
          <w:noProof/>
        </w:rPr>
        <w:tab/>
      </w:r>
      <w:r>
        <w:rPr>
          <w:noProof/>
        </w:rPr>
        <w:fldChar w:fldCharType="begin"/>
      </w:r>
      <w:r>
        <w:rPr>
          <w:noProof/>
        </w:rPr>
        <w:instrText xml:space="preserve"> PAGEREF _Toc525141358 \h </w:instrText>
      </w:r>
      <w:r>
        <w:rPr>
          <w:noProof/>
        </w:rPr>
      </w:r>
      <w:r>
        <w:rPr>
          <w:noProof/>
        </w:rPr>
        <w:fldChar w:fldCharType="separate"/>
      </w:r>
      <w:r>
        <w:rPr>
          <w:noProof/>
        </w:rPr>
        <w:t>121</w:t>
      </w:r>
      <w:r>
        <w:rPr>
          <w:noProof/>
        </w:rPr>
        <w:fldChar w:fldCharType="end"/>
      </w:r>
    </w:p>
    <w:p w14:paraId="0B8F29B0" w14:textId="025AEE5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28</w:t>
      </w:r>
      <w:r w:rsidRPr="00007637">
        <w:rPr>
          <w:noProof/>
        </w:rPr>
        <w:t>: Small Mobile AC refrigerant bank (equivalent) by species from 2016 to 2030 in tonnes.</w:t>
      </w:r>
      <w:r>
        <w:rPr>
          <w:noProof/>
        </w:rPr>
        <w:tab/>
      </w:r>
      <w:r>
        <w:rPr>
          <w:noProof/>
        </w:rPr>
        <w:fldChar w:fldCharType="begin"/>
      </w:r>
      <w:r>
        <w:rPr>
          <w:noProof/>
        </w:rPr>
        <w:instrText xml:space="preserve"> PAGEREF _Toc525141359 \h </w:instrText>
      </w:r>
      <w:r>
        <w:rPr>
          <w:noProof/>
        </w:rPr>
      </w:r>
      <w:r>
        <w:rPr>
          <w:noProof/>
        </w:rPr>
        <w:fldChar w:fldCharType="separate"/>
      </w:r>
      <w:r>
        <w:rPr>
          <w:noProof/>
        </w:rPr>
        <w:t>121</w:t>
      </w:r>
      <w:r>
        <w:rPr>
          <w:noProof/>
        </w:rPr>
        <w:fldChar w:fldCharType="end"/>
      </w:r>
    </w:p>
    <w:p w14:paraId="0E3F0B00" w14:textId="4CE0396A"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29</w:t>
      </w:r>
      <w:r w:rsidRPr="00007637">
        <w:rPr>
          <w:noProof/>
        </w:rPr>
        <w:t>: Refrigerant bank (actual) by species from 2016 to 2030 in tonnes.</w:t>
      </w:r>
      <w:r>
        <w:rPr>
          <w:noProof/>
        </w:rPr>
        <w:tab/>
      </w:r>
      <w:r>
        <w:rPr>
          <w:noProof/>
        </w:rPr>
        <w:fldChar w:fldCharType="begin"/>
      </w:r>
      <w:r>
        <w:rPr>
          <w:noProof/>
        </w:rPr>
        <w:instrText xml:space="preserve"> PAGEREF _Toc525141360 \h </w:instrText>
      </w:r>
      <w:r>
        <w:rPr>
          <w:noProof/>
        </w:rPr>
      </w:r>
      <w:r>
        <w:rPr>
          <w:noProof/>
        </w:rPr>
        <w:fldChar w:fldCharType="separate"/>
      </w:r>
      <w:r>
        <w:rPr>
          <w:noProof/>
        </w:rPr>
        <w:t>122</w:t>
      </w:r>
      <w:r>
        <w:rPr>
          <w:noProof/>
        </w:rPr>
        <w:fldChar w:fldCharType="end"/>
      </w:r>
    </w:p>
    <w:p w14:paraId="2395AC1C" w14:textId="23E4A39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30</w:t>
      </w:r>
      <w:r w:rsidRPr="00007637">
        <w:rPr>
          <w:noProof/>
        </w:rPr>
        <w:t>: Medium commercial refrigeration refrigerant bank (actual) by species from 2016 to 2030 in tonnes.</w:t>
      </w:r>
      <w:r>
        <w:rPr>
          <w:noProof/>
        </w:rPr>
        <w:tab/>
      </w:r>
      <w:r>
        <w:rPr>
          <w:noProof/>
        </w:rPr>
        <w:fldChar w:fldCharType="begin"/>
      </w:r>
      <w:r>
        <w:rPr>
          <w:noProof/>
        </w:rPr>
        <w:instrText xml:space="preserve"> PAGEREF _Toc525141361 \h </w:instrText>
      </w:r>
      <w:r>
        <w:rPr>
          <w:noProof/>
        </w:rPr>
      </w:r>
      <w:r>
        <w:rPr>
          <w:noProof/>
        </w:rPr>
        <w:fldChar w:fldCharType="separate"/>
      </w:r>
      <w:r>
        <w:rPr>
          <w:noProof/>
        </w:rPr>
        <w:t>124</w:t>
      </w:r>
      <w:r>
        <w:rPr>
          <w:noProof/>
        </w:rPr>
        <w:fldChar w:fldCharType="end"/>
      </w:r>
    </w:p>
    <w:p w14:paraId="3FF86EFC" w14:textId="79E2FD06"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31</w:t>
      </w:r>
      <w:r w:rsidRPr="00007637">
        <w:rPr>
          <w:noProof/>
        </w:rPr>
        <w:t>: Supermarket refrigerant bank (actual) by species from 2016 to 2030 in tonnes.</w:t>
      </w:r>
      <w:r>
        <w:rPr>
          <w:noProof/>
        </w:rPr>
        <w:tab/>
      </w:r>
      <w:r>
        <w:rPr>
          <w:noProof/>
        </w:rPr>
        <w:fldChar w:fldCharType="begin"/>
      </w:r>
      <w:r>
        <w:rPr>
          <w:noProof/>
        </w:rPr>
        <w:instrText xml:space="preserve"> PAGEREF _Toc525141362 \h </w:instrText>
      </w:r>
      <w:r>
        <w:rPr>
          <w:noProof/>
        </w:rPr>
      </w:r>
      <w:r>
        <w:rPr>
          <w:noProof/>
        </w:rPr>
        <w:fldChar w:fldCharType="separate"/>
      </w:r>
      <w:r>
        <w:rPr>
          <w:noProof/>
        </w:rPr>
        <w:t>125</w:t>
      </w:r>
      <w:r>
        <w:rPr>
          <w:noProof/>
        </w:rPr>
        <w:fldChar w:fldCharType="end"/>
      </w:r>
    </w:p>
    <w:p w14:paraId="38C697F5" w14:textId="701785C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32</w:t>
      </w:r>
      <w:r w:rsidRPr="00007637">
        <w:rPr>
          <w:noProof/>
        </w:rPr>
        <w:t>: Transport Refrigeration refrigerant bank (Actual) by Species from 2016 to 2030 in tonnes.</w:t>
      </w:r>
      <w:r>
        <w:rPr>
          <w:noProof/>
        </w:rPr>
        <w:tab/>
      </w:r>
      <w:r>
        <w:rPr>
          <w:noProof/>
        </w:rPr>
        <w:fldChar w:fldCharType="begin"/>
      </w:r>
      <w:r>
        <w:rPr>
          <w:noProof/>
        </w:rPr>
        <w:instrText xml:space="preserve"> PAGEREF _Toc525141363 \h </w:instrText>
      </w:r>
      <w:r>
        <w:rPr>
          <w:noProof/>
        </w:rPr>
      </w:r>
      <w:r>
        <w:rPr>
          <w:noProof/>
        </w:rPr>
        <w:fldChar w:fldCharType="separate"/>
      </w:r>
      <w:r>
        <w:rPr>
          <w:noProof/>
        </w:rPr>
        <w:t>127</w:t>
      </w:r>
      <w:r>
        <w:rPr>
          <w:noProof/>
        </w:rPr>
        <w:fldChar w:fldCharType="end"/>
      </w:r>
    </w:p>
    <w:p w14:paraId="35C066C0" w14:textId="5C4490E1"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33</w:t>
      </w:r>
      <w:r w:rsidRPr="00007637">
        <w:rPr>
          <w:noProof/>
        </w:rPr>
        <w:t>: Domestic refrigeration refrigerant bank (actual) by species from 2016 to 2030 in tonnes.</w:t>
      </w:r>
      <w:r>
        <w:rPr>
          <w:noProof/>
        </w:rPr>
        <w:tab/>
      </w:r>
      <w:r>
        <w:rPr>
          <w:noProof/>
        </w:rPr>
        <w:fldChar w:fldCharType="begin"/>
      </w:r>
      <w:r>
        <w:rPr>
          <w:noProof/>
        </w:rPr>
        <w:instrText xml:space="preserve"> PAGEREF _Toc525141364 \h </w:instrText>
      </w:r>
      <w:r>
        <w:rPr>
          <w:noProof/>
        </w:rPr>
      </w:r>
      <w:r>
        <w:rPr>
          <w:noProof/>
        </w:rPr>
        <w:fldChar w:fldCharType="separate"/>
      </w:r>
      <w:r>
        <w:rPr>
          <w:noProof/>
        </w:rPr>
        <w:t>127</w:t>
      </w:r>
      <w:r>
        <w:rPr>
          <w:noProof/>
        </w:rPr>
        <w:fldChar w:fldCharType="end"/>
      </w:r>
    </w:p>
    <w:p w14:paraId="313297F0" w14:textId="17745908"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34</w:t>
      </w:r>
      <w:r w:rsidRPr="00007637">
        <w:rPr>
          <w:noProof/>
        </w:rPr>
        <w:t>: Refrigerant bank (equivalent) by species from 2016 to 2030 in tonnes.</w:t>
      </w:r>
      <w:r>
        <w:rPr>
          <w:noProof/>
        </w:rPr>
        <w:tab/>
      </w:r>
      <w:r>
        <w:rPr>
          <w:noProof/>
        </w:rPr>
        <w:fldChar w:fldCharType="begin"/>
      </w:r>
      <w:r>
        <w:rPr>
          <w:noProof/>
        </w:rPr>
        <w:instrText xml:space="preserve"> PAGEREF _Toc525141365 \h </w:instrText>
      </w:r>
      <w:r>
        <w:rPr>
          <w:noProof/>
        </w:rPr>
      </w:r>
      <w:r>
        <w:rPr>
          <w:noProof/>
        </w:rPr>
        <w:fldChar w:fldCharType="separate"/>
      </w:r>
      <w:r>
        <w:rPr>
          <w:noProof/>
        </w:rPr>
        <w:t>128</w:t>
      </w:r>
      <w:r>
        <w:rPr>
          <w:noProof/>
        </w:rPr>
        <w:fldChar w:fldCharType="end"/>
      </w:r>
    </w:p>
    <w:p w14:paraId="7CFB90E6" w14:textId="4D3F2879" w:rsidR="0032645B" w:rsidRDefault="0032645B">
      <w:pPr>
        <w:pStyle w:val="TableofFigures"/>
        <w:tabs>
          <w:tab w:val="right" w:leader="dot" w:pos="9487"/>
        </w:tabs>
        <w:rPr>
          <w:rFonts w:asciiTheme="minorHAnsi" w:eastAsiaTheme="minorEastAsia" w:hAnsiTheme="minorHAnsi" w:cstheme="minorBidi"/>
          <w:noProof/>
          <w:sz w:val="24"/>
          <w:lang w:val="en-AU"/>
        </w:rPr>
      </w:pPr>
      <w:r w:rsidRPr="00007637">
        <w:rPr>
          <w:i/>
          <w:noProof/>
        </w:rPr>
        <w:t>Figure 35: Estimated HFC usage in 2006, 2010, 2012 (normalised) and 2016 in tonnes</w:t>
      </w:r>
      <w:r>
        <w:rPr>
          <w:noProof/>
        </w:rPr>
        <w:tab/>
      </w:r>
      <w:r>
        <w:rPr>
          <w:noProof/>
        </w:rPr>
        <w:fldChar w:fldCharType="begin"/>
      </w:r>
      <w:r>
        <w:rPr>
          <w:noProof/>
        </w:rPr>
        <w:instrText xml:space="preserve"> PAGEREF _Toc525141366 \h </w:instrText>
      </w:r>
      <w:r>
        <w:rPr>
          <w:noProof/>
        </w:rPr>
      </w:r>
      <w:r>
        <w:rPr>
          <w:noProof/>
        </w:rPr>
        <w:fldChar w:fldCharType="separate"/>
      </w:r>
      <w:r>
        <w:rPr>
          <w:noProof/>
        </w:rPr>
        <w:t>130</w:t>
      </w:r>
      <w:r>
        <w:rPr>
          <w:noProof/>
        </w:rPr>
        <w:fldChar w:fldCharType="end"/>
      </w:r>
    </w:p>
    <w:p w14:paraId="59F2C908" w14:textId="02195736"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36</w:t>
      </w:r>
      <w:r w:rsidRPr="00007637">
        <w:rPr>
          <w:noProof/>
        </w:rPr>
        <w:t>: Refrigerant usage (actual) by species from 2016 to 2030 in tonnes.</w:t>
      </w:r>
      <w:r>
        <w:rPr>
          <w:noProof/>
        </w:rPr>
        <w:tab/>
      </w:r>
      <w:r>
        <w:rPr>
          <w:noProof/>
        </w:rPr>
        <w:fldChar w:fldCharType="begin"/>
      </w:r>
      <w:r>
        <w:rPr>
          <w:noProof/>
        </w:rPr>
        <w:instrText xml:space="preserve"> PAGEREF _Toc525141367 \h </w:instrText>
      </w:r>
      <w:r>
        <w:rPr>
          <w:noProof/>
        </w:rPr>
      </w:r>
      <w:r>
        <w:rPr>
          <w:noProof/>
        </w:rPr>
        <w:fldChar w:fldCharType="separate"/>
      </w:r>
      <w:r>
        <w:rPr>
          <w:noProof/>
        </w:rPr>
        <w:t>133</w:t>
      </w:r>
      <w:r>
        <w:rPr>
          <w:noProof/>
        </w:rPr>
        <w:fldChar w:fldCharType="end"/>
      </w:r>
    </w:p>
    <w:p w14:paraId="52170CF3" w14:textId="5BCC1F75"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37</w:t>
      </w:r>
      <w:r w:rsidRPr="00007637">
        <w:rPr>
          <w:noProof/>
        </w:rPr>
        <w:t>: Refrigerant usage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_Toc525141368 \h </w:instrText>
      </w:r>
      <w:r>
        <w:rPr>
          <w:noProof/>
        </w:rPr>
      </w:r>
      <w:r>
        <w:rPr>
          <w:noProof/>
        </w:rPr>
        <w:fldChar w:fldCharType="separate"/>
      </w:r>
      <w:r>
        <w:rPr>
          <w:noProof/>
        </w:rPr>
        <w:t>133</w:t>
      </w:r>
      <w:r>
        <w:rPr>
          <w:noProof/>
        </w:rPr>
        <w:fldChar w:fldCharType="end"/>
      </w:r>
    </w:p>
    <w:p w14:paraId="5958A656" w14:textId="6AE432D5"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38:</w:t>
      </w:r>
      <w:r w:rsidRPr="00007637">
        <w:rPr>
          <w:noProof/>
        </w:rPr>
        <w:t xml:space="preserve"> Direct emissions (actual) by species from 2016 to 2030 in tonnes.</w:t>
      </w:r>
      <w:r>
        <w:rPr>
          <w:noProof/>
        </w:rPr>
        <w:tab/>
      </w:r>
      <w:r>
        <w:rPr>
          <w:noProof/>
        </w:rPr>
        <w:fldChar w:fldCharType="begin"/>
      </w:r>
      <w:r>
        <w:rPr>
          <w:noProof/>
        </w:rPr>
        <w:instrText xml:space="preserve"> PAGEREF _Toc525141369 \h </w:instrText>
      </w:r>
      <w:r>
        <w:rPr>
          <w:noProof/>
        </w:rPr>
      </w:r>
      <w:r>
        <w:rPr>
          <w:noProof/>
        </w:rPr>
        <w:fldChar w:fldCharType="separate"/>
      </w:r>
      <w:r>
        <w:rPr>
          <w:noProof/>
        </w:rPr>
        <w:t>137</w:t>
      </w:r>
      <w:r>
        <w:rPr>
          <w:noProof/>
        </w:rPr>
        <w:fldChar w:fldCharType="end"/>
      </w:r>
    </w:p>
    <w:p w14:paraId="38F205D6" w14:textId="7B1FFDFB"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39</w:t>
      </w:r>
      <w:r w:rsidRPr="00007637">
        <w:rPr>
          <w:noProof/>
        </w:rPr>
        <w:t>: Direct emissions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_Toc525141370 \h </w:instrText>
      </w:r>
      <w:r>
        <w:rPr>
          <w:noProof/>
        </w:rPr>
      </w:r>
      <w:r>
        <w:rPr>
          <w:noProof/>
        </w:rPr>
        <w:fldChar w:fldCharType="separate"/>
      </w:r>
      <w:r>
        <w:rPr>
          <w:noProof/>
        </w:rPr>
        <w:t>137</w:t>
      </w:r>
      <w:r>
        <w:rPr>
          <w:noProof/>
        </w:rPr>
        <w:fldChar w:fldCharType="end"/>
      </w:r>
    </w:p>
    <w:p w14:paraId="37D6BF5B" w14:textId="572A41B0"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40:</w:t>
      </w:r>
      <w:r w:rsidRPr="00007637">
        <w:rPr>
          <w:noProof/>
        </w:rPr>
        <w:t xml:space="preserve"> Stationary AC: Direct emissions (actual) by species from 2016 to 2030 in tonnes.</w:t>
      </w:r>
      <w:r>
        <w:rPr>
          <w:noProof/>
        </w:rPr>
        <w:tab/>
      </w:r>
      <w:r>
        <w:rPr>
          <w:noProof/>
        </w:rPr>
        <w:fldChar w:fldCharType="begin"/>
      </w:r>
      <w:r>
        <w:rPr>
          <w:noProof/>
        </w:rPr>
        <w:instrText xml:space="preserve"> PAGEREF _Toc525141371 \h </w:instrText>
      </w:r>
      <w:r>
        <w:rPr>
          <w:noProof/>
        </w:rPr>
      </w:r>
      <w:r>
        <w:rPr>
          <w:noProof/>
        </w:rPr>
        <w:fldChar w:fldCharType="separate"/>
      </w:r>
      <w:r>
        <w:rPr>
          <w:noProof/>
        </w:rPr>
        <w:t>138</w:t>
      </w:r>
      <w:r>
        <w:rPr>
          <w:noProof/>
        </w:rPr>
        <w:fldChar w:fldCharType="end"/>
      </w:r>
    </w:p>
    <w:p w14:paraId="4477CD04" w14:textId="0A78F031"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41</w:t>
      </w:r>
      <w:r w:rsidRPr="00007637">
        <w:rPr>
          <w:noProof/>
        </w:rPr>
        <w:t>: Stationary AC: Direct emissions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_Toc525141372 \h </w:instrText>
      </w:r>
      <w:r>
        <w:rPr>
          <w:noProof/>
        </w:rPr>
      </w:r>
      <w:r>
        <w:rPr>
          <w:noProof/>
        </w:rPr>
        <w:fldChar w:fldCharType="separate"/>
      </w:r>
      <w:r>
        <w:rPr>
          <w:noProof/>
        </w:rPr>
        <w:t>139</w:t>
      </w:r>
      <w:r>
        <w:rPr>
          <w:noProof/>
        </w:rPr>
        <w:fldChar w:fldCharType="end"/>
      </w:r>
    </w:p>
    <w:p w14:paraId="4300ECD1" w14:textId="081635C9"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42</w:t>
      </w:r>
      <w:r w:rsidRPr="00007637">
        <w:rPr>
          <w:noProof/>
        </w:rPr>
        <w:t>: Mobile AC: Direct emissions (actual) by species from 2016 to 2030 in tonnes.</w:t>
      </w:r>
      <w:r>
        <w:rPr>
          <w:noProof/>
        </w:rPr>
        <w:tab/>
      </w:r>
      <w:r>
        <w:rPr>
          <w:noProof/>
        </w:rPr>
        <w:fldChar w:fldCharType="begin"/>
      </w:r>
      <w:r>
        <w:rPr>
          <w:noProof/>
        </w:rPr>
        <w:instrText xml:space="preserve"> PAGEREF _Toc525141373 \h </w:instrText>
      </w:r>
      <w:r>
        <w:rPr>
          <w:noProof/>
        </w:rPr>
      </w:r>
      <w:r>
        <w:rPr>
          <w:noProof/>
        </w:rPr>
        <w:fldChar w:fldCharType="separate"/>
      </w:r>
      <w:r>
        <w:rPr>
          <w:noProof/>
        </w:rPr>
        <w:t>139</w:t>
      </w:r>
      <w:r>
        <w:rPr>
          <w:noProof/>
        </w:rPr>
        <w:fldChar w:fldCharType="end"/>
      </w:r>
    </w:p>
    <w:p w14:paraId="1589EA04" w14:textId="4D0EA338"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43</w:t>
      </w:r>
      <w:r w:rsidRPr="00007637">
        <w:rPr>
          <w:noProof/>
        </w:rPr>
        <w:t>: Mobile AC: Direct emissions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_Toc525141374 \h </w:instrText>
      </w:r>
      <w:r>
        <w:rPr>
          <w:noProof/>
        </w:rPr>
      </w:r>
      <w:r>
        <w:rPr>
          <w:noProof/>
        </w:rPr>
        <w:fldChar w:fldCharType="separate"/>
      </w:r>
      <w:r>
        <w:rPr>
          <w:noProof/>
        </w:rPr>
        <w:t>140</w:t>
      </w:r>
      <w:r>
        <w:rPr>
          <w:noProof/>
        </w:rPr>
        <w:fldChar w:fldCharType="end"/>
      </w:r>
    </w:p>
    <w:p w14:paraId="66E357FE" w14:textId="0FAE73DA"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44</w:t>
      </w:r>
      <w:r w:rsidRPr="00007637">
        <w:rPr>
          <w:noProof/>
        </w:rPr>
        <w:t>: Domestic refrigeration: Direct emissions (actual) by species from 2016 to 2030 in tonnes.</w:t>
      </w:r>
      <w:r>
        <w:rPr>
          <w:noProof/>
        </w:rPr>
        <w:tab/>
      </w:r>
      <w:r>
        <w:rPr>
          <w:noProof/>
        </w:rPr>
        <w:fldChar w:fldCharType="begin"/>
      </w:r>
      <w:r>
        <w:rPr>
          <w:noProof/>
        </w:rPr>
        <w:instrText xml:space="preserve"> PAGEREF _Toc525141375 \h </w:instrText>
      </w:r>
      <w:r>
        <w:rPr>
          <w:noProof/>
        </w:rPr>
      </w:r>
      <w:r>
        <w:rPr>
          <w:noProof/>
        </w:rPr>
        <w:fldChar w:fldCharType="separate"/>
      </w:r>
      <w:r>
        <w:rPr>
          <w:noProof/>
        </w:rPr>
        <w:t>140</w:t>
      </w:r>
      <w:r>
        <w:rPr>
          <w:noProof/>
        </w:rPr>
        <w:fldChar w:fldCharType="end"/>
      </w:r>
    </w:p>
    <w:p w14:paraId="3AB3A27C" w14:textId="473B0291"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45: </w:t>
      </w:r>
      <w:r w:rsidRPr="00007637">
        <w:rPr>
          <w:noProof/>
        </w:rPr>
        <w:t>Domestic refrigeration: Direct emissions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_Toc525141376 \h </w:instrText>
      </w:r>
      <w:r>
        <w:rPr>
          <w:noProof/>
        </w:rPr>
      </w:r>
      <w:r>
        <w:rPr>
          <w:noProof/>
        </w:rPr>
        <w:fldChar w:fldCharType="separate"/>
      </w:r>
      <w:r>
        <w:rPr>
          <w:noProof/>
        </w:rPr>
        <w:t>141</w:t>
      </w:r>
      <w:r>
        <w:rPr>
          <w:noProof/>
        </w:rPr>
        <w:fldChar w:fldCharType="end"/>
      </w:r>
    </w:p>
    <w:p w14:paraId="186D4884" w14:textId="39AD70FC"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46</w:t>
      </w:r>
      <w:r w:rsidRPr="00007637">
        <w:rPr>
          <w:noProof/>
        </w:rPr>
        <w:t>: RCFC: Direct emissions (actual) by species from 2016 to 2030 in tonnes.</w:t>
      </w:r>
      <w:r>
        <w:rPr>
          <w:noProof/>
        </w:rPr>
        <w:tab/>
      </w:r>
      <w:r>
        <w:rPr>
          <w:noProof/>
        </w:rPr>
        <w:fldChar w:fldCharType="begin"/>
      </w:r>
      <w:r>
        <w:rPr>
          <w:noProof/>
        </w:rPr>
        <w:instrText xml:space="preserve"> PAGEREF _Toc525141377 \h </w:instrText>
      </w:r>
      <w:r>
        <w:rPr>
          <w:noProof/>
        </w:rPr>
      </w:r>
      <w:r>
        <w:rPr>
          <w:noProof/>
        </w:rPr>
        <w:fldChar w:fldCharType="separate"/>
      </w:r>
      <w:r>
        <w:rPr>
          <w:noProof/>
        </w:rPr>
        <w:t>142</w:t>
      </w:r>
      <w:r>
        <w:rPr>
          <w:noProof/>
        </w:rPr>
        <w:fldChar w:fldCharType="end"/>
      </w:r>
    </w:p>
    <w:p w14:paraId="33839EC9" w14:textId="3D233DE6"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Figure 47: </w:t>
      </w:r>
      <w:r w:rsidRPr="00007637">
        <w:rPr>
          <w:noProof/>
        </w:rPr>
        <w:t>RCFC: Direct emissions (actual) by species from 2016 to 2030 in Mt CO</w:t>
      </w:r>
      <w:r w:rsidRPr="00007637">
        <w:rPr>
          <w:noProof/>
          <w:vertAlign w:val="subscript"/>
        </w:rPr>
        <w:t>2</w:t>
      </w:r>
      <w:r w:rsidRPr="00007637">
        <w:rPr>
          <w:noProof/>
        </w:rPr>
        <w:t>e.</w:t>
      </w:r>
      <w:r>
        <w:rPr>
          <w:noProof/>
        </w:rPr>
        <w:tab/>
      </w:r>
      <w:r>
        <w:rPr>
          <w:noProof/>
        </w:rPr>
        <w:fldChar w:fldCharType="begin"/>
      </w:r>
      <w:r>
        <w:rPr>
          <w:noProof/>
        </w:rPr>
        <w:instrText xml:space="preserve"> PAGEREF _Toc525141378 \h </w:instrText>
      </w:r>
      <w:r>
        <w:rPr>
          <w:noProof/>
        </w:rPr>
      </w:r>
      <w:r>
        <w:rPr>
          <w:noProof/>
        </w:rPr>
        <w:fldChar w:fldCharType="separate"/>
      </w:r>
      <w:r>
        <w:rPr>
          <w:noProof/>
        </w:rPr>
        <w:t>142</w:t>
      </w:r>
      <w:r>
        <w:rPr>
          <w:noProof/>
        </w:rPr>
        <w:fldChar w:fldCharType="end"/>
      </w:r>
    </w:p>
    <w:p w14:paraId="5B6F4CA6" w14:textId="0612169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48: End-of-life emissions by refrigerant species from 2016 to 2030 in tonnes.</w:t>
      </w:r>
      <w:r>
        <w:rPr>
          <w:noProof/>
        </w:rPr>
        <w:tab/>
      </w:r>
      <w:r>
        <w:rPr>
          <w:noProof/>
        </w:rPr>
        <w:fldChar w:fldCharType="begin"/>
      </w:r>
      <w:r>
        <w:rPr>
          <w:noProof/>
        </w:rPr>
        <w:instrText xml:space="preserve"> PAGEREF _Toc525141379 \h </w:instrText>
      </w:r>
      <w:r>
        <w:rPr>
          <w:noProof/>
        </w:rPr>
      </w:r>
      <w:r>
        <w:rPr>
          <w:noProof/>
        </w:rPr>
        <w:fldChar w:fldCharType="separate"/>
      </w:r>
      <w:r>
        <w:rPr>
          <w:noProof/>
        </w:rPr>
        <w:t>143</w:t>
      </w:r>
      <w:r>
        <w:rPr>
          <w:noProof/>
        </w:rPr>
        <w:fldChar w:fldCharType="end"/>
      </w:r>
    </w:p>
    <w:p w14:paraId="57DC6F05" w14:textId="4F6DAAF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49: End-of-life emissions by refrigerant species from 2016 to 2030 in Mt CO</w:t>
      </w:r>
      <w:r w:rsidRPr="00007637">
        <w:rPr>
          <w:noProof/>
          <w:vertAlign w:val="subscript"/>
        </w:rPr>
        <w:t>2</w:t>
      </w:r>
      <w:r>
        <w:rPr>
          <w:noProof/>
        </w:rPr>
        <w:t>e.</w:t>
      </w:r>
      <w:r>
        <w:rPr>
          <w:noProof/>
        </w:rPr>
        <w:tab/>
      </w:r>
      <w:r>
        <w:rPr>
          <w:noProof/>
        </w:rPr>
        <w:fldChar w:fldCharType="begin"/>
      </w:r>
      <w:r>
        <w:rPr>
          <w:noProof/>
        </w:rPr>
        <w:instrText xml:space="preserve"> PAGEREF _Toc525141380 \h </w:instrText>
      </w:r>
      <w:r>
        <w:rPr>
          <w:noProof/>
        </w:rPr>
      </w:r>
      <w:r>
        <w:rPr>
          <w:noProof/>
        </w:rPr>
        <w:fldChar w:fldCharType="separate"/>
      </w:r>
      <w:r>
        <w:rPr>
          <w:noProof/>
        </w:rPr>
        <w:t>144</w:t>
      </w:r>
      <w:r>
        <w:rPr>
          <w:noProof/>
        </w:rPr>
        <w:fldChar w:fldCharType="end"/>
      </w:r>
    </w:p>
    <w:p w14:paraId="3E9BF02D" w14:textId="2AA33BE5"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50: Refrigerant recovered by RRA by major species from 2010 to 2016 in tonnes.</w:t>
      </w:r>
      <w:r>
        <w:rPr>
          <w:noProof/>
        </w:rPr>
        <w:tab/>
      </w:r>
      <w:r>
        <w:rPr>
          <w:noProof/>
        </w:rPr>
        <w:fldChar w:fldCharType="begin"/>
      </w:r>
      <w:r>
        <w:rPr>
          <w:noProof/>
        </w:rPr>
        <w:instrText xml:space="preserve"> PAGEREF _Toc525141381 \h </w:instrText>
      </w:r>
      <w:r>
        <w:rPr>
          <w:noProof/>
        </w:rPr>
      </w:r>
      <w:r>
        <w:rPr>
          <w:noProof/>
        </w:rPr>
        <w:fldChar w:fldCharType="separate"/>
      </w:r>
      <w:r>
        <w:rPr>
          <w:noProof/>
        </w:rPr>
        <w:t>145</w:t>
      </w:r>
      <w:r>
        <w:rPr>
          <w:noProof/>
        </w:rPr>
        <w:fldChar w:fldCharType="end"/>
      </w:r>
    </w:p>
    <w:p w14:paraId="7F59D49F" w14:textId="04E1D988"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51</w:t>
      </w:r>
      <w:r w:rsidRPr="00007637">
        <w:rPr>
          <w:noProof/>
        </w:rPr>
        <w:t>: Electricity consumption by class in GWh in 2016.</w:t>
      </w:r>
      <w:r>
        <w:rPr>
          <w:noProof/>
        </w:rPr>
        <w:tab/>
      </w:r>
      <w:r>
        <w:rPr>
          <w:noProof/>
        </w:rPr>
        <w:fldChar w:fldCharType="begin"/>
      </w:r>
      <w:r>
        <w:rPr>
          <w:noProof/>
        </w:rPr>
        <w:instrText xml:space="preserve"> PAGEREF _Toc525141382 \h </w:instrText>
      </w:r>
      <w:r>
        <w:rPr>
          <w:noProof/>
        </w:rPr>
      </w:r>
      <w:r>
        <w:rPr>
          <w:noProof/>
        </w:rPr>
        <w:fldChar w:fldCharType="separate"/>
      </w:r>
      <w:r>
        <w:rPr>
          <w:noProof/>
        </w:rPr>
        <w:t>148</w:t>
      </w:r>
      <w:r>
        <w:rPr>
          <w:noProof/>
        </w:rPr>
        <w:fldChar w:fldCharType="end"/>
      </w:r>
    </w:p>
    <w:p w14:paraId="343ED5A4" w14:textId="023D640C"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52: Indirect emissions by major class in Mt CO</w:t>
      </w:r>
      <w:r w:rsidRPr="00007637">
        <w:rPr>
          <w:noProof/>
          <w:vertAlign w:val="subscript"/>
        </w:rPr>
        <w:t>2</w:t>
      </w:r>
      <w:r>
        <w:rPr>
          <w:noProof/>
        </w:rPr>
        <w:t>e and percent.</w:t>
      </w:r>
      <w:r>
        <w:rPr>
          <w:noProof/>
        </w:rPr>
        <w:tab/>
      </w:r>
      <w:r>
        <w:rPr>
          <w:noProof/>
        </w:rPr>
        <w:fldChar w:fldCharType="begin"/>
      </w:r>
      <w:r>
        <w:rPr>
          <w:noProof/>
        </w:rPr>
        <w:instrText xml:space="preserve"> PAGEREF _Toc525141383 \h </w:instrText>
      </w:r>
      <w:r>
        <w:rPr>
          <w:noProof/>
        </w:rPr>
      </w:r>
      <w:r>
        <w:rPr>
          <w:noProof/>
        </w:rPr>
        <w:fldChar w:fldCharType="separate"/>
      </w:r>
      <w:r>
        <w:rPr>
          <w:noProof/>
        </w:rPr>
        <w:t>150</w:t>
      </w:r>
      <w:r>
        <w:rPr>
          <w:noProof/>
        </w:rPr>
        <w:fldChar w:fldCharType="end"/>
      </w:r>
    </w:p>
    <w:p w14:paraId="6996D469" w14:textId="4069D571"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53</w:t>
      </w:r>
      <w:r w:rsidRPr="00007637">
        <w:rPr>
          <w:noProof/>
        </w:rPr>
        <w:t>: Polynomial used in RAC Stock model based on sample of more than 10,000 vehicles.</w:t>
      </w:r>
      <w:r>
        <w:rPr>
          <w:noProof/>
        </w:rPr>
        <w:tab/>
      </w:r>
      <w:r>
        <w:rPr>
          <w:noProof/>
        </w:rPr>
        <w:fldChar w:fldCharType="begin"/>
      </w:r>
      <w:r>
        <w:rPr>
          <w:noProof/>
        </w:rPr>
        <w:instrText xml:space="preserve"> PAGEREF _Toc525141384 \h </w:instrText>
      </w:r>
      <w:r>
        <w:rPr>
          <w:noProof/>
        </w:rPr>
      </w:r>
      <w:r>
        <w:rPr>
          <w:noProof/>
        </w:rPr>
        <w:fldChar w:fldCharType="separate"/>
      </w:r>
      <w:r>
        <w:rPr>
          <w:noProof/>
        </w:rPr>
        <w:t>176</w:t>
      </w:r>
      <w:r>
        <w:rPr>
          <w:noProof/>
        </w:rPr>
        <w:fldChar w:fldCharType="end"/>
      </w:r>
    </w:p>
    <w:p w14:paraId="5A5FA632" w14:textId="1A3E9C2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54</w:t>
      </w:r>
      <w:r w:rsidRPr="00007637">
        <w:rPr>
          <w:noProof/>
        </w:rPr>
        <w:t>: Refrigerant mass flow equation concept diagram.</w:t>
      </w:r>
      <w:r>
        <w:rPr>
          <w:noProof/>
        </w:rPr>
        <w:tab/>
      </w:r>
      <w:r>
        <w:rPr>
          <w:noProof/>
        </w:rPr>
        <w:fldChar w:fldCharType="begin"/>
      </w:r>
      <w:r>
        <w:rPr>
          <w:noProof/>
        </w:rPr>
        <w:instrText xml:space="preserve"> PAGEREF _Toc525141385 \h </w:instrText>
      </w:r>
      <w:r>
        <w:rPr>
          <w:noProof/>
        </w:rPr>
      </w:r>
      <w:r>
        <w:rPr>
          <w:noProof/>
        </w:rPr>
        <w:fldChar w:fldCharType="separate"/>
      </w:r>
      <w:r>
        <w:rPr>
          <w:noProof/>
        </w:rPr>
        <w:t>181</w:t>
      </w:r>
      <w:r>
        <w:rPr>
          <w:noProof/>
        </w:rPr>
        <w:fldChar w:fldCharType="end"/>
      </w:r>
    </w:p>
    <w:p w14:paraId="2277B524" w14:textId="6833EDD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55</w:t>
      </w:r>
      <w:r w:rsidRPr="00007637">
        <w:rPr>
          <w:noProof/>
        </w:rPr>
        <w:t>: Small MAC Mass balance elements, annual flows and banks from 2016 to 2030 in tonnes.</w:t>
      </w:r>
      <w:r>
        <w:rPr>
          <w:noProof/>
        </w:rPr>
        <w:tab/>
      </w:r>
      <w:r>
        <w:rPr>
          <w:noProof/>
        </w:rPr>
        <w:fldChar w:fldCharType="begin"/>
      </w:r>
      <w:r>
        <w:rPr>
          <w:noProof/>
        </w:rPr>
        <w:instrText xml:space="preserve"> PAGEREF _Toc525141386 \h </w:instrText>
      </w:r>
      <w:r>
        <w:rPr>
          <w:noProof/>
        </w:rPr>
      </w:r>
      <w:r>
        <w:rPr>
          <w:noProof/>
        </w:rPr>
        <w:fldChar w:fldCharType="separate"/>
      </w:r>
      <w:r>
        <w:rPr>
          <w:noProof/>
        </w:rPr>
        <w:t>182</w:t>
      </w:r>
      <w:r>
        <w:rPr>
          <w:noProof/>
        </w:rPr>
        <w:fldChar w:fldCharType="end"/>
      </w:r>
    </w:p>
    <w:p w14:paraId="656CEBE9" w14:textId="10DB420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56</w:t>
      </w:r>
      <w:r w:rsidRPr="00007637">
        <w:rPr>
          <w:noProof/>
        </w:rPr>
        <w:t>: New sales mix for Small AC: Split.</w:t>
      </w:r>
      <w:r>
        <w:rPr>
          <w:noProof/>
        </w:rPr>
        <w:tab/>
      </w:r>
      <w:r>
        <w:rPr>
          <w:noProof/>
        </w:rPr>
        <w:fldChar w:fldCharType="begin"/>
      </w:r>
      <w:r>
        <w:rPr>
          <w:noProof/>
        </w:rPr>
        <w:instrText xml:space="preserve"> PAGEREF _Toc525141387 \h </w:instrText>
      </w:r>
      <w:r>
        <w:rPr>
          <w:noProof/>
        </w:rPr>
      </w:r>
      <w:r>
        <w:rPr>
          <w:noProof/>
        </w:rPr>
        <w:fldChar w:fldCharType="separate"/>
      </w:r>
      <w:r>
        <w:rPr>
          <w:noProof/>
        </w:rPr>
        <w:t>189</w:t>
      </w:r>
      <w:r>
        <w:rPr>
          <w:noProof/>
        </w:rPr>
        <w:fldChar w:fldCharType="end"/>
      </w:r>
    </w:p>
    <w:p w14:paraId="1EA32E93" w14:textId="73E54EAE"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57</w:t>
      </w:r>
      <w:r w:rsidRPr="00007637">
        <w:rPr>
          <w:noProof/>
        </w:rPr>
        <w:t>: Mobile AC refrigerant bank in tonnes from 2016 to 2030.</w:t>
      </w:r>
      <w:r>
        <w:rPr>
          <w:noProof/>
        </w:rPr>
        <w:tab/>
      </w:r>
      <w:r>
        <w:rPr>
          <w:noProof/>
        </w:rPr>
        <w:fldChar w:fldCharType="begin"/>
      </w:r>
      <w:r>
        <w:rPr>
          <w:noProof/>
        </w:rPr>
        <w:instrText xml:space="preserve"> PAGEREF _Toc525141388 \h </w:instrText>
      </w:r>
      <w:r>
        <w:rPr>
          <w:noProof/>
        </w:rPr>
      </w:r>
      <w:r>
        <w:rPr>
          <w:noProof/>
        </w:rPr>
        <w:fldChar w:fldCharType="separate"/>
      </w:r>
      <w:r>
        <w:rPr>
          <w:noProof/>
        </w:rPr>
        <w:t>200</w:t>
      </w:r>
      <w:r>
        <w:rPr>
          <w:noProof/>
        </w:rPr>
        <w:fldChar w:fldCharType="end"/>
      </w:r>
    </w:p>
    <w:p w14:paraId="753E8A93" w14:textId="499574A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Figure 58</w:t>
      </w:r>
      <w:r w:rsidRPr="00007637">
        <w:rPr>
          <w:noProof/>
        </w:rPr>
        <w:t>: Mobile AC refrigerant bank in Mt CO</w:t>
      </w:r>
      <w:r w:rsidRPr="00007637">
        <w:rPr>
          <w:noProof/>
          <w:vertAlign w:val="subscript"/>
        </w:rPr>
        <w:t>2</w:t>
      </w:r>
      <w:r w:rsidRPr="00007637">
        <w:rPr>
          <w:noProof/>
        </w:rPr>
        <w:t>e from 2016 to 2030.</w:t>
      </w:r>
      <w:r>
        <w:rPr>
          <w:noProof/>
        </w:rPr>
        <w:tab/>
      </w:r>
      <w:r>
        <w:rPr>
          <w:noProof/>
        </w:rPr>
        <w:fldChar w:fldCharType="begin"/>
      </w:r>
      <w:r>
        <w:rPr>
          <w:noProof/>
        </w:rPr>
        <w:instrText xml:space="preserve"> PAGEREF _Toc525141389 \h </w:instrText>
      </w:r>
      <w:r>
        <w:rPr>
          <w:noProof/>
        </w:rPr>
      </w:r>
      <w:r>
        <w:rPr>
          <w:noProof/>
        </w:rPr>
        <w:fldChar w:fldCharType="separate"/>
      </w:r>
      <w:r>
        <w:rPr>
          <w:noProof/>
        </w:rPr>
        <w:t>200</w:t>
      </w:r>
      <w:r>
        <w:rPr>
          <w:noProof/>
        </w:rPr>
        <w:fldChar w:fldCharType="end"/>
      </w:r>
    </w:p>
    <w:p w14:paraId="3CE5CE37" w14:textId="07069718" w:rsidR="00941E84" w:rsidRPr="003937A5" w:rsidRDefault="0032645B" w:rsidP="00EA2C32">
      <w:pPr>
        <w:tabs>
          <w:tab w:val="left" w:pos="7513"/>
        </w:tabs>
        <w:rPr>
          <w:rFonts w:asciiTheme="majorHAnsi" w:hAnsiTheme="majorHAnsi"/>
          <w:sz w:val="36"/>
          <w:szCs w:val="36"/>
        </w:rPr>
      </w:pPr>
      <w:r>
        <w:rPr>
          <w:rFonts w:asciiTheme="majorHAnsi" w:eastAsia="Times New Roman" w:hAnsiTheme="majorHAnsi" w:cs="Times New Roman"/>
          <w:noProof/>
          <w:sz w:val="20"/>
          <w:szCs w:val="20"/>
          <w:lang w:val="en-US"/>
        </w:rPr>
        <w:fldChar w:fldCharType="end"/>
      </w:r>
      <w:r w:rsidR="00941E84" w:rsidRPr="003937A5">
        <w:rPr>
          <w:rFonts w:asciiTheme="majorHAnsi" w:hAnsiTheme="majorHAnsi"/>
          <w:sz w:val="36"/>
          <w:szCs w:val="36"/>
        </w:rPr>
        <w:t>List of Tables</w:t>
      </w:r>
    </w:p>
    <w:p w14:paraId="0DABD350" w14:textId="153AB46C" w:rsidR="0032645B" w:rsidRDefault="0032645B">
      <w:pPr>
        <w:pStyle w:val="TableofFigures"/>
        <w:tabs>
          <w:tab w:val="right" w:leader="dot" w:pos="9487"/>
        </w:tabs>
        <w:rPr>
          <w:rFonts w:asciiTheme="minorHAnsi" w:eastAsiaTheme="minorEastAsia" w:hAnsiTheme="minorHAnsi" w:cstheme="minorBidi"/>
          <w:noProof/>
          <w:sz w:val="24"/>
          <w:lang w:val="en-AU"/>
        </w:rPr>
      </w:pPr>
      <w:r>
        <w:rPr>
          <w:b/>
          <w:bCs/>
          <w:noProof/>
          <w:szCs w:val="20"/>
        </w:rPr>
        <w:fldChar w:fldCharType="begin"/>
      </w:r>
      <w:r>
        <w:rPr>
          <w:b/>
          <w:bCs/>
          <w:noProof/>
          <w:szCs w:val="20"/>
        </w:rPr>
        <w:instrText xml:space="preserve"> TOC \c "Table" </w:instrText>
      </w:r>
      <w:r>
        <w:rPr>
          <w:b/>
          <w:bCs/>
          <w:noProof/>
          <w:szCs w:val="20"/>
        </w:rPr>
        <w:fldChar w:fldCharType="separate"/>
      </w:r>
      <w:r>
        <w:rPr>
          <w:noProof/>
        </w:rPr>
        <w:t>Table 1: Main economic indicators of RAC industry activity 2016.</w:t>
      </w:r>
      <w:r>
        <w:rPr>
          <w:noProof/>
        </w:rPr>
        <w:tab/>
      </w:r>
      <w:r>
        <w:rPr>
          <w:noProof/>
        </w:rPr>
        <w:fldChar w:fldCharType="begin"/>
      </w:r>
      <w:r>
        <w:rPr>
          <w:noProof/>
        </w:rPr>
        <w:instrText xml:space="preserve"> PAGEREF _Toc525141390 \h </w:instrText>
      </w:r>
      <w:r>
        <w:rPr>
          <w:noProof/>
        </w:rPr>
      </w:r>
      <w:r>
        <w:rPr>
          <w:noProof/>
        </w:rPr>
        <w:fldChar w:fldCharType="separate"/>
      </w:r>
      <w:r>
        <w:rPr>
          <w:noProof/>
        </w:rPr>
        <w:t>16</w:t>
      </w:r>
      <w:r>
        <w:rPr>
          <w:noProof/>
        </w:rPr>
        <w:fldChar w:fldCharType="end"/>
      </w:r>
    </w:p>
    <w:p w14:paraId="13D65E0F" w14:textId="3F73870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2: Stationary air conditioning taxonomy</w:t>
      </w:r>
      <w:r w:rsidRPr="00A34558">
        <w:rPr>
          <w:noProof/>
        </w:rPr>
        <w:t>.</w:t>
      </w:r>
      <w:r>
        <w:rPr>
          <w:noProof/>
        </w:rPr>
        <w:tab/>
      </w:r>
      <w:r>
        <w:rPr>
          <w:noProof/>
        </w:rPr>
        <w:fldChar w:fldCharType="begin"/>
      </w:r>
      <w:r>
        <w:rPr>
          <w:noProof/>
        </w:rPr>
        <w:instrText xml:space="preserve"> PAGEREF _Toc525141391 \h </w:instrText>
      </w:r>
      <w:r>
        <w:rPr>
          <w:noProof/>
        </w:rPr>
      </w:r>
      <w:r>
        <w:rPr>
          <w:noProof/>
        </w:rPr>
        <w:fldChar w:fldCharType="separate"/>
      </w:r>
      <w:r>
        <w:rPr>
          <w:noProof/>
        </w:rPr>
        <w:t>24</w:t>
      </w:r>
      <w:r>
        <w:rPr>
          <w:noProof/>
        </w:rPr>
        <w:fldChar w:fldCharType="end"/>
      </w:r>
    </w:p>
    <w:p w14:paraId="21E32F8E" w14:textId="643BFC03"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 Stationary air conditioning by category and stock numbers: 2012-2016.</w:t>
      </w:r>
      <w:r>
        <w:rPr>
          <w:noProof/>
        </w:rPr>
        <w:tab/>
      </w:r>
      <w:r>
        <w:rPr>
          <w:noProof/>
        </w:rPr>
        <w:fldChar w:fldCharType="begin"/>
      </w:r>
      <w:r>
        <w:rPr>
          <w:noProof/>
        </w:rPr>
        <w:instrText xml:space="preserve"> PAGEREF _Toc525141392 \h </w:instrText>
      </w:r>
      <w:r>
        <w:rPr>
          <w:noProof/>
        </w:rPr>
      </w:r>
      <w:r>
        <w:rPr>
          <w:noProof/>
        </w:rPr>
        <w:fldChar w:fldCharType="separate"/>
      </w:r>
      <w:r>
        <w:rPr>
          <w:noProof/>
        </w:rPr>
        <w:t>26</w:t>
      </w:r>
      <w:r>
        <w:rPr>
          <w:noProof/>
        </w:rPr>
        <w:fldChar w:fldCharType="end"/>
      </w:r>
    </w:p>
    <w:p w14:paraId="23A426B7" w14:textId="47569CB6"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Table 4: Impacts of </w:t>
      </w:r>
      <w:r w:rsidRPr="00A34558">
        <w:rPr>
          <w:noProof/>
          <w:lang w:val="en-AU"/>
        </w:rPr>
        <w:t>pre-charged equipment numbers and tonnes of contained refrigerants with a charge greater than 800 and less than 2,600 grams reported in ‘Domestic use air conditioning’ category 2014-2016.</w:t>
      </w:r>
      <w:r>
        <w:rPr>
          <w:noProof/>
        </w:rPr>
        <w:tab/>
      </w:r>
      <w:r>
        <w:rPr>
          <w:noProof/>
        </w:rPr>
        <w:fldChar w:fldCharType="begin"/>
      </w:r>
      <w:r>
        <w:rPr>
          <w:noProof/>
        </w:rPr>
        <w:instrText xml:space="preserve"> PAGEREF _Toc525141393 \h </w:instrText>
      </w:r>
      <w:r>
        <w:rPr>
          <w:noProof/>
        </w:rPr>
      </w:r>
      <w:r>
        <w:rPr>
          <w:noProof/>
        </w:rPr>
        <w:fldChar w:fldCharType="separate"/>
      </w:r>
      <w:r>
        <w:rPr>
          <w:noProof/>
        </w:rPr>
        <w:t>28</w:t>
      </w:r>
      <w:r>
        <w:rPr>
          <w:noProof/>
        </w:rPr>
        <w:fldChar w:fldCharType="end"/>
      </w:r>
    </w:p>
    <w:p w14:paraId="6B6E02EF" w14:textId="59EA9709"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5: Pre-charged equipment imports reported with a charge greater than 2.6 kg in 2014-2016.</w:t>
      </w:r>
      <w:r>
        <w:rPr>
          <w:noProof/>
        </w:rPr>
        <w:tab/>
      </w:r>
      <w:r>
        <w:rPr>
          <w:noProof/>
        </w:rPr>
        <w:fldChar w:fldCharType="begin"/>
      </w:r>
      <w:r>
        <w:rPr>
          <w:noProof/>
        </w:rPr>
        <w:instrText xml:space="preserve"> PAGEREF _Toc525141394 \h </w:instrText>
      </w:r>
      <w:r>
        <w:rPr>
          <w:noProof/>
        </w:rPr>
      </w:r>
      <w:r>
        <w:rPr>
          <w:noProof/>
        </w:rPr>
        <w:fldChar w:fldCharType="separate"/>
      </w:r>
      <w:r>
        <w:rPr>
          <w:noProof/>
        </w:rPr>
        <w:t>33</w:t>
      </w:r>
      <w:r>
        <w:rPr>
          <w:noProof/>
        </w:rPr>
        <w:fldChar w:fldCharType="end"/>
      </w:r>
    </w:p>
    <w:p w14:paraId="76737D76" w14:textId="7EAA4CC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Table 6: </w:t>
      </w:r>
      <w:r w:rsidRPr="00A34558">
        <w:rPr>
          <w:noProof/>
          <w:lang w:val="en-GB"/>
        </w:rPr>
        <w:t>Stationary air conditioning main metrics: 2012 versus 2016.</w:t>
      </w:r>
      <w:r>
        <w:rPr>
          <w:noProof/>
        </w:rPr>
        <w:tab/>
      </w:r>
      <w:r>
        <w:rPr>
          <w:noProof/>
        </w:rPr>
        <w:fldChar w:fldCharType="begin"/>
      </w:r>
      <w:r>
        <w:rPr>
          <w:noProof/>
        </w:rPr>
        <w:instrText xml:space="preserve"> PAGEREF _Toc525141395 \h </w:instrText>
      </w:r>
      <w:r>
        <w:rPr>
          <w:noProof/>
        </w:rPr>
      </w:r>
      <w:r>
        <w:rPr>
          <w:noProof/>
        </w:rPr>
        <w:fldChar w:fldCharType="separate"/>
      </w:r>
      <w:r>
        <w:rPr>
          <w:noProof/>
        </w:rPr>
        <w:t>36</w:t>
      </w:r>
      <w:r>
        <w:rPr>
          <w:noProof/>
        </w:rPr>
        <w:fldChar w:fldCharType="end"/>
      </w:r>
    </w:p>
    <w:p w14:paraId="47A114C6" w14:textId="3F46C06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7: Mobile air conditioning taxonomy.</w:t>
      </w:r>
      <w:r>
        <w:rPr>
          <w:noProof/>
        </w:rPr>
        <w:tab/>
      </w:r>
      <w:r>
        <w:rPr>
          <w:noProof/>
        </w:rPr>
        <w:fldChar w:fldCharType="begin"/>
      </w:r>
      <w:r>
        <w:rPr>
          <w:noProof/>
        </w:rPr>
        <w:instrText xml:space="preserve"> PAGEREF _Toc525141396 \h </w:instrText>
      </w:r>
      <w:r>
        <w:rPr>
          <w:noProof/>
        </w:rPr>
      </w:r>
      <w:r>
        <w:rPr>
          <w:noProof/>
        </w:rPr>
        <w:fldChar w:fldCharType="separate"/>
      </w:r>
      <w:r>
        <w:rPr>
          <w:noProof/>
        </w:rPr>
        <w:t>37</w:t>
      </w:r>
      <w:r>
        <w:rPr>
          <w:noProof/>
        </w:rPr>
        <w:fldChar w:fldCharType="end"/>
      </w:r>
    </w:p>
    <w:p w14:paraId="09A6C1FB" w14:textId="709F4E61"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8: Mobile air conditioning by category and stock numbers: 2012 versus 2016.</w:t>
      </w:r>
      <w:r>
        <w:rPr>
          <w:noProof/>
        </w:rPr>
        <w:tab/>
      </w:r>
      <w:r>
        <w:rPr>
          <w:noProof/>
        </w:rPr>
        <w:fldChar w:fldCharType="begin"/>
      </w:r>
      <w:r>
        <w:rPr>
          <w:noProof/>
        </w:rPr>
        <w:instrText xml:space="preserve"> PAGEREF _Toc525141397 \h </w:instrText>
      </w:r>
      <w:r>
        <w:rPr>
          <w:noProof/>
        </w:rPr>
      </w:r>
      <w:r>
        <w:rPr>
          <w:noProof/>
        </w:rPr>
        <w:fldChar w:fldCharType="separate"/>
      </w:r>
      <w:r>
        <w:rPr>
          <w:noProof/>
        </w:rPr>
        <w:t>39</w:t>
      </w:r>
      <w:r>
        <w:rPr>
          <w:noProof/>
        </w:rPr>
        <w:fldChar w:fldCharType="end"/>
      </w:r>
    </w:p>
    <w:p w14:paraId="5D6C69B0" w14:textId="5AD4631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9: New vehicles sales and local manufacture from 2010 to 2016.</w:t>
      </w:r>
      <w:r>
        <w:rPr>
          <w:noProof/>
        </w:rPr>
        <w:tab/>
      </w:r>
      <w:r>
        <w:rPr>
          <w:noProof/>
        </w:rPr>
        <w:fldChar w:fldCharType="begin"/>
      </w:r>
      <w:r>
        <w:rPr>
          <w:noProof/>
        </w:rPr>
        <w:instrText xml:space="preserve"> PAGEREF _Toc525141398 \h </w:instrText>
      </w:r>
      <w:r>
        <w:rPr>
          <w:noProof/>
        </w:rPr>
      </w:r>
      <w:r>
        <w:rPr>
          <w:noProof/>
        </w:rPr>
        <w:fldChar w:fldCharType="separate"/>
      </w:r>
      <w:r>
        <w:rPr>
          <w:noProof/>
        </w:rPr>
        <w:t>40</w:t>
      </w:r>
      <w:r>
        <w:rPr>
          <w:noProof/>
        </w:rPr>
        <w:fldChar w:fldCharType="end"/>
      </w:r>
    </w:p>
    <w:p w14:paraId="231F64EC" w14:textId="470EE483"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Table 10: </w:t>
      </w:r>
      <w:r w:rsidRPr="00A34558">
        <w:rPr>
          <w:noProof/>
          <w:lang w:val="en-AU"/>
        </w:rPr>
        <w:t>Volumes of HFC-134a sold by calendar year (kilograms) based on aftermarket supplier survey.</w:t>
      </w:r>
      <w:r>
        <w:rPr>
          <w:noProof/>
        </w:rPr>
        <w:tab/>
      </w:r>
      <w:r>
        <w:rPr>
          <w:noProof/>
        </w:rPr>
        <w:fldChar w:fldCharType="begin"/>
      </w:r>
      <w:r>
        <w:rPr>
          <w:noProof/>
        </w:rPr>
        <w:instrText xml:space="preserve"> PAGEREF _Toc525141399 \h </w:instrText>
      </w:r>
      <w:r>
        <w:rPr>
          <w:noProof/>
        </w:rPr>
      </w:r>
      <w:r>
        <w:rPr>
          <w:noProof/>
        </w:rPr>
        <w:fldChar w:fldCharType="separate"/>
      </w:r>
      <w:r>
        <w:rPr>
          <w:noProof/>
        </w:rPr>
        <w:t>42</w:t>
      </w:r>
      <w:r>
        <w:rPr>
          <w:noProof/>
        </w:rPr>
        <w:fldChar w:fldCharType="end"/>
      </w:r>
    </w:p>
    <w:p w14:paraId="066F7F5D" w14:textId="7D31FD55"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11: Mobile air conditioning main metrics: 2012 versus 2016.</w:t>
      </w:r>
      <w:r>
        <w:rPr>
          <w:noProof/>
        </w:rPr>
        <w:tab/>
      </w:r>
      <w:r>
        <w:rPr>
          <w:noProof/>
        </w:rPr>
        <w:fldChar w:fldCharType="begin"/>
      </w:r>
      <w:r>
        <w:rPr>
          <w:noProof/>
        </w:rPr>
        <w:instrText xml:space="preserve"> PAGEREF _Toc525141400 \h </w:instrText>
      </w:r>
      <w:r>
        <w:rPr>
          <w:noProof/>
        </w:rPr>
      </w:r>
      <w:r>
        <w:rPr>
          <w:noProof/>
        </w:rPr>
        <w:fldChar w:fldCharType="separate"/>
      </w:r>
      <w:r>
        <w:rPr>
          <w:noProof/>
        </w:rPr>
        <w:t>48</w:t>
      </w:r>
      <w:r>
        <w:rPr>
          <w:noProof/>
        </w:rPr>
        <w:fldChar w:fldCharType="end"/>
      </w:r>
    </w:p>
    <w:p w14:paraId="7E75CD27" w14:textId="51926885"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12: Refrigerated cold food chain taxonomy.</w:t>
      </w:r>
      <w:r>
        <w:rPr>
          <w:noProof/>
        </w:rPr>
        <w:tab/>
      </w:r>
      <w:r>
        <w:rPr>
          <w:noProof/>
        </w:rPr>
        <w:fldChar w:fldCharType="begin"/>
      </w:r>
      <w:r>
        <w:rPr>
          <w:noProof/>
        </w:rPr>
        <w:instrText xml:space="preserve"> PAGEREF _Toc525141401 \h </w:instrText>
      </w:r>
      <w:r>
        <w:rPr>
          <w:noProof/>
        </w:rPr>
      </w:r>
      <w:r>
        <w:rPr>
          <w:noProof/>
        </w:rPr>
        <w:fldChar w:fldCharType="separate"/>
      </w:r>
      <w:r>
        <w:rPr>
          <w:noProof/>
        </w:rPr>
        <w:t>51</w:t>
      </w:r>
      <w:r>
        <w:rPr>
          <w:noProof/>
        </w:rPr>
        <w:fldChar w:fldCharType="end"/>
      </w:r>
    </w:p>
    <w:p w14:paraId="084C3E1E" w14:textId="4E9239D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13: Refrigerated cold food chain by category and stock numbers: 2012 versus 2016.</w:t>
      </w:r>
      <w:r>
        <w:rPr>
          <w:noProof/>
        </w:rPr>
        <w:tab/>
      </w:r>
      <w:r>
        <w:rPr>
          <w:noProof/>
        </w:rPr>
        <w:fldChar w:fldCharType="begin"/>
      </w:r>
      <w:r>
        <w:rPr>
          <w:noProof/>
        </w:rPr>
        <w:instrText xml:space="preserve"> PAGEREF _Toc525141402 \h </w:instrText>
      </w:r>
      <w:r>
        <w:rPr>
          <w:noProof/>
        </w:rPr>
      </w:r>
      <w:r>
        <w:rPr>
          <w:noProof/>
        </w:rPr>
        <w:fldChar w:fldCharType="separate"/>
      </w:r>
      <w:r>
        <w:rPr>
          <w:noProof/>
        </w:rPr>
        <w:t>54</w:t>
      </w:r>
      <w:r>
        <w:rPr>
          <w:noProof/>
        </w:rPr>
        <w:fldChar w:fldCharType="end"/>
      </w:r>
    </w:p>
    <w:p w14:paraId="6FF7BC91" w14:textId="505BD16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14: Supermarket fleet by brand and size.</w:t>
      </w:r>
      <w:r>
        <w:rPr>
          <w:noProof/>
        </w:rPr>
        <w:tab/>
      </w:r>
      <w:r>
        <w:rPr>
          <w:noProof/>
        </w:rPr>
        <w:fldChar w:fldCharType="begin"/>
      </w:r>
      <w:r>
        <w:rPr>
          <w:noProof/>
        </w:rPr>
        <w:instrText xml:space="preserve"> PAGEREF _Toc525141403 \h </w:instrText>
      </w:r>
      <w:r>
        <w:rPr>
          <w:noProof/>
        </w:rPr>
      </w:r>
      <w:r>
        <w:rPr>
          <w:noProof/>
        </w:rPr>
        <w:fldChar w:fldCharType="separate"/>
      </w:r>
      <w:r>
        <w:rPr>
          <w:noProof/>
        </w:rPr>
        <w:t>62</w:t>
      </w:r>
      <w:r>
        <w:rPr>
          <w:noProof/>
        </w:rPr>
        <w:fldChar w:fldCharType="end"/>
      </w:r>
    </w:p>
    <w:p w14:paraId="0E0A054F" w14:textId="30A4BB99"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15: Refrigerated cold food chain main metrics: 2012 versus 2016.</w:t>
      </w:r>
      <w:r>
        <w:rPr>
          <w:noProof/>
        </w:rPr>
        <w:tab/>
      </w:r>
      <w:r>
        <w:rPr>
          <w:noProof/>
        </w:rPr>
        <w:fldChar w:fldCharType="begin"/>
      </w:r>
      <w:r>
        <w:rPr>
          <w:noProof/>
        </w:rPr>
        <w:instrText xml:space="preserve"> PAGEREF _Toc525141404 \h </w:instrText>
      </w:r>
      <w:r>
        <w:rPr>
          <w:noProof/>
        </w:rPr>
      </w:r>
      <w:r>
        <w:rPr>
          <w:noProof/>
        </w:rPr>
        <w:fldChar w:fldCharType="separate"/>
      </w:r>
      <w:r>
        <w:rPr>
          <w:noProof/>
        </w:rPr>
        <w:t>73</w:t>
      </w:r>
      <w:r>
        <w:rPr>
          <w:noProof/>
        </w:rPr>
        <w:fldChar w:fldCharType="end"/>
      </w:r>
    </w:p>
    <w:p w14:paraId="317A5A47" w14:textId="59073DE9"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16: Domestic refrigeration taxonomy.</w:t>
      </w:r>
      <w:r>
        <w:rPr>
          <w:noProof/>
        </w:rPr>
        <w:tab/>
      </w:r>
      <w:r>
        <w:rPr>
          <w:noProof/>
        </w:rPr>
        <w:fldChar w:fldCharType="begin"/>
      </w:r>
      <w:r>
        <w:rPr>
          <w:noProof/>
        </w:rPr>
        <w:instrText xml:space="preserve"> PAGEREF _Toc525141405 \h </w:instrText>
      </w:r>
      <w:r>
        <w:rPr>
          <w:noProof/>
        </w:rPr>
      </w:r>
      <w:r>
        <w:rPr>
          <w:noProof/>
        </w:rPr>
        <w:fldChar w:fldCharType="separate"/>
      </w:r>
      <w:r>
        <w:rPr>
          <w:noProof/>
        </w:rPr>
        <w:t>74</w:t>
      </w:r>
      <w:r>
        <w:rPr>
          <w:noProof/>
        </w:rPr>
        <w:fldChar w:fldCharType="end"/>
      </w:r>
    </w:p>
    <w:p w14:paraId="3DE62092" w14:textId="1A7E6D7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17: Domestic refrigeration main metrics: 2012 versus 2016.</w:t>
      </w:r>
      <w:r>
        <w:rPr>
          <w:noProof/>
        </w:rPr>
        <w:tab/>
      </w:r>
      <w:r>
        <w:rPr>
          <w:noProof/>
        </w:rPr>
        <w:fldChar w:fldCharType="begin"/>
      </w:r>
      <w:r>
        <w:rPr>
          <w:noProof/>
        </w:rPr>
        <w:instrText xml:space="preserve"> PAGEREF _Toc525141406 \h </w:instrText>
      </w:r>
      <w:r>
        <w:rPr>
          <w:noProof/>
        </w:rPr>
      </w:r>
      <w:r>
        <w:rPr>
          <w:noProof/>
        </w:rPr>
        <w:fldChar w:fldCharType="separate"/>
      </w:r>
      <w:r>
        <w:rPr>
          <w:noProof/>
        </w:rPr>
        <w:t>78</w:t>
      </w:r>
      <w:r>
        <w:rPr>
          <w:noProof/>
        </w:rPr>
        <w:fldChar w:fldCharType="end"/>
      </w:r>
    </w:p>
    <w:p w14:paraId="407C6585" w14:textId="19BA2ED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18: Refrigerant bank 2006, 2012 and 2016 by mass in tonnes and share in percent.</w:t>
      </w:r>
      <w:r>
        <w:rPr>
          <w:noProof/>
        </w:rPr>
        <w:tab/>
      </w:r>
      <w:r>
        <w:rPr>
          <w:noProof/>
        </w:rPr>
        <w:fldChar w:fldCharType="begin"/>
      </w:r>
      <w:r>
        <w:rPr>
          <w:noProof/>
        </w:rPr>
        <w:instrText xml:space="preserve"> PAGEREF _Toc525141407 \h </w:instrText>
      </w:r>
      <w:r>
        <w:rPr>
          <w:noProof/>
        </w:rPr>
      </w:r>
      <w:r>
        <w:rPr>
          <w:noProof/>
        </w:rPr>
        <w:fldChar w:fldCharType="separate"/>
      </w:r>
      <w:r>
        <w:rPr>
          <w:noProof/>
        </w:rPr>
        <w:t>85</w:t>
      </w:r>
      <w:r>
        <w:rPr>
          <w:noProof/>
        </w:rPr>
        <w:fldChar w:fldCharType="end"/>
      </w:r>
    </w:p>
    <w:p w14:paraId="7F4F690B" w14:textId="056938D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19: Pieces of pre-charged equipment imported from 2013 to 2016.</w:t>
      </w:r>
      <w:r>
        <w:rPr>
          <w:noProof/>
        </w:rPr>
        <w:tab/>
      </w:r>
      <w:r>
        <w:rPr>
          <w:noProof/>
        </w:rPr>
        <w:fldChar w:fldCharType="begin"/>
      </w:r>
      <w:r>
        <w:rPr>
          <w:noProof/>
        </w:rPr>
        <w:instrText xml:space="preserve"> PAGEREF _Toc525141408 \h </w:instrText>
      </w:r>
      <w:r>
        <w:rPr>
          <w:noProof/>
        </w:rPr>
      </w:r>
      <w:r>
        <w:rPr>
          <w:noProof/>
        </w:rPr>
        <w:fldChar w:fldCharType="separate"/>
      </w:r>
      <w:r>
        <w:rPr>
          <w:noProof/>
        </w:rPr>
        <w:t>93</w:t>
      </w:r>
      <w:r>
        <w:rPr>
          <w:noProof/>
        </w:rPr>
        <w:fldChar w:fldCharType="end"/>
      </w:r>
    </w:p>
    <w:p w14:paraId="247DC103" w14:textId="265B58B3"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20: Average refrigerant prices in 2013 and 2016.</w:t>
      </w:r>
      <w:r>
        <w:rPr>
          <w:noProof/>
        </w:rPr>
        <w:tab/>
      </w:r>
      <w:r>
        <w:rPr>
          <w:noProof/>
        </w:rPr>
        <w:fldChar w:fldCharType="begin"/>
      </w:r>
      <w:r>
        <w:rPr>
          <w:noProof/>
        </w:rPr>
        <w:instrText xml:space="preserve"> PAGEREF _Toc525141409 \h </w:instrText>
      </w:r>
      <w:r>
        <w:rPr>
          <w:noProof/>
        </w:rPr>
      </w:r>
      <w:r>
        <w:rPr>
          <w:noProof/>
        </w:rPr>
        <w:fldChar w:fldCharType="separate"/>
      </w:r>
      <w:r>
        <w:rPr>
          <w:noProof/>
        </w:rPr>
        <w:t>101</w:t>
      </w:r>
      <w:r>
        <w:rPr>
          <w:noProof/>
        </w:rPr>
        <w:fldChar w:fldCharType="end"/>
      </w:r>
    </w:p>
    <w:p w14:paraId="076246DE" w14:textId="4D70BED0"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21</w:t>
      </w:r>
      <w:r w:rsidRPr="00A34558">
        <w:rPr>
          <w:noProof/>
        </w:rPr>
        <w:t>: Low GWP refrigerant bank 2012 and 2016 in tonnes.</w:t>
      </w:r>
      <w:r>
        <w:rPr>
          <w:noProof/>
        </w:rPr>
        <w:tab/>
      </w:r>
      <w:r>
        <w:rPr>
          <w:noProof/>
        </w:rPr>
        <w:fldChar w:fldCharType="begin"/>
      </w:r>
      <w:r>
        <w:rPr>
          <w:noProof/>
        </w:rPr>
        <w:instrText xml:space="preserve"> PAGEREF _Toc525141410 \h </w:instrText>
      </w:r>
      <w:r>
        <w:rPr>
          <w:noProof/>
        </w:rPr>
      </w:r>
      <w:r>
        <w:rPr>
          <w:noProof/>
        </w:rPr>
        <w:fldChar w:fldCharType="separate"/>
      </w:r>
      <w:r>
        <w:rPr>
          <w:noProof/>
        </w:rPr>
        <w:t>105</w:t>
      </w:r>
      <w:r>
        <w:rPr>
          <w:noProof/>
        </w:rPr>
        <w:fldChar w:fldCharType="end"/>
      </w:r>
    </w:p>
    <w:p w14:paraId="60455DA8" w14:textId="3E3A3EE8"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Table 22: </w:t>
      </w:r>
      <w:r w:rsidRPr="00A34558">
        <w:rPr>
          <w:noProof/>
          <w:lang w:val="en-AU"/>
        </w:rPr>
        <w:t>Volumes of ammonia sold by calendar year (tonnes) based on supplier survey.</w:t>
      </w:r>
      <w:r>
        <w:rPr>
          <w:noProof/>
        </w:rPr>
        <w:tab/>
      </w:r>
      <w:r>
        <w:rPr>
          <w:noProof/>
        </w:rPr>
        <w:fldChar w:fldCharType="begin"/>
      </w:r>
      <w:r>
        <w:rPr>
          <w:noProof/>
        </w:rPr>
        <w:instrText xml:space="preserve"> PAGEREF _Toc525141411 \h </w:instrText>
      </w:r>
      <w:r>
        <w:rPr>
          <w:noProof/>
        </w:rPr>
      </w:r>
      <w:r>
        <w:rPr>
          <w:noProof/>
        </w:rPr>
        <w:fldChar w:fldCharType="separate"/>
      </w:r>
      <w:r>
        <w:rPr>
          <w:noProof/>
        </w:rPr>
        <w:t>106</w:t>
      </w:r>
      <w:r>
        <w:rPr>
          <w:noProof/>
        </w:rPr>
        <w:fldChar w:fldCharType="end"/>
      </w:r>
    </w:p>
    <w:p w14:paraId="6026D9E9" w14:textId="19FD66F4"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Table 23: </w:t>
      </w:r>
      <w:r w:rsidRPr="00A34558">
        <w:rPr>
          <w:noProof/>
          <w:lang w:val="en-AU"/>
        </w:rPr>
        <w:t>Volumes of hydrocarbon sold by calendar year (tonnes) based on supplier survey.</w:t>
      </w:r>
      <w:r>
        <w:rPr>
          <w:noProof/>
        </w:rPr>
        <w:tab/>
      </w:r>
      <w:r>
        <w:rPr>
          <w:noProof/>
        </w:rPr>
        <w:fldChar w:fldCharType="begin"/>
      </w:r>
      <w:r>
        <w:rPr>
          <w:noProof/>
        </w:rPr>
        <w:instrText xml:space="preserve"> PAGEREF _Toc525141412 \h </w:instrText>
      </w:r>
      <w:r>
        <w:rPr>
          <w:noProof/>
        </w:rPr>
      </w:r>
      <w:r>
        <w:rPr>
          <w:noProof/>
        </w:rPr>
        <w:fldChar w:fldCharType="separate"/>
      </w:r>
      <w:r>
        <w:rPr>
          <w:noProof/>
        </w:rPr>
        <w:t>110</w:t>
      </w:r>
      <w:r>
        <w:rPr>
          <w:noProof/>
        </w:rPr>
        <w:fldChar w:fldCharType="end"/>
      </w:r>
    </w:p>
    <w:p w14:paraId="4D829E5A" w14:textId="15D71512"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24: Summary of technology opportunities for new equipment by GWP threshold in 2018.</w:t>
      </w:r>
      <w:r>
        <w:rPr>
          <w:noProof/>
        </w:rPr>
        <w:tab/>
      </w:r>
      <w:r>
        <w:rPr>
          <w:noProof/>
        </w:rPr>
        <w:fldChar w:fldCharType="begin"/>
      </w:r>
      <w:r>
        <w:rPr>
          <w:noProof/>
        </w:rPr>
        <w:instrText xml:space="preserve"> PAGEREF _Toc525141413 \h </w:instrText>
      </w:r>
      <w:r>
        <w:rPr>
          <w:noProof/>
        </w:rPr>
      </w:r>
      <w:r>
        <w:rPr>
          <w:noProof/>
        </w:rPr>
        <w:fldChar w:fldCharType="separate"/>
      </w:r>
      <w:r>
        <w:rPr>
          <w:noProof/>
        </w:rPr>
        <w:t>112</w:t>
      </w:r>
      <w:r>
        <w:rPr>
          <w:noProof/>
        </w:rPr>
        <w:fldChar w:fldCharType="end"/>
      </w:r>
    </w:p>
    <w:p w14:paraId="2701D350" w14:textId="5CCF192C"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25: High GWP refrigerant use in domestic OEM in 2016 in tonnes.</w:t>
      </w:r>
      <w:r>
        <w:rPr>
          <w:noProof/>
        </w:rPr>
        <w:tab/>
      </w:r>
      <w:r>
        <w:rPr>
          <w:noProof/>
        </w:rPr>
        <w:fldChar w:fldCharType="begin"/>
      </w:r>
      <w:r>
        <w:rPr>
          <w:noProof/>
        </w:rPr>
        <w:instrText xml:space="preserve"> PAGEREF _Toc525141414 \h </w:instrText>
      </w:r>
      <w:r>
        <w:rPr>
          <w:noProof/>
        </w:rPr>
      </w:r>
      <w:r>
        <w:rPr>
          <w:noProof/>
        </w:rPr>
        <w:fldChar w:fldCharType="separate"/>
      </w:r>
      <w:r>
        <w:rPr>
          <w:noProof/>
        </w:rPr>
        <w:t>131</w:t>
      </w:r>
      <w:r>
        <w:rPr>
          <w:noProof/>
        </w:rPr>
        <w:fldChar w:fldCharType="end"/>
      </w:r>
    </w:p>
    <w:p w14:paraId="0C147E21" w14:textId="372830B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Table 26: </w:t>
      </w:r>
      <w:r w:rsidRPr="00A34558">
        <w:rPr>
          <w:noProof/>
          <w:lang w:val="en-AU"/>
        </w:rPr>
        <w:t>Australian electricity consumption, by end use sector in 2015/16 FY.</w:t>
      </w:r>
      <w:r>
        <w:rPr>
          <w:noProof/>
        </w:rPr>
        <w:tab/>
      </w:r>
      <w:r>
        <w:rPr>
          <w:noProof/>
        </w:rPr>
        <w:fldChar w:fldCharType="begin"/>
      </w:r>
      <w:r>
        <w:rPr>
          <w:noProof/>
        </w:rPr>
        <w:instrText xml:space="preserve"> PAGEREF _Toc525141415 \h </w:instrText>
      </w:r>
      <w:r>
        <w:rPr>
          <w:noProof/>
        </w:rPr>
      </w:r>
      <w:r>
        <w:rPr>
          <w:noProof/>
        </w:rPr>
        <w:fldChar w:fldCharType="separate"/>
      </w:r>
      <w:r>
        <w:rPr>
          <w:noProof/>
        </w:rPr>
        <w:t>148</w:t>
      </w:r>
      <w:r>
        <w:rPr>
          <w:noProof/>
        </w:rPr>
        <w:fldChar w:fldCharType="end"/>
      </w:r>
    </w:p>
    <w:p w14:paraId="09377835" w14:textId="4451260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27: Direct and indirect emissions of RAC equipment in 2016 in Mt CO</w:t>
      </w:r>
      <w:r w:rsidRPr="00A34558">
        <w:rPr>
          <w:noProof/>
          <w:vertAlign w:val="subscript"/>
        </w:rPr>
        <w:t>2</w:t>
      </w:r>
      <w:r>
        <w:rPr>
          <w:noProof/>
        </w:rPr>
        <w:t>e.</w:t>
      </w:r>
      <w:r>
        <w:rPr>
          <w:noProof/>
        </w:rPr>
        <w:tab/>
      </w:r>
      <w:r>
        <w:rPr>
          <w:noProof/>
        </w:rPr>
        <w:fldChar w:fldCharType="begin"/>
      </w:r>
      <w:r>
        <w:rPr>
          <w:noProof/>
        </w:rPr>
        <w:instrText xml:space="preserve"> PAGEREF _Toc525141416 \h </w:instrText>
      </w:r>
      <w:r>
        <w:rPr>
          <w:noProof/>
        </w:rPr>
      </w:r>
      <w:r>
        <w:rPr>
          <w:noProof/>
        </w:rPr>
        <w:fldChar w:fldCharType="separate"/>
      </w:r>
      <w:r>
        <w:rPr>
          <w:noProof/>
        </w:rPr>
        <w:t>151</w:t>
      </w:r>
      <w:r>
        <w:rPr>
          <w:noProof/>
        </w:rPr>
        <w:fldChar w:fldCharType="end"/>
      </w:r>
    </w:p>
    <w:p w14:paraId="300B2FEB" w14:textId="551B8F0F"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28: Total RAC Emissions (including end-of-life) in 2016 Mt CO</w:t>
      </w:r>
      <w:r w:rsidRPr="00A34558">
        <w:rPr>
          <w:noProof/>
          <w:vertAlign w:val="subscript"/>
        </w:rPr>
        <w:t>2</w:t>
      </w:r>
      <w:r>
        <w:rPr>
          <w:noProof/>
        </w:rPr>
        <w:t>e.</w:t>
      </w:r>
      <w:r>
        <w:rPr>
          <w:noProof/>
        </w:rPr>
        <w:tab/>
      </w:r>
      <w:r>
        <w:rPr>
          <w:noProof/>
        </w:rPr>
        <w:fldChar w:fldCharType="begin"/>
      </w:r>
      <w:r>
        <w:rPr>
          <w:noProof/>
        </w:rPr>
        <w:instrText xml:space="preserve"> PAGEREF _Toc525141417 \h </w:instrText>
      </w:r>
      <w:r>
        <w:rPr>
          <w:noProof/>
        </w:rPr>
      </w:r>
      <w:r>
        <w:rPr>
          <w:noProof/>
        </w:rPr>
        <w:fldChar w:fldCharType="separate"/>
      </w:r>
      <w:r>
        <w:rPr>
          <w:noProof/>
        </w:rPr>
        <w:t>152</w:t>
      </w:r>
      <w:r>
        <w:rPr>
          <w:noProof/>
        </w:rPr>
        <w:fldChar w:fldCharType="end"/>
      </w:r>
    </w:p>
    <w:p w14:paraId="383A19B9" w14:textId="2FA1EB2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29: Estimated cost of energy spend in AC and refrigeration services in 2012 and 2016 in millions.</w:t>
      </w:r>
      <w:r>
        <w:rPr>
          <w:noProof/>
        </w:rPr>
        <w:tab/>
      </w:r>
      <w:r>
        <w:rPr>
          <w:noProof/>
        </w:rPr>
        <w:fldChar w:fldCharType="begin"/>
      </w:r>
      <w:r>
        <w:rPr>
          <w:noProof/>
        </w:rPr>
        <w:instrText xml:space="preserve"> PAGEREF _Toc525141418 \h </w:instrText>
      </w:r>
      <w:r>
        <w:rPr>
          <w:noProof/>
        </w:rPr>
      </w:r>
      <w:r>
        <w:rPr>
          <w:noProof/>
        </w:rPr>
        <w:fldChar w:fldCharType="separate"/>
      </w:r>
      <w:r>
        <w:rPr>
          <w:noProof/>
        </w:rPr>
        <w:t>155</w:t>
      </w:r>
      <w:r>
        <w:rPr>
          <w:noProof/>
        </w:rPr>
        <w:fldChar w:fldCharType="end"/>
      </w:r>
    </w:p>
    <w:p w14:paraId="27F98F65" w14:textId="44AF982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30: Estimated value of new installed equipment in 2012 and 2016 in millions.</w:t>
      </w:r>
      <w:r>
        <w:rPr>
          <w:noProof/>
        </w:rPr>
        <w:tab/>
      </w:r>
      <w:r>
        <w:rPr>
          <w:noProof/>
        </w:rPr>
        <w:fldChar w:fldCharType="begin"/>
      </w:r>
      <w:r>
        <w:rPr>
          <w:noProof/>
        </w:rPr>
        <w:instrText xml:space="preserve"> PAGEREF _Toc525141419 \h </w:instrText>
      </w:r>
      <w:r>
        <w:rPr>
          <w:noProof/>
        </w:rPr>
      </w:r>
      <w:r>
        <w:rPr>
          <w:noProof/>
        </w:rPr>
        <w:fldChar w:fldCharType="separate"/>
      </w:r>
      <w:r>
        <w:rPr>
          <w:noProof/>
        </w:rPr>
        <w:t>156</w:t>
      </w:r>
      <w:r>
        <w:rPr>
          <w:noProof/>
        </w:rPr>
        <w:fldChar w:fldCharType="end"/>
      </w:r>
    </w:p>
    <w:p w14:paraId="2BFEF095" w14:textId="2E245EC5"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31: Number of refrigerant trading authorities by industry sector, 2016 and 2017.</w:t>
      </w:r>
      <w:r>
        <w:rPr>
          <w:noProof/>
        </w:rPr>
        <w:tab/>
      </w:r>
      <w:r>
        <w:rPr>
          <w:noProof/>
        </w:rPr>
        <w:fldChar w:fldCharType="begin"/>
      </w:r>
      <w:r>
        <w:rPr>
          <w:noProof/>
        </w:rPr>
        <w:instrText xml:space="preserve"> PAGEREF _Toc525141420 \h </w:instrText>
      </w:r>
      <w:r>
        <w:rPr>
          <w:noProof/>
        </w:rPr>
      </w:r>
      <w:r>
        <w:rPr>
          <w:noProof/>
        </w:rPr>
        <w:fldChar w:fldCharType="separate"/>
      </w:r>
      <w:r>
        <w:rPr>
          <w:noProof/>
        </w:rPr>
        <w:t>157</w:t>
      </w:r>
      <w:r>
        <w:rPr>
          <w:noProof/>
        </w:rPr>
        <w:fldChar w:fldCharType="end"/>
      </w:r>
    </w:p>
    <w:p w14:paraId="6E604444" w14:textId="48B4CB7C"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32: Number of refrigerant handling licences by industry sector, 2012 and 2016.</w:t>
      </w:r>
      <w:r>
        <w:rPr>
          <w:noProof/>
        </w:rPr>
        <w:tab/>
      </w:r>
      <w:r>
        <w:rPr>
          <w:noProof/>
        </w:rPr>
        <w:fldChar w:fldCharType="begin"/>
      </w:r>
      <w:r>
        <w:rPr>
          <w:noProof/>
        </w:rPr>
        <w:instrText xml:space="preserve"> PAGEREF _Toc525141421 \h </w:instrText>
      </w:r>
      <w:r>
        <w:rPr>
          <w:noProof/>
        </w:rPr>
      </w:r>
      <w:r>
        <w:rPr>
          <w:noProof/>
        </w:rPr>
        <w:fldChar w:fldCharType="separate"/>
      </w:r>
      <w:r>
        <w:rPr>
          <w:noProof/>
        </w:rPr>
        <w:t>158</w:t>
      </w:r>
      <w:r>
        <w:rPr>
          <w:noProof/>
        </w:rPr>
        <w:fldChar w:fldCharType="end"/>
      </w:r>
    </w:p>
    <w:p w14:paraId="7E27D11F" w14:textId="03F52FCB"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33: Number of refrigerant handling licences by industry sector, 2016 and 2017.</w:t>
      </w:r>
      <w:r>
        <w:rPr>
          <w:noProof/>
        </w:rPr>
        <w:tab/>
      </w:r>
      <w:r>
        <w:rPr>
          <w:noProof/>
        </w:rPr>
        <w:fldChar w:fldCharType="begin"/>
      </w:r>
      <w:r>
        <w:rPr>
          <w:noProof/>
        </w:rPr>
        <w:instrText xml:space="preserve"> PAGEREF _Toc525141422 \h </w:instrText>
      </w:r>
      <w:r>
        <w:rPr>
          <w:noProof/>
        </w:rPr>
      </w:r>
      <w:r>
        <w:rPr>
          <w:noProof/>
        </w:rPr>
        <w:fldChar w:fldCharType="separate"/>
      </w:r>
      <w:r>
        <w:rPr>
          <w:noProof/>
        </w:rPr>
        <w:t>159</w:t>
      </w:r>
      <w:r>
        <w:rPr>
          <w:noProof/>
        </w:rPr>
        <w:fldChar w:fldCharType="end"/>
      </w:r>
    </w:p>
    <w:p w14:paraId="588E8C2B" w14:textId="376FD316"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34: Method for calculating total employment in the RAC industry in Australia in 2016.</w:t>
      </w:r>
      <w:r>
        <w:rPr>
          <w:noProof/>
        </w:rPr>
        <w:tab/>
      </w:r>
      <w:r>
        <w:rPr>
          <w:noProof/>
        </w:rPr>
        <w:fldChar w:fldCharType="begin"/>
      </w:r>
      <w:r>
        <w:rPr>
          <w:noProof/>
        </w:rPr>
        <w:instrText xml:space="preserve"> PAGEREF _Toc525141423 \h </w:instrText>
      </w:r>
      <w:r>
        <w:rPr>
          <w:noProof/>
        </w:rPr>
      </w:r>
      <w:r>
        <w:rPr>
          <w:noProof/>
        </w:rPr>
        <w:fldChar w:fldCharType="separate"/>
      </w:r>
      <w:r>
        <w:rPr>
          <w:noProof/>
        </w:rPr>
        <w:t>160</w:t>
      </w:r>
      <w:r>
        <w:rPr>
          <w:noProof/>
        </w:rPr>
        <w:fldChar w:fldCharType="end"/>
      </w:r>
    </w:p>
    <w:p w14:paraId="6FA43BD7" w14:textId="574D57D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35: Average age of refrigerant handling licence holders by major sector 2017.</w:t>
      </w:r>
      <w:r>
        <w:rPr>
          <w:noProof/>
        </w:rPr>
        <w:tab/>
      </w:r>
      <w:r>
        <w:rPr>
          <w:noProof/>
        </w:rPr>
        <w:fldChar w:fldCharType="begin"/>
      </w:r>
      <w:r>
        <w:rPr>
          <w:noProof/>
        </w:rPr>
        <w:instrText xml:space="preserve"> PAGEREF _Toc525141424 \h </w:instrText>
      </w:r>
      <w:r>
        <w:rPr>
          <w:noProof/>
        </w:rPr>
      </w:r>
      <w:r>
        <w:rPr>
          <w:noProof/>
        </w:rPr>
        <w:fldChar w:fldCharType="separate"/>
      </w:r>
      <w:r>
        <w:rPr>
          <w:noProof/>
        </w:rPr>
        <w:t>162</w:t>
      </w:r>
      <w:r>
        <w:rPr>
          <w:noProof/>
        </w:rPr>
        <w:fldChar w:fldCharType="end"/>
      </w:r>
    </w:p>
    <w:p w14:paraId="0A98885E" w14:textId="321B0583"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36: Total economic value of the RAC industry in Australia in millions of dollars in 2016.</w:t>
      </w:r>
      <w:r>
        <w:rPr>
          <w:noProof/>
        </w:rPr>
        <w:tab/>
      </w:r>
      <w:r>
        <w:rPr>
          <w:noProof/>
        </w:rPr>
        <w:fldChar w:fldCharType="begin"/>
      </w:r>
      <w:r>
        <w:rPr>
          <w:noProof/>
        </w:rPr>
        <w:instrText xml:space="preserve"> PAGEREF _Toc525141425 \h </w:instrText>
      </w:r>
      <w:r>
        <w:rPr>
          <w:noProof/>
        </w:rPr>
      </w:r>
      <w:r>
        <w:rPr>
          <w:noProof/>
        </w:rPr>
        <w:fldChar w:fldCharType="separate"/>
      </w:r>
      <w:r>
        <w:rPr>
          <w:noProof/>
        </w:rPr>
        <w:t>163</w:t>
      </w:r>
      <w:r>
        <w:rPr>
          <w:noProof/>
        </w:rPr>
        <w:fldChar w:fldCharType="end"/>
      </w:r>
    </w:p>
    <w:p w14:paraId="18B428EF" w14:textId="3D87F750"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37: Main economic indicators of RAC industry activity in 2012 and 2016.</w:t>
      </w:r>
      <w:r>
        <w:rPr>
          <w:noProof/>
        </w:rPr>
        <w:tab/>
      </w:r>
      <w:r>
        <w:rPr>
          <w:noProof/>
        </w:rPr>
        <w:fldChar w:fldCharType="begin"/>
      </w:r>
      <w:r>
        <w:rPr>
          <w:noProof/>
        </w:rPr>
        <w:instrText xml:space="preserve"> PAGEREF _Toc525141426 \h </w:instrText>
      </w:r>
      <w:r>
        <w:rPr>
          <w:noProof/>
        </w:rPr>
      </w:r>
      <w:r>
        <w:rPr>
          <w:noProof/>
        </w:rPr>
        <w:fldChar w:fldCharType="separate"/>
      </w:r>
      <w:r>
        <w:rPr>
          <w:noProof/>
        </w:rPr>
        <w:t>164</w:t>
      </w:r>
      <w:r>
        <w:rPr>
          <w:noProof/>
        </w:rPr>
        <w:fldChar w:fldCharType="end"/>
      </w:r>
    </w:p>
    <w:p w14:paraId="529327CC" w14:textId="06D21399"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38: Technical characteristics by product category (average charge, end-of-life factors, service rates, leak rates and average lifespan) for most common substances.</w:t>
      </w:r>
      <w:r>
        <w:rPr>
          <w:noProof/>
        </w:rPr>
        <w:tab/>
      </w:r>
      <w:r>
        <w:rPr>
          <w:noProof/>
        </w:rPr>
        <w:fldChar w:fldCharType="begin"/>
      </w:r>
      <w:r>
        <w:rPr>
          <w:noProof/>
        </w:rPr>
        <w:instrText xml:space="preserve"> PAGEREF _Toc525141427 \h </w:instrText>
      </w:r>
      <w:r>
        <w:rPr>
          <w:noProof/>
        </w:rPr>
      </w:r>
      <w:r>
        <w:rPr>
          <w:noProof/>
        </w:rPr>
        <w:fldChar w:fldCharType="separate"/>
      </w:r>
      <w:r>
        <w:rPr>
          <w:noProof/>
        </w:rPr>
        <w:t>184</w:t>
      </w:r>
      <w:r>
        <w:rPr>
          <w:noProof/>
        </w:rPr>
        <w:fldChar w:fldCharType="end"/>
      </w:r>
    </w:p>
    <w:p w14:paraId="726AA82E" w14:textId="1CACB153"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39: GWP factors of main refrigerant species.</w:t>
      </w:r>
      <w:r>
        <w:rPr>
          <w:noProof/>
        </w:rPr>
        <w:tab/>
      </w:r>
      <w:r>
        <w:rPr>
          <w:noProof/>
        </w:rPr>
        <w:fldChar w:fldCharType="begin"/>
      </w:r>
      <w:r>
        <w:rPr>
          <w:noProof/>
        </w:rPr>
        <w:instrText xml:space="preserve"> PAGEREF _Toc525141428 \h </w:instrText>
      </w:r>
      <w:r>
        <w:rPr>
          <w:noProof/>
        </w:rPr>
      </w:r>
      <w:r>
        <w:rPr>
          <w:noProof/>
        </w:rPr>
        <w:fldChar w:fldCharType="separate"/>
      </w:r>
      <w:r>
        <w:rPr>
          <w:noProof/>
        </w:rPr>
        <w:t>190</w:t>
      </w:r>
      <w:r>
        <w:rPr>
          <w:noProof/>
        </w:rPr>
        <w:fldChar w:fldCharType="end"/>
      </w:r>
    </w:p>
    <w:p w14:paraId="00C2DC35" w14:textId="00F7B79D"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40: ASHRAE Refrigerant designation and refrigerant mass composition of common blends used in Australia.</w:t>
      </w:r>
      <w:r>
        <w:rPr>
          <w:noProof/>
        </w:rPr>
        <w:tab/>
      </w:r>
      <w:r>
        <w:rPr>
          <w:noProof/>
        </w:rPr>
        <w:fldChar w:fldCharType="begin"/>
      </w:r>
      <w:r>
        <w:rPr>
          <w:noProof/>
        </w:rPr>
        <w:instrText xml:space="preserve"> PAGEREF _Toc525141429 \h </w:instrText>
      </w:r>
      <w:r>
        <w:rPr>
          <w:noProof/>
        </w:rPr>
      </w:r>
      <w:r>
        <w:rPr>
          <w:noProof/>
        </w:rPr>
        <w:fldChar w:fldCharType="separate"/>
      </w:r>
      <w:r>
        <w:rPr>
          <w:noProof/>
        </w:rPr>
        <w:t>192</w:t>
      </w:r>
      <w:r>
        <w:rPr>
          <w:noProof/>
        </w:rPr>
        <w:fldChar w:fldCharType="end"/>
      </w:r>
    </w:p>
    <w:p w14:paraId="4E869B85" w14:textId="4880BAB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 xml:space="preserve">Table 41: </w:t>
      </w:r>
      <w:r w:rsidRPr="00A34558">
        <w:rPr>
          <w:noProof/>
          <w:lang w:val="en-AU"/>
        </w:rPr>
        <w:t>Comparisons of stock and electricity consumption values: CHF2 vs AC RIS: 2016 vs CHF3: 2016.</w:t>
      </w:r>
      <w:r>
        <w:rPr>
          <w:noProof/>
        </w:rPr>
        <w:tab/>
      </w:r>
      <w:r>
        <w:rPr>
          <w:noProof/>
        </w:rPr>
        <w:fldChar w:fldCharType="begin"/>
      </w:r>
      <w:r>
        <w:rPr>
          <w:noProof/>
        </w:rPr>
        <w:instrText xml:space="preserve"> PAGEREF _Toc525141430 \h </w:instrText>
      </w:r>
      <w:r>
        <w:rPr>
          <w:noProof/>
        </w:rPr>
      </w:r>
      <w:r>
        <w:rPr>
          <w:noProof/>
        </w:rPr>
        <w:fldChar w:fldCharType="separate"/>
      </w:r>
      <w:r>
        <w:rPr>
          <w:noProof/>
        </w:rPr>
        <w:t>194</w:t>
      </w:r>
      <w:r>
        <w:rPr>
          <w:noProof/>
        </w:rPr>
        <w:fldChar w:fldCharType="end"/>
      </w:r>
    </w:p>
    <w:p w14:paraId="1D0914FC" w14:textId="54E74D7E"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42: Estimated air conditioning proportion of use in commercial applications.</w:t>
      </w:r>
      <w:r>
        <w:rPr>
          <w:noProof/>
        </w:rPr>
        <w:tab/>
      </w:r>
      <w:r>
        <w:rPr>
          <w:noProof/>
        </w:rPr>
        <w:fldChar w:fldCharType="begin"/>
      </w:r>
      <w:r>
        <w:rPr>
          <w:noProof/>
        </w:rPr>
        <w:instrText xml:space="preserve"> PAGEREF _Toc525141431 \h </w:instrText>
      </w:r>
      <w:r>
        <w:rPr>
          <w:noProof/>
        </w:rPr>
      </w:r>
      <w:r>
        <w:rPr>
          <w:noProof/>
        </w:rPr>
        <w:fldChar w:fldCharType="separate"/>
      </w:r>
      <w:r>
        <w:rPr>
          <w:noProof/>
        </w:rPr>
        <w:t>196</w:t>
      </w:r>
      <w:r>
        <w:rPr>
          <w:noProof/>
        </w:rPr>
        <w:fldChar w:fldCharType="end"/>
      </w:r>
    </w:p>
    <w:p w14:paraId="0076DA6C" w14:textId="1513FF47"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43: Fuel combustion emission factors-fuels used for transport energy purposes for post-2004 vehicles.</w:t>
      </w:r>
      <w:r>
        <w:rPr>
          <w:noProof/>
        </w:rPr>
        <w:tab/>
      </w:r>
      <w:r>
        <w:rPr>
          <w:noProof/>
        </w:rPr>
        <w:fldChar w:fldCharType="begin"/>
      </w:r>
      <w:r>
        <w:rPr>
          <w:noProof/>
        </w:rPr>
        <w:instrText xml:space="preserve"> PAGEREF _Toc525141432 \h </w:instrText>
      </w:r>
      <w:r>
        <w:rPr>
          <w:noProof/>
        </w:rPr>
      </w:r>
      <w:r>
        <w:rPr>
          <w:noProof/>
        </w:rPr>
        <w:fldChar w:fldCharType="separate"/>
      </w:r>
      <w:r>
        <w:rPr>
          <w:noProof/>
        </w:rPr>
        <w:t>197</w:t>
      </w:r>
      <w:r>
        <w:rPr>
          <w:noProof/>
        </w:rPr>
        <w:fldChar w:fldCharType="end"/>
      </w:r>
    </w:p>
    <w:p w14:paraId="6AA610A9" w14:textId="7344BBA3" w:rsidR="0032645B" w:rsidRDefault="0032645B">
      <w:pPr>
        <w:pStyle w:val="TableofFigures"/>
        <w:tabs>
          <w:tab w:val="right" w:leader="dot" w:pos="9487"/>
        </w:tabs>
        <w:rPr>
          <w:rFonts w:asciiTheme="minorHAnsi" w:eastAsiaTheme="minorEastAsia" w:hAnsiTheme="minorHAnsi" w:cstheme="minorBidi"/>
          <w:noProof/>
          <w:sz w:val="24"/>
          <w:lang w:val="en-AU"/>
        </w:rPr>
      </w:pPr>
      <w:r>
        <w:rPr>
          <w:noProof/>
        </w:rPr>
        <w:t>Table 44: Types of businesses in the HVAC&amp;R supply chain.</w:t>
      </w:r>
      <w:r>
        <w:rPr>
          <w:noProof/>
        </w:rPr>
        <w:tab/>
      </w:r>
      <w:r>
        <w:rPr>
          <w:noProof/>
        </w:rPr>
        <w:fldChar w:fldCharType="begin"/>
      </w:r>
      <w:r>
        <w:rPr>
          <w:noProof/>
        </w:rPr>
        <w:instrText xml:space="preserve"> PAGEREF _Toc525141433 \h </w:instrText>
      </w:r>
      <w:r>
        <w:rPr>
          <w:noProof/>
        </w:rPr>
      </w:r>
      <w:r>
        <w:rPr>
          <w:noProof/>
        </w:rPr>
        <w:fldChar w:fldCharType="separate"/>
      </w:r>
      <w:r>
        <w:rPr>
          <w:noProof/>
        </w:rPr>
        <w:t>201</w:t>
      </w:r>
      <w:r>
        <w:rPr>
          <w:noProof/>
        </w:rPr>
        <w:fldChar w:fldCharType="end"/>
      </w:r>
    </w:p>
    <w:p w14:paraId="09E40CF6" w14:textId="6989D678" w:rsidR="003937A5" w:rsidRPr="003937A5" w:rsidRDefault="0032645B" w:rsidP="00A73D83">
      <w:pPr>
        <w:tabs>
          <w:tab w:val="left" w:pos="7513"/>
        </w:tabs>
        <w:jc w:val="left"/>
        <w:rPr>
          <w:rFonts w:asciiTheme="majorHAnsi" w:hAnsiTheme="majorHAnsi"/>
          <w:sz w:val="20"/>
          <w:szCs w:val="20"/>
        </w:rPr>
      </w:pPr>
      <w:r>
        <w:rPr>
          <w:rFonts w:asciiTheme="majorHAnsi" w:eastAsia="Times New Roman" w:hAnsiTheme="majorHAnsi" w:cs="Times New Roman"/>
          <w:b/>
          <w:bCs/>
          <w:noProof/>
          <w:sz w:val="20"/>
          <w:szCs w:val="20"/>
          <w:lang w:val="en-US"/>
        </w:rPr>
        <w:fldChar w:fldCharType="end"/>
      </w:r>
      <w:r w:rsidR="003937A5" w:rsidRPr="000006BF">
        <w:rPr>
          <w:rFonts w:ascii="Verdana" w:hAnsi="Verdana"/>
          <w:color w:val="548DD4"/>
          <w:szCs w:val="20"/>
        </w:rPr>
        <w:br w:type="page"/>
      </w:r>
      <w:r w:rsidR="003937A5" w:rsidRPr="003937A5">
        <w:rPr>
          <w:rFonts w:asciiTheme="majorHAnsi" w:hAnsiTheme="majorHAnsi"/>
          <w:sz w:val="20"/>
          <w:szCs w:val="20"/>
        </w:rPr>
        <w:lastRenderedPageBreak/>
        <w:t xml:space="preserve">This paper has been prepared for the Australian Government, Department of </w:t>
      </w:r>
      <w:r w:rsidR="00BA3DC3">
        <w:rPr>
          <w:rFonts w:asciiTheme="majorHAnsi" w:hAnsiTheme="majorHAnsi"/>
          <w:sz w:val="20"/>
          <w:szCs w:val="20"/>
        </w:rPr>
        <w:t>the</w:t>
      </w:r>
      <w:r w:rsidR="003937A5" w:rsidRPr="003937A5">
        <w:rPr>
          <w:rFonts w:asciiTheme="majorHAnsi" w:hAnsiTheme="majorHAnsi"/>
          <w:sz w:val="20"/>
          <w:szCs w:val="20"/>
        </w:rPr>
        <w:t xml:space="preserve"> Environment</w:t>
      </w:r>
      <w:r w:rsidR="00442990">
        <w:rPr>
          <w:rFonts w:asciiTheme="majorHAnsi" w:hAnsiTheme="majorHAnsi"/>
          <w:sz w:val="20"/>
          <w:szCs w:val="20"/>
        </w:rPr>
        <w:t xml:space="preserve"> and Energy</w:t>
      </w:r>
      <w:r w:rsidR="003937A5" w:rsidRPr="003937A5">
        <w:rPr>
          <w:rFonts w:asciiTheme="majorHAnsi" w:hAnsiTheme="majorHAnsi"/>
          <w:sz w:val="20"/>
          <w:szCs w:val="20"/>
        </w:rPr>
        <w:t>, (</w:t>
      </w:r>
      <w:r w:rsidR="00BA3DC3">
        <w:rPr>
          <w:rFonts w:asciiTheme="majorHAnsi" w:hAnsiTheme="majorHAnsi"/>
          <w:sz w:val="20"/>
          <w:szCs w:val="20"/>
        </w:rPr>
        <w:t>Do</w:t>
      </w:r>
      <w:r w:rsidR="00442990">
        <w:rPr>
          <w:rFonts w:asciiTheme="majorHAnsi" w:hAnsiTheme="majorHAnsi"/>
          <w:sz w:val="20"/>
          <w:szCs w:val="20"/>
        </w:rPr>
        <w:t>E</w:t>
      </w:r>
      <w:r w:rsidR="00BA3DC3">
        <w:rPr>
          <w:rFonts w:asciiTheme="majorHAnsi" w:hAnsiTheme="majorHAnsi"/>
          <w:sz w:val="20"/>
          <w:szCs w:val="20"/>
        </w:rPr>
        <w:t>E</w:t>
      </w:r>
      <w:r w:rsidR="003937A5" w:rsidRPr="003937A5">
        <w:rPr>
          <w:rFonts w:asciiTheme="majorHAnsi" w:hAnsiTheme="majorHAnsi"/>
          <w:sz w:val="20"/>
          <w:szCs w:val="20"/>
        </w:rPr>
        <w:t xml:space="preserve">) </w:t>
      </w:r>
      <w:r w:rsidR="00CD696F">
        <w:rPr>
          <w:rFonts w:asciiTheme="majorHAnsi" w:hAnsiTheme="majorHAnsi"/>
          <w:sz w:val="20"/>
          <w:szCs w:val="20"/>
        </w:rPr>
        <w:t>Energy Innovation and Ozone Protection Branch, International Climate Change and Energy Innovation Division</w:t>
      </w:r>
      <w:r w:rsidR="003937A5" w:rsidRPr="003937A5">
        <w:rPr>
          <w:rFonts w:asciiTheme="majorHAnsi" w:hAnsiTheme="majorHAnsi"/>
          <w:sz w:val="20"/>
          <w:szCs w:val="20"/>
        </w:rPr>
        <w:t>.</w:t>
      </w:r>
    </w:p>
    <w:p w14:paraId="0CD1E50E" w14:textId="77777777" w:rsidR="003937A5" w:rsidRPr="003937A5" w:rsidRDefault="003937A5" w:rsidP="007B0C64">
      <w:pPr>
        <w:rPr>
          <w:rFonts w:asciiTheme="majorHAnsi" w:hAnsiTheme="majorHAnsi"/>
          <w:sz w:val="20"/>
          <w:szCs w:val="20"/>
        </w:rPr>
      </w:pPr>
      <w:r w:rsidRPr="003937A5">
        <w:rPr>
          <w:rFonts w:asciiTheme="majorHAnsi" w:hAnsiTheme="majorHAnsi"/>
          <w:sz w:val="20"/>
          <w:szCs w:val="20"/>
        </w:rPr>
        <w:t xml:space="preserve">Prepared by Peter Brodribb of the Expert Group (A.C.N. </w:t>
      </w:r>
      <w:r w:rsidR="00206CD4">
        <w:rPr>
          <w:rFonts w:asciiTheme="majorHAnsi" w:hAnsiTheme="majorHAnsi"/>
          <w:sz w:val="20"/>
          <w:szCs w:val="20"/>
        </w:rPr>
        <w:t>122 581 159) and</w:t>
      </w:r>
      <w:r w:rsidRPr="003937A5">
        <w:rPr>
          <w:rFonts w:asciiTheme="majorHAnsi" w:hAnsiTheme="majorHAnsi"/>
          <w:sz w:val="20"/>
          <w:szCs w:val="20"/>
        </w:rPr>
        <w:t xml:space="preserve"> Michael McCann of Thinkwell Australia Pty Ltd (A.C.N. 113 454 112)</w:t>
      </w:r>
      <w:r w:rsidR="00982EF0">
        <w:rPr>
          <w:rFonts w:asciiTheme="majorHAnsi" w:hAnsiTheme="majorHAnsi"/>
          <w:sz w:val="20"/>
          <w:szCs w:val="20"/>
        </w:rPr>
        <w:t>.</w:t>
      </w:r>
    </w:p>
    <w:p w14:paraId="6B4CF997" w14:textId="77777777" w:rsidR="007B0C64" w:rsidRDefault="007B0C64" w:rsidP="007B0C64">
      <w:pPr>
        <w:rPr>
          <w:rFonts w:asciiTheme="majorHAnsi" w:hAnsiTheme="majorHAnsi"/>
          <w:sz w:val="20"/>
          <w:szCs w:val="20"/>
        </w:rPr>
      </w:pPr>
      <w:r>
        <w:rPr>
          <w:rFonts w:asciiTheme="majorHAnsi" w:hAnsiTheme="majorHAnsi"/>
          <w:sz w:val="20"/>
          <w:szCs w:val="20"/>
        </w:rPr>
        <w:t>Level 1, 181 Bay Street, Brighton, Victoria 3186</w:t>
      </w:r>
    </w:p>
    <w:p w14:paraId="030FF5D8" w14:textId="77777777" w:rsidR="007B0C64" w:rsidRPr="003937A5" w:rsidRDefault="007B0C64" w:rsidP="007B0C64">
      <w:pPr>
        <w:rPr>
          <w:rFonts w:asciiTheme="majorHAnsi" w:hAnsiTheme="majorHAnsi"/>
          <w:sz w:val="20"/>
          <w:szCs w:val="20"/>
        </w:rPr>
      </w:pPr>
      <w:r w:rsidRPr="003937A5">
        <w:rPr>
          <w:rFonts w:asciiTheme="majorHAnsi" w:hAnsiTheme="majorHAnsi"/>
          <w:sz w:val="20"/>
          <w:szCs w:val="20"/>
        </w:rPr>
        <w:t xml:space="preserve">Ph: +61 3 9592 9111 </w:t>
      </w:r>
    </w:p>
    <w:p w14:paraId="165706CF" w14:textId="77777777" w:rsidR="003937A5" w:rsidRPr="003937A5" w:rsidRDefault="003937A5" w:rsidP="007B0C64">
      <w:pPr>
        <w:rPr>
          <w:rFonts w:asciiTheme="majorHAnsi" w:hAnsiTheme="majorHAnsi"/>
          <w:sz w:val="20"/>
          <w:szCs w:val="20"/>
        </w:rPr>
      </w:pPr>
      <w:r w:rsidRPr="003937A5">
        <w:rPr>
          <w:rFonts w:asciiTheme="majorHAnsi" w:hAnsiTheme="majorHAnsi"/>
          <w:sz w:val="20"/>
          <w:szCs w:val="20"/>
        </w:rPr>
        <w:t xml:space="preserve">Email: inquiries@expertgroup.com.au </w:t>
      </w:r>
    </w:p>
    <w:p w14:paraId="23ACF48B" w14:textId="77777777" w:rsidR="003937A5" w:rsidRPr="003937A5" w:rsidRDefault="003937A5" w:rsidP="007B0C64">
      <w:pPr>
        <w:rPr>
          <w:rFonts w:asciiTheme="majorHAnsi" w:hAnsiTheme="majorHAnsi"/>
          <w:sz w:val="20"/>
          <w:szCs w:val="20"/>
        </w:rPr>
      </w:pPr>
      <w:r w:rsidRPr="003937A5">
        <w:rPr>
          <w:rFonts w:asciiTheme="majorHAnsi" w:hAnsiTheme="majorHAnsi"/>
          <w:sz w:val="20"/>
          <w:szCs w:val="20"/>
        </w:rPr>
        <w:t>Web address: www.expertgroup.com.au</w:t>
      </w:r>
    </w:p>
    <w:p w14:paraId="3D2E2B99" w14:textId="77777777" w:rsidR="003937A5" w:rsidRPr="003937A5" w:rsidRDefault="003937A5" w:rsidP="003937A5">
      <w:pPr>
        <w:rPr>
          <w:rFonts w:asciiTheme="majorHAnsi" w:hAnsiTheme="majorHAnsi"/>
          <w:sz w:val="20"/>
          <w:szCs w:val="20"/>
        </w:rPr>
      </w:pPr>
    </w:p>
    <w:p w14:paraId="2F4B61C7" w14:textId="77777777" w:rsidR="003937A5" w:rsidRPr="003937A5" w:rsidRDefault="003937A5" w:rsidP="003937A5">
      <w:pPr>
        <w:rPr>
          <w:rFonts w:asciiTheme="majorHAnsi" w:hAnsiTheme="majorHAnsi"/>
          <w:b/>
          <w:sz w:val="20"/>
          <w:szCs w:val="20"/>
        </w:rPr>
      </w:pPr>
      <w:r w:rsidRPr="003937A5">
        <w:rPr>
          <w:rFonts w:asciiTheme="majorHAnsi" w:hAnsiTheme="majorHAnsi"/>
          <w:b/>
          <w:sz w:val="20"/>
          <w:szCs w:val="20"/>
        </w:rPr>
        <w:t>Disclaimer</w:t>
      </w:r>
    </w:p>
    <w:p w14:paraId="53C59006" w14:textId="77777777" w:rsidR="00993B4F" w:rsidRPr="00B46E11" w:rsidRDefault="00993B4F" w:rsidP="00B46E11">
      <w:pPr>
        <w:pStyle w:val="NormalWeb"/>
        <w:shd w:val="clear" w:color="auto" w:fill="FFFFFF"/>
        <w:textAlignment w:val="top"/>
        <w:rPr>
          <w:rFonts w:asciiTheme="majorHAnsi" w:eastAsiaTheme="minorEastAsia" w:hAnsiTheme="majorHAnsi" w:cstheme="minorBidi"/>
          <w:color w:val="000000" w:themeColor="text1"/>
          <w:sz w:val="20"/>
          <w:szCs w:val="20"/>
          <w:lang w:val="en-GB"/>
        </w:rPr>
      </w:pPr>
      <w:r w:rsidRPr="00B46E11">
        <w:rPr>
          <w:rFonts w:asciiTheme="majorHAnsi" w:eastAsiaTheme="minorEastAsia" w:hAnsiTheme="majorHAnsi" w:cstheme="minorBidi"/>
          <w:color w:val="000000" w:themeColor="text1"/>
          <w:sz w:val="20"/>
          <w:szCs w:val="20"/>
          <w:lang w:val="en-GB"/>
        </w:rPr>
        <w:t xml:space="preserve">The views and opinions expressed in this publication are those of the authors and do not necessarily reflect those of the Australian Government or the Minister for the Environment and Energy. </w:t>
      </w:r>
    </w:p>
    <w:p w14:paraId="5D330BF9" w14:textId="77777777" w:rsidR="00993B4F" w:rsidRPr="00B46E11" w:rsidRDefault="00993B4F" w:rsidP="00B46E11">
      <w:pPr>
        <w:pStyle w:val="NormalWeb"/>
        <w:shd w:val="clear" w:color="auto" w:fill="FFFFFF"/>
        <w:textAlignment w:val="top"/>
        <w:rPr>
          <w:rFonts w:asciiTheme="majorHAnsi" w:eastAsiaTheme="minorEastAsia" w:hAnsiTheme="majorHAnsi" w:cstheme="minorBidi"/>
          <w:color w:val="000000" w:themeColor="text1"/>
          <w:sz w:val="20"/>
          <w:szCs w:val="20"/>
          <w:lang w:val="en-GB"/>
        </w:rPr>
      </w:pPr>
      <w:r w:rsidRPr="00B46E11">
        <w:rPr>
          <w:rFonts w:asciiTheme="majorHAnsi" w:eastAsiaTheme="minorEastAsia" w:hAnsiTheme="majorHAnsi" w:cstheme="minorBidi"/>
          <w:color w:val="000000" w:themeColor="text1"/>
          <w:sz w:val="20"/>
          <w:szCs w:val="20"/>
          <w:lang w:val="en-G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9332F36" w14:textId="77777777" w:rsidR="00D93F9C" w:rsidRDefault="00C31982" w:rsidP="003937A5">
      <w:pPr>
        <w:rPr>
          <w:rFonts w:asciiTheme="majorHAnsi" w:hAnsiTheme="majorHAnsi"/>
          <w:sz w:val="20"/>
          <w:szCs w:val="20"/>
        </w:rPr>
      </w:pPr>
      <w:r>
        <w:rPr>
          <w:rFonts w:asciiTheme="majorHAnsi" w:hAnsiTheme="majorHAnsi"/>
          <w:sz w:val="20"/>
          <w:szCs w:val="20"/>
        </w:rPr>
        <w:t>ISBN</w:t>
      </w:r>
      <w:r w:rsidRPr="007249E8">
        <w:rPr>
          <w:rFonts w:asciiTheme="majorHAnsi" w:hAnsiTheme="majorHAnsi"/>
          <w:sz w:val="20"/>
          <w:szCs w:val="20"/>
        </w:rPr>
        <w:t>: XX</w:t>
      </w:r>
    </w:p>
    <w:p w14:paraId="1BA717F1" w14:textId="011B6E6A" w:rsidR="003937A5" w:rsidRDefault="003937A5" w:rsidP="003937A5">
      <w:pPr>
        <w:rPr>
          <w:rFonts w:asciiTheme="majorHAnsi" w:hAnsiTheme="majorHAnsi"/>
          <w:sz w:val="20"/>
          <w:szCs w:val="20"/>
        </w:rPr>
      </w:pPr>
      <w:r w:rsidRPr="003937A5">
        <w:rPr>
          <w:rFonts w:asciiTheme="majorHAnsi" w:hAnsiTheme="majorHAnsi"/>
          <w:sz w:val="20"/>
          <w:szCs w:val="20"/>
        </w:rPr>
        <w:t>For bibliographic purposes this report may be cited as:</w:t>
      </w:r>
      <w:r w:rsidR="00442990">
        <w:rPr>
          <w:rFonts w:asciiTheme="majorHAnsi" w:hAnsiTheme="majorHAnsi"/>
          <w:sz w:val="20"/>
          <w:szCs w:val="20"/>
        </w:rPr>
        <w:t xml:space="preserve"> Cold Hard Facts 3</w:t>
      </w:r>
      <w:r w:rsidR="00C31982">
        <w:rPr>
          <w:rFonts w:asciiTheme="majorHAnsi" w:hAnsiTheme="majorHAnsi"/>
          <w:sz w:val="20"/>
          <w:szCs w:val="20"/>
        </w:rPr>
        <w:t>,</w:t>
      </w:r>
      <w:r w:rsidR="007B0C64">
        <w:rPr>
          <w:rFonts w:asciiTheme="majorHAnsi" w:hAnsiTheme="majorHAnsi"/>
          <w:sz w:val="20"/>
          <w:szCs w:val="20"/>
        </w:rPr>
        <w:t xml:space="preserve"> </w:t>
      </w:r>
      <w:r w:rsidRPr="003937A5">
        <w:rPr>
          <w:rFonts w:asciiTheme="majorHAnsi" w:hAnsiTheme="majorHAnsi"/>
          <w:sz w:val="20"/>
          <w:szCs w:val="20"/>
        </w:rPr>
        <w:t>Peter Brodribb and Michael McCann 201</w:t>
      </w:r>
      <w:r w:rsidR="00C36552">
        <w:rPr>
          <w:rFonts w:asciiTheme="majorHAnsi" w:hAnsiTheme="majorHAnsi"/>
          <w:sz w:val="20"/>
          <w:szCs w:val="20"/>
        </w:rPr>
        <w:t>8</w:t>
      </w:r>
      <w:r w:rsidRPr="003937A5">
        <w:rPr>
          <w:rFonts w:asciiTheme="majorHAnsi" w:hAnsiTheme="majorHAnsi"/>
          <w:sz w:val="20"/>
          <w:szCs w:val="20"/>
        </w:rPr>
        <w:t>, Canberra.</w:t>
      </w:r>
    </w:p>
    <w:p w14:paraId="744E2C8C" w14:textId="77777777" w:rsidR="00D93F9C" w:rsidRPr="003937A5" w:rsidRDefault="00D93F9C" w:rsidP="003937A5">
      <w:pPr>
        <w:rPr>
          <w:rFonts w:asciiTheme="majorHAnsi" w:hAnsiTheme="majorHAnsi"/>
          <w:sz w:val="20"/>
          <w:szCs w:val="20"/>
        </w:rPr>
      </w:pPr>
    </w:p>
    <w:p w14:paraId="760FF94E" w14:textId="40F0CF6D" w:rsidR="00D93F9C" w:rsidRPr="00D93F9C" w:rsidRDefault="00D93F9C" w:rsidP="00D93F9C">
      <w:pPr>
        <w:rPr>
          <w:rFonts w:asciiTheme="majorHAnsi" w:hAnsiTheme="majorHAnsi"/>
          <w:color w:val="000000" w:themeColor="text1"/>
          <w:sz w:val="20"/>
          <w:szCs w:val="20"/>
        </w:rPr>
      </w:pPr>
      <w:r w:rsidRPr="00D93F9C">
        <w:rPr>
          <w:rFonts w:asciiTheme="majorHAnsi" w:hAnsiTheme="majorHAnsi"/>
          <w:color w:val="000000" w:themeColor="text1"/>
          <w:sz w:val="20"/>
          <w:szCs w:val="20"/>
        </w:rPr>
        <w:t>© Commonwealth of Australia 201</w:t>
      </w:r>
      <w:r w:rsidR="00C36552">
        <w:rPr>
          <w:rFonts w:asciiTheme="majorHAnsi" w:hAnsiTheme="majorHAnsi"/>
          <w:color w:val="000000" w:themeColor="text1"/>
          <w:sz w:val="20"/>
          <w:szCs w:val="20"/>
        </w:rPr>
        <w:t>8</w:t>
      </w:r>
    </w:p>
    <w:p w14:paraId="5DDC2EAE" w14:textId="5EB718AD" w:rsidR="00D93F9C" w:rsidRPr="008635DC" w:rsidRDefault="00D93F9C" w:rsidP="00D93F9C">
      <w:pPr>
        <w:rPr>
          <w:rFonts w:asciiTheme="majorHAnsi" w:hAnsiTheme="majorHAnsi"/>
          <w:color w:val="000000" w:themeColor="text1"/>
          <w:sz w:val="20"/>
          <w:szCs w:val="20"/>
        </w:rPr>
      </w:pPr>
      <w:r w:rsidRPr="00D93F9C">
        <w:rPr>
          <w:rFonts w:asciiTheme="majorHAnsi" w:hAnsiTheme="majorHAnsi"/>
          <w:color w:val="000000" w:themeColor="text1"/>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w:t>
      </w:r>
      <w:r w:rsidR="00BA3DC3">
        <w:rPr>
          <w:rFonts w:asciiTheme="majorHAnsi" w:hAnsiTheme="majorHAnsi"/>
          <w:color w:val="000000" w:themeColor="text1"/>
          <w:sz w:val="20"/>
          <w:szCs w:val="20"/>
        </w:rPr>
        <w:t>the</w:t>
      </w:r>
      <w:r w:rsidRPr="00D93F9C">
        <w:rPr>
          <w:rFonts w:asciiTheme="majorHAnsi" w:hAnsiTheme="majorHAnsi"/>
          <w:color w:val="000000" w:themeColor="text1"/>
          <w:sz w:val="20"/>
          <w:szCs w:val="20"/>
        </w:rPr>
        <w:t xml:space="preserve"> Environment</w:t>
      </w:r>
      <w:r w:rsidR="00FC65F2">
        <w:rPr>
          <w:rFonts w:asciiTheme="majorHAnsi" w:hAnsiTheme="majorHAnsi"/>
          <w:color w:val="000000" w:themeColor="text1"/>
          <w:sz w:val="20"/>
          <w:szCs w:val="20"/>
        </w:rPr>
        <w:t xml:space="preserve"> and Energy</w:t>
      </w:r>
      <w:r w:rsidRPr="00D93F9C">
        <w:rPr>
          <w:rFonts w:asciiTheme="majorHAnsi" w:hAnsiTheme="majorHAnsi"/>
          <w:color w:val="000000" w:themeColor="text1"/>
          <w:sz w:val="20"/>
          <w:szCs w:val="20"/>
        </w:rPr>
        <w:t xml:space="preserve">, Public Affairs, GPO Box 787 Canberra ACT 2601 or email </w:t>
      </w:r>
      <w:hyperlink r:id="rId16" w:history="1">
        <w:r w:rsidRPr="00D93F9C">
          <w:rPr>
            <w:rStyle w:val="Hyperlink"/>
            <w:rFonts w:ascii="Verdana" w:hAnsi="Verdana"/>
            <w:sz w:val="17"/>
            <w:szCs w:val="17"/>
          </w:rPr>
          <w:t>public.affairs@environment.gov.au</w:t>
        </w:r>
      </w:hyperlink>
      <w:r w:rsidRPr="00D93F9C">
        <w:rPr>
          <w:rFonts w:ascii="Verdana" w:hAnsi="Verdana"/>
          <w:color w:val="000000"/>
          <w:sz w:val="17"/>
          <w:szCs w:val="17"/>
        </w:rPr>
        <w:t>.</w:t>
      </w:r>
    </w:p>
    <w:p w14:paraId="62F7A11A" w14:textId="77777777" w:rsidR="00D93F9C" w:rsidRPr="003937A5" w:rsidRDefault="00D93F9C" w:rsidP="003937A5">
      <w:pPr>
        <w:spacing w:before="0"/>
        <w:rPr>
          <w:rFonts w:asciiTheme="majorHAnsi" w:hAnsiTheme="majorHAnsi"/>
          <w:sz w:val="20"/>
          <w:szCs w:val="20"/>
        </w:rPr>
      </w:pPr>
    </w:p>
    <w:p w14:paraId="50EC3EC2" w14:textId="77777777" w:rsidR="00CC6F76" w:rsidRDefault="00CC6F76">
      <w:pPr>
        <w:spacing w:before="0"/>
        <w:jc w:val="left"/>
      </w:pPr>
    </w:p>
    <w:p w14:paraId="123069ED" w14:textId="77777777" w:rsidR="00CC6F76" w:rsidRDefault="00CC6F76">
      <w:pPr>
        <w:spacing w:before="0"/>
        <w:jc w:val="left"/>
      </w:pPr>
      <w:r>
        <w:br w:type="page"/>
      </w:r>
    </w:p>
    <w:p w14:paraId="665C6D95" w14:textId="77777777" w:rsidR="00F129EC" w:rsidRPr="00974916" w:rsidRDefault="00F129EC" w:rsidP="00F129EC">
      <w:pPr>
        <w:pStyle w:val="Heading1"/>
        <w:numPr>
          <w:ilvl w:val="0"/>
          <w:numId w:val="0"/>
        </w:numPr>
        <w:ind w:left="432" w:hanging="432"/>
      </w:pPr>
      <w:bookmarkStart w:id="0" w:name="_Toc525141254"/>
      <w:r>
        <w:lastRenderedPageBreak/>
        <w:t>Glossary</w:t>
      </w:r>
      <w:bookmarkEnd w:id="0"/>
    </w:p>
    <w:tbl>
      <w:tblPr>
        <w:tblW w:w="0" w:type="auto"/>
        <w:tblLook w:val="00A0" w:firstRow="1" w:lastRow="0" w:firstColumn="1" w:lastColumn="0" w:noHBand="0" w:noVBand="0"/>
      </w:tblPr>
      <w:tblGrid>
        <w:gridCol w:w="2219"/>
        <w:gridCol w:w="7273"/>
      </w:tblGrid>
      <w:tr w:rsidR="00F129EC" w:rsidRPr="008C4425" w14:paraId="1C220081" w14:textId="77777777" w:rsidTr="00A81E96">
        <w:trPr>
          <w:trHeight w:val="342"/>
        </w:trPr>
        <w:tc>
          <w:tcPr>
            <w:tcW w:w="2219" w:type="dxa"/>
          </w:tcPr>
          <w:p w14:paraId="02E4C7B9" w14:textId="77777777" w:rsidR="00F129EC" w:rsidRPr="008C4425" w:rsidRDefault="00F129EC"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Ammonia Refrigerant</w:t>
            </w:r>
          </w:p>
        </w:tc>
        <w:tc>
          <w:tcPr>
            <w:tcW w:w="7273" w:type="dxa"/>
          </w:tcPr>
          <w:p w14:paraId="1DCEA87A" w14:textId="07C0C789" w:rsidR="00F129EC" w:rsidRPr="008C4425" w:rsidRDefault="00F129EC" w:rsidP="009E157A">
            <w:pPr>
              <w:pStyle w:val="BodyText"/>
              <w:spacing w:before="60" w:after="60"/>
              <w:rPr>
                <w:rFonts w:asciiTheme="majorHAnsi" w:hAnsiTheme="majorHAnsi"/>
                <w:sz w:val="18"/>
                <w:szCs w:val="22"/>
              </w:rPr>
            </w:pPr>
            <w:r w:rsidRPr="008C4425">
              <w:rPr>
                <w:rFonts w:asciiTheme="majorHAnsi" w:hAnsiTheme="majorHAnsi"/>
                <w:sz w:val="18"/>
                <w:szCs w:val="22"/>
              </w:rPr>
              <w:t>Anhydrous Ammonia (R717) has excellent thermodynamic properties</w:t>
            </w:r>
            <w:r w:rsidR="00F41858">
              <w:rPr>
                <w:rFonts w:asciiTheme="majorHAnsi" w:hAnsiTheme="majorHAnsi"/>
                <w:sz w:val="18"/>
                <w:szCs w:val="22"/>
              </w:rPr>
              <w:t xml:space="preserve"> and a GWP of zero</w:t>
            </w:r>
            <w:r w:rsidRPr="008C4425">
              <w:rPr>
                <w:rFonts w:asciiTheme="majorHAnsi" w:hAnsiTheme="majorHAnsi"/>
                <w:sz w:val="18"/>
                <w:szCs w:val="22"/>
              </w:rPr>
              <w:t xml:space="preserve">, making it effective as a refrigerant, and is widely used in </w:t>
            </w:r>
            <w:r w:rsidR="00F41858" w:rsidRPr="00F41858">
              <w:rPr>
                <w:rFonts w:asciiTheme="majorHAnsi" w:hAnsiTheme="majorHAnsi"/>
                <w:sz w:val="18"/>
                <w:szCs w:val="22"/>
              </w:rPr>
              <w:t xml:space="preserve">large cold storage </w:t>
            </w:r>
            <w:r w:rsidR="00F41858">
              <w:rPr>
                <w:rFonts w:asciiTheme="majorHAnsi" w:hAnsiTheme="majorHAnsi"/>
                <w:sz w:val="18"/>
                <w:szCs w:val="22"/>
              </w:rPr>
              <w:t xml:space="preserve">facilities </w:t>
            </w:r>
            <w:r w:rsidRPr="008C4425">
              <w:rPr>
                <w:rFonts w:asciiTheme="majorHAnsi" w:hAnsiTheme="majorHAnsi"/>
                <w:sz w:val="18"/>
                <w:szCs w:val="22"/>
              </w:rPr>
              <w:t>and process refrigeration applications because of its high energy efficiency and relatively low cost. Ammonia is used less frequently in commercial refrigeration applications, such as in supermarket and food retail, freezer cases and refrigerated displays due to its toxicity, and the proximity of the general public.</w:t>
            </w:r>
          </w:p>
        </w:tc>
      </w:tr>
      <w:tr w:rsidR="00F129EC" w:rsidRPr="008C4425" w14:paraId="5445E218" w14:textId="77777777" w:rsidTr="00A81E96">
        <w:trPr>
          <w:trHeight w:val="342"/>
        </w:trPr>
        <w:tc>
          <w:tcPr>
            <w:tcW w:w="2219" w:type="dxa"/>
          </w:tcPr>
          <w:p w14:paraId="5F7A1779" w14:textId="77777777" w:rsidR="00F129EC" w:rsidRDefault="00F129EC" w:rsidP="00F129EC">
            <w:pPr>
              <w:pStyle w:val="BodyText"/>
              <w:spacing w:before="60" w:after="60"/>
              <w:jc w:val="left"/>
              <w:rPr>
                <w:rFonts w:asciiTheme="majorHAnsi" w:hAnsiTheme="majorHAnsi"/>
                <w:sz w:val="18"/>
                <w:szCs w:val="22"/>
              </w:rPr>
            </w:pPr>
            <w:r>
              <w:rPr>
                <w:rFonts w:asciiTheme="majorHAnsi" w:hAnsiTheme="majorHAnsi"/>
                <w:sz w:val="18"/>
                <w:szCs w:val="22"/>
              </w:rPr>
              <w:t>Article 5 Countries</w:t>
            </w:r>
          </w:p>
        </w:tc>
        <w:tc>
          <w:tcPr>
            <w:tcW w:w="7273" w:type="dxa"/>
          </w:tcPr>
          <w:p w14:paraId="69E36927" w14:textId="4130E99E" w:rsidR="00F129EC" w:rsidRDefault="00F129EC">
            <w:pPr>
              <w:pStyle w:val="BodyText"/>
              <w:spacing w:before="60" w:after="60"/>
              <w:rPr>
                <w:rFonts w:asciiTheme="majorHAnsi" w:hAnsiTheme="majorHAnsi"/>
                <w:sz w:val="18"/>
                <w:szCs w:val="22"/>
              </w:rPr>
            </w:pPr>
            <w:r w:rsidRPr="001132D8">
              <w:rPr>
                <w:rFonts w:asciiTheme="majorHAnsi" w:hAnsiTheme="majorHAnsi"/>
                <w:sz w:val="18"/>
                <w:szCs w:val="22"/>
              </w:rPr>
              <w:t>Article 5</w:t>
            </w:r>
            <w:r w:rsidR="00CD696F">
              <w:rPr>
                <w:rFonts w:asciiTheme="majorHAnsi" w:hAnsiTheme="majorHAnsi"/>
                <w:sz w:val="18"/>
                <w:szCs w:val="22"/>
              </w:rPr>
              <w:t xml:space="preserve"> of the Montreal Protocol describes the special situation of developing countries. </w:t>
            </w:r>
            <w:r w:rsidR="003114A5">
              <w:rPr>
                <w:rFonts w:asciiTheme="majorHAnsi" w:hAnsiTheme="majorHAnsi"/>
                <w:sz w:val="18"/>
                <w:szCs w:val="22"/>
              </w:rPr>
              <w:t>Article 5 countries are developing countries.</w:t>
            </w:r>
          </w:p>
        </w:tc>
      </w:tr>
      <w:tr w:rsidR="00F129EC" w:rsidRPr="008C4425" w14:paraId="195FBE74" w14:textId="77777777" w:rsidTr="00A81E96">
        <w:trPr>
          <w:trHeight w:val="342"/>
        </w:trPr>
        <w:tc>
          <w:tcPr>
            <w:tcW w:w="2219" w:type="dxa"/>
          </w:tcPr>
          <w:p w14:paraId="6D1727F1" w14:textId="77777777" w:rsidR="00F129EC" w:rsidRPr="008C4425" w:rsidRDefault="00F129EC" w:rsidP="00F129EC">
            <w:pPr>
              <w:pStyle w:val="BodyText"/>
              <w:spacing w:before="60" w:after="60"/>
              <w:jc w:val="left"/>
              <w:rPr>
                <w:rFonts w:asciiTheme="majorHAnsi" w:hAnsiTheme="majorHAnsi"/>
                <w:sz w:val="18"/>
                <w:szCs w:val="22"/>
              </w:rPr>
            </w:pPr>
            <w:r w:rsidRPr="00E837D8">
              <w:rPr>
                <w:rFonts w:asciiTheme="majorHAnsi" w:hAnsiTheme="majorHAnsi"/>
                <w:sz w:val="18"/>
                <w:szCs w:val="22"/>
              </w:rPr>
              <w:t>Bottom-up model</w:t>
            </w:r>
          </w:p>
        </w:tc>
        <w:tc>
          <w:tcPr>
            <w:tcW w:w="7273" w:type="dxa"/>
          </w:tcPr>
          <w:p w14:paraId="2C642803" w14:textId="57C1863E" w:rsidR="00F129EC" w:rsidRPr="008C4425" w:rsidRDefault="00F80BE5" w:rsidP="00B7437D">
            <w:pPr>
              <w:pStyle w:val="BodyText"/>
              <w:spacing w:before="60" w:after="60"/>
              <w:rPr>
                <w:rFonts w:asciiTheme="majorHAnsi" w:hAnsiTheme="majorHAnsi"/>
                <w:sz w:val="18"/>
                <w:szCs w:val="22"/>
              </w:rPr>
            </w:pPr>
            <w:r>
              <w:rPr>
                <w:rFonts w:asciiTheme="majorHAnsi" w:hAnsiTheme="majorHAnsi"/>
                <w:sz w:val="18"/>
                <w:szCs w:val="22"/>
              </w:rPr>
              <w:t>M</w:t>
            </w:r>
            <w:r w:rsidR="00F129EC" w:rsidRPr="00E837D8">
              <w:rPr>
                <w:rFonts w:asciiTheme="majorHAnsi" w:hAnsiTheme="majorHAnsi"/>
                <w:sz w:val="18"/>
                <w:szCs w:val="22"/>
              </w:rPr>
              <w:t>ethod of estimation whereby the</w:t>
            </w:r>
            <w:r>
              <w:rPr>
                <w:rFonts w:asciiTheme="majorHAnsi" w:hAnsiTheme="majorHAnsi"/>
                <w:sz w:val="18"/>
                <w:szCs w:val="22"/>
              </w:rPr>
              <w:t xml:space="preserve"> average refrigerant charge contained in</w:t>
            </w:r>
            <w:r w:rsidR="00F129EC" w:rsidRPr="00E837D8">
              <w:rPr>
                <w:rFonts w:asciiTheme="majorHAnsi" w:hAnsiTheme="majorHAnsi"/>
                <w:sz w:val="18"/>
                <w:szCs w:val="22"/>
              </w:rPr>
              <w:t xml:space="preserve"> individual </w:t>
            </w:r>
            <w:r w:rsidR="00F129EC">
              <w:rPr>
                <w:rFonts w:asciiTheme="majorHAnsi" w:hAnsiTheme="majorHAnsi"/>
                <w:sz w:val="18"/>
                <w:szCs w:val="22"/>
              </w:rPr>
              <w:t xml:space="preserve">appliances, equipment and product categories </w:t>
            </w:r>
            <w:r w:rsidR="00F129EC" w:rsidRPr="00E837D8">
              <w:rPr>
                <w:rFonts w:asciiTheme="majorHAnsi" w:hAnsiTheme="majorHAnsi"/>
                <w:sz w:val="18"/>
                <w:szCs w:val="22"/>
              </w:rPr>
              <w:t xml:space="preserve">that make up </w:t>
            </w:r>
            <w:r w:rsidR="00F129EC">
              <w:rPr>
                <w:rFonts w:asciiTheme="majorHAnsi" w:hAnsiTheme="majorHAnsi"/>
                <w:sz w:val="18"/>
                <w:szCs w:val="22"/>
              </w:rPr>
              <w:t xml:space="preserve">the </w:t>
            </w:r>
            <w:r>
              <w:rPr>
                <w:rFonts w:asciiTheme="majorHAnsi" w:hAnsiTheme="majorHAnsi"/>
                <w:sz w:val="18"/>
                <w:szCs w:val="22"/>
              </w:rPr>
              <w:t xml:space="preserve">stock of </w:t>
            </w:r>
            <w:r w:rsidR="00F129EC">
              <w:rPr>
                <w:rFonts w:asciiTheme="majorHAnsi" w:hAnsiTheme="majorHAnsi"/>
                <w:sz w:val="18"/>
                <w:szCs w:val="22"/>
              </w:rPr>
              <w:t xml:space="preserve">equipment </w:t>
            </w:r>
            <w:r w:rsidR="00F129EC" w:rsidRPr="00E837D8">
              <w:rPr>
                <w:rFonts w:asciiTheme="majorHAnsi" w:hAnsiTheme="majorHAnsi"/>
                <w:sz w:val="18"/>
                <w:szCs w:val="22"/>
              </w:rPr>
              <w:t xml:space="preserve">are estimated separately. The individual results are then aggregated to produce an estimate </w:t>
            </w:r>
            <w:r w:rsidR="00F129EC">
              <w:rPr>
                <w:rFonts w:asciiTheme="majorHAnsi" w:hAnsiTheme="majorHAnsi"/>
                <w:sz w:val="18"/>
                <w:szCs w:val="22"/>
              </w:rPr>
              <w:t>of the refrigerant bank by refrigerant species</w:t>
            </w:r>
            <w:r w:rsidR="00F129EC" w:rsidRPr="00E837D8">
              <w:rPr>
                <w:rFonts w:asciiTheme="majorHAnsi" w:hAnsiTheme="majorHAnsi"/>
                <w:sz w:val="18"/>
                <w:szCs w:val="22"/>
              </w:rPr>
              <w:t xml:space="preserve">.  </w:t>
            </w:r>
          </w:p>
        </w:tc>
      </w:tr>
      <w:tr w:rsidR="002F4981" w:rsidRPr="008C4425" w14:paraId="7E22576A" w14:textId="77777777" w:rsidTr="00A81E96">
        <w:trPr>
          <w:trHeight w:val="342"/>
        </w:trPr>
        <w:tc>
          <w:tcPr>
            <w:tcW w:w="2219" w:type="dxa"/>
          </w:tcPr>
          <w:p w14:paraId="091A26EF" w14:textId="77777777" w:rsidR="002F4981" w:rsidRPr="008C4425" w:rsidRDefault="002F4981" w:rsidP="00F129EC">
            <w:pPr>
              <w:pStyle w:val="BodyText"/>
              <w:spacing w:before="60" w:after="60"/>
              <w:jc w:val="left"/>
              <w:rPr>
                <w:rFonts w:asciiTheme="majorHAnsi" w:hAnsiTheme="majorHAnsi"/>
                <w:sz w:val="18"/>
                <w:szCs w:val="22"/>
              </w:rPr>
            </w:pPr>
            <w:r w:rsidRPr="003C63AC">
              <w:rPr>
                <w:rFonts w:asciiTheme="majorHAnsi" w:hAnsiTheme="majorHAnsi"/>
                <w:sz w:val="18"/>
                <w:szCs w:val="22"/>
              </w:rPr>
              <w:t>Bulk importers</w:t>
            </w:r>
          </w:p>
        </w:tc>
        <w:tc>
          <w:tcPr>
            <w:tcW w:w="7273" w:type="dxa"/>
          </w:tcPr>
          <w:p w14:paraId="4B545A8B" w14:textId="2085E215" w:rsidR="002F4981" w:rsidRPr="008C4425" w:rsidRDefault="002F4981" w:rsidP="002A04A3">
            <w:pPr>
              <w:pStyle w:val="BodyText"/>
              <w:spacing w:before="60" w:after="60"/>
              <w:rPr>
                <w:rFonts w:asciiTheme="majorHAnsi" w:hAnsiTheme="majorHAnsi"/>
                <w:sz w:val="18"/>
                <w:szCs w:val="22"/>
              </w:rPr>
            </w:pPr>
            <w:r w:rsidRPr="003C63AC">
              <w:rPr>
                <w:rFonts w:asciiTheme="majorHAnsi" w:hAnsiTheme="majorHAnsi"/>
                <w:sz w:val="18"/>
                <w:szCs w:val="22"/>
              </w:rPr>
              <w:t>Companies with a licence to import bulk refrigerant</w:t>
            </w:r>
            <w:r w:rsidR="009E6F5F">
              <w:rPr>
                <w:rFonts w:asciiTheme="majorHAnsi" w:hAnsiTheme="majorHAnsi"/>
                <w:sz w:val="18"/>
                <w:szCs w:val="22"/>
              </w:rPr>
              <w:t>.</w:t>
            </w:r>
          </w:p>
        </w:tc>
      </w:tr>
      <w:tr w:rsidR="002F4981" w:rsidRPr="008C4425" w14:paraId="0E87E506" w14:textId="77777777" w:rsidTr="00A81E96">
        <w:trPr>
          <w:trHeight w:val="342"/>
        </w:trPr>
        <w:tc>
          <w:tcPr>
            <w:tcW w:w="2219" w:type="dxa"/>
          </w:tcPr>
          <w:p w14:paraId="0680844F"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Cascade refrigeration system</w:t>
            </w:r>
          </w:p>
        </w:tc>
        <w:tc>
          <w:tcPr>
            <w:tcW w:w="7273" w:type="dxa"/>
          </w:tcPr>
          <w:p w14:paraId="0B60757D" w14:textId="56398616" w:rsidR="002F4981" w:rsidRPr="008C4425" w:rsidRDefault="002F4981" w:rsidP="00F129EC">
            <w:pPr>
              <w:pStyle w:val="BodyText"/>
              <w:spacing w:before="60" w:after="60"/>
              <w:rPr>
                <w:rFonts w:asciiTheme="majorHAnsi" w:hAnsiTheme="majorHAnsi"/>
                <w:sz w:val="18"/>
                <w:szCs w:val="22"/>
              </w:rPr>
            </w:pPr>
            <w:r w:rsidRPr="000C5965">
              <w:rPr>
                <w:rFonts w:asciiTheme="majorHAnsi" w:hAnsiTheme="majorHAnsi"/>
                <w:sz w:val="18"/>
                <w:szCs w:val="22"/>
              </w:rPr>
              <w:t xml:space="preserve">A cascade system is made up of two separate but connected refrigeration systems, each of which has a </w:t>
            </w:r>
            <w:r w:rsidR="002741E0" w:rsidRPr="000C5965">
              <w:rPr>
                <w:rFonts w:asciiTheme="majorHAnsi" w:hAnsiTheme="majorHAnsi"/>
                <w:sz w:val="18"/>
                <w:szCs w:val="22"/>
              </w:rPr>
              <w:t xml:space="preserve">vapour compression </w:t>
            </w:r>
            <w:r w:rsidRPr="000C5965">
              <w:rPr>
                <w:rFonts w:asciiTheme="majorHAnsi" w:hAnsiTheme="majorHAnsi"/>
                <w:sz w:val="18"/>
                <w:szCs w:val="22"/>
              </w:rPr>
              <w:t>refrigerant</w:t>
            </w:r>
            <w:r w:rsidR="002741E0" w:rsidRPr="000C5965">
              <w:rPr>
                <w:rFonts w:asciiTheme="majorHAnsi" w:hAnsiTheme="majorHAnsi"/>
                <w:sz w:val="18"/>
                <w:szCs w:val="22"/>
              </w:rPr>
              <w:t xml:space="preserve"> circuit including a compressor, evaporator and condenser that are interconnected via a heat exchanger</w:t>
            </w:r>
            <w:r w:rsidRPr="000C5965">
              <w:rPr>
                <w:rFonts w:asciiTheme="majorHAnsi" w:hAnsiTheme="majorHAnsi"/>
                <w:sz w:val="18"/>
                <w:szCs w:val="22"/>
              </w:rPr>
              <w:t>. The separate refrigerant circuits work in concert to reach the desired temperature</w:t>
            </w:r>
            <w:r w:rsidR="00AF25A2" w:rsidRPr="000C5965">
              <w:rPr>
                <w:rFonts w:asciiTheme="majorHAnsi" w:hAnsiTheme="majorHAnsi"/>
                <w:sz w:val="18"/>
                <w:szCs w:val="22"/>
              </w:rPr>
              <w:t>(</w:t>
            </w:r>
            <w:r w:rsidR="00F41858" w:rsidRPr="000C5965">
              <w:rPr>
                <w:rFonts w:asciiTheme="majorHAnsi" w:hAnsiTheme="majorHAnsi"/>
                <w:sz w:val="18"/>
                <w:szCs w:val="22"/>
              </w:rPr>
              <w:t>s</w:t>
            </w:r>
            <w:r w:rsidR="00AF25A2" w:rsidRPr="000C5965">
              <w:rPr>
                <w:rFonts w:asciiTheme="majorHAnsi" w:hAnsiTheme="majorHAnsi"/>
                <w:sz w:val="18"/>
                <w:szCs w:val="22"/>
              </w:rPr>
              <w:t>). C</w:t>
            </w:r>
            <w:r w:rsidRPr="000C5965">
              <w:rPr>
                <w:rFonts w:asciiTheme="majorHAnsi" w:hAnsiTheme="majorHAnsi"/>
                <w:sz w:val="18"/>
                <w:szCs w:val="22"/>
              </w:rPr>
              <w:t>ascade refrigeration system</w:t>
            </w:r>
            <w:r w:rsidR="000C5965" w:rsidRPr="000C5965">
              <w:rPr>
                <w:rFonts w:asciiTheme="majorHAnsi" w:hAnsiTheme="majorHAnsi"/>
                <w:sz w:val="18"/>
                <w:szCs w:val="22"/>
              </w:rPr>
              <w:t>s</w:t>
            </w:r>
            <w:r w:rsidRPr="000C5965">
              <w:rPr>
                <w:rFonts w:asciiTheme="majorHAnsi" w:hAnsiTheme="majorHAnsi"/>
                <w:sz w:val="18"/>
                <w:szCs w:val="22"/>
              </w:rPr>
              <w:t xml:space="preserve"> </w:t>
            </w:r>
            <w:r w:rsidR="000C5965" w:rsidRPr="000C5965">
              <w:rPr>
                <w:rFonts w:asciiTheme="majorHAnsi" w:hAnsiTheme="majorHAnsi"/>
                <w:sz w:val="18"/>
                <w:szCs w:val="22"/>
              </w:rPr>
              <w:t xml:space="preserve">are </w:t>
            </w:r>
            <w:r w:rsidRPr="000C5965">
              <w:rPr>
                <w:rFonts w:asciiTheme="majorHAnsi" w:hAnsiTheme="majorHAnsi"/>
                <w:sz w:val="18"/>
                <w:szCs w:val="22"/>
              </w:rPr>
              <w:t>also sometimes referred to simply as an ‘advanced refrigeration system’.</w:t>
            </w:r>
            <w:r w:rsidR="00F41858" w:rsidRPr="000C5965">
              <w:rPr>
                <w:rFonts w:asciiTheme="majorHAnsi" w:hAnsiTheme="majorHAnsi"/>
                <w:sz w:val="18"/>
                <w:szCs w:val="22"/>
              </w:rPr>
              <w:t xml:space="preserve"> The most common </w:t>
            </w:r>
            <w:r w:rsidR="001708BC" w:rsidRPr="000C5965">
              <w:rPr>
                <w:rFonts w:asciiTheme="majorHAnsi" w:hAnsiTheme="majorHAnsi"/>
                <w:sz w:val="18"/>
                <w:szCs w:val="22"/>
              </w:rPr>
              <w:t>configuration</w:t>
            </w:r>
            <w:r w:rsidR="00AF25A2" w:rsidRPr="000C5965">
              <w:rPr>
                <w:rFonts w:asciiTheme="majorHAnsi" w:hAnsiTheme="majorHAnsi"/>
                <w:sz w:val="18"/>
                <w:szCs w:val="22"/>
              </w:rPr>
              <w:t xml:space="preserve"> </w:t>
            </w:r>
            <w:r w:rsidR="00F41858" w:rsidRPr="000C5965">
              <w:rPr>
                <w:rFonts w:asciiTheme="majorHAnsi" w:hAnsiTheme="majorHAnsi"/>
                <w:sz w:val="18"/>
                <w:szCs w:val="22"/>
              </w:rPr>
              <w:t>in</w:t>
            </w:r>
            <w:r w:rsidR="00AF25A2" w:rsidRPr="000C5965">
              <w:rPr>
                <w:rFonts w:asciiTheme="majorHAnsi" w:hAnsiTheme="majorHAnsi"/>
                <w:sz w:val="18"/>
                <w:szCs w:val="22"/>
              </w:rPr>
              <w:t xml:space="preserve"> Australia is with HFC-134a as the primary refrigerant and </w:t>
            </w:r>
            <w:r w:rsidR="00F41858" w:rsidRPr="000C5965">
              <w:rPr>
                <w:rFonts w:asciiTheme="majorHAnsi" w:hAnsiTheme="majorHAnsi"/>
                <w:sz w:val="18"/>
                <w:szCs w:val="22"/>
              </w:rPr>
              <w:t>R744 (CO</w:t>
            </w:r>
            <w:r w:rsidR="00F41858" w:rsidRPr="000C5965">
              <w:rPr>
                <w:rFonts w:asciiTheme="majorHAnsi" w:hAnsiTheme="majorHAnsi"/>
                <w:sz w:val="18"/>
                <w:szCs w:val="22"/>
                <w:vertAlign w:val="subscript"/>
              </w:rPr>
              <w:t>2</w:t>
            </w:r>
            <w:r w:rsidR="00F41858" w:rsidRPr="000C5965">
              <w:rPr>
                <w:rFonts w:asciiTheme="majorHAnsi" w:hAnsiTheme="majorHAnsi"/>
                <w:sz w:val="18"/>
                <w:szCs w:val="22"/>
              </w:rPr>
              <w:t>)</w:t>
            </w:r>
            <w:r w:rsidR="00AF25A2" w:rsidRPr="000C5965">
              <w:rPr>
                <w:rFonts w:asciiTheme="majorHAnsi" w:hAnsiTheme="majorHAnsi"/>
                <w:sz w:val="18"/>
                <w:szCs w:val="22"/>
              </w:rPr>
              <w:t xml:space="preserve"> as the secondary refrigerant.</w:t>
            </w:r>
          </w:p>
        </w:tc>
      </w:tr>
      <w:tr w:rsidR="002F4981" w:rsidRPr="008C4425" w14:paraId="501DD5A2" w14:textId="77777777" w:rsidTr="00A81E96">
        <w:trPr>
          <w:trHeight w:val="342"/>
        </w:trPr>
        <w:tc>
          <w:tcPr>
            <w:tcW w:w="2219" w:type="dxa"/>
          </w:tcPr>
          <w:p w14:paraId="0E69DBE4"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CHF1</w:t>
            </w:r>
          </w:p>
        </w:tc>
        <w:tc>
          <w:tcPr>
            <w:tcW w:w="7273" w:type="dxa"/>
          </w:tcPr>
          <w:p w14:paraId="0E2582F6"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Cold Hard Facts 1, the original refrigeration and air conditioning (RAC) study undertaken by the authors in 2007 based on 2006 data.</w:t>
            </w:r>
          </w:p>
        </w:tc>
      </w:tr>
      <w:tr w:rsidR="002F4981" w:rsidRPr="008C4425" w14:paraId="58300F04" w14:textId="77777777" w:rsidTr="00A81E96">
        <w:trPr>
          <w:trHeight w:val="342"/>
        </w:trPr>
        <w:tc>
          <w:tcPr>
            <w:tcW w:w="2219" w:type="dxa"/>
          </w:tcPr>
          <w:p w14:paraId="23997F85"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CHF2</w:t>
            </w:r>
          </w:p>
        </w:tc>
        <w:tc>
          <w:tcPr>
            <w:tcW w:w="7273" w:type="dxa"/>
          </w:tcPr>
          <w:p w14:paraId="52BDD8B9" w14:textId="6BB69BE1"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Cold Hard Facts 2, an updated study of the RAC industry in Australia with an expanded brief to encompass new application/equipment classes, new and emerging refrigerants, and report on the refrigerant bank.</w:t>
            </w:r>
            <w:r w:rsidR="00F74591">
              <w:rPr>
                <w:rFonts w:asciiTheme="majorHAnsi" w:hAnsiTheme="majorHAnsi"/>
                <w:sz w:val="18"/>
                <w:szCs w:val="22"/>
              </w:rPr>
              <w:t xml:space="preserve"> The second RAC study was undertaken in 2013 based on 2012 data.</w:t>
            </w:r>
          </w:p>
        </w:tc>
      </w:tr>
      <w:tr w:rsidR="002F4981" w:rsidRPr="008C4425" w14:paraId="716F6D94" w14:textId="77777777" w:rsidTr="00A81E96">
        <w:trPr>
          <w:trHeight w:val="342"/>
        </w:trPr>
        <w:tc>
          <w:tcPr>
            <w:tcW w:w="2219" w:type="dxa"/>
          </w:tcPr>
          <w:p w14:paraId="46BCF62D"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Chlorofluorocarbons (CFCs)</w:t>
            </w:r>
          </w:p>
        </w:tc>
        <w:tc>
          <w:tcPr>
            <w:tcW w:w="7273" w:type="dxa"/>
          </w:tcPr>
          <w:p w14:paraId="5A3D0180" w14:textId="0B953AAE" w:rsidR="002F4981" w:rsidRPr="008C4425" w:rsidRDefault="002F4981">
            <w:pPr>
              <w:pStyle w:val="BodyText"/>
              <w:spacing w:before="60" w:after="60"/>
              <w:rPr>
                <w:rFonts w:asciiTheme="majorHAnsi" w:hAnsiTheme="majorHAnsi"/>
                <w:sz w:val="18"/>
                <w:szCs w:val="22"/>
              </w:rPr>
            </w:pPr>
            <w:r w:rsidRPr="008C4425">
              <w:rPr>
                <w:rFonts w:asciiTheme="majorHAnsi" w:hAnsiTheme="majorHAnsi"/>
                <w:sz w:val="18"/>
                <w:szCs w:val="22"/>
              </w:rPr>
              <w:t xml:space="preserve">Molecules containing carbon, fluorine, and chlorine. CFCs are </w:t>
            </w:r>
            <w:r w:rsidR="00CD696F">
              <w:rPr>
                <w:rFonts w:asciiTheme="majorHAnsi" w:hAnsiTheme="majorHAnsi"/>
                <w:sz w:val="18"/>
                <w:szCs w:val="22"/>
              </w:rPr>
              <w:t xml:space="preserve">one of </w:t>
            </w:r>
            <w:r w:rsidRPr="008C4425">
              <w:rPr>
                <w:rFonts w:asciiTheme="majorHAnsi" w:hAnsiTheme="majorHAnsi"/>
                <w:sz w:val="18"/>
                <w:szCs w:val="22"/>
              </w:rPr>
              <w:t>the major ozone depleting substance</w:t>
            </w:r>
            <w:r w:rsidR="00E413FE">
              <w:rPr>
                <w:rFonts w:asciiTheme="majorHAnsi" w:hAnsiTheme="majorHAnsi"/>
                <w:sz w:val="18"/>
                <w:szCs w:val="22"/>
              </w:rPr>
              <w:t>s</w:t>
            </w:r>
            <w:r w:rsidRPr="008C4425">
              <w:rPr>
                <w:rFonts w:asciiTheme="majorHAnsi" w:hAnsiTheme="majorHAnsi"/>
                <w:sz w:val="18"/>
                <w:szCs w:val="22"/>
              </w:rPr>
              <w:t xml:space="preserve"> phased out by the Montreal Protocol on Substances that Deplete the Ozone Layer. CFCs are </w:t>
            </w:r>
            <w:r w:rsidR="00CD696F">
              <w:rPr>
                <w:rFonts w:asciiTheme="majorHAnsi" w:hAnsiTheme="majorHAnsi"/>
                <w:sz w:val="18"/>
                <w:szCs w:val="22"/>
              </w:rPr>
              <w:t xml:space="preserve">also </w:t>
            </w:r>
            <w:r w:rsidRPr="008C4425">
              <w:rPr>
                <w:rFonts w:asciiTheme="majorHAnsi" w:hAnsiTheme="majorHAnsi"/>
                <w:sz w:val="18"/>
                <w:szCs w:val="22"/>
              </w:rPr>
              <w:t>potent greenhouse gases.</w:t>
            </w:r>
            <w:r w:rsidR="00AF25A2">
              <w:rPr>
                <w:rFonts w:asciiTheme="majorHAnsi" w:hAnsiTheme="majorHAnsi"/>
                <w:sz w:val="18"/>
                <w:szCs w:val="22"/>
              </w:rPr>
              <w:t xml:space="preserve"> </w:t>
            </w:r>
            <w:r w:rsidR="00AF25A2" w:rsidRPr="00AF25A2">
              <w:rPr>
                <w:rFonts w:asciiTheme="majorHAnsi" w:hAnsiTheme="majorHAnsi"/>
                <w:sz w:val="18"/>
                <w:szCs w:val="22"/>
              </w:rPr>
              <w:t xml:space="preserve">CFCs </w:t>
            </w:r>
            <w:r w:rsidR="00977DEF">
              <w:rPr>
                <w:rFonts w:asciiTheme="majorHAnsi" w:hAnsiTheme="majorHAnsi"/>
                <w:sz w:val="18"/>
                <w:szCs w:val="22"/>
              </w:rPr>
              <w:t xml:space="preserve">and HCFCs </w:t>
            </w:r>
            <w:r w:rsidR="00AF25A2" w:rsidRPr="00AF25A2">
              <w:rPr>
                <w:rFonts w:asciiTheme="majorHAnsi" w:hAnsiTheme="majorHAnsi"/>
                <w:sz w:val="18"/>
                <w:szCs w:val="22"/>
              </w:rPr>
              <w:t>are not co</w:t>
            </w:r>
            <w:r w:rsidR="00F80BE5">
              <w:rPr>
                <w:rFonts w:asciiTheme="majorHAnsi" w:hAnsiTheme="majorHAnsi"/>
                <w:sz w:val="18"/>
                <w:szCs w:val="22"/>
              </w:rPr>
              <w:t xml:space="preserve">unted </w:t>
            </w:r>
            <w:r w:rsidR="00AF25A2" w:rsidRPr="00AF25A2">
              <w:rPr>
                <w:rFonts w:asciiTheme="majorHAnsi" w:hAnsiTheme="majorHAnsi"/>
                <w:sz w:val="18"/>
                <w:szCs w:val="22"/>
              </w:rPr>
              <w:t xml:space="preserve">as part of the GHGs reported under the Kyoto </w:t>
            </w:r>
            <w:r w:rsidR="00AF25A2">
              <w:rPr>
                <w:rFonts w:asciiTheme="majorHAnsi" w:hAnsiTheme="majorHAnsi"/>
                <w:sz w:val="18"/>
                <w:szCs w:val="22"/>
              </w:rPr>
              <w:t>P</w:t>
            </w:r>
            <w:r w:rsidR="00AF25A2" w:rsidRPr="00AF25A2">
              <w:rPr>
                <w:rFonts w:asciiTheme="majorHAnsi" w:hAnsiTheme="majorHAnsi"/>
                <w:sz w:val="18"/>
                <w:szCs w:val="22"/>
              </w:rPr>
              <w:t xml:space="preserve">rotocol or United Nations </w:t>
            </w:r>
            <w:r w:rsidR="00EE7BA6">
              <w:rPr>
                <w:rFonts w:asciiTheme="majorHAnsi" w:hAnsiTheme="majorHAnsi"/>
                <w:sz w:val="18"/>
                <w:szCs w:val="22"/>
              </w:rPr>
              <w:t xml:space="preserve">Framework </w:t>
            </w:r>
            <w:r w:rsidR="00AF25A2" w:rsidRPr="00AF25A2">
              <w:rPr>
                <w:rFonts w:asciiTheme="majorHAnsi" w:hAnsiTheme="majorHAnsi"/>
                <w:sz w:val="18"/>
                <w:szCs w:val="22"/>
              </w:rPr>
              <w:t>Convention on Climate Change</w:t>
            </w:r>
            <w:r w:rsidR="00F80BE5">
              <w:rPr>
                <w:rFonts w:asciiTheme="majorHAnsi" w:hAnsiTheme="majorHAnsi"/>
                <w:sz w:val="18"/>
                <w:szCs w:val="22"/>
              </w:rPr>
              <w:t xml:space="preserve">, </w:t>
            </w:r>
            <w:r w:rsidR="00FE5E3A">
              <w:rPr>
                <w:rFonts w:asciiTheme="majorHAnsi" w:hAnsiTheme="majorHAnsi"/>
                <w:sz w:val="18"/>
                <w:szCs w:val="22"/>
              </w:rPr>
              <w:t xml:space="preserve">as they managed through the </w:t>
            </w:r>
            <w:r w:rsidR="00FE5E3A" w:rsidRPr="00436438">
              <w:rPr>
                <w:rFonts w:asciiTheme="majorHAnsi" w:hAnsiTheme="majorHAnsi"/>
                <w:sz w:val="18"/>
                <w:szCs w:val="22"/>
              </w:rPr>
              <w:t>Montreal Protocol.</w:t>
            </w:r>
          </w:p>
        </w:tc>
      </w:tr>
      <w:tr w:rsidR="002F4981" w:rsidRPr="008C4425" w14:paraId="1A05A49B" w14:textId="77777777" w:rsidTr="00A81E96">
        <w:trPr>
          <w:trHeight w:val="342"/>
        </w:trPr>
        <w:tc>
          <w:tcPr>
            <w:tcW w:w="2219" w:type="dxa"/>
          </w:tcPr>
          <w:p w14:paraId="5ACBBE0D"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Coefficient of performance (COP)</w:t>
            </w:r>
          </w:p>
        </w:tc>
        <w:tc>
          <w:tcPr>
            <w:tcW w:w="7273" w:type="dxa"/>
          </w:tcPr>
          <w:p w14:paraId="5546D928" w14:textId="579DC38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 xml:space="preserve">The ratio of the heat </w:t>
            </w:r>
            <w:r w:rsidRPr="00870F76">
              <w:rPr>
                <w:rFonts w:asciiTheme="majorHAnsi" w:hAnsiTheme="majorHAnsi"/>
                <w:sz w:val="18"/>
                <w:szCs w:val="22"/>
                <w:lang w:val="en-GB"/>
              </w:rPr>
              <w:t>extraction</w:t>
            </w:r>
            <w:r w:rsidRPr="008C4425">
              <w:rPr>
                <w:rFonts w:asciiTheme="majorHAnsi" w:hAnsiTheme="majorHAnsi"/>
                <w:sz w:val="18"/>
                <w:szCs w:val="22"/>
              </w:rPr>
              <w:t xml:space="preserve"> rate divided by the power consumed by the refrigeration compressor(s) and necessary ancillaries. The COP is dimensionless and is used to express the system efficiency.</w:t>
            </w:r>
            <w:r w:rsidR="003E073F">
              <w:rPr>
                <w:rFonts w:asciiTheme="majorHAnsi" w:hAnsiTheme="majorHAnsi"/>
                <w:sz w:val="18"/>
                <w:szCs w:val="22"/>
              </w:rPr>
              <w:t xml:space="preserve"> </w:t>
            </w:r>
            <w:r w:rsidR="00236A2B">
              <w:rPr>
                <w:rFonts w:asciiTheme="majorHAnsi" w:hAnsiTheme="majorHAnsi"/>
                <w:sz w:val="18"/>
                <w:szCs w:val="22"/>
              </w:rPr>
              <w:t xml:space="preserve">COP is also an efficiency measure used for reverse cycle air conditioners when operating in heating mode. </w:t>
            </w:r>
            <w:r w:rsidR="00236A2B" w:rsidRPr="00236A2B">
              <w:rPr>
                <w:rFonts w:asciiTheme="majorHAnsi" w:hAnsiTheme="majorHAnsi"/>
                <w:sz w:val="18"/>
                <w:szCs w:val="22"/>
              </w:rPr>
              <w:t>Greenhouse and Energy Minimum Standards</w:t>
            </w:r>
            <w:r w:rsidR="00236A2B">
              <w:rPr>
                <w:rFonts w:asciiTheme="majorHAnsi" w:hAnsiTheme="majorHAnsi"/>
                <w:sz w:val="18"/>
                <w:szCs w:val="22"/>
              </w:rPr>
              <w:t xml:space="preserve"> for split system air conditioning now use an </w:t>
            </w:r>
            <w:r w:rsidR="00236A2B" w:rsidRPr="00236A2B">
              <w:rPr>
                <w:rFonts w:asciiTheme="majorHAnsi" w:hAnsiTheme="majorHAnsi"/>
                <w:sz w:val="18"/>
                <w:szCs w:val="22"/>
              </w:rPr>
              <w:t>annualised version of these metrics (AEER and ACOP)</w:t>
            </w:r>
            <w:r w:rsidR="00236A2B">
              <w:rPr>
                <w:rFonts w:asciiTheme="majorHAnsi" w:hAnsiTheme="majorHAnsi"/>
                <w:sz w:val="18"/>
                <w:szCs w:val="22"/>
              </w:rPr>
              <w:t>.</w:t>
            </w:r>
          </w:p>
        </w:tc>
      </w:tr>
      <w:tr w:rsidR="002F4981" w:rsidRPr="008C4425" w14:paraId="1F282EBC" w14:textId="77777777" w:rsidTr="00A81E96">
        <w:trPr>
          <w:trHeight w:val="342"/>
        </w:trPr>
        <w:tc>
          <w:tcPr>
            <w:tcW w:w="2219" w:type="dxa"/>
          </w:tcPr>
          <w:p w14:paraId="65889650"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Compressor</w:t>
            </w:r>
          </w:p>
        </w:tc>
        <w:tc>
          <w:tcPr>
            <w:tcW w:w="7273" w:type="dxa"/>
          </w:tcPr>
          <w:p w14:paraId="43FB6A42" w14:textId="0B30450E"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 xml:space="preserve">A device in the air conditioning or refrigeration circuit which compresses refrigerant vapour </w:t>
            </w:r>
            <w:r w:rsidR="00E34E88">
              <w:rPr>
                <w:rFonts w:asciiTheme="majorHAnsi" w:hAnsiTheme="majorHAnsi"/>
                <w:sz w:val="18"/>
                <w:szCs w:val="22"/>
              </w:rPr>
              <w:t>a</w:t>
            </w:r>
            <w:r w:rsidRPr="008C4425">
              <w:rPr>
                <w:rFonts w:asciiTheme="majorHAnsi" w:hAnsiTheme="majorHAnsi"/>
                <w:sz w:val="18"/>
                <w:szCs w:val="22"/>
              </w:rPr>
              <w:t>nd circulates that refrigerant through to its phases of condensation and evaporation, in order to produce the refrigeration effect. The compressor is available in many forms such as piston, scroll, or screw.</w:t>
            </w:r>
          </w:p>
        </w:tc>
      </w:tr>
      <w:tr w:rsidR="002F4981" w:rsidRPr="008C4425" w14:paraId="591D5473" w14:textId="77777777" w:rsidTr="00A81E96">
        <w:trPr>
          <w:trHeight w:val="342"/>
        </w:trPr>
        <w:tc>
          <w:tcPr>
            <w:tcW w:w="2219" w:type="dxa"/>
          </w:tcPr>
          <w:p w14:paraId="6395A415"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Compressor rack</w:t>
            </w:r>
          </w:p>
        </w:tc>
        <w:tc>
          <w:tcPr>
            <w:tcW w:w="7273" w:type="dxa"/>
          </w:tcPr>
          <w:p w14:paraId="7EC4A5E6"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The machine assembly which accommodates the main high pressure components of a refrigeration circuit in a single structure, allowing off site connection to associated pipe work and vessels.</w:t>
            </w:r>
          </w:p>
        </w:tc>
      </w:tr>
      <w:tr w:rsidR="002F4981" w:rsidRPr="008C4425" w14:paraId="7FB4F070" w14:textId="77777777" w:rsidTr="00A81E96">
        <w:trPr>
          <w:trHeight w:val="342"/>
        </w:trPr>
        <w:tc>
          <w:tcPr>
            <w:tcW w:w="2219" w:type="dxa"/>
          </w:tcPr>
          <w:p w14:paraId="553DAF32"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Condensing unit</w:t>
            </w:r>
          </w:p>
        </w:tc>
        <w:tc>
          <w:tcPr>
            <w:tcW w:w="7273" w:type="dxa"/>
          </w:tcPr>
          <w:p w14:paraId="3A76EED3"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Condensing units exhibit refrigerating capacities ranging typically from 1 kWr to 20 kWr, they are composed of one (or two) compressor(s), one condenser, and one receiver assembled into a ‘condensing unit’.</w:t>
            </w:r>
          </w:p>
        </w:tc>
      </w:tr>
      <w:tr w:rsidR="002F4981" w:rsidRPr="008C4425" w14:paraId="7EA27954" w14:textId="77777777" w:rsidTr="00A81E96">
        <w:trPr>
          <w:trHeight w:val="342"/>
        </w:trPr>
        <w:tc>
          <w:tcPr>
            <w:tcW w:w="2219" w:type="dxa"/>
          </w:tcPr>
          <w:p w14:paraId="5B78E615"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CO</w:t>
            </w:r>
            <w:r w:rsidRPr="008C4425">
              <w:rPr>
                <w:rFonts w:asciiTheme="majorHAnsi" w:hAnsiTheme="majorHAnsi"/>
                <w:sz w:val="18"/>
                <w:szCs w:val="22"/>
                <w:vertAlign w:val="subscript"/>
                <w:lang w:val="en-AU"/>
              </w:rPr>
              <w:t>2</w:t>
            </w:r>
            <w:r w:rsidRPr="008C4425">
              <w:rPr>
                <w:rFonts w:asciiTheme="majorHAnsi" w:hAnsiTheme="majorHAnsi"/>
                <w:sz w:val="18"/>
                <w:szCs w:val="22"/>
                <w:lang w:val="en-AU"/>
              </w:rPr>
              <w:t xml:space="preserve"> refrigerant</w:t>
            </w:r>
          </w:p>
        </w:tc>
        <w:tc>
          <w:tcPr>
            <w:tcW w:w="7273" w:type="dxa"/>
          </w:tcPr>
          <w:p w14:paraId="481F94F6" w14:textId="7EA5EA6F" w:rsidR="002F4981" w:rsidRPr="008C4425" w:rsidRDefault="00FE5E3A" w:rsidP="00703A81">
            <w:pPr>
              <w:pStyle w:val="BodyText"/>
              <w:spacing w:before="60" w:after="60"/>
              <w:rPr>
                <w:rFonts w:asciiTheme="majorHAnsi" w:hAnsiTheme="majorHAnsi"/>
                <w:sz w:val="18"/>
                <w:szCs w:val="22"/>
              </w:rPr>
            </w:pPr>
            <w:r>
              <w:rPr>
                <w:rFonts w:asciiTheme="majorHAnsi" w:hAnsiTheme="majorHAnsi"/>
                <w:sz w:val="18"/>
                <w:szCs w:val="22"/>
                <w:lang w:val="en-AU"/>
              </w:rPr>
              <w:t>Carbon dioxide is a</w:t>
            </w:r>
            <w:r w:rsidRPr="008C4425">
              <w:rPr>
                <w:rFonts w:asciiTheme="majorHAnsi" w:hAnsiTheme="majorHAnsi"/>
                <w:sz w:val="18"/>
                <w:szCs w:val="22"/>
                <w:lang w:val="en-AU"/>
              </w:rPr>
              <w:t xml:space="preserve"> widely used industrial refrigerant with high thermodynamic properties</w:t>
            </w:r>
            <w:r>
              <w:rPr>
                <w:rFonts w:asciiTheme="majorHAnsi" w:hAnsiTheme="majorHAnsi"/>
                <w:sz w:val="18"/>
                <w:szCs w:val="22"/>
                <w:lang w:val="en-AU"/>
              </w:rPr>
              <w:t>,</w:t>
            </w:r>
            <w:r w:rsidRPr="008C4425">
              <w:rPr>
                <w:rFonts w:asciiTheme="majorHAnsi" w:hAnsiTheme="majorHAnsi"/>
                <w:sz w:val="18"/>
                <w:szCs w:val="22"/>
                <w:lang w:val="en-AU"/>
              </w:rPr>
              <w:t xml:space="preserve"> </w:t>
            </w:r>
            <w:r>
              <w:rPr>
                <w:rFonts w:asciiTheme="majorHAnsi" w:hAnsiTheme="majorHAnsi"/>
                <w:sz w:val="18"/>
                <w:szCs w:val="22"/>
                <w:lang w:val="en-AU"/>
              </w:rPr>
              <w:t xml:space="preserve">and </w:t>
            </w:r>
            <w:r w:rsidRPr="008C4425">
              <w:rPr>
                <w:rFonts w:asciiTheme="majorHAnsi" w:hAnsiTheme="majorHAnsi"/>
                <w:sz w:val="18"/>
                <w:szCs w:val="22"/>
                <w:lang w:val="en-AU"/>
              </w:rPr>
              <w:t>is suitable for process refrigeration applications, and automotive air conditioning use. In the past its high operating pressures have limited its use in small to medium commercial refrigeration applications. Technical innovation such as micro cascade systems and commercial availability of components such as compressors and other in line accessories is assisting its transition into smaller scale applications.</w:t>
            </w:r>
          </w:p>
        </w:tc>
      </w:tr>
      <w:tr w:rsidR="002F4981" w:rsidRPr="008C4425" w14:paraId="75D9166F" w14:textId="77777777" w:rsidTr="00A81E96">
        <w:trPr>
          <w:trHeight w:val="342"/>
        </w:trPr>
        <w:tc>
          <w:tcPr>
            <w:tcW w:w="2219" w:type="dxa"/>
          </w:tcPr>
          <w:p w14:paraId="3A159529"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CO</w:t>
            </w:r>
            <w:r w:rsidRPr="008C4425">
              <w:rPr>
                <w:rFonts w:asciiTheme="majorHAnsi" w:hAnsiTheme="majorHAnsi"/>
                <w:sz w:val="18"/>
                <w:szCs w:val="22"/>
                <w:vertAlign w:val="subscript"/>
                <w:lang w:val="en-AU"/>
              </w:rPr>
              <w:t>2</w:t>
            </w:r>
            <w:r w:rsidRPr="008C4425">
              <w:rPr>
                <w:rFonts w:asciiTheme="majorHAnsi" w:hAnsiTheme="majorHAnsi"/>
                <w:sz w:val="18"/>
                <w:szCs w:val="22"/>
                <w:lang w:val="en-AU"/>
              </w:rPr>
              <w:t>e</w:t>
            </w:r>
          </w:p>
        </w:tc>
        <w:tc>
          <w:tcPr>
            <w:tcW w:w="7273" w:type="dxa"/>
          </w:tcPr>
          <w:p w14:paraId="6908134B" w14:textId="77777777" w:rsidR="002F4981" w:rsidRPr="008C4425" w:rsidRDefault="002F4981" w:rsidP="003440C8">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Carbon dioxide equivalent </w:t>
            </w:r>
            <w:r>
              <w:rPr>
                <w:rFonts w:asciiTheme="majorHAnsi" w:hAnsiTheme="majorHAnsi"/>
                <w:sz w:val="18"/>
                <w:szCs w:val="22"/>
                <w:lang w:val="en-AU"/>
              </w:rPr>
              <w:t>is a</w:t>
            </w:r>
            <w:r w:rsidRPr="003440C8">
              <w:rPr>
                <w:rFonts w:asciiTheme="majorHAnsi" w:hAnsiTheme="majorHAnsi"/>
                <w:sz w:val="18"/>
                <w:szCs w:val="22"/>
                <w:lang w:val="en-AU"/>
              </w:rPr>
              <w:t xml:space="preserve"> measure that quantifies different greenhouse gases in terms of the amount of carbon dioxide that would deliver the same global warming.</w:t>
            </w:r>
          </w:p>
        </w:tc>
      </w:tr>
      <w:tr w:rsidR="002F4981" w:rsidRPr="008C4425" w14:paraId="4DDC81F6" w14:textId="77777777" w:rsidTr="00A81E96">
        <w:trPr>
          <w:trHeight w:val="342"/>
        </w:trPr>
        <w:tc>
          <w:tcPr>
            <w:tcW w:w="2219" w:type="dxa"/>
          </w:tcPr>
          <w:p w14:paraId="5AEE6D79"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lastRenderedPageBreak/>
              <w:t>Direct emissions</w:t>
            </w:r>
          </w:p>
        </w:tc>
        <w:tc>
          <w:tcPr>
            <w:tcW w:w="7273" w:type="dxa"/>
          </w:tcPr>
          <w:p w14:paraId="07EA982C" w14:textId="06CEE4FC" w:rsidR="002F4981" w:rsidRPr="008C4425" w:rsidRDefault="002F4981">
            <w:pPr>
              <w:pStyle w:val="BodyText"/>
              <w:spacing w:before="60" w:after="60"/>
              <w:rPr>
                <w:rFonts w:asciiTheme="majorHAnsi" w:hAnsiTheme="majorHAnsi"/>
                <w:sz w:val="18"/>
                <w:szCs w:val="22"/>
              </w:rPr>
            </w:pPr>
            <w:r w:rsidRPr="008C4425">
              <w:rPr>
                <w:rFonts w:asciiTheme="majorHAnsi" w:hAnsiTheme="majorHAnsi"/>
                <w:sz w:val="18"/>
                <w:szCs w:val="22"/>
                <w:lang w:val="en-AU"/>
              </w:rPr>
              <w:t>Global warming effect arising from emissions of refrigerant from the equipment.</w:t>
            </w:r>
          </w:p>
        </w:tc>
      </w:tr>
      <w:tr w:rsidR="00FB4CDC" w:rsidRPr="008C4425" w14:paraId="1D285F90" w14:textId="77777777" w:rsidTr="00A81E96">
        <w:trPr>
          <w:trHeight w:val="342"/>
        </w:trPr>
        <w:tc>
          <w:tcPr>
            <w:tcW w:w="2219" w:type="dxa"/>
          </w:tcPr>
          <w:p w14:paraId="0D63C8DA" w14:textId="1C85B9C3" w:rsidR="00FB4CDC" w:rsidRPr="008C4425" w:rsidRDefault="00FB4CDC" w:rsidP="00F129E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Drop</w:t>
            </w:r>
            <w:r w:rsidR="00F74591">
              <w:rPr>
                <w:rFonts w:asciiTheme="majorHAnsi" w:hAnsiTheme="majorHAnsi"/>
                <w:sz w:val="18"/>
                <w:szCs w:val="22"/>
                <w:lang w:val="en-AU"/>
              </w:rPr>
              <w:t>-</w:t>
            </w:r>
            <w:r>
              <w:rPr>
                <w:rFonts w:asciiTheme="majorHAnsi" w:hAnsiTheme="majorHAnsi"/>
                <w:sz w:val="18"/>
                <w:szCs w:val="22"/>
                <w:lang w:val="en-AU"/>
              </w:rPr>
              <w:t>in refrigerant</w:t>
            </w:r>
          </w:p>
        </w:tc>
        <w:tc>
          <w:tcPr>
            <w:tcW w:w="7273" w:type="dxa"/>
          </w:tcPr>
          <w:p w14:paraId="481D0A7E" w14:textId="2B8EF9A5" w:rsidR="00FB4CDC" w:rsidRPr="008C4425" w:rsidRDefault="00FE5E3A" w:rsidP="00F129EC">
            <w:pPr>
              <w:pStyle w:val="BodyText"/>
              <w:spacing w:before="60" w:after="60"/>
              <w:rPr>
                <w:rFonts w:asciiTheme="majorHAnsi" w:hAnsiTheme="majorHAnsi"/>
                <w:sz w:val="18"/>
              </w:rPr>
            </w:pPr>
            <w:r>
              <w:rPr>
                <w:rFonts w:asciiTheme="majorHAnsi" w:hAnsiTheme="majorHAnsi"/>
                <w:sz w:val="18"/>
              </w:rPr>
              <w:t>D</w:t>
            </w:r>
            <w:r w:rsidRPr="00FB4CDC">
              <w:rPr>
                <w:rFonts w:asciiTheme="majorHAnsi" w:hAnsiTheme="majorHAnsi"/>
                <w:sz w:val="18"/>
              </w:rPr>
              <w:t>rop-in</w:t>
            </w:r>
            <w:r>
              <w:rPr>
                <w:rFonts w:asciiTheme="majorHAnsi" w:hAnsiTheme="majorHAnsi"/>
                <w:sz w:val="18"/>
              </w:rPr>
              <w:t xml:space="preserve"> refrigerant replacements</w:t>
            </w:r>
            <w:r w:rsidRPr="00FB4CDC">
              <w:rPr>
                <w:rFonts w:asciiTheme="majorHAnsi" w:hAnsiTheme="majorHAnsi"/>
                <w:sz w:val="18"/>
              </w:rPr>
              <w:t xml:space="preserve"> are refrigerants that are intended to replace </w:t>
            </w:r>
            <w:r>
              <w:rPr>
                <w:rFonts w:asciiTheme="majorHAnsi" w:hAnsiTheme="majorHAnsi"/>
                <w:sz w:val="18"/>
              </w:rPr>
              <w:t xml:space="preserve">the </w:t>
            </w:r>
            <w:r w:rsidRPr="00FB4CDC">
              <w:rPr>
                <w:rFonts w:asciiTheme="majorHAnsi" w:hAnsiTheme="majorHAnsi"/>
                <w:sz w:val="18"/>
              </w:rPr>
              <w:t xml:space="preserve">original refrigerant </w:t>
            </w:r>
            <w:r>
              <w:rPr>
                <w:rFonts w:asciiTheme="majorHAnsi" w:hAnsiTheme="majorHAnsi"/>
                <w:sz w:val="18"/>
              </w:rPr>
              <w:t xml:space="preserve">with the same refrigerant classification (e.g. A1) and similar technical specification, </w:t>
            </w:r>
            <w:r w:rsidRPr="00FB4CDC">
              <w:rPr>
                <w:rFonts w:asciiTheme="majorHAnsi" w:hAnsiTheme="majorHAnsi"/>
                <w:sz w:val="18"/>
              </w:rPr>
              <w:t xml:space="preserve">and keep </w:t>
            </w:r>
            <w:r>
              <w:rPr>
                <w:rFonts w:asciiTheme="majorHAnsi" w:hAnsiTheme="majorHAnsi"/>
                <w:sz w:val="18"/>
              </w:rPr>
              <w:t xml:space="preserve">the </w:t>
            </w:r>
            <w:r w:rsidRPr="00FB4CDC">
              <w:rPr>
                <w:rFonts w:asciiTheme="majorHAnsi" w:hAnsiTheme="majorHAnsi"/>
                <w:sz w:val="18"/>
              </w:rPr>
              <w:t xml:space="preserve">system running </w:t>
            </w:r>
            <w:r>
              <w:rPr>
                <w:rFonts w:asciiTheme="majorHAnsi" w:hAnsiTheme="majorHAnsi"/>
                <w:sz w:val="18"/>
              </w:rPr>
              <w:t xml:space="preserve">to the same or similar specification. Examples of </w:t>
            </w:r>
            <w:r w:rsidRPr="00FB4CDC">
              <w:rPr>
                <w:rFonts w:asciiTheme="majorHAnsi" w:hAnsiTheme="majorHAnsi"/>
                <w:sz w:val="18"/>
              </w:rPr>
              <w:t>HCFC-22/CFC replacements include HFC-422D, HFC-437A, HFC-417A, HFC-422A, HFC-438A, HFC-426A, HFC-424A, HFC-428A, HCFC-508A, HCFC-508B, HCFC-408A and HCFC-409A.</w:t>
            </w:r>
            <w:r>
              <w:rPr>
                <w:rFonts w:asciiTheme="majorHAnsi" w:hAnsiTheme="majorHAnsi"/>
                <w:sz w:val="18"/>
              </w:rPr>
              <w:t xml:space="preserve"> Refer to refrigerant supplier instructions for further details.</w:t>
            </w:r>
          </w:p>
        </w:tc>
      </w:tr>
      <w:tr w:rsidR="002F4981" w:rsidRPr="008C4425" w14:paraId="427BB8DA" w14:textId="77777777" w:rsidTr="00A81E96">
        <w:trPr>
          <w:trHeight w:val="342"/>
        </w:trPr>
        <w:tc>
          <w:tcPr>
            <w:tcW w:w="2219" w:type="dxa"/>
          </w:tcPr>
          <w:p w14:paraId="1F729A21"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Energy Efficiency Ratio (EER)</w:t>
            </w:r>
          </w:p>
        </w:tc>
        <w:tc>
          <w:tcPr>
            <w:tcW w:w="7273" w:type="dxa"/>
          </w:tcPr>
          <w:p w14:paraId="0A8F9CB6" w14:textId="76BE59B3"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rPr>
              <w:t>The ratio of the cooling output (kWr) divided by the total electric energy input. The EER is dimensionless and is used to express the air conditioning system cooling efficiency.</w:t>
            </w:r>
            <w:r w:rsidR="00236A2B">
              <w:rPr>
                <w:rFonts w:asciiTheme="majorHAnsi" w:hAnsiTheme="majorHAnsi"/>
                <w:sz w:val="18"/>
              </w:rPr>
              <w:t xml:space="preserve"> </w:t>
            </w:r>
            <w:r w:rsidR="00236A2B" w:rsidRPr="00236A2B">
              <w:rPr>
                <w:rFonts w:asciiTheme="majorHAnsi" w:hAnsiTheme="majorHAnsi"/>
                <w:sz w:val="18"/>
              </w:rPr>
              <w:t>Greenhouse and Energy Minimum Standards for split system air conditioning now use an annualised version of th</w:t>
            </w:r>
            <w:r w:rsidR="00236A2B">
              <w:rPr>
                <w:rFonts w:asciiTheme="majorHAnsi" w:hAnsiTheme="majorHAnsi"/>
                <w:sz w:val="18"/>
              </w:rPr>
              <w:t xml:space="preserve">is </w:t>
            </w:r>
            <w:r w:rsidR="00236A2B" w:rsidRPr="00236A2B">
              <w:rPr>
                <w:rFonts w:asciiTheme="majorHAnsi" w:hAnsiTheme="majorHAnsi"/>
                <w:sz w:val="18"/>
              </w:rPr>
              <w:t>metrics (AEER</w:t>
            </w:r>
            <w:r w:rsidR="00236A2B">
              <w:rPr>
                <w:rFonts w:asciiTheme="majorHAnsi" w:hAnsiTheme="majorHAnsi"/>
                <w:sz w:val="18"/>
              </w:rPr>
              <w:t xml:space="preserve">), refer to </w:t>
            </w:r>
            <w:r w:rsidR="00236A2B" w:rsidRPr="00236A2B">
              <w:rPr>
                <w:rFonts w:asciiTheme="majorHAnsi" w:hAnsiTheme="majorHAnsi"/>
                <w:sz w:val="18"/>
              </w:rPr>
              <w:t>COP</w:t>
            </w:r>
            <w:r w:rsidR="00236A2B">
              <w:rPr>
                <w:rFonts w:asciiTheme="majorHAnsi" w:hAnsiTheme="majorHAnsi"/>
                <w:sz w:val="18"/>
              </w:rPr>
              <w:t xml:space="preserve"> definition</w:t>
            </w:r>
            <w:r w:rsidR="00236A2B" w:rsidRPr="00236A2B">
              <w:rPr>
                <w:rFonts w:asciiTheme="majorHAnsi" w:hAnsiTheme="majorHAnsi"/>
                <w:sz w:val="18"/>
              </w:rPr>
              <w:t>.</w:t>
            </w:r>
          </w:p>
        </w:tc>
      </w:tr>
      <w:tr w:rsidR="002F4981" w:rsidRPr="008C4425" w14:paraId="27DABBAF" w14:textId="77777777" w:rsidTr="00A81E96">
        <w:trPr>
          <w:trHeight w:val="342"/>
        </w:trPr>
        <w:tc>
          <w:tcPr>
            <w:tcW w:w="2219" w:type="dxa"/>
          </w:tcPr>
          <w:p w14:paraId="1F6F48A8"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Energy consumption per year</w:t>
            </w:r>
          </w:p>
        </w:tc>
        <w:tc>
          <w:tcPr>
            <w:tcW w:w="7273" w:type="dxa"/>
          </w:tcPr>
          <w:p w14:paraId="0B43171F"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lang w:val="en-AU"/>
              </w:rPr>
              <w:t>Energy consumption of the appliance, equipment or system per annum in kWh per year, or GWh per year for an application or equipment sector.</w:t>
            </w:r>
          </w:p>
        </w:tc>
      </w:tr>
      <w:tr w:rsidR="00705A93" w:rsidRPr="008C4425" w14:paraId="583E9BC9" w14:textId="77777777" w:rsidTr="00A81E96">
        <w:trPr>
          <w:trHeight w:val="342"/>
        </w:trPr>
        <w:tc>
          <w:tcPr>
            <w:tcW w:w="2219" w:type="dxa"/>
          </w:tcPr>
          <w:p w14:paraId="0D5EDDA0" w14:textId="77777777" w:rsidR="00705A93" w:rsidRPr="008C4425" w:rsidRDefault="00705A93" w:rsidP="00F129EC">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End-of-life equipment</w:t>
            </w:r>
          </w:p>
        </w:tc>
        <w:tc>
          <w:tcPr>
            <w:tcW w:w="7273" w:type="dxa"/>
          </w:tcPr>
          <w:p w14:paraId="0B690DAF" w14:textId="77777777" w:rsidR="00705A93" w:rsidRPr="008C4425" w:rsidRDefault="00705A93" w:rsidP="00F129EC">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 xml:space="preserve">Domestic, commercial or industrial device reaching the end of its useful lifespan.  </w:t>
            </w:r>
          </w:p>
        </w:tc>
      </w:tr>
      <w:tr w:rsidR="00705A93" w:rsidRPr="008C4425" w14:paraId="3600B613" w14:textId="77777777" w:rsidTr="00A81E96">
        <w:trPr>
          <w:trHeight w:val="342"/>
        </w:trPr>
        <w:tc>
          <w:tcPr>
            <w:tcW w:w="2219" w:type="dxa"/>
          </w:tcPr>
          <w:p w14:paraId="74EB441C" w14:textId="0D4A24D9" w:rsidR="00705A93" w:rsidRPr="008C4425" w:rsidRDefault="00705A93" w:rsidP="00297632">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End-of-life (EOL) emissions</w:t>
            </w:r>
          </w:p>
        </w:tc>
        <w:tc>
          <w:tcPr>
            <w:tcW w:w="7273" w:type="dxa"/>
          </w:tcPr>
          <w:p w14:paraId="00A0DB10" w14:textId="70744FFA" w:rsidR="00705A93" w:rsidRPr="008C4425" w:rsidRDefault="00705A93" w:rsidP="00297632">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End-of-life (EOL) emissions are direct emissions from ozone depleting substance (ODS) and synthetic greenhouse gases (SGG) not recovered for destruction or reclamation.</w:t>
            </w:r>
          </w:p>
        </w:tc>
      </w:tr>
      <w:tr w:rsidR="00705A93" w:rsidRPr="008C4425" w14:paraId="7539C691" w14:textId="77777777" w:rsidTr="00A81E96">
        <w:trPr>
          <w:trHeight w:val="342"/>
        </w:trPr>
        <w:tc>
          <w:tcPr>
            <w:tcW w:w="2219" w:type="dxa"/>
          </w:tcPr>
          <w:p w14:paraId="5455D8C2" w14:textId="37072E6C" w:rsidR="00705A93" w:rsidRPr="008C4425" w:rsidRDefault="00705A93" w:rsidP="00F129EC">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End-of-life vehicles</w:t>
            </w:r>
          </w:p>
        </w:tc>
        <w:tc>
          <w:tcPr>
            <w:tcW w:w="7273" w:type="dxa"/>
          </w:tcPr>
          <w:p w14:paraId="7C697851" w14:textId="77777777" w:rsidR="00705A93" w:rsidRPr="008C4425" w:rsidRDefault="00705A93" w:rsidP="00F129EC">
            <w:pPr>
              <w:pStyle w:val="BodyText"/>
              <w:spacing w:before="60" w:after="60"/>
              <w:rPr>
                <w:rFonts w:asciiTheme="majorHAnsi" w:hAnsiTheme="majorHAnsi"/>
                <w:sz w:val="18"/>
                <w:szCs w:val="22"/>
              </w:rPr>
            </w:pPr>
            <w:r w:rsidRPr="003C63AC">
              <w:rPr>
                <w:rFonts w:asciiTheme="majorHAnsi" w:hAnsiTheme="majorHAnsi"/>
                <w:sz w:val="18"/>
                <w:szCs w:val="22"/>
                <w:lang w:val="en-AU"/>
              </w:rPr>
              <w:t>Passenger and light commercial vehicles with a gross vehicle mass less than 3.5 tonnes that have been de-registered according to the State and Territory motor vehicle registration authorities (i.e. assumes a one month period of grace with renewals).</w:t>
            </w:r>
          </w:p>
        </w:tc>
      </w:tr>
      <w:tr w:rsidR="002F4981" w:rsidRPr="008C4425" w14:paraId="3C65B51C" w14:textId="77777777" w:rsidTr="00A81E96">
        <w:trPr>
          <w:trHeight w:val="342"/>
        </w:trPr>
        <w:tc>
          <w:tcPr>
            <w:tcW w:w="2219" w:type="dxa"/>
          </w:tcPr>
          <w:p w14:paraId="44838E5B" w14:textId="5B04F914" w:rsidR="002F4981" w:rsidRPr="008C4425" w:rsidRDefault="00FE5E3A"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 xml:space="preserve">Equivalent </w:t>
            </w:r>
            <w:r w:rsidR="0066343E">
              <w:rPr>
                <w:rFonts w:asciiTheme="majorHAnsi" w:hAnsiTheme="majorHAnsi"/>
                <w:sz w:val="18"/>
                <w:szCs w:val="22"/>
              </w:rPr>
              <w:t>c</w:t>
            </w:r>
            <w:r w:rsidRPr="008C4425">
              <w:rPr>
                <w:rFonts w:asciiTheme="majorHAnsi" w:hAnsiTheme="majorHAnsi"/>
                <w:sz w:val="18"/>
                <w:szCs w:val="22"/>
              </w:rPr>
              <w:t xml:space="preserve">arbon </w:t>
            </w:r>
            <w:r w:rsidR="0066343E">
              <w:rPr>
                <w:rFonts w:asciiTheme="majorHAnsi" w:hAnsiTheme="majorHAnsi"/>
                <w:sz w:val="18"/>
                <w:szCs w:val="22"/>
              </w:rPr>
              <w:t>t</w:t>
            </w:r>
            <w:r>
              <w:rPr>
                <w:rFonts w:asciiTheme="majorHAnsi" w:hAnsiTheme="majorHAnsi"/>
                <w:sz w:val="18"/>
                <w:szCs w:val="22"/>
              </w:rPr>
              <w:t>ax</w:t>
            </w:r>
            <w:r w:rsidRPr="008C4425">
              <w:rPr>
                <w:rFonts w:asciiTheme="majorHAnsi" w:hAnsiTheme="majorHAnsi"/>
                <w:sz w:val="18"/>
                <w:szCs w:val="22"/>
              </w:rPr>
              <w:t xml:space="preserve"> (EC</w:t>
            </w:r>
            <w:r>
              <w:rPr>
                <w:rFonts w:asciiTheme="majorHAnsi" w:hAnsiTheme="majorHAnsi"/>
                <w:sz w:val="18"/>
                <w:szCs w:val="22"/>
              </w:rPr>
              <w:t>T</w:t>
            </w:r>
            <w:r w:rsidRPr="008C4425">
              <w:rPr>
                <w:rFonts w:asciiTheme="majorHAnsi" w:hAnsiTheme="majorHAnsi"/>
                <w:sz w:val="18"/>
                <w:szCs w:val="22"/>
              </w:rPr>
              <w:t>)</w:t>
            </w:r>
          </w:p>
        </w:tc>
        <w:tc>
          <w:tcPr>
            <w:tcW w:w="7273" w:type="dxa"/>
          </w:tcPr>
          <w:p w14:paraId="05F8FF45" w14:textId="73DE41F8" w:rsidR="002F4981" w:rsidRPr="008C4425" w:rsidRDefault="00FE5E3A" w:rsidP="005F4E72">
            <w:pPr>
              <w:pStyle w:val="BodyText"/>
              <w:spacing w:before="60" w:after="60"/>
              <w:rPr>
                <w:rFonts w:asciiTheme="majorHAnsi" w:hAnsiTheme="majorHAnsi"/>
                <w:sz w:val="18"/>
                <w:szCs w:val="22"/>
              </w:rPr>
            </w:pPr>
            <w:r>
              <w:rPr>
                <w:rFonts w:asciiTheme="majorHAnsi" w:hAnsiTheme="majorHAnsi"/>
                <w:sz w:val="18"/>
                <w:szCs w:val="22"/>
                <w:lang w:val="en-AU"/>
              </w:rPr>
              <w:t>S</w:t>
            </w:r>
            <w:r w:rsidRPr="008C4425">
              <w:rPr>
                <w:rFonts w:asciiTheme="majorHAnsi" w:hAnsiTheme="majorHAnsi"/>
                <w:sz w:val="18"/>
                <w:szCs w:val="22"/>
                <w:lang w:val="en-AU"/>
              </w:rPr>
              <w:t>ynthetic greenhouse gases listed under the Kyoto Protocol ha</w:t>
            </w:r>
            <w:r>
              <w:rPr>
                <w:rFonts w:asciiTheme="majorHAnsi" w:hAnsiTheme="majorHAnsi"/>
                <w:sz w:val="18"/>
                <w:szCs w:val="22"/>
                <w:lang w:val="en-AU"/>
              </w:rPr>
              <w:t xml:space="preserve">d </w:t>
            </w:r>
            <w:r w:rsidRPr="008C4425">
              <w:rPr>
                <w:rFonts w:asciiTheme="majorHAnsi" w:hAnsiTheme="majorHAnsi"/>
                <w:sz w:val="18"/>
                <w:szCs w:val="22"/>
                <w:lang w:val="en-AU"/>
              </w:rPr>
              <w:t xml:space="preserve">an equivalent carbon </w:t>
            </w:r>
            <w:r>
              <w:rPr>
                <w:rFonts w:asciiTheme="majorHAnsi" w:hAnsiTheme="majorHAnsi"/>
                <w:sz w:val="18"/>
                <w:szCs w:val="22"/>
                <w:lang w:val="en-AU"/>
              </w:rPr>
              <w:t>tax</w:t>
            </w:r>
            <w:r w:rsidRPr="008C4425">
              <w:rPr>
                <w:rFonts w:asciiTheme="majorHAnsi" w:hAnsiTheme="majorHAnsi"/>
                <w:sz w:val="18"/>
                <w:szCs w:val="22"/>
                <w:lang w:val="en-AU"/>
              </w:rPr>
              <w:t xml:space="preserve"> applied through the </w:t>
            </w:r>
            <w:r w:rsidRPr="00D4489A">
              <w:rPr>
                <w:rFonts w:asciiTheme="majorHAnsi" w:hAnsiTheme="majorHAnsi"/>
                <w:i/>
                <w:sz w:val="18"/>
                <w:szCs w:val="22"/>
                <w:lang w:val="en-AU"/>
              </w:rPr>
              <w:t>Ozone Protection and Synthetic Greenhouse Gas Management Act 1989</w:t>
            </w:r>
            <w:r>
              <w:rPr>
                <w:rFonts w:asciiTheme="majorHAnsi" w:hAnsiTheme="majorHAnsi"/>
                <w:sz w:val="18"/>
                <w:szCs w:val="22"/>
                <w:lang w:val="en-AU"/>
              </w:rPr>
              <w:t xml:space="preserve"> between July 2012 and June 2014.</w:t>
            </w:r>
            <w:r w:rsidRPr="008C4425">
              <w:rPr>
                <w:rFonts w:asciiTheme="majorHAnsi" w:hAnsiTheme="majorHAnsi"/>
                <w:sz w:val="18"/>
                <w:szCs w:val="22"/>
                <w:lang w:val="en-AU"/>
              </w:rPr>
              <w:t xml:space="preserve"> Gases covered </w:t>
            </w:r>
            <w:r>
              <w:rPr>
                <w:rFonts w:asciiTheme="majorHAnsi" w:hAnsiTheme="majorHAnsi"/>
                <w:sz w:val="18"/>
                <w:szCs w:val="22"/>
                <w:lang w:val="en-AU"/>
              </w:rPr>
              <w:t>were</w:t>
            </w:r>
            <w:r w:rsidRPr="008C4425">
              <w:rPr>
                <w:rFonts w:asciiTheme="majorHAnsi" w:hAnsiTheme="majorHAnsi"/>
                <w:sz w:val="18"/>
                <w:szCs w:val="22"/>
                <w:lang w:val="en-AU"/>
              </w:rPr>
              <w:t xml:space="preserve"> hydrofluorocarbons, perfluorocarbons (excluding gases produced from aluminium smelting) and </w:t>
            </w:r>
            <w:r w:rsidR="00FE74F2" w:rsidRPr="008C4425">
              <w:rPr>
                <w:rFonts w:asciiTheme="majorHAnsi" w:hAnsiTheme="majorHAnsi"/>
                <w:sz w:val="18"/>
                <w:szCs w:val="22"/>
                <w:lang w:val="en-AU"/>
              </w:rPr>
              <w:t>sul</w:t>
            </w:r>
            <w:r w:rsidR="00FE74F2">
              <w:rPr>
                <w:rFonts w:asciiTheme="majorHAnsi" w:hAnsiTheme="majorHAnsi"/>
                <w:sz w:val="18"/>
                <w:szCs w:val="22"/>
                <w:lang w:val="en-AU"/>
              </w:rPr>
              <w:t>f</w:t>
            </w:r>
            <w:r w:rsidR="00FE74F2" w:rsidRPr="008C4425">
              <w:rPr>
                <w:rFonts w:asciiTheme="majorHAnsi" w:hAnsiTheme="majorHAnsi"/>
                <w:sz w:val="18"/>
                <w:szCs w:val="22"/>
                <w:lang w:val="en-AU"/>
              </w:rPr>
              <w:t>ur</w:t>
            </w:r>
            <w:r w:rsidRPr="008C4425">
              <w:rPr>
                <w:rFonts w:asciiTheme="majorHAnsi" w:hAnsiTheme="majorHAnsi"/>
                <w:sz w:val="18"/>
                <w:szCs w:val="22"/>
                <w:lang w:val="en-AU"/>
              </w:rPr>
              <w:t xml:space="preserve"> hexafluoride, </w:t>
            </w:r>
            <w:r>
              <w:rPr>
                <w:rFonts w:asciiTheme="majorHAnsi" w:hAnsiTheme="majorHAnsi"/>
                <w:sz w:val="18"/>
                <w:szCs w:val="22"/>
                <w:lang w:val="en-AU"/>
              </w:rPr>
              <w:t>whether in bulk form or contained in equipment</w:t>
            </w:r>
            <w:r w:rsidRPr="008C4425">
              <w:rPr>
                <w:rFonts w:asciiTheme="majorHAnsi" w:hAnsiTheme="majorHAnsi"/>
                <w:sz w:val="18"/>
                <w:szCs w:val="22"/>
                <w:lang w:val="en-AU"/>
              </w:rPr>
              <w:t>.</w:t>
            </w:r>
          </w:p>
        </w:tc>
      </w:tr>
      <w:tr w:rsidR="002F4981" w:rsidRPr="008C4425" w14:paraId="4E6ADBCB" w14:textId="77777777" w:rsidTr="00A81E96">
        <w:trPr>
          <w:trHeight w:val="342"/>
        </w:trPr>
        <w:tc>
          <w:tcPr>
            <w:tcW w:w="2219" w:type="dxa"/>
          </w:tcPr>
          <w:p w14:paraId="24E1D21C" w14:textId="1A5BA0CC" w:rsidR="002F4981" w:rsidRPr="008C4425" w:rsidRDefault="002F4981" w:rsidP="00F129EC">
            <w:pPr>
              <w:pStyle w:val="BodyText"/>
              <w:spacing w:before="60" w:after="60"/>
              <w:jc w:val="left"/>
              <w:rPr>
                <w:rFonts w:asciiTheme="majorHAnsi" w:hAnsiTheme="majorHAnsi"/>
                <w:sz w:val="18"/>
                <w:szCs w:val="22"/>
                <w:lang w:val="en-AU"/>
              </w:rPr>
            </w:pPr>
            <w:r w:rsidRPr="003C63AC">
              <w:rPr>
                <w:rFonts w:asciiTheme="majorHAnsi" w:hAnsiTheme="majorHAnsi"/>
                <w:sz w:val="18"/>
                <w:szCs w:val="22"/>
              </w:rPr>
              <w:t xml:space="preserve">Equivalent </w:t>
            </w:r>
            <w:r w:rsidR="00CD7112">
              <w:rPr>
                <w:rFonts w:asciiTheme="majorHAnsi" w:hAnsiTheme="majorHAnsi"/>
                <w:sz w:val="18"/>
                <w:szCs w:val="22"/>
              </w:rPr>
              <w:t xml:space="preserve">and actual </w:t>
            </w:r>
            <w:r w:rsidRPr="003C63AC">
              <w:rPr>
                <w:rFonts w:asciiTheme="majorHAnsi" w:hAnsiTheme="majorHAnsi"/>
                <w:sz w:val="18"/>
                <w:szCs w:val="22"/>
              </w:rPr>
              <w:t>refrigerant charge</w:t>
            </w:r>
          </w:p>
        </w:tc>
        <w:tc>
          <w:tcPr>
            <w:tcW w:w="7273" w:type="dxa"/>
          </w:tcPr>
          <w:p w14:paraId="0E8F524C" w14:textId="7F841545" w:rsidR="00C66568" w:rsidRPr="00C66568" w:rsidRDefault="00C66568" w:rsidP="00C66568">
            <w:pPr>
              <w:pStyle w:val="BodyText"/>
              <w:spacing w:before="60" w:after="60"/>
              <w:rPr>
                <w:rFonts w:asciiTheme="majorHAnsi" w:hAnsiTheme="majorHAnsi"/>
                <w:sz w:val="18"/>
                <w:szCs w:val="22"/>
              </w:rPr>
            </w:pPr>
            <w:r w:rsidRPr="00C66568">
              <w:rPr>
                <w:rFonts w:asciiTheme="majorHAnsi" w:hAnsiTheme="majorHAnsi"/>
                <w:sz w:val="18"/>
                <w:szCs w:val="22"/>
              </w:rPr>
              <w:t>Some modern</w:t>
            </w:r>
            <w:r w:rsidR="00632AB1">
              <w:rPr>
                <w:rFonts w:asciiTheme="majorHAnsi" w:hAnsiTheme="majorHAnsi"/>
                <w:sz w:val="18"/>
                <w:szCs w:val="22"/>
              </w:rPr>
              <w:t>,</w:t>
            </w:r>
            <w:r w:rsidRPr="00C66568">
              <w:rPr>
                <w:rFonts w:asciiTheme="majorHAnsi" w:hAnsiTheme="majorHAnsi"/>
                <w:sz w:val="18"/>
                <w:szCs w:val="22"/>
              </w:rPr>
              <w:t xml:space="preserve"> lower GWP </w:t>
            </w:r>
            <w:r w:rsidR="00632AB1">
              <w:rPr>
                <w:rFonts w:asciiTheme="majorHAnsi" w:hAnsiTheme="majorHAnsi"/>
                <w:sz w:val="18"/>
                <w:szCs w:val="22"/>
              </w:rPr>
              <w:t>refrigerants,</w:t>
            </w:r>
            <w:r w:rsidRPr="00C66568">
              <w:rPr>
                <w:rFonts w:asciiTheme="majorHAnsi" w:hAnsiTheme="majorHAnsi"/>
                <w:sz w:val="18"/>
                <w:szCs w:val="22"/>
              </w:rPr>
              <w:t xml:space="preserve"> such as hydrocarbon</w:t>
            </w:r>
            <w:r w:rsidR="00632AB1">
              <w:rPr>
                <w:rFonts w:asciiTheme="majorHAnsi" w:hAnsiTheme="majorHAnsi"/>
                <w:sz w:val="18"/>
                <w:szCs w:val="22"/>
              </w:rPr>
              <w:t>s,</w:t>
            </w:r>
            <w:r w:rsidRPr="00C66568">
              <w:rPr>
                <w:rFonts w:asciiTheme="majorHAnsi" w:hAnsiTheme="majorHAnsi"/>
                <w:sz w:val="18"/>
                <w:szCs w:val="22"/>
              </w:rPr>
              <w:t xml:space="preserve"> require </w:t>
            </w:r>
            <w:r w:rsidR="00632AB1">
              <w:rPr>
                <w:rFonts w:asciiTheme="majorHAnsi" w:hAnsiTheme="majorHAnsi"/>
                <w:sz w:val="18"/>
                <w:szCs w:val="22"/>
              </w:rPr>
              <w:t xml:space="preserve">much </w:t>
            </w:r>
            <w:r w:rsidRPr="00C66568">
              <w:rPr>
                <w:rFonts w:asciiTheme="majorHAnsi" w:hAnsiTheme="majorHAnsi"/>
                <w:sz w:val="18"/>
                <w:szCs w:val="22"/>
              </w:rPr>
              <w:t xml:space="preserve">smaller refrigerant charge sizes to do the same work as </w:t>
            </w:r>
            <w:r w:rsidR="00632AB1">
              <w:rPr>
                <w:rFonts w:asciiTheme="majorHAnsi" w:hAnsiTheme="majorHAnsi"/>
                <w:sz w:val="18"/>
                <w:szCs w:val="22"/>
              </w:rPr>
              <w:t xml:space="preserve">some older generation </w:t>
            </w:r>
            <w:r w:rsidRPr="00C66568">
              <w:rPr>
                <w:rFonts w:asciiTheme="majorHAnsi" w:hAnsiTheme="majorHAnsi"/>
                <w:sz w:val="18"/>
                <w:szCs w:val="22"/>
              </w:rPr>
              <w:t xml:space="preserve">higher GWP </w:t>
            </w:r>
            <w:r w:rsidR="00632AB1">
              <w:rPr>
                <w:rFonts w:asciiTheme="majorHAnsi" w:hAnsiTheme="majorHAnsi"/>
                <w:sz w:val="18"/>
                <w:szCs w:val="22"/>
              </w:rPr>
              <w:t>refrigerants</w:t>
            </w:r>
            <w:r w:rsidRPr="00C66568">
              <w:rPr>
                <w:rFonts w:asciiTheme="majorHAnsi" w:hAnsiTheme="majorHAnsi"/>
                <w:sz w:val="18"/>
                <w:szCs w:val="22"/>
              </w:rPr>
              <w:t>.</w:t>
            </w:r>
          </w:p>
          <w:p w14:paraId="064634F9" w14:textId="21D410BC" w:rsidR="002F4981" w:rsidRPr="00C66568" w:rsidRDefault="00C66568" w:rsidP="00282DA7">
            <w:pPr>
              <w:pStyle w:val="BodyText"/>
              <w:spacing w:before="60" w:after="60"/>
              <w:rPr>
                <w:rFonts w:asciiTheme="majorHAnsi" w:hAnsiTheme="majorHAnsi"/>
                <w:sz w:val="18"/>
                <w:szCs w:val="22"/>
              </w:rPr>
            </w:pPr>
            <w:r w:rsidRPr="00C66568">
              <w:rPr>
                <w:rFonts w:asciiTheme="majorHAnsi" w:hAnsiTheme="majorHAnsi"/>
                <w:sz w:val="18"/>
                <w:szCs w:val="22"/>
              </w:rPr>
              <w:t xml:space="preserve">The </w:t>
            </w:r>
            <w:r w:rsidR="00632AB1">
              <w:rPr>
                <w:rFonts w:asciiTheme="majorHAnsi" w:hAnsiTheme="majorHAnsi"/>
                <w:sz w:val="18"/>
                <w:szCs w:val="22"/>
              </w:rPr>
              <w:t>‘</w:t>
            </w:r>
            <w:r w:rsidRPr="00C66568">
              <w:rPr>
                <w:rFonts w:asciiTheme="majorHAnsi" w:hAnsiTheme="majorHAnsi"/>
                <w:sz w:val="18"/>
                <w:szCs w:val="22"/>
              </w:rPr>
              <w:t>equivalent charge</w:t>
            </w:r>
            <w:r w:rsidR="00632AB1">
              <w:rPr>
                <w:rFonts w:asciiTheme="majorHAnsi" w:hAnsiTheme="majorHAnsi"/>
                <w:sz w:val="18"/>
                <w:szCs w:val="22"/>
              </w:rPr>
              <w:t>’</w:t>
            </w:r>
            <w:r w:rsidRPr="00C66568">
              <w:rPr>
                <w:rFonts w:asciiTheme="majorHAnsi" w:hAnsiTheme="majorHAnsi"/>
                <w:sz w:val="18"/>
                <w:szCs w:val="22"/>
              </w:rPr>
              <w:t xml:space="preserve"> is a measure of the amount of high GWP HFC that would have been used in a particular piece </w:t>
            </w:r>
            <w:r w:rsidR="00632AB1">
              <w:rPr>
                <w:rFonts w:asciiTheme="majorHAnsi" w:hAnsiTheme="majorHAnsi"/>
                <w:sz w:val="18"/>
                <w:szCs w:val="22"/>
              </w:rPr>
              <w:t xml:space="preserve">or class </w:t>
            </w:r>
            <w:r w:rsidRPr="00C66568">
              <w:rPr>
                <w:rFonts w:asciiTheme="majorHAnsi" w:hAnsiTheme="majorHAnsi"/>
                <w:sz w:val="18"/>
                <w:szCs w:val="22"/>
              </w:rPr>
              <w:t xml:space="preserve">of equipment had low GWP </w:t>
            </w:r>
            <w:r w:rsidR="00632AB1">
              <w:rPr>
                <w:rFonts w:asciiTheme="majorHAnsi" w:hAnsiTheme="majorHAnsi"/>
                <w:sz w:val="18"/>
                <w:szCs w:val="22"/>
              </w:rPr>
              <w:t>refrigerants</w:t>
            </w:r>
            <w:r w:rsidRPr="00C66568">
              <w:rPr>
                <w:rFonts w:asciiTheme="majorHAnsi" w:hAnsiTheme="majorHAnsi"/>
                <w:sz w:val="18"/>
                <w:szCs w:val="22"/>
              </w:rPr>
              <w:t xml:space="preserve"> not replaced it. </w:t>
            </w:r>
            <w:r w:rsidR="00632AB1">
              <w:rPr>
                <w:rFonts w:asciiTheme="majorHAnsi" w:hAnsiTheme="majorHAnsi"/>
                <w:sz w:val="18"/>
                <w:szCs w:val="22"/>
              </w:rPr>
              <w:t>For some charting and visuali</w:t>
            </w:r>
            <w:r w:rsidR="003114A5">
              <w:rPr>
                <w:rFonts w:asciiTheme="majorHAnsi" w:hAnsiTheme="majorHAnsi"/>
                <w:sz w:val="18"/>
                <w:szCs w:val="22"/>
              </w:rPr>
              <w:t>s</w:t>
            </w:r>
            <w:r w:rsidR="00632AB1">
              <w:rPr>
                <w:rFonts w:asciiTheme="majorHAnsi" w:hAnsiTheme="majorHAnsi"/>
                <w:sz w:val="18"/>
                <w:szCs w:val="22"/>
              </w:rPr>
              <w:t>ation purposes t</w:t>
            </w:r>
            <w:r w:rsidRPr="00C66568">
              <w:rPr>
                <w:rFonts w:asciiTheme="majorHAnsi" w:hAnsiTheme="majorHAnsi"/>
                <w:sz w:val="18"/>
                <w:szCs w:val="22"/>
              </w:rPr>
              <w:t xml:space="preserve">he </w:t>
            </w:r>
            <w:r w:rsidR="00632AB1">
              <w:rPr>
                <w:rFonts w:asciiTheme="majorHAnsi" w:hAnsiTheme="majorHAnsi"/>
                <w:sz w:val="18"/>
                <w:szCs w:val="22"/>
              </w:rPr>
              <w:t>‘</w:t>
            </w:r>
            <w:r w:rsidRPr="00C66568">
              <w:rPr>
                <w:rFonts w:asciiTheme="majorHAnsi" w:hAnsiTheme="majorHAnsi"/>
                <w:sz w:val="18"/>
                <w:szCs w:val="22"/>
              </w:rPr>
              <w:t>equivalent charge</w:t>
            </w:r>
            <w:r w:rsidR="00632AB1">
              <w:rPr>
                <w:rFonts w:asciiTheme="majorHAnsi" w:hAnsiTheme="majorHAnsi"/>
                <w:sz w:val="18"/>
                <w:szCs w:val="22"/>
              </w:rPr>
              <w:t>’</w:t>
            </w:r>
            <w:r w:rsidRPr="00C66568">
              <w:rPr>
                <w:rFonts w:asciiTheme="majorHAnsi" w:hAnsiTheme="majorHAnsi"/>
                <w:sz w:val="18"/>
                <w:szCs w:val="22"/>
              </w:rPr>
              <w:t xml:space="preserve"> is then attributed to the lower GWP refrigerant that displaces it. For other measuring and comparison purposes the ‘actual’ charge </w:t>
            </w:r>
            <w:r w:rsidR="00632AB1">
              <w:rPr>
                <w:rFonts w:asciiTheme="majorHAnsi" w:hAnsiTheme="majorHAnsi"/>
                <w:sz w:val="18"/>
                <w:szCs w:val="22"/>
              </w:rPr>
              <w:t>of low GWP refrigerants are</w:t>
            </w:r>
            <w:r w:rsidRPr="00C66568">
              <w:rPr>
                <w:rFonts w:asciiTheme="majorHAnsi" w:hAnsiTheme="majorHAnsi"/>
                <w:sz w:val="18"/>
                <w:szCs w:val="22"/>
              </w:rPr>
              <w:t xml:space="preserve"> used. Refer refrigerant charge in glossary.</w:t>
            </w:r>
          </w:p>
        </w:tc>
      </w:tr>
      <w:tr w:rsidR="002F4981" w:rsidRPr="008C4425" w14:paraId="2B28BA7F" w14:textId="77777777" w:rsidTr="00A81E96">
        <w:trPr>
          <w:trHeight w:val="342"/>
        </w:trPr>
        <w:tc>
          <w:tcPr>
            <w:tcW w:w="2219" w:type="dxa"/>
          </w:tcPr>
          <w:p w14:paraId="747EE272"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E3</w:t>
            </w:r>
          </w:p>
        </w:tc>
        <w:tc>
          <w:tcPr>
            <w:tcW w:w="7273" w:type="dxa"/>
          </w:tcPr>
          <w:p w14:paraId="42C2183D" w14:textId="0BED2B17" w:rsidR="002F4981" w:rsidRPr="008C4425" w:rsidRDefault="002F4981" w:rsidP="002725E1">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Equipment Energy Efficiency Committee of the Council of Australian Governments (COAG) </w:t>
            </w:r>
            <w:r w:rsidR="002725E1">
              <w:rPr>
                <w:rFonts w:asciiTheme="majorHAnsi" w:hAnsiTheme="majorHAnsi"/>
                <w:sz w:val="18"/>
                <w:szCs w:val="22"/>
                <w:lang w:val="en-AU"/>
              </w:rPr>
              <w:t xml:space="preserve">which </w:t>
            </w:r>
            <w:r w:rsidRPr="008C4425">
              <w:rPr>
                <w:rFonts w:asciiTheme="majorHAnsi" w:hAnsiTheme="majorHAnsi"/>
                <w:sz w:val="18"/>
                <w:szCs w:val="22"/>
                <w:lang w:val="en-AU"/>
              </w:rPr>
              <w:t>operat</w:t>
            </w:r>
            <w:r w:rsidR="002725E1">
              <w:rPr>
                <w:rFonts w:asciiTheme="majorHAnsi" w:hAnsiTheme="majorHAnsi"/>
                <w:sz w:val="18"/>
                <w:szCs w:val="22"/>
                <w:lang w:val="en-AU"/>
              </w:rPr>
              <w:t>ed</w:t>
            </w:r>
            <w:r w:rsidRPr="008C4425">
              <w:rPr>
                <w:rFonts w:asciiTheme="majorHAnsi" w:hAnsiTheme="majorHAnsi"/>
                <w:sz w:val="18"/>
                <w:szCs w:val="22"/>
                <w:lang w:val="en-AU"/>
              </w:rPr>
              <w:t xml:space="preserve"> under the Ministerial Committee on Energy and </w:t>
            </w:r>
            <w:r w:rsidR="002725E1">
              <w:rPr>
                <w:rFonts w:asciiTheme="majorHAnsi" w:hAnsiTheme="majorHAnsi"/>
                <w:sz w:val="18"/>
                <w:szCs w:val="22"/>
                <w:lang w:val="en-AU"/>
              </w:rPr>
              <w:t xml:space="preserve">was </w:t>
            </w:r>
            <w:r w:rsidRPr="008C4425">
              <w:rPr>
                <w:rFonts w:asciiTheme="majorHAnsi" w:hAnsiTheme="majorHAnsi"/>
                <w:sz w:val="18"/>
                <w:szCs w:val="22"/>
                <w:lang w:val="en-AU"/>
              </w:rPr>
              <w:t>administered by the</w:t>
            </w:r>
            <w:r w:rsidR="006338C2">
              <w:rPr>
                <w:rFonts w:asciiTheme="majorHAnsi" w:hAnsiTheme="majorHAnsi"/>
                <w:sz w:val="18"/>
                <w:szCs w:val="22"/>
                <w:lang w:val="en-AU"/>
              </w:rPr>
              <w:t xml:space="preserve"> Department of </w:t>
            </w:r>
            <w:r w:rsidR="00F74591">
              <w:rPr>
                <w:rFonts w:asciiTheme="majorHAnsi" w:hAnsiTheme="majorHAnsi"/>
                <w:sz w:val="18"/>
                <w:szCs w:val="22"/>
                <w:lang w:val="en-AU"/>
              </w:rPr>
              <w:t xml:space="preserve">the </w:t>
            </w:r>
            <w:r w:rsidR="006338C2">
              <w:rPr>
                <w:rFonts w:asciiTheme="majorHAnsi" w:hAnsiTheme="majorHAnsi"/>
                <w:sz w:val="18"/>
                <w:szCs w:val="22"/>
                <w:lang w:val="en-AU"/>
              </w:rPr>
              <w:t>Environment and Energy</w:t>
            </w:r>
            <w:r w:rsidRPr="008C4425">
              <w:rPr>
                <w:rFonts w:asciiTheme="majorHAnsi" w:hAnsiTheme="majorHAnsi"/>
                <w:sz w:val="18"/>
                <w:szCs w:val="22"/>
                <w:lang w:val="en-AU"/>
              </w:rPr>
              <w:t xml:space="preserve">. </w:t>
            </w:r>
          </w:p>
        </w:tc>
      </w:tr>
      <w:tr w:rsidR="002F4981" w:rsidRPr="008C4425" w14:paraId="440B95C4" w14:textId="77777777" w:rsidTr="00A81E96">
        <w:trPr>
          <w:trHeight w:val="342"/>
        </w:trPr>
        <w:tc>
          <w:tcPr>
            <w:tcW w:w="2219" w:type="dxa"/>
          </w:tcPr>
          <w:p w14:paraId="548767E9"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Gas</w:t>
            </w:r>
          </w:p>
        </w:tc>
        <w:tc>
          <w:tcPr>
            <w:tcW w:w="7273" w:type="dxa"/>
          </w:tcPr>
          <w:p w14:paraId="69AA4450" w14:textId="7C50A8D5" w:rsidR="002F4981" w:rsidRPr="008C4425" w:rsidRDefault="002F4981" w:rsidP="00703A81">
            <w:pPr>
              <w:pStyle w:val="BodyText"/>
              <w:spacing w:before="60" w:after="60"/>
              <w:rPr>
                <w:rFonts w:asciiTheme="majorHAnsi" w:hAnsiTheme="majorHAnsi"/>
                <w:sz w:val="18"/>
                <w:szCs w:val="22"/>
              </w:rPr>
            </w:pPr>
            <w:r w:rsidRPr="008C4425">
              <w:rPr>
                <w:rFonts w:asciiTheme="majorHAnsi" w:hAnsiTheme="majorHAnsi"/>
                <w:sz w:val="18"/>
                <w:szCs w:val="22"/>
              </w:rPr>
              <w:t xml:space="preserve">A general term used </w:t>
            </w:r>
            <w:r w:rsidR="00703A81">
              <w:rPr>
                <w:rFonts w:asciiTheme="majorHAnsi" w:hAnsiTheme="majorHAnsi"/>
                <w:sz w:val="18"/>
                <w:szCs w:val="22"/>
              </w:rPr>
              <w:t xml:space="preserve">in </w:t>
            </w:r>
            <w:r w:rsidRPr="008C4425">
              <w:rPr>
                <w:rFonts w:asciiTheme="majorHAnsi" w:hAnsiTheme="majorHAnsi"/>
                <w:sz w:val="18"/>
                <w:szCs w:val="22"/>
              </w:rPr>
              <w:t>report</w:t>
            </w:r>
            <w:r w:rsidR="00703A81">
              <w:rPr>
                <w:rFonts w:asciiTheme="majorHAnsi" w:hAnsiTheme="majorHAnsi"/>
                <w:sz w:val="18"/>
                <w:szCs w:val="22"/>
              </w:rPr>
              <w:t xml:space="preserve">s where applications extend beyond refrigeration and air conditioning </w:t>
            </w:r>
            <w:r w:rsidR="00F54D87">
              <w:rPr>
                <w:rFonts w:asciiTheme="majorHAnsi" w:hAnsiTheme="majorHAnsi"/>
                <w:sz w:val="18"/>
                <w:szCs w:val="22"/>
              </w:rPr>
              <w:t xml:space="preserve">equipment </w:t>
            </w:r>
            <w:r w:rsidR="00F54D87" w:rsidRPr="00F54D87">
              <w:rPr>
                <w:rFonts w:asciiTheme="majorHAnsi" w:hAnsiTheme="majorHAnsi"/>
                <w:sz w:val="18"/>
                <w:szCs w:val="22"/>
              </w:rPr>
              <w:t xml:space="preserve">as a working fluid </w:t>
            </w:r>
            <w:r w:rsidR="00703A81">
              <w:rPr>
                <w:rFonts w:asciiTheme="majorHAnsi" w:hAnsiTheme="majorHAnsi"/>
                <w:sz w:val="18"/>
                <w:szCs w:val="22"/>
              </w:rPr>
              <w:t>and include fire protection, aerosols</w:t>
            </w:r>
            <w:r w:rsidR="00FC65F2">
              <w:rPr>
                <w:rFonts w:asciiTheme="majorHAnsi" w:hAnsiTheme="majorHAnsi"/>
                <w:sz w:val="18"/>
                <w:szCs w:val="22"/>
              </w:rPr>
              <w:t xml:space="preserve"> and</w:t>
            </w:r>
            <w:r w:rsidR="00703A81">
              <w:rPr>
                <w:rFonts w:asciiTheme="majorHAnsi" w:hAnsiTheme="majorHAnsi"/>
                <w:sz w:val="18"/>
                <w:szCs w:val="22"/>
              </w:rPr>
              <w:t xml:space="preserve"> foam blowing. The term </w:t>
            </w:r>
            <w:r w:rsidRPr="008C4425">
              <w:rPr>
                <w:rFonts w:asciiTheme="majorHAnsi" w:hAnsiTheme="majorHAnsi"/>
                <w:sz w:val="18"/>
                <w:szCs w:val="22"/>
              </w:rPr>
              <w:t>refer</w:t>
            </w:r>
            <w:r w:rsidR="00703A81">
              <w:rPr>
                <w:rFonts w:asciiTheme="majorHAnsi" w:hAnsiTheme="majorHAnsi"/>
                <w:sz w:val="18"/>
                <w:szCs w:val="22"/>
              </w:rPr>
              <w:t>s</w:t>
            </w:r>
            <w:r w:rsidRPr="008C4425">
              <w:rPr>
                <w:rFonts w:asciiTheme="majorHAnsi" w:hAnsiTheme="majorHAnsi"/>
                <w:sz w:val="18"/>
                <w:szCs w:val="22"/>
              </w:rPr>
              <w:t xml:space="preserve"> to ozone depleting substances, synthetic greenhouse gases and natural refrigerants.</w:t>
            </w:r>
          </w:p>
        </w:tc>
      </w:tr>
      <w:tr w:rsidR="002F4981" w:rsidRPr="008C4425" w14:paraId="7520CD34" w14:textId="77777777" w:rsidTr="00A81E96">
        <w:trPr>
          <w:trHeight w:val="342"/>
        </w:trPr>
        <w:tc>
          <w:tcPr>
            <w:tcW w:w="2219" w:type="dxa"/>
          </w:tcPr>
          <w:p w14:paraId="0C1DA2CC"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Global Warming Potential (GWP)</w:t>
            </w:r>
          </w:p>
          <w:p w14:paraId="67FB164B" w14:textId="77777777" w:rsidR="002F4981" w:rsidRPr="008C4425" w:rsidRDefault="002F4981" w:rsidP="00F129EC">
            <w:pPr>
              <w:pStyle w:val="BodyText"/>
              <w:spacing w:before="60" w:after="60"/>
              <w:jc w:val="left"/>
              <w:rPr>
                <w:rFonts w:asciiTheme="majorHAnsi" w:hAnsiTheme="majorHAnsi"/>
                <w:sz w:val="18"/>
                <w:szCs w:val="22"/>
              </w:rPr>
            </w:pPr>
          </w:p>
        </w:tc>
        <w:tc>
          <w:tcPr>
            <w:tcW w:w="7273" w:type="dxa"/>
          </w:tcPr>
          <w:p w14:paraId="26931F34" w14:textId="1D05E738" w:rsidR="002F4981" w:rsidRPr="008C4425" w:rsidRDefault="00733627" w:rsidP="00501AE7">
            <w:pPr>
              <w:pStyle w:val="BodyText"/>
              <w:spacing w:before="60" w:after="60"/>
              <w:rPr>
                <w:rFonts w:asciiTheme="majorHAnsi" w:hAnsiTheme="majorHAnsi"/>
                <w:sz w:val="18"/>
                <w:szCs w:val="22"/>
              </w:rPr>
            </w:pPr>
            <w:r w:rsidRPr="00733627">
              <w:rPr>
                <w:rFonts w:asciiTheme="majorHAnsi" w:hAnsiTheme="majorHAnsi"/>
                <w:sz w:val="18"/>
                <w:szCs w:val="22"/>
              </w:rPr>
              <w:t xml:space="preserve">Global warming potential (GWP) is a relative measure of how much heat a greenhouse gas traps in the atmosphere. </w:t>
            </w:r>
            <w:r w:rsidR="00501AE7" w:rsidRPr="00501AE7">
              <w:rPr>
                <w:rFonts w:asciiTheme="majorHAnsi" w:hAnsiTheme="majorHAnsi"/>
                <w:sz w:val="18"/>
                <w:szCs w:val="22"/>
              </w:rPr>
              <w:t>A GWP is calculated over a specific time interval, commonly 20, 100, or 500 years</w:t>
            </w:r>
            <w:r w:rsidR="00501AE7">
              <w:rPr>
                <w:rFonts w:asciiTheme="majorHAnsi" w:hAnsiTheme="majorHAnsi"/>
                <w:sz w:val="18"/>
                <w:szCs w:val="22"/>
              </w:rPr>
              <w:t xml:space="preserve"> and </w:t>
            </w:r>
            <w:r w:rsidR="00501AE7" w:rsidRPr="00501AE7">
              <w:rPr>
                <w:rFonts w:asciiTheme="majorHAnsi" w:hAnsiTheme="majorHAnsi"/>
                <w:sz w:val="18"/>
                <w:szCs w:val="22"/>
              </w:rPr>
              <w:t>is expressed as a factor of carbon dioxide (whose GWP is standardi</w:t>
            </w:r>
            <w:r w:rsidR="00573DA1">
              <w:rPr>
                <w:rFonts w:asciiTheme="majorHAnsi" w:hAnsiTheme="majorHAnsi"/>
                <w:sz w:val="18"/>
                <w:szCs w:val="22"/>
              </w:rPr>
              <w:t>s</w:t>
            </w:r>
            <w:r w:rsidR="00501AE7" w:rsidRPr="00501AE7">
              <w:rPr>
                <w:rFonts w:asciiTheme="majorHAnsi" w:hAnsiTheme="majorHAnsi"/>
                <w:sz w:val="18"/>
                <w:szCs w:val="22"/>
              </w:rPr>
              <w:t>ed to 1).</w:t>
            </w:r>
            <w:r w:rsidR="00501AE7">
              <w:rPr>
                <w:rFonts w:asciiTheme="majorHAnsi" w:hAnsiTheme="majorHAnsi"/>
                <w:sz w:val="18"/>
                <w:szCs w:val="22"/>
              </w:rPr>
              <w:t xml:space="preserve"> </w:t>
            </w:r>
            <w:r w:rsidR="00501AE7" w:rsidRPr="00501AE7">
              <w:rPr>
                <w:rFonts w:asciiTheme="majorHAnsi" w:hAnsiTheme="majorHAnsi"/>
                <w:sz w:val="18"/>
                <w:szCs w:val="22"/>
              </w:rPr>
              <w:t>The Kyoto and Montreal Protocol are based on GWPs from pulse emissions over a 100-year time frame</w:t>
            </w:r>
            <w:r w:rsidR="00501AE7">
              <w:rPr>
                <w:rFonts w:asciiTheme="majorHAnsi" w:hAnsiTheme="majorHAnsi"/>
                <w:sz w:val="18"/>
                <w:szCs w:val="22"/>
              </w:rPr>
              <w:t xml:space="preserve"> abbreviated as GWP-100</w:t>
            </w:r>
            <w:r w:rsidR="00501AE7" w:rsidRPr="00501AE7">
              <w:rPr>
                <w:rFonts w:asciiTheme="majorHAnsi" w:hAnsiTheme="majorHAnsi"/>
                <w:sz w:val="18"/>
                <w:szCs w:val="22"/>
              </w:rPr>
              <w:t>.</w:t>
            </w:r>
          </w:p>
        </w:tc>
      </w:tr>
      <w:tr w:rsidR="002F4981" w:rsidRPr="008C4425" w14:paraId="0875F27A" w14:textId="77777777" w:rsidTr="00A81E96">
        <w:trPr>
          <w:trHeight w:val="342"/>
        </w:trPr>
        <w:tc>
          <w:tcPr>
            <w:tcW w:w="2219" w:type="dxa"/>
          </w:tcPr>
          <w:p w14:paraId="066D3064"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Greenhouse Gases (GHG)</w:t>
            </w:r>
          </w:p>
        </w:tc>
        <w:tc>
          <w:tcPr>
            <w:tcW w:w="7273" w:type="dxa"/>
          </w:tcPr>
          <w:p w14:paraId="25E62068" w14:textId="608690A9" w:rsidR="002F4981" w:rsidRPr="008C4425" w:rsidRDefault="00FE5E3A" w:rsidP="00066CDA">
            <w:pPr>
              <w:pStyle w:val="BodyText"/>
              <w:spacing w:before="60" w:after="60"/>
              <w:rPr>
                <w:rFonts w:asciiTheme="majorHAnsi" w:hAnsiTheme="majorHAnsi"/>
                <w:sz w:val="18"/>
                <w:szCs w:val="22"/>
              </w:rPr>
            </w:pPr>
            <w:r w:rsidRPr="008C4425">
              <w:rPr>
                <w:rFonts w:asciiTheme="majorHAnsi" w:hAnsiTheme="majorHAnsi"/>
                <w:sz w:val="18"/>
              </w:rPr>
              <w:t xml:space="preserve">The Kyoto Protocol </w:t>
            </w:r>
            <w:r w:rsidRPr="00480388">
              <w:rPr>
                <w:rFonts w:asciiTheme="majorHAnsi" w:hAnsiTheme="majorHAnsi"/>
                <w:sz w:val="18"/>
              </w:rPr>
              <w:t>2</w:t>
            </w:r>
            <w:r w:rsidRPr="00480388">
              <w:rPr>
                <w:rFonts w:asciiTheme="majorHAnsi" w:hAnsiTheme="majorHAnsi"/>
                <w:sz w:val="18"/>
                <w:vertAlign w:val="superscript"/>
              </w:rPr>
              <w:t>nd</w:t>
            </w:r>
            <w:r w:rsidRPr="00480388">
              <w:rPr>
                <w:rFonts w:asciiTheme="majorHAnsi" w:hAnsiTheme="majorHAnsi"/>
                <w:sz w:val="18"/>
              </w:rPr>
              <w:t xml:space="preserve"> commitment period </w:t>
            </w:r>
            <w:r w:rsidRPr="008C4425">
              <w:rPr>
                <w:rFonts w:asciiTheme="majorHAnsi" w:hAnsiTheme="majorHAnsi"/>
                <w:sz w:val="18"/>
              </w:rPr>
              <w:t xml:space="preserve">covers emissions of </w:t>
            </w:r>
            <w:r>
              <w:rPr>
                <w:rFonts w:asciiTheme="majorHAnsi" w:hAnsiTheme="majorHAnsi"/>
                <w:sz w:val="18"/>
              </w:rPr>
              <w:t>seven</w:t>
            </w:r>
            <w:r w:rsidRPr="008C4425">
              <w:rPr>
                <w:rFonts w:asciiTheme="majorHAnsi" w:hAnsiTheme="majorHAnsi"/>
                <w:sz w:val="18"/>
              </w:rPr>
              <w:t xml:space="preserve"> main greenhouse gases, namely </w:t>
            </w:r>
            <w:r>
              <w:rPr>
                <w:rFonts w:asciiTheme="majorHAnsi" w:hAnsiTheme="majorHAnsi"/>
                <w:sz w:val="18"/>
              </w:rPr>
              <w:t>c</w:t>
            </w:r>
            <w:r w:rsidRPr="008C4425">
              <w:rPr>
                <w:rFonts w:asciiTheme="majorHAnsi" w:hAnsiTheme="majorHAnsi"/>
                <w:sz w:val="18"/>
              </w:rPr>
              <w:t>arbon dioxide (CO</w:t>
            </w:r>
            <w:r w:rsidRPr="008C4425">
              <w:rPr>
                <w:rFonts w:asciiTheme="majorHAnsi" w:hAnsiTheme="majorHAnsi"/>
                <w:sz w:val="18"/>
                <w:vertAlign w:val="subscript"/>
              </w:rPr>
              <w:t>2</w:t>
            </w:r>
            <w:r w:rsidRPr="008C4425">
              <w:rPr>
                <w:rFonts w:asciiTheme="majorHAnsi" w:hAnsiTheme="majorHAnsi"/>
                <w:sz w:val="18"/>
              </w:rPr>
              <w:t xml:space="preserve">); </w:t>
            </w:r>
            <w:r>
              <w:rPr>
                <w:rFonts w:asciiTheme="majorHAnsi" w:hAnsiTheme="majorHAnsi"/>
                <w:sz w:val="18"/>
              </w:rPr>
              <w:t>m</w:t>
            </w:r>
            <w:r w:rsidRPr="008C4425">
              <w:rPr>
                <w:rFonts w:asciiTheme="majorHAnsi" w:hAnsiTheme="majorHAnsi"/>
                <w:sz w:val="18"/>
              </w:rPr>
              <w:t>ethane (CH</w:t>
            </w:r>
            <w:r w:rsidRPr="008C4425">
              <w:rPr>
                <w:rFonts w:asciiTheme="majorHAnsi" w:hAnsiTheme="majorHAnsi"/>
                <w:sz w:val="18"/>
                <w:vertAlign w:val="subscript"/>
              </w:rPr>
              <w:t>4</w:t>
            </w:r>
            <w:r w:rsidRPr="008C4425">
              <w:rPr>
                <w:rFonts w:asciiTheme="majorHAnsi" w:hAnsiTheme="majorHAnsi"/>
                <w:sz w:val="18"/>
              </w:rPr>
              <w:t xml:space="preserve">); </w:t>
            </w:r>
            <w:r>
              <w:rPr>
                <w:rFonts w:asciiTheme="majorHAnsi" w:hAnsiTheme="majorHAnsi"/>
                <w:sz w:val="18"/>
              </w:rPr>
              <w:t>n</w:t>
            </w:r>
            <w:r w:rsidRPr="008C4425">
              <w:rPr>
                <w:rFonts w:asciiTheme="majorHAnsi" w:hAnsiTheme="majorHAnsi"/>
                <w:sz w:val="18"/>
              </w:rPr>
              <w:t>itrous oxide (N</w:t>
            </w:r>
            <w:r w:rsidRPr="008C4425">
              <w:rPr>
                <w:rFonts w:asciiTheme="majorHAnsi" w:hAnsiTheme="majorHAnsi"/>
                <w:sz w:val="18"/>
                <w:vertAlign w:val="subscript"/>
              </w:rPr>
              <w:t>2</w:t>
            </w:r>
            <w:r w:rsidRPr="008C4425">
              <w:rPr>
                <w:rFonts w:asciiTheme="majorHAnsi" w:hAnsiTheme="majorHAnsi"/>
                <w:sz w:val="18"/>
              </w:rPr>
              <w:t xml:space="preserve">O); </w:t>
            </w:r>
            <w:r>
              <w:rPr>
                <w:rFonts w:asciiTheme="majorHAnsi" w:hAnsiTheme="majorHAnsi"/>
                <w:sz w:val="18"/>
              </w:rPr>
              <w:t>h</w:t>
            </w:r>
            <w:r w:rsidRPr="008C4425">
              <w:rPr>
                <w:rFonts w:asciiTheme="majorHAnsi" w:hAnsiTheme="majorHAnsi"/>
                <w:sz w:val="18"/>
              </w:rPr>
              <w:t xml:space="preserve">ydrofluorocarbons (HFCs); </w:t>
            </w:r>
            <w:r>
              <w:rPr>
                <w:rFonts w:asciiTheme="majorHAnsi" w:hAnsiTheme="majorHAnsi"/>
                <w:sz w:val="18"/>
              </w:rPr>
              <w:t>p</w:t>
            </w:r>
            <w:r w:rsidRPr="008C4425">
              <w:rPr>
                <w:rFonts w:asciiTheme="majorHAnsi" w:hAnsiTheme="majorHAnsi"/>
                <w:sz w:val="18"/>
              </w:rPr>
              <w:t xml:space="preserve">erfluorocarbons (PFCs); </w:t>
            </w:r>
            <w:r>
              <w:rPr>
                <w:rFonts w:asciiTheme="majorHAnsi" w:hAnsiTheme="majorHAnsi"/>
                <w:sz w:val="18"/>
              </w:rPr>
              <w:t>s</w:t>
            </w:r>
            <w:r w:rsidRPr="008C4425">
              <w:rPr>
                <w:rFonts w:asciiTheme="majorHAnsi" w:hAnsiTheme="majorHAnsi"/>
                <w:sz w:val="18"/>
              </w:rPr>
              <w:t>ul</w:t>
            </w:r>
            <w:r>
              <w:rPr>
                <w:rFonts w:asciiTheme="majorHAnsi" w:hAnsiTheme="majorHAnsi"/>
                <w:sz w:val="18"/>
              </w:rPr>
              <w:t>f</w:t>
            </w:r>
            <w:r w:rsidRPr="008C4425">
              <w:rPr>
                <w:rFonts w:asciiTheme="majorHAnsi" w:hAnsiTheme="majorHAnsi"/>
                <w:sz w:val="18"/>
              </w:rPr>
              <w:t>ur hexafluoride (SF</w:t>
            </w:r>
            <w:r w:rsidRPr="008C4425">
              <w:rPr>
                <w:rFonts w:asciiTheme="majorHAnsi" w:hAnsiTheme="majorHAnsi"/>
                <w:sz w:val="18"/>
                <w:vertAlign w:val="subscript"/>
              </w:rPr>
              <w:t>6</w:t>
            </w:r>
            <w:r w:rsidRPr="008C4425">
              <w:rPr>
                <w:rFonts w:asciiTheme="majorHAnsi" w:hAnsiTheme="majorHAnsi"/>
                <w:sz w:val="18"/>
              </w:rPr>
              <w:t>)</w:t>
            </w:r>
            <w:r>
              <w:rPr>
                <w:rFonts w:asciiTheme="majorHAnsi" w:hAnsiTheme="majorHAnsi"/>
                <w:sz w:val="18"/>
              </w:rPr>
              <w:t xml:space="preserve"> and n</w:t>
            </w:r>
            <w:r w:rsidRPr="00480388">
              <w:rPr>
                <w:rFonts w:asciiTheme="majorHAnsi" w:hAnsiTheme="majorHAnsi"/>
                <w:sz w:val="18"/>
              </w:rPr>
              <w:t>itrogen trifluoride</w:t>
            </w:r>
            <w:r>
              <w:rPr>
                <w:rFonts w:asciiTheme="majorHAnsi" w:hAnsiTheme="majorHAnsi"/>
                <w:sz w:val="18"/>
              </w:rPr>
              <w:t xml:space="preserve"> </w:t>
            </w:r>
            <w:r w:rsidRPr="002413CC">
              <w:rPr>
                <w:rFonts w:asciiTheme="majorHAnsi" w:hAnsiTheme="majorHAnsi"/>
                <w:sz w:val="18"/>
              </w:rPr>
              <w:t>(NF</w:t>
            </w:r>
            <w:r w:rsidRPr="00EF2FC1">
              <w:rPr>
                <w:rFonts w:asciiTheme="majorHAnsi" w:hAnsiTheme="majorHAnsi"/>
                <w:sz w:val="18"/>
                <w:vertAlign w:val="subscript"/>
              </w:rPr>
              <w:t>3</w:t>
            </w:r>
            <w:r w:rsidRPr="002413CC">
              <w:rPr>
                <w:rFonts w:asciiTheme="majorHAnsi" w:hAnsiTheme="majorHAnsi"/>
                <w:sz w:val="18"/>
              </w:rPr>
              <w:t>)</w:t>
            </w:r>
            <w:r w:rsidRPr="008C4425">
              <w:rPr>
                <w:rFonts w:asciiTheme="majorHAnsi" w:hAnsiTheme="majorHAnsi"/>
                <w:sz w:val="18"/>
              </w:rPr>
              <w:t>.</w:t>
            </w:r>
          </w:p>
        </w:tc>
      </w:tr>
      <w:tr w:rsidR="002F4981" w:rsidRPr="008C4425" w14:paraId="0DC6E2D5" w14:textId="77777777" w:rsidTr="00A81E96">
        <w:trPr>
          <w:trHeight w:val="342"/>
        </w:trPr>
        <w:tc>
          <w:tcPr>
            <w:tcW w:w="2219" w:type="dxa"/>
          </w:tcPr>
          <w:p w14:paraId="2FE3EABE"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GWh</w:t>
            </w:r>
          </w:p>
        </w:tc>
        <w:tc>
          <w:tcPr>
            <w:tcW w:w="7273" w:type="dxa"/>
          </w:tcPr>
          <w:p w14:paraId="55B14C3F"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rPr>
              <w:t>Gigawatt hours is a unit of measurement for electricity use (1 watt hour x 10</w:t>
            </w:r>
            <w:r w:rsidRPr="008C4425">
              <w:rPr>
                <w:rFonts w:asciiTheme="majorHAnsi" w:hAnsiTheme="majorHAnsi"/>
                <w:sz w:val="18"/>
                <w:vertAlign w:val="superscript"/>
              </w:rPr>
              <w:t>9</w:t>
            </w:r>
            <w:r w:rsidRPr="008C4425">
              <w:rPr>
                <w:rFonts w:asciiTheme="majorHAnsi" w:hAnsiTheme="majorHAnsi"/>
                <w:sz w:val="18"/>
              </w:rPr>
              <w:t>).</w:t>
            </w:r>
          </w:p>
        </w:tc>
      </w:tr>
      <w:tr w:rsidR="005575A8" w:rsidRPr="008C4425" w14:paraId="321FC35D" w14:textId="77777777" w:rsidTr="00A81E96">
        <w:trPr>
          <w:trHeight w:val="342"/>
        </w:trPr>
        <w:tc>
          <w:tcPr>
            <w:tcW w:w="2219" w:type="dxa"/>
          </w:tcPr>
          <w:p w14:paraId="21F8C5F8" w14:textId="77777777" w:rsidR="005575A8" w:rsidRPr="008C4425" w:rsidRDefault="005575A8" w:rsidP="009321DA">
            <w:pPr>
              <w:pStyle w:val="BodyText"/>
              <w:spacing w:before="60" w:after="60"/>
              <w:jc w:val="left"/>
              <w:rPr>
                <w:rFonts w:asciiTheme="majorHAnsi" w:hAnsiTheme="majorHAnsi"/>
                <w:sz w:val="18"/>
                <w:szCs w:val="22"/>
              </w:rPr>
            </w:pPr>
            <w:r>
              <w:rPr>
                <w:rFonts w:asciiTheme="majorHAnsi" w:hAnsiTheme="majorHAnsi"/>
                <w:sz w:val="18"/>
                <w:szCs w:val="22"/>
              </w:rPr>
              <w:t>High GWP substances or refrigerants</w:t>
            </w:r>
          </w:p>
        </w:tc>
        <w:tc>
          <w:tcPr>
            <w:tcW w:w="7273" w:type="dxa"/>
          </w:tcPr>
          <w:p w14:paraId="371EC2B1" w14:textId="40A43B5B" w:rsidR="005575A8" w:rsidRPr="008C4425" w:rsidRDefault="00FE5E3A" w:rsidP="00184603">
            <w:pPr>
              <w:pStyle w:val="BodyText"/>
              <w:spacing w:before="60" w:after="60"/>
              <w:rPr>
                <w:rFonts w:asciiTheme="majorHAnsi" w:hAnsiTheme="majorHAnsi"/>
                <w:sz w:val="18"/>
              </w:rPr>
            </w:pPr>
            <w:r>
              <w:rPr>
                <w:rFonts w:asciiTheme="majorHAnsi" w:hAnsiTheme="majorHAnsi"/>
                <w:sz w:val="18"/>
              </w:rPr>
              <w:t>For the purposes of this report t</w:t>
            </w:r>
            <w:r w:rsidRPr="009321DA">
              <w:rPr>
                <w:rFonts w:asciiTheme="majorHAnsi" w:hAnsiTheme="majorHAnsi"/>
                <w:sz w:val="18"/>
              </w:rPr>
              <w:t>his term is used to refer to refrigerants commonly used today with GWPs</w:t>
            </w:r>
            <w:r>
              <w:rPr>
                <w:rFonts w:asciiTheme="majorHAnsi" w:hAnsiTheme="majorHAnsi"/>
                <w:sz w:val="18"/>
              </w:rPr>
              <w:t xml:space="preserve"> </w:t>
            </w:r>
            <w:r w:rsidRPr="009321DA">
              <w:rPr>
                <w:rFonts w:asciiTheme="majorHAnsi" w:hAnsiTheme="majorHAnsi"/>
                <w:sz w:val="18"/>
              </w:rPr>
              <w:t>greater than 1400. This includes the widely employed HFC-404A (GWP of 3922),</w:t>
            </w:r>
            <w:r>
              <w:rPr>
                <w:rFonts w:asciiTheme="majorHAnsi" w:hAnsiTheme="majorHAnsi"/>
                <w:sz w:val="18"/>
              </w:rPr>
              <w:t xml:space="preserve"> </w:t>
            </w:r>
            <w:r w:rsidRPr="009321DA">
              <w:rPr>
                <w:rFonts w:asciiTheme="majorHAnsi" w:hAnsiTheme="majorHAnsi"/>
                <w:sz w:val="18"/>
              </w:rPr>
              <w:t>HFC-410A (GWP of 2088) and HFC-134a (GWP of 1430)</w:t>
            </w:r>
            <w:r>
              <w:rPr>
                <w:rFonts w:asciiTheme="majorHAnsi" w:hAnsiTheme="majorHAnsi"/>
                <w:sz w:val="18"/>
              </w:rPr>
              <w:t>. R</w:t>
            </w:r>
            <w:r w:rsidRPr="009321DA">
              <w:rPr>
                <w:rFonts w:asciiTheme="majorHAnsi" w:hAnsiTheme="majorHAnsi"/>
                <w:sz w:val="18"/>
              </w:rPr>
              <w:t>efer to definition</w:t>
            </w:r>
            <w:r>
              <w:rPr>
                <w:rFonts w:asciiTheme="majorHAnsi" w:hAnsiTheme="majorHAnsi"/>
                <w:sz w:val="18"/>
              </w:rPr>
              <w:t xml:space="preserve"> </w:t>
            </w:r>
            <w:r w:rsidRPr="009321DA">
              <w:rPr>
                <w:rFonts w:asciiTheme="majorHAnsi" w:hAnsiTheme="majorHAnsi"/>
                <w:sz w:val="18"/>
              </w:rPr>
              <w:t xml:space="preserve">of </w:t>
            </w:r>
            <w:r>
              <w:rPr>
                <w:rFonts w:asciiTheme="majorHAnsi" w:hAnsiTheme="majorHAnsi"/>
                <w:sz w:val="18"/>
              </w:rPr>
              <w:t>r</w:t>
            </w:r>
            <w:r w:rsidRPr="009321DA">
              <w:rPr>
                <w:rFonts w:asciiTheme="majorHAnsi" w:hAnsiTheme="majorHAnsi"/>
                <w:sz w:val="18"/>
              </w:rPr>
              <w:t xml:space="preserve">educed GWP </w:t>
            </w:r>
            <w:r>
              <w:rPr>
                <w:rFonts w:asciiTheme="majorHAnsi" w:hAnsiTheme="majorHAnsi"/>
                <w:sz w:val="18"/>
              </w:rPr>
              <w:t>refrigerants and</w:t>
            </w:r>
            <w:r w:rsidRPr="009321DA">
              <w:rPr>
                <w:rFonts w:asciiTheme="majorHAnsi" w:hAnsiTheme="majorHAnsi"/>
                <w:sz w:val="18"/>
              </w:rPr>
              <w:t xml:space="preserve"> </w:t>
            </w:r>
            <w:r>
              <w:rPr>
                <w:rFonts w:asciiTheme="majorHAnsi" w:hAnsiTheme="majorHAnsi"/>
                <w:sz w:val="18"/>
              </w:rPr>
              <w:t>l</w:t>
            </w:r>
            <w:r w:rsidRPr="009321DA">
              <w:rPr>
                <w:rFonts w:asciiTheme="majorHAnsi" w:hAnsiTheme="majorHAnsi"/>
                <w:sz w:val="18"/>
              </w:rPr>
              <w:t xml:space="preserve">ow GWP </w:t>
            </w:r>
            <w:r>
              <w:rPr>
                <w:rFonts w:asciiTheme="majorHAnsi" w:hAnsiTheme="majorHAnsi"/>
                <w:sz w:val="18"/>
              </w:rPr>
              <w:t>r</w:t>
            </w:r>
            <w:r w:rsidRPr="009321DA">
              <w:rPr>
                <w:rFonts w:asciiTheme="majorHAnsi" w:hAnsiTheme="majorHAnsi"/>
                <w:sz w:val="18"/>
              </w:rPr>
              <w:t>efrigerants.</w:t>
            </w:r>
          </w:p>
        </w:tc>
      </w:tr>
      <w:tr w:rsidR="002F4981" w:rsidRPr="008C4425" w14:paraId="444560AA" w14:textId="77777777" w:rsidTr="00A81E96">
        <w:trPr>
          <w:trHeight w:val="342"/>
        </w:trPr>
        <w:tc>
          <w:tcPr>
            <w:tcW w:w="2219" w:type="dxa"/>
          </w:tcPr>
          <w:p w14:paraId="07969012"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Hydrocarbons (HCs)</w:t>
            </w:r>
          </w:p>
        </w:tc>
        <w:tc>
          <w:tcPr>
            <w:tcW w:w="7273" w:type="dxa"/>
          </w:tcPr>
          <w:p w14:paraId="3621A861" w14:textId="7DFBC20E" w:rsidR="002F4981" w:rsidRPr="008C4425" w:rsidRDefault="00FE5E3A" w:rsidP="006728FD">
            <w:pPr>
              <w:pStyle w:val="BodyText"/>
              <w:spacing w:before="60" w:after="60"/>
              <w:rPr>
                <w:rFonts w:asciiTheme="majorHAnsi" w:hAnsiTheme="majorHAnsi"/>
                <w:sz w:val="18"/>
                <w:szCs w:val="22"/>
              </w:rPr>
            </w:pPr>
            <w:r>
              <w:rPr>
                <w:rFonts w:asciiTheme="majorHAnsi" w:hAnsiTheme="majorHAnsi"/>
                <w:sz w:val="18"/>
              </w:rPr>
              <w:t xml:space="preserve">Hydrocarbon is a chemical that contains only carbon and hydrogen. The </w:t>
            </w:r>
            <w:r w:rsidRPr="008C4425">
              <w:rPr>
                <w:rFonts w:asciiTheme="majorHAnsi" w:hAnsiTheme="majorHAnsi"/>
                <w:sz w:val="18"/>
              </w:rPr>
              <w:t xml:space="preserve">term hydrocarbon </w:t>
            </w:r>
            <w:r>
              <w:rPr>
                <w:rFonts w:asciiTheme="majorHAnsi" w:hAnsiTheme="majorHAnsi"/>
                <w:sz w:val="18"/>
              </w:rPr>
              <w:t xml:space="preserve">used in this report </w:t>
            </w:r>
            <w:r w:rsidRPr="008C4425">
              <w:rPr>
                <w:rFonts w:asciiTheme="majorHAnsi" w:hAnsiTheme="majorHAnsi"/>
                <w:sz w:val="18"/>
              </w:rPr>
              <w:t xml:space="preserve">refers to the main types and blends </w:t>
            </w:r>
            <w:r>
              <w:rPr>
                <w:rFonts w:asciiTheme="majorHAnsi" w:hAnsiTheme="majorHAnsi"/>
                <w:sz w:val="18"/>
              </w:rPr>
              <w:t xml:space="preserve">of hydrocarbon refrigerant </w:t>
            </w:r>
            <w:r w:rsidRPr="008C4425">
              <w:rPr>
                <w:rFonts w:asciiTheme="majorHAnsi" w:hAnsiTheme="majorHAnsi"/>
                <w:sz w:val="18"/>
              </w:rPr>
              <w:t xml:space="preserve">in use in Australia </w:t>
            </w:r>
            <w:r w:rsidRPr="008C4425">
              <w:rPr>
                <w:rFonts w:asciiTheme="majorHAnsi" w:hAnsiTheme="majorHAnsi"/>
                <w:sz w:val="18"/>
              </w:rPr>
              <w:lastRenderedPageBreak/>
              <w:t xml:space="preserve">including HC-600a, HC-290 and HC-436 (a blend of HC-600a and HC-290). HC-600a is the preferred hydrocarbon refrigerant in domestic refrigeration applications as it is suited to both refrigerator and freezer applications. HC-290 is the preferred hydrocarbon option for non-domestic stationary applications as its performance characteristics are more suited to medium temperature applications (i.e. greater than zero degrees Celsius). </w:t>
            </w:r>
            <w:r>
              <w:rPr>
                <w:rFonts w:asciiTheme="majorHAnsi" w:hAnsiTheme="majorHAnsi"/>
                <w:sz w:val="18"/>
              </w:rPr>
              <w:t xml:space="preserve">Hydrocarbons are now widely used in </w:t>
            </w:r>
            <w:r w:rsidR="001F64CE">
              <w:rPr>
                <w:rFonts w:asciiTheme="majorHAnsi" w:hAnsiTheme="majorHAnsi"/>
                <w:sz w:val="18"/>
              </w:rPr>
              <w:t>self-contained</w:t>
            </w:r>
            <w:r>
              <w:rPr>
                <w:rFonts w:asciiTheme="majorHAnsi" w:hAnsiTheme="majorHAnsi"/>
                <w:sz w:val="18"/>
              </w:rPr>
              <w:t xml:space="preserve"> commercial refrigeration applications with refrigerant charges less than 150 grams. </w:t>
            </w:r>
            <w:r w:rsidRPr="001E0218">
              <w:rPr>
                <w:rFonts w:asciiTheme="majorHAnsi" w:hAnsiTheme="majorHAnsi"/>
                <w:sz w:val="18"/>
              </w:rPr>
              <w:t xml:space="preserve">Hydrocarbons are not used as an OEM refrigerant in </w:t>
            </w:r>
            <w:r>
              <w:rPr>
                <w:rFonts w:asciiTheme="majorHAnsi" w:hAnsiTheme="majorHAnsi"/>
                <w:sz w:val="18"/>
              </w:rPr>
              <w:t xml:space="preserve">mobile air conditioning in </w:t>
            </w:r>
            <w:r w:rsidRPr="001E0218">
              <w:rPr>
                <w:rFonts w:asciiTheme="majorHAnsi" w:hAnsiTheme="majorHAnsi"/>
                <w:sz w:val="18"/>
              </w:rPr>
              <w:t>any production vehicles</w:t>
            </w:r>
            <w:r>
              <w:rPr>
                <w:rFonts w:asciiTheme="majorHAnsi" w:hAnsiTheme="majorHAnsi"/>
                <w:sz w:val="18"/>
              </w:rPr>
              <w:t xml:space="preserve">. </w:t>
            </w:r>
            <w:r w:rsidRPr="008C4425">
              <w:rPr>
                <w:rFonts w:asciiTheme="majorHAnsi" w:hAnsiTheme="majorHAnsi"/>
                <w:sz w:val="18"/>
              </w:rPr>
              <w:t xml:space="preserve">HC-436 is a hydrocarbon blend that is </w:t>
            </w:r>
            <w:r w:rsidRPr="001E0218">
              <w:rPr>
                <w:rFonts w:asciiTheme="majorHAnsi" w:hAnsiTheme="majorHAnsi"/>
                <w:sz w:val="18"/>
              </w:rPr>
              <w:t xml:space="preserve">sometimes used in </w:t>
            </w:r>
            <w:r>
              <w:rPr>
                <w:rFonts w:asciiTheme="majorHAnsi" w:hAnsiTheme="majorHAnsi"/>
                <w:sz w:val="18"/>
              </w:rPr>
              <w:t xml:space="preserve">the mobile air conditioning </w:t>
            </w:r>
            <w:r w:rsidRPr="001E0218">
              <w:rPr>
                <w:rFonts w:asciiTheme="majorHAnsi" w:hAnsiTheme="majorHAnsi"/>
                <w:sz w:val="18"/>
              </w:rPr>
              <w:t>after</w:t>
            </w:r>
            <w:r>
              <w:rPr>
                <w:rFonts w:asciiTheme="majorHAnsi" w:hAnsiTheme="majorHAnsi"/>
                <w:sz w:val="18"/>
              </w:rPr>
              <w:t>-</w:t>
            </w:r>
            <w:r w:rsidRPr="001E0218">
              <w:rPr>
                <w:rFonts w:asciiTheme="majorHAnsi" w:hAnsiTheme="majorHAnsi"/>
                <w:sz w:val="18"/>
              </w:rPr>
              <w:t>market</w:t>
            </w:r>
            <w:r>
              <w:rPr>
                <w:rFonts w:asciiTheme="majorHAnsi" w:hAnsiTheme="majorHAnsi"/>
                <w:sz w:val="18"/>
              </w:rPr>
              <w:t xml:space="preserve"> (users should refer to equipment manufacturer installation guidelines for further details).</w:t>
            </w:r>
          </w:p>
        </w:tc>
      </w:tr>
      <w:tr w:rsidR="002F4981" w:rsidRPr="008C4425" w14:paraId="4E3C66CE" w14:textId="77777777" w:rsidTr="00A81E96">
        <w:trPr>
          <w:trHeight w:val="342"/>
        </w:trPr>
        <w:tc>
          <w:tcPr>
            <w:tcW w:w="2219" w:type="dxa"/>
          </w:tcPr>
          <w:p w14:paraId="349A21EA"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lastRenderedPageBreak/>
              <w:t>Hydrochlorofluorocarbons (HCFCs)</w:t>
            </w:r>
          </w:p>
        </w:tc>
        <w:tc>
          <w:tcPr>
            <w:tcW w:w="7273" w:type="dxa"/>
          </w:tcPr>
          <w:p w14:paraId="1813E4C7" w14:textId="256896C9" w:rsidR="002F4981" w:rsidRPr="008C4425" w:rsidRDefault="00FE5E3A" w:rsidP="004C1A29">
            <w:pPr>
              <w:pStyle w:val="BodyText"/>
              <w:spacing w:before="60" w:after="60"/>
              <w:rPr>
                <w:rFonts w:asciiTheme="majorHAnsi" w:hAnsiTheme="majorHAnsi"/>
                <w:sz w:val="18"/>
                <w:szCs w:val="22"/>
              </w:rPr>
            </w:pPr>
            <w:r w:rsidRPr="008C4425">
              <w:rPr>
                <w:rFonts w:asciiTheme="majorHAnsi" w:hAnsiTheme="majorHAnsi"/>
                <w:sz w:val="18"/>
                <w:szCs w:val="22"/>
              </w:rPr>
              <w:t xml:space="preserve">Chemicals that contains hydrogen, fluorine, chlorine, and carbon. They deplete the ozone layer, </w:t>
            </w:r>
            <w:r>
              <w:rPr>
                <w:rFonts w:asciiTheme="majorHAnsi" w:hAnsiTheme="majorHAnsi"/>
                <w:sz w:val="18"/>
                <w:szCs w:val="22"/>
              </w:rPr>
              <w:t>but</w:t>
            </w:r>
            <w:r w:rsidRPr="008C4425">
              <w:rPr>
                <w:rFonts w:asciiTheme="majorHAnsi" w:hAnsiTheme="majorHAnsi"/>
                <w:sz w:val="18"/>
                <w:szCs w:val="22"/>
              </w:rPr>
              <w:t xml:space="preserve"> have less potency compared to CFCs. Many HCFCs are potent greenhouse gases. HCFC-22 is the most common refrigerant in the Australian refrigerant bank.</w:t>
            </w:r>
            <w:r>
              <w:rPr>
                <w:rFonts w:asciiTheme="majorHAnsi" w:hAnsiTheme="majorHAnsi"/>
                <w:sz w:val="18"/>
                <w:szCs w:val="22"/>
              </w:rPr>
              <w:t xml:space="preserve"> </w:t>
            </w:r>
            <w:r w:rsidRPr="00977DEF">
              <w:rPr>
                <w:rFonts w:asciiTheme="majorHAnsi" w:hAnsiTheme="majorHAnsi"/>
                <w:sz w:val="18"/>
                <w:szCs w:val="22"/>
              </w:rPr>
              <w:t xml:space="preserve">CFCs and HCFCs are not </w:t>
            </w:r>
            <w:r w:rsidR="004C1A29">
              <w:rPr>
                <w:rFonts w:asciiTheme="majorHAnsi" w:hAnsiTheme="majorHAnsi"/>
                <w:sz w:val="18"/>
                <w:szCs w:val="22"/>
              </w:rPr>
              <w:t>included in</w:t>
            </w:r>
            <w:r w:rsidRPr="00977DEF">
              <w:rPr>
                <w:rFonts w:asciiTheme="majorHAnsi" w:hAnsiTheme="majorHAnsi"/>
                <w:sz w:val="18"/>
                <w:szCs w:val="22"/>
              </w:rPr>
              <w:t xml:space="preserve"> the GHGs reported under the Kyoto Protocol or United Nations Convention on Climate Change</w:t>
            </w:r>
            <w:r>
              <w:rPr>
                <w:rFonts w:asciiTheme="majorHAnsi" w:hAnsiTheme="majorHAnsi"/>
                <w:sz w:val="18"/>
                <w:szCs w:val="22"/>
              </w:rPr>
              <w:t xml:space="preserve">, as they </w:t>
            </w:r>
            <w:r w:rsidR="00835529">
              <w:rPr>
                <w:rFonts w:asciiTheme="majorHAnsi" w:hAnsiTheme="majorHAnsi"/>
                <w:sz w:val="18"/>
                <w:szCs w:val="22"/>
              </w:rPr>
              <w:t xml:space="preserve">are </w:t>
            </w:r>
            <w:r>
              <w:rPr>
                <w:rFonts w:asciiTheme="majorHAnsi" w:hAnsiTheme="majorHAnsi"/>
                <w:sz w:val="18"/>
                <w:szCs w:val="22"/>
              </w:rPr>
              <w:t xml:space="preserve">managed through the </w:t>
            </w:r>
            <w:r w:rsidRPr="00436438">
              <w:rPr>
                <w:rFonts w:asciiTheme="majorHAnsi" w:hAnsiTheme="majorHAnsi"/>
                <w:sz w:val="18"/>
                <w:szCs w:val="22"/>
              </w:rPr>
              <w:t>Montreal Protocol.</w:t>
            </w:r>
          </w:p>
        </w:tc>
      </w:tr>
      <w:tr w:rsidR="002F4981" w:rsidRPr="008C4425" w14:paraId="7ABA67CD" w14:textId="77777777" w:rsidTr="00A81E96">
        <w:trPr>
          <w:trHeight w:val="342"/>
        </w:trPr>
        <w:tc>
          <w:tcPr>
            <w:tcW w:w="2219" w:type="dxa"/>
          </w:tcPr>
          <w:p w14:paraId="7E40D5BB"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Hydrofluorocarbons (HFCs)</w:t>
            </w:r>
          </w:p>
        </w:tc>
        <w:tc>
          <w:tcPr>
            <w:tcW w:w="7273" w:type="dxa"/>
          </w:tcPr>
          <w:p w14:paraId="18547287"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Chemicals that contain hydrogen, fluorine, and carbon. They do not deplete the ozone layer and have been used as substitutes for CFCs and HCFCs. Many HFCs are potent greenhouse gases.</w:t>
            </w:r>
          </w:p>
        </w:tc>
      </w:tr>
      <w:tr w:rsidR="002F4981" w:rsidRPr="008C4425" w14:paraId="236D874E" w14:textId="77777777" w:rsidTr="00A81E96">
        <w:trPr>
          <w:trHeight w:val="342"/>
        </w:trPr>
        <w:tc>
          <w:tcPr>
            <w:tcW w:w="2219" w:type="dxa"/>
          </w:tcPr>
          <w:p w14:paraId="5C2D1D9B"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Hydrofluoro</w:t>
            </w:r>
            <w:r>
              <w:rPr>
                <w:rFonts w:asciiTheme="majorHAnsi" w:hAnsiTheme="majorHAnsi"/>
                <w:sz w:val="18"/>
                <w:szCs w:val="22"/>
              </w:rPr>
              <w:t>-</w:t>
            </w:r>
            <w:r w:rsidRPr="008C4425">
              <w:rPr>
                <w:rFonts w:asciiTheme="majorHAnsi" w:hAnsiTheme="majorHAnsi"/>
                <w:sz w:val="18"/>
                <w:szCs w:val="22"/>
              </w:rPr>
              <w:t>olefins (HFOs), and HFO blends</w:t>
            </w:r>
          </w:p>
        </w:tc>
        <w:tc>
          <w:tcPr>
            <w:tcW w:w="7273" w:type="dxa"/>
          </w:tcPr>
          <w:p w14:paraId="49D5A025" w14:textId="2A547D26" w:rsidR="002F4981" w:rsidRPr="008C4425" w:rsidRDefault="002F4981" w:rsidP="003D5ECE">
            <w:pPr>
              <w:pStyle w:val="BodyText"/>
              <w:spacing w:before="60" w:after="60"/>
              <w:rPr>
                <w:rFonts w:asciiTheme="majorHAnsi" w:hAnsiTheme="majorHAnsi"/>
                <w:sz w:val="18"/>
                <w:szCs w:val="22"/>
              </w:rPr>
            </w:pPr>
            <w:r>
              <w:rPr>
                <w:rFonts w:asciiTheme="majorHAnsi" w:hAnsiTheme="majorHAnsi"/>
                <w:sz w:val="18"/>
                <w:szCs w:val="22"/>
              </w:rPr>
              <w:t xml:space="preserve">Chemicals known as </w:t>
            </w:r>
            <w:r w:rsidRPr="008C4425">
              <w:rPr>
                <w:rFonts w:asciiTheme="majorHAnsi" w:hAnsiTheme="majorHAnsi"/>
                <w:sz w:val="18"/>
                <w:szCs w:val="22"/>
              </w:rPr>
              <w:t>hydrofluoro</w:t>
            </w:r>
            <w:r>
              <w:rPr>
                <w:rFonts w:asciiTheme="majorHAnsi" w:hAnsiTheme="majorHAnsi"/>
                <w:sz w:val="18"/>
                <w:szCs w:val="22"/>
              </w:rPr>
              <w:t>-</w:t>
            </w:r>
            <w:r w:rsidRPr="008C4425">
              <w:rPr>
                <w:rFonts w:asciiTheme="majorHAnsi" w:hAnsiTheme="majorHAnsi"/>
                <w:sz w:val="18"/>
                <w:szCs w:val="22"/>
              </w:rPr>
              <w:t xml:space="preserve">olefins </w:t>
            </w:r>
            <w:r w:rsidRPr="001E4DE1">
              <w:rPr>
                <w:rFonts w:asciiTheme="majorHAnsi" w:hAnsiTheme="majorHAnsi"/>
                <w:sz w:val="18"/>
                <w:szCs w:val="22"/>
              </w:rPr>
              <w:t>that contain hydrogen, fluorine, and carbon, and</w:t>
            </w:r>
            <w:r>
              <w:rPr>
                <w:rFonts w:asciiTheme="majorHAnsi" w:hAnsiTheme="majorHAnsi"/>
                <w:sz w:val="18"/>
                <w:szCs w:val="22"/>
              </w:rPr>
              <w:t xml:space="preserve"> are described as unsaturated HFCs. They do not deplete the ozone layer and have very </w:t>
            </w:r>
            <w:r w:rsidRPr="008C4425">
              <w:rPr>
                <w:rFonts w:asciiTheme="majorHAnsi" w:hAnsiTheme="majorHAnsi"/>
                <w:sz w:val="18"/>
                <w:szCs w:val="22"/>
              </w:rPr>
              <w:t>low GWP values</w:t>
            </w:r>
            <w:r>
              <w:rPr>
                <w:rFonts w:asciiTheme="majorHAnsi" w:hAnsiTheme="majorHAnsi"/>
                <w:sz w:val="18"/>
                <w:szCs w:val="22"/>
              </w:rPr>
              <w:t xml:space="preserve">. For example </w:t>
            </w:r>
            <w:r w:rsidRPr="008C4425">
              <w:rPr>
                <w:rFonts w:asciiTheme="majorHAnsi" w:hAnsiTheme="majorHAnsi"/>
                <w:sz w:val="18"/>
                <w:szCs w:val="22"/>
              </w:rPr>
              <w:t>HFO-1234yf</w:t>
            </w:r>
            <w:r w:rsidR="003D5ECE">
              <w:rPr>
                <w:rFonts w:asciiTheme="majorHAnsi" w:hAnsiTheme="majorHAnsi"/>
                <w:sz w:val="18"/>
                <w:szCs w:val="22"/>
              </w:rPr>
              <w:t xml:space="preserve"> and </w:t>
            </w:r>
            <w:r>
              <w:rPr>
                <w:rFonts w:asciiTheme="majorHAnsi" w:hAnsiTheme="majorHAnsi"/>
                <w:sz w:val="18"/>
                <w:szCs w:val="22"/>
              </w:rPr>
              <w:t xml:space="preserve">HFO-1234ze </w:t>
            </w:r>
            <w:r w:rsidR="003D5ECE">
              <w:rPr>
                <w:rFonts w:asciiTheme="majorHAnsi" w:hAnsiTheme="majorHAnsi"/>
                <w:sz w:val="18"/>
                <w:szCs w:val="22"/>
              </w:rPr>
              <w:t xml:space="preserve">were originally cited by industry to have </w:t>
            </w:r>
            <w:r>
              <w:rPr>
                <w:rFonts w:asciiTheme="majorHAnsi" w:hAnsiTheme="majorHAnsi"/>
                <w:sz w:val="18"/>
                <w:szCs w:val="22"/>
              </w:rPr>
              <w:t xml:space="preserve">a GWP of </w:t>
            </w:r>
            <w:r w:rsidR="003D5ECE">
              <w:rPr>
                <w:rFonts w:asciiTheme="majorHAnsi" w:hAnsiTheme="majorHAnsi"/>
                <w:sz w:val="18"/>
                <w:szCs w:val="22"/>
              </w:rPr>
              <w:t>5, and a GWP-100 of 1 based on AR5</w:t>
            </w:r>
            <w:r>
              <w:rPr>
                <w:rFonts w:asciiTheme="majorHAnsi" w:hAnsiTheme="majorHAnsi"/>
                <w:sz w:val="18"/>
                <w:szCs w:val="22"/>
              </w:rPr>
              <w:t xml:space="preserve">. Refer </w:t>
            </w:r>
            <w:r w:rsidRPr="001E4DE1">
              <w:rPr>
                <w:rFonts w:asciiTheme="majorHAnsi" w:hAnsiTheme="majorHAnsi"/>
                <w:i/>
                <w:sz w:val="18"/>
                <w:szCs w:val="22"/>
              </w:rPr>
              <w:t xml:space="preserve">Section </w:t>
            </w:r>
            <w:r w:rsidRPr="0023014D">
              <w:rPr>
                <w:rFonts w:asciiTheme="majorHAnsi" w:hAnsiTheme="majorHAnsi"/>
                <w:i/>
                <w:sz w:val="18"/>
                <w:szCs w:val="22"/>
              </w:rPr>
              <w:t>3.4</w:t>
            </w:r>
            <w:r>
              <w:rPr>
                <w:rFonts w:asciiTheme="majorHAnsi" w:hAnsiTheme="majorHAnsi"/>
                <w:sz w:val="18"/>
                <w:szCs w:val="22"/>
              </w:rPr>
              <w:t xml:space="preserve"> for further details.</w:t>
            </w:r>
          </w:p>
        </w:tc>
      </w:tr>
      <w:tr w:rsidR="002F4981" w:rsidRPr="008C4425" w14:paraId="2AD58B7C" w14:textId="77777777" w:rsidTr="00A81E96">
        <w:trPr>
          <w:trHeight w:val="342"/>
        </w:trPr>
        <w:tc>
          <w:tcPr>
            <w:tcW w:w="2219" w:type="dxa"/>
          </w:tcPr>
          <w:p w14:paraId="3BEC8956"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HVAC&amp;R</w:t>
            </w:r>
          </w:p>
        </w:tc>
        <w:tc>
          <w:tcPr>
            <w:tcW w:w="7273" w:type="dxa"/>
          </w:tcPr>
          <w:p w14:paraId="7C5D8573" w14:textId="060F14A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 xml:space="preserve">Heating, </w:t>
            </w:r>
            <w:r w:rsidR="00066CDA">
              <w:rPr>
                <w:rFonts w:asciiTheme="majorHAnsi" w:hAnsiTheme="majorHAnsi"/>
                <w:sz w:val="18"/>
                <w:szCs w:val="22"/>
              </w:rPr>
              <w:t>v</w:t>
            </w:r>
            <w:r w:rsidRPr="008C4425">
              <w:rPr>
                <w:rFonts w:asciiTheme="majorHAnsi" w:hAnsiTheme="majorHAnsi"/>
                <w:sz w:val="18"/>
                <w:szCs w:val="22"/>
              </w:rPr>
              <w:t>entilati</w:t>
            </w:r>
            <w:r w:rsidR="00066CDA">
              <w:rPr>
                <w:rFonts w:asciiTheme="majorHAnsi" w:hAnsiTheme="majorHAnsi"/>
                <w:sz w:val="18"/>
                <w:szCs w:val="22"/>
              </w:rPr>
              <w:t>on</w:t>
            </w:r>
            <w:r w:rsidRPr="008C4425">
              <w:rPr>
                <w:rFonts w:asciiTheme="majorHAnsi" w:hAnsiTheme="majorHAnsi"/>
                <w:sz w:val="18"/>
                <w:szCs w:val="22"/>
              </w:rPr>
              <w:t xml:space="preserve">, </w:t>
            </w:r>
            <w:r w:rsidR="00066CDA">
              <w:rPr>
                <w:rFonts w:asciiTheme="majorHAnsi" w:hAnsiTheme="majorHAnsi"/>
                <w:sz w:val="18"/>
                <w:szCs w:val="22"/>
              </w:rPr>
              <w:t>a</w:t>
            </w:r>
            <w:r w:rsidRPr="008C4425">
              <w:rPr>
                <w:rFonts w:asciiTheme="majorHAnsi" w:hAnsiTheme="majorHAnsi"/>
                <w:sz w:val="18"/>
                <w:szCs w:val="22"/>
              </w:rPr>
              <w:t xml:space="preserve">ir </w:t>
            </w:r>
            <w:r w:rsidR="00066CDA">
              <w:rPr>
                <w:rFonts w:asciiTheme="majorHAnsi" w:hAnsiTheme="majorHAnsi"/>
                <w:sz w:val="18"/>
                <w:szCs w:val="22"/>
              </w:rPr>
              <w:t>c</w:t>
            </w:r>
            <w:r w:rsidRPr="008C4425">
              <w:rPr>
                <w:rFonts w:asciiTheme="majorHAnsi" w:hAnsiTheme="majorHAnsi"/>
                <w:sz w:val="18"/>
                <w:szCs w:val="22"/>
              </w:rPr>
              <w:t xml:space="preserve">onditioning and </w:t>
            </w:r>
            <w:r w:rsidR="00066CDA">
              <w:rPr>
                <w:rFonts w:asciiTheme="majorHAnsi" w:hAnsiTheme="majorHAnsi"/>
                <w:sz w:val="18"/>
                <w:szCs w:val="22"/>
              </w:rPr>
              <w:t>r</w:t>
            </w:r>
            <w:r w:rsidRPr="008C4425">
              <w:rPr>
                <w:rFonts w:asciiTheme="majorHAnsi" w:hAnsiTheme="majorHAnsi"/>
                <w:sz w:val="18"/>
                <w:szCs w:val="22"/>
              </w:rPr>
              <w:t>efrigeration</w:t>
            </w:r>
          </w:p>
        </w:tc>
      </w:tr>
      <w:tr w:rsidR="002F4981" w:rsidRPr="008C4425" w14:paraId="25AE3A57" w14:textId="77777777" w:rsidTr="00A81E96">
        <w:trPr>
          <w:trHeight w:val="342"/>
        </w:trPr>
        <w:tc>
          <w:tcPr>
            <w:tcW w:w="2219" w:type="dxa"/>
          </w:tcPr>
          <w:p w14:paraId="5D54CD84"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Indirect emissions</w:t>
            </w:r>
          </w:p>
        </w:tc>
        <w:tc>
          <w:tcPr>
            <w:tcW w:w="7273" w:type="dxa"/>
          </w:tcPr>
          <w:p w14:paraId="195D2702" w14:textId="0B97F7DA" w:rsidR="002F4981" w:rsidRPr="008C4425" w:rsidRDefault="009A1408" w:rsidP="009A1408">
            <w:pPr>
              <w:pStyle w:val="BodyText"/>
              <w:spacing w:before="60" w:after="60"/>
              <w:rPr>
                <w:rFonts w:asciiTheme="majorHAnsi" w:hAnsiTheme="majorHAnsi"/>
                <w:sz w:val="18"/>
                <w:szCs w:val="22"/>
              </w:rPr>
            </w:pPr>
            <w:r>
              <w:rPr>
                <w:rFonts w:asciiTheme="majorHAnsi" w:hAnsiTheme="majorHAnsi"/>
                <w:sz w:val="18"/>
                <w:szCs w:val="22"/>
                <w:lang w:val="en-AU"/>
              </w:rPr>
              <w:t>T</w:t>
            </w:r>
            <w:r w:rsidR="002F4981" w:rsidRPr="008C4425">
              <w:rPr>
                <w:rFonts w:asciiTheme="majorHAnsi" w:hAnsiTheme="majorHAnsi"/>
                <w:sz w:val="18"/>
                <w:szCs w:val="22"/>
                <w:lang w:val="en-AU"/>
              </w:rPr>
              <w:t>he CO</w:t>
            </w:r>
            <w:r w:rsidR="002F4981" w:rsidRPr="008C4425">
              <w:rPr>
                <w:rFonts w:asciiTheme="majorHAnsi" w:hAnsiTheme="majorHAnsi"/>
                <w:sz w:val="18"/>
                <w:szCs w:val="22"/>
                <w:vertAlign w:val="subscript"/>
                <w:lang w:val="en-AU"/>
              </w:rPr>
              <w:t>2</w:t>
            </w:r>
            <w:r w:rsidR="002F4981" w:rsidRPr="008C4425">
              <w:rPr>
                <w:rFonts w:asciiTheme="majorHAnsi" w:hAnsiTheme="majorHAnsi"/>
                <w:sz w:val="18"/>
                <w:szCs w:val="22"/>
                <w:lang w:val="en-AU"/>
              </w:rPr>
              <w:t xml:space="preserve"> emitted as the result of the generation of the electrical energy required to operate electrical equipment, sometimes also referred to as ‘energy related emissions.’</w:t>
            </w:r>
          </w:p>
        </w:tc>
      </w:tr>
      <w:tr w:rsidR="002F4981" w:rsidRPr="008C4425" w14:paraId="4A67FC93" w14:textId="77777777" w:rsidTr="00A81E96">
        <w:trPr>
          <w:trHeight w:val="342"/>
        </w:trPr>
        <w:tc>
          <w:tcPr>
            <w:tcW w:w="2219" w:type="dxa"/>
          </w:tcPr>
          <w:p w14:paraId="2800E171" w14:textId="77777777" w:rsidR="002F4981" w:rsidRPr="008C4425" w:rsidRDefault="002F4981" w:rsidP="00F129EC">
            <w:pPr>
              <w:pStyle w:val="BodyText"/>
              <w:spacing w:before="60" w:after="60"/>
              <w:jc w:val="left"/>
              <w:rPr>
                <w:rFonts w:asciiTheme="majorHAnsi" w:hAnsiTheme="majorHAnsi"/>
                <w:sz w:val="18"/>
                <w:szCs w:val="22"/>
                <w:lang w:val="en-AU"/>
              </w:rPr>
            </w:pPr>
            <w:r w:rsidRPr="008C4425">
              <w:rPr>
                <w:rFonts w:asciiTheme="majorHAnsi" w:hAnsiTheme="majorHAnsi"/>
                <w:sz w:val="18"/>
                <w:szCs w:val="22"/>
              </w:rPr>
              <w:t>Indirect emission factor</w:t>
            </w:r>
          </w:p>
        </w:tc>
        <w:tc>
          <w:tcPr>
            <w:tcW w:w="7273" w:type="dxa"/>
          </w:tcPr>
          <w:p w14:paraId="44D56A9E" w14:textId="7BCE5395" w:rsidR="002F4981" w:rsidRPr="008C4425" w:rsidRDefault="002F4981" w:rsidP="00F129EC">
            <w:pPr>
              <w:pStyle w:val="BodyText"/>
              <w:spacing w:before="60" w:after="60"/>
              <w:rPr>
                <w:rFonts w:asciiTheme="majorHAnsi" w:hAnsiTheme="majorHAnsi"/>
                <w:sz w:val="18"/>
                <w:szCs w:val="22"/>
                <w:lang w:val="en-AU"/>
              </w:rPr>
            </w:pPr>
            <w:r w:rsidRPr="008C4425">
              <w:rPr>
                <w:rFonts w:asciiTheme="majorHAnsi" w:hAnsiTheme="majorHAnsi"/>
                <w:sz w:val="18"/>
                <w:szCs w:val="22"/>
              </w:rPr>
              <w:t>The indirect or CO</w:t>
            </w:r>
            <w:r w:rsidRPr="008C4425">
              <w:rPr>
                <w:rFonts w:asciiTheme="majorHAnsi" w:hAnsiTheme="majorHAnsi"/>
                <w:sz w:val="18"/>
                <w:szCs w:val="22"/>
                <w:vertAlign w:val="subscript"/>
              </w:rPr>
              <w:t>2</w:t>
            </w:r>
            <w:r w:rsidRPr="008C4425">
              <w:rPr>
                <w:rFonts w:asciiTheme="majorHAnsi" w:hAnsiTheme="majorHAnsi"/>
                <w:sz w:val="18"/>
                <w:szCs w:val="22"/>
              </w:rPr>
              <w:t xml:space="preserve"> emission factor is the mass of CO</w:t>
            </w:r>
            <w:r w:rsidRPr="008C4425">
              <w:rPr>
                <w:rFonts w:asciiTheme="majorHAnsi" w:hAnsiTheme="majorHAnsi"/>
                <w:sz w:val="18"/>
                <w:szCs w:val="22"/>
                <w:vertAlign w:val="subscript"/>
              </w:rPr>
              <w:t>2</w:t>
            </w:r>
            <w:r w:rsidRPr="008C4425">
              <w:rPr>
                <w:rFonts w:asciiTheme="majorHAnsi" w:hAnsiTheme="majorHAnsi"/>
                <w:sz w:val="18"/>
                <w:szCs w:val="22"/>
              </w:rPr>
              <w:t xml:space="preserve"> emitted by the power generator per kWh of electrical power supplied to the refrigeration installation taking in</w:t>
            </w:r>
            <w:r w:rsidR="00E13F35">
              <w:rPr>
                <w:rFonts w:asciiTheme="majorHAnsi" w:hAnsiTheme="majorHAnsi"/>
                <w:sz w:val="18"/>
                <w:szCs w:val="22"/>
              </w:rPr>
              <w:t>to account</w:t>
            </w:r>
            <w:r w:rsidRPr="008C4425">
              <w:rPr>
                <w:rFonts w:asciiTheme="majorHAnsi" w:hAnsiTheme="majorHAnsi"/>
                <w:sz w:val="18"/>
                <w:szCs w:val="22"/>
              </w:rPr>
              <w:t xml:space="preserve"> efficiency losses in generation and distribution.</w:t>
            </w:r>
          </w:p>
        </w:tc>
      </w:tr>
      <w:tr w:rsidR="006338C2" w:rsidRPr="008C4425" w14:paraId="3B89FF2C" w14:textId="77777777" w:rsidTr="00A81E96">
        <w:trPr>
          <w:trHeight w:val="342"/>
        </w:trPr>
        <w:tc>
          <w:tcPr>
            <w:tcW w:w="2219" w:type="dxa"/>
          </w:tcPr>
          <w:p w14:paraId="38CACB8B" w14:textId="3067C408" w:rsidR="006338C2" w:rsidRPr="00373E19" w:rsidRDefault="006338C2" w:rsidP="00F129EC">
            <w:pPr>
              <w:pStyle w:val="BodyText"/>
              <w:spacing w:before="60" w:after="60"/>
              <w:jc w:val="left"/>
              <w:rPr>
                <w:rFonts w:asciiTheme="majorHAnsi" w:hAnsiTheme="majorHAnsi"/>
                <w:sz w:val="18"/>
                <w:szCs w:val="22"/>
              </w:rPr>
            </w:pPr>
            <w:r w:rsidRPr="00373E19">
              <w:rPr>
                <w:rFonts w:asciiTheme="majorHAnsi" w:hAnsiTheme="majorHAnsi"/>
                <w:sz w:val="18"/>
                <w:szCs w:val="22"/>
              </w:rPr>
              <w:t>Kigali Ame</w:t>
            </w:r>
            <w:r w:rsidR="00632AB1">
              <w:rPr>
                <w:rFonts w:asciiTheme="majorHAnsi" w:hAnsiTheme="majorHAnsi"/>
                <w:sz w:val="18"/>
                <w:szCs w:val="22"/>
              </w:rPr>
              <w:t>n</w:t>
            </w:r>
            <w:r w:rsidRPr="00373E19">
              <w:rPr>
                <w:rFonts w:asciiTheme="majorHAnsi" w:hAnsiTheme="majorHAnsi"/>
                <w:sz w:val="18"/>
                <w:szCs w:val="22"/>
              </w:rPr>
              <w:t>dment</w:t>
            </w:r>
          </w:p>
        </w:tc>
        <w:tc>
          <w:tcPr>
            <w:tcW w:w="7273" w:type="dxa"/>
          </w:tcPr>
          <w:p w14:paraId="56EF75E0" w14:textId="74E1B4BF" w:rsidR="006338C2" w:rsidRPr="00373E19" w:rsidRDefault="006338C2">
            <w:pPr>
              <w:pStyle w:val="BodyText"/>
              <w:spacing w:before="60" w:after="60"/>
              <w:rPr>
                <w:rFonts w:asciiTheme="majorHAnsi" w:hAnsiTheme="majorHAnsi"/>
                <w:sz w:val="18"/>
                <w:szCs w:val="22"/>
              </w:rPr>
            </w:pPr>
            <w:r w:rsidRPr="00373E19">
              <w:rPr>
                <w:rFonts w:asciiTheme="majorHAnsi" w:hAnsiTheme="majorHAnsi"/>
                <w:sz w:val="18"/>
                <w:szCs w:val="22"/>
              </w:rPr>
              <w:t>The Kigali Amendment to the Montreal Protocol</w:t>
            </w:r>
            <w:r w:rsidR="008F4BC0">
              <w:rPr>
                <w:rFonts w:asciiTheme="majorHAnsi" w:hAnsiTheme="majorHAnsi"/>
                <w:sz w:val="18"/>
                <w:szCs w:val="22"/>
              </w:rPr>
              <w:t xml:space="preserve"> agrees a phase-down of HFC production and</w:t>
            </w:r>
            <w:r w:rsidR="00C908F0">
              <w:rPr>
                <w:rFonts w:asciiTheme="majorHAnsi" w:hAnsiTheme="majorHAnsi"/>
                <w:sz w:val="18"/>
                <w:szCs w:val="22"/>
              </w:rPr>
              <w:t xml:space="preserve"> </w:t>
            </w:r>
            <w:r w:rsidR="008F4BC0">
              <w:rPr>
                <w:rFonts w:asciiTheme="majorHAnsi" w:hAnsiTheme="majorHAnsi"/>
                <w:sz w:val="18"/>
                <w:szCs w:val="22"/>
              </w:rPr>
              <w:t>imports starting from 1 January 2019.</w:t>
            </w:r>
          </w:p>
        </w:tc>
      </w:tr>
      <w:tr w:rsidR="002F4981" w:rsidRPr="008C4425" w14:paraId="5D531F86" w14:textId="77777777" w:rsidTr="00A81E96">
        <w:trPr>
          <w:trHeight w:val="342"/>
        </w:trPr>
        <w:tc>
          <w:tcPr>
            <w:tcW w:w="2219" w:type="dxa"/>
          </w:tcPr>
          <w:p w14:paraId="125170B1"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kWr</w:t>
            </w:r>
          </w:p>
        </w:tc>
        <w:tc>
          <w:tcPr>
            <w:tcW w:w="7273" w:type="dxa"/>
          </w:tcPr>
          <w:p w14:paraId="595CEF3F" w14:textId="6F265827" w:rsidR="002F4981" w:rsidRPr="008C4425" w:rsidRDefault="00FE5E3A" w:rsidP="00F129EC">
            <w:pPr>
              <w:pStyle w:val="BodyText"/>
              <w:spacing w:before="60" w:after="60"/>
              <w:rPr>
                <w:rFonts w:asciiTheme="majorHAnsi" w:hAnsiTheme="majorHAnsi"/>
                <w:sz w:val="18"/>
                <w:szCs w:val="22"/>
              </w:rPr>
            </w:pPr>
            <w:r w:rsidRPr="008C4425">
              <w:rPr>
                <w:rFonts w:asciiTheme="majorHAnsi" w:hAnsiTheme="majorHAnsi"/>
                <w:sz w:val="18"/>
                <w:szCs w:val="22"/>
              </w:rPr>
              <w:t>Refers to kilowatts of refrigeration capacity whereas kW relates to kilowatts of electrical power.</w:t>
            </w:r>
          </w:p>
        </w:tc>
      </w:tr>
      <w:tr w:rsidR="002F4981" w:rsidRPr="008C4425" w14:paraId="1F7BA51A" w14:textId="77777777" w:rsidTr="00A81E96">
        <w:trPr>
          <w:trHeight w:val="342"/>
        </w:trPr>
        <w:tc>
          <w:tcPr>
            <w:tcW w:w="2219" w:type="dxa"/>
          </w:tcPr>
          <w:p w14:paraId="58ED3723"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KWh</w:t>
            </w:r>
          </w:p>
        </w:tc>
        <w:tc>
          <w:tcPr>
            <w:tcW w:w="7273" w:type="dxa"/>
          </w:tcPr>
          <w:p w14:paraId="1F69234B"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 xml:space="preserve">Kilowatt hour </w:t>
            </w:r>
            <w:r w:rsidRPr="008C4425">
              <w:rPr>
                <w:rFonts w:asciiTheme="majorHAnsi" w:hAnsiTheme="majorHAnsi"/>
                <w:sz w:val="18"/>
              </w:rPr>
              <w:t>(1 watt hour x 10</w:t>
            </w:r>
            <w:r w:rsidRPr="008C4425">
              <w:rPr>
                <w:rFonts w:asciiTheme="majorHAnsi" w:hAnsiTheme="majorHAnsi"/>
                <w:sz w:val="18"/>
                <w:vertAlign w:val="superscript"/>
              </w:rPr>
              <w:t>3</w:t>
            </w:r>
            <w:r w:rsidRPr="008C4425">
              <w:rPr>
                <w:rFonts w:asciiTheme="majorHAnsi" w:hAnsiTheme="majorHAnsi"/>
                <w:sz w:val="18"/>
              </w:rPr>
              <w:t>).</w:t>
            </w:r>
          </w:p>
        </w:tc>
      </w:tr>
      <w:tr w:rsidR="002F4981" w:rsidRPr="008C4425" w14:paraId="04AC131F" w14:textId="77777777" w:rsidTr="00A81E96">
        <w:trPr>
          <w:trHeight w:val="342"/>
        </w:trPr>
        <w:tc>
          <w:tcPr>
            <w:tcW w:w="2219" w:type="dxa"/>
          </w:tcPr>
          <w:p w14:paraId="65799A67"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Kyoto Protocol</w:t>
            </w:r>
          </w:p>
        </w:tc>
        <w:tc>
          <w:tcPr>
            <w:tcW w:w="7273" w:type="dxa"/>
          </w:tcPr>
          <w:p w14:paraId="052557F5" w14:textId="600C2DFA" w:rsidR="002F4981" w:rsidRPr="008C4425" w:rsidRDefault="002F4981">
            <w:pPr>
              <w:pStyle w:val="BodyText"/>
              <w:spacing w:before="60" w:after="60"/>
              <w:rPr>
                <w:rFonts w:asciiTheme="majorHAnsi" w:hAnsiTheme="majorHAnsi"/>
                <w:sz w:val="18"/>
                <w:szCs w:val="22"/>
              </w:rPr>
            </w:pPr>
            <w:r w:rsidRPr="00215A98">
              <w:rPr>
                <w:rFonts w:asciiTheme="majorHAnsi" w:hAnsiTheme="majorHAnsi"/>
                <w:sz w:val="18"/>
                <w:szCs w:val="22"/>
              </w:rPr>
              <w:t xml:space="preserve">The Kyoto Protocol sets binding emissions limits for the </w:t>
            </w:r>
            <w:r w:rsidR="005271BB">
              <w:rPr>
                <w:rFonts w:asciiTheme="majorHAnsi" w:hAnsiTheme="majorHAnsi"/>
                <w:sz w:val="18"/>
                <w:szCs w:val="22"/>
              </w:rPr>
              <w:t>seven</w:t>
            </w:r>
            <w:r w:rsidR="005271BB" w:rsidRPr="00215A98">
              <w:rPr>
                <w:rFonts w:asciiTheme="majorHAnsi" w:hAnsiTheme="majorHAnsi"/>
                <w:sz w:val="18"/>
                <w:szCs w:val="22"/>
              </w:rPr>
              <w:t xml:space="preserve"> </w:t>
            </w:r>
            <w:r w:rsidRPr="00215A98">
              <w:rPr>
                <w:rFonts w:asciiTheme="majorHAnsi" w:hAnsiTheme="majorHAnsi"/>
                <w:sz w:val="18"/>
                <w:szCs w:val="22"/>
              </w:rPr>
              <w:t>greenhouse gases listed in the Protocol.</w:t>
            </w:r>
            <w:r>
              <w:rPr>
                <w:rFonts w:asciiTheme="majorHAnsi" w:hAnsiTheme="majorHAnsi"/>
                <w:sz w:val="18"/>
                <w:szCs w:val="22"/>
              </w:rPr>
              <w:t xml:space="preserve"> </w:t>
            </w:r>
            <w:r w:rsidRPr="008C4425">
              <w:rPr>
                <w:rFonts w:asciiTheme="majorHAnsi" w:hAnsiTheme="majorHAnsi"/>
                <w:sz w:val="18"/>
                <w:szCs w:val="22"/>
              </w:rPr>
              <w:t xml:space="preserve">The Australian Government </w:t>
            </w:r>
            <w:r w:rsidR="00C2253E">
              <w:rPr>
                <w:rFonts w:asciiTheme="majorHAnsi" w:hAnsiTheme="majorHAnsi"/>
                <w:sz w:val="18"/>
                <w:szCs w:val="22"/>
              </w:rPr>
              <w:t>ha</w:t>
            </w:r>
            <w:r w:rsidRPr="008C4425">
              <w:rPr>
                <w:rFonts w:asciiTheme="majorHAnsi" w:hAnsiTheme="majorHAnsi"/>
                <w:sz w:val="18"/>
                <w:szCs w:val="22"/>
              </w:rPr>
              <w:t xml:space="preserve">s committed to reducing emissions of the </w:t>
            </w:r>
            <w:r w:rsidR="005271BB">
              <w:rPr>
                <w:rFonts w:asciiTheme="majorHAnsi" w:hAnsiTheme="majorHAnsi"/>
                <w:sz w:val="18"/>
                <w:szCs w:val="22"/>
              </w:rPr>
              <w:t>seven</w:t>
            </w:r>
            <w:r w:rsidR="005271BB" w:rsidRPr="008C4425">
              <w:rPr>
                <w:rFonts w:asciiTheme="majorHAnsi" w:hAnsiTheme="majorHAnsi"/>
                <w:sz w:val="18"/>
                <w:szCs w:val="22"/>
              </w:rPr>
              <w:t xml:space="preserve"> </w:t>
            </w:r>
            <w:r w:rsidRPr="008C4425">
              <w:rPr>
                <w:rFonts w:asciiTheme="majorHAnsi" w:hAnsiTheme="majorHAnsi"/>
                <w:sz w:val="18"/>
                <w:szCs w:val="22"/>
              </w:rPr>
              <w:t>main greenhouse gases, which includes the synthetic greenhouse gases (SGGs) listed under the Kyoto Protocol, including hydrofluorocarbons (HFCs), perfluorocarbons (PFCs)</w:t>
            </w:r>
            <w:r w:rsidR="005F4E72">
              <w:rPr>
                <w:rFonts w:asciiTheme="majorHAnsi" w:hAnsiTheme="majorHAnsi"/>
                <w:sz w:val="18"/>
                <w:szCs w:val="22"/>
              </w:rPr>
              <w:t>,</w:t>
            </w:r>
            <w:r w:rsidRPr="008C4425">
              <w:rPr>
                <w:rFonts w:asciiTheme="majorHAnsi" w:hAnsiTheme="majorHAnsi"/>
                <w:sz w:val="18"/>
                <w:szCs w:val="22"/>
              </w:rPr>
              <w:t xml:space="preserve"> sulfur hexafluoride (SF</w:t>
            </w:r>
            <w:r w:rsidRPr="008C4425">
              <w:rPr>
                <w:rFonts w:asciiTheme="majorHAnsi" w:hAnsiTheme="majorHAnsi"/>
                <w:sz w:val="18"/>
                <w:szCs w:val="22"/>
                <w:vertAlign w:val="subscript"/>
              </w:rPr>
              <w:t>6</w:t>
            </w:r>
            <w:r w:rsidRPr="008C4425">
              <w:rPr>
                <w:rFonts w:asciiTheme="majorHAnsi" w:hAnsiTheme="majorHAnsi"/>
                <w:sz w:val="18"/>
                <w:szCs w:val="22"/>
              </w:rPr>
              <w:t>)</w:t>
            </w:r>
            <w:r w:rsidR="005F4E72">
              <w:rPr>
                <w:rFonts w:asciiTheme="majorHAnsi" w:hAnsiTheme="majorHAnsi"/>
                <w:sz w:val="18"/>
                <w:szCs w:val="22"/>
              </w:rPr>
              <w:t xml:space="preserve"> and nitrogen trifluoride</w:t>
            </w:r>
            <w:r w:rsidRPr="008C4425">
              <w:rPr>
                <w:rFonts w:asciiTheme="majorHAnsi" w:hAnsiTheme="majorHAnsi"/>
                <w:sz w:val="18"/>
                <w:szCs w:val="22"/>
              </w:rPr>
              <w:t xml:space="preserve">. </w:t>
            </w:r>
          </w:p>
        </w:tc>
      </w:tr>
      <w:tr w:rsidR="002F4981" w:rsidRPr="008C4425" w14:paraId="727373E7" w14:textId="77777777" w:rsidTr="00A81E96">
        <w:trPr>
          <w:trHeight w:val="342"/>
        </w:trPr>
        <w:tc>
          <w:tcPr>
            <w:tcW w:w="2219" w:type="dxa"/>
          </w:tcPr>
          <w:p w14:paraId="586639D1"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Lifespan</w:t>
            </w:r>
          </w:p>
        </w:tc>
        <w:tc>
          <w:tcPr>
            <w:tcW w:w="7273" w:type="dxa"/>
          </w:tcPr>
          <w:p w14:paraId="64C4F18C"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Lifespan is the expected useful life of the equipment in years.</w:t>
            </w:r>
          </w:p>
        </w:tc>
      </w:tr>
      <w:tr w:rsidR="002F4981" w:rsidRPr="008C4425" w14:paraId="42BDFD3D" w14:textId="77777777" w:rsidTr="00A81E96">
        <w:trPr>
          <w:trHeight w:val="342"/>
        </w:trPr>
        <w:tc>
          <w:tcPr>
            <w:tcW w:w="2219" w:type="dxa"/>
          </w:tcPr>
          <w:p w14:paraId="52326246" w14:textId="5EC9E16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 xml:space="preserve">Low GWP </w:t>
            </w:r>
            <w:r w:rsidR="008F7D76">
              <w:rPr>
                <w:rFonts w:asciiTheme="majorHAnsi" w:hAnsiTheme="majorHAnsi"/>
                <w:sz w:val="18"/>
                <w:szCs w:val="22"/>
              </w:rPr>
              <w:t xml:space="preserve">substances or </w:t>
            </w:r>
            <w:r w:rsidRPr="008C4425">
              <w:rPr>
                <w:rFonts w:asciiTheme="majorHAnsi" w:hAnsiTheme="majorHAnsi"/>
                <w:sz w:val="18"/>
                <w:szCs w:val="22"/>
              </w:rPr>
              <w:t>refrigerants</w:t>
            </w:r>
          </w:p>
        </w:tc>
        <w:tc>
          <w:tcPr>
            <w:tcW w:w="7273" w:type="dxa"/>
          </w:tcPr>
          <w:p w14:paraId="71F0ECEC" w14:textId="66C23625" w:rsidR="002F4981" w:rsidRPr="008C4425" w:rsidRDefault="00FE5E3A" w:rsidP="0052701D">
            <w:pPr>
              <w:pStyle w:val="BodyText"/>
              <w:spacing w:before="60" w:after="60"/>
              <w:rPr>
                <w:rFonts w:asciiTheme="majorHAnsi" w:hAnsiTheme="majorHAnsi"/>
                <w:sz w:val="18"/>
                <w:szCs w:val="22"/>
              </w:rPr>
            </w:pPr>
            <w:r>
              <w:rPr>
                <w:rFonts w:asciiTheme="majorHAnsi" w:hAnsiTheme="majorHAnsi"/>
                <w:sz w:val="18"/>
              </w:rPr>
              <w:t>For the purposes of this</w:t>
            </w:r>
            <w:r w:rsidR="00C16BDF">
              <w:rPr>
                <w:rFonts w:asciiTheme="majorHAnsi" w:hAnsiTheme="majorHAnsi"/>
                <w:sz w:val="18"/>
              </w:rPr>
              <w:t xml:space="preserve"> report</w:t>
            </w:r>
            <w:r>
              <w:rPr>
                <w:rFonts w:asciiTheme="majorHAnsi" w:hAnsiTheme="majorHAnsi"/>
                <w:sz w:val="18"/>
              </w:rPr>
              <w:t xml:space="preserve"> t</w:t>
            </w:r>
            <w:r w:rsidRPr="00207145">
              <w:rPr>
                <w:rFonts w:asciiTheme="majorHAnsi" w:hAnsiTheme="majorHAnsi"/>
                <w:sz w:val="18"/>
                <w:szCs w:val="22"/>
              </w:rPr>
              <w:t>his term is used to refer to refrigerants with a GWP of less than or equal</w:t>
            </w:r>
            <w:r>
              <w:rPr>
                <w:rFonts w:asciiTheme="majorHAnsi" w:hAnsiTheme="majorHAnsi"/>
                <w:sz w:val="18"/>
                <w:szCs w:val="22"/>
              </w:rPr>
              <w:t xml:space="preserve"> </w:t>
            </w:r>
            <w:r w:rsidRPr="00207145">
              <w:rPr>
                <w:rFonts w:asciiTheme="majorHAnsi" w:hAnsiTheme="majorHAnsi"/>
                <w:sz w:val="18"/>
                <w:szCs w:val="22"/>
              </w:rPr>
              <w:t>to 10, including the 'natural' refrigeran</w:t>
            </w:r>
            <w:r>
              <w:rPr>
                <w:rFonts w:asciiTheme="majorHAnsi" w:hAnsiTheme="majorHAnsi"/>
                <w:sz w:val="18"/>
                <w:szCs w:val="22"/>
              </w:rPr>
              <w:t>ts (CO</w:t>
            </w:r>
            <w:r w:rsidRPr="00EF2FC1">
              <w:rPr>
                <w:rFonts w:asciiTheme="majorHAnsi" w:hAnsiTheme="majorHAnsi"/>
                <w:sz w:val="18"/>
                <w:vertAlign w:val="subscript"/>
              </w:rPr>
              <w:t>2</w:t>
            </w:r>
            <w:r>
              <w:rPr>
                <w:rFonts w:asciiTheme="majorHAnsi" w:hAnsiTheme="majorHAnsi"/>
                <w:sz w:val="18"/>
                <w:szCs w:val="22"/>
              </w:rPr>
              <w:t>, ammonia, hydrocarbons)</w:t>
            </w:r>
            <w:r w:rsidRPr="00207145">
              <w:rPr>
                <w:rFonts w:asciiTheme="majorHAnsi" w:hAnsiTheme="majorHAnsi"/>
                <w:sz w:val="18"/>
                <w:szCs w:val="22"/>
              </w:rPr>
              <w:t>,</w:t>
            </w:r>
            <w:r>
              <w:rPr>
                <w:rFonts w:asciiTheme="majorHAnsi" w:hAnsiTheme="majorHAnsi"/>
                <w:sz w:val="18"/>
                <w:szCs w:val="22"/>
              </w:rPr>
              <w:t xml:space="preserve"> </w:t>
            </w:r>
            <w:r w:rsidRPr="00207145">
              <w:rPr>
                <w:rFonts w:asciiTheme="majorHAnsi" w:hAnsiTheme="majorHAnsi"/>
                <w:sz w:val="18"/>
                <w:szCs w:val="22"/>
              </w:rPr>
              <w:t>and the newly commercial HFOs sometimes referred to as low GWP HFCs</w:t>
            </w:r>
            <w:r>
              <w:rPr>
                <w:rFonts w:asciiTheme="majorHAnsi" w:hAnsiTheme="majorHAnsi"/>
                <w:sz w:val="18"/>
                <w:szCs w:val="22"/>
              </w:rPr>
              <w:t>. R</w:t>
            </w:r>
            <w:r w:rsidRPr="00207145">
              <w:rPr>
                <w:rFonts w:asciiTheme="majorHAnsi" w:hAnsiTheme="majorHAnsi"/>
                <w:sz w:val="18"/>
                <w:szCs w:val="22"/>
              </w:rPr>
              <w:t>efer to</w:t>
            </w:r>
            <w:r>
              <w:rPr>
                <w:rFonts w:asciiTheme="majorHAnsi" w:hAnsiTheme="majorHAnsi"/>
                <w:sz w:val="18"/>
                <w:szCs w:val="22"/>
              </w:rPr>
              <w:t xml:space="preserve"> </w:t>
            </w:r>
            <w:r w:rsidRPr="00207145">
              <w:rPr>
                <w:rFonts w:asciiTheme="majorHAnsi" w:hAnsiTheme="majorHAnsi"/>
                <w:sz w:val="18"/>
                <w:szCs w:val="22"/>
              </w:rPr>
              <w:t>the definition</w:t>
            </w:r>
            <w:r>
              <w:rPr>
                <w:rFonts w:asciiTheme="majorHAnsi" w:hAnsiTheme="majorHAnsi"/>
                <w:sz w:val="18"/>
                <w:szCs w:val="22"/>
              </w:rPr>
              <w:t>s</w:t>
            </w:r>
            <w:r w:rsidRPr="00207145">
              <w:rPr>
                <w:rFonts w:asciiTheme="majorHAnsi" w:hAnsiTheme="majorHAnsi"/>
                <w:sz w:val="18"/>
                <w:szCs w:val="22"/>
              </w:rPr>
              <w:t xml:space="preserve"> for High GWP Refrigerants and Reduced GWP Refrigerants.</w:t>
            </w:r>
          </w:p>
        </w:tc>
      </w:tr>
      <w:tr w:rsidR="002F4981" w:rsidRPr="008C4425" w14:paraId="59CB3FA0" w14:textId="77777777" w:rsidTr="00A81E96">
        <w:trPr>
          <w:trHeight w:val="342"/>
        </w:trPr>
        <w:tc>
          <w:tcPr>
            <w:tcW w:w="2219" w:type="dxa"/>
          </w:tcPr>
          <w:p w14:paraId="0DA8EF65"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Low temperature refrigeration</w:t>
            </w:r>
          </w:p>
        </w:tc>
        <w:tc>
          <w:tcPr>
            <w:tcW w:w="7273" w:type="dxa"/>
          </w:tcPr>
          <w:p w14:paraId="24F4AE30" w14:textId="06B0CEAB" w:rsidR="002F4981" w:rsidRPr="008C4425" w:rsidRDefault="002F4981">
            <w:pPr>
              <w:pStyle w:val="BodyText"/>
              <w:spacing w:before="60" w:after="60"/>
              <w:rPr>
                <w:rFonts w:asciiTheme="majorHAnsi" w:hAnsiTheme="majorHAnsi"/>
                <w:sz w:val="18"/>
                <w:szCs w:val="22"/>
              </w:rPr>
            </w:pPr>
            <w:r w:rsidRPr="008C4425">
              <w:rPr>
                <w:rFonts w:asciiTheme="majorHAnsi" w:hAnsiTheme="majorHAnsi"/>
                <w:sz w:val="18"/>
                <w:szCs w:val="22"/>
              </w:rPr>
              <w:t>Temperatures below 0</w:t>
            </w:r>
            <w:r w:rsidRPr="008C4425">
              <w:rPr>
                <w:rFonts w:asciiTheme="majorHAnsi" w:hAnsiTheme="majorHAnsi"/>
                <w:sz w:val="18"/>
                <w:szCs w:val="22"/>
                <w:vertAlign w:val="superscript"/>
              </w:rPr>
              <w:t>o</w:t>
            </w:r>
            <w:r w:rsidRPr="008C4425">
              <w:rPr>
                <w:rFonts w:asciiTheme="majorHAnsi" w:hAnsiTheme="majorHAnsi"/>
                <w:sz w:val="18"/>
                <w:szCs w:val="22"/>
              </w:rPr>
              <w:t>C.</w:t>
            </w:r>
          </w:p>
        </w:tc>
      </w:tr>
      <w:tr w:rsidR="002F4981" w:rsidRPr="008C4425" w14:paraId="3B1B1587" w14:textId="77777777" w:rsidTr="00A81E96">
        <w:trPr>
          <w:trHeight w:val="342"/>
        </w:trPr>
        <w:tc>
          <w:tcPr>
            <w:tcW w:w="2219" w:type="dxa"/>
          </w:tcPr>
          <w:p w14:paraId="6554D54F" w14:textId="77777777" w:rsidR="002F4981" w:rsidRPr="00DA4BD9" w:rsidRDefault="002F4981" w:rsidP="00F129EC">
            <w:pPr>
              <w:pStyle w:val="BodyText"/>
              <w:spacing w:before="60" w:after="60"/>
              <w:jc w:val="left"/>
              <w:rPr>
                <w:rFonts w:asciiTheme="majorHAnsi" w:hAnsiTheme="majorHAnsi"/>
                <w:sz w:val="18"/>
                <w:szCs w:val="22"/>
              </w:rPr>
            </w:pPr>
            <w:r w:rsidRPr="00DA4BD9">
              <w:rPr>
                <w:rFonts w:asciiTheme="majorHAnsi" w:hAnsiTheme="majorHAnsi"/>
                <w:sz w:val="18"/>
                <w:szCs w:val="22"/>
              </w:rPr>
              <w:t>Minimum energy performance standards (MEPS)</w:t>
            </w:r>
          </w:p>
        </w:tc>
        <w:tc>
          <w:tcPr>
            <w:tcW w:w="7273" w:type="dxa"/>
          </w:tcPr>
          <w:p w14:paraId="02881F08" w14:textId="4E4CAA1C" w:rsidR="002F4981" w:rsidRPr="00DA4BD9" w:rsidRDefault="00586265" w:rsidP="00844BC3">
            <w:pPr>
              <w:pStyle w:val="BodyText"/>
              <w:spacing w:before="60" w:after="60"/>
              <w:rPr>
                <w:rFonts w:asciiTheme="majorHAnsi" w:hAnsiTheme="majorHAnsi"/>
                <w:sz w:val="18"/>
                <w:szCs w:val="22"/>
              </w:rPr>
            </w:pPr>
            <w:r>
              <w:rPr>
                <w:rFonts w:asciiTheme="majorHAnsi" w:hAnsiTheme="majorHAnsi"/>
                <w:sz w:val="18"/>
                <w:szCs w:val="22"/>
              </w:rPr>
              <w:t xml:space="preserve">The </w:t>
            </w:r>
            <w:r w:rsidRPr="00586265">
              <w:rPr>
                <w:rFonts w:asciiTheme="majorHAnsi" w:hAnsiTheme="majorHAnsi"/>
                <w:sz w:val="18"/>
                <w:szCs w:val="22"/>
              </w:rPr>
              <w:t>Minimum Energy Performance Standard is a specification, containing a number of performance requirements for energy-using device</w:t>
            </w:r>
            <w:r>
              <w:rPr>
                <w:rFonts w:asciiTheme="majorHAnsi" w:hAnsiTheme="majorHAnsi"/>
                <w:sz w:val="18"/>
                <w:szCs w:val="22"/>
              </w:rPr>
              <w:t>s</w:t>
            </w:r>
            <w:r w:rsidRPr="00586265">
              <w:rPr>
                <w:rFonts w:asciiTheme="majorHAnsi" w:hAnsiTheme="majorHAnsi"/>
                <w:sz w:val="18"/>
                <w:szCs w:val="22"/>
              </w:rPr>
              <w:t xml:space="preserve"> that effectively limits the maximum amount of energy that may be consumed by a product in performing a specified task.</w:t>
            </w:r>
            <w:r w:rsidR="00844BC3">
              <w:rPr>
                <w:rFonts w:asciiTheme="majorHAnsi" w:hAnsiTheme="majorHAnsi"/>
                <w:sz w:val="18"/>
                <w:szCs w:val="22"/>
              </w:rPr>
              <w:t xml:space="preserve"> MEPS is regulated under the Greenhouse and Energy Minimum Standards Act 2012 and</w:t>
            </w:r>
            <w:r w:rsidR="00C2253E">
              <w:rPr>
                <w:rFonts w:asciiTheme="majorHAnsi" w:hAnsiTheme="majorHAnsi"/>
                <w:sz w:val="18"/>
                <w:szCs w:val="22"/>
              </w:rPr>
              <w:t xml:space="preserve"> in the RAC sector</w:t>
            </w:r>
            <w:r w:rsidR="00844BC3">
              <w:rPr>
                <w:rFonts w:asciiTheme="majorHAnsi" w:hAnsiTheme="majorHAnsi"/>
                <w:sz w:val="18"/>
                <w:szCs w:val="22"/>
              </w:rPr>
              <w:t xml:space="preserve"> covers </w:t>
            </w:r>
            <w:r w:rsidR="002F4981" w:rsidRPr="00DA4BD9">
              <w:rPr>
                <w:rFonts w:asciiTheme="majorHAnsi" w:hAnsiTheme="majorHAnsi"/>
                <w:sz w:val="18"/>
                <w:szCs w:val="22"/>
              </w:rPr>
              <w:t xml:space="preserve">domestic refrigerators, refrigerated display cases, and </w:t>
            </w:r>
            <w:r w:rsidR="00844BC3">
              <w:rPr>
                <w:rFonts w:asciiTheme="majorHAnsi" w:hAnsiTheme="majorHAnsi"/>
                <w:sz w:val="18"/>
                <w:szCs w:val="22"/>
              </w:rPr>
              <w:t xml:space="preserve">most </w:t>
            </w:r>
            <w:r w:rsidR="002F4981" w:rsidRPr="00DA4BD9">
              <w:rPr>
                <w:rFonts w:asciiTheme="majorHAnsi" w:hAnsiTheme="majorHAnsi"/>
                <w:sz w:val="18"/>
                <w:szCs w:val="22"/>
              </w:rPr>
              <w:t xml:space="preserve">air conditioners (excluding </w:t>
            </w:r>
            <w:r w:rsidR="00E1589F">
              <w:rPr>
                <w:rFonts w:asciiTheme="majorHAnsi" w:hAnsiTheme="majorHAnsi"/>
                <w:sz w:val="18"/>
                <w:szCs w:val="22"/>
              </w:rPr>
              <w:t xml:space="preserve">single duct </w:t>
            </w:r>
            <w:r w:rsidR="002F4981" w:rsidRPr="00DA4BD9">
              <w:rPr>
                <w:rFonts w:asciiTheme="majorHAnsi" w:hAnsiTheme="majorHAnsi"/>
                <w:sz w:val="18"/>
                <w:szCs w:val="22"/>
              </w:rPr>
              <w:t xml:space="preserve">portable, </w:t>
            </w:r>
            <w:r w:rsidR="00E1589F">
              <w:rPr>
                <w:rFonts w:asciiTheme="majorHAnsi" w:hAnsiTheme="majorHAnsi"/>
                <w:sz w:val="18"/>
                <w:szCs w:val="22"/>
              </w:rPr>
              <w:t xml:space="preserve">spot coolers, </w:t>
            </w:r>
            <w:r w:rsidR="00844BC3">
              <w:rPr>
                <w:rFonts w:asciiTheme="majorHAnsi" w:hAnsiTheme="majorHAnsi"/>
                <w:sz w:val="18"/>
                <w:szCs w:val="22"/>
              </w:rPr>
              <w:t xml:space="preserve">and </w:t>
            </w:r>
            <w:r w:rsidR="002F4981" w:rsidRPr="00DA4BD9">
              <w:rPr>
                <w:rFonts w:asciiTheme="majorHAnsi" w:hAnsiTheme="majorHAnsi"/>
                <w:sz w:val="18"/>
                <w:szCs w:val="22"/>
              </w:rPr>
              <w:t>chillers below 350</w:t>
            </w:r>
            <w:r w:rsidR="00E1589F">
              <w:rPr>
                <w:rFonts w:asciiTheme="majorHAnsi" w:hAnsiTheme="majorHAnsi"/>
                <w:sz w:val="18"/>
                <w:szCs w:val="22"/>
              </w:rPr>
              <w:t xml:space="preserve"> </w:t>
            </w:r>
            <w:r w:rsidR="002F4981" w:rsidRPr="00DA4BD9">
              <w:rPr>
                <w:rFonts w:asciiTheme="majorHAnsi" w:hAnsiTheme="majorHAnsi"/>
                <w:sz w:val="18"/>
                <w:szCs w:val="22"/>
              </w:rPr>
              <w:t>kWr).</w:t>
            </w:r>
          </w:p>
        </w:tc>
      </w:tr>
      <w:tr w:rsidR="002F4981" w:rsidRPr="008C4425" w14:paraId="03430D15" w14:textId="77777777" w:rsidTr="00A81E96">
        <w:trPr>
          <w:trHeight w:val="342"/>
        </w:trPr>
        <w:tc>
          <w:tcPr>
            <w:tcW w:w="2219" w:type="dxa"/>
          </w:tcPr>
          <w:p w14:paraId="1915A88D"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Montreal Protocol</w:t>
            </w:r>
          </w:p>
        </w:tc>
        <w:tc>
          <w:tcPr>
            <w:tcW w:w="7273" w:type="dxa"/>
          </w:tcPr>
          <w:p w14:paraId="6EEFDECB" w14:textId="0079941D" w:rsidR="002F4981" w:rsidRPr="008C4425" w:rsidRDefault="002F4981">
            <w:pPr>
              <w:pStyle w:val="BodyText"/>
              <w:spacing w:before="60" w:after="60"/>
              <w:rPr>
                <w:rFonts w:asciiTheme="majorHAnsi" w:hAnsiTheme="majorHAnsi"/>
                <w:sz w:val="18"/>
                <w:szCs w:val="22"/>
              </w:rPr>
            </w:pPr>
            <w:r w:rsidRPr="008C4425">
              <w:rPr>
                <w:rFonts w:asciiTheme="majorHAnsi" w:hAnsiTheme="majorHAnsi"/>
                <w:sz w:val="18"/>
                <w:szCs w:val="22"/>
              </w:rPr>
              <w:t xml:space="preserve">The Montreal Protocol </w:t>
            </w:r>
            <w:r w:rsidRPr="00215A98">
              <w:rPr>
                <w:rFonts w:asciiTheme="majorHAnsi" w:hAnsiTheme="majorHAnsi"/>
                <w:sz w:val="18"/>
                <w:szCs w:val="22"/>
              </w:rPr>
              <w:t xml:space="preserve">on Substances that Deplete the Ozone Layer </w:t>
            </w:r>
            <w:r w:rsidRPr="008C4425">
              <w:rPr>
                <w:rFonts w:asciiTheme="majorHAnsi" w:hAnsiTheme="majorHAnsi"/>
                <w:sz w:val="18"/>
                <w:szCs w:val="22"/>
              </w:rPr>
              <w:t xml:space="preserve">sets binding obligations for </w:t>
            </w:r>
            <w:r w:rsidR="005271BB">
              <w:rPr>
                <w:rFonts w:asciiTheme="majorHAnsi" w:hAnsiTheme="majorHAnsi"/>
                <w:sz w:val="18"/>
                <w:szCs w:val="22"/>
              </w:rPr>
              <w:t>all</w:t>
            </w:r>
            <w:r w:rsidRPr="008C4425">
              <w:rPr>
                <w:rFonts w:asciiTheme="majorHAnsi" w:hAnsiTheme="majorHAnsi"/>
                <w:sz w:val="18"/>
                <w:szCs w:val="22"/>
              </w:rPr>
              <w:t xml:space="preserve"> countries </w:t>
            </w:r>
            <w:r w:rsidR="005271BB">
              <w:rPr>
                <w:rFonts w:asciiTheme="majorHAnsi" w:hAnsiTheme="majorHAnsi"/>
                <w:sz w:val="18"/>
                <w:szCs w:val="22"/>
              </w:rPr>
              <w:t xml:space="preserve">to phase out </w:t>
            </w:r>
            <w:r w:rsidR="00573DA1">
              <w:rPr>
                <w:rFonts w:asciiTheme="majorHAnsi" w:hAnsiTheme="majorHAnsi"/>
                <w:sz w:val="18"/>
                <w:szCs w:val="22"/>
              </w:rPr>
              <w:t xml:space="preserve">import and production of </w:t>
            </w:r>
            <w:r w:rsidR="005271BB">
              <w:rPr>
                <w:rFonts w:asciiTheme="majorHAnsi" w:hAnsiTheme="majorHAnsi"/>
                <w:sz w:val="18"/>
                <w:szCs w:val="22"/>
              </w:rPr>
              <w:t>ozone depleting substances and phase-down obligations for HFCs.</w:t>
            </w:r>
          </w:p>
        </w:tc>
      </w:tr>
      <w:tr w:rsidR="002F4981" w:rsidRPr="008C4425" w14:paraId="01F7FAF4" w14:textId="77777777" w:rsidTr="00A81E96">
        <w:trPr>
          <w:trHeight w:val="342"/>
        </w:trPr>
        <w:tc>
          <w:tcPr>
            <w:tcW w:w="2219" w:type="dxa"/>
          </w:tcPr>
          <w:p w14:paraId="3E599181" w14:textId="3D6A0065"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lastRenderedPageBreak/>
              <w:t>Natural refrigerants</w:t>
            </w:r>
          </w:p>
        </w:tc>
        <w:tc>
          <w:tcPr>
            <w:tcW w:w="7273" w:type="dxa"/>
          </w:tcPr>
          <w:p w14:paraId="0D2FE885"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Hydrocarbons (R600a, R290 and R436), ammonia (R717) and carbon dioxide (R744) are commonly referred to as natural refrigerants. The term ‘natural’ implies the origin of the fluids as they occur in nature as a result of geological and/or biological processes, unlike fluorinated substances that are synthesised chemicals. However it has to be noted that all ‘natural’ refrigerants are refined and compressed by bulk gas manufacturers via some process and transported like other commercial gases so also have an ‘energy investment’ in their creation, storage and transport.</w:t>
            </w:r>
          </w:p>
        </w:tc>
      </w:tr>
      <w:tr w:rsidR="002F4981" w:rsidRPr="008C4425" w14:paraId="38403A01" w14:textId="77777777" w:rsidTr="00A81E96">
        <w:trPr>
          <w:trHeight w:val="342"/>
        </w:trPr>
        <w:tc>
          <w:tcPr>
            <w:tcW w:w="2219" w:type="dxa"/>
          </w:tcPr>
          <w:p w14:paraId="216324CE" w14:textId="43EC8FFB" w:rsidR="00E66410"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Operating hours per year</w:t>
            </w:r>
          </w:p>
        </w:tc>
        <w:tc>
          <w:tcPr>
            <w:tcW w:w="7273" w:type="dxa"/>
          </w:tcPr>
          <w:p w14:paraId="7387B539" w14:textId="1E1D7495" w:rsidR="00E66410"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rPr>
              <w:t>The number of hours the appliance, equipment or system operates at full input load or maximum capacity.</w:t>
            </w:r>
          </w:p>
        </w:tc>
      </w:tr>
      <w:tr w:rsidR="002F4981" w:rsidRPr="008C4425" w14:paraId="1388DEB1" w14:textId="77777777" w:rsidTr="00A81E96">
        <w:trPr>
          <w:trHeight w:val="342"/>
        </w:trPr>
        <w:tc>
          <w:tcPr>
            <w:tcW w:w="2219" w:type="dxa"/>
          </w:tcPr>
          <w:p w14:paraId="12FDFA3A"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Ozone depleting substances (ODS)</w:t>
            </w:r>
          </w:p>
        </w:tc>
        <w:tc>
          <w:tcPr>
            <w:tcW w:w="7273" w:type="dxa"/>
          </w:tcPr>
          <w:p w14:paraId="34754FF3" w14:textId="2539D2E7" w:rsidR="002F4981" w:rsidRPr="008C4425" w:rsidRDefault="006553C6" w:rsidP="00F129EC">
            <w:pPr>
              <w:pStyle w:val="BodyText"/>
              <w:spacing w:before="60" w:after="60"/>
              <w:rPr>
                <w:rFonts w:asciiTheme="majorHAnsi" w:hAnsiTheme="majorHAnsi"/>
                <w:sz w:val="18"/>
                <w:szCs w:val="22"/>
              </w:rPr>
            </w:pPr>
            <w:r w:rsidRPr="003C63AC">
              <w:rPr>
                <w:rFonts w:asciiTheme="majorHAnsi" w:hAnsiTheme="majorHAnsi"/>
                <w:sz w:val="18"/>
                <w:szCs w:val="22"/>
              </w:rPr>
              <w:t>Chemicals that deplete the ozone layer (e.g. HCFCs</w:t>
            </w:r>
            <w:r w:rsidRPr="00602C64">
              <w:rPr>
                <w:rFonts w:asciiTheme="majorHAnsi" w:hAnsiTheme="majorHAnsi"/>
                <w:sz w:val="18"/>
                <w:szCs w:val="22"/>
              </w:rPr>
              <w:t>)</w:t>
            </w:r>
            <w:r>
              <w:rPr>
                <w:rFonts w:asciiTheme="majorHAnsi" w:hAnsiTheme="majorHAnsi"/>
                <w:sz w:val="18"/>
                <w:szCs w:val="22"/>
              </w:rPr>
              <w:t xml:space="preserve"> and</w:t>
            </w:r>
            <w:r w:rsidR="00C2253E">
              <w:rPr>
                <w:rFonts w:asciiTheme="majorHAnsi" w:hAnsiTheme="majorHAnsi"/>
                <w:sz w:val="18"/>
                <w:szCs w:val="22"/>
              </w:rPr>
              <w:t xml:space="preserve"> are</w:t>
            </w:r>
            <w:r>
              <w:rPr>
                <w:rFonts w:asciiTheme="majorHAnsi" w:hAnsiTheme="majorHAnsi"/>
                <w:sz w:val="18"/>
                <w:szCs w:val="22"/>
              </w:rPr>
              <w:t xml:space="preserve"> controlled under the Montreal Protocol</w:t>
            </w:r>
            <w:r w:rsidRPr="00602C64">
              <w:rPr>
                <w:rFonts w:asciiTheme="majorHAnsi" w:hAnsiTheme="majorHAnsi"/>
                <w:sz w:val="18"/>
                <w:szCs w:val="22"/>
              </w:rPr>
              <w:t>.</w:t>
            </w:r>
            <w:r w:rsidRPr="00602C64">
              <w:rPr>
                <w:rFonts w:asciiTheme="majorHAnsi" w:hAnsiTheme="majorHAnsi"/>
                <w:sz w:val="19"/>
                <w:szCs w:val="19"/>
              </w:rPr>
              <w:t xml:space="preserve"> The </w:t>
            </w:r>
            <w:hyperlink r:id="rId17" w:history="1">
              <w:r w:rsidRPr="00602C64">
                <w:rPr>
                  <w:rStyle w:val="Emphasis"/>
                  <w:rFonts w:asciiTheme="majorHAnsi" w:hAnsiTheme="majorHAnsi"/>
                  <w:color w:val="0062A0"/>
                  <w:sz w:val="19"/>
                  <w:szCs w:val="19"/>
                  <w:u w:val="single"/>
                </w:rPr>
                <w:t>Ozone Protection and Synthetic Greenhouse Gas Management Act 1989</w:t>
              </w:r>
            </w:hyperlink>
            <w:r w:rsidRPr="00602C64">
              <w:rPr>
                <w:rFonts w:asciiTheme="majorHAnsi" w:hAnsiTheme="majorHAnsi"/>
                <w:sz w:val="19"/>
                <w:szCs w:val="19"/>
              </w:rPr>
              <w:t xml:space="preserve"> controls the manufacture, import and export of ozone depleting substances in Australia.</w:t>
            </w:r>
          </w:p>
        </w:tc>
      </w:tr>
      <w:tr w:rsidR="002F4981" w:rsidRPr="008C4425" w14:paraId="1B755D16" w14:textId="77777777" w:rsidTr="00A81E96">
        <w:trPr>
          <w:trHeight w:val="342"/>
        </w:trPr>
        <w:tc>
          <w:tcPr>
            <w:tcW w:w="2219" w:type="dxa"/>
          </w:tcPr>
          <w:p w14:paraId="04D3F5BC"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PJ</w:t>
            </w:r>
          </w:p>
        </w:tc>
        <w:tc>
          <w:tcPr>
            <w:tcW w:w="7273" w:type="dxa"/>
          </w:tcPr>
          <w:p w14:paraId="5286E112" w14:textId="70A4CF41"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lang w:val="en-AU"/>
              </w:rPr>
              <w:t>Petajoule (1 Joule x 10</w:t>
            </w:r>
            <w:r w:rsidRPr="008C4425">
              <w:rPr>
                <w:rFonts w:asciiTheme="majorHAnsi" w:hAnsiTheme="majorHAnsi"/>
                <w:sz w:val="18"/>
                <w:szCs w:val="22"/>
                <w:vertAlign w:val="superscript"/>
                <w:lang w:val="en-AU"/>
              </w:rPr>
              <w:t>15</w:t>
            </w:r>
            <w:r w:rsidRPr="008C4425">
              <w:rPr>
                <w:rFonts w:asciiTheme="majorHAnsi" w:hAnsiTheme="majorHAnsi"/>
                <w:sz w:val="18"/>
                <w:szCs w:val="22"/>
                <w:lang w:val="en-AU"/>
              </w:rPr>
              <w:t>).</w:t>
            </w:r>
          </w:p>
        </w:tc>
      </w:tr>
      <w:tr w:rsidR="002F4981" w:rsidRPr="008C4425" w14:paraId="6B24D7D2" w14:textId="77777777" w:rsidTr="00A81E96">
        <w:trPr>
          <w:trHeight w:val="342"/>
        </w:trPr>
        <w:tc>
          <w:tcPr>
            <w:tcW w:w="2219" w:type="dxa"/>
          </w:tcPr>
          <w:p w14:paraId="0080DDE7"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Pre-charged equipment (PCE)</w:t>
            </w:r>
          </w:p>
        </w:tc>
        <w:tc>
          <w:tcPr>
            <w:tcW w:w="7273" w:type="dxa"/>
          </w:tcPr>
          <w:p w14:paraId="6ACD9047" w14:textId="151348E9" w:rsidR="002F4981" w:rsidRPr="008C4425" w:rsidRDefault="002F4981" w:rsidP="00403FC8">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Pre-charged equipment is defined as </w:t>
            </w:r>
            <w:r w:rsidR="00403FC8">
              <w:rPr>
                <w:rFonts w:asciiTheme="majorHAnsi" w:hAnsiTheme="majorHAnsi"/>
                <w:sz w:val="18"/>
                <w:szCs w:val="22"/>
                <w:lang w:val="en-AU"/>
              </w:rPr>
              <w:t xml:space="preserve">any equipment, primarily </w:t>
            </w:r>
            <w:r w:rsidRPr="008C4425">
              <w:rPr>
                <w:rFonts w:asciiTheme="majorHAnsi" w:hAnsiTheme="majorHAnsi"/>
                <w:sz w:val="18"/>
                <w:szCs w:val="22"/>
                <w:lang w:val="en-AU"/>
              </w:rPr>
              <w:t>air conditioning equipment or refrigeration equipment</w:t>
            </w:r>
            <w:r w:rsidR="00403FC8">
              <w:rPr>
                <w:rFonts w:asciiTheme="majorHAnsi" w:hAnsiTheme="majorHAnsi"/>
                <w:sz w:val="18"/>
                <w:szCs w:val="22"/>
                <w:lang w:val="en-AU"/>
              </w:rPr>
              <w:t>,</w:t>
            </w:r>
            <w:r w:rsidRPr="008C4425">
              <w:rPr>
                <w:rFonts w:asciiTheme="majorHAnsi" w:hAnsiTheme="majorHAnsi"/>
                <w:sz w:val="18"/>
                <w:szCs w:val="22"/>
                <w:lang w:val="en-AU"/>
              </w:rPr>
              <w:t xml:space="preserve"> (including equipment fitted to a motor vehicle) that </w:t>
            </w:r>
            <w:r>
              <w:rPr>
                <w:rFonts w:asciiTheme="majorHAnsi" w:hAnsiTheme="majorHAnsi"/>
                <w:sz w:val="18"/>
                <w:szCs w:val="22"/>
                <w:lang w:val="en-AU"/>
              </w:rPr>
              <w:t xml:space="preserve">is imported </w:t>
            </w:r>
            <w:r w:rsidRPr="008C4425">
              <w:rPr>
                <w:rFonts w:asciiTheme="majorHAnsi" w:hAnsiTheme="majorHAnsi"/>
                <w:sz w:val="18"/>
                <w:szCs w:val="22"/>
                <w:lang w:val="en-AU"/>
              </w:rPr>
              <w:t>contain</w:t>
            </w:r>
            <w:r>
              <w:rPr>
                <w:rFonts w:asciiTheme="majorHAnsi" w:hAnsiTheme="majorHAnsi"/>
                <w:sz w:val="18"/>
                <w:szCs w:val="22"/>
                <w:lang w:val="en-AU"/>
              </w:rPr>
              <w:t>ing</w:t>
            </w:r>
            <w:r w:rsidRPr="008C4425">
              <w:rPr>
                <w:rFonts w:asciiTheme="majorHAnsi" w:hAnsiTheme="majorHAnsi"/>
                <w:sz w:val="18"/>
                <w:szCs w:val="22"/>
                <w:lang w:val="en-AU"/>
              </w:rPr>
              <w:t xml:space="preserve"> </w:t>
            </w:r>
            <w:r w:rsidR="00FE74F2" w:rsidRPr="008C4425">
              <w:rPr>
                <w:rFonts w:asciiTheme="majorHAnsi" w:hAnsiTheme="majorHAnsi"/>
                <w:sz w:val="18"/>
                <w:szCs w:val="22"/>
                <w:lang w:val="en-AU"/>
              </w:rPr>
              <w:t>a</w:t>
            </w:r>
            <w:r w:rsidR="00403FC8">
              <w:rPr>
                <w:rFonts w:asciiTheme="majorHAnsi" w:hAnsiTheme="majorHAnsi"/>
                <w:sz w:val="18"/>
                <w:szCs w:val="22"/>
                <w:lang w:val="en-AU"/>
              </w:rPr>
              <w:t xml:space="preserve"> SGG</w:t>
            </w:r>
            <w:r w:rsidR="00A842ED">
              <w:rPr>
                <w:rFonts w:asciiTheme="majorHAnsi" w:hAnsiTheme="majorHAnsi"/>
                <w:sz w:val="18"/>
                <w:szCs w:val="22"/>
                <w:lang w:val="en-AU"/>
              </w:rPr>
              <w:t xml:space="preserve"> and any air conditioning or refrigeration equipment that is imported containing a HCFC</w:t>
            </w:r>
            <w:r w:rsidRPr="008C4425">
              <w:rPr>
                <w:rFonts w:asciiTheme="majorHAnsi" w:hAnsiTheme="majorHAnsi"/>
                <w:sz w:val="18"/>
                <w:szCs w:val="22"/>
                <w:lang w:val="en-AU"/>
              </w:rPr>
              <w:t>.</w:t>
            </w:r>
          </w:p>
        </w:tc>
      </w:tr>
      <w:tr w:rsidR="002F4981" w:rsidRPr="008C4425" w14:paraId="48416857" w14:textId="77777777" w:rsidTr="00A81E96">
        <w:trPr>
          <w:trHeight w:val="342"/>
        </w:trPr>
        <w:tc>
          <w:tcPr>
            <w:tcW w:w="2219" w:type="dxa"/>
          </w:tcPr>
          <w:p w14:paraId="7F788B8C"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rPr>
              <w:t>RAC</w:t>
            </w:r>
          </w:p>
        </w:tc>
        <w:tc>
          <w:tcPr>
            <w:tcW w:w="7273" w:type="dxa"/>
          </w:tcPr>
          <w:p w14:paraId="4E8E683A"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lang w:val="en-AU"/>
              </w:rPr>
              <w:t>Refrigeration and air conditioning.</w:t>
            </w:r>
          </w:p>
        </w:tc>
      </w:tr>
      <w:tr w:rsidR="009A385C" w:rsidRPr="008C4425" w14:paraId="0EB8B83A" w14:textId="77777777" w:rsidTr="00A81E96">
        <w:trPr>
          <w:trHeight w:val="342"/>
        </w:trPr>
        <w:tc>
          <w:tcPr>
            <w:tcW w:w="2219" w:type="dxa"/>
          </w:tcPr>
          <w:p w14:paraId="1BAD9C40" w14:textId="21027D52" w:rsidR="009A385C" w:rsidRPr="008C4425" w:rsidRDefault="00C45435" w:rsidP="00F129E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RAC Stock model</w:t>
            </w:r>
          </w:p>
        </w:tc>
        <w:tc>
          <w:tcPr>
            <w:tcW w:w="7273" w:type="dxa"/>
          </w:tcPr>
          <w:p w14:paraId="6E50040F" w14:textId="6E95BCC1" w:rsidR="00EF3862" w:rsidRPr="008C4425" w:rsidRDefault="009A385C" w:rsidP="00C2253E">
            <w:pPr>
              <w:pStyle w:val="BodyText"/>
              <w:spacing w:before="60" w:after="0"/>
              <w:rPr>
                <w:rFonts w:asciiTheme="majorHAnsi" w:hAnsiTheme="majorHAnsi"/>
                <w:sz w:val="18"/>
                <w:szCs w:val="22"/>
                <w:lang w:val="en-AU"/>
              </w:rPr>
            </w:pPr>
            <w:r>
              <w:rPr>
                <w:rFonts w:asciiTheme="majorHAnsi" w:hAnsiTheme="majorHAnsi"/>
                <w:sz w:val="18"/>
                <w:szCs w:val="22"/>
                <w:lang w:val="en-AU"/>
              </w:rPr>
              <w:t xml:space="preserve">The </w:t>
            </w:r>
            <w:r w:rsidRPr="009A385C">
              <w:rPr>
                <w:rFonts w:asciiTheme="majorHAnsi" w:hAnsiTheme="majorHAnsi"/>
                <w:sz w:val="18"/>
                <w:szCs w:val="22"/>
                <w:lang w:val="en-AU"/>
              </w:rPr>
              <w:t>Expert Group RAC Stock Model</w:t>
            </w:r>
            <w:r>
              <w:rPr>
                <w:rFonts w:asciiTheme="majorHAnsi" w:hAnsiTheme="majorHAnsi"/>
                <w:sz w:val="18"/>
                <w:szCs w:val="22"/>
                <w:lang w:val="en-AU"/>
              </w:rPr>
              <w:t xml:space="preserve"> is an a</w:t>
            </w:r>
            <w:r w:rsidRPr="009A385C">
              <w:rPr>
                <w:rFonts w:asciiTheme="majorHAnsi" w:hAnsiTheme="majorHAnsi"/>
                <w:sz w:val="18"/>
                <w:szCs w:val="22"/>
                <w:lang w:val="en-AU"/>
              </w:rPr>
              <w:t>ge-</w:t>
            </w:r>
            <w:r>
              <w:rPr>
                <w:rFonts w:asciiTheme="majorHAnsi" w:hAnsiTheme="majorHAnsi"/>
                <w:sz w:val="18"/>
                <w:szCs w:val="22"/>
                <w:lang w:val="en-AU"/>
              </w:rPr>
              <w:t>c</w:t>
            </w:r>
            <w:r w:rsidRPr="009A385C">
              <w:rPr>
                <w:rFonts w:asciiTheme="majorHAnsi" w:hAnsiTheme="majorHAnsi"/>
                <w:sz w:val="18"/>
                <w:szCs w:val="22"/>
                <w:lang w:val="en-AU"/>
              </w:rPr>
              <w:t xml:space="preserve">ohort </w:t>
            </w:r>
            <w:r>
              <w:rPr>
                <w:rFonts w:asciiTheme="majorHAnsi" w:hAnsiTheme="majorHAnsi"/>
                <w:sz w:val="18"/>
                <w:szCs w:val="22"/>
                <w:lang w:val="en-AU"/>
              </w:rPr>
              <w:t>m</w:t>
            </w:r>
            <w:r w:rsidRPr="009A385C">
              <w:rPr>
                <w:rFonts w:asciiTheme="majorHAnsi" w:hAnsiTheme="majorHAnsi"/>
                <w:sz w:val="18"/>
                <w:szCs w:val="22"/>
                <w:lang w:val="en-AU"/>
              </w:rPr>
              <w:t xml:space="preserve">ass </w:t>
            </w:r>
            <w:r>
              <w:rPr>
                <w:rFonts w:asciiTheme="majorHAnsi" w:hAnsiTheme="majorHAnsi"/>
                <w:sz w:val="18"/>
                <w:szCs w:val="22"/>
                <w:lang w:val="en-AU"/>
              </w:rPr>
              <w:t>b</w:t>
            </w:r>
            <w:r w:rsidRPr="009A385C">
              <w:rPr>
                <w:rFonts w:asciiTheme="majorHAnsi" w:hAnsiTheme="majorHAnsi"/>
                <w:sz w:val="18"/>
                <w:szCs w:val="22"/>
                <w:lang w:val="en-AU"/>
              </w:rPr>
              <w:t>alance</w:t>
            </w:r>
            <w:r w:rsidR="000B6359">
              <w:rPr>
                <w:rFonts w:asciiTheme="majorHAnsi" w:hAnsiTheme="majorHAnsi"/>
                <w:sz w:val="18"/>
                <w:szCs w:val="22"/>
                <w:lang w:val="en-AU"/>
              </w:rPr>
              <w:t xml:space="preserve"> stock model. Inputs include b</w:t>
            </w:r>
            <w:r w:rsidRPr="009A385C">
              <w:rPr>
                <w:rFonts w:asciiTheme="majorHAnsi" w:hAnsiTheme="majorHAnsi"/>
                <w:sz w:val="18"/>
                <w:szCs w:val="22"/>
                <w:lang w:val="en-AU"/>
              </w:rPr>
              <w:t>ulk imports by HFC and HCFC species since 2005</w:t>
            </w:r>
            <w:r w:rsidR="000B6359">
              <w:rPr>
                <w:rFonts w:asciiTheme="majorHAnsi" w:hAnsiTheme="majorHAnsi"/>
                <w:sz w:val="18"/>
                <w:szCs w:val="22"/>
                <w:lang w:val="en-AU"/>
              </w:rPr>
              <w:t xml:space="preserve">; </w:t>
            </w:r>
            <w:r w:rsidR="00C2253E">
              <w:rPr>
                <w:rFonts w:asciiTheme="majorHAnsi" w:hAnsiTheme="majorHAnsi"/>
                <w:sz w:val="18"/>
                <w:szCs w:val="22"/>
                <w:lang w:val="en-AU"/>
              </w:rPr>
              <w:t>p</w:t>
            </w:r>
            <w:r w:rsidRPr="009A385C">
              <w:rPr>
                <w:rFonts w:asciiTheme="majorHAnsi" w:hAnsiTheme="majorHAnsi"/>
                <w:sz w:val="18"/>
                <w:szCs w:val="22"/>
                <w:lang w:val="en-AU"/>
              </w:rPr>
              <w:t>re-charged equipment (PCE) imports by HFC species by equipment class since 2005</w:t>
            </w:r>
            <w:r w:rsidR="000B6359">
              <w:rPr>
                <w:rFonts w:asciiTheme="majorHAnsi" w:hAnsiTheme="majorHAnsi"/>
                <w:sz w:val="18"/>
                <w:szCs w:val="22"/>
                <w:lang w:val="en-AU"/>
              </w:rPr>
              <w:t xml:space="preserve">; </w:t>
            </w:r>
            <w:r w:rsidRPr="009A385C">
              <w:rPr>
                <w:rFonts w:asciiTheme="majorHAnsi" w:hAnsiTheme="majorHAnsi"/>
                <w:sz w:val="18"/>
                <w:szCs w:val="22"/>
                <w:lang w:val="en-AU"/>
              </w:rPr>
              <w:t>PCE containing HCFCs (largely banned in 2010)</w:t>
            </w:r>
            <w:r w:rsidR="000B6359">
              <w:rPr>
                <w:rFonts w:asciiTheme="majorHAnsi" w:hAnsiTheme="majorHAnsi"/>
                <w:sz w:val="18"/>
                <w:szCs w:val="22"/>
                <w:lang w:val="en-AU"/>
              </w:rPr>
              <w:t xml:space="preserve">; </w:t>
            </w:r>
            <w:r w:rsidR="00C2253E">
              <w:rPr>
                <w:rFonts w:asciiTheme="majorHAnsi" w:hAnsiTheme="majorHAnsi"/>
                <w:sz w:val="18"/>
                <w:szCs w:val="22"/>
                <w:lang w:val="en-AU"/>
              </w:rPr>
              <w:t>m</w:t>
            </w:r>
            <w:r w:rsidRPr="009A385C">
              <w:rPr>
                <w:rFonts w:asciiTheme="majorHAnsi" w:hAnsiTheme="majorHAnsi"/>
                <w:sz w:val="18"/>
                <w:szCs w:val="22"/>
                <w:lang w:val="en-AU"/>
              </w:rPr>
              <w:t>otor vehicle registrations</w:t>
            </w:r>
            <w:r w:rsidR="000B6359">
              <w:rPr>
                <w:rFonts w:asciiTheme="majorHAnsi" w:hAnsiTheme="majorHAnsi"/>
                <w:sz w:val="18"/>
                <w:szCs w:val="22"/>
                <w:lang w:val="en-AU"/>
              </w:rPr>
              <w:t xml:space="preserve">; </w:t>
            </w:r>
            <w:r w:rsidR="00C2253E">
              <w:rPr>
                <w:rFonts w:asciiTheme="majorHAnsi" w:hAnsiTheme="majorHAnsi"/>
                <w:sz w:val="18"/>
                <w:szCs w:val="22"/>
                <w:lang w:val="en-AU"/>
              </w:rPr>
              <w:t>m</w:t>
            </w:r>
            <w:r w:rsidR="000B6359" w:rsidRPr="000B6359">
              <w:rPr>
                <w:rFonts w:asciiTheme="majorHAnsi" w:hAnsiTheme="majorHAnsi"/>
                <w:sz w:val="18"/>
                <w:szCs w:val="22"/>
                <w:lang w:val="en-AU"/>
              </w:rPr>
              <w:t>onthly sales ($ and quantity) of HCFCs and HFCs by species including refrigerant re-use</w:t>
            </w:r>
            <w:r w:rsidR="000B6359">
              <w:rPr>
                <w:rFonts w:asciiTheme="majorHAnsi" w:hAnsiTheme="majorHAnsi"/>
                <w:sz w:val="18"/>
                <w:szCs w:val="22"/>
                <w:lang w:val="en-AU"/>
              </w:rPr>
              <w:t>; e</w:t>
            </w:r>
            <w:r w:rsidR="000B6359" w:rsidRPr="000B6359">
              <w:rPr>
                <w:rFonts w:asciiTheme="majorHAnsi" w:hAnsiTheme="majorHAnsi"/>
                <w:sz w:val="18"/>
                <w:szCs w:val="22"/>
                <w:lang w:val="en-AU"/>
              </w:rPr>
              <w:t>quipment sales data (air conditioning and refrigeration equipment by type)</w:t>
            </w:r>
            <w:r w:rsidR="000B6359">
              <w:rPr>
                <w:rFonts w:asciiTheme="majorHAnsi" w:hAnsiTheme="majorHAnsi"/>
                <w:sz w:val="18"/>
                <w:szCs w:val="22"/>
                <w:lang w:val="en-AU"/>
              </w:rPr>
              <w:t>; data from targeted surveys including u</w:t>
            </w:r>
            <w:r w:rsidR="000B6359" w:rsidRPr="000B6359">
              <w:rPr>
                <w:rFonts w:asciiTheme="majorHAnsi" w:hAnsiTheme="majorHAnsi"/>
                <w:sz w:val="18"/>
                <w:szCs w:val="22"/>
                <w:lang w:val="en-AU"/>
              </w:rPr>
              <w:t xml:space="preserve">sage of HFC-134a in </w:t>
            </w:r>
            <w:r w:rsidR="00C2253E">
              <w:rPr>
                <w:rFonts w:asciiTheme="majorHAnsi" w:hAnsiTheme="majorHAnsi"/>
                <w:sz w:val="18"/>
                <w:szCs w:val="22"/>
                <w:lang w:val="en-AU"/>
              </w:rPr>
              <w:t>m</w:t>
            </w:r>
            <w:r w:rsidR="000B6359" w:rsidRPr="000B6359">
              <w:rPr>
                <w:rFonts w:asciiTheme="majorHAnsi" w:hAnsiTheme="majorHAnsi"/>
                <w:sz w:val="18"/>
                <w:szCs w:val="22"/>
                <w:lang w:val="en-AU"/>
              </w:rPr>
              <w:t>obile AC aftermarket</w:t>
            </w:r>
            <w:r w:rsidR="000B6359">
              <w:rPr>
                <w:rFonts w:asciiTheme="majorHAnsi" w:hAnsiTheme="majorHAnsi"/>
                <w:sz w:val="18"/>
                <w:szCs w:val="22"/>
                <w:lang w:val="en-AU"/>
              </w:rPr>
              <w:t>; a</w:t>
            </w:r>
            <w:r w:rsidR="000B6359" w:rsidRPr="000B6359">
              <w:rPr>
                <w:rFonts w:asciiTheme="majorHAnsi" w:hAnsiTheme="majorHAnsi"/>
                <w:sz w:val="18"/>
                <w:szCs w:val="22"/>
                <w:lang w:val="en-AU"/>
              </w:rPr>
              <w:t>nnual sales of natural refrigerants (HC, CO</w:t>
            </w:r>
            <w:r w:rsidR="000B6359" w:rsidRPr="00EA6C13">
              <w:rPr>
                <w:rFonts w:asciiTheme="majorHAnsi" w:hAnsiTheme="majorHAnsi"/>
                <w:sz w:val="18"/>
                <w:szCs w:val="22"/>
                <w:vertAlign w:val="subscript"/>
                <w:lang w:val="en-AU"/>
              </w:rPr>
              <w:t>2</w:t>
            </w:r>
            <w:r w:rsidR="000B6359" w:rsidRPr="000B6359">
              <w:rPr>
                <w:rFonts w:asciiTheme="majorHAnsi" w:hAnsiTheme="majorHAnsi"/>
                <w:sz w:val="18"/>
                <w:szCs w:val="22"/>
                <w:lang w:val="en-AU"/>
              </w:rPr>
              <w:t xml:space="preserve"> and ammonia) last 5 years</w:t>
            </w:r>
            <w:r w:rsidR="000B6359">
              <w:rPr>
                <w:rFonts w:asciiTheme="majorHAnsi" w:hAnsiTheme="majorHAnsi"/>
                <w:sz w:val="18"/>
                <w:szCs w:val="22"/>
                <w:lang w:val="en-AU"/>
              </w:rPr>
              <w:t>; r</w:t>
            </w:r>
            <w:r w:rsidR="000B6359" w:rsidRPr="000B6359">
              <w:rPr>
                <w:rFonts w:asciiTheme="majorHAnsi" w:hAnsiTheme="majorHAnsi"/>
                <w:sz w:val="18"/>
                <w:szCs w:val="22"/>
                <w:lang w:val="en-AU"/>
              </w:rPr>
              <w:t xml:space="preserve">etail </w:t>
            </w:r>
            <w:r w:rsidR="000B6359">
              <w:rPr>
                <w:rFonts w:asciiTheme="majorHAnsi" w:hAnsiTheme="majorHAnsi"/>
                <w:sz w:val="18"/>
                <w:szCs w:val="22"/>
                <w:lang w:val="en-AU"/>
              </w:rPr>
              <w:t>m</w:t>
            </w:r>
            <w:r w:rsidR="000B6359" w:rsidRPr="000B6359">
              <w:rPr>
                <w:rFonts w:asciiTheme="majorHAnsi" w:hAnsiTheme="majorHAnsi"/>
                <w:sz w:val="18"/>
                <w:szCs w:val="22"/>
                <w:lang w:val="en-AU"/>
              </w:rPr>
              <w:t xml:space="preserve">arket </w:t>
            </w:r>
            <w:r w:rsidR="000B6359">
              <w:rPr>
                <w:rFonts w:asciiTheme="majorHAnsi" w:hAnsiTheme="majorHAnsi"/>
                <w:sz w:val="18"/>
                <w:szCs w:val="22"/>
                <w:lang w:val="en-AU"/>
              </w:rPr>
              <w:t>s</w:t>
            </w:r>
            <w:r w:rsidR="000B6359" w:rsidRPr="000B6359">
              <w:rPr>
                <w:rFonts w:asciiTheme="majorHAnsi" w:hAnsiTheme="majorHAnsi"/>
                <w:sz w:val="18"/>
                <w:szCs w:val="22"/>
                <w:lang w:val="en-AU"/>
              </w:rPr>
              <w:t>urvey of HC in domestic refrigerators on showroom floors</w:t>
            </w:r>
            <w:r w:rsidR="000B6359">
              <w:rPr>
                <w:rFonts w:asciiTheme="majorHAnsi" w:hAnsiTheme="majorHAnsi"/>
                <w:sz w:val="18"/>
                <w:szCs w:val="22"/>
                <w:lang w:val="en-AU"/>
              </w:rPr>
              <w:t>; p</w:t>
            </w:r>
            <w:r w:rsidR="000B6359" w:rsidRPr="000B6359">
              <w:rPr>
                <w:rFonts w:asciiTheme="majorHAnsi" w:hAnsiTheme="majorHAnsi"/>
                <w:sz w:val="18"/>
                <w:szCs w:val="22"/>
                <w:lang w:val="en-AU"/>
              </w:rPr>
              <w:t>enetration of CO</w:t>
            </w:r>
            <w:r w:rsidR="000B6359" w:rsidRPr="000B6359">
              <w:rPr>
                <w:rFonts w:asciiTheme="majorHAnsi" w:hAnsiTheme="majorHAnsi"/>
                <w:sz w:val="18"/>
                <w:szCs w:val="22"/>
                <w:vertAlign w:val="subscript"/>
                <w:lang w:val="en-AU"/>
              </w:rPr>
              <w:t>2</w:t>
            </w:r>
            <w:r w:rsidR="000B6359" w:rsidRPr="000B6359">
              <w:rPr>
                <w:rFonts w:asciiTheme="majorHAnsi" w:hAnsiTheme="majorHAnsi"/>
                <w:sz w:val="18"/>
                <w:szCs w:val="22"/>
                <w:lang w:val="en-AU"/>
              </w:rPr>
              <w:t xml:space="preserve"> in various equipment categories and applications</w:t>
            </w:r>
            <w:r w:rsidR="000B6359">
              <w:rPr>
                <w:rFonts w:asciiTheme="majorHAnsi" w:hAnsiTheme="majorHAnsi"/>
                <w:sz w:val="18"/>
                <w:szCs w:val="22"/>
                <w:lang w:val="en-AU"/>
              </w:rPr>
              <w:t>; and, i</w:t>
            </w:r>
            <w:r w:rsidR="000B6359" w:rsidRPr="000B6359">
              <w:rPr>
                <w:rFonts w:asciiTheme="majorHAnsi" w:hAnsiTheme="majorHAnsi"/>
                <w:sz w:val="18"/>
                <w:szCs w:val="22"/>
                <w:lang w:val="en-AU"/>
              </w:rPr>
              <w:t>n-confidence interviews</w:t>
            </w:r>
            <w:r w:rsidR="000B6359">
              <w:rPr>
                <w:rFonts w:asciiTheme="majorHAnsi" w:hAnsiTheme="majorHAnsi"/>
                <w:sz w:val="18"/>
                <w:szCs w:val="22"/>
                <w:lang w:val="en-AU"/>
              </w:rPr>
              <w:t>.</w:t>
            </w:r>
          </w:p>
        </w:tc>
      </w:tr>
      <w:tr w:rsidR="002F4981" w:rsidRPr="008C4425" w14:paraId="39867C25" w14:textId="77777777" w:rsidTr="00A81E96">
        <w:trPr>
          <w:trHeight w:val="342"/>
        </w:trPr>
        <w:tc>
          <w:tcPr>
            <w:tcW w:w="2219" w:type="dxa"/>
          </w:tcPr>
          <w:p w14:paraId="104CA155"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Recovery efficiency</w:t>
            </w:r>
          </w:p>
        </w:tc>
        <w:tc>
          <w:tcPr>
            <w:tcW w:w="7273" w:type="dxa"/>
          </w:tcPr>
          <w:p w14:paraId="66D5F78B" w14:textId="01771DCC" w:rsidR="002F4981" w:rsidRPr="008C4425" w:rsidRDefault="002F4981" w:rsidP="00C2253E">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Proportion of refrigerant charge that is recovered from a system when it is decommissioned at the end of its useful working life. The </w:t>
            </w:r>
            <w:r w:rsidR="00C2253E">
              <w:rPr>
                <w:rFonts w:asciiTheme="majorHAnsi" w:hAnsiTheme="majorHAnsi"/>
                <w:sz w:val="18"/>
                <w:szCs w:val="22"/>
                <w:lang w:val="en-AU"/>
              </w:rPr>
              <w:t>r</w:t>
            </w:r>
            <w:r w:rsidRPr="008C4425">
              <w:rPr>
                <w:rFonts w:asciiTheme="majorHAnsi" w:hAnsiTheme="majorHAnsi"/>
                <w:sz w:val="18"/>
                <w:szCs w:val="22"/>
                <w:lang w:val="en-AU"/>
              </w:rPr>
              <w:t>ecovery/recycling factor has a value from 0 to 1</w:t>
            </w:r>
            <w:r w:rsidR="00066CDA">
              <w:rPr>
                <w:rFonts w:asciiTheme="majorHAnsi" w:hAnsiTheme="majorHAnsi"/>
                <w:sz w:val="18"/>
                <w:szCs w:val="22"/>
                <w:lang w:val="en-AU"/>
              </w:rPr>
              <w:t xml:space="preserve"> with a value of 1 indicating that the entire charge is recovered</w:t>
            </w:r>
            <w:r w:rsidRPr="008C4425">
              <w:rPr>
                <w:rFonts w:asciiTheme="majorHAnsi" w:hAnsiTheme="majorHAnsi"/>
                <w:sz w:val="18"/>
                <w:szCs w:val="22"/>
                <w:lang w:val="en-AU"/>
              </w:rPr>
              <w:t>.</w:t>
            </w:r>
          </w:p>
        </w:tc>
      </w:tr>
      <w:tr w:rsidR="00801AFA" w:rsidRPr="008C4425" w14:paraId="0DCD1D2D" w14:textId="77777777" w:rsidTr="00A81E96">
        <w:trPr>
          <w:trHeight w:val="342"/>
        </w:trPr>
        <w:tc>
          <w:tcPr>
            <w:tcW w:w="2219" w:type="dxa"/>
          </w:tcPr>
          <w:p w14:paraId="77555973" w14:textId="1B4996C0" w:rsidR="00801AFA" w:rsidRPr="008C4425" w:rsidRDefault="00801AFA" w:rsidP="00801AFA">
            <w:pPr>
              <w:pStyle w:val="BodyText"/>
              <w:spacing w:before="60" w:after="60"/>
              <w:jc w:val="left"/>
              <w:rPr>
                <w:rFonts w:asciiTheme="majorHAnsi" w:hAnsiTheme="majorHAnsi"/>
                <w:sz w:val="18"/>
                <w:szCs w:val="22"/>
              </w:rPr>
            </w:pPr>
            <w:r>
              <w:rPr>
                <w:rFonts w:asciiTheme="majorHAnsi" w:hAnsiTheme="majorHAnsi"/>
                <w:sz w:val="18"/>
                <w:szCs w:val="22"/>
              </w:rPr>
              <w:t xml:space="preserve">Reduced GWP </w:t>
            </w:r>
            <w:r w:rsidR="008F7D76">
              <w:rPr>
                <w:rFonts w:asciiTheme="majorHAnsi" w:hAnsiTheme="majorHAnsi"/>
                <w:sz w:val="18"/>
                <w:szCs w:val="22"/>
              </w:rPr>
              <w:t xml:space="preserve">substances or </w:t>
            </w:r>
            <w:r>
              <w:rPr>
                <w:rFonts w:asciiTheme="majorHAnsi" w:hAnsiTheme="majorHAnsi"/>
                <w:sz w:val="18"/>
                <w:szCs w:val="22"/>
              </w:rPr>
              <w:t>refrigerants</w:t>
            </w:r>
          </w:p>
        </w:tc>
        <w:tc>
          <w:tcPr>
            <w:tcW w:w="7273" w:type="dxa"/>
          </w:tcPr>
          <w:p w14:paraId="205591F5" w14:textId="552A41AF" w:rsidR="00801AFA" w:rsidRPr="008C4425" w:rsidRDefault="00FE5E3A" w:rsidP="00CF4BF9">
            <w:pPr>
              <w:pStyle w:val="BodyText"/>
              <w:spacing w:before="60" w:after="60"/>
              <w:rPr>
                <w:rFonts w:asciiTheme="majorHAnsi" w:hAnsiTheme="majorHAnsi"/>
                <w:sz w:val="18"/>
              </w:rPr>
            </w:pPr>
            <w:r>
              <w:rPr>
                <w:rFonts w:asciiTheme="majorHAnsi" w:hAnsiTheme="majorHAnsi"/>
                <w:sz w:val="18"/>
              </w:rPr>
              <w:t xml:space="preserve">This term has been used for the purpose of this report. </w:t>
            </w:r>
            <w:r w:rsidRPr="00801AFA">
              <w:rPr>
                <w:rFonts w:asciiTheme="majorHAnsi" w:hAnsiTheme="majorHAnsi"/>
                <w:sz w:val="18"/>
              </w:rPr>
              <w:t xml:space="preserve">A number of recently developed </w:t>
            </w:r>
            <w:r>
              <w:rPr>
                <w:rFonts w:asciiTheme="majorHAnsi" w:hAnsiTheme="majorHAnsi"/>
                <w:sz w:val="18"/>
              </w:rPr>
              <w:t xml:space="preserve">or used </w:t>
            </w:r>
            <w:r w:rsidRPr="00801AFA">
              <w:rPr>
                <w:rFonts w:asciiTheme="majorHAnsi" w:hAnsiTheme="majorHAnsi"/>
                <w:sz w:val="18"/>
              </w:rPr>
              <w:t>HFC substances</w:t>
            </w:r>
            <w:r>
              <w:rPr>
                <w:rFonts w:asciiTheme="majorHAnsi" w:hAnsiTheme="majorHAnsi"/>
                <w:sz w:val="18"/>
              </w:rPr>
              <w:t xml:space="preserve"> or refrigerants that </w:t>
            </w:r>
            <w:r w:rsidRPr="00801AFA">
              <w:rPr>
                <w:rFonts w:asciiTheme="majorHAnsi" w:hAnsiTheme="majorHAnsi"/>
                <w:sz w:val="18"/>
              </w:rPr>
              <w:t xml:space="preserve">have significantly reduced GWP relative to those </w:t>
            </w:r>
            <w:r>
              <w:rPr>
                <w:rFonts w:asciiTheme="majorHAnsi" w:hAnsiTheme="majorHAnsi"/>
                <w:sz w:val="18"/>
              </w:rPr>
              <w:t xml:space="preserve">commonly used high GWP </w:t>
            </w:r>
            <w:r w:rsidRPr="00801AFA">
              <w:rPr>
                <w:rFonts w:asciiTheme="majorHAnsi" w:hAnsiTheme="majorHAnsi"/>
                <w:sz w:val="18"/>
              </w:rPr>
              <w:t>refrigerants they are designed to replace.</w:t>
            </w:r>
            <w:r>
              <w:rPr>
                <w:rFonts w:asciiTheme="majorHAnsi" w:hAnsiTheme="majorHAnsi"/>
                <w:sz w:val="18"/>
              </w:rPr>
              <w:t xml:space="preserve"> </w:t>
            </w:r>
            <w:r w:rsidRPr="00184603">
              <w:rPr>
                <w:rFonts w:asciiTheme="majorHAnsi" w:hAnsiTheme="majorHAnsi"/>
                <w:sz w:val="18"/>
              </w:rPr>
              <w:t>HFC-32 (GWP 675)</w:t>
            </w:r>
            <w:r>
              <w:rPr>
                <w:rFonts w:asciiTheme="majorHAnsi" w:hAnsiTheme="majorHAnsi"/>
                <w:sz w:val="18"/>
              </w:rPr>
              <w:t xml:space="preserve"> and blends</w:t>
            </w:r>
            <w:r w:rsidRPr="00801AFA">
              <w:rPr>
                <w:rFonts w:asciiTheme="majorHAnsi" w:hAnsiTheme="majorHAnsi"/>
                <w:sz w:val="18"/>
              </w:rPr>
              <w:t xml:space="preserve"> with GWPs</w:t>
            </w:r>
            <w:r>
              <w:rPr>
                <w:rFonts w:asciiTheme="majorHAnsi" w:hAnsiTheme="majorHAnsi"/>
                <w:sz w:val="18"/>
              </w:rPr>
              <w:t xml:space="preserve"> </w:t>
            </w:r>
            <w:r w:rsidRPr="00801AFA">
              <w:rPr>
                <w:rFonts w:asciiTheme="majorHAnsi" w:hAnsiTheme="majorHAnsi"/>
                <w:sz w:val="18"/>
              </w:rPr>
              <w:t xml:space="preserve">less than 1400 and greater than 10, are referred to </w:t>
            </w:r>
            <w:r>
              <w:rPr>
                <w:rFonts w:asciiTheme="majorHAnsi" w:hAnsiTheme="majorHAnsi"/>
                <w:sz w:val="18"/>
              </w:rPr>
              <w:t xml:space="preserve">as </w:t>
            </w:r>
            <w:r w:rsidRPr="00801AFA">
              <w:rPr>
                <w:rFonts w:asciiTheme="majorHAnsi" w:hAnsiTheme="majorHAnsi"/>
                <w:sz w:val="18"/>
              </w:rPr>
              <w:t xml:space="preserve">reduced GWP refrigerants. For </w:t>
            </w:r>
            <w:r w:rsidR="00151F6F" w:rsidRPr="00801AFA">
              <w:rPr>
                <w:rFonts w:asciiTheme="majorHAnsi" w:hAnsiTheme="majorHAnsi"/>
                <w:sz w:val="18"/>
              </w:rPr>
              <w:t>example,</w:t>
            </w:r>
            <w:r w:rsidRPr="00801AFA">
              <w:rPr>
                <w:rFonts w:asciiTheme="majorHAnsi" w:hAnsiTheme="majorHAnsi"/>
                <w:sz w:val="18"/>
              </w:rPr>
              <w:t xml:space="preserve"> N40 (R-448A) with a GWP of 1387 is</w:t>
            </w:r>
            <w:r>
              <w:rPr>
                <w:rFonts w:asciiTheme="majorHAnsi" w:hAnsiTheme="majorHAnsi"/>
                <w:sz w:val="18"/>
              </w:rPr>
              <w:t xml:space="preserve"> </w:t>
            </w:r>
            <w:r w:rsidRPr="00801AFA">
              <w:rPr>
                <w:rFonts w:asciiTheme="majorHAnsi" w:hAnsiTheme="majorHAnsi"/>
                <w:sz w:val="18"/>
              </w:rPr>
              <w:t xml:space="preserve">a zeotropic blend designed to serve as a replacement for HCFC-22 (GWP </w:t>
            </w:r>
            <w:r>
              <w:rPr>
                <w:rFonts w:asciiTheme="majorHAnsi" w:hAnsiTheme="majorHAnsi"/>
                <w:sz w:val="18"/>
              </w:rPr>
              <w:t>of 1810</w:t>
            </w:r>
            <w:r w:rsidRPr="00801AFA">
              <w:rPr>
                <w:rFonts w:asciiTheme="majorHAnsi" w:hAnsiTheme="majorHAnsi"/>
                <w:sz w:val="18"/>
              </w:rPr>
              <w:t>)</w:t>
            </w:r>
            <w:r>
              <w:rPr>
                <w:rFonts w:asciiTheme="majorHAnsi" w:hAnsiTheme="majorHAnsi"/>
                <w:sz w:val="18"/>
              </w:rPr>
              <w:t xml:space="preserve"> </w:t>
            </w:r>
            <w:r w:rsidRPr="00801AFA">
              <w:rPr>
                <w:rFonts w:asciiTheme="majorHAnsi" w:hAnsiTheme="majorHAnsi"/>
                <w:sz w:val="18"/>
              </w:rPr>
              <w:t>and HFC-404A (GWP of 3922) in supermarket refrigeration retrofits, or in new</w:t>
            </w:r>
            <w:r>
              <w:rPr>
                <w:rFonts w:asciiTheme="majorHAnsi" w:hAnsiTheme="majorHAnsi"/>
                <w:sz w:val="18"/>
              </w:rPr>
              <w:t xml:space="preserve"> </w:t>
            </w:r>
            <w:r w:rsidRPr="00801AFA">
              <w:rPr>
                <w:rFonts w:asciiTheme="majorHAnsi" w:hAnsiTheme="majorHAnsi"/>
                <w:sz w:val="18"/>
              </w:rPr>
              <w:t>systems</w:t>
            </w:r>
            <w:r>
              <w:rPr>
                <w:rFonts w:asciiTheme="majorHAnsi" w:hAnsiTheme="majorHAnsi"/>
                <w:sz w:val="18"/>
              </w:rPr>
              <w:t>. R</w:t>
            </w:r>
            <w:r w:rsidRPr="00801AFA">
              <w:rPr>
                <w:rFonts w:asciiTheme="majorHAnsi" w:hAnsiTheme="majorHAnsi"/>
                <w:sz w:val="18"/>
              </w:rPr>
              <w:t>efer to definition of High GWP Refrigerants and Low GWP</w:t>
            </w:r>
            <w:r>
              <w:rPr>
                <w:rFonts w:asciiTheme="majorHAnsi" w:hAnsiTheme="majorHAnsi"/>
                <w:sz w:val="18"/>
              </w:rPr>
              <w:t xml:space="preserve"> Refrigerants.</w:t>
            </w:r>
          </w:p>
        </w:tc>
      </w:tr>
      <w:tr w:rsidR="002F4981" w:rsidRPr="008C4425" w14:paraId="6E8F9869" w14:textId="77777777" w:rsidTr="00A81E96">
        <w:trPr>
          <w:trHeight w:val="342"/>
        </w:trPr>
        <w:tc>
          <w:tcPr>
            <w:tcW w:w="2219" w:type="dxa"/>
          </w:tcPr>
          <w:p w14:paraId="10E51188" w14:textId="77777777" w:rsidR="002F4981" w:rsidRPr="008C4425" w:rsidRDefault="002F4981" w:rsidP="00F129EC">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Refrigerant</w:t>
            </w:r>
          </w:p>
        </w:tc>
        <w:tc>
          <w:tcPr>
            <w:tcW w:w="7273" w:type="dxa"/>
          </w:tcPr>
          <w:p w14:paraId="3EDE3B24" w14:textId="77777777" w:rsidR="002F4981" w:rsidRPr="008C4425" w:rsidRDefault="002F4981" w:rsidP="00F129EC">
            <w:pPr>
              <w:pStyle w:val="BodyText"/>
              <w:spacing w:before="60" w:after="60"/>
              <w:rPr>
                <w:rFonts w:asciiTheme="majorHAnsi" w:hAnsiTheme="majorHAnsi"/>
                <w:sz w:val="18"/>
                <w:szCs w:val="22"/>
              </w:rPr>
            </w:pPr>
            <w:r w:rsidRPr="008C4425">
              <w:rPr>
                <w:rFonts w:asciiTheme="majorHAnsi" w:hAnsiTheme="majorHAnsi"/>
                <w:sz w:val="18"/>
                <w:szCs w:val="22"/>
                <w:lang w:val="en-AU"/>
              </w:rPr>
              <w:t>Working fluid in the vapour compression refrigeration cycle.</w:t>
            </w:r>
          </w:p>
        </w:tc>
      </w:tr>
      <w:tr w:rsidR="00FE5E3A" w:rsidRPr="008C4425" w14:paraId="69012EDD" w14:textId="77777777" w:rsidTr="00A81E96">
        <w:trPr>
          <w:trHeight w:val="342"/>
        </w:trPr>
        <w:tc>
          <w:tcPr>
            <w:tcW w:w="2219" w:type="dxa"/>
          </w:tcPr>
          <w:p w14:paraId="15D6E72A"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Refrigerant bank</w:t>
            </w:r>
          </w:p>
        </w:tc>
        <w:tc>
          <w:tcPr>
            <w:tcW w:w="7273" w:type="dxa"/>
          </w:tcPr>
          <w:p w14:paraId="344B2174" w14:textId="77777777" w:rsidR="00FE5E3A"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rPr>
              <w:t>The ‘bank’ of refrigerant gases is the aggregate of all compounds and substances employed as working fluids</w:t>
            </w:r>
            <w:r>
              <w:rPr>
                <w:rFonts w:asciiTheme="majorHAnsi" w:hAnsiTheme="majorHAnsi"/>
                <w:sz w:val="18"/>
                <w:szCs w:val="22"/>
              </w:rPr>
              <w:t xml:space="preserve"> with more than 50</w:t>
            </w:r>
            <w:r w:rsidRPr="008C4425">
              <w:rPr>
                <w:rFonts w:asciiTheme="majorHAnsi" w:hAnsiTheme="majorHAnsi"/>
                <w:sz w:val="18"/>
                <w:szCs w:val="22"/>
              </w:rPr>
              <w:t xml:space="preserve"> million mechanical devices using the vapour compression cycle in Australia.</w:t>
            </w:r>
            <w:r>
              <w:rPr>
                <w:rFonts w:asciiTheme="majorHAnsi" w:hAnsiTheme="majorHAnsi"/>
                <w:sz w:val="18"/>
                <w:szCs w:val="22"/>
              </w:rPr>
              <w:t xml:space="preserve"> </w:t>
            </w:r>
            <w:r w:rsidRPr="00850809">
              <w:rPr>
                <w:rFonts w:asciiTheme="majorHAnsi" w:hAnsiTheme="majorHAnsi"/>
                <w:sz w:val="18"/>
                <w:szCs w:val="22"/>
              </w:rPr>
              <w:t xml:space="preserve">Refrigerant in pre-charged imports </w:t>
            </w:r>
            <w:r>
              <w:rPr>
                <w:rFonts w:asciiTheme="majorHAnsi" w:hAnsiTheme="majorHAnsi"/>
                <w:sz w:val="18"/>
                <w:szCs w:val="22"/>
              </w:rPr>
              <w:t>is</w:t>
            </w:r>
            <w:r w:rsidRPr="00850809">
              <w:rPr>
                <w:rFonts w:asciiTheme="majorHAnsi" w:hAnsiTheme="majorHAnsi"/>
                <w:sz w:val="18"/>
                <w:szCs w:val="22"/>
              </w:rPr>
              <w:t xml:space="preserve"> included in this value in the year of import. Refrigerant in equipment that is estimated to have retired from service in any year is not included</w:t>
            </w:r>
            <w:r>
              <w:rPr>
                <w:rFonts w:asciiTheme="majorHAnsi" w:hAnsiTheme="majorHAnsi"/>
                <w:sz w:val="18"/>
                <w:szCs w:val="22"/>
              </w:rPr>
              <w:t>.</w:t>
            </w:r>
          </w:p>
          <w:p w14:paraId="414F3B27" w14:textId="459A36CA" w:rsidR="00FE5E3A" w:rsidRPr="001D0F15" w:rsidRDefault="00FE5E3A" w:rsidP="00FE5E3A">
            <w:pPr>
              <w:pStyle w:val="BodyText"/>
              <w:spacing w:before="60" w:after="60"/>
              <w:rPr>
                <w:rFonts w:asciiTheme="majorHAnsi" w:hAnsiTheme="majorHAnsi"/>
                <w:sz w:val="18"/>
                <w:szCs w:val="22"/>
              </w:rPr>
            </w:pPr>
            <w:r w:rsidRPr="001D0F15">
              <w:rPr>
                <w:rFonts w:asciiTheme="majorHAnsi" w:hAnsiTheme="majorHAnsi"/>
                <w:sz w:val="18"/>
                <w:szCs w:val="22"/>
              </w:rPr>
              <w:t xml:space="preserve">The ‘Full Bank’, or fully charged bank, is calculated based on the number of devices in the </w:t>
            </w:r>
            <w:r w:rsidR="00F863A5">
              <w:rPr>
                <w:rFonts w:asciiTheme="majorHAnsi" w:hAnsiTheme="majorHAnsi"/>
                <w:sz w:val="18"/>
                <w:szCs w:val="22"/>
              </w:rPr>
              <w:t>product category</w:t>
            </w:r>
            <w:r w:rsidRPr="001D0F15">
              <w:rPr>
                <w:rFonts w:asciiTheme="majorHAnsi" w:hAnsiTheme="majorHAnsi"/>
                <w:sz w:val="18"/>
                <w:szCs w:val="22"/>
              </w:rPr>
              <w:t xml:space="preserve"> multiplied by the average original charge of that type of equipment when it is initially installed/purchased.</w:t>
            </w:r>
          </w:p>
          <w:p w14:paraId="706EE2D6" w14:textId="179D231C" w:rsidR="00FE5E3A" w:rsidRPr="008C4425" w:rsidRDefault="00FE5E3A" w:rsidP="00FE5E3A">
            <w:pPr>
              <w:pStyle w:val="BodyText"/>
              <w:spacing w:before="60" w:after="60"/>
              <w:rPr>
                <w:rFonts w:asciiTheme="majorHAnsi" w:hAnsiTheme="majorHAnsi"/>
                <w:sz w:val="18"/>
                <w:szCs w:val="22"/>
              </w:rPr>
            </w:pPr>
            <w:r w:rsidRPr="001D0F15">
              <w:rPr>
                <w:rFonts w:asciiTheme="majorHAnsi" w:hAnsiTheme="majorHAnsi"/>
                <w:sz w:val="18"/>
                <w:szCs w:val="22"/>
              </w:rPr>
              <w:t>The ‘</w:t>
            </w:r>
            <w:bookmarkStart w:id="1" w:name="OLE_LINK2"/>
            <w:r w:rsidRPr="001D0F15">
              <w:rPr>
                <w:rFonts w:asciiTheme="majorHAnsi" w:hAnsiTheme="majorHAnsi"/>
                <w:sz w:val="18"/>
                <w:szCs w:val="22"/>
              </w:rPr>
              <w:t xml:space="preserve">Partially Charged Bank’ </w:t>
            </w:r>
            <w:bookmarkEnd w:id="1"/>
            <w:r w:rsidRPr="001D0F15">
              <w:rPr>
                <w:rFonts w:asciiTheme="majorHAnsi" w:hAnsiTheme="majorHAnsi"/>
                <w:sz w:val="18"/>
                <w:szCs w:val="22"/>
              </w:rPr>
              <w:t>generally referred to in this report simply as ‘the Bank’, or sometimes as the ‘working bank’</w:t>
            </w:r>
            <w:r>
              <w:rPr>
                <w:rFonts w:asciiTheme="majorHAnsi" w:hAnsiTheme="majorHAnsi"/>
                <w:sz w:val="18"/>
                <w:szCs w:val="22"/>
              </w:rPr>
              <w:t>,</w:t>
            </w:r>
            <w:r w:rsidRPr="001D0F15">
              <w:rPr>
                <w:rFonts w:asciiTheme="majorHAnsi" w:hAnsiTheme="majorHAnsi"/>
                <w:sz w:val="18"/>
                <w:szCs w:val="22"/>
              </w:rPr>
              <w:t xml:space="preserve"> will in practice, be less than the fully charged bank as the charge in individ</w:t>
            </w:r>
            <w:r>
              <w:rPr>
                <w:rFonts w:asciiTheme="majorHAnsi" w:hAnsiTheme="majorHAnsi"/>
                <w:sz w:val="18"/>
                <w:szCs w:val="22"/>
              </w:rPr>
              <w:t>ual pieces of equipment in the c</w:t>
            </w:r>
            <w:r w:rsidRPr="001D0F15">
              <w:rPr>
                <w:rFonts w:asciiTheme="majorHAnsi" w:hAnsiTheme="majorHAnsi"/>
                <w:sz w:val="18"/>
                <w:szCs w:val="22"/>
              </w:rPr>
              <w:t>ategory declines over time until the equipment retires.</w:t>
            </w:r>
          </w:p>
        </w:tc>
      </w:tr>
      <w:tr w:rsidR="00FE5E3A" w:rsidRPr="008C4425" w14:paraId="3B2B332B" w14:textId="77777777" w:rsidTr="00A81E96">
        <w:trPr>
          <w:trHeight w:val="342"/>
        </w:trPr>
        <w:tc>
          <w:tcPr>
            <w:tcW w:w="2219" w:type="dxa"/>
          </w:tcPr>
          <w:p w14:paraId="6D6FCFB1"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Refrigerant charge</w:t>
            </w:r>
          </w:p>
        </w:tc>
        <w:tc>
          <w:tcPr>
            <w:tcW w:w="7273" w:type="dxa"/>
          </w:tcPr>
          <w:p w14:paraId="757F995B" w14:textId="79D19E44"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lang w:val="en-AU"/>
              </w:rPr>
              <w:t>The original refrigerant charge of refrigerant used as the working fluid for heat transfer inside a piece of equipment.</w:t>
            </w:r>
          </w:p>
        </w:tc>
      </w:tr>
    </w:tbl>
    <w:p w14:paraId="4B383EAD" w14:textId="77777777" w:rsidR="000F5291" w:rsidRDefault="000F5291">
      <w:r>
        <w:br w:type="page"/>
      </w:r>
    </w:p>
    <w:tbl>
      <w:tblPr>
        <w:tblW w:w="0" w:type="auto"/>
        <w:tblLook w:val="00A0" w:firstRow="1" w:lastRow="0" w:firstColumn="1" w:lastColumn="0" w:noHBand="0" w:noVBand="0"/>
      </w:tblPr>
      <w:tblGrid>
        <w:gridCol w:w="2219"/>
        <w:gridCol w:w="2363"/>
        <w:gridCol w:w="2362"/>
        <w:gridCol w:w="2548"/>
      </w:tblGrid>
      <w:tr w:rsidR="00FE5E3A" w:rsidRPr="008C4425" w14:paraId="2CC1EE91" w14:textId="77777777" w:rsidTr="00A81E96">
        <w:trPr>
          <w:trHeight w:val="342"/>
        </w:trPr>
        <w:tc>
          <w:tcPr>
            <w:tcW w:w="2219" w:type="dxa"/>
          </w:tcPr>
          <w:p w14:paraId="1ED938B1" w14:textId="69FA87CA" w:rsidR="00FE5E3A" w:rsidRPr="003C63AC" w:rsidRDefault="00FE5E3A" w:rsidP="00FE5E3A">
            <w:pPr>
              <w:pStyle w:val="BodyText"/>
              <w:spacing w:before="60" w:after="60"/>
              <w:jc w:val="left"/>
              <w:rPr>
                <w:rFonts w:asciiTheme="majorHAnsi" w:hAnsiTheme="majorHAnsi"/>
                <w:sz w:val="18"/>
                <w:szCs w:val="22"/>
                <w:lang w:val="en-AU"/>
              </w:rPr>
            </w:pPr>
            <w:r>
              <w:rPr>
                <w:rFonts w:asciiTheme="majorHAnsi" w:hAnsiTheme="majorHAnsi"/>
                <w:sz w:val="18"/>
                <w:szCs w:val="22"/>
                <w:lang w:val="en-AU"/>
              </w:rPr>
              <w:lastRenderedPageBreak/>
              <w:t>Refrigerant classifications</w:t>
            </w:r>
          </w:p>
        </w:tc>
        <w:tc>
          <w:tcPr>
            <w:tcW w:w="7273" w:type="dxa"/>
            <w:gridSpan w:val="3"/>
            <w:tcBorders>
              <w:bottom w:val="single" w:sz="4" w:space="0" w:color="auto"/>
            </w:tcBorders>
          </w:tcPr>
          <w:p w14:paraId="0E60A5B6" w14:textId="02C24750" w:rsidR="00FE5E3A" w:rsidRPr="003C63AC" w:rsidRDefault="00FE5E3A" w:rsidP="00FE5E3A">
            <w:pPr>
              <w:pStyle w:val="BodyText"/>
              <w:spacing w:before="60" w:after="60"/>
              <w:rPr>
                <w:rFonts w:asciiTheme="majorHAnsi" w:hAnsiTheme="majorHAnsi"/>
                <w:sz w:val="18"/>
                <w:szCs w:val="22"/>
                <w:lang w:val="en-AU"/>
              </w:rPr>
            </w:pPr>
            <w:r w:rsidRPr="00512E93">
              <w:rPr>
                <w:rFonts w:asciiTheme="majorHAnsi" w:hAnsiTheme="majorHAnsi"/>
                <w:i/>
                <w:sz w:val="18"/>
                <w:szCs w:val="22"/>
                <w:lang w:val="en-AU"/>
              </w:rPr>
              <w:t>AS/NZS ISO 817: 2016 Refrigerants - Designation and safety classification</w:t>
            </w:r>
            <w:r>
              <w:rPr>
                <w:rFonts w:asciiTheme="majorHAnsi" w:hAnsiTheme="majorHAnsi"/>
                <w:sz w:val="18"/>
                <w:szCs w:val="22"/>
                <w:lang w:val="en-AU"/>
              </w:rPr>
              <w:t xml:space="preserve"> </w:t>
            </w:r>
            <w:r w:rsidRPr="00512E93">
              <w:rPr>
                <w:rFonts w:asciiTheme="majorHAnsi" w:hAnsiTheme="majorHAnsi"/>
                <w:sz w:val="18"/>
                <w:szCs w:val="22"/>
                <w:lang w:val="en-AU"/>
              </w:rPr>
              <w:t>assign</w:t>
            </w:r>
            <w:r>
              <w:rPr>
                <w:rFonts w:asciiTheme="majorHAnsi" w:hAnsiTheme="majorHAnsi"/>
                <w:sz w:val="18"/>
                <w:szCs w:val="22"/>
                <w:lang w:val="en-AU"/>
              </w:rPr>
              <w:t>s</w:t>
            </w:r>
            <w:r w:rsidRPr="00512E93">
              <w:rPr>
                <w:rFonts w:asciiTheme="majorHAnsi" w:hAnsiTheme="majorHAnsi"/>
                <w:sz w:val="18"/>
                <w:szCs w:val="22"/>
                <w:lang w:val="en-AU"/>
              </w:rPr>
              <w:t xml:space="preserve"> safety classification to refrigerants based on</w:t>
            </w:r>
            <w:r>
              <w:rPr>
                <w:rFonts w:asciiTheme="majorHAnsi" w:hAnsiTheme="majorHAnsi"/>
                <w:sz w:val="18"/>
                <w:szCs w:val="22"/>
                <w:lang w:val="en-AU"/>
              </w:rPr>
              <w:t xml:space="preserve"> toxicity and flammability data;</w:t>
            </w:r>
            <w:r w:rsidRPr="00512E93">
              <w:rPr>
                <w:rFonts w:asciiTheme="majorHAnsi" w:hAnsiTheme="majorHAnsi"/>
                <w:sz w:val="18"/>
                <w:szCs w:val="22"/>
                <w:lang w:val="en-AU"/>
              </w:rPr>
              <w:t xml:space="preserve"> and provides a means of determining the refrigerant concentration limit.</w:t>
            </w:r>
          </w:p>
        </w:tc>
      </w:tr>
      <w:tr w:rsidR="00FE5E3A" w:rsidRPr="008C4425" w14:paraId="25945B30" w14:textId="77777777" w:rsidTr="00A81E96">
        <w:trPr>
          <w:trHeight w:val="342"/>
        </w:trPr>
        <w:tc>
          <w:tcPr>
            <w:tcW w:w="2219" w:type="dxa"/>
            <w:tcBorders>
              <w:right w:val="single" w:sz="4" w:space="0" w:color="auto"/>
            </w:tcBorders>
          </w:tcPr>
          <w:p w14:paraId="7B9231BF" w14:textId="77777777" w:rsidR="00FE5E3A" w:rsidRPr="003C63AC" w:rsidRDefault="00FE5E3A" w:rsidP="00FE5E3A">
            <w:pPr>
              <w:pStyle w:val="BodyText"/>
              <w:spacing w:before="60" w:after="60"/>
              <w:jc w:val="left"/>
              <w:rPr>
                <w:rFonts w:asciiTheme="majorHAnsi" w:hAnsiTheme="majorHAnsi"/>
                <w:sz w:val="18"/>
                <w:szCs w:val="22"/>
                <w:lang w:val="en-AU"/>
              </w:rPr>
            </w:pPr>
          </w:p>
        </w:tc>
        <w:tc>
          <w:tcPr>
            <w:tcW w:w="2363" w:type="dxa"/>
            <w:vMerge w:val="restart"/>
            <w:tcBorders>
              <w:top w:val="single" w:sz="4" w:space="0" w:color="auto"/>
              <w:left w:val="single" w:sz="4" w:space="0" w:color="auto"/>
              <w:right w:val="single" w:sz="4" w:space="0" w:color="auto"/>
            </w:tcBorders>
          </w:tcPr>
          <w:p w14:paraId="328B604D" w14:textId="77777777" w:rsidR="00FE5E3A" w:rsidRDefault="00FE5E3A" w:rsidP="00FE5E3A">
            <w:pPr>
              <w:pStyle w:val="BodyText"/>
              <w:spacing w:before="60" w:after="60"/>
              <w:rPr>
                <w:rFonts w:asciiTheme="majorHAnsi" w:hAnsiTheme="majorHAnsi"/>
                <w:sz w:val="18"/>
                <w:szCs w:val="22"/>
                <w:lang w:val="en-AU"/>
              </w:rPr>
            </w:pP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4708543C" w14:textId="5CA4C69D"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Safety Group</w:t>
            </w:r>
          </w:p>
        </w:tc>
      </w:tr>
      <w:tr w:rsidR="00FE5E3A" w:rsidRPr="008C4425" w14:paraId="184D6C50" w14:textId="77777777" w:rsidTr="00A81E96">
        <w:trPr>
          <w:trHeight w:val="342"/>
        </w:trPr>
        <w:tc>
          <w:tcPr>
            <w:tcW w:w="2219" w:type="dxa"/>
            <w:tcBorders>
              <w:right w:val="single" w:sz="4" w:space="0" w:color="auto"/>
            </w:tcBorders>
          </w:tcPr>
          <w:p w14:paraId="7571E135" w14:textId="77777777" w:rsidR="00FE5E3A" w:rsidRPr="003C63AC" w:rsidRDefault="00FE5E3A" w:rsidP="00FE5E3A">
            <w:pPr>
              <w:pStyle w:val="BodyText"/>
              <w:spacing w:before="60" w:after="60"/>
              <w:jc w:val="left"/>
              <w:rPr>
                <w:rFonts w:asciiTheme="majorHAnsi" w:hAnsiTheme="majorHAnsi"/>
                <w:sz w:val="18"/>
                <w:szCs w:val="22"/>
                <w:lang w:val="en-AU"/>
              </w:rPr>
            </w:pPr>
          </w:p>
        </w:tc>
        <w:tc>
          <w:tcPr>
            <w:tcW w:w="2363" w:type="dxa"/>
            <w:vMerge/>
            <w:tcBorders>
              <w:left w:val="single" w:sz="4" w:space="0" w:color="auto"/>
              <w:bottom w:val="single" w:sz="4" w:space="0" w:color="auto"/>
              <w:right w:val="single" w:sz="4" w:space="0" w:color="auto"/>
            </w:tcBorders>
          </w:tcPr>
          <w:p w14:paraId="2CD9B487" w14:textId="77777777" w:rsidR="00FE5E3A" w:rsidRDefault="00FE5E3A" w:rsidP="00FE5E3A">
            <w:pPr>
              <w:pStyle w:val="BodyText"/>
              <w:spacing w:before="60" w:after="60"/>
              <w:rPr>
                <w:rFonts w:asciiTheme="majorHAnsi" w:hAnsiTheme="majorHAnsi"/>
                <w:sz w:val="18"/>
                <w:szCs w:val="22"/>
                <w:lang w:val="en-AU"/>
              </w:rPr>
            </w:pPr>
          </w:p>
        </w:tc>
        <w:tc>
          <w:tcPr>
            <w:tcW w:w="2362" w:type="dxa"/>
            <w:tcBorders>
              <w:top w:val="single" w:sz="4" w:space="0" w:color="auto"/>
              <w:left w:val="single" w:sz="4" w:space="0" w:color="auto"/>
              <w:bottom w:val="single" w:sz="4" w:space="0" w:color="auto"/>
              <w:right w:val="single" w:sz="4" w:space="0" w:color="auto"/>
            </w:tcBorders>
            <w:vAlign w:val="center"/>
          </w:tcPr>
          <w:p w14:paraId="36EF65B4" w14:textId="13BB63D2" w:rsidR="00FE5E3A"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Lower Toxicity</w:t>
            </w:r>
          </w:p>
        </w:tc>
        <w:tc>
          <w:tcPr>
            <w:tcW w:w="2548" w:type="dxa"/>
            <w:tcBorders>
              <w:top w:val="single" w:sz="4" w:space="0" w:color="auto"/>
              <w:left w:val="single" w:sz="4" w:space="0" w:color="auto"/>
              <w:bottom w:val="single" w:sz="4" w:space="0" w:color="auto"/>
              <w:right w:val="single" w:sz="4" w:space="0" w:color="auto"/>
            </w:tcBorders>
            <w:vAlign w:val="center"/>
          </w:tcPr>
          <w:p w14:paraId="191D68E2" w14:textId="4E6067DC"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Higher Toxicity</w:t>
            </w:r>
          </w:p>
        </w:tc>
      </w:tr>
      <w:tr w:rsidR="00FE5E3A" w:rsidRPr="008C4425" w14:paraId="30CE1034" w14:textId="77777777" w:rsidTr="00A81E96">
        <w:trPr>
          <w:trHeight w:val="342"/>
        </w:trPr>
        <w:tc>
          <w:tcPr>
            <w:tcW w:w="2219" w:type="dxa"/>
            <w:tcBorders>
              <w:right w:val="single" w:sz="4" w:space="0" w:color="auto"/>
            </w:tcBorders>
          </w:tcPr>
          <w:p w14:paraId="6BFC449F" w14:textId="77777777" w:rsidR="00FE5E3A" w:rsidRPr="003C63AC" w:rsidRDefault="00FE5E3A" w:rsidP="00FE5E3A">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tcPr>
          <w:p w14:paraId="64C41C16" w14:textId="0A89C03C" w:rsidR="00FE5E3A" w:rsidRPr="003C63AC" w:rsidRDefault="00FE5E3A" w:rsidP="00FE5E3A">
            <w:pPr>
              <w:pStyle w:val="BodyText"/>
              <w:spacing w:before="60" w:after="60"/>
              <w:rPr>
                <w:rFonts w:asciiTheme="majorHAnsi" w:hAnsiTheme="majorHAnsi"/>
                <w:sz w:val="18"/>
                <w:szCs w:val="22"/>
                <w:lang w:val="en-AU"/>
              </w:rPr>
            </w:pPr>
            <w:r>
              <w:rPr>
                <w:rFonts w:asciiTheme="majorHAnsi" w:hAnsiTheme="majorHAnsi"/>
                <w:sz w:val="18"/>
                <w:szCs w:val="22"/>
                <w:lang w:val="en-AU"/>
              </w:rPr>
              <w:t>Higher Flammability</w:t>
            </w:r>
          </w:p>
        </w:tc>
        <w:tc>
          <w:tcPr>
            <w:tcW w:w="2362" w:type="dxa"/>
            <w:tcBorders>
              <w:top w:val="single" w:sz="4" w:space="0" w:color="auto"/>
              <w:left w:val="single" w:sz="4" w:space="0" w:color="auto"/>
              <w:bottom w:val="single" w:sz="4" w:space="0" w:color="auto"/>
              <w:right w:val="single" w:sz="4" w:space="0" w:color="auto"/>
            </w:tcBorders>
            <w:vAlign w:val="center"/>
          </w:tcPr>
          <w:p w14:paraId="5276650B" w14:textId="62B08167"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A3</w:t>
            </w:r>
          </w:p>
        </w:tc>
        <w:tc>
          <w:tcPr>
            <w:tcW w:w="2548" w:type="dxa"/>
            <w:tcBorders>
              <w:top w:val="single" w:sz="4" w:space="0" w:color="auto"/>
              <w:left w:val="single" w:sz="4" w:space="0" w:color="auto"/>
              <w:bottom w:val="single" w:sz="4" w:space="0" w:color="auto"/>
              <w:right w:val="single" w:sz="4" w:space="0" w:color="auto"/>
            </w:tcBorders>
            <w:vAlign w:val="center"/>
          </w:tcPr>
          <w:p w14:paraId="47E17EE6" w14:textId="54D62A6D"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B3</w:t>
            </w:r>
          </w:p>
        </w:tc>
      </w:tr>
      <w:tr w:rsidR="00FE5E3A" w:rsidRPr="008C4425" w14:paraId="30C45222" w14:textId="77777777" w:rsidTr="00A81E96">
        <w:trPr>
          <w:trHeight w:val="342"/>
        </w:trPr>
        <w:tc>
          <w:tcPr>
            <w:tcW w:w="2219" w:type="dxa"/>
            <w:tcBorders>
              <w:right w:val="single" w:sz="4" w:space="0" w:color="auto"/>
            </w:tcBorders>
          </w:tcPr>
          <w:p w14:paraId="63C3F693" w14:textId="77777777" w:rsidR="00FE5E3A" w:rsidRPr="003C63AC" w:rsidRDefault="00FE5E3A" w:rsidP="00FE5E3A">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tcPr>
          <w:p w14:paraId="67DC14A6" w14:textId="69815C0A" w:rsidR="00FE5E3A" w:rsidRPr="003C63AC" w:rsidRDefault="00FE5E3A" w:rsidP="00FE5E3A">
            <w:pPr>
              <w:pStyle w:val="BodyText"/>
              <w:spacing w:before="60" w:after="60"/>
              <w:rPr>
                <w:rFonts w:asciiTheme="majorHAnsi" w:hAnsiTheme="majorHAnsi"/>
                <w:sz w:val="18"/>
                <w:szCs w:val="22"/>
                <w:lang w:val="en-AU"/>
              </w:rPr>
            </w:pPr>
            <w:r>
              <w:rPr>
                <w:rFonts w:asciiTheme="majorHAnsi" w:hAnsiTheme="majorHAnsi"/>
                <w:sz w:val="18"/>
                <w:szCs w:val="22"/>
                <w:lang w:val="en-AU"/>
              </w:rPr>
              <w:t>Flammable</w:t>
            </w:r>
          </w:p>
        </w:tc>
        <w:tc>
          <w:tcPr>
            <w:tcW w:w="2362" w:type="dxa"/>
            <w:tcBorders>
              <w:top w:val="single" w:sz="4" w:space="0" w:color="auto"/>
              <w:left w:val="single" w:sz="4" w:space="0" w:color="auto"/>
              <w:bottom w:val="single" w:sz="4" w:space="0" w:color="auto"/>
              <w:right w:val="single" w:sz="4" w:space="0" w:color="auto"/>
            </w:tcBorders>
            <w:vAlign w:val="center"/>
          </w:tcPr>
          <w:p w14:paraId="011109B0" w14:textId="04F19168"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A2</w:t>
            </w:r>
          </w:p>
        </w:tc>
        <w:tc>
          <w:tcPr>
            <w:tcW w:w="2548" w:type="dxa"/>
            <w:tcBorders>
              <w:top w:val="single" w:sz="4" w:space="0" w:color="auto"/>
              <w:left w:val="single" w:sz="4" w:space="0" w:color="auto"/>
              <w:bottom w:val="single" w:sz="4" w:space="0" w:color="auto"/>
              <w:right w:val="single" w:sz="4" w:space="0" w:color="auto"/>
            </w:tcBorders>
            <w:vAlign w:val="center"/>
          </w:tcPr>
          <w:p w14:paraId="6FD746CE" w14:textId="1107A6D9"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B2</w:t>
            </w:r>
          </w:p>
        </w:tc>
      </w:tr>
      <w:tr w:rsidR="00FE5E3A" w:rsidRPr="008C4425" w14:paraId="67E67CFA" w14:textId="77777777" w:rsidTr="00A81E96">
        <w:trPr>
          <w:trHeight w:val="342"/>
        </w:trPr>
        <w:tc>
          <w:tcPr>
            <w:tcW w:w="2219" w:type="dxa"/>
            <w:tcBorders>
              <w:right w:val="single" w:sz="4" w:space="0" w:color="auto"/>
            </w:tcBorders>
          </w:tcPr>
          <w:p w14:paraId="544A911D" w14:textId="77777777" w:rsidR="00FE5E3A" w:rsidRPr="003C63AC" w:rsidRDefault="00FE5E3A" w:rsidP="00FE5E3A">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tcPr>
          <w:p w14:paraId="2F5CED11" w14:textId="3A912BCB" w:rsidR="00FE5E3A" w:rsidRPr="003C63AC" w:rsidRDefault="00FE5E3A" w:rsidP="00FE5E3A">
            <w:pPr>
              <w:pStyle w:val="BodyText"/>
              <w:spacing w:before="60" w:after="60"/>
              <w:rPr>
                <w:rFonts w:asciiTheme="majorHAnsi" w:hAnsiTheme="majorHAnsi"/>
                <w:sz w:val="18"/>
                <w:szCs w:val="22"/>
                <w:lang w:val="en-AU"/>
              </w:rPr>
            </w:pPr>
            <w:r>
              <w:rPr>
                <w:rFonts w:asciiTheme="majorHAnsi" w:hAnsiTheme="majorHAnsi"/>
                <w:sz w:val="18"/>
                <w:szCs w:val="22"/>
                <w:lang w:val="en-AU"/>
              </w:rPr>
              <w:t>Lower Flammability</w:t>
            </w:r>
          </w:p>
        </w:tc>
        <w:tc>
          <w:tcPr>
            <w:tcW w:w="2362" w:type="dxa"/>
            <w:tcBorders>
              <w:top w:val="single" w:sz="4" w:space="0" w:color="auto"/>
              <w:left w:val="single" w:sz="4" w:space="0" w:color="auto"/>
              <w:bottom w:val="single" w:sz="4" w:space="0" w:color="auto"/>
              <w:right w:val="single" w:sz="4" w:space="0" w:color="auto"/>
            </w:tcBorders>
            <w:vAlign w:val="center"/>
          </w:tcPr>
          <w:p w14:paraId="1AFF744D" w14:textId="5E74D9AA"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A2L</w:t>
            </w:r>
          </w:p>
        </w:tc>
        <w:tc>
          <w:tcPr>
            <w:tcW w:w="2548" w:type="dxa"/>
            <w:tcBorders>
              <w:top w:val="single" w:sz="4" w:space="0" w:color="auto"/>
              <w:left w:val="single" w:sz="4" w:space="0" w:color="auto"/>
              <w:bottom w:val="single" w:sz="4" w:space="0" w:color="auto"/>
              <w:right w:val="single" w:sz="4" w:space="0" w:color="auto"/>
            </w:tcBorders>
            <w:vAlign w:val="center"/>
          </w:tcPr>
          <w:p w14:paraId="4BADDC3A" w14:textId="46F3CE20"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B2L</w:t>
            </w:r>
          </w:p>
        </w:tc>
      </w:tr>
      <w:tr w:rsidR="00FE5E3A" w:rsidRPr="008C4425" w14:paraId="3F72F8F1" w14:textId="77777777" w:rsidTr="00A81E96">
        <w:trPr>
          <w:trHeight w:val="342"/>
        </w:trPr>
        <w:tc>
          <w:tcPr>
            <w:tcW w:w="2219" w:type="dxa"/>
            <w:tcBorders>
              <w:right w:val="single" w:sz="4" w:space="0" w:color="auto"/>
            </w:tcBorders>
          </w:tcPr>
          <w:p w14:paraId="6B8306BE" w14:textId="77777777" w:rsidR="00FE5E3A" w:rsidRPr="003C63AC" w:rsidRDefault="00FE5E3A" w:rsidP="00FE5E3A">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tcPr>
          <w:p w14:paraId="65230016" w14:textId="4DB239F1" w:rsidR="00FE5E3A" w:rsidRPr="003C63AC" w:rsidRDefault="00FE5E3A" w:rsidP="00FE5E3A">
            <w:pPr>
              <w:pStyle w:val="BodyText"/>
              <w:spacing w:before="60" w:after="60"/>
              <w:rPr>
                <w:rFonts w:asciiTheme="majorHAnsi" w:hAnsiTheme="majorHAnsi"/>
                <w:sz w:val="18"/>
                <w:szCs w:val="22"/>
                <w:lang w:val="en-AU"/>
              </w:rPr>
            </w:pPr>
            <w:r>
              <w:rPr>
                <w:rFonts w:asciiTheme="majorHAnsi" w:hAnsiTheme="majorHAnsi"/>
                <w:sz w:val="18"/>
                <w:szCs w:val="22"/>
                <w:lang w:val="en-AU"/>
              </w:rPr>
              <w:t>No Flame Propagation</w:t>
            </w:r>
          </w:p>
        </w:tc>
        <w:tc>
          <w:tcPr>
            <w:tcW w:w="2362" w:type="dxa"/>
            <w:tcBorders>
              <w:top w:val="single" w:sz="4" w:space="0" w:color="auto"/>
              <w:left w:val="single" w:sz="4" w:space="0" w:color="auto"/>
              <w:bottom w:val="single" w:sz="4" w:space="0" w:color="auto"/>
              <w:right w:val="single" w:sz="4" w:space="0" w:color="auto"/>
            </w:tcBorders>
            <w:vAlign w:val="center"/>
          </w:tcPr>
          <w:p w14:paraId="0AC744B5" w14:textId="5EE08F7D"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A1</w:t>
            </w:r>
          </w:p>
        </w:tc>
        <w:tc>
          <w:tcPr>
            <w:tcW w:w="2548" w:type="dxa"/>
            <w:tcBorders>
              <w:top w:val="single" w:sz="4" w:space="0" w:color="auto"/>
              <w:left w:val="single" w:sz="4" w:space="0" w:color="auto"/>
              <w:bottom w:val="single" w:sz="4" w:space="0" w:color="auto"/>
              <w:right w:val="single" w:sz="4" w:space="0" w:color="auto"/>
            </w:tcBorders>
            <w:vAlign w:val="center"/>
          </w:tcPr>
          <w:p w14:paraId="1CA6A0C9" w14:textId="1E5FF31F" w:rsidR="00FE5E3A" w:rsidRPr="003C63AC" w:rsidRDefault="00FE5E3A" w:rsidP="00FE5E3A">
            <w:pPr>
              <w:pStyle w:val="BodyText"/>
              <w:spacing w:before="60" w:after="60"/>
              <w:jc w:val="center"/>
              <w:rPr>
                <w:rFonts w:asciiTheme="majorHAnsi" w:hAnsiTheme="majorHAnsi"/>
                <w:sz w:val="18"/>
                <w:szCs w:val="22"/>
                <w:lang w:val="en-AU"/>
              </w:rPr>
            </w:pPr>
            <w:r>
              <w:rPr>
                <w:rFonts w:asciiTheme="majorHAnsi" w:hAnsiTheme="majorHAnsi"/>
                <w:sz w:val="18"/>
                <w:szCs w:val="22"/>
                <w:lang w:val="en-AU"/>
              </w:rPr>
              <w:t>B1</w:t>
            </w:r>
          </w:p>
        </w:tc>
      </w:tr>
      <w:tr w:rsidR="00FE5E3A" w:rsidRPr="008C4425" w14:paraId="5F1583B5" w14:textId="77777777" w:rsidTr="00A81E96">
        <w:trPr>
          <w:trHeight w:val="342"/>
        </w:trPr>
        <w:tc>
          <w:tcPr>
            <w:tcW w:w="2219" w:type="dxa"/>
            <w:tcBorders>
              <w:right w:val="single" w:sz="4" w:space="0" w:color="auto"/>
            </w:tcBorders>
          </w:tcPr>
          <w:p w14:paraId="2DB5AED7" w14:textId="77777777" w:rsidR="00FE5E3A" w:rsidRDefault="00FE5E3A" w:rsidP="00FE5E3A">
            <w:pPr>
              <w:pStyle w:val="BodyText"/>
              <w:spacing w:before="60" w:after="60"/>
              <w:jc w:val="left"/>
              <w:rPr>
                <w:rFonts w:asciiTheme="majorHAnsi" w:hAnsiTheme="majorHAnsi"/>
                <w:sz w:val="18"/>
                <w:szCs w:val="22"/>
                <w:lang w:val="en-AU"/>
              </w:rPr>
            </w:pPr>
          </w:p>
          <w:p w14:paraId="2F8D2DED" w14:textId="576A8D25" w:rsidR="00FE5E3A" w:rsidRPr="003C63AC" w:rsidRDefault="00FE5E3A" w:rsidP="00FE5E3A">
            <w:pPr>
              <w:pStyle w:val="BodyText"/>
              <w:spacing w:before="60" w:after="60"/>
              <w:jc w:val="left"/>
              <w:rPr>
                <w:rFonts w:asciiTheme="majorHAnsi" w:hAnsiTheme="majorHAnsi"/>
                <w:sz w:val="18"/>
                <w:szCs w:val="22"/>
                <w:lang w:val="en-AU"/>
              </w:rPr>
            </w:pPr>
          </w:p>
        </w:tc>
        <w:tc>
          <w:tcPr>
            <w:tcW w:w="7273" w:type="dxa"/>
            <w:gridSpan w:val="3"/>
            <w:tcBorders>
              <w:top w:val="single" w:sz="4" w:space="0" w:color="auto"/>
              <w:left w:val="single" w:sz="4" w:space="0" w:color="auto"/>
              <w:bottom w:val="single" w:sz="4" w:space="0" w:color="auto"/>
              <w:right w:val="single" w:sz="4" w:space="0" w:color="auto"/>
            </w:tcBorders>
          </w:tcPr>
          <w:p w14:paraId="5BE8842E" w14:textId="08839816" w:rsidR="00FE5E3A" w:rsidRDefault="00FE5E3A" w:rsidP="00FE5E3A">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A1 group refrigerants include the majority of HFCs and HCFCs.</w:t>
            </w:r>
          </w:p>
          <w:p w14:paraId="45CD956D" w14:textId="7C38777F" w:rsidR="00FE5E3A" w:rsidRDefault="00FE5E3A" w:rsidP="00FE5E3A">
            <w:pPr>
              <w:pStyle w:val="BodyText"/>
              <w:spacing w:before="60" w:after="60"/>
              <w:jc w:val="left"/>
              <w:rPr>
                <w:rFonts w:asciiTheme="majorHAnsi" w:hAnsiTheme="majorHAnsi"/>
                <w:sz w:val="18"/>
                <w:szCs w:val="22"/>
                <w:lang w:val="en-AU"/>
              </w:rPr>
            </w:pPr>
            <w:r w:rsidRPr="00B64A6D">
              <w:rPr>
                <w:rFonts w:asciiTheme="majorHAnsi" w:hAnsiTheme="majorHAnsi"/>
                <w:sz w:val="18"/>
                <w:szCs w:val="22"/>
                <w:lang w:val="en-AU"/>
              </w:rPr>
              <w:t xml:space="preserve">A2L group refrigerants include </w:t>
            </w:r>
            <w:r>
              <w:rPr>
                <w:rFonts w:asciiTheme="majorHAnsi" w:hAnsiTheme="majorHAnsi"/>
                <w:sz w:val="18"/>
                <w:szCs w:val="22"/>
                <w:lang w:val="en-AU"/>
              </w:rPr>
              <w:t>HFO-1234yf and HFC-32.</w:t>
            </w:r>
          </w:p>
          <w:p w14:paraId="232230DC" w14:textId="77777777" w:rsidR="00FE5E3A" w:rsidRDefault="00FE5E3A" w:rsidP="00FE5E3A">
            <w:pPr>
              <w:pStyle w:val="BodyText"/>
              <w:spacing w:before="60" w:after="60"/>
              <w:jc w:val="left"/>
              <w:rPr>
                <w:rFonts w:asciiTheme="majorHAnsi" w:hAnsiTheme="majorHAnsi"/>
                <w:sz w:val="18"/>
                <w:szCs w:val="22"/>
                <w:lang w:val="en-AU"/>
              </w:rPr>
            </w:pPr>
            <w:r w:rsidRPr="00B64A6D">
              <w:rPr>
                <w:rFonts w:asciiTheme="majorHAnsi" w:hAnsiTheme="majorHAnsi"/>
                <w:sz w:val="18"/>
                <w:szCs w:val="22"/>
                <w:lang w:val="en-AU"/>
              </w:rPr>
              <w:t>B2L group refrigerants include R717 (Ammonia).</w:t>
            </w:r>
          </w:p>
          <w:p w14:paraId="045F8247" w14:textId="743B5A78" w:rsidR="00FE5E3A" w:rsidRDefault="00FE5E3A" w:rsidP="00FE5E3A">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 xml:space="preserve">Refer to </w:t>
            </w:r>
            <w:r w:rsidRPr="007F3414">
              <w:rPr>
                <w:rFonts w:asciiTheme="majorHAnsi" w:hAnsiTheme="majorHAnsi"/>
                <w:sz w:val="18"/>
                <w:szCs w:val="22"/>
                <w:lang w:val="en-AU"/>
              </w:rPr>
              <w:t>AS/NZS ISO 817</w:t>
            </w:r>
            <w:r>
              <w:rPr>
                <w:rFonts w:asciiTheme="majorHAnsi" w:hAnsiTheme="majorHAnsi"/>
                <w:sz w:val="18"/>
                <w:szCs w:val="22"/>
                <w:lang w:val="en-AU"/>
              </w:rPr>
              <w:t>, Supplier Material Data Sheets and equipment supplier Installation Guidelines for further details.</w:t>
            </w:r>
          </w:p>
        </w:tc>
      </w:tr>
      <w:tr w:rsidR="00FE5E3A" w:rsidRPr="008C4425" w14:paraId="5333C903" w14:textId="77777777" w:rsidTr="00A81E96">
        <w:trPr>
          <w:trHeight w:val="342"/>
        </w:trPr>
        <w:tc>
          <w:tcPr>
            <w:tcW w:w="2219" w:type="dxa"/>
          </w:tcPr>
          <w:p w14:paraId="0356BCE3" w14:textId="52684484" w:rsidR="00FE5E3A" w:rsidRDefault="00FE5E3A" w:rsidP="00FE5E3A">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Refrigerant consumption</w:t>
            </w:r>
          </w:p>
        </w:tc>
        <w:tc>
          <w:tcPr>
            <w:tcW w:w="7273" w:type="dxa"/>
            <w:gridSpan w:val="3"/>
            <w:tcBorders>
              <w:top w:val="single" w:sz="4" w:space="0" w:color="auto"/>
            </w:tcBorders>
          </w:tcPr>
          <w:p w14:paraId="3198EFC9" w14:textId="371475A5" w:rsidR="00FE5E3A" w:rsidRPr="00090C58" w:rsidRDefault="00FE5E3A" w:rsidP="00FE5E3A">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 xml:space="preserve">The Montreal Protocol definition of consumption is bulk imports plus </w:t>
            </w:r>
            <w:r>
              <w:rPr>
                <w:rFonts w:asciiTheme="majorHAnsi" w:hAnsiTheme="majorHAnsi"/>
                <w:sz w:val="18"/>
                <w:szCs w:val="22"/>
                <w:lang w:val="en-AU"/>
              </w:rPr>
              <w:t xml:space="preserve">refrigerant </w:t>
            </w:r>
            <w:r w:rsidRPr="003C63AC">
              <w:rPr>
                <w:rFonts w:asciiTheme="majorHAnsi" w:hAnsiTheme="majorHAnsi"/>
                <w:sz w:val="18"/>
                <w:szCs w:val="22"/>
                <w:lang w:val="en-AU"/>
              </w:rPr>
              <w:t>manufactur</w:t>
            </w:r>
            <w:r>
              <w:rPr>
                <w:rFonts w:asciiTheme="majorHAnsi" w:hAnsiTheme="majorHAnsi"/>
                <w:sz w:val="18"/>
                <w:szCs w:val="22"/>
                <w:lang w:val="en-AU"/>
              </w:rPr>
              <w:t>e</w:t>
            </w:r>
            <w:r w:rsidRPr="003C63AC">
              <w:rPr>
                <w:rFonts w:asciiTheme="majorHAnsi" w:hAnsiTheme="majorHAnsi"/>
                <w:sz w:val="18"/>
                <w:szCs w:val="22"/>
                <w:lang w:val="en-AU"/>
              </w:rPr>
              <w:t xml:space="preserve"> minus </w:t>
            </w:r>
            <w:r>
              <w:rPr>
                <w:rFonts w:asciiTheme="majorHAnsi" w:hAnsiTheme="majorHAnsi"/>
                <w:sz w:val="18"/>
                <w:szCs w:val="22"/>
                <w:lang w:val="en-AU"/>
              </w:rPr>
              <w:t xml:space="preserve">bulk </w:t>
            </w:r>
            <w:r w:rsidRPr="003C63AC">
              <w:rPr>
                <w:rFonts w:asciiTheme="majorHAnsi" w:hAnsiTheme="majorHAnsi"/>
                <w:sz w:val="18"/>
                <w:szCs w:val="22"/>
                <w:lang w:val="en-AU"/>
              </w:rPr>
              <w:t xml:space="preserve">exports. Australian has not manufactured refrigerant since 1996. Bulk refrigerant is imported and </w:t>
            </w:r>
            <w:r>
              <w:rPr>
                <w:rFonts w:asciiTheme="majorHAnsi" w:hAnsiTheme="majorHAnsi"/>
                <w:sz w:val="18"/>
                <w:szCs w:val="22"/>
                <w:lang w:val="en-AU"/>
              </w:rPr>
              <w:t>used</w:t>
            </w:r>
            <w:r w:rsidRPr="003C63AC">
              <w:rPr>
                <w:rFonts w:asciiTheme="majorHAnsi" w:hAnsiTheme="majorHAnsi"/>
                <w:sz w:val="18"/>
                <w:szCs w:val="22"/>
                <w:lang w:val="en-AU"/>
              </w:rPr>
              <w:t xml:space="preserve"> largely for servicing the existing refrigerant bank of equipment, as well as charging new equipment not imported as pre-charged equipment (PCE) and in other applications including foams, fire protection, aerosols, export and other.</w:t>
            </w:r>
            <w:r>
              <w:rPr>
                <w:rFonts w:asciiTheme="majorHAnsi" w:hAnsiTheme="majorHAnsi"/>
                <w:sz w:val="18"/>
                <w:szCs w:val="22"/>
                <w:lang w:val="en-AU"/>
              </w:rPr>
              <w:t xml:space="preserve"> </w:t>
            </w:r>
            <w:r>
              <w:rPr>
                <w:rFonts w:asciiTheme="majorHAnsi" w:hAnsiTheme="majorHAnsi"/>
                <w:sz w:val="18"/>
                <w:szCs w:val="22"/>
              </w:rPr>
              <w:t>Refer definition refrigerant usage.</w:t>
            </w:r>
          </w:p>
        </w:tc>
      </w:tr>
      <w:tr w:rsidR="00FE5E3A" w:rsidRPr="008C4425" w14:paraId="46742F31" w14:textId="77777777" w:rsidTr="00A81E96">
        <w:trPr>
          <w:trHeight w:val="342"/>
        </w:trPr>
        <w:tc>
          <w:tcPr>
            <w:tcW w:w="2219" w:type="dxa"/>
          </w:tcPr>
          <w:p w14:paraId="04B34D83" w14:textId="77777777" w:rsidR="00FE5E3A" w:rsidRDefault="00FE5E3A" w:rsidP="00FE5E3A">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Refrigerant decanting into tradable quantities</w:t>
            </w:r>
          </w:p>
        </w:tc>
        <w:tc>
          <w:tcPr>
            <w:tcW w:w="7273" w:type="dxa"/>
            <w:gridSpan w:val="3"/>
          </w:tcPr>
          <w:p w14:paraId="6DB150C3" w14:textId="26F202A6" w:rsidR="00FE5E3A" w:rsidRPr="00090C58" w:rsidRDefault="00FE5E3A" w:rsidP="00FE5E3A">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There are three significant import</w:t>
            </w:r>
            <w:r>
              <w:rPr>
                <w:rFonts w:asciiTheme="majorHAnsi" w:hAnsiTheme="majorHAnsi"/>
                <w:sz w:val="18"/>
                <w:szCs w:val="22"/>
                <w:lang w:val="en-AU"/>
              </w:rPr>
              <w:t>/</w:t>
            </w:r>
            <w:r w:rsidRPr="003C63AC">
              <w:rPr>
                <w:rFonts w:asciiTheme="majorHAnsi" w:hAnsiTheme="majorHAnsi"/>
                <w:sz w:val="18"/>
                <w:szCs w:val="22"/>
                <w:lang w:val="en-AU"/>
              </w:rPr>
              <w:t>decanting facilities in Australia. Gas is decanted at these sites into thousands of cylinders ranging in size through 10 kg, 18 kg, 60 kg and larger transportable tanks. Transportable tanks with a volumetric capacity of approximately 900 litres are com</w:t>
            </w:r>
            <w:r w:rsidRPr="00AD4F11">
              <w:rPr>
                <w:rFonts w:asciiTheme="majorHAnsi" w:hAnsiTheme="majorHAnsi"/>
                <w:sz w:val="18"/>
                <w:szCs w:val="22"/>
                <w:lang w:val="en-AU"/>
              </w:rPr>
              <w:t>monly referred to as ‘one tonners’, and ‘half tonners’ for tanks with a 450 litres capacity. These transportable tanks can contain between 400 kg and 700 kg of product depending on the gas involved.</w:t>
            </w:r>
          </w:p>
        </w:tc>
      </w:tr>
      <w:tr w:rsidR="00FE5E3A" w:rsidRPr="008C4425" w14:paraId="35637F86" w14:textId="77777777" w:rsidTr="00A81E96">
        <w:trPr>
          <w:trHeight w:val="342"/>
        </w:trPr>
        <w:tc>
          <w:tcPr>
            <w:tcW w:w="2219" w:type="dxa"/>
          </w:tcPr>
          <w:p w14:paraId="7243496F" w14:textId="77777777" w:rsidR="00FE5E3A" w:rsidRPr="008C4425" w:rsidRDefault="00FE5E3A" w:rsidP="00FE5E3A">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glide</w:t>
            </w:r>
          </w:p>
        </w:tc>
        <w:tc>
          <w:tcPr>
            <w:tcW w:w="7273" w:type="dxa"/>
            <w:gridSpan w:val="3"/>
          </w:tcPr>
          <w:p w14:paraId="1A6510FA" w14:textId="17032AC3" w:rsidR="00FE5E3A" w:rsidRPr="00090C58" w:rsidRDefault="00FE5E3A" w:rsidP="00FE5E3A">
            <w:pPr>
              <w:pStyle w:val="BodyText"/>
              <w:spacing w:before="60" w:after="60"/>
              <w:rPr>
                <w:rFonts w:asciiTheme="majorHAnsi" w:hAnsiTheme="majorHAnsi"/>
                <w:sz w:val="18"/>
                <w:szCs w:val="22"/>
                <w:lang w:val="en-AU"/>
              </w:rPr>
            </w:pPr>
            <w:r w:rsidRPr="00090C58">
              <w:rPr>
                <w:rFonts w:asciiTheme="majorHAnsi" w:hAnsiTheme="majorHAnsi"/>
                <w:sz w:val="18"/>
                <w:szCs w:val="22"/>
                <w:lang w:val="en-AU"/>
              </w:rPr>
              <w:t xml:space="preserve">The difference between the saturated vapour temperature (or dew </w:t>
            </w:r>
            <w:r w:rsidR="00066CDA" w:rsidRPr="00090C58">
              <w:rPr>
                <w:rFonts w:asciiTheme="majorHAnsi" w:hAnsiTheme="majorHAnsi"/>
                <w:sz w:val="18"/>
                <w:szCs w:val="22"/>
                <w:lang w:val="en-AU"/>
              </w:rPr>
              <w:t>point</w:t>
            </w:r>
            <w:r w:rsidR="00066CDA">
              <w:rPr>
                <w:rFonts w:asciiTheme="majorHAnsi" w:hAnsiTheme="majorHAnsi"/>
                <w:sz w:val="18"/>
                <w:szCs w:val="22"/>
                <w:lang w:val="en-AU"/>
              </w:rPr>
              <w:t>, the</w:t>
            </w:r>
            <w:r w:rsidRPr="00090C58">
              <w:rPr>
                <w:rFonts w:asciiTheme="majorHAnsi" w:hAnsiTheme="majorHAnsi"/>
                <w:sz w:val="18"/>
                <w:szCs w:val="22"/>
                <w:lang w:val="en-AU"/>
              </w:rPr>
              <w:t xml:space="preserve"> temperature at which all of the refrigerant has been condensed to liquid) and the saturated liquid temperature (temperature at which a liquid refrigerant first begins to boil in the evaporator) is referred to as the temperature glide of the refrigerant.</w:t>
            </w:r>
          </w:p>
          <w:p w14:paraId="3248FECB" w14:textId="77777777" w:rsidR="00FE5E3A" w:rsidRPr="008C4425" w:rsidRDefault="00FE5E3A" w:rsidP="00FE5E3A">
            <w:pPr>
              <w:pStyle w:val="BodyText"/>
              <w:spacing w:before="60" w:after="60"/>
              <w:rPr>
                <w:rFonts w:asciiTheme="majorHAnsi" w:hAnsiTheme="majorHAnsi"/>
                <w:sz w:val="18"/>
                <w:szCs w:val="22"/>
                <w:lang w:val="en-AU"/>
              </w:rPr>
            </w:pPr>
            <w:r w:rsidRPr="00090C58">
              <w:rPr>
                <w:rFonts w:asciiTheme="majorHAnsi" w:hAnsiTheme="majorHAnsi"/>
                <w:sz w:val="18"/>
                <w:szCs w:val="22"/>
                <w:lang w:val="en-AU"/>
              </w:rPr>
              <w:t>At a given pressure, single component refrigerants such as HFC-134a have zero glide</w:t>
            </w:r>
            <w:r>
              <w:rPr>
                <w:rFonts w:asciiTheme="majorHAnsi" w:hAnsiTheme="majorHAnsi"/>
                <w:sz w:val="18"/>
                <w:szCs w:val="22"/>
                <w:lang w:val="en-AU"/>
              </w:rPr>
              <w:t xml:space="preserve"> and are therefore azeotropes</w:t>
            </w:r>
            <w:r w:rsidRPr="00090C58">
              <w:rPr>
                <w:rFonts w:asciiTheme="majorHAnsi" w:hAnsiTheme="majorHAnsi"/>
                <w:sz w:val="18"/>
                <w:szCs w:val="22"/>
                <w:lang w:val="en-AU"/>
              </w:rPr>
              <w:t xml:space="preserve">. Refrigerant mixtures (blends) behave somewhat differently and have measurable temperature glide when they evaporate (boil) and condense at a constant pressure. </w:t>
            </w:r>
            <w:r>
              <w:rPr>
                <w:rFonts w:asciiTheme="majorHAnsi" w:hAnsiTheme="majorHAnsi"/>
                <w:sz w:val="18"/>
                <w:szCs w:val="22"/>
                <w:lang w:val="en-AU"/>
              </w:rPr>
              <w:t>HFC-507A is an azeotropic blend whereas HFC-404A is a near azeotrope</w:t>
            </w:r>
            <w:r w:rsidRPr="00090C58">
              <w:rPr>
                <w:rFonts w:asciiTheme="majorHAnsi" w:hAnsiTheme="majorHAnsi"/>
                <w:sz w:val="18"/>
                <w:szCs w:val="22"/>
                <w:lang w:val="en-AU"/>
              </w:rPr>
              <w:t>.</w:t>
            </w:r>
          </w:p>
        </w:tc>
      </w:tr>
      <w:tr w:rsidR="00FE5E3A" w:rsidRPr="008C4425" w14:paraId="27CFB4E3" w14:textId="77777777" w:rsidTr="00A81E96">
        <w:trPr>
          <w:trHeight w:val="342"/>
        </w:trPr>
        <w:tc>
          <w:tcPr>
            <w:tcW w:w="2219" w:type="dxa"/>
          </w:tcPr>
          <w:p w14:paraId="451FFFFC" w14:textId="77777777" w:rsidR="00FE5E3A" w:rsidRPr="008C4425" w:rsidRDefault="00FE5E3A" w:rsidP="00FE5E3A">
            <w:pPr>
              <w:pStyle w:val="BodyText"/>
              <w:spacing w:before="60" w:after="60"/>
              <w:jc w:val="left"/>
              <w:rPr>
                <w:rFonts w:asciiTheme="majorHAnsi" w:hAnsiTheme="majorHAnsi"/>
                <w:sz w:val="18"/>
                <w:szCs w:val="22"/>
              </w:rPr>
            </w:pPr>
            <w:r>
              <w:rPr>
                <w:rFonts w:asciiTheme="majorHAnsi" w:hAnsiTheme="majorHAnsi"/>
                <w:sz w:val="18"/>
                <w:szCs w:val="22"/>
                <w:lang w:val="en-AU"/>
              </w:rPr>
              <w:t>R</w:t>
            </w:r>
            <w:r w:rsidRPr="008C4425">
              <w:rPr>
                <w:rFonts w:asciiTheme="majorHAnsi" w:hAnsiTheme="majorHAnsi"/>
                <w:sz w:val="18"/>
                <w:szCs w:val="22"/>
                <w:lang w:val="en-AU"/>
              </w:rPr>
              <w:t>efrigerant leak rate</w:t>
            </w:r>
            <w:r>
              <w:rPr>
                <w:rFonts w:asciiTheme="majorHAnsi" w:hAnsiTheme="majorHAnsi"/>
                <w:sz w:val="18"/>
                <w:szCs w:val="22"/>
                <w:lang w:val="en-AU"/>
              </w:rPr>
              <w:t xml:space="preserve"> or effective leak rate</w:t>
            </w:r>
          </w:p>
        </w:tc>
        <w:tc>
          <w:tcPr>
            <w:tcW w:w="7273" w:type="dxa"/>
            <w:gridSpan w:val="3"/>
          </w:tcPr>
          <w:p w14:paraId="77AC4B3F" w14:textId="53DD5789" w:rsidR="00FE5E3A" w:rsidRPr="008C4425" w:rsidRDefault="00FE5E3A" w:rsidP="00C2253E">
            <w:pPr>
              <w:pStyle w:val="BodyText"/>
              <w:spacing w:before="60" w:after="60"/>
              <w:rPr>
                <w:rFonts w:asciiTheme="majorHAnsi" w:hAnsiTheme="majorHAnsi"/>
                <w:sz w:val="18"/>
                <w:szCs w:val="22"/>
              </w:rPr>
            </w:pPr>
            <w:r w:rsidRPr="009F6B38">
              <w:rPr>
                <w:rFonts w:asciiTheme="majorHAnsi" w:hAnsiTheme="majorHAnsi"/>
                <w:sz w:val="18"/>
                <w:szCs w:val="22"/>
                <w:lang w:val="en-AU"/>
              </w:rPr>
              <w:t xml:space="preserve">The leak rate referred to in this report is expressed as a percentage of the initial charge </w:t>
            </w:r>
            <w:r>
              <w:rPr>
                <w:rFonts w:asciiTheme="majorHAnsi" w:hAnsiTheme="majorHAnsi"/>
                <w:sz w:val="18"/>
                <w:szCs w:val="22"/>
                <w:lang w:val="en-AU"/>
              </w:rPr>
              <w:t xml:space="preserve">lost </w:t>
            </w:r>
            <w:r w:rsidRPr="009F6B38">
              <w:rPr>
                <w:rFonts w:asciiTheme="majorHAnsi" w:hAnsiTheme="majorHAnsi"/>
                <w:sz w:val="18"/>
                <w:szCs w:val="22"/>
                <w:lang w:val="en-AU"/>
              </w:rPr>
              <w:t>per annum and is calculated as the sum of gradual leaks during normal operation plus</w:t>
            </w:r>
            <w:r w:rsidR="00C2253E">
              <w:rPr>
                <w:rFonts w:asciiTheme="majorHAnsi" w:hAnsiTheme="majorHAnsi"/>
                <w:sz w:val="18"/>
                <w:szCs w:val="22"/>
                <w:lang w:val="en-AU"/>
              </w:rPr>
              <w:t>:</w:t>
            </w:r>
            <w:r w:rsidRPr="009F6B38">
              <w:rPr>
                <w:rFonts w:asciiTheme="majorHAnsi" w:hAnsiTheme="majorHAnsi"/>
                <w:sz w:val="18"/>
                <w:szCs w:val="22"/>
                <w:lang w:val="en-AU"/>
              </w:rPr>
              <w:t xml:space="preserve"> catastrophic losses amortised over the life of the equipment; losses during service and maintenance;</w:t>
            </w:r>
            <w:r w:rsidR="008207C1">
              <w:rPr>
                <w:rFonts w:asciiTheme="majorHAnsi" w:hAnsiTheme="majorHAnsi"/>
                <w:sz w:val="18"/>
                <w:szCs w:val="22"/>
                <w:lang w:val="en-AU"/>
              </w:rPr>
              <w:t xml:space="preserve"> </w:t>
            </w:r>
            <w:r w:rsidR="00C2253E">
              <w:rPr>
                <w:rFonts w:asciiTheme="majorHAnsi" w:hAnsiTheme="majorHAnsi"/>
                <w:sz w:val="18"/>
                <w:szCs w:val="22"/>
                <w:lang w:val="en-AU"/>
              </w:rPr>
              <w:t>and</w:t>
            </w:r>
            <w:r w:rsidR="008207C1">
              <w:rPr>
                <w:rFonts w:asciiTheme="majorHAnsi" w:hAnsiTheme="majorHAnsi"/>
                <w:sz w:val="18"/>
                <w:szCs w:val="22"/>
                <w:lang w:val="en-AU"/>
              </w:rPr>
              <w:t>,</w:t>
            </w:r>
            <w:r w:rsidRPr="009F6B38">
              <w:rPr>
                <w:rFonts w:asciiTheme="majorHAnsi" w:hAnsiTheme="majorHAnsi"/>
                <w:sz w:val="18"/>
                <w:szCs w:val="22"/>
                <w:lang w:val="en-AU"/>
              </w:rPr>
              <w:t xml:space="preserve"> gas is lost along the supply chain. In the case of mobile air conditioning equipment, the annual leak rate takes into account losses from vehicle crashes, which are classed as catastrophic losses.</w:t>
            </w:r>
          </w:p>
        </w:tc>
      </w:tr>
      <w:tr w:rsidR="00FE5E3A" w:rsidRPr="008C4425" w14:paraId="39F32C39" w14:textId="77777777" w:rsidTr="00A81E96">
        <w:trPr>
          <w:trHeight w:val="342"/>
        </w:trPr>
        <w:tc>
          <w:tcPr>
            <w:tcW w:w="2219" w:type="dxa"/>
          </w:tcPr>
          <w:p w14:paraId="4085E422" w14:textId="65E89812" w:rsidR="00FE5E3A" w:rsidRPr="008C4425" w:rsidRDefault="00FE5E3A" w:rsidP="00FE5E3A">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reclamation</w:t>
            </w:r>
          </w:p>
        </w:tc>
        <w:tc>
          <w:tcPr>
            <w:tcW w:w="7273" w:type="dxa"/>
            <w:gridSpan w:val="3"/>
          </w:tcPr>
          <w:p w14:paraId="6B8DCCB5" w14:textId="16F0AFDD" w:rsidR="00456071" w:rsidRPr="008C4425" w:rsidRDefault="00FE5E3A" w:rsidP="00C2253E">
            <w:pPr>
              <w:pStyle w:val="BodyText"/>
              <w:spacing w:before="60" w:after="60"/>
              <w:rPr>
                <w:rFonts w:asciiTheme="majorHAnsi" w:hAnsiTheme="majorHAnsi"/>
                <w:sz w:val="18"/>
                <w:szCs w:val="22"/>
                <w:lang w:val="en-AU"/>
              </w:rPr>
            </w:pPr>
            <w:r w:rsidRPr="002C7BF0">
              <w:rPr>
                <w:rFonts w:asciiTheme="majorHAnsi" w:hAnsiTheme="majorHAnsi"/>
                <w:sz w:val="18"/>
                <w:szCs w:val="22"/>
                <w:lang w:val="en-AU"/>
              </w:rPr>
              <w:t xml:space="preserve">Refrigerant reclamation </w:t>
            </w:r>
            <w:r w:rsidR="00456071" w:rsidRPr="00456071">
              <w:rPr>
                <w:rFonts w:asciiTheme="majorHAnsi" w:hAnsiTheme="majorHAnsi"/>
                <w:sz w:val="18"/>
                <w:szCs w:val="22"/>
                <w:lang w:val="en-AU"/>
              </w:rPr>
              <w:t xml:space="preserve">refers to the reprocessing of used refrigerants to AHRI 700 specifications, most commonly by a process of fractional distillation. </w:t>
            </w:r>
            <w:r>
              <w:rPr>
                <w:rFonts w:asciiTheme="majorHAnsi" w:hAnsiTheme="majorHAnsi"/>
                <w:sz w:val="18"/>
                <w:szCs w:val="22"/>
                <w:lang w:val="en-AU"/>
              </w:rPr>
              <w:t>A</w:t>
            </w:r>
            <w:r w:rsidR="00456071">
              <w:rPr>
                <w:rFonts w:asciiTheme="majorHAnsi" w:hAnsiTheme="majorHAnsi"/>
                <w:sz w:val="18"/>
                <w:szCs w:val="22"/>
                <w:lang w:val="en-AU"/>
              </w:rPr>
              <w:t>H</w:t>
            </w:r>
            <w:r>
              <w:rPr>
                <w:rFonts w:asciiTheme="majorHAnsi" w:hAnsiTheme="majorHAnsi"/>
                <w:sz w:val="18"/>
                <w:szCs w:val="22"/>
                <w:lang w:val="en-AU"/>
              </w:rPr>
              <w:t xml:space="preserve">RI 700 </w:t>
            </w:r>
            <w:r w:rsidRPr="002C7BF0">
              <w:rPr>
                <w:rFonts w:asciiTheme="majorHAnsi" w:hAnsiTheme="majorHAnsi"/>
                <w:sz w:val="18"/>
                <w:szCs w:val="22"/>
                <w:lang w:val="en-AU"/>
              </w:rPr>
              <w:t>establish</w:t>
            </w:r>
            <w:r>
              <w:rPr>
                <w:rFonts w:asciiTheme="majorHAnsi" w:hAnsiTheme="majorHAnsi"/>
                <w:sz w:val="18"/>
                <w:szCs w:val="22"/>
                <w:lang w:val="en-AU"/>
              </w:rPr>
              <w:t>es</w:t>
            </w:r>
            <w:r w:rsidRPr="002C7BF0">
              <w:rPr>
                <w:rFonts w:asciiTheme="majorHAnsi" w:hAnsiTheme="majorHAnsi"/>
                <w:sz w:val="18"/>
                <w:szCs w:val="22"/>
                <w:lang w:val="en-AU"/>
              </w:rPr>
              <w:t xml:space="preserve"> purity specifications</w:t>
            </w:r>
            <w:r>
              <w:rPr>
                <w:rFonts w:asciiTheme="majorHAnsi" w:hAnsiTheme="majorHAnsi"/>
                <w:sz w:val="18"/>
                <w:szCs w:val="22"/>
                <w:lang w:val="en-AU"/>
              </w:rPr>
              <w:t xml:space="preserve"> </w:t>
            </w:r>
            <w:r w:rsidRPr="002C7BF0">
              <w:rPr>
                <w:rFonts w:asciiTheme="majorHAnsi" w:hAnsiTheme="majorHAnsi"/>
                <w:sz w:val="18"/>
                <w:szCs w:val="22"/>
                <w:lang w:val="en-AU"/>
              </w:rPr>
              <w:t xml:space="preserve">and </w:t>
            </w:r>
            <w:r>
              <w:rPr>
                <w:rFonts w:asciiTheme="majorHAnsi" w:hAnsiTheme="majorHAnsi"/>
                <w:sz w:val="18"/>
                <w:szCs w:val="22"/>
                <w:lang w:val="en-AU"/>
              </w:rPr>
              <w:t>specifies</w:t>
            </w:r>
            <w:r w:rsidRPr="002C7BF0">
              <w:rPr>
                <w:rFonts w:asciiTheme="majorHAnsi" w:hAnsiTheme="majorHAnsi"/>
                <w:sz w:val="18"/>
                <w:szCs w:val="22"/>
                <w:lang w:val="en-AU"/>
              </w:rPr>
              <w:t xml:space="preserve"> methods of testing for fluorocarbon refrigerants to verify composition regardless of source (new, reclaimed and/or repackaged).</w:t>
            </w:r>
            <w:r w:rsidR="00456071">
              <w:rPr>
                <w:rFonts w:asciiTheme="majorHAnsi" w:hAnsiTheme="majorHAnsi"/>
                <w:sz w:val="18"/>
                <w:szCs w:val="22"/>
                <w:lang w:val="en-AU"/>
              </w:rPr>
              <w:t xml:space="preserve"> </w:t>
            </w:r>
            <w:r w:rsidR="00456071" w:rsidRPr="00456071">
              <w:rPr>
                <w:rFonts w:asciiTheme="majorHAnsi" w:hAnsiTheme="majorHAnsi"/>
                <w:sz w:val="18"/>
                <w:szCs w:val="22"/>
                <w:lang w:val="en-AU"/>
              </w:rPr>
              <w:t>The quality of the reclaimed product must be verified by chemical analysis</w:t>
            </w:r>
            <w:r w:rsidR="00456071">
              <w:rPr>
                <w:rFonts w:asciiTheme="majorHAnsi" w:hAnsiTheme="majorHAnsi"/>
                <w:sz w:val="18"/>
                <w:szCs w:val="22"/>
                <w:lang w:val="en-AU"/>
              </w:rPr>
              <w:t xml:space="preserve"> and meet or exceed </w:t>
            </w:r>
            <w:r w:rsidR="00456071" w:rsidRPr="002C7BF0">
              <w:rPr>
                <w:rFonts w:asciiTheme="majorHAnsi" w:hAnsiTheme="majorHAnsi"/>
                <w:sz w:val="18"/>
                <w:szCs w:val="22"/>
                <w:lang w:val="en-AU"/>
              </w:rPr>
              <w:t>A</w:t>
            </w:r>
            <w:r w:rsidR="00D11BA2">
              <w:rPr>
                <w:rFonts w:asciiTheme="majorHAnsi" w:hAnsiTheme="majorHAnsi"/>
                <w:sz w:val="18"/>
                <w:szCs w:val="22"/>
                <w:lang w:val="en-AU"/>
              </w:rPr>
              <w:t>H</w:t>
            </w:r>
            <w:r w:rsidR="00456071" w:rsidRPr="002C7BF0">
              <w:rPr>
                <w:rFonts w:asciiTheme="majorHAnsi" w:hAnsiTheme="majorHAnsi"/>
                <w:sz w:val="18"/>
                <w:szCs w:val="22"/>
                <w:lang w:val="en-AU"/>
              </w:rPr>
              <w:t xml:space="preserve">RI 700 </w:t>
            </w:r>
            <w:r w:rsidR="00C2253E">
              <w:rPr>
                <w:rFonts w:asciiTheme="majorHAnsi" w:hAnsiTheme="majorHAnsi"/>
                <w:sz w:val="18"/>
                <w:szCs w:val="22"/>
                <w:lang w:val="en-AU"/>
              </w:rPr>
              <w:t>s</w:t>
            </w:r>
            <w:r w:rsidR="00456071" w:rsidRPr="002C7BF0">
              <w:rPr>
                <w:rFonts w:asciiTheme="majorHAnsi" w:hAnsiTheme="majorHAnsi"/>
                <w:sz w:val="18"/>
                <w:szCs w:val="22"/>
                <w:lang w:val="en-AU"/>
              </w:rPr>
              <w:t>pecification</w:t>
            </w:r>
            <w:r w:rsidR="00C2253E">
              <w:rPr>
                <w:rFonts w:asciiTheme="majorHAnsi" w:hAnsiTheme="majorHAnsi"/>
                <w:sz w:val="18"/>
                <w:szCs w:val="22"/>
                <w:lang w:val="en-AU"/>
              </w:rPr>
              <w:t>s</w:t>
            </w:r>
            <w:r w:rsidR="00456071">
              <w:rPr>
                <w:rFonts w:asciiTheme="majorHAnsi" w:hAnsiTheme="majorHAnsi"/>
                <w:sz w:val="18"/>
                <w:szCs w:val="22"/>
                <w:lang w:val="en-AU"/>
              </w:rPr>
              <w:t xml:space="preserve"> </w:t>
            </w:r>
            <w:r w:rsidR="00456071" w:rsidRPr="00453245">
              <w:rPr>
                <w:rFonts w:asciiTheme="majorHAnsi" w:hAnsiTheme="majorHAnsi"/>
                <w:sz w:val="18"/>
                <w:szCs w:val="22"/>
                <w:lang w:val="en-AU"/>
              </w:rPr>
              <w:t>which are the same standards required of virgin refrigerants</w:t>
            </w:r>
            <w:r w:rsidR="00456071">
              <w:rPr>
                <w:rFonts w:asciiTheme="majorHAnsi" w:hAnsiTheme="majorHAnsi"/>
                <w:sz w:val="18"/>
                <w:szCs w:val="22"/>
                <w:lang w:val="en-AU"/>
              </w:rPr>
              <w:t>.</w:t>
            </w:r>
          </w:p>
        </w:tc>
      </w:tr>
      <w:tr w:rsidR="00FE5E3A" w:rsidRPr="008C4425" w14:paraId="571D1AEA" w14:textId="77777777" w:rsidTr="00A81E96">
        <w:trPr>
          <w:trHeight w:val="342"/>
        </w:trPr>
        <w:tc>
          <w:tcPr>
            <w:tcW w:w="2219" w:type="dxa"/>
          </w:tcPr>
          <w:p w14:paraId="665B2BD3"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Refrigerant recovery</w:t>
            </w:r>
          </w:p>
        </w:tc>
        <w:tc>
          <w:tcPr>
            <w:tcW w:w="7273" w:type="dxa"/>
            <w:gridSpan w:val="3"/>
          </w:tcPr>
          <w:p w14:paraId="52AD22CE" w14:textId="1EC0E8B3" w:rsidR="00FE5E3A" w:rsidRPr="008C4425" w:rsidRDefault="00456071" w:rsidP="00FE5E3A">
            <w:pPr>
              <w:pStyle w:val="BodyText"/>
              <w:spacing w:before="60" w:after="60"/>
              <w:rPr>
                <w:rFonts w:asciiTheme="majorHAnsi" w:hAnsiTheme="majorHAnsi"/>
                <w:sz w:val="18"/>
                <w:szCs w:val="22"/>
              </w:rPr>
            </w:pPr>
            <w:r w:rsidRPr="00456071">
              <w:rPr>
                <w:rFonts w:asciiTheme="majorHAnsi" w:hAnsiTheme="majorHAnsi"/>
                <w:sz w:val="18"/>
                <w:szCs w:val="22"/>
                <w:lang w:val="en-AU"/>
              </w:rPr>
              <w:t>Recovery refers to the removal of refrigerants from equipment and collection in an approved recovery container. As defined by the AHRI, recovery does not involve processing or analytical testing.</w:t>
            </w:r>
          </w:p>
        </w:tc>
      </w:tr>
      <w:tr w:rsidR="00FE5E3A" w:rsidRPr="008C4425" w14:paraId="48E9EE50" w14:textId="77777777" w:rsidTr="00A81E96">
        <w:trPr>
          <w:trHeight w:val="342"/>
        </w:trPr>
        <w:tc>
          <w:tcPr>
            <w:tcW w:w="2219" w:type="dxa"/>
          </w:tcPr>
          <w:p w14:paraId="3CB13729" w14:textId="68C8B3BF" w:rsidR="00FE5E3A" w:rsidRDefault="00FE5E3A" w:rsidP="00FE5E3A">
            <w:pPr>
              <w:pStyle w:val="BodyText"/>
              <w:spacing w:before="60" w:after="60"/>
              <w:jc w:val="left"/>
              <w:rPr>
                <w:rFonts w:asciiTheme="majorHAnsi" w:hAnsiTheme="majorHAnsi"/>
                <w:sz w:val="18"/>
                <w:szCs w:val="22"/>
              </w:rPr>
            </w:pPr>
            <w:r>
              <w:rPr>
                <w:rFonts w:asciiTheme="majorHAnsi" w:hAnsiTheme="majorHAnsi"/>
                <w:sz w:val="18"/>
                <w:szCs w:val="22"/>
              </w:rPr>
              <w:t>Refrigerant species</w:t>
            </w:r>
          </w:p>
        </w:tc>
        <w:tc>
          <w:tcPr>
            <w:tcW w:w="7273" w:type="dxa"/>
            <w:gridSpan w:val="3"/>
          </w:tcPr>
          <w:p w14:paraId="759DFC6E" w14:textId="3A44499C" w:rsidR="00FE5E3A" w:rsidRPr="008C4425" w:rsidRDefault="00FE5E3A" w:rsidP="00FE5E3A">
            <w:pPr>
              <w:pStyle w:val="BodyText"/>
              <w:spacing w:before="60" w:after="60"/>
              <w:rPr>
                <w:rFonts w:asciiTheme="majorHAnsi" w:hAnsiTheme="majorHAnsi"/>
                <w:sz w:val="18"/>
                <w:szCs w:val="22"/>
              </w:rPr>
            </w:pPr>
            <w:r w:rsidRPr="00703A81">
              <w:rPr>
                <w:rFonts w:asciiTheme="majorHAnsi" w:hAnsiTheme="majorHAnsi"/>
                <w:sz w:val="18"/>
                <w:szCs w:val="22"/>
              </w:rPr>
              <w:t xml:space="preserve">A </w:t>
            </w:r>
            <w:r>
              <w:rPr>
                <w:rFonts w:asciiTheme="majorHAnsi" w:hAnsiTheme="majorHAnsi"/>
                <w:sz w:val="18"/>
                <w:szCs w:val="22"/>
              </w:rPr>
              <w:t xml:space="preserve">refrigerant </w:t>
            </w:r>
            <w:r w:rsidRPr="00703A81">
              <w:rPr>
                <w:rFonts w:asciiTheme="majorHAnsi" w:hAnsiTheme="majorHAnsi"/>
                <w:sz w:val="18"/>
                <w:szCs w:val="22"/>
              </w:rPr>
              <w:t>species is defined as a refrigerant category based on its chemical family. For example CFCs, HCFCs and HFCs are all synthetic gases and are defined as different gas species. Similarly hydrocarbon refrigerant is another gas species, and HC-600a, HC-290 and HC-436 (a blend of HC-600a and HC-290) refrigerants are all part of this family. Other gas species include anhydrous ammonia and carbon dioxide.</w:t>
            </w:r>
          </w:p>
        </w:tc>
      </w:tr>
      <w:tr w:rsidR="00FE5E3A" w:rsidRPr="008C4425" w14:paraId="742881E3" w14:textId="77777777" w:rsidTr="00A81E96">
        <w:trPr>
          <w:trHeight w:val="342"/>
        </w:trPr>
        <w:tc>
          <w:tcPr>
            <w:tcW w:w="2219" w:type="dxa"/>
          </w:tcPr>
          <w:p w14:paraId="26A18DED" w14:textId="140C3696" w:rsidR="00FE5E3A" w:rsidRDefault="00FE5E3A" w:rsidP="00FE5E3A">
            <w:pPr>
              <w:pStyle w:val="BodyText"/>
              <w:spacing w:before="60" w:after="60"/>
              <w:jc w:val="left"/>
              <w:rPr>
                <w:rFonts w:asciiTheme="majorHAnsi" w:hAnsiTheme="majorHAnsi"/>
                <w:sz w:val="18"/>
                <w:szCs w:val="22"/>
              </w:rPr>
            </w:pPr>
            <w:r>
              <w:rPr>
                <w:rFonts w:asciiTheme="majorHAnsi" w:hAnsiTheme="majorHAnsi"/>
                <w:sz w:val="18"/>
                <w:szCs w:val="22"/>
              </w:rPr>
              <w:lastRenderedPageBreak/>
              <w:t>Refrigerant usage</w:t>
            </w:r>
          </w:p>
        </w:tc>
        <w:tc>
          <w:tcPr>
            <w:tcW w:w="7273" w:type="dxa"/>
            <w:gridSpan w:val="3"/>
          </w:tcPr>
          <w:p w14:paraId="1ECE8747" w14:textId="310D98F9" w:rsidR="00FE5E3A" w:rsidRPr="008C4425" w:rsidRDefault="00FE5E3A" w:rsidP="00FE5E3A">
            <w:pPr>
              <w:pStyle w:val="BodyText"/>
              <w:spacing w:before="60" w:after="60"/>
              <w:rPr>
                <w:rFonts w:asciiTheme="majorHAnsi" w:hAnsiTheme="majorHAnsi"/>
                <w:sz w:val="18"/>
                <w:szCs w:val="22"/>
              </w:rPr>
            </w:pPr>
            <w:r>
              <w:rPr>
                <w:rFonts w:asciiTheme="majorHAnsi" w:hAnsiTheme="majorHAnsi"/>
                <w:sz w:val="18"/>
                <w:szCs w:val="22"/>
              </w:rPr>
              <w:t xml:space="preserve">Refrigerant usage </w:t>
            </w:r>
            <w:r w:rsidRPr="006542B3">
              <w:rPr>
                <w:rFonts w:asciiTheme="majorHAnsi" w:hAnsiTheme="majorHAnsi"/>
                <w:sz w:val="18"/>
                <w:szCs w:val="22"/>
              </w:rPr>
              <w:t>is the refrigerant used in the economy installing and manufacturing new</w:t>
            </w:r>
            <w:r>
              <w:rPr>
                <w:rFonts w:asciiTheme="majorHAnsi" w:hAnsiTheme="majorHAnsi"/>
                <w:sz w:val="18"/>
                <w:szCs w:val="22"/>
              </w:rPr>
              <w:t xml:space="preserve"> equipment </w:t>
            </w:r>
            <w:r w:rsidRPr="006542B3">
              <w:rPr>
                <w:rFonts w:asciiTheme="majorHAnsi" w:hAnsiTheme="majorHAnsi"/>
                <w:sz w:val="18"/>
                <w:szCs w:val="22"/>
              </w:rPr>
              <w:t>and maintaining existing equipment.</w:t>
            </w:r>
            <w:r>
              <w:rPr>
                <w:rFonts w:asciiTheme="majorHAnsi" w:hAnsiTheme="majorHAnsi"/>
                <w:sz w:val="18"/>
                <w:szCs w:val="22"/>
              </w:rPr>
              <w:t xml:space="preserve"> Refer definition refrigerant consumption.</w:t>
            </w:r>
          </w:p>
        </w:tc>
      </w:tr>
      <w:tr w:rsidR="00FE5E3A" w:rsidRPr="008C4425" w14:paraId="2BB73749" w14:textId="77777777" w:rsidTr="00A81E96">
        <w:trPr>
          <w:trHeight w:val="342"/>
        </w:trPr>
        <w:tc>
          <w:tcPr>
            <w:tcW w:w="2219" w:type="dxa"/>
          </w:tcPr>
          <w:p w14:paraId="129E7A4C" w14:textId="77777777" w:rsidR="00FE5E3A" w:rsidRPr="008C4425" w:rsidRDefault="00FE5E3A" w:rsidP="00FE5E3A">
            <w:pPr>
              <w:pStyle w:val="BodyText"/>
              <w:spacing w:before="60" w:after="60"/>
              <w:jc w:val="left"/>
              <w:rPr>
                <w:rFonts w:asciiTheme="majorHAnsi" w:hAnsiTheme="majorHAnsi"/>
                <w:sz w:val="18"/>
                <w:szCs w:val="22"/>
              </w:rPr>
            </w:pPr>
            <w:r>
              <w:rPr>
                <w:rFonts w:asciiTheme="majorHAnsi" w:hAnsiTheme="majorHAnsi"/>
                <w:sz w:val="18"/>
                <w:szCs w:val="22"/>
              </w:rPr>
              <w:t>Refrigerated cold food chain</w:t>
            </w:r>
            <w:r w:rsidRPr="008C4425">
              <w:rPr>
                <w:rFonts w:asciiTheme="majorHAnsi" w:hAnsiTheme="majorHAnsi"/>
                <w:sz w:val="18"/>
                <w:szCs w:val="22"/>
              </w:rPr>
              <w:t xml:space="preserve"> (RCFC)</w:t>
            </w:r>
          </w:p>
        </w:tc>
        <w:tc>
          <w:tcPr>
            <w:tcW w:w="7273" w:type="dxa"/>
            <w:gridSpan w:val="3"/>
          </w:tcPr>
          <w:p w14:paraId="64C66FAD" w14:textId="77777777"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rPr>
              <w:t>The refrigerated cold food chain is part of the food value chain, which involves transport, storage, primary and secondary processors, distribution and retailing of chilled and frozen foods from farm gate to consumer. However, in this report domestic refrigeration and freezers are treated as a separate segment.</w:t>
            </w:r>
          </w:p>
        </w:tc>
      </w:tr>
      <w:tr w:rsidR="00FE5E3A" w:rsidRPr="008C4425" w14:paraId="3FA1FC21" w14:textId="77777777" w:rsidTr="00A81E96">
        <w:trPr>
          <w:trHeight w:val="342"/>
        </w:trPr>
        <w:tc>
          <w:tcPr>
            <w:tcW w:w="2219" w:type="dxa"/>
          </w:tcPr>
          <w:p w14:paraId="2ED0B387"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Remote condensing unit</w:t>
            </w:r>
          </w:p>
        </w:tc>
        <w:tc>
          <w:tcPr>
            <w:tcW w:w="7273" w:type="dxa"/>
            <w:gridSpan w:val="3"/>
          </w:tcPr>
          <w:p w14:paraId="17840AE0" w14:textId="77777777"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lang w:val="en-AU"/>
              </w:rPr>
              <w:t>Condensing unit located remotely from the evaporator, typically outdoors (see condensing unit).</w:t>
            </w:r>
          </w:p>
        </w:tc>
      </w:tr>
      <w:tr w:rsidR="00FE5E3A" w:rsidRPr="008C4425" w14:paraId="37080772" w14:textId="77777777" w:rsidTr="00A81E96">
        <w:trPr>
          <w:trHeight w:val="342"/>
        </w:trPr>
        <w:tc>
          <w:tcPr>
            <w:tcW w:w="2219" w:type="dxa"/>
          </w:tcPr>
          <w:p w14:paraId="44526623"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Remote RDC</w:t>
            </w:r>
          </w:p>
        </w:tc>
        <w:tc>
          <w:tcPr>
            <w:tcW w:w="7273" w:type="dxa"/>
            <w:gridSpan w:val="3"/>
          </w:tcPr>
          <w:p w14:paraId="282538FD" w14:textId="0D230AD1"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rPr>
              <w:t xml:space="preserve">Refrigerated display cabinet (RDC) with its refrigerating machinery </w:t>
            </w:r>
            <w:r>
              <w:rPr>
                <w:rFonts w:asciiTheme="majorHAnsi" w:hAnsiTheme="majorHAnsi"/>
                <w:sz w:val="18"/>
                <w:szCs w:val="22"/>
              </w:rPr>
              <w:t xml:space="preserve">(condensing unit or refrigeration plant) </w:t>
            </w:r>
            <w:r w:rsidRPr="008C4425">
              <w:rPr>
                <w:rFonts w:asciiTheme="majorHAnsi" w:hAnsiTheme="majorHAnsi"/>
                <w:sz w:val="18"/>
                <w:szCs w:val="22"/>
              </w:rPr>
              <w:t>sited remote from the cabinet structure</w:t>
            </w:r>
            <w:r>
              <w:rPr>
                <w:rFonts w:asciiTheme="majorHAnsi" w:hAnsiTheme="majorHAnsi"/>
                <w:sz w:val="18"/>
                <w:szCs w:val="22"/>
              </w:rPr>
              <w:t xml:space="preserve"> that is located inside the supermarket or store.</w:t>
            </w:r>
          </w:p>
        </w:tc>
      </w:tr>
      <w:tr w:rsidR="00FE5E3A" w:rsidRPr="008C4425" w14:paraId="207ADF67" w14:textId="77777777" w:rsidTr="00A81E96">
        <w:trPr>
          <w:trHeight w:val="342"/>
        </w:trPr>
        <w:tc>
          <w:tcPr>
            <w:tcW w:w="2219" w:type="dxa"/>
          </w:tcPr>
          <w:p w14:paraId="4A126978"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Self</w:t>
            </w:r>
            <w:r w:rsidRPr="008C4425">
              <w:rPr>
                <w:rFonts w:asciiTheme="majorHAnsi" w:hAnsiTheme="majorHAnsi"/>
                <w:b/>
                <w:bCs/>
                <w:sz w:val="18"/>
                <w:szCs w:val="22"/>
              </w:rPr>
              <w:t>‐</w:t>
            </w:r>
            <w:r w:rsidRPr="008C4425">
              <w:rPr>
                <w:rFonts w:asciiTheme="majorHAnsi" w:hAnsiTheme="majorHAnsi"/>
                <w:sz w:val="18"/>
                <w:szCs w:val="22"/>
              </w:rPr>
              <w:t>contained RDC</w:t>
            </w:r>
          </w:p>
        </w:tc>
        <w:tc>
          <w:tcPr>
            <w:tcW w:w="7273" w:type="dxa"/>
            <w:gridSpan w:val="3"/>
          </w:tcPr>
          <w:p w14:paraId="3F64FE41" w14:textId="65237862"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rPr>
              <w:t xml:space="preserve">Refrigerated display cabinet with its refrigerating machinery sited </w:t>
            </w:r>
            <w:r>
              <w:rPr>
                <w:rFonts w:asciiTheme="majorHAnsi" w:hAnsiTheme="majorHAnsi"/>
                <w:sz w:val="18"/>
                <w:szCs w:val="22"/>
              </w:rPr>
              <w:t xml:space="preserve">inside </w:t>
            </w:r>
            <w:r w:rsidRPr="008C4425">
              <w:rPr>
                <w:rFonts w:asciiTheme="majorHAnsi" w:hAnsiTheme="majorHAnsi"/>
                <w:sz w:val="18"/>
                <w:szCs w:val="22"/>
              </w:rPr>
              <w:t>the cabinet structure.</w:t>
            </w:r>
          </w:p>
        </w:tc>
      </w:tr>
      <w:tr w:rsidR="00FE5E3A" w:rsidRPr="008C4425" w14:paraId="41F25423" w14:textId="77777777" w:rsidTr="00A81E96">
        <w:trPr>
          <w:trHeight w:val="342"/>
        </w:trPr>
        <w:tc>
          <w:tcPr>
            <w:tcW w:w="2219" w:type="dxa"/>
          </w:tcPr>
          <w:p w14:paraId="24D93974"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Second Assessment Report (AR2)</w:t>
            </w:r>
          </w:p>
        </w:tc>
        <w:tc>
          <w:tcPr>
            <w:tcW w:w="7273" w:type="dxa"/>
            <w:gridSpan w:val="3"/>
          </w:tcPr>
          <w:p w14:paraId="3C7DD21C" w14:textId="786A432B"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rPr>
              <w:t xml:space="preserve">Second Assessment Report of the </w:t>
            </w:r>
            <w:r w:rsidR="009A7473">
              <w:rPr>
                <w:rFonts w:asciiTheme="majorHAnsi" w:hAnsiTheme="majorHAnsi"/>
                <w:sz w:val="18"/>
                <w:szCs w:val="22"/>
              </w:rPr>
              <w:t xml:space="preserve">Intergovernmental Panel on Climate Change for the </w:t>
            </w:r>
            <w:r w:rsidRPr="008C4425">
              <w:rPr>
                <w:rFonts w:asciiTheme="majorHAnsi" w:hAnsiTheme="majorHAnsi"/>
                <w:sz w:val="18"/>
                <w:szCs w:val="22"/>
              </w:rPr>
              <w:t xml:space="preserve">United Nations Framework Convention on Climate Change, released in 1996. Australia’s legally binding emission obligations under the </w:t>
            </w:r>
            <w:r>
              <w:rPr>
                <w:rFonts w:asciiTheme="majorHAnsi" w:hAnsiTheme="majorHAnsi"/>
                <w:sz w:val="18"/>
                <w:szCs w:val="22"/>
              </w:rPr>
              <w:t xml:space="preserve">first </w:t>
            </w:r>
            <w:r w:rsidRPr="008C4425">
              <w:rPr>
                <w:rFonts w:asciiTheme="majorHAnsi" w:hAnsiTheme="majorHAnsi"/>
                <w:sz w:val="18"/>
                <w:szCs w:val="22"/>
              </w:rPr>
              <w:t xml:space="preserve">Kyoto Protocol </w:t>
            </w:r>
            <w:r>
              <w:rPr>
                <w:rFonts w:asciiTheme="majorHAnsi" w:hAnsiTheme="majorHAnsi"/>
                <w:sz w:val="18"/>
                <w:szCs w:val="22"/>
              </w:rPr>
              <w:t>commitment period were</w:t>
            </w:r>
            <w:r w:rsidRPr="008C4425">
              <w:rPr>
                <w:rFonts w:asciiTheme="majorHAnsi" w:hAnsiTheme="majorHAnsi"/>
                <w:sz w:val="18"/>
                <w:szCs w:val="22"/>
              </w:rPr>
              <w:t xml:space="preserve"> calculated based on AR2</w:t>
            </w:r>
            <w:r>
              <w:rPr>
                <w:rFonts w:asciiTheme="majorHAnsi" w:hAnsiTheme="majorHAnsi"/>
                <w:sz w:val="18"/>
                <w:szCs w:val="22"/>
              </w:rPr>
              <w:t>.</w:t>
            </w:r>
          </w:p>
        </w:tc>
      </w:tr>
      <w:tr w:rsidR="00FE5E3A" w:rsidRPr="008C4425" w14:paraId="29206C97" w14:textId="77777777" w:rsidTr="00A81E96">
        <w:trPr>
          <w:trHeight w:val="342"/>
        </w:trPr>
        <w:tc>
          <w:tcPr>
            <w:tcW w:w="2219" w:type="dxa"/>
          </w:tcPr>
          <w:p w14:paraId="0892A600" w14:textId="77777777" w:rsidR="00FE5E3A" w:rsidRPr="008C4425" w:rsidRDefault="00FE5E3A" w:rsidP="00FE5E3A">
            <w:pPr>
              <w:pStyle w:val="BodyText"/>
              <w:spacing w:before="60" w:after="60"/>
              <w:jc w:val="left"/>
              <w:rPr>
                <w:rFonts w:asciiTheme="majorHAnsi" w:hAnsiTheme="majorHAnsi"/>
                <w:sz w:val="18"/>
                <w:szCs w:val="22"/>
              </w:rPr>
            </w:pPr>
            <w:r>
              <w:rPr>
                <w:rFonts w:asciiTheme="majorHAnsi" w:hAnsiTheme="majorHAnsi"/>
                <w:sz w:val="18"/>
                <w:szCs w:val="22"/>
              </w:rPr>
              <w:t>Fourth</w:t>
            </w:r>
            <w:r w:rsidRPr="008C4425">
              <w:rPr>
                <w:rFonts w:asciiTheme="majorHAnsi" w:hAnsiTheme="majorHAnsi"/>
                <w:sz w:val="18"/>
                <w:szCs w:val="22"/>
              </w:rPr>
              <w:t xml:space="preserve"> Assessment Report (AR</w:t>
            </w:r>
            <w:r>
              <w:rPr>
                <w:rFonts w:asciiTheme="majorHAnsi" w:hAnsiTheme="majorHAnsi"/>
                <w:sz w:val="18"/>
                <w:szCs w:val="22"/>
              </w:rPr>
              <w:t>4</w:t>
            </w:r>
            <w:r w:rsidRPr="008C4425">
              <w:rPr>
                <w:rFonts w:asciiTheme="majorHAnsi" w:hAnsiTheme="majorHAnsi"/>
                <w:sz w:val="18"/>
                <w:szCs w:val="22"/>
              </w:rPr>
              <w:t>)</w:t>
            </w:r>
          </w:p>
        </w:tc>
        <w:tc>
          <w:tcPr>
            <w:tcW w:w="7273" w:type="dxa"/>
            <w:gridSpan w:val="3"/>
          </w:tcPr>
          <w:p w14:paraId="7CF6F4F6" w14:textId="1A632E09" w:rsidR="00FE5E3A" w:rsidRPr="008C4425" w:rsidRDefault="00FE5E3A" w:rsidP="00FE5E3A">
            <w:pPr>
              <w:pStyle w:val="BodyText"/>
              <w:spacing w:before="60" w:after="60"/>
              <w:rPr>
                <w:rFonts w:asciiTheme="majorHAnsi" w:hAnsiTheme="majorHAnsi"/>
                <w:sz w:val="18"/>
                <w:szCs w:val="22"/>
              </w:rPr>
            </w:pPr>
            <w:r>
              <w:rPr>
                <w:rFonts w:asciiTheme="majorHAnsi" w:hAnsiTheme="majorHAnsi"/>
                <w:sz w:val="18"/>
                <w:szCs w:val="22"/>
              </w:rPr>
              <w:t>Fourth</w:t>
            </w:r>
            <w:r w:rsidRPr="008C4425">
              <w:rPr>
                <w:rFonts w:asciiTheme="majorHAnsi" w:hAnsiTheme="majorHAnsi"/>
                <w:sz w:val="18"/>
                <w:szCs w:val="22"/>
              </w:rPr>
              <w:t xml:space="preserve"> Assessment Report of the </w:t>
            </w:r>
            <w:r w:rsidR="004D3900">
              <w:rPr>
                <w:rFonts w:asciiTheme="majorHAnsi" w:hAnsiTheme="majorHAnsi"/>
                <w:sz w:val="18"/>
                <w:szCs w:val="22"/>
              </w:rPr>
              <w:t>Intergovernmental Panel on Climate Change for the</w:t>
            </w:r>
            <w:r w:rsidRPr="008C4425">
              <w:rPr>
                <w:rFonts w:asciiTheme="majorHAnsi" w:hAnsiTheme="majorHAnsi"/>
                <w:sz w:val="18"/>
                <w:szCs w:val="22"/>
              </w:rPr>
              <w:t xml:space="preserve"> United Nations Framework Convention on Climate Change, released in </w:t>
            </w:r>
            <w:r>
              <w:rPr>
                <w:rFonts w:asciiTheme="majorHAnsi" w:hAnsiTheme="majorHAnsi"/>
                <w:sz w:val="18"/>
                <w:szCs w:val="22"/>
              </w:rPr>
              <w:t>2007</w:t>
            </w:r>
            <w:r w:rsidRPr="008C4425">
              <w:rPr>
                <w:rFonts w:asciiTheme="majorHAnsi" w:hAnsiTheme="majorHAnsi"/>
                <w:sz w:val="18"/>
                <w:szCs w:val="22"/>
              </w:rPr>
              <w:t xml:space="preserve">. Australia’s legally binding emission obligations under the </w:t>
            </w:r>
            <w:r>
              <w:rPr>
                <w:rFonts w:asciiTheme="majorHAnsi" w:hAnsiTheme="majorHAnsi"/>
                <w:sz w:val="18"/>
                <w:szCs w:val="22"/>
              </w:rPr>
              <w:t xml:space="preserve">second </w:t>
            </w:r>
            <w:r w:rsidRPr="008C4425">
              <w:rPr>
                <w:rFonts w:asciiTheme="majorHAnsi" w:hAnsiTheme="majorHAnsi"/>
                <w:sz w:val="18"/>
                <w:szCs w:val="22"/>
              </w:rPr>
              <w:t xml:space="preserve">Kyoto Protocol </w:t>
            </w:r>
            <w:r>
              <w:rPr>
                <w:rFonts w:asciiTheme="majorHAnsi" w:hAnsiTheme="majorHAnsi"/>
                <w:sz w:val="18"/>
                <w:szCs w:val="22"/>
              </w:rPr>
              <w:t>commitment period are</w:t>
            </w:r>
            <w:r w:rsidRPr="008C4425">
              <w:rPr>
                <w:rFonts w:asciiTheme="majorHAnsi" w:hAnsiTheme="majorHAnsi"/>
                <w:sz w:val="18"/>
                <w:szCs w:val="22"/>
              </w:rPr>
              <w:t xml:space="preserve"> calculated based on AR</w:t>
            </w:r>
            <w:r>
              <w:rPr>
                <w:rFonts w:asciiTheme="majorHAnsi" w:hAnsiTheme="majorHAnsi"/>
                <w:sz w:val="18"/>
                <w:szCs w:val="22"/>
              </w:rPr>
              <w:t xml:space="preserve">4. AR4 GWP values are used </w:t>
            </w:r>
            <w:r w:rsidR="001F64CE">
              <w:rPr>
                <w:rFonts w:asciiTheme="majorHAnsi" w:hAnsiTheme="majorHAnsi"/>
                <w:sz w:val="18"/>
                <w:szCs w:val="22"/>
              </w:rPr>
              <w:t>throughout</w:t>
            </w:r>
            <w:r>
              <w:rPr>
                <w:rFonts w:asciiTheme="majorHAnsi" w:hAnsiTheme="majorHAnsi"/>
                <w:sz w:val="18"/>
                <w:szCs w:val="22"/>
              </w:rPr>
              <w:t xml:space="preserve"> this report, unless stated. </w:t>
            </w:r>
          </w:p>
        </w:tc>
      </w:tr>
      <w:tr w:rsidR="00FE5E3A" w:rsidRPr="008C4425" w14:paraId="6F3FBE85" w14:textId="77777777" w:rsidTr="00A81E96">
        <w:trPr>
          <w:trHeight w:val="342"/>
        </w:trPr>
        <w:tc>
          <w:tcPr>
            <w:tcW w:w="2219" w:type="dxa"/>
          </w:tcPr>
          <w:p w14:paraId="3AAE9F6E" w14:textId="7B7CF3C4" w:rsidR="00FE5E3A" w:rsidRPr="008C4425" w:rsidRDefault="00FE5E3A" w:rsidP="00FE5E3A">
            <w:pPr>
              <w:pStyle w:val="BodyText"/>
              <w:spacing w:before="60" w:after="60"/>
              <w:jc w:val="left"/>
              <w:rPr>
                <w:rFonts w:asciiTheme="majorHAnsi" w:hAnsiTheme="majorHAnsi"/>
                <w:sz w:val="18"/>
                <w:szCs w:val="22"/>
              </w:rPr>
            </w:pPr>
            <w:r>
              <w:rPr>
                <w:rFonts w:asciiTheme="majorHAnsi" w:hAnsiTheme="majorHAnsi"/>
                <w:sz w:val="18"/>
                <w:szCs w:val="22"/>
              </w:rPr>
              <w:t>Specific Energy Consumption</w:t>
            </w:r>
          </w:p>
        </w:tc>
        <w:tc>
          <w:tcPr>
            <w:tcW w:w="7273" w:type="dxa"/>
            <w:gridSpan w:val="3"/>
          </w:tcPr>
          <w:p w14:paraId="58271AE6" w14:textId="44F47757" w:rsidR="00FE5E3A" w:rsidRPr="003C63AC" w:rsidRDefault="00FE5E3A" w:rsidP="00FE5E3A">
            <w:pPr>
              <w:pStyle w:val="BodyText"/>
              <w:spacing w:before="60" w:after="60"/>
              <w:rPr>
                <w:rFonts w:asciiTheme="majorHAnsi" w:hAnsiTheme="majorHAnsi"/>
                <w:sz w:val="18"/>
                <w:szCs w:val="22"/>
              </w:rPr>
            </w:pPr>
            <w:r>
              <w:rPr>
                <w:rFonts w:asciiTheme="majorHAnsi" w:hAnsiTheme="majorHAnsi"/>
                <w:sz w:val="18"/>
                <w:szCs w:val="22"/>
              </w:rPr>
              <w:t>Energy consumption benchmark used in large cold storage facilities in kWh per m</w:t>
            </w:r>
            <w:r w:rsidRPr="00A563D7">
              <w:rPr>
                <w:rFonts w:asciiTheme="majorHAnsi" w:hAnsiTheme="majorHAnsi"/>
                <w:sz w:val="18"/>
                <w:szCs w:val="22"/>
                <w:vertAlign w:val="superscript"/>
              </w:rPr>
              <w:t>3</w:t>
            </w:r>
            <w:r>
              <w:rPr>
                <w:rFonts w:asciiTheme="majorHAnsi" w:hAnsiTheme="majorHAnsi"/>
                <w:sz w:val="18"/>
                <w:szCs w:val="22"/>
              </w:rPr>
              <w:t xml:space="preserve"> per annum.</w:t>
            </w:r>
          </w:p>
        </w:tc>
      </w:tr>
      <w:tr w:rsidR="00FE5E3A" w:rsidRPr="008C4425" w14:paraId="7F2E8490" w14:textId="77777777" w:rsidTr="00A81E96">
        <w:trPr>
          <w:trHeight w:val="342"/>
        </w:trPr>
        <w:tc>
          <w:tcPr>
            <w:tcW w:w="2219" w:type="dxa"/>
          </w:tcPr>
          <w:p w14:paraId="5BF2B3FF"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Synthetic greenhouse gases (SGGs)</w:t>
            </w:r>
          </w:p>
        </w:tc>
        <w:tc>
          <w:tcPr>
            <w:tcW w:w="7273" w:type="dxa"/>
            <w:gridSpan w:val="3"/>
          </w:tcPr>
          <w:p w14:paraId="08F020FF" w14:textId="3B29D0AB" w:rsidR="00FE5E3A" w:rsidRPr="008C4425" w:rsidRDefault="00FE5E3A" w:rsidP="00FE5E3A">
            <w:pPr>
              <w:pStyle w:val="BodyText"/>
              <w:spacing w:before="60" w:after="60"/>
              <w:rPr>
                <w:rFonts w:asciiTheme="majorHAnsi" w:hAnsiTheme="majorHAnsi"/>
                <w:sz w:val="18"/>
                <w:szCs w:val="22"/>
              </w:rPr>
            </w:pPr>
            <w:r w:rsidRPr="003C63AC">
              <w:rPr>
                <w:rFonts w:asciiTheme="majorHAnsi" w:hAnsiTheme="majorHAnsi"/>
                <w:sz w:val="18"/>
                <w:szCs w:val="22"/>
              </w:rPr>
              <w:t>SGGs listed under the Kyoto Protocol</w:t>
            </w:r>
            <w:r>
              <w:rPr>
                <w:rFonts w:asciiTheme="majorHAnsi" w:hAnsiTheme="majorHAnsi"/>
                <w:sz w:val="18"/>
                <w:szCs w:val="22"/>
              </w:rPr>
              <w:t xml:space="preserve"> and regulated under the </w:t>
            </w:r>
            <w:hyperlink r:id="rId18" w:history="1">
              <w:r w:rsidRPr="00602C64">
                <w:rPr>
                  <w:rStyle w:val="Emphasis"/>
                  <w:rFonts w:asciiTheme="majorHAnsi" w:hAnsiTheme="majorHAnsi"/>
                  <w:color w:val="0062A0"/>
                  <w:sz w:val="19"/>
                  <w:szCs w:val="19"/>
                  <w:u w:val="single"/>
                </w:rPr>
                <w:t>Ozone Protection and Synthetic Greenhouse Gas Management Act 1989</w:t>
              </w:r>
            </w:hyperlink>
            <w:r>
              <w:rPr>
                <w:sz w:val="18"/>
                <w:szCs w:val="22"/>
              </w:rPr>
              <w:t xml:space="preserve">, </w:t>
            </w:r>
            <w:r w:rsidRPr="003C63AC">
              <w:rPr>
                <w:rFonts w:asciiTheme="majorHAnsi" w:hAnsiTheme="majorHAnsi"/>
                <w:sz w:val="18"/>
                <w:szCs w:val="22"/>
              </w:rPr>
              <w:t xml:space="preserve">hydrofluorocarbons (HFCs), perfluorocarbons (PFCs) </w:t>
            </w:r>
            <w:r w:rsidR="00FE74F2" w:rsidRPr="003C63AC">
              <w:rPr>
                <w:rFonts w:asciiTheme="majorHAnsi" w:hAnsiTheme="majorHAnsi"/>
                <w:sz w:val="18"/>
                <w:szCs w:val="22"/>
                <w:lang w:val="en-AU"/>
              </w:rPr>
              <w:t>sul</w:t>
            </w:r>
            <w:r w:rsidR="00FE74F2">
              <w:rPr>
                <w:rFonts w:asciiTheme="majorHAnsi" w:hAnsiTheme="majorHAnsi"/>
                <w:sz w:val="18"/>
                <w:szCs w:val="22"/>
                <w:lang w:val="en-AU"/>
              </w:rPr>
              <w:t>f</w:t>
            </w:r>
            <w:r w:rsidR="00FE74F2" w:rsidRPr="003C63AC">
              <w:rPr>
                <w:rFonts w:asciiTheme="majorHAnsi" w:hAnsiTheme="majorHAnsi"/>
                <w:sz w:val="18"/>
                <w:szCs w:val="22"/>
                <w:lang w:val="en-AU"/>
              </w:rPr>
              <w:t>ur</w:t>
            </w:r>
            <w:r w:rsidRPr="003C63AC">
              <w:rPr>
                <w:rFonts w:asciiTheme="majorHAnsi" w:hAnsiTheme="majorHAnsi"/>
                <w:sz w:val="18"/>
                <w:szCs w:val="22"/>
              </w:rPr>
              <w:t xml:space="preserve"> hexafluoride (SF</w:t>
            </w:r>
            <w:r w:rsidRPr="003C63AC">
              <w:rPr>
                <w:rFonts w:asciiTheme="majorHAnsi" w:hAnsiTheme="majorHAnsi"/>
                <w:sz w:val="18"/>
                <w:szCs w:val="22"/>
                <w:vertAlign w:val="subscript"/>
              </w:rPr>
              <w:t>6</w:t>
            </w:r>
            <w:r w:rsidRPr="003C63AC">
              <w:rPr>
                <w:rFonts w:asciiTheme="majorHAnsi" w:hAnsiTheme="majorHAnsi"/>
                <w:sz w:val="18"/>
                <w:szCs w:val="22"/>
              </w:rPr>
              <w:t>)</w:t>
            </w:r>
            <w:r>
              <w:rPr>
                <w:rFonts w:asciiTheme="majorHAnsi" w:hAnsiTheme="majorHAnsi"/>
                <w:sz w:val="18"/>
                <w:szCs w:val="22"/>
              </w:rPr>
              <w:t xml:space="preserve"> and nitrogen trifluoride</w:t>
            </w:r>
            <w:r w:rsidR="004D3900">
              <w:rPr>
                <w:rFonts w:asciiTheme="majorHAnsi" w:hAnsiTheme="majorHAnsi"/>
                <w:sz w:val="18"/>
                <w:szCs w:val="22"/>
              </w:rPr>
              <w:t xml:space="preserve"> (NF</w:t>
            </w:r>
            <w:r w:rsidR="004D3900" w:rsidRPr="00F1372D">
              <w:rPr>
                <w:rFonts w:asciiTheme="majorHAnsi" w:hAnsiTheme="majorHAnsi"/>
                <w:sz w:val="18"/>
                <w:vertAlign w:val="subscript"/>
              </w:rPr>
              <w:t>3</w:t>
            </w:r>
            <w:r w:rsidR="004D3900">
              <w:rPr>
                <w:rFonts w:asciiTheme="majorHAnsi" w:hAnsiTheme="majorHAnsi"/>
                <w:sz w:val="18"/>
                <w:szCs w:val="22"/>
              </w:rPr>
              <w:t>)</w:t>
            </w:r>
            <w:r w:rsidRPr="003C63AC">
              <w:rPr>
                <w:rFonts w:asciiTheme="majorHAnsi" w:hAnsiTheme="majorHAnsi"/>
                <w:sz w:val="18"/>
                <w:szCs w:val="22"/>
              </w:rPr>
              <w:t>.</w:t>
            </w:r>
          </w:p>
        </w:tc>
      </w:tr>
      <w:tr w:rsidR="00FE5E3A" w:rsidRPr="008C4425" w14:paraId="6BD46729" w14:textId="77777777" w:rsidTr="00A81E96">
        <w:trPr>
          <w:trHeight w:val="342"/>
        </w:trPr>
        <w:tc>
          <w:tcPr>
            <w:tcW w:w="2219" w:type="dxa"/>
          </w:tcPr>
          <w:p w14:paraId="36A095C7"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Synthetic substances or synthetic refrigerants</w:t>
            </w:r>
          </w:p>
        </w:tc>
        <w:tc>
          <w:tcPr>
            <w:tcW w:w="7273" w:type="dxa"/>
            <w:gridSpan w:val="3"/>
          </w:tcPr>
          <w:p w14:paraId="499ECABC" w14:textId="77777777"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rPr>
              <w:t>HCFCs, HFCs and HFOs are commonly referred to as synthetic substances or synthetic refrigerants.</w:t>
            </w:r>
          </w:p>
        </w:tc>
      </w:tr>
      <w:tr w:rsidR="00FE5E3A" w:rsidRPr="008C4425" w14:paraId="30AA6985" w14:textId="77777777" w:rsidTr="00A81E96">
        <w:trPr>
          <w:trHeight w:val="342"/>
        </w:trPr>
        <w:tc>
          <w:tcPr>
            <w:tcW w:w="2219" w:type="dxa"/>
          </w:tcPr>
          <w:p w14:paraId="4E867A11"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Technology segment</w:t>
            </w:r>
          </w:p>
        </w:tc>
        <w:tc>
          <w:tcPr>
            <w:tcW w:w="7273" w:type="dxa"/>
            <w:gridSpan w:val="3"/>
          </w:tcPr>
          <w:p w14:paraId="1805C6DA" w14:textId="0CC73385" w:rsidR="00FE5E3A" w:rsidRPr="008C4425" w:rsidRDefault="00FE5E3A" w:rsidP="00C2253E">
            <w:pPr>
              <w:pStyle w:val="BodyText"/>
              <w:spacing w:before="60" w:after="60"/>
              <w:rPr>
                <w:rFonts w:asciiTheme="majorHAnsi" w:hAnsiTheme="majorHAnsi"/>
                <w:sz w:val="18"/>
                <w:szCs w:val="22"/>
              </w:rPr>
            </w:pPr>
            <w:r w:rsidRPr="008C4425">
              <w:rPr>
                <w:rFonts w:asciiTheme="majorHAnsi" w:hAnsiTheme="majorHAnsi"/>
                <w:sz w:val="18"/>
                <w:szCs w:val="22"/>
              </w:rPr>
              <w:t>A term used by the authors to refer to a defined set of technologies within the HVAC&amp;R industry sector. A segment of the broad family of technologies employed in the HVAC&amp;R sector is defined by the application (i.e. mobile or stationary, commercial or residential) and then bounded by a range of size of the charge of working gas, although for the purpose of modeling an average charge size for each segment has been calculated.</w:t>
            </w:r>
          </w:p>
        </w:tc>
      </w:tr>
      <w:tr w:rsidR="00FE5E3A" w:rsidRPr="008C4425" w14:paraId="0CEFB907" w14:textId="77777777" w:rsidTr="00A81E96">
        <w:trPr>
          <w:trHeight w:val="342"/>
        </w:trPr>
        <w:tc>
          <w:tcPr>
            <w:tcW w:w="2219" w:type="dxa"/>
          </w:tcPr>
          <w:p w14:paraId="149EE25E"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Truck refrigeration unit (TRU)</w:t>
            </w:r>
          </w:p>
        </w:tc>
        <w:tc>
          <w:tcPr>
            <w:tcW w:w="7273" w:type="dxa"/>
            <w:gridSpan w:val="3"/>
          </w:tcPr>
          <w:p w14:paraId="2E5EFBD4" w14:textId="77777777"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rPr>
              <w:t xml:space="preserve">TRUs are refrigeration systems powered by dedicated diesel internal combustion engines designed to refrigerate fresh and frozen perishable products (mostly food but also </w:t>
            </w:r>
            <w:r w:rsidRPr="008C4425">
              <w:rPr>
                <w:rFonts w:asciiTheme="majorHAnsi" w:hAnsiTheme="majorHAnsi"/>
                <w:sz w:val="18"/>
                <w:szCs w:val="22"/>
                <w:lang w:val="en-AU"/>
              </w:rPr>
              <w:t>pharmaceuticals and other materials)</w:t>
            </w:r>
            <w:r w:rsidRPr="008C4425">
              <w:rPr>
                <w:rFonts w:asciiTheme="majorHAnsi" w:hAnsiTheme="majorHAnsi"/>
                <w:sz w:val="18"/>
                <w:szCs w:val="22"/>
              </w:rPr>
              <w:t xml:space="preserve"> that are transported on semi-trailers, rigid trucks and rail cars. Fresh is typically classed as 2</w:t>
            </w:r>
            <w:r w:rsidRPr="008C4425">
              <w:rPr>
                <w:rFonts w:asciiTheme="majorHAnsi" w:hAnsiTheme="majorHAnsi"/>
                <w:sz w:val="18"/>
                <w:szCs w:val="18"/>
                <w:vertAlign w:val="superscript"/>
              </w:rPr>
              <w:t>o</w:t>
            </w:r>
            <w:r w:rsidRPr="008C4425">
              <w:rPr>
                <w:rFonts w:asciiTheme="majorHAnsi" w:hAnsiTheme="majorHAnsi"/>
                <w:sz w:val="18"/>
                <w:szCs w:val="22"/>
              </w:rPr>
              <w:t>C and frozen -20</w:t>
            </w:r>
            <w:r w:rsidRPr="008C4425">
              <w:rPr>
                <w:rFonts w:asciiTheme="majorHAnsi" w:hAnsiTheme="majorHAnsi"/>
                <w:sz w:val="18"/>
                <w:szCs w:val="18"/>
                <w:vertAlign w:val="superscript"/>
              </w:rPr>
              <w:t>o</w:t>
            </w:r>
            <w:r w:rsidRPr="008C4425">
              <w:rPr>
                <w:rFonts w:asciiTheme="majorHAnsi" w:hAnsiTheme="majorHAnsi"/>
                <w:sz w:val="18"/>
                <w:szCs w:val="22"/>
              </w:rPr>
              <w:t>C.</w:t>
            </w:r>
          </w:p>
        </w:tc>
      </w:tr>
      <w:tr w:rsidR="00FE5E3A" w:rsidRPr="008C4425" w14:paraId="4A514082" w14:textId="77777777" w:rsidTr="00A81E96">
        <w:trPr>
          <w:trHeight w:val="342"/>
        </w:trPr>
        <w:tc>
          <w:tcPr>
            <w:tcW w:w="2219" w:type="dxa"/>
          </w:tcPr>
          <w:p w14:paraId="639A002E" w14:textId="77777777" w:rsidR="00FE5E3A" w:rsidRPr="008C4425" w:rsidRDefault="00FE5E3A" w:rsidP="00FE5E3A">
            <w:pPr>
              <w:pStyle w:val="BodyText"/>
              <w:spacing w:before="60" w:after="60"/>
              <w:jc w:val="left"/>
              <w:rPr>
                <w:rFonts w:asciiTheme="majorHAnsi" w:hAnsiTheme="majorHAnsi"/>
                <w:sz w:val="18"/>
                <w:szCs w:val="22"/>
              </w:rPr>
            </w:pPr>
            <w:r w:rsidRPr="008C4425">
              <w:rPr>
                <w:rFonts w:asciiTheme="majorHAnsi" w:hAnsiTheme="majorHAnsi"/>
                <w:sz w:val="18"/>
                <w:szCs w:val="22"/>
              </w:rPr>
              <w:t>Walk</w:t>
            </w:r>
            <w:r w:rsidRPr="008C4425">
              <w:rPr>
                <w:rFonts w:asciiTheme="majorHAnsi" w:hAnsiTheme="majorHAnsi"/>
                <w:b/>
                <w:bCs/>
                <w:sz w:val="18"/>
                <w:szCs w:val="22"/>
              </w:rPr>
              <w:t>‐</w:t>
            </w:r>
            <w:r w:rsidRPr="008C4425">
              <w:rPr>
                <w:rFonts w:asciiTheme="majorHAnsi" w:hAnsiTheme="majorHAnsi"/>
                <w:sz w:val="18"/>
                <w:szCs w:val="22"/>
              </w:rPr>
              <w:t>in cool</w:t>
            </w:r>
            <w:r>
              <w:rPr>
                <w:rFonts w:asciiTheme="majorHAnsi" w:hAnsiTheme="majorHAnsi"/>
                <w:sz w:val="18"/>
                <w:szCs w:val="22"/>
              </w:rPr>
              <w:t xml:space="preserve"> </w:t>
            </w:r>
            <w:r w:rsidRPr="008C4425">
              <w:rPr>
                <w:rFonts w:asciiTheme="majorHAnsi" w:hAnsiTheme="majorHAnsi"/>
                <w:sz w:val="18"/>
                <w:szCs w:val="22"/>
              </w:rPr>
              <w:t xml:space="preserve">room </w:t>
            </w:r>
          </w:p>
        </w:tc>
        <w:tc>
          <w:tcPr>
            <w:tcW w:w="7273" w:type="dxa"/>
            <w:gridSpan w:val="3"/>
          </w:tcPr>
          <w:p w14:paraId="2605DF38" w14:textId="77777777" w:rsidR="00FE5E3A" w:rsidRPr="008C4425" w:rsidRDefault="00FE5E3A" w:rsidP="00FE5E3A">
            <w:pPr>
              <w:pStyle w:val="BodyText"/>
              <w:spacing w:before="60" w:after="60"/>
              <w:rPr>
                <w:rFonts w:asciiTheme="majorHAnsi" w:hAnsiTheme="majorHAnsi"/>
                <w:sz w:val="18"/>
                <w:szCs w:val="22"/>
              </w:rPr>
            </w:pPr>
            <w:r w:rsidRPr="008C4425">
              <w:rPr>
                <w:rFonts w:asciiTheme="majorHAnsi" w:hAnsiTheme="majorHAnsi"/>
                <w:sz w:val="18"/>
                <w:szCs w:val="22"/>
              </w:rPr>
              <w:t>A walk</w:t>
            </w:r>
            <w:r w:rsidRPr="008C4425">
              <w:rPr>
                <w:rFonts w:asciiTheme="majorHAnsi" w:hAnsiTheme="majorHAnsi"/>
                <w:b/>
                <w:bCs/>
                <w:sz w:val="18"/>
                <w:szCs w:val="22"/>
              </w:rPr>
              <w:t>‐</w:t>
            </w:r>
            <w:r w:rsidRPr="008C4425">
              <w:rPr>
                <w:rFonts w:asciiTheme="majorHAnsi" w:hAnsiTheme="majorHAnsi"/>
                <w:sz w:val="18"/>
                <w:szCs w:val="22"/>
              </w:rPr>
              <w:t>in cool</w:t>
            </w:r>
            <w:r>
              <w:rPr>
                <w:rFonts w:asciiTheme="majorHAnsi" w:hAnsiTheme="majorHAnsi"/>
                <w:sz w:val="18"/>
                <w:szCs w:val="22"/>
              </w:rPr>
              <w:t xml:space="preserve"> </w:t>
            </w:r>
            <w:r w:rsidRPr="008C4425">
              <w:rPr>
                <w:rFonts w:asciiTheme="majorHAnsi" w:hAnsiTheme="majorHAnsi"/>
                <w:sz w:val="18"/>
                <w:szCs w:val="22"/>
              </w:rPr>
              <w:t>room is a structure formed by an insulated enclosure of walls and ceiling, having a door through which personnel can pass and close behind them. The floor space occupied by this structure may or may not be insulated, depending on the operating temperature level.</w:t>
            </w:r>
          </w:p>
        </w:tc>
      </w:tr>
    </w:tbl>
    <w:p w14:paraId="1258D304" w14:textId="77777777" w:rsidR="00F00266" w:rsidRPr="00F00266" w:rsidRDefault="00F00266" w:rsidP="00F00266">
      <w:pPr>
        <w:rPr>
          <w:rFonts w:cs="Times New Roman"/>
          <w:szCs w:val="22"/>
        </w:rPr>
      </w:pPr>
    </w:p>
    <w:p w14:paraId="1D7D30FB" w14:textId="7D2E5C47" w:rsidR="00E0585B" w:rsidRDefault="00E0585B">
      <w:pPr>
        <w:spacing w:before="0"/>
        <w:jc w:val="left"/>
      </w:pPr>
      <w:r>
        <w:br w:type="page"/>
      </w:r>
    </w:p>
    <w:p w14:paraId="258ADCAE" w14:textId="77777777" w:rsidR="00E0585B" w:rsidRPr="00974916" w:rsidRDefault="00E0585B" w:rsidP="00E0585B">
      <w:pPr>
        <w:pStyle w:val="Heading1"/>
        <w:numPr>
          <w:ilvl w:val="0"/>
          <w:numId w:val="0"/>
        </w:numPr>
        <w:ind w:left="432" w:hanging="432"/>
      </w:pPr>
      <w:bookmarkStart w:id="2" w:name="_Toc525141255"/>
      <w:r>
        <w:lastRenderedPageBreak/>
        <w:t>Abbreviations</w:t>
      </w:r>
      <w:bookmarkEnd w:id="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365"/>
      </w:tblGrid>
      <w:tr w:rsidR="00E0585B" w:rsidRPr="001857B2" w14:paraId="6E59F976" w14:textId="77777777" w:rsidTr="005C79D9">
        <w:trPr>
          <w:trHeight w:val="342"/>
        </w:trPr>
        <w:tc>
          <w:tcPr>
            <w:tcW w:w="2127" w:type="dxa"/>
          </w:tcPr>
          <w:p w14:paraId="5B40C86A"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AC</w:t>
            </w:r>
          </w:p>
        </w:tc>
        <w:tc>
          <w:tcPr>
            <w:tcW w:w="7365" w:type="dxa"/>
          </w:tcPr>
          <w:p w14:paraId="5F55819B"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Air conditioning</w:t>
            </w:r>
          </w:p>
        </w:tc>
      </w:tr>
      <w:tr w:rsidR="00E0585B" w:rsidRPr="001857B2" w14:paraId="3AC047B9" w14:textId="77777777" w:rsidTr="005C79D9">
        <w:trPr>
          <w:trHeight w:val="342"/>
        </w:trPr>
        <w:tc>
          <w:tcPr>
            <w:tcW w:w="2127" w:type="dxa"/>
          </w:tcPr>
          <w:p w14:paraId="0CC42220"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AR2</w:t>
            </w:r>
          </w:p>
        </w:tc>
        <w:tc>
          <w:tcPr>
            <w:tcW w:w="7365" w:type="dxa"/>
          </w:tcPr>
          <w:p w14:paraId="5B5DDBA6"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Second Assessment Report</w:t>
            </w:r>
            <w:r>
              <w:rPr>
                <w:rFonts w:asciiTheme="majorHAnsi" w:hAnsiTheme="majorHAnsi"/>
                <w:sz w:val="18"/>
                <w:szCs w:val="18"/>
              </w:rPr>
              <w:t xml:space="preserve"> of the IPCC</w:t>
            </w:r>
          </w:p>
        </w:tc>
      </w:tr>
      <w:tr w:rsidR="00E0585B" w:rsidRPr="001857B2" w14:paraId="7BE89D9E" w14:textId="77777777" w:rsidTr="005C79D9">
        <w:trPr>
          <w:trHeight w:val="342"/>
        </w:trPr>
        <w:tc>
          <w:tcPr>
            <w:tcW w:w="2127" w:type="dxa"/>
          </w:tcPr>
          <w:p w14:paraId="7D8C4491" w14:textId="77777777" w:rsidR="00E0585B" w:rsidRPr="001857B2"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AR4</w:t>
            </w:r>
          </w:p>
        </w:tc>
        <w:tc>
          <w:tcPr>
            <w:tcW w:w="7365" w:type="dxa"/>
          </w:tcPr>
          <w:p w14:paraId="092F7001" w14:textId="77777777" w:rsidR="00E0585B" w:rsidRPr="001857B2" w:rsidRDefault="00E0585B" w:rsidP="005C79D9">
            <w:pPr>
              <w:pStyle w:val="BodyText"/>
              <w:spacing w:before="60" w:after="60"/>
              <w:rPr>
                <w:rFonts w:asciiTheme="majorHAnsi" w:hAnsiTheme="majorHAnsi"/>
                <w:sz w:val="18"/>
                <w:szCs w:val="18"/>
              </w:rPr>
            </w:pPr>
            <w:r>
              <w:rPr>
                <w:rFonts w:asciiTheme="majorHAnsi" w:hAnsiTheme="majorHAnsi"/>
                <w:sz w:val="18"/>
                <w:szCs w:val="18"/>
              </w:rPr>
              <w:t>Fourth</w:t>
            </w:r>
            <w:r w:rsidRPr="001857B2">
              <w:rPr>
                <w:rFonts w:asciiTheme="majorHAnsi" w:hAnsiTheme="majorHAnsi"/>
                <w:sz w:val="18"/>
                <w:szCs w:val="18"/>
              </w:rPr>
              <w:t xml:space="preserve"> Assessment Report</w:t>
            </w:r>
            <w:r>
              <w:rPr>
                <w:rFonts w:asciiTheme="majorHAnsi" w:hAnsiTheme="majorHAnsi"/>
                <w:sz w:val="18"/>
                <w:szCs w:val="18"/>
              </w:rPr>
              <w:t xml:space="preserve"> of the IPCC</w:t>
            </w:r>
          </w:p>
        </w:tc>
      </w:tr>
      <w:tr w:rsidR="00E0585B" w:rsidRPr="001857B2" w14:paraId="04555A13" w14:textId="77777777" w:rsidTr="005C79D9">
        <w:trPr>
          <w:trHeight w:val="342"/>
        </w:trPr>
        <w:tc>
          <w:tcPr>
            <w:tcW w:w="2127" w:type="dxa"/>
          </w:tcPr>
          <w:p w14:paraId="25F3ACA3"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 xml:space="preserve">ABS </w:t>
            </w:r>
          </w:p>
        </w:tc>
        <w:tc>
          <w:tcPr>
            <w:tcW w:w="7365" w:type="dxa"/>
          </w:tcPr>
          <w:p w14:paraId="1032B4F8"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Australian Bureau of Statistics</w:t>
            </w:r>
          </w:p>
        </w:tc>
      </w:tr>
      <w:tr w:rsidR="00E0585B" w:rsidRPr="001857B2" w14:paraId="20E205C2" w14:textId="77777777" w:rsidTr="005C79D9">
        <w:trPr>
          <w:trHeight w:val="342"/>
        </w:trPr>
        <w:tc>
          <w:tcPr>
            <w:tcW w:w="2127" w:type="dxa"/>
          </w:tcPr>
          <w:p w14:paraId="596D456C" w14:textId="77777777" w:rsidR="00E0585B" w:rsidRPr="001857B2" w:rsidRDefault="00E0585B" w:rsidP="005C79D9">
            <w:pPr>
              <w:pStyle w:val="BodyText"/>
              <w:spacing w:before="60" w:after="60"/>
              <w:jc w:val="left"/>
              <w:rPr>
                <w:rFonts w:asciiTheme="majorHAnsi" w:hAnsiTheme="majorHAnsi"/>
                <w:sz w:val="18"/>
                <w:szCs w:val="18"/>
              </w:rPr>
            </w:pPr>
            <w:r w:rsidRPr="003C63AC">
              <w:rPr>
                <w:rFonts w:asciiTheme="majorHAnsi" w:hAnsiTheme="majorHAnsi"/>
                <w:sz w:val="18"/>
                <w:szCs w:val="18"/>
              </w:rPr>
              <w:t>ANZSCO</w:t>
            </w:r>
          </w:p>
        </w:tc>
        <w:tc>
          <w:tcPr>
            <w:tcW w:w="7365" w:type="dxa"/>
          </w:tcPr>
          <w:p w14:paraId="500D14C1" w14:textId="77777777" w:rsidR="00E0585B" w:rsidRPr="001857B2" w:rsidRDefault="00E0585B" w:rsidP="005C79D9">
            <w:pPr>
              <w:pStyle w:val="BodyText"/>
              <w:spacing w:before="60" w:after="60"/>
              <w:rPr>
                <w:rFonts w:asciiTheme="majorHAnsi" w:hAnsiTheme="majorHAnsi"/>
                <w:sz w:val="18"/>
                <w:szCs w:val="18"/>
              </w:rPr>
            </w:pPr>
            <w:r w:rsidRPr="003C63AC">
              <w:rPr>
                <w:rFonts w:asciiTheme="majorHAnsi" w:hAnsiTheme="majorHAnsi"/>
                <w:sz w:val="18"/>
                <w:szCs w:val="18"/>
              </w:rPr>
              <w:t>Australian and New Zealand Standard Classification of Occupations</w:t>
            </w:r>
          </w:p>
        </w:tc>
      </w:tr>
      <w:tr w:rsidR="00E0585B" w:rsidRPr="001857B2" w14:paraId="7DC88202" w14:textId="77777777" w:rsidTr="005C79D9">
        <w:trPr>
          <w:trHeight w:val="342"/>
        </w:trPr>
        <w:tc>
          <w:tcPr>
            <w:tcW w:w="2127" w:type="dxa"/>
          </w:tcPr>
          <w:p w14:paraId="1A03AE8F" w14:textId="77777777" w:rsidR="00E0585B" w:rsidRPr="001857B2"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ARC</w:t>
            </w:r>
          </w:p>
        </w:tc>
        <w:tc>
          <w:tcPr>
            <w:tcW w:w="7365" w:type="dxa"/>
          </w:tcPr>
          <w:p w14:paraId="1A4C5794" w14:textId="77777777" w:rsidR="00E0585B" w:rsidRPr="001857B2" w:rsidRDefault="00E0585B" w:rsidP="005C79D9">
            <w:pPr>
              <w:pStyle w:val="BodyText"/>
              <w:spacing w:before="60" w:after="60"/>
              <w:rPr>
                <w:rFonts w:asciiTheme="majorHAnsi" w:hAnsiTheme="majorHAnsi"/>
                <w:sz w:val="18"/>
                <w:szCs w:val="18"/>
              </w:rPr>
            </w:pPr>
            <w:r w:rsidRPr="00C011C4">
              <w:rPr>
                <w:rFonts w:asciiTheme="majorHAnsi" w:hAnsiTheme="majorHAnsi"/>
                <w:sz w:val="18"/>
                <w:szCs w:val="18"/>
              </w:rPr>
              <w:t>Austr</w:t>
            </w:r>
            <w:r>
              <w:rPr>
                <w:rFonts w:asciiTheme="majorHAnsi" w:hAnsiTheme="majorHAnsi"/>
                <w:sz w:val="18"/>
                <w:szCs w:val="18"/>
              </w:rPr>
              <w:t>alian Refrigeration Council</w:t>
            </w:r>
          </w:p>
        </w:tc>
      </w:tr>
      <w:tr w:rsidR="00E0585B" w:rsidRPr="001857B2" w14:paraId="3939184C" w14:textId="77777777" w:rsidTr="005C79D9">
        <w:trPr>
          <w:trHeight w:val="342"/>
        </w:trPr>
        <w:tc>
          <w:tcPr>
            <w:tcW w:w="2127" w:type="dxa"/>
          </w:tcPr>
          <w:p w14:paraId="10307E3E"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BCA</w:t>
            </w:r>
          </w:p>
        </w:tc>
        <w:tc>
          <w:tcPr>
            <w:tcW w:w="7365" w:type="dxa"/>
          </w:tcPr>
          <w:p w14:paraId="2F67B936"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Building Code of Australia</w:t>
            </w:r>
          </w:p>
        </w:tc>
      </w:tr>
      <w:tr w:rsidR="00E0585B" w:rsidRPr="001857B2" w14:paraId="596E2D90" w14:textId="77777777" w:rsidTr="005C79D9">
        <w:trPr>
          <w:trHeight w:val="342"/>
        </w:trPr>
        <w:tc>
          <w:tcPr>
            <w:tcW w:w="2127" w:type="dxa"/>
          </w:tcPr>
          <w:p w14:paraId="5E65E09E"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CHF</w:t>
            </w:r>
          </w:p>
        </w:tc>
        <w:tc>
          <w:tcPr>
            <w:tcW w:w="7365" w:type="dxa"/>
          </w:tcPr>
          <w:p w14:paraId="0566F268"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Cold Hard Facts</w:t>
            </w:r>
          </w:p>
        </w:tc>
      </w:tr>
      <w:tr w:rsidR="00E0585B" w:rsidRPr="001857B2" w14:paraId="0A1DFC8F" w14:textId="77777777" w:rsidTr="005C79D9">
        <w:trPr>
          <w:trHeight w:val="342"/>
        </w:trPr>
        <w:tc>
          <w:tcPr>
            <w:tcW w:w="2127" w:type="dxa"/>
          </w:tcPr>
          <w:p w14:paraId="72D6C679" w14:textId="77777777" w:rsidR="00E0585B" w:rsidRPr="001857B2" w:rsidRDefault="00E0585B" w:rsidP="005C79D9">
            <w:pPr>
              <w:pStyle w:val="BodyText"/>
              <w:spacing w:before="60" w:after="60"/>
              <w:jc w:val="left"/>
              <w:rPr>
                <w:rFonts w:asciiTheme="majorHAnsi" w:hAnsiTheme="majorHAnsi"/>
                <w:sz w:val="18"/>
                <w:szCs w:val="18"/>
              </w:rPr>
            </w:pPr>
            <w:r w:rsidRPr="00C10940">
              <w:rPr>
                <w:rFonts w:asciiTheme="majorHAnsi" w:hAnsiTheme="majorHAnsi"/>
                <w:sz w:val="18"/>
                <w:szCs w:val="18"/>
              </w:rPr>
              <w:t>CO</w:t>
            </w:r>
            <w:r w:rsidRPr="009F6B38">
              <w:rPr>
                <w:rFonts w:asciiTheme="majorHAnsi" w:hAnsiTheme="majorHAnsi"/>
                <w:sz w:val="18"/>
                <w:szCs w:val="18"/>
                <w:vertAlign w:val="subscript"/>
              </w:rPr>
              <w:t>2</w:t>
            </w:r>
            <w:r w:rsidRPr="00C10940">
              <w:rPr>
                <w:rFonts w:asciiTheme="majorHAnsi" w:hAnsiTheme="majorHAnsi"/>
                <w:sz w:val="18"/>
                <w:szCs w:val="18"/>
              </w:rPr>
              <w:t>e</w:t>
            </w:r>
          </w:p>
        </w:tc>
        <w:tc>
          <w:tcPr>
            <w:tcW w:w="7365" w:type="dxa"/>
          </w:tcPr>
          <w:p w14:paraId="34891601"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Carbon dioxide equivalent</w:t>
            </w:r>
          </w:p>
        </w:tc>
      </w:tr>
      <w:tr w:rsidR="00E0585B" w:rsidRPr="001857B2" w14:paraId="6A7F375C" w14:textId="77777777" w:rsidTr="005C79D9">
        <w:trPr>
          <w:trHeight w:val="342"/>
        </w:trPr>
        <w:tc>
          <w:tcPr>
            <w:tcW w:w="2127" w:type="dxa"/>
          </w:tcPr>
          <w:p w14:paraId="3B6EA569" w14:textId="77777777" w:rsidR="00E0585B"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DoEE</w:t>
            </w:r>
          </w:p>
        </w:tc>
        <w:tc>
          <w:tcPr>
            <w:tcW w:w="7365" w:type="dxa"/>
          </w:tcPr>
          <w:p w14:paraId="1ECC6E1C" w14:textId="77777777" w:rsidR="00E0585B" w:rsidRDefault="00E0585B" w:rsidP="005C79D9">
            <w:pPr>
              <w:pStyle w:val="BodyText"/>
              <w:spacing w:before="60" w:after="60"/>
              <w:rPr>
                <w:rFonts w:asciiTheme="majorHAnsi" w:hAnsiTheme="majorHAnsi"/>
                <w:sz w:val="18"/>
                <w:szCs w:val="18"/>
              </w:rPr>
            </w:pPr>
            <w:r>
              <w:rPr>
                <w:rFonts w:asciiTheme="majorHAnsi" w:hAnsiTheme="majorHAnsi"/>
                <w:sz w:val="18"/>
                <w:szCs w:val="18"/>
              </w:rPr>
              <w:t>The Department of the Environment and Energy, formerly:</w:t>
            </w:r>
          </w:p>
          <w:p w14:paraId="23A8EE28" w14:textId="77777777" w:rsidR="00E0585B" w:rsidRDefault="00E0585B" w:rsidP="005C79D9">
            <w:pPr>
              <w:pStyle w:val="BodyText"/>
              <w:spacing w:before="60" w:after="60"/>
              <w:rPr>
                <w:rFonts w:asciiTheme="majorHAnsi" w:hAnsiTheme="majorHAnsi"/>
                <w:sz w:val="18"/>
                <w:szCs w:val="18"/>
              </w:rPr>
            </w:pPr>
            <w:r w:rsidRPr="000C4A16">
              <w:rPr>
                <w:rFonts w:asciiTheme="majorHAnsi" w:hAnsiTheme="majorHAnsi"/>
                <w:sz w:val="18"/>
                <w:szCs w:val="18"/>
              </w:rPr>
              <w:t>Department of the Environment</w:t>
            </w:r>
            <w:r>
              <w:rPr>
                <w:rFonts w:asciiTheme="majorHAnsi" w:hAnsiTheme="majorHAnsi"/>
                <w:sz w:val="18"/>
                <w:szCs w:val="18"/>
              </w:rPr>
              <w:t xml:space="preserve"> (DoE)</w:t>
            </w:r>
          </w:p>
          <w:p w14:paraId="22C54109" w14:textId="77777777" w:rsidR="00E0585B" w:rsidRDefault="00E0585B" w:rsidP="005C79D9">
            <w:pPr>
              <w:pStyle w:val="BodyText"/>
              <w:spacing w:before="60" w:after="60"/>
              <w:rPr>
                <w:rFonts w:asciiTheme="majorHAnsi" w:hAnsiTheme="majorHAnsi"/>
                <w:sz w:val="18"/>
                <w:szCs w:val="18"/>
              </w:rPr>
            </w:pPr>
            <w:r w:rsidRPr="000C4A16">
              <w:rPr>
                <w:rFonts w:asciiTheme="majorHAnsi" w:hAnsiTheme="majorHAnsi"/>
                <w:sz w:val="18"/>
                <w:szCs w:val="18"/>
              </w:rPr>
              <w:t>Department of Sustainability, Environment, Water, Population and Communities</w:t>
            </w:r>
            <w:r>
              <w:rPr>
                <w:rFonts w:asciiTheme="majorHAnsi" w:hAnsiTheme="majorHAnsi"/>
                <w:sz w:val="18"/>
                <w:szCs w:val="18"/>
              </w:rPr>
              <w:t xml:space="preserve"> (DSEWPaC)</w:t>
            </w:r>
          </w:p>
          <w:p w14:paraId="045CBB35" w14:textId="77777777" w:rsidR="00E0585B" w:rsidRDefault="00E0585B" w:rsidP="005C79D9">
            <w:pPr>
              <w:pStyle w:val="BodyText"/>
              <w:spacing w:before="60" w:after="60"/>
              <w:rPr>
                <w:rFonts w:asciiTheme="majorHAnsi" w:hAnsiTheme="majorHAnsi"/>
                <w:sz w:val="18"/>
                <w:szCs w:val="18"/>
              </w:rPr>
            </w:pPr>
            <w:r w:rsidRPr="00310665">
              <w:rPr>
                <w:rFonts w:asciiTheme="majorHAnsi" w:hAnsiTheme="majorHAnsi"/>
                <w:sz w:val="18"/>
                <w:szCs w:val="18"/>
              </w:rPr>
              <w:t>Department of Climate Change and Energy Efficiency</w:t>
            </w:r>
            <w:r>
              <w:rPr>
                <w:rFonts w:asciiTheme="majorHAnsi" w:hAnsiTheme="majorHAnsi"/>
                <w:sz w:val="18"/>
                <w:szCs w:val="18"/>
              </w:rPr>
              <w:t xml:space="preserve"> (DCCEE)</w:t>
            </w:r>
          </w:p>
          <w:p w14:paraId="748697EC"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Department of Environment, Water, Heritage and the Arts</w:t>
            </w:r>
            <w:r>
              <w:rPr>
                <w:rFonts w:asciiTheme="majorHAnsi" w:hAnsiTheme="majorHAnsi"/>
                <w:sz w:val="18"/>
                <w:szCs w:val="18"/>
              </w:rPr>
              <w:t xml:space="preserve"> (DEWHA)</w:t>
            </w:r>
          </w:p>
        </w:tc>
      </w:tr>
      <w:tr w:rsidR="00E0585B" w:rsidRPr="001857B2" w14:paraId="143F17D0" w14:textId="77777777" w:rsidTr="005C79D9">
        <w:trPr>
          <w:trHeight w:val="342"/>
        </w:trPr>
        <w:tc>
          <w:tcPr>
            <w:tcW w:w="2127" w:type="dxa"/>
          </w:tcPr>
          <w:p w14:paraId="2D7BC3BA" w14:textId="77777777" w:rsidR="00E0585B" w:rsidRPr="001857B2" w:rsidRDefault="00E0585B" w:rsidP="005C79D9">
            <w:pPr>
              <w:pStyle w:val="BodyText"/>
              <w:spacing w:before="60" w:after="60"/>
              <w:jc w:val="left"/>
              <w:rPr>
                <w:rFonts w:asciiTheme="majorHAnsi" w:hAnsiTheme="majorHAnsi"/>
                <w:sz w:val="18"/>
                <w:szCs w:val="18"/>
              </w:rPr>
            </w:pPr>
            <w:r w:rsidRPr="003C63AC">
              <w:rPr>
                <w:rFonts w:asciiTheme="majorHAnsi" w:hAnsiTheme="majorHAnsi"/>
                <w:sz w:val="18"/>
                <w:szCs w:val="18"/>
              </w:rPr>
              <w:t>ELV</w:t>
            </w:r>
          </w:p>
        </w:tc>
        <w:tc>
          <w:tcPr>
            <w:tcW w:w="7365" w:type="dxa"/>
          </w:tcPr>
          <w:p w14:paraId="0010815A" w14:textId="77777777" w:rsidR="00E0585B" w:rsidRPr="001857B2" w:rsidRDefault="00E0585B" w:rsidP="005C79D9">
            <w:pPr>
              <w:pStyle w:val="BodyText"/>
              <w:spacing w:before="60" w:after="60"/>
              <w:rPr>
                <w:rFonts w:asciiTheme="majorHAnsi" w:hAnsiTheme="majorHAnsi"/>
                <w:sz w:val="18"/>
                <w:szCs w:val="18"/>
              </w:rPr>
            </w:pPr>
            <w:r w:rsidRPr="003C63AC">
              <w:rPr>
                <w:rFonts w:asciiTheme="majorHAnsi" w:hAnsiTheme="majorHAnsi"/>
                <w:sz w:val="18"/>
                <w:szCs w:val="18"/>
              </w:rPr>
              <w:t>End-of-life vehicle</w:t>
            </w:r>
          </w:p>
        </w:tc>
      </w:tr>
      <w:tr w:rsidR="00E0585B" w:rsidRPr="001857B2" w14:paraId="3F573AAA" w14:textId="77777777" w:rsidTr="005C79D9">
        <w:trPr>
          <w:trHeight w:val="342"/>
        </w:trPr>
        <w:tc>
          <w:tcPr>
            <w:tcW w:w="2127" w:type="dxa"/>
          </w:tcPr>
          <w:p w14:paraId="5381504B"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EOL</w:t>
            </w:r>
          </w:p>
        </w:tc>
        <w:tc>
          <w:tcPr>
            <w:tcW w:w="7365" w:type="dxa"/>
          </w:tcPr>
          <w:p w14:paraId="22F22A8D"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End-of-life</w:t>
            </w:r>
          </w:p>
        </w:tc>
      </w:tr>
      <w:tr w:rsidR="00E0585B" w:rsidRPr="001857B2" w14:paraId="653BE66C" w14:textId="77777777" w:rsidTr="005C79D9">
        <w:trPr>
          <w:trHeight w:val="342"/>
        </w:trPr>
        <w:tc>
          <w:tcPr>
            <w:tcW w:w="2127" w:type="dxa"/>
          </w:tcPr>
          <w:p w14:paraId="107264A0"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GHG</w:t>
            </w:r>
          </w:p>
        </w:tc>
        <w:tc>
          <w:tcPr>
            <w:tcW w:w="7365" w:type="dxa"/>
          </w:tcPr>
          <w:p w14:paraId="0F8B11F0"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 xml:space="preserve">Greenhouse </w:t>
            </w:r>
            <w:r>
              <w:rPr>
                <w:rFonts w:asciiTheme="majorHAnsi" w:hAnsiTheme="majorHAnsi"/>
                <w:sz w:val="18"/>
                <w:szCs w:val="18"/>
              </w:rPr>
              <w:t>g</w:t>
            </w:r>
            <w:r w:rsidRPr="001857B2">
              <w:rPr>
                <w:rFonts w:asciiTheme="majorHAnsi" w:hAnsiTheme="majorHAnsi"/>
                <w:sz w:val="18"/>
                <w:szCs w:val="18"/>
              </w:rPr>
              <w:t>as</w:t>
            </w:r>
          </w:p>
        </w:tc>
      </w:tr>
      <w:tr w:rsidR="00E0585B" w:rsidRPr="001857B2" w14:paraId="53ACF9DD" w14:textId="77777777" w:rsidTr="005C79D9">
        <w:trPr>
          <w:trHeight w:val="342"/>
        </w:trPr>
        <w:tc>
          <w:tcPr>
            <w:tcW w:w="2127" w:type="dxa"/>
          </w:tcPr>
          <w:p w14:paraId="4603ACF4"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GWh</w:t>
            </w:r>
          </w:p>
        </w:tc>
        <w:tc>
          <w:tcPr>
            <w:tcW w:w="7365" w:type="dxa"/>
          </w:tcPr>
          <w:p w14:paraId="160EDFD0"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Gigawatt hour</w:t>
            </w:r>
          </w:p>
        </w:tc>
      </w:tr>
      <w:tr w:rsidR="00E0585B" w:rsidRPr="001857B2" w14:paraId="682F1646" w14:textId="77777777" w:rsidTr="005C79D9">
        <w:trPr>
          <w:trHeight w:val="342"/>
        </w:trPr>
        <w:tc>
          <w:tcPr>
            <w:tcW w:w="2127" w:type="dxa"/>
          </w:tcPr>
          <w:p w14:paraId="2DFA822E"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HVAC&amp;R</w:t>
            </w:r>
          </w:p>
        </w:tc>
        <w:tc>
          <w:tcPr>
            <w:tcW w:w="7365" w:type="dxa"/>
          </w:tcPr>
          <w:p w14:paraId="7E60F1F4"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Heating, ventilation, air conditioning, and refrigeration</w:t>
            </w:r>
          </w:p>
        </w:tc>
      </w:tr>
      <w:tr w:rsidR="00E0585B" w:rsidRPr="001857B2" w14:paraId="76E2C045" w14:textId="77777777" w:rsidTr="005C79D9">
        <w:trPr>
          <w:trHeight w:val="342"/>
        </w:trPr>
        <w:tc>
          <w:tcPr>
            <w:tcW w:w="2127" w:type="dxa"/>
          </w:tcPr>
          <w:p w14:paraId="7176665A"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IEA</w:t>
            </w:r>
          </w:p>
        </w:tc>
        <w:tc>
          <w:tcPr>
            <w:tcW w:w="7365" w:type="dxa"/>
          </w:tcPr>
          <w:p w14:paraId="66416C40"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International Energy Agency</w:t>
            </w:r>
          </w:p>
        </w:tc>
      </w:tr>
      <w:tr w:rsidR="00E0585B" w:rsidRPr="001857B2" w14:paraId="4A1F88C6" w14:textId="77777777" w:rsidTr="005C79D9">
        <w:trPr>
          <w:trHeight w:val="342"/>
        </w:trPr>
        <w:tc>
          <w:tcPr>
            <w:tcW w:w="2127" w:type="dxa"/>
          </w:tcPr>
          <w:p w14:paraId="73F6FBEB" w14:textId="77777777" w:rsidR="00E0585B" w:rsidRPr="001857B2"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IPCC</w:t>
            </w:r>
          </w:p>
        </w:tc>
        <w:tc>
          <w:tcPr>
            <w:tcW w:w="7365" w:type="dxa"/>
          </w:tcPr>
          <w:p w14:paraId="652B5317" w14:textId="77777777" w:rsidR="00E0585B" w:rsidRPr="001857B2" w:rsidRDefault="00E0585B" w:rsidP="005C79D9">
            <w:pPr>
              <w:pStyle w:val="BodyText"/>
              <w:spacing w:before="60" w:after="60"/>
              <w:rPr>
                <w:rFonts w:asciiTheme="majorHAnsi" w:hAnsiTheme="majorHAnsi"/>
                <w:sz w:val="18"/>
                <w:szCs w:val="18"/>
              </w:rPr>
            </w:pPr>
            <w:r>
              <w:rPr>
                <w:rFonts w:asciiTheme="majorHAnsi" w:hAnsiTheme="majorHAnsi"/>
                <w:sz w:val="18"/>
                <w:szCs w:val="18"/>
              </w:rPr>
              <w:t>Intergovernmental Panel on Climate Change</w:t>
            </w:r>
          </w:p>
        </w:tc>
      </w:tr>
      <w:tr w:rsidR="00E0585B" w:rsidRPr="001857B2" w14:paraId="5AD9C5F9" w14:textId="77777777" w:rsidTr="005C79D9">
        <w:trPr>
          <w:trHeight w:val="342"/>
        </w:trPr>
        <w:tc>
          <w:tcPr>
            <w:tcW w:w="2127" w:type="dxa"/>
          </w:tcPr>
          <w:p w14:paraId="36CEF197"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kWh</w:t>
            </w:r>
          </w:p>
        </w:tc>
        <w:tc>
          <w:tcPr>
            <w:tcW w:w="7365" w:type="dxa"/>
          </w:tcPr>
          <w:p w14:paraId="3C1709A5"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Kilowatt hour</w:t>
            </w:r>
          </w:p>
        </w:tc>
      </w:tr>
      <w:tr w:rsidR="00E0585B" w:rsidRPr="001857B2" w14:paraId="1ED014C4" w14:textId="77777777" w:rsidTr="005C79D9">
        <w:trPr>
          <w:trHeight w:val="342"/>
        </w:trPr>
        <w:tc>
          <w:tcPr>
            <w:tcW w:w="2127" w:type="dxa"/>
          </w:tcPr>
          <w:p w14:paraId="6F8CC2C9" w14:textId="77777777" w:rsidR="00E0585B" w:rsidRPr="001857B2"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kt</w:t>
            </w:r>
          </w:p>
        </w:tc>
        <w:tc>
          <w:tcPr>
            <w:tcW w:w="7365" w:type="dxa"/>
          </w:tcPr>
          <w:p w14:paraId="0619975A"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Kilotonnes, or thousand tonnes</w:t>
            </w:r>
          </w:p>
        </w:tc>
      </w:tr>
      <w:tr w:rsidR="00E0585B" w:rsidRPr="001857B2" w14:paraId="6463ED69" w14:textId="77777777" w:rsidTr="005C79D9">
        <w:trPr>
          <w:trHeight w:val="342"/>
        </w:trPr>
        <w:tc>
          <w:tcPr>
            <w:tcW w:w="2127" w:type="dxa"/>
          </w:tcPr>
          <w:p w14:paraId="2FB9581B"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LPG</w:t>
            </w:r>
          </w:p>
        </w:tc>
        <w:tc>
          <w:tcPr>
            <w:tcW w:w="7365" w:type="dxa"/>
          </w:tcPr>
          <w:p w14:paraId="7475C06C"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Liquefied petroleum gas</w:t>
            </w:r>
          </w:p>
        </w:tc>
      </w:tr>
      <w:tr w:rsidR="00E0585B" w:rsidRPr="001857B2" w14:paraId="1F73F351" w14:textId="77777777" w:rsidTr="005C79D9">
        <w:trPr>
          <w:trHeight w:val="342"/>
        </w:trPr>
        <w:tc>
          <w:tcPr>
            <w:tcW w:w="2127" w:type="dxa"/>
          </w:tcPr>
          <w:p w14:paraId="6897D0D9"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L</w:t>
            </w:r>
          </w:p>
        </w:tc>
        <w:tc>
          <w:tcPr>
            <w:tcW w:w="7365" w:type="dxa"/>
          </w:tcPr>
          <w:p w14:paraId="233410C4"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Litre</w:t>
            </w:r>
          </w:p>
        </w:tc>
      </w:tr>
      <w:tr w:rsidR="00E0585B" w:rsidRPr="001857B2" w14:paraId="56202603" w14:textId="77777777" w:rsidTr="005C79D9">
        <w:trPr>
          <w:trHeight w:val="342"/>
        </w:trPr>
        <w:tc>
          <w:tcPr>
            <w:tcW w:w="2127" w:type="dxa"/>
          </w:tcPr>
          <w:p w14:paraId="3E4A222C"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MEPS</w:t>
            </w:r>
          </w:p>
        </w:tc>
        <w:tc>
          <w:tcPr>
            <w:tcW w:w="7365" w:type="dxa"/>
          </w:tcPr>
          <w:p w14:paraId="3D0DD138"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Minimum energy performance standards</w:t>
            </w:r>
          </w:p>
        </w:tc>
      </w:tr>
      <w:tr w:rsidR="00E0585B" w:rsidRPr="001857B2" w14:paraId="0EB62D88" w14:textId="77777777" w:rsidTr="005C79D9">
        <w:trPr>
          <w:trHeight w:val="342"/>
        </w:trPr>
        <w:tc>
          <w:tcPr>
            <w:tcW w:w="2127" w:type="dxa"/>
          </w:tcPr>
          <w:p w14:paraId="2A5F24AC"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MAC</w:t>
            </w:r>
          </w:p>
        </w:tc>
        <w:tc>
          <w:tcPr>
            <w:tcW w:w="7365" w:type="dxa"/>
          </w:tcPr>
          <w:p w14:paraId="1F0E9D53"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Mobile air conditioning</w:t>
            </w:r>
          </w:p>
        </w:tc>
      </w:tr>
      <w:tr w:rsidR="00E0585B" w:rsidRPr="001857B2" w14:paraId="6EE0A540" w14:textId="77777777" w:rsidTr="005C79D9">
        <w:trPr>
          <w:trHeight w:val="342"/>
        </w:trPr>
        <w:tc>
          <w:tcPr>
            <w:tcW w:w="2127" w:type="dxa"/>
          </w:tcPr>
          <w:p w14:paraId="7DFD6C9B"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MJ</w:t>
            </w:r>
          </w:p>
        </w:tc>
        <w:tc>
          <w:tcPr>
            <w:tcW w:w="7365" w:type="dxa"/>
          </w:tcPr>
          <w:p w14:paraId="7E3C6AF8"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Megajoule</w:t>
            </w:r>
            <w:r>
              <w:rPr>
                <w:rFonts w:asciiTheme="majorHAnsi" w:hAnsiTheme="majorHAnsi"/>
                <w:sz w:val="18"/>
                <w:szCs w:val="18"/>
              </w:rPr>
              <w:t>, or million joules</w:t>
            </w:r>
          </w:p>
        </w:tc>
      </w:tr>
      <w:tr w:rsidR="00E0585B" w:rsidRPr="001857B2" w14:paraId="5213CFC9" w14:textId="77777777" w:rsidTr="005C79D9">
        <w:trPr>
          <w:trHeight w:val="342"/>
        </w:trPr>
        <w:tc>
          <w:tcPr>
            <w:tcW w:w="2127" w:type="dxa"/>
          </w:tcPr>
          <w:p w14:paraId="3B307D83" w14:textId="77777777" w:rsidR="00E0585B" w:rsidRPr="001857B2"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Mt</w:t>
            </w:r>
          </w:p>
        </w:tc>
        <w:tc>
          <w:tcPr>
            <w:tcW w:w="7365" w:type="dxa"/>
          </w:tcPr>
          <w:p w14:paraId="4E4BEEC5"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Megatonne, or million tonnes</w:t>
            </w:r>
          </w:p>
        </w:tc>
      </w:tr>
      <w:tr w:rsidR="00E0585B" w:rsidRPr="008C2553" w14:paraId="3CA6276D" w14:textId="77777777" w:rsidTr="005C79D9">
        <w:trPr>
          <w:trHeight w:val="342"/>
        </w:trPr>
        <w:tc>
          <w:tcPr>
            <w:tcW w:w="2127" w:type="dxa"/>
          </w:tcPr>
          <w:p w14:paraId="5D173227"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ODS</w:t>
            </w:r>
          </w:p>
        </w:tc>
        <w:tc>
          <w:tcPr>
            <w:tcW w:w="7365" w:type="dxa"/>
          </w:tcPr>
          <w:p w14:paraId="5DEBDDBB"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Ozone depleting substances</w:t>
            </w:r>
          </w:p>
        </w:tc>
      </w:tr>
      <w:tr w:rsidR="00E0585B" w:rsidRPr="008C2553" w14:paraId="7D1B13D0" w14:textId="77777777" w:rsidTr="005C79D9">
        <w:trPr>
          <w:trHeight w:val="342"/>
        </w:trPr>
        <w:tc>
          <w:tcPr>
            <w:tcW w:w="2127" w:type="dxa"/>
          </w:tcPr>
          <w:p w14:paraId="4D4347EE" w14:textId="77777777" w:rsidR="00E0585B"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OEM</w:t>
            </w:r>
          </w:p>
        </w:tc>
        <w:tc>
          <w:tcPr>
            <w:tcW w:w="7365" w:type="dxa"/>
          </w:tcPr>
          <w:p w14:paraId="292B4C4E" w14:textId="77777777" w:rsidR="00E0585B" w:rsidRDefault="00E0585B" w:rsidP="005C79D9">
            <w:pPr>
              <w:pStyle w:val="BodyText"/>
              <w:spacing w:before="60" w:after="60"/>
              <w:rPr>
                <w:rFonts w:asciiTheme="majorHAnsi" w:hAnsiTheme="majorHAnsi"/>
                <w:sz w:val="18"/>
                <w:szCs w:val="18"/>
              </w:rPr>
            </w:pPr>
            <w:r>
              <w:rPr>
                <w:rFonts w:asciiTheme="majorHAnsi" w:hAnsiTheme="majorHAnsi"/>
                <w:sz w:val="18"/>
                <w:szCs w:val="18"/>
              </w:rPr>
              <w:t>Original equipment manufacturer</w:t>
            </w:r>
          </w:p>
        </w:tc>
      </w:tr>
      <w:tr w:rsidR="00E0585B" w:rsidRPr="008C2553" w14:paraId="689940AB" w14:textId="77777777" w:rsidTr="005C79D9">
        <w:trPr>
          <w:trHeight w:val="342"/>
        </w:trPr>
        <w:tc>
          <w:tcPr>
            <w:tcW w:w="2127" w:type="dxa"/>
          </w:tcPr>
          <w:p w14:paraId="12D41DB5" w14:textId="77777777" w:rsidR="00E0585B" w:rsidRPr="008C2553" w:rsidRDefault="00E0585B" w:rsidP="005C79D9">
            <w:pPr>
              <w:pStyle w:val="BodyText"/>
              <w:spacing w:before="60" w:after="60"/>
              <w:jc w:val="left"/>
              <w:rPr>
                <w:rFonts w:asciiTheme="majorHAnsi" w:hAnsiTheme="majorHAnsi"/>
                <w:sz w:val="18"/>
                <w:szCs w:val="18"/>
              </w:rPr>
            </w:pPr>
            <w:r w:rsidRPr="003C63AC">
              <w:rPr>
                <w:rFonts w:asciiTheme="majorHAnsi" w:hAnsiTheme="majorHAnsi"/>
                <w:sz w:val="18"/>
                <w:szCs w:val="18"/>
              </w:rPr>
              <w:t>OHS</w:t>
            </w:r>
          </w:p>
        </w:tc>
        <w:tc>
          <w:tcPr>
            <w:tcW w:w="7365" w:type="dxa"/>
          </w:tcPr>
          <w:p w14:paraId="6E846811" w14:textId="77777777" w:rsidR="00E0585B" w:rsidRPr="00705A93" w:rsidRDefault="00E0585B" w:rsidP="005C79D9">
            <w:pPr>
              <w:pStyle w:val="BodyText"/>
              <w:spacing w:before="60" w:after="60"/>
              <w:rPr>
                <w:rFonts w:asciiTheme="majorHAnsi" w:hAnsiTheme="majorHAnsi"/>
                <w:i/>
                <w:sz w:val="18"/>
                <w:szCs w:val="18"/>
              </w:rPr>
            </w:pPr>
            <w:r w:rsidRPr="003C63AC">
              <w:rPr>
                <w:rFonts w:asciiTheme="majorHAnsi" w:hAnsiTheme="majorHAnsi"/>
                <w:sz w:val="18"/>
                <w:szCs w:val="18"/>
              </w:rPr>
              <w:t>Occupational Health and Safety</w:t>
            </w:r>
          </w:p>
        </w:tc>
      </w:tr>
      <w:tr w:rsidR="00E0585B" w:rsidRPr="008C2553" w14:paraId="5FA4442A" w14:textId="77777777" w:rsidTr="005C79D9">
        <w:trPr>
          <w:trHeight w:val="342"/>
        </w:trPr>
        <w:tc>
          <w:tcPr>
            <w:tcW w:w="2127" w:type="dxa"/>
          </w:tcPr>
          <w:p w14:paraId="5A52E0EC" w14:textId="77777777" w:rsidR="00E0585B" w:rsidRPr="001857B2" w:rsidRDefault="00E0585B" w:rsidP="005C79D9">
            <w:pPr>
              <w:pStyle w:val="BodyText"/>
              <w:spacing w:before="60" w:after="60"/>
              <w:jc w:val="left"/>
              <w:rPr>
                <w:rFonts w:asciiTheme="majorHAnsi" w:hAnsiTheme="majorHAnsi"/>
                <w:sz w:val="18"/>
                <w:szCs w:val="18"/>
              </w:rPr>
            </w:pPr>
            <w:r w:rsidRPr="000C4A16">
              <w:rPr>
                <w:rFonts w:asciiTheme="majorHAnsi" w:hAnsiTheme="majorHAnsi"/>
                <w:sz w:val="18"/>
                <w:szCs w:val="18"/>
              </w:rPr>
              <w:t>OPSGGM</w:t>
            </w:r>
            <w:r>
              <w:rPr>
                <w:rFonts w:asciiTheme="majorHAnsi" w:hAnsiTheme="majorHAnsi"/>
                <w:sz w:val="18"/>
                <w:szCs w:val="18"/>
              </w:rPr>
              <w:t xml:space="preserve"> </w:t>
            </w:r>
            <w:r w:rsidRPr="000C4A16">
              <w:rPr>
                <w:rFonts w:asciiTheme="majorHAnsi" w:hAnsiTheme="majorHAnsi"/>
                <w:sz w:val="18"/>
                <w:szCs w:val="18"/>
              </w:rPr>
              <w:t>A</w:t>
            </w:r>
            <w:r>
              <w:rPr>
                <w:rFonts w:asciiTheme="majorHAnsi" w:hAnsiTheme="majorHAnsi"/>
                <w:sz w:val="18"/>
                <w:szCs w:val="18"/>
              </w:rPr>
              <w:t>ct</w:t>
            </w:r>
          </w:p>
        </w:tc>
        <w:tc>
          <w:tcPr>
            <w:tcW w:w="7365" w:type="dxa"/>
          </w:tcPr>
          <w:p w14:paraId="388BA0CA" w14:textId="77777777" w:rsidR="00E0585B" w:rsidRPr="001857B2" w:rsidRDefault="00E0585B" w:rsidP="005C79D9">
            <w:pPr>
              <w:pStyle w:val="BodyText"/>
              <w:spacing w:before="60" w:after="60"/>
              <w:rPr>
                <w:rFonts w:asciiTheme="majorHAnsi" w:hAnsiTheme="majorHAnsi"/>
                <w:sz w:val="18"/>
                <w:szCs w:val="18"/>
              </w:rPr>
            </w:pPr>
            <w:r w:rsidRPr="000C4A16">
              <w:rPr>
                <w:rFonts w:asciiTheme="majorHAnsi" w:hAnsiTheme="majorHAnsi"/>
                <w:sz w:val="18"/>
                <w:szCs w:val="18"/>
              </w:rPr>
              <w:t>Ozone Protection and Synthetic Greenhouse Gas Management Act 1989, including amendments</w:t>
            </w:r>
          </w:p>
        </w:tc>
      </w:tr>
      <w:tr w:rsidR="00E0585B" w:rsidRPr="008C2553" w14:paraId="276EAD19" w14:textId="77777777" w:rsidTr="005C79D9">
        <w:trPr>
          <w:trHeight w:val="342"/>
        </w:trPr>
        <w:tc>
          <w:tcPr>
            <w:tcW w:w="2127" w:type="dxa"/>
          </w:tcPr>
          <w:p w14:paraId="3BD7F6D8" w14:textId="77777777" w:rsidR="00E0585B" w:rsidRPr="000C4A16"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PCE</w:t>
            </w:r>
          </w:p>
        </w:tc>
        <w:tc>
          <w:tcPr>
            <w:tcW w:w="7365" w:type="dxa"/>
          </w:tcPr>
          <w:p w14:paraId="67259269" w14:textId="77777777" w:rsidR="00E0585B" w:rsidRPr="000C4A16" w:rsidRDefault="00E0585B" w:rsidP="005C79D9">
            <w:pPr>
              <w:pStyle w:val="BodyText"/>
              <w:spacing w:before="60" w:after="60"/>
              <w:rPr>
                <w:rFonts w:asciiTheme="majorHAnsi" w:hAnsiTheme="majorHAnsi"/>
                <w:sz w:val="18"/>
                <w:szCs w:val="18"/>
              </w:rPr>
            </w:pPr>
            <w:r>
              <w:rPr>
                <w:rFonts w:asciiTheme="majorHAnsi" w:hAnsiTheme="majorHAnsi"/>
                <w:sz w:val="18"/>
                <w:szCs w:val="18"/>
              </w:rPr>
              <w:t>Pre-charged equipment</w:t>
            </w:r>
          </w:p>
        </w:tc>
      </w:tr>
      <w:tr w:rsidR="00E0585B" w:rsidRPr="008C2553" w14:paraId="76320F01" w14:textId="77777777" w:rsidTr="005C79D9">
        <w:trPr>
          <w:trHeight w:val="342"/>
        </w:trPr>
        <w:tc>
          <w:tcPr>
            <w:tcW w:w="2127" w:type="dxa"/>
          </w:tcPr>
          <w:p w14:paraId="5BF36196" w14:textId="77777777" w:rsidR="00E0585B" w:rsidRPr="008C2553"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PJ</w:t>
            </w:r>
          </w:p>
        </w:tc>
        <w:tc>
          <w:tcPr>
            <w:tcW w:w="7365" w:type="dxa"/>
          </w:tcPr>
          <w:p w14:paraId="22F3989A" w14:textId="77777777" w:rsidR="00E0585B" w:rsidRPr="00705A93" w:rsidRDefault="00E0585B" w:rsidP="005C79D9">
            <w:pPr>
              <w:pStyle w:val="BodyText"/>
              <w:spacing w:before="60" w:after="60"/>
              <w:rPr>
                <w:rFonts w:asciiTheme="majorHAnsi" w:hAnsiTheme="majorHAnsi"/>
                <w:i/>
                <w:sz w:val="18"/>
                <w:szCs w:val="18"/>
              </w:rPr>
            </w:pPr>
            <w:r w:rsidRPr="001857B2">
              <w:rPr>
                <w:rFonts w:asciiTheme="majorHAnsi" w:hAnsiTheme="majorHAnsi"/>
                <w:sz w:val="18"/>
                <w:szCs w:val="18"/>
              </w:rPr>
              <w:t>Petajoule</w:t>
            </w:r>
            <w:r>
              <w:rPr>
                <w:rFonts w:asciiTheme="majorHAnsi" w:hAnsiTheme="majorHAnsi"/>
                <w:sz w:val="18"/>
                <w:szCs w:val="18"/>
              </w:rPr>
              <w:t>, or 10</w:t>
            </w:r>
            <w:r w:rsidRPr="00310665">
              <w:rPr>
                <w:rFonts w:asciiTheme="majorHAnsi" w:hAnsiTheme="majorHAnsi"/>
                <w:sz w:val="18"/>
                <w:szCs w:val="18"/>
                <w:vertAlign w:val="superscript"/>
              </w:rPr>
              <w:t>9</w:t>
            </w:r>
            <w:r>
              <w:rPr>
                <w:rFonts w:asciiTheme="majorHAnsi" w:hAnsiTheme="majorHAnsi"/>
                <w:sz w:val="18"/>
                <w:szCs w:val="18"/>
              </w:rPr>
              <w:t xml:space="preserve"> Joules</w:t>
            </w:r>
          </w:p>
        </w:tc>
      </w:tr>
      <w:tr w:rsidR="00E0585B" w:rsidRPr="001857B2" w14:paraId="78BE82B3" w14:textId="77777777" w:rsidTr="005C79D9">
        <w:trPr>
          <w:trHeight w:val="342"/>
        </w:trPr>
        <w:tc>
          <w:tcPr>
            <w:tcW w:w="2127" w:type="dxa"/>
          </w:tcPr>
          <w:p w14:paraId="79768901"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RAC</w:t>
            </w:r>
          </w:p>
        </w:tc>
        <w:tc>
          <w:tcPr>
            <w:tcW w:w="7365" w:type="dxa"/>
          </w:tcPr>
          <w:p w14:paraId="5372DE14"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Refrigeration and air conditioning</w:t>
            </w:r>
          </w:p>
        </w:tc>
      </w:tr>
      <w:tr w:rsidR="00E0585B" w:rsidRPr="001857B2" w14:paraId="2AC8989A" w14:textId="77777777" w:rsidTr="005C79D9">
        <w:trPr>
          <w:trHeight w:val="342"/>
        </w:trPr>
        <w:tc>
          <w:tcPr>
            <w:tcW w:w="2127" w:type="dxa"/>
          </w:tcPr>
          <w:p w14:paraId="3FA8FA46"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RCFC</w:t>
            </w:r>
          </w:p>
        </w:tc>
        <w:tc>
          <w:tcPr>
            <w:tcW w:w="7365" w:type="dxa"/>
          </w:tcPr>
          <w:p w14:paraId="509622F9" w14:textId="77777777" w:rsidR="00E0585B" w:rsidRPr="001857B2" w:rsidRDefault="00E0585B" w:rsidP="005C79D9">
            <w:pPr>
              <w:pStyle w:val="BodyText"/>
              <w:spacing w:before="60" w:after="60"/>
              <w:rPr>
                <w:rFonts w:asciiTheme="majorHAnsi" w:hAnsiTheme="majorHAnsi"/>
                <w:sz w:val="18"/>
                <w:szCs w:val="18"/>
              </w:rPr>
            </w:pPr>
            <w:r>
              <w:rPr>
                <w:rFonts w:asciiTheme="majorHAnsi" w:hAnsiTheme="majorHAnsi"/>
                <w:sz w:val="18"/>
                <w:szCs w:val="18"/>
              </w:rPr>
              <w:t>Refrigerated cold food chain</w:t>
            </w:r>
          </w:p>
        </w:tc>
      </w:tr>
      <w:tr w:rsidR="00E0585B" w:rsidRPr="001857B2" w14:paraId="6BE01808" w14:textId="77777777" w:rsidTr="005C79D9">
        <w:trPr>
          <w:trHeight w:val="342"/>
        </w:trPr>
        <w:tc>
          <w:tcPr>
            <w:tcW w:w="2127" w:type="dxa"/>
          </w:tcPr>
          <w:p w14:paraId="6C93263B" w14:textId="77777777" w:rsidR="00E0585B" w:rsidRPr="001857B2"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RHL</w:t>
            </w:r>
          </w:p>
        </w:tc>
        <w:tc>
          <w:tcPr>
            <w:tcW w:w="7365" w:type="dxa"/>
          </w:tcPr>
          <w:p w14:paraId="642EA0EA" w14:textId="77777777" w:rsidR="00E0585B" w:rsidRPr="001857B2" w:rsidRDefault="00E0585B" w:rsidP="005C79D9">
            <w:pPr>
              <w:pStyle w:val="BodyText"/>
              <w:spacing w:before="60" w:after="60"/>
              <w:rPr>
                <w:rFonts w:asciiTheme="majorHAnsi" w:hAnsiTheme="majorHAnsi"/>
                <w:sz w:val="18"/>
                <w:szCs w:val="18"/>
              </w:rPr>
            </w:pPr>
            <w:r>
              <w:rPr>
                <w:rFonts w:asciiTheme="majorHAnsi" w:hAnsiTheme="majorHAnsi"/>
                <w:sz w:val="18"/>
                <w:szCs w:val="18"/>
              </w:rPr>
              <w:t>Refrigerant handling licence</w:t>
            </w:r>
          </w:p>
        </w:tc>
      </w:tr>
      <w:tr w:rsidR="00E0585B" w:rsidRPr="001857B2" w14:paraId="5B5EDD44" w14:textId="77777777" w:rsidTr="005C79D9">
        <w:trPr>
          <w:trHeight w:val="342"/>
        </w:trPr>
        <w:tc>
          <w:tcPr>
            <w:tcW w:w="2127" w:type="dxa"/>
          </w:tcPr>
          <w:p w14:paraId="0F06E1BF" w14:textId="77777777" w:rsidR="00E0585B"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lastRenderedPageBreak/>
              <w:t>ROI</w:t>
            </w:r>
          </w:p>
        </w:tc>
        <w:tc>
          <w:tcPr>
            <w:tcW w:w="7365" w:type="dxa"/>
          </w:tcPr>
          <w:p w14:paraId="160F132A" w14:textId="77777777" w:rsidR="00E0585B" w:rsidRPr="003C63AC" w:rsidRDefault="00E0585B" w:rsidP="005C79D9">
            <w:pPr>
              <w:pStyle w:val="BodyText"/>
              <w:spacing w:before="60" w:after="60"/>
              <w:rPr>
                <w:rFonts w:asciiTheme="majorHAnsi" w:hAnsiTheme="majorHAnsi"/>
                <w:sz w:val="18"/>
                <w:szCs w:val="18"/>
              </w:rPr>
            </w:pPr>
            <w:r>
              <w:rPr>
                <w:rFonts w:asciiTheme="majorHAnsi" w:hAnsiTheme="majorHAnsi"/>
                <w:sz w:val="18"/>
                <w:szCs w:val="18"/>
              </w:rPr>
              <w:t>Return on investment</w:t>
            </w:r>
          </w:p>
        </w:tc>
      </w:tr>
      <w:tr w:rsidR="00E0585B" w:rsidRPr="001857B2" w14:paraId="77C7315B" w14:textId="77777777" w:rsidTr="005C79D9">
        <w:trPr>
          <w:trHeight w:val="342"/>
        </w:trPr>
        <w:tc>
          <w:tcPr>
            <w:tcW w:w="2127" w:type="dxa"/>
          </w:tcPr>
          <w:p w14:paraId="615B5D95" w14:textId="77777777" w:rsidR="00E0585B"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RRA</w:t>
            </w:r>
          </w:p>
        </w:tc>
        <w:tc>
          <w:tcPr>
            <w:tcW w:w="7365" w:type="dxa"/>
          </w:tcPr>
          <w:p w14:paraId="0921FBD8" w14:textId="77777777" w:rsidR="00E0585B" w:rsidRPr="003C63AC" w:rsidRDefault="00E0585B" w:rsidP="005C79D9">
            <w:pPr>
              <w:pStyle w:val="BodyText"/>
              <w:spacing w:before="60" w:after="60"/>
              <w:rPr>
                <w:rFonts w:asciiTheme="majorHAnsi" w:hAnsiTheme="majorHAnsi"/>
                <w:sz w:val="18"/>
                <w:szCs w:val="18"/>
              </w:rPr>
            </w:pPr>
            <w:r w:rsidRPr="003C63AC">
              <w:rPr>
                <w:rFonts w:asciiTheme="majorHAnsi" w:hAnsiTheme="majorHAnsi"/>
                <w:sz w:val="18"/>
                <w:szCs w:val="18"/>
              </w:rPr>
              <w:t>Refrigerant Reclaim Australia</w:t>
            </w:r>
          </w:p>
        </w:tc>
      </w:tr>
      <w:tr w:rsidR="00E0585B" w:rsidRPr="001857B2" w14:paraId="094925E5" w14:textId="77777777" w:rsidTr="005C79D9">
        <w:trPr>
          <w:trHeight w:val="342"/>
        </w:trPr>
        <w:tc>
          <w:tcPr>
            <w:tcW w:w="2127" w:type="dxa"/>
          </w:tcPr>
          <w:p w14:paraId="2FBD707D" w14:textId="77777777" w:rsidR="00E0585B" w:rsidRPr="001857B2"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RTA</w:t>
            </w:r>
          </w:p>
        </w:tc>
        <w:tc>
          <w:tcPr>
            <w:tcW w:w="7365" w:type="dxa"/>
          </w:tcPr>
          <w:p w14:paraId="11912BC7" w14:textId="77777777" w:rsidR="00E0585B" w:rsidRPr="001857B2" w:rsidRDefault="00E0585B" w:rsidP="005C79D9">
            <w:pPr>
              <w:pStyle w:val="BodyText"/>
              <w:spacing w:before="60" w:after="60"/>
              <w:rPr>
                <w:rFonts w:asciiTheme="majorHAnsi" w:hAnsiTheme="majorHAnsi"/>
                <w:sz w:val="18"/>
                <w:szCs w:val="18"/>
              </w:rPr>
            </w:pPr>
            <w:r>
              <w:rPr>
                <w:rFonts w:asciiTheme="majorHAnsi" w:hAnsiTheme="majorHAnsi"/>
                <w:sz w:val="18"/>
                <w:szCs w:val="18"/>
              </w:rPr>
              <w:t>R</w:t>
            </w:r>
            <w:r w:rsidRPr="002975C4">
              <w:rPr>
                <w:rFonts w:asciiTheme="majorHAnsi" w:hAnsiTheme="majorHAnsi"/>
                <w:sz w:val="18"/>
                <w:szCs w:val="18"/>
              </w:rPr>
              <w:t xml:space="preserve">efrigerant </w:t>
            </w:r>
            <w:r>
              <w:rPr>
                <w:rFonts w:asciiTheme="majorHAnsi" w:hAnsiTheme="majorHAnsi"/>
                <w:sz w:val="18"/>
                <w:szCs w:val="18"/>
              </w:rPr>
              <w:t>trading authorisation</w:t>
            </w:r>
          </w:p>
        </w:tc>
      </w:tr>
      <w:tr w:rsidR="00E0585B" w:rsidRPr="001857B2" w14:paraId="652C8E7D" w14:textId="77777777" w:rsidTr="005C79D9">
        <w:trPr>
          <w:trHeight w:val="342"/>
        </w:trPr>
        <w:tc>
          <w:tcPr>
            <w:tcW w:w="2127" w:type="dxa"/>
          </w:tcPr>
          <w:p w14:paraId="563F894C" w14:textId="77777777" w:rsidR="00E0585B" w:rsidRPr="001857B2"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SEC</w:t>
            </w:r>
          </w:p>
        </w:tc>
        <w:tc>
          <w:tcPr>
            <w:tcW w:w="7365" w:type="dxa"/>
          </w:tcPr>
          <w:p w14:paraId="5E8310E8" w14:textId="77777777" w:rsidR="00E0585B" w:rsidRPr="001857B2" w:rsidRDefault="00E0585B" w:rsidP="005C79D9">
            <w:pPr>
              <w:pStyle w:val="BodyText"/>
              <w:spacing w:before="60" w:after="60"/>
              <w:rPr>
                <w:rFonts w:asciiTheme="majorHAnsi" w:hAnsiTheme="majorHAnsi"/>
                <w:sz w:val="18"/>
                <w:szCs w:val="18"/>
              </w:rPr>
            </w:pPr>
            <w:r w:rsidRPr="00A563D7">
              <w:rPr>
                <w:rFonts w:asciiTheme="majorHAnsi" w:hAnsiTheme="majorHAnsi"/>
                <w:sz w:val="18"/>
                <w:szCs w:val="18"/>
              </w:rPr>
              <w:t>Specific Energy Consumption</w:t>
            </w:r>
          </w:p>
        </w:tc>
      </w:tr>
      <w:tr w:rsidR="00E0585B" w:rsidRPr="001857B2" w14:paraId="4E67F1E0" w14:textId="77777777" w:rsidTr="005C79D9">
        <w:trPr>
          <w:trHeight w:val="342"/>
        </w:trPr>
        <w:tc>
          <w:tcPr>
            <w:tcW w:w="2127" w:type="dxa"/>
          </w:tcPr>
          <w:p w14:paraId="79633510"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SGG</w:t>
            </w:r>
          </w:p>
        </w:tc>
        <w:tc>
          <w:tcPr>
            <w:tcW w:w="7365" w:type="dxa"/>
          </w:tcPr>
          <w:p w14:paraId="6DF796FA"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Synthetic greenhouse gas</w:t>
            </w:r>
          </w:p>
        </w:tc>
      </w:tr>
      <w:tr w:rsidR="00E0585B" w:rsidRPr="001857B2" w14:paraId="3554F618" w14:textId="77777777" w:rsidTr="005C79D9">
        <w:trPr>
          <w:trHeight w:val="342"/>
        </w:trPr>
        <w:tc>
          <w:tcPr>
            <w:tcW w:w="2127" w:type="dxa"/>
          </w:tcPr>
          <w:p w14:paraId="04B6FE5D" w14:textId="77777777" w:rsidR="00E0585B" w:rsidRPr="001857B2" w:rsidRDefault="00E0585B" w:rsidP="005C79D9">
            <w:pPr>
              <w:pStyle w:val="BodyText"/>
              <w:spacing w:before="60" w:after="60"/>
              <w:jc w:val="left"/>
              <w:rPr>
                <w:rFonts w:asciiTheme="majorHAnsi" w:hAnsiTheme="majorHAnsi"/>
                <w:sz w:val="18"/>
                <w:szCs w:val="18"/>
              </w:rPr>
            </w:pPr>
            <w:r w:rsidRPr="001857B2">
              <w:rPr>
                <w:rFonts w:asciiTheme="majorHAnsi" w:hAnsiTheme="majorHAnsi"/>
                <w:sz w:val="18"/>
                <w:szCs w:val="18"/>
              </w:rPr>
              <w:t>TAFE</w:t>
            </w:r>
          </w:p>
        </w:tc>
        <w:tc>
          <w:tcPr>
            <w:tcW w:w="7365" w:type="dxa"/>
          </w:tcPr>
          <w:p w14:paraId="7B48DD0B" w14:textId="77777777" w:rsidR="00E0585B" w:rsidRPr="001857B2" w:rsidRDefault="00E0585B" w:rsidP="005C79D9">
            <w:pPr>
              <w:pStyle w:val="BodyText"/>
              <w:spacing w:before="60" w:after="60"/>
              <w:rPr>
                <w:rFonts w:asciiTheme="majorHAnsi" w:hAnsiTheme="majorHAnsi"/>
                <w:sz w:val="18"/>
                <w:szCs w:val="18"/>
              </w:rPr>
            </w:pPr>
            <w:r w:rsidRPr="001857B2">
              <w:rPr>
                <w:rFonts w:asciiTheme="majorHAnsi" w:hAnsiTheme="majorHAnsi"/>
                <w:sz w:val="18"/>
                <w:szCs w:val="18"/>
              </w:rPr>
              <w:t>Technical and Further Education</w:t>
            </w:r>
          </w:p>
        </w:tc>
      </w:tr>
      <w:tr w:rsidR="00E0585B" w:rsidRPr="001857B2" w14:paraId="6471FC24" w14:textId="77777777" w:rsidTr="005C79D9">
        <w:trPr>
          <w:trHeight w:val="342"/>
        </w:trPr>
        <w:tc>
          <w:tcPr>
            <w:tcW w:w="2127" w:type="dxa"/>
          </w:tcPr>
          <w:p w14:paraId="1771BD61" w14:textId="77777777" w:rsidR="00E0585B" w:rsidRDefault="00E0585B" w:rsidP="005C79D9">
            <w:pPr>
              <w:pStyle w:val="BodyText"/>
              <w:spacing w:before="60" w:after="60"/>
              <w:jc w:val="left"/>
              <w:rPr>
                <w:rFonts w:asciiTheme="majorHAnsi" w:hAnsiTheme="majorHAnsi"/>
                <w:sz w:val="18"/>
                <w:szCs w:val="18"/>
              </w:rPr>
            </w:pPr>
            <w:r>
              <w:rPr>
                <w:rFonts w:asciiTheme="majorHAnsi" w:hAnsiTheme="majorHAnsi"/>
                <w:sz w:val="18"/>
                <w:szCs w:val="18"/>
              </w:rPr>
              <w:t>Tonne or t</w:t>
            </w:r>
          </w:p>
        </w:tc>
        <w:tc>
          <w:tcPr>
            <w:tcW w:w="7365" w:type="dxa"/>
          </w:tcPr>
          <w:p w14:paraId="017AF0BC" w14:textId="77777777" w:rsidR="00E0585B" w:rsidRDefault="00E0585B" w:rsidP="005C79D9">
            <w:pPr>
              <w:pStyle w:val="BodyText"/>
              <w:spacing w:before="60" w:after="60"/>
              <w:rPr>
                <w:rFonts w:asciiTheme="majorHAnsi" w:hAnsiTheme="majorHAnsi"/>
                <w:sz w:val="18"/>
                <w:szCs w:val="18"/>
              </w:rPr>
            </w:pPr>
            <w:r>
              <w:rPr>
                <w:rFonts w:asciiTheme="majorHAnsi" w:hAnsiTheme="majorHAnsi"/>
                <w:sz w:val="18"/>
                <w:szCs w:val="18"/>
              </w:rPr>
              <w:t>Metric t</w:t>
            </w:r>
            <w:r w:rsidRPr="001857B2">
              <w:rPr>
                <w:rFonts w:asciiTheme="majorHAnsi" w:hAnsiTheme="majorHAnsi"/>
                <w:sz w:val="18"/>
                <w:szCs w:val="18"/>
              </w:rPr>
              <w:t>onne</w:t>
            </w:r>
          </w:p>
        </w:tc>
      </w:tr>
      <w:tr w:rsidR="00E0585B" w:rsidRPr="001857B2" w14:paraId="5289F18E" w14:textId="77777777" w:rsidTr="005C79D9">
        <w:trPr>
          <w:trHeight w:val="342"/>
        </w:trPr>
        <w:tc>
          <w:tcPr>
            <w:tcW w:w="2127" w:type="dxa"/>
          </w:tcPr>
          <w:p w14:paraId="03E2D27D" w14:textId="77777777" w:rsidR="00E0585B" w:rsidRPr="001857B2" w:rsidRDefault="00E0585B" w:rsidP="005C79D9">
            <w:pPr>
              <w:pStyle w:val="BodyText"/>
              <w:spacing w:before="60" w:after="60"/>
              <w:jc w:val="left"/>
              <w:rPr>
                <w:rFonts w:asciiTheme="majorHAnsi" w:hAnsiTheme="majorHAnsi"/>
                <w:sz w:val="18"/>
                <w:szCs w:val="18"/>
              </w:rPr>
            </w:pPr>
            <w:r w:rsidRPr="008814D5">
              <w:rPr>
                <w:rFonts w:asciiTheme="majorHAnsi" w:hAnsiTheme="majorHAnsi"/>
                <w:sz w:val="18"/>
                <w:szCs w:val="18"/>
              </w:rPr>
              <w:t>UNFCCC</w:t>
            </w:r>
          </w:p>
        </w:tc>
        <w:tc>
          <w:tcPr>
            <w:tcW w:w="7365" w:type="dxa"/>
          </w:tcPr>
          <w:p w14:paraId="2FB1C972" w14:textId="77777777" w:rsidR="00E0585B" w:rsidRPr="001857B2" w:rsidRDefault="00E0585B" w:rsidP="005C79D9">
            <w:pPr>
              <w:pStyle w:val="BodyText"/>
              <w:spacing w:before="60" w:after="60"/>
              <w:rPr>
                <w:rFonts w:asciiTheme="majorHAnsi" w:hAnsiTheme="majorHAnsi"/>
                <w:sz w:val="18"/>
                <w:szCs w:val="18"/>
              </w:rPr>
            </w:pPr>
            <w:r w:rsidRPr="008814D5">
              <w:rPr>
                <w:rFonts w:asciiTheme="majorHAnsi" w:hAnsiTheme="majorHAnsi"/>
                <w:sz w:val="18"/>
                <w:szCs w:val="18"/>
              </w:rPr>
              <w:t xml:space="preserve">United Nations Framework Convention on Climate Change </w:t>
            </w:r>
          </w:p>
        </w:tc>
      </w:tr>
    </w:tbl>
    <w:p w14:paraId="1104B7F2" w14:textId="77777777" w:rsidR="00E0585B" w:rsidRDefault="00E0585B" w:rsidP="00E0585B">
      <w:pPr>
        <w:spacing w:before="0"/>
        <w:jc w:val="left"/>
      </w:pPr>
    </w:p>
    <w:p w14:paraId="7696FE02" w14:textId="77777777" w:rsidR="00F00266" w:rsidRDefault="00F00266">
      <w:pPr>
        <w:spacing w:before="0"/>
        <w:jc w:val="left"/>
      </w:pPr>
    </w:p>
    <w:p w14:paraId="5C12B682" w14:textId="77777777" w:rsidR="00F00266" w:rsidRDefault="00F00266">
      <w:pPr>
        <w:spacing w:before="0"/>
        <w:jc w:val="left"/>
      </w:pPr>
    </w:p>
    <w:p w14:paraId="294CCFE6" w14:textId="77777777" w:rsidR="00F00266" w:rsidRDefault="00F00266">
      <w:pPr>
        <w:spacing w:before="0"/>
        <w:jc w:val="left"/>
      </w:pPr>
    </w:p>
    <w:p w14:paraId="017FF947" w14:textId="77777777" w:rsidR="00E0585B" w:rsidRDefault="00E0585B">
      <w:pPr>
        <w:spacing w:before="0"/>
        <w:jc w:val="left"/>
        <w:rPr>
          <w:rFonts w:ascii="Calibri" w:eastAsia="Times New Roman" w:hAnsi="Calibri" w:cs="Times New Roman"/>
          <w:b/>
          <w:bCs/>
          <w:kern w:val="32"/>
          <w:sz w:val="32"/>
          <w:szCs w:val="32"/>
          <w:lang w:val="en-US"/>
        </w:rPr>
      </w:pPr>
      <w:r>
        <w:br w:type="page"/>
      </w:r>
    </w:p>
    <w:p w14:paraId="5391B932" w14:textId="199B9A6D" w:rsidR="003937A5" w:rsidRPr="006B5B2D" w:rsidRDefault="00AF3794" w:rsidP="00053AC7">
      <w:pPr>
        <w:pStyle w:val="Heading1"/>
      </w:pPr>
      <w:bookmarkStart w:id="3" w:name="_Toc525141256"/>
      <w:r>
        <w:lastRenderedPageBreak/>
        <w:t xml:space="preserve">Executive </w:t>
      </w:r>
      <w:r w:rsidR="001B0EF1">
        <w:t>s</w:t>
      </w:r>
      <w:r>
        <w:t>ummary</w:t>
      </w:r>
      <w:bookmarkEnd w:id="3"/>
    </w:p>
    <w:p w14:paraId="669FF40A" w14:textId="1472CB98" w:rsidR="00107A47" w:rsidRPr="00864B42" w:rsidRDefault="00107A47" w:rsidP="00107A47">
      <w:pPr>
        <w:rPr>
          <w:rFonts w:cs="Times New Roman"/>
          <w:i/>
          <w:szCs w:val="22"/>
        </w:rPr>
      </w:pPr>
      <w:r w:rsidRPr="00864B42">
        <w:rPr>
          <w:rFonts w:cs="Times New Roman"/>
          <w:i/>
          <w:szCs w:val="22"/>
        </w:rPr>
        <w:t>The refrigeration and air conditioning (RAC) industry is an essential part of the Australian economy. Without its services our major cities and much of our agriculture, telecommunications and health sectors would not be able to function as they presently do.</w:t>
      </w:r>
    </w:p>
    <w:p w14:paraId="21621826" w14:textId="6D77B675" w:rsidR="00107A47" w:rsidRPr="00143A01" w:rsidRDefault="00107A47" w:rsidP="00107A47">
      <w:pPr>
        <w:rPr>
          <w:rFonts w:cs="Times New Roman"/>
          <w:szCs w:val="22"/>
        </w:rPr>
      </w:pPr>
      <w:r w:rsidRPr="00143A01">
        <w:rPr>
          <w:rFonts w:cs="Times New Roman"/>
          <w:szCs w:val="22"/>
        </w:rPr>
        <w:t>This report presents the findings of a detailed examination of the RAC industry in Australia</w:t>
      </w:r>
      <w:r>
        <w:rPr>
          <w:rFonts w:cs="Times New Roman"/>
          <w:szCs w:val="22"/>
        </w:rPr>
        <w:t>.</w:t>
      </w:r>
      <w:r w:rsidRPr="00143A01">
        <w:rPr>
          <w:rFonts w:cs="Times New Roman"/>
          <w:szCs w:val="22"/>
        </w:rPr>
        <w:t xml:space="preserve"> </w:t>
      </w:r>
      <w:r>
        <w:rPr>
          <w:rFonts w:cs="Times New Roman"/>
          <w:szCs w:val="22"/>
        </w:rPr>
        <w:t>U</w:t>
      </w:r>
      <w:r w:rsidRPr="00143A01">
        <w:rPr>
          <w:rFonts w:cs="Times New Roman"/>
          <w:szCs w:val="22"/>
        </w:rPr>
        <w:t xml:space="preserve">sing data largely from primary sources on </w:t>
      </w:r>
      <w:r w:rsidR="00737E96">
        <w:rPr>
          <w:rFonts w:cs="Times New Roman"/>
          <w:szCs w:val="22"/>
        </w:rPr>
        <w:t xml:space="preserve">supply of goods and services </w:t>
      </w:r>
      <w:r w:rsidRPr="00143A01">
        <w:rPr>
          <w:rFonts w:cs="Times New Roman"/>
          <w:szCs w:val="22"/>
        </w:rPr>
        <w:t>in the industry in 2016</w:t>
      </w:r>
      <w:r>
        <w:rPr>
          <w:rFonts w:cs="Times New Roman"/>
          <w:szCs w:val="22"/>
        </w:rPr>
        <w:t>,</w:t>
      </w:r>
      <w:r w:rsidRPr="00143A01">
        <w:rPr>
          <w:rFonts w:cs="Times New Roman"/>
          <w:szCs w:val="22"/>
        </w:rPr>
        <w:t xml:space="preserve"> Cold Hard Facts 3 (CHF3) has been able to make comparisons with </w:t>
      </w:r>
      <w:r>
        <w:rPr>
          <w:rFonts w:cs="Times New Roman"/>
          <w:szCs w:val="22"/>
        </w:rPr>
        <w:t xml:space="preserve">two previous </w:t>
      </w:r>
      <w:r w:rsidRPr="00143A01">
        <w:rPr>
          <w:rFonts w:cs="Times New Roman"/>
          <w:szCs w:val="22"/>
        </w:rPr>
        <w:t>stud</w:t>
      </w:r>
      <w:r>
        <w:rPr>
          <w:rFonts w:cs="Times New Roman"/>
          <w:szCs w:val="22"/>
        </w:rPr>
        <w:t>ies</w:t>
      </w:r>
      <w:r w:rsidRPr="00143A01">
        <w:rPr>
          <w:rFonts w:cs="Times New Roman"/>
          <w:szCs w:val="22"/>
        </w:rPr>
        <w:t xml:space="preserve"> published in </w:t>
      </w:r>
      <w:r>
        <w:rPr>
          <w:rFonts w:cs="Times New Roman"/>
          <w:szCs w:val="22"/>
        </w:rPr>
        <w:t xml:space="preserve">2007 (CHF1) and in </w:t>
      </w:r>
      <w:r w:rsidRPr="00143A01">
        <w:rPr>
          <w:rFonts w:cs="Times New Roman"/>
          <w:szCs w:val="22"/>
        </w:rPr>
        <w:t xml:space="preserve">2013 (CHF2). </w:t>
      </w:r>
    </w:p>
    <w:p w14:paraId="4B452E97" w14:textId="249F854A" w:rsidR="00107A47" w:rsidRPr="00143A01" w:rsidRDefault="00107A47" w:rsidP="00107A47">
      <w:pPr>
        <w:rPr>
          <w:rFonts w:cs="Times New Roman"/>
          <w:szCs w:val="22"/>
        </w:rPr>
      </w:pPr>
      <w:r w:rsidRPr="00143A01">
        <w:rPr>
          <w:rFonts w:cs="Times New Roman"/>
          <w:szCs w:val="22"/>
        </w:rPr>
        <w:t>This study aims to provide policy makers, industry, and any of the general public who may be interested, with a broad view of the size and value of the industry. Th</w:t>
      </w:r>
      <w:r w:rsidR="00737E96">
        <w:rPr>
          <w:rFonts w:cs="Times New Roman"/>
          <w:szCs w:val="22"/>
        </w:rPr>
        <w:t>e</w:t>
      </w:r>
      <w:r w:rsidRPr="00143A01">
        <w:rPr>
          <w:rFonts w:cs="Times New Roman"/>
          <w:szCs w:val="22"/>
        </w:rPr>
        <w:t xml:space="preserve"> </w:t>
      </w:r>
      <w:r>
        <w:rPr>
          <w:rFonts w:cs="Times New Roman"/>
          <w:szCs w:val="22"/>
        </w:rPr>
        <w:t xml:space="preserve">Cold Hard Fact series of </w:t>
      </w:r>
      <w:r w:rsidRPr="00143A01">
        <w:rPr>
          <w:rFonts w:cs="Times New Roman"/>
          <w:szCs w:val="22"/>
        </w:rPr>
        <w:t>report</w:t>
      </w:r>
      <w:r>
        <w:rPr>
          <w:rFonts w:cs="Times New Roman"/>
          <w:szCs w:val="22"/>
        </w:rPr>
        <w:t>s</w:t>
      </w:r>
      <w:r w:rsidRPr="00143A01">
        <w:rPr>
          <w:rFonts w:cs="Times New Roman"/>
          <w:szCs w:val="22"/>
        </w:rPr>
        <w:t xml:space="preserve"> also establishes benchmarks for the industry that can be used in future years as reference points against which to measure growth and change.</w:t>
      </w:r>
    </w:p>
    <w:p w14:paraId="381926F4" w14:textId="40A3769F" w:rsidR="00107A47" w:rsidRDefault="00107A47" w:rsidP="00107A47">
      <w:pPr>
        <w:rPr>
          <w:rFonts w:cs="Times New Roman"/>
          <w:szCs w:val="22"/>
        </w:rPr>
      </w:pPr>
      <w:r w:rsidRPr="00143A01">
        <w:rPr>
          <w:rFonts w:cs="Times New Roman"/>
          <w:szCs w:val="22"/>
        </w:rPr>
        <w:t xml:space="preserve">The most obvious responsibility of the industry is </w:t>
      </w:r>
      <w:r>
        <w:rPr>
          <w:rFonts w:cs="Times New Roman"/>
          <w:szCs w:val="22"/>
        </w:rPr>
        <w:t xml:space="preserve">the essential service </w:t>
      </w:r>
      <w:r w:rsidR="00737E96">
        <w:rPr>
          <w:rFonts w:cs="Times New Roman"/>
          <w:szCs w:val="22"/>
        </w:rPr>
        <w:t xml:space="preserve">of refrigeration </w:t>
      </w:r>
      <w:r>
        <w:rPr>
          <w:rFonts w:cs="Times New Roman"/>
          <w:szCs w:val="22"/>
        </w:rPr>
        <w:t>it delivers in the production, preservation and</w:t>
      </w:r>
      <w:r w:rsidRPr="00143A01">
        <w:rPr>
          <w:rFonts w:cs="Times New Roman"/>
          <w:szCs w:val="22"/>
        </w:rPr>
        <w:t xml:space="preserve"> transport of all seafood, dairy products, meat and poultry products, beverages, confectionary and frozen foods</w:t>
      </w:r>
      <w:r>
        <w:rPr>
          <w:rFonts w:cs="Times New Roman"/>
          <w:szCs w:val="22"/>
        </w:rPr>
        <w:t>,</w:t>
      </w:r>
      <w:r w:rsidRPr="00143A01">
        <w:rPr>
          <w:rFonts w:cs="Times New Roman"/>
          <w:szCs w:val="22"/>
        </w:rPr>
        <w:t xml:space="preserve"> from farm to domestic refrigerator</w:t>
      </w:r>
      <w:r>
        <w:rPr>
          <w:rFonts w:cs="Times New Roman"/>
          <w:szCs w:val="22"/>
        </w:rPr>
        <w:t xml:space="preserve"> or to export. Perishable food production in Australia in 2016 was </w:t>
      </w:r>
      <w:r w:rsidRPr="00143A01">
        <w:rPr>
          <w:rFonts w:cs="Times New Roman"/>
          <w:szCs w:val="22"/>
        </w:rPr>
        <w:t>worth an estimated $</w:t>
      </w:r>
      <w:r>
        <w:rPr>
          <w:rFonts w:cs="Times New Roman"/>
          <w:szCs w:val="22"/>
        </w:rPr>
        <w:t>38</w:t>
      </w:r>
      <w:r w:rsidRPr="00143A01">
        <w:rPr>
          <w:rFonts w:cs="Times New Roman"/>
          <w:szCs w:val="22"/>
        </w:rPr>
        <w:t xml:space="preserve"> billion</w:t>
      </w:r>
      <w:r>
        <w:rPr>
          <w:rFonts w:cs="Times New Roman"/>
          <w:szCs w:val="22"/>
        </w:rPr>
        <w:t xml:space="preserve">. </w:t>
      </w:r>
    </w:p>
    <w:p w14:paraId="37F83F26" w14:textId="51103767" w:rsidR="00107A47" w:rsidRPr="00143A01" w:rsidRDefault="00107A47" w:rsidP="00107A47">
      <w:pPr>
        <w:rPr>
          <w:rFonts w:cs="Times New Roman"/>
          <w:szCs w:val="22"/>
        </w:rPr>
      </w:pPr>
      <w:r>
        <w:rPr>
          <w:rFonts w:cs="Times New Roman"/>
          <w:szCs w:val="22"/>
        </w:rPr>
        <w:t>In the process these refrigerated and frozen foods pass through tens of thousands of cool</w:t>
      </w:r>
      <w:r w:rsidR="00460051">
        <w:rPr>
          <w:rFonts w:cs="Times New Roman"/>
          <w:szCs w:val="22"/>
        </w:rPr>
        <w:t xml:space="preserve"> </w:t>
      </w:r>
      <w:r>
        <w:rPr>
          <w:rFonts w:cs="Times New Roman"/>
          <w:szCs w:val="22"/>
        </w:rPr>
        <w:t>rooms and are served and sold through hundreds of thousands of restaurants, grocery stores, delis</w:t>
      </w:r>
      <w:r w:rsidR="00713E81">
        <w:rPr>
          <w:rFonts w:cs="Times New Roman"/>
          <w:szCs w:val="22"/>
        </w:rPr>
        <w:t>,</w:t>
      </w:r>
      <w:r>
        <w:rPr>
          <w:rFonts w:cs="Times New Roman"/>
          <w:szCs w:val="22"/>
        </w:rPr>
        <w:t xml:space="preserve"> takeaways, more than 4,000 supermarkets, thousands of clubs, hotels, and hundreds of pre-made meal and home delivery enterprises, all of which</w:t>
      </w:r>
      <w:r w:rsidRPr="00143A01">
        <w:rPr>
          <w:rFonts w:cs="Times New Roman"/>
          <w:szCs w:val="22"/>
        </w:rPr>
        <w:t xml:space="preserve"> </w:t>
      </w:r>
      <w:r>
        <w:rPr>
          <w:rFonts w:cs="Times New Roman"/>
          <w:szCs w:val="22"/>
        </w:rPr>
        <w:t>employs</w:t>
      </w:r>
      <w:r w:rsidRPr="00143A01">
        <w:rPr>
          <w:rFonts w:cs="Times New Roman"/>
          <w:szCs w:val="22"/>
        </w:rPr>
        <w:t xml:space="preserve"> more than 38,000 refrigerated trucks</w:t>
      </w:r>
      <w:r>
        <w:rPr>
          <w:rFonts w:cs="Times New Roman"/>
          <w:szCs w:val="22"/>
        </w:rPr>
        <w:t xml:space="preserve"> in the process</w:t>
      </w:r>
      <w:r w:rsidRPr="00143A01">
        <w:rPr>
          <w:rFonts w:cs="Times New Roman"/>
          <w:szCs w:val="22"/>
        </w:rPr>
        <w:t xml:space="preserve">. </w:t>
      </w:r>
    </w:p>
    <w:p w14:paraId="499B6CD8" w14:textId="62F35519" w:rsidR="00107A47" w:rsidRPr="00143A01" w:rsidRDefault="00107A47" w:rsidP="00107A47">
      <w:pPr>
        <w:rPr>
          <w:rFonts w:cs="Times New Roman"/>
          <w:szCs w:val="22"/>
        </w:rPr>
      </w:pPr>
      <w:r w:rsidRPr="00143A01">
        <w:rPr>
          <w:rFonts w:cs="Times New Roman"/>
          <w:szCs w:val="22"/>
        </w:rPr>
        <w:t>Specialised and energy intensive RAC services are</w:t>
      </w:r>
      <w:r>
        <w:rPr>
          <w:rFonts w:cs="Times New Roman"/>
          <w:szCs w:val="22"/>
        </w:rPr>
        <w:t xml:space="preserve"> </w:t>
      </w:r>
      <w:r w:rsidRPr="00143A01">
        <w:rPr>
          <w:rFonts w:cs="Times New Roman"/>
          <w:szCs w:val="22"/>
        </w:rPr>
        <w:t xml:space="preserve">vital for the operation of the country’s hospitals and pharmaceutical supply lines. </w:t>
      </w:r>
      <w:r>
        <w:rPr>
          <w:rFonts w:cs="Times New Roman"/>
          <w:szCs w:val="22"/>
        </w:rPr>
        <w:t>RAC systems</w:t>
      </w:r>
      <w:r w:rsidRPr="00143A01">
        <w:rPr>
          <w:rFonts w:cs="Times New Roman"/>
          <w:szCs w:val="22"/>
        </w:rPr>
        <w:t xml:space="preserve"> also provide</w:t>
      </w:r>
      <w:r>
        <w:rPr>
          <w:rFonts w:cs="Times New Roman"/>
          <w:szCs w:val="22"/>
        </w:rPr>
        <w:t xml:space="preserve"> the essential climate control services </w:t>
      </w:r>
      <w:r w:rsidRPr="00143A01">
        <w:rPr>
          <w:rFonts w:cs="Times New Roman"/>
          <w:szCs w:val="22"/>
        </w:rPr>
        <w:t xml:space="preserve">for millions of workers and visitors in non-residential buildings. </w:t>
      </w:r>
      <w:r>
        <w:rPr>
          <w:rFonts w:cs="Times New Roman"/>
          <w:szCs w:val="22"/>
        </w:rPr>
        <w:t>RAC systems</w:t>
      </w:r>
      <w:r w:rsidRPr="00143A01">
        <w:rPr>
          <w:rFonts w:cs="Times New Roman"/>
          <w:szCs w:val="22"/>
        </w:rPr>
        <w:t xml:space="preserve"> maintain tightly controlled operational temperatures for the thousands of </w:t>
      </w:r>
      <w:r>
        <w:rPr>
          <w:rFonts w:cs="Times New Roman"/>
          <w:szCs w:val="22"/>
        </w:rPr>
        <w:t xml:space="preserve">data centres </w:t>
      </w:r>
      <w:r w:rsidRPr="00143A01">
        <w:rPr>
          <w:rFonts w:cs="Times New Roman"/>
          <w:szCs w:val="22"/>
        </w:rPr>
        <w:t xml:space="preserve">that run our telecommunications, internet, banking and finance systems. </w:t>
      </w:r>
    </w:p>
    <w:p w14:paraId="6AAB84B7" w14:textId="77777777" w:rsidR="00107A47" w:rsidRPr="00143A01" w:rsidRDefault="00107A47" w:rsidP="00107A47">
      <w:pPr>
        <w:rPr>
          <w:rFonts w:cs="Times New Roman"/>
          <w:szCs w:val="22"/>
        </w:rPr>
      </w:pPr>
      <w:r w:rsidRPr="00143A01">
        <w:rPr>
          <w:rFonts w:cs="Times New Roman"/>
          <w:szCs w:val="22"/>
        </w:rPr>
        <w:t xml:space="preserve">Air conditioning is now installed in the majority of the country’s estimated 8 million homes and in the majority of the country’s nearly 18 million registered road vehicles. </w:t>
      </w:r>
    </w:p>
    <w:p w14:paraId="510F500C" w14:textId="010B8105" w:rsidR="00107A47" w:rsidRPr="00143A01" w:rsidRDefault="00107A47" w:rsidP="00107A47">
      <w:pPr>
        <w:rPr>
          <w:rFonts w:cs="Times New Roman"/>
          <w:szCs w:val="22"/>
        </w:rPr>
      </w:pPr>
      <w:r w:rsidRPr="00122CE2">
        <w:rPr>
          <w:rFonts w:cs="Times New Roman"/>
          <w:szCs w:val="22"/>
        </w:rPr>
        <w:t>Around 300,000 people</w:t>
      </w:r>
      <w:r w:rsidRPr="00143A01">
        <w:rPr>
          <w:rFonts w:cs="Times New Roman"/>
          <w:szCs w:val="22"/>
        </w:rPr>
        <w:t xml:space="preserve"> are employed in more than 20,000 businesses operating in the RAC industry. Those employees earn</w:t>
      </w:r>
      <w:r>
        <w:rPr>
          <w:rFonts w:cs="Times New Roman"/>
          <w:szCs w:val="22"/>
        </w:rPr>
        <w:t>ed</w:t>
      </w:r>
      <w:r w:rsidRPr="00143A01">
        <w:rPr>
          <w:rFonts w:cs="Times New Roman"/>
          <w:szCs w:val="22"/>
        </w:rPr>
        <w:t xml:space="preserve"> approximately $</w:t>
      </w:r>
      <w:r>
        <w:rPr>
          <w:rFonts w:cs="Times New Roman"/>
          <w:szCs w:val="22"/>
        </w:rPr>
        <w:t>24</w:t>
      </w:r>
      <w:r w:rsidRPr="00143A01">
        <w:rPr>
          <w:rFonts w:cs="Times New Roman"/>
          <w:szCs w:val="22"/>
        </w:rPr>
        <w:t xml:space="preserve"> billion in wages and salaries </w:t>
      </w:r>
      <w:r>
        <w:rPr>
          <w:rFonts w:cs="Times New Roman"/>
          <w:szCs w:val="22"/>
        </w:rPr>
        <w:t>in 2016</w:t>
      </w:r>
      <w:r w:rsidRPr="00143A01">
        <w:rPr>
          <w:rFonts w:cs="Times New Roman"/>
          <w:szCs w:val="22"/>
        </w:rPr>
        <w:t xml:space="preserve">. A proportion of these wages are earned in the process of </w:t>
      </w:r>
      <w:r>
        <w:rPr>
          <w:rFonts w:cs="Times New Roman"/>
          <w:szCs w:val="22"/>
        </w:rPr>
        <w:t>designing, delivering and installing</w:t>
      </w:r>
      <w:r w:rsidRPr="00143A01">
        <w:rPr>
          <w:rFonts w:cs="Times New Roman"/>
          <w:szCs w:val="22"/>
        </w:rPr>
        <w:t xml:space="preserve"> </w:t>
      </w:r>
      <w:r>
        <w:rPr>
          <w:rFonts w:cs="Times New Roman"/>
          <w:szCs w:val="22"/>
        </w:rPr>
        <w:t xml:space="preserve">new </w:t>
      </w:r>
      <w:r w:rsidRPr="00143A01">
        <w:rPr>
          <w:rFonts w:cs="Times New Roman"/>
          <w:szCs w:val="22"/>
        </w:rPr>
        <w:t>equipment</w:t>
      </w:r>
      <w:r>
        <w:rPr>
          <w:rFonts w:cs="Times New Roman"/>
          <w:szCs w:val="22"/>
        </w:rPr>
        <w:t xml:space="preserve"> in </w:t>
      </w:r>
      <w:r w:rsidRPr="00143A01">
        <w:rPr>
          <w:rFonts w:cs="Times New Roman"/>
          <w:szCs w:val="22"/>
        </w:rPr>
        <w:t>supermarket refrigeration systems, large commercial air conditioning systems</w:t>
      </w:r>
      <w:r>
        <w:rPr>
          <w:rFonts w:cs="Times New Roman"/>
          <w:szCs w:val="22"/>
        </w:rPr>
        <w:t xml:space="preserve">, a huge variety of specialised and bespoke industrial and commercial RAC systems and residential AC </w:t>
      </w:r>
      <w:r w:rsidRPr="00143A01">
        <w:rPr>
          <w:rFonts w:cs="Times New Roman"/>
          <w:szCs w:val="22"/>
        </w:rPr>
        <w:t xml:space="preserve">systems. </w:t>
      </w:r>
      <w:r>
        <w:rPr>
          <w:rFonts w:cs="Times New Roman"/>
          <w:szCs w:val="22"/>
        </w:rPr>
        <w:t xml:space="preserve">However, a large </w:t>
      </w:r>
      <w:r w:rsidRPr="00143A01">
        <w:rPr>
          <w:rFonts w:cs="Times New Roman"/>
          <w:szCs w:val="22"/>
        </w:rPr>
        <w:t xml:space="preserve">portion of this wages bill </w:t>
      </w:r>
      <w:r>
        <w:rPr>
          <w:rFonts w:cs="Times New Roman"/>
          <w:szCs w:val="22"/>
        </w:rPr>
        <w:t>is</w:t>
      </w:r>
      <w:r w:rsidRPr="00143A01">
        <w:rPr>
          <w:rFonts w:cs="Times New Roman"/>
          <w:szCs w:val="22"/>
        </w:rPr>
        <w:t xml:space="preserve"> earned servicing </w:t>
      </w:r>
      <w:r>
        <w:rPr>
          <w:rFonts w:cs="Times New Roman"/>
          <w:szCs w:val="22"/>
        </w:rPr>
        <w:t>the very large national stock of</w:t>
      </w:r>
      <w:r w:rsidR="00737E96">
        <w:rPr>
          <w:rFonts w:cs="Times New Roman"/>
          <w:szCs w:val="22"/>
        </w:rPr>
        <w:t xml:space="preserve"> already</w:t>
      </w:r>
      <w:r>
        <w:rPr>
          <w:rFonts w:cs="Times New Roman"/>
          <w:szCs w:val="22"/>
        </w:rPr>
        <w:t xml:space="preserve"> installed </w:t>
      </w:r>
      <w:r w:rsidRPr="00143A01">
        <w:rPr>
          <w:rFonts w:cs="Times New Roman"/>
          <w:szCs w:val="22"/>
        </w:rPr>
        <w:t xml:space="preserve">equipment </w:t>
      </w:r>
      <w:r>
        <w:rPr>
          <w:rFonts w:cs="Times New Roman"/>
          <w:szCs w:val="22"/>
        </w:rPr>
        <w:t xml:space="preserve">and </w:t>
      </w:r>
      <w:r w:rsidRPr="00143A01">
        <w:rPr>
          <w:rFonts w:cs="Times New Roman"/>
          <w:szCs w:val="22"/>
        </w:rPr>
        <w:t>driving the refrigerated transport fleet.</w:t>
      </w:r>
    </w:p>
    <w:p w14:paraId="537EC7F5" w14:textId="51586A68" w:rsidR="00107A47" w:rsidRPr="00143A01" w:rsidRDefault="00107A47" w:rsidP="00107A47">
      <w:pPr>
        <w:rPr>
          <w:rFonts w:cs="Times New Roman"/>
          <w:szCs w:val="22"/>
        </w:rPr>
      </w:pPr>
      <w:r>
        <w:rPr>
          <w:rFonts w:cs="Times New Roman"/>
          <w:szCs w:val="22"/>
        </w:rPr>
        <w:t>N</w:t>
      </w:r>
      <w:r w:rsidRPr="00143A01">
        <w:rPr>
          <w:rFonts w:cs="Times New Roman"/>
          <w:szCs w:val="22"/>
        </w:rPr>
        <w:t xml:space="preserve">early $8.1 billion was spent purchasing and installing new equipment in 2016, and a further $161 million is estimated to have been spent on </w:t>
      </w:r>
      <w:r w:rsidR="00737E96">
        <w:rPr>
          <w:rFonts w:cs="Times New Roman"/>
          <w:szCs w:val="22"/>
        </w:rPr>
        <w:t xml:space="preserve">the </w:t>
      </w:r>
      <w:r w:rsidRPr="00143A01">
        <w:rPr>
          <w:rFonts w:cs="Times New Roman"/>
          <w:szCs w:val="22"/>
        </w:rPr>
        <w:t>refrigerant</w:t>
      </w:r>
      <w:r w:rsidR="00864B42">
        <w:rPr>
          <w:rFonts w:cs="Times New Roman"/>
          <w:szCs w:val="22"/>
        </w:rPr>
        <w:t>s</w:t>
      </w:r>
      <w:r w:rsidR="00737E96">
        <w:rPr>
          <w:rFonts w:cs="Times New Roman"/>
          <w:szCs w:val="22"/>
        </w:rPr>
        <w:t xml:space="preserve"> that make up the refrigerant ‘charge’ found in every piece of RAC equipment that uses </w:t>
      </w:r>
      <w:r w:rsidR="00864B42">
        <w:rPr>
          <w:rFonts w:cs="Times New Roman"/>
          <w:szCs w:val="22"/>
        </w:rPr>
        <w:t xml:space="preserve">the </w:t>
      </w:r>
      <w:r w:rsidR="00737E96">
        <w:rPr>
          <w:rFonts w:cs="Times New Roman"/>
          <w:szCs w:val="22"/>
        </w:rPr>
        <w:t>vapo</w:t>
      </w:r>
      <w:r w:rsidR="000F5291">
        <w:rPr>
          <w:rFonts w:cs="Times New Roman"/>
          <w:szCs w:val="22"/>
        </w:rPr>
        <w:t>u</w:t>
      </w:r>
      <w:r w:rsidR="00737E96">
        <w:rPr>
          <w:rFonts w:cs="Times New Roman"/>
          <w:szCs w:val="22"/>
        </w:rPr>
        <w:t>r compression refrigeration</w:t>
      </w:r>
      <w:r w:rsidR="00864B42">
        <w:rPr>
          <w:rFonts w:cs="Times New Roman"/>
          <w:szCs w:val="22"/>
        </w:rPr>
        <w:t xml:space="preserve"> cycle</w:t>
      </w:r>
      <w:r w:rsidRPr="00143A01">
        <w:rPr>
          <w:rFonts w:cs="Times New Roman"/>
          <w:szCs w:val="22"/>
        </w:rPr>
        <w:t xml:space="preserve">. </w:t>
      </w:r>
      <w:r w:rsidRPr="00E13F35">
        <w:rPr>
          <w:rFonts w:cs="Times New Roman"/>
          <w:szCs w:val="22"/>
        </w:rPr>
        <w:t xml:space="preserve">To avoid double counting expenditure, a ‘discounted wages cost’ has been </w:t>
      </w:r>
      <w:r w:rsidR="00737E96" w:rsidRPr="00E13F35">
        <w:rPr>
          <w:rFonts w:cs="Times New Roman"/>
          <w:szCs w:val="22"/>
        </w:rPr>
        <w:t xml:space="preserve">calculated, that when </w:t>
      </w:r>
      <w:r w:rsidRPr="00E13F35">
        <w:rPr>
          <w:rFonts w:cs="Times New Roman"/>
          <w:szCs w:val="22"/>
        </w:rPr>
        <w:t>added to the cost of hardware purchases, refrigerant purchases and the cost of energy consumed</w:t>
      </w:r>
      <w:r w:rsidRPr="00143A01">
        <w:rPr>
          <w:rFonts w:cs="Times New Roman"/>
          <w:szCs w:val="22"/>
        </w:rPr>
        <w:t xml:space="preserve"> arrive at an overall figure of some $</w:t>
      </w:r>
      <w:r>
        <w:rPr>
          <w:rFonts w:cs="Times New Roman"/>
          <w:szCs w:val="22"/>
        </w:rPr>
        <w:t>3</w:t>
      </w:r>
      <w:r w:rsidRPr="00143A01">
        <w:rPr>
          <w:rFonts w:cs="Times New Roman"/>
          <w:szCs w:val="22"/>
        </w:rPr>
        <w:t xml:space="preserve">8 billion spent on purchasing, installing, maintaining and operating RAC equipment and services </w:t>
      </w:r>
      <w:r w:rsidRPr="00CE7FB3">
        <w:rPr>
          <w:rFonts w:cs="Times New Roman"/>
          <w:szCs w:val="22"/>
        </w:rPr>
        <w:t>in 2016</w:t>
      </w:r>
      <w:r w:rsidR="00737E96">
        <w:rPr>
          <w:rFonts w:cs="Times New Roman"/>
          <w:szCs w:val="22"/>
        </w:rPr>
        <w:t>. This total expenditure on RAC was</w:t>
      </w:r>
      <w:r w:rsidRPr="00CE7FB3">
        <w:rPr>
          <w:rFonts w:cs="Times New Roman"/>
          <w:szCs w:val="22"/>
        </w:rPr>
        <w:t xml:space="preserve"> equivalent to 2.3% of national GDP in 2016.</w:t>
      </w:r>
    </w:p>
    <w:p w14:paraId="41C9D58D" w14:textId="71D3552E" w:rsidR="00107A47" w:rsidRDefault="00107A47" w:rsidP="00107A47">
      <w:pPr>
        <w:rPr>
          <w:rFonts w:cs="Times New Roman"/>
          <w:szCs w:val="22"/>
        </w:rPr>
      </w:pPr>
      <w:r>
        <w:rPr>
          <w:rFonts w:cs="Times New Roman"/>
          <w:szCs w:val="22"/>
        </w:rPr>
        <w:t xml:space="preserve">The </w:t>
      </w:r>
      <w:r w:rsidRPr="00143A01">
        <w:rPr>
          <w:rFonts w:cs="Times New Roman"/>
          <w:szCs w:val="22"/>
        </w:rPr>
        <w:t xml:space="preserve">question of the total value of the services that the RAC industry provides to its clients, such as the value added to agricultural produce moving through the cold food chain, is </w:t>
      </w:r>
      <w:r>
        <w:rPr>
          <w:rFonts w:cs="Times New Roman"/>
          <w:szCs w:val="22"/>
        </w:rPr>
        <w:t>difficult</w:t>
      </w:r>
      <w:r w:rsidRPr="00143A01">
        <w:rPr>
          <w:rFonts w:cs="Times New Roman"/>
          <w:szCs w:val="22"/>
        </w:rPr>
        <w:t xml:space="preserve"> to determine</w:t>
      </w:r>
      <w:r>
        <w:rPr>
          <w:rFonts w:cs="Times New Roman"/>
          <w:szCs w:val="22"/>
        </w:rPr>
        <w:t>. Setting aside all of the essential services to health, telecommunications and the built environment, if just the value of perishable food products in 2016 was also attributed to the RAC industry</w:t>
      </w:r>
      <w:r w:rsidR="00737E96">
        <w:rPr>
          <w:rFonts w:cs="Times New Roman"/>
          <w:szCs w:val="22"/>
        </w:rPr>
        <w:t>,</w:t>
      </w:r>
      <w:r>
        <w:rPr>
          <w:rFonts w:cs="Times New Roman"/>
          <w:szCs w:val="22"/>
        </w:rPr>
        <w:t xml:space="preserve"> that</w:t>
      </w:r>
      <w:r w:rsidR="00737E96">
        <w:rPr>
          <w:rFonts w:cs="Times New Roman"/>
          <w:szCs w:val="22"/>
        </w:rPr>
        <w:t xml:space="preserve"> additional value</w:t>
      </w:r>
      <w:r>
        <w:rPr>
          <w:rFonts w:cs="Times New Roman"/>
          <w:szCs w:val="22"/>
        </w:rPr>
        <w:t xml:space="preserve"> alone would double the economic impact of the industry in Australia.</w:t>
      </w:r>
    </w:p>
    <w:p w14:paraId="3022ADFE" w14:textId="5AF604D9" w:rsidR="00EB59F1" w:rsidRDefault="00107A47" w:rsidP="00107A47">
      <w:pPr>
        <w:rPr>
          <w:rFonts w:cs="Times New Roman"/>
          <w:szCs w:val="22"/>
        </w:rPr>
      </w:pPr>
      <w:r w:rsidRPr="00143A01">
        <w:rPr>
          <w:rFonts w:cs="Times New Roman"/>
          <w:szCs w:val="22"/>
        </w:rPr>
        <w:t xml:space="preserve">RAC technology in all its forms is the single largest electricity consuming class of technology in Australia. There are more than </w:t>
      </w:r>
      <w:r>
        <w:rPr>
          <w:rFonts w:cs="Times New Roman"/>
          <w:szCs w:val="22"/>
        </w:rPr>
        <w:t>54</w:t>
      </w:r>
      <w:r w:rsidRPr="00143A01">
        <w:rPr>
          <w:rFonts w:cs="Times New Roman"/>
          <w:szCs w:val="22"/>
        </w:rPr>
        <w:t xml:space="preserve"> million individual pieces of RAC equipment operating in Australia that consumed </w:t>
      </w:r>
      <w:r w:rsidRPr="00143A01">
        <w:rPr>
          <w:rFonts w:cs="Times New Roman"/>
          <w:szCs w:val="22"/>
        </w:rPr>
        <w:lastRenderedPageBreak/>
        <w:t xml:space="preserve">more than an estimated 61,000 GWh of electricity in 2016, </w:t>
      </w:r>
      <w:r w:rsidR="00EB59F1" w:rsidRPr="00EB59F1">
        <w:rPr>
          <w:rFonts w:cs="Times New Roman"/>
          <w:szCs w:val="22"/>
        </w:rPr>
        <w:t>slightly more than 23.6% of the 258,000 GWh of electricity production in Australia that year.</w:t>
      </w:r>
    </w:p>
    <w:p w14:paraId="77124A00" w14:textId="4C3281F3" w:rsidR="00107A47" w:rsidRDefault="00107A47" w:rsidP="00107A47">
      <w:pPr>
        <w:rPr>
          <w:rFonts w:cs="Times New Roman"/>
          <w:szCs w:val="22"/>
        </w:rPr>
      </w:pPr>
      <w:r w:rsidRPr="00143A01">
        <w:rPr>
          <w:rFonts w:cs="Times New Roman"/>
          <w:szCs w:val="22"/>
        </w:rPr>
        <w:t>Owners of RAC equipment spent an estimated $14 billion to pay for that electricity and</w:t>
      </w:r>
      <w:r w:rsidR="00C2253E">
        <w:rPr>
          <w:rFonts w:cs="Times New Roman"/>
          <w:szCs w:val="22"/>
        </w:rPr>
        <w:t xml:space="preserve"> the</w:t>
      </w:r>
      <w:r w:rsidRPr="00143A01">
        <w:rPr>
          <w:rFonts w:cs="Times New Roman"/>
          <w:szCs w:val="22"/>
        </w:rPr>
        <w:t xml:space="preserve"> liquid fuels required to run mobile AC and mobile refrigeration systems.</w:t>
      </w:r>
    </w:p>
    <w:p w14:paraId="13ADE2A8" w14:textId="77777777" w:rsidR="00107A47" w:rsidRDefault="00107A47" w:rsidP="00107A47">
      <w:pPr>
        <w:rPr>
          <w:rFonts w:cs="Times New Roman"/>
          <w:i/>
          <w:szCs w:val="22"/>
        </w:rPr>
      </w:pPr>
    </w:p>
    <w:p w14:paraId="10DCF5DD" w14:textId="3C1705BE" w:rsidR="00107A47" w:rsidRPr="007328B1" w:rsidRDefault="007328B1" w:rsidP="007328B1">
      <w:pPr>
        <w:pStyle w:val="Caption"/>
      </w:pPr>
      <w:bookmarkStart w:id="4" w:name="_Toc525141390"/>
      <w:r w:rsidRPr="007328B1">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w:t>
      </w:r>
      <w:r w:rsidR="009D6843">
        <w:rPr>
          <w:noProof/>
        </w:rPr>
        <w:fldChar w:fldCharType="end"/>
      </w:r>
      <w:r w:rsidR="00107A47" w:rsidRPr="007328B1">
        <w:t>: Main economic indicators of RAC industry activity 2016.</w:t>
      </w:r>
      <w:bookmarkEnd w:id="4"/>
    </w:p>
    <w:tbl>
      <w:tblPr>
        <w:tblStyle w:val="TableGrid"/>
        <w:tblW w:w="9634" w:type="dxa"/>
        <w:tblLook w:val="04A0" w:firstRow="1" w:lastRow="0" w:firstColumn="1" w:lastColumn="0" w:noHBand="0" w:noVBand="1"/>
      </w:tblPr>
      <w:tblGrid>
        <w:gridCol w:w="4675"/>
        <w:gridCol w:w="4959"/>
      </w:tblGrid>
      <w:tr w:rsidR="00107A47" w14:paraId="12DE4392" w14:textId="77777777" w:rsidTr="00107A47">
        <w:tc>
          <w:tcPr>
            <w:tcW w:w="4675" w:type="dxa"/>
            <w:shd w:val="clear" w:color="auto" w:fill="B6DDE8" w:themeFill="accent5" w:themeFillTint="66"/>
          </w:tcPr>
          <w:p w14:paraId="07D0E6EC" w14:textId="77777777" w:rsidR="00107A47" w:rsidRDefault="00107A47" w:rsidP="00107A47">
            <w:pPr>
              <w:spacing w:after="120"/>
              <w:rPr>
                <w:szCs w:val="22"/>
              </w:rPr>
            </w:pPr>
            <w:r>
              <w:rPr>
                <w:szCs w:val="22"/>
              </w:rPr>
              <w:t>Expenditure categories</w:t>
            </w:r>
          </w:p>
        </w:tc>
        <w:tc>
          <w:tcPr>
            <w:tcW w:w="4959" w:type="dxa"/>
            <w:shd w:val="clear" w:color="auto" w:fill="B6DDE8" w:themeFill="accent5" w:themeFillTint="66"/>
          </w:tcPr>
          <w:p w14:paraId="743791B8" w14:textId="77777777" w:rsidR="00107A47" w:rsidRDefault="00107A47" w:rsidP="00107A47">
            <w:pPr>
              <w:spacing w:after="120"/>
              <w:jc w:val="center"/>
              <w:rPr>
                <w:szCs w:val="22"/>
              </w:rPr>
            </w:pPr>
            <w:r>
              <w:rPr>
                <w:szCs w:val="22"/>
              </w:rPr>
              <w:t>Economic spend in 2016 ($ Billion)</w:t>
            </w:r>
          </w:p>
        </w:tc>
      </w:tr>
      <w:tr w:rsidR="00107A47" w14:paraId="2801694C" w14:textId="77777777" w:rsidTr="00107A47">
        <w:tc>
          <w:tcPr>
            <w:tcW w:w="4675" w:type="dxa"/>
          </w:tcPr>
          <w:p w14:paraId="73D2F81A" w14:textId="77777777" w:rsidR="00107A47" w:rsidRDefault="00107A47" w:rsidP="00107A47">
            <w:pPr>
              <w:spacing w:after="120"/>
              <w:rPr>
                <w:szCs w:val="22"/>
              </w:rPr>
            </w:pPr>
            <w:r>
              <w:rPr>
                <w:szCs w:val="22"/>
              </w:rPr>
              <w:t>New hardware costs installed</w:t>
            </w:r>
          </w:p>
        </w:tc>
        <w:tc>
          <w:tcPr>
            <w:tcW w:w="4959" w:type="dxa"/>
          </w:tcPr>
          <w:p w14:paraId="7F84E2E5" w14:textId="77777777" w:rsidR="00107A47" w:rsidRDefault="00107A47" w:rsidP="00107A47">
            <w:pPr>
              <w:spacing w:after="120"/>
              <w:jc w:val="center"/>
              <w:rPr>
                <w:szCs w:val="22"/>
              </w:rPr>
            </w:pPr>
            <w:r>
              <w:rPr>
                <w:szCs w:val="22"/>
              </w:rPr>
              <w:t>$8.18</w:t>
            </w:r>
          </w:p>
        </w:tc>
      </w:tr>
      <w:tr w:rsidR="00107A47" w14:paraId="0C47E0CA" w14:textId="77777777" w:rsidTr="00107A47">
        <w:tc>
          <w:tcPr>
            <w:tcW w:w="4675" w:type="dxa"/>
          </w:tcPr>
          <w:p w14:paraId="5931570F" w14:textId="77777777" w:rsidR="00107A47" w:rsidRDefault="00107A47" w:rsidP="00107A47">
            <w:pPr>
              <w:spacing w:after="120"/>
              <w:rPr>
                <w:szCs w:val="22"/>
              </w:rPr>
            </w:pPr>
            <w:r>
              <w:rPr>
                <w:szCs w:val="22"/>
              </w:rPr>
              <w:t>Annual refrigerant cost to end user</w:t>
            </w:r>
          </w:p>
        </w:tc>
        <w:tc>
          <w:tcPr>
            <w:tcW w:w="4959" w:type="dxa"/>
          </w:tcPr>
          <w:p w14:paraId="54E5BB1B" w14:textId="77777777" w:rsidR="00107A47" w:rsidRDefault="00107A47" w:rsidP="00107A47">
            <w:pPr>
              <w:spacing w:after="120"/>
              <w:jc w:val="center"/>
              <w:rPr>
                <w:szCs w:val="22"/>
              </w:rPr>
            </w:pPr>
            <w:r>
              <w:rPr>
                <w:szCs w:val="22"/>
              </w:rPr>
              <w:t>$0.16</w:t>
            </w:r>
          </w:p>
        </w:tc>
      </w:tr>
      <w:tr w:rsidR="00107A47" w14:paraId="54D2D3B1" w14:textId="77777777" w:rsidTr="00107A47">
        <w:tc>
          <w:tcPr>
            <w:tcW w:w="4675" w:type="dxa"/>
          </w:tcPr>
          <w:p w14:paraId="3C876107" w14:textId="77777777" w:rsidR="00107A47" w:rsidRDefault="00107A47" w:rsidP="00107A47">
            <w:pPr>
              <w:spacing w:after="120"/>
              <w:rPr>
                <w:szCs w:val="22"/>
              </w:rPr>
            </w:pPr>
            <w:r>
              <w:rPr>
                <w:szCs w:val="22"/>
              </w:rPr>
              <w:t>Energy costs to end users</w:t>
            </w:r>
          </w:p>
        </w:tc>
        <w:tc>
          <w:tcPr>
            <w:tcW w:w="4959" w:type="dxa"/>
          </w:tcPr>
          <w:p w14:paraId="30A21380" w14:textId="77777777" w:rsidR="00107A47" w:rsidRDefault="00107A47" w:rsidP="00107A47">
            <w:pPr>
              <w:spacing w:after="120"/>
              <w:jc w:val="center"/>
              <w:rPr>
                <w:szCs w:val="22"/>
              </w:rPr>
            </w:pPr>
            <w:r>
              <w:rPr>
                <w:szCs w:val="22"/>
              </w:rPr>
              <w:t>$14.04</w:t>
            </w:r>
          </w:p>
        </w:tc>
      </w:tr>
      <w:tr w:rsidR="00107A47" w14:paraId="60FD457A" w14:textId="77777777" w:rsidTr="00107A47">
        <w:tc>
          <w:tcPr>
            <w:tcW w:w="4675" w:type="dxa"/>
          </w:tcPr>
          <w:p w14:paraId="370FFE00" w14:textId="77777777" w:rsidR="00107A47" w:rsidRDefault="00107A47" w:rsidP="00107A47">
            <w:pPr>
              <w:spacing w:after="120"/>
              <w:rPr>
                <w:szCs w:val="22"/>
              </w:rPr>
            </w:pPr>
            <w:r>
              <w:rPr>
                <w:szCs w:val="22"/>
              </w:rPr>
              <w:t>Discounted wages cost</w:t>
            </w:r>
          </w:p>
        </w:tc>
        <w:tc>
          <w:tcPr>
            <w:tcW w:w="4959" w:type="dxa"/>
          </w:tcPr>
          <w:p w14:paraId="7B901186" w14:textId="77777777" w:rsidR="00107A47" w:rsidRDefault="00107A47" w:rsidP="00107A47">
            <w:pPr>
              <w:spacing w:after="120"/>
              <w:jc w:val="center"/>
              <w:rPr>
                <w:szCs w:val="22"/>
              </w:rPr>
            </w:pPr>
            <w:r>
              <w:rPr>
                <w:szCs w:val="22"/>
              </w:rPr>
              <w:t>$15.73</w:t>
            </w:r>
          </w:p>
        </w:tc>
      </w:tr>
      <w:tr w:rsidR="00107A47" w14:paraId="087388CB" w14:textId="77777777" w:rsidTr="00107A47">
        <w:tc>
          <w:tcPr>
            <w:tcW w:w="4675" w:type="dxa"/>
          </w:tcPr>
          <w:p w14:paraId="6F5F46A3" w14:textId="77777777" w:rsidR="00107A47" w:rsidRDefault="00107A47" w:rsidP="00107A47">
            <w:pPr>
              <w:spacing w:after="120"/>
              <w:rPr>
                <w:szCs w:val="22"/>
              </w:rPr>
            </w:pPr>
            <w:r>
              <w:rPr>
                <w:szCs w:val="22"/>
              </w:rPr>
              <w:t>Total spend</w:t>
            </w:r>
          </w:p>
        </w:tc>
        <w:tc>
          <w:tcPr>
            <w:tcW w:w="4959" w:type="dxa"/>
          </w:tcPr>
          <w:p w14:paraId="3525DBF1" w14:textId="77777777" w:rsidR="00107A47" w:rsidRDefault="00107A47" w:rsidP="00107A47">
            <w:pPr>
              <w:spacing w:after="120"/>
              <w:jc w:val="center"/>
              <w:rPr>
                <w:szCs w:val="22"/>
              </w:rPr>
            </w:pPr>
            <w:r>
              <w:rPr>
                <w:szCs w:val="22"/>
              </w:rPr>
              <w:t>$38.11</w:t>
            </w:r>
          </w:p>
        </w:tc>
      </w:tr>
    </w:tbl>
    <w:p w14:paraId="535377DC" w14:textId="39E2AC36" w:rsidR="00107A47" w:rsidRDefault="00107A47" w:rsidP="00107A47">
      <w:pPr>
        <w:rPr>
          <w:rFonts w:cs="Times New Roman"/>
          <w:szCs w:val="22"/>
        </w:rPr>
      </w:pPr>
    </w:p>
    <w:p w14:paraId="0F6CBD1C" w14:textId="48B03040" w:rsidR="00A45C98" w:rsidRDefault="00C44178" w:rsidP="00C44178">
      <w:pPr>
        <w:rPr>
          <w:rFonts w:cs="Times New Roman"/>
          <w:szCs w:val="22"/>
        </w:rPr>
      </w:pPr>
      <w:r w:rsidRPr="00392EF8">
        <w:rPr>
          <w:rFonts w:cs="Times New Roman"/>
          <w:szCs w:val="22"/>
        </w:rPr>
        <w:t>This vast stock of equipment, from small portable refrigerators and air conditioners to enormous commercial chillers and refrigeration plants, employ</w:t>
      </w:r>
      <w:r w:rsidR="00C2253E">
        <w:rPr>
          <w:rFonts w:cs="Times New Roman"/>
          <w:szCs w:val="22"/>
        </w:rPr>
        <w:t>s</w:t>
      </w:r>
      <w:r w:rsidRPr="00392EF8">
        <w:rPr>
          <w:rFonts w:cs="Times New Roman"/>
          <w:szCs w:val="22"/>
        </w:rPr>
        <w:t xml:space="preserve"> a bank of more than 50,000 tonnes of synthetic refrigerants</w:t>
      </w:r>
      <w:r>
        <w:rPr>
          <w:rFonts w:cs="Times New Roman"/>
          <w:szCs w:val="22"/>
        </w:rPr>
        <w:t xml:space="preserve"> </w:t>
      </w:r>
      <w:r w:rsidR="00A45C98">
        <w:rPr>
          <w:rFonts w:cs="Times New Roman"/>
          <w:szCs w:val="22"/>
        </w:rPr>
        <w:t>that have</w:t>
      </w:r>
      <w:r>
        <w:rPr>
          <w:rFonts w:cs="Times New Roman"/>
          <w:szCs w:val="22"/>
        </w:rPr>
        <w:t xml:space="preserve"> </w:t>
      </w:r>
      <w:r w:rsidRPr="00392EF8">
        <w:rPr>
          <w:rFonts w:cs="Times New Roman"/>
          <w:szCs w:val="22"/>
        </w:rPr>
        <w:t>high global warming potential</w:t>
      </w:r>
      <w:r>
        <w:rPr>
          <w:rFonts w:cs="Times New Roman"/>
          <w:szCs w:val="22"/>
        </w:rPr>
        <w:t xml:space="preserve"> (GWP)</w:t>
      </w:r>
      <w:r w:rsidRPr="00392EF8">
        <w:rPr>
          <w:rFonts w:cs="Times New Roman"/>
          <w:szCs w:val="22"/>
        </w:rPr>
        <w:t xml:space="preserve"> </w:t>
      </w:r>
      <w:r>
        <w:rPr>
          <w:rFonts w:cs="Times New Roman"/>
          <w:szCs w:val="22"/>
        </w:rPr>
        <w:t>values</w:t>
      </w:r>
      <w:r w:rsidR="00A45C98">
        <w:rPr>
          <w:rFonts w:cs="Times New Roman"/>
          <w:szCs w:val="22"/>
        </w:rPr>
        <w:t>. The bank of refrigerant has an estimated</w:t>
      </w:r>
      <w:r w:rsidRPr="00392EF8">
        <w:rPr>
          <w:rFonts w:cs="Times New Roman"/>
          <w:szCs w:val="22"/>
        </w:rPr>
        <w:t xml:space="preserve"> current replacement value of around $2.7 billion. </w:t>
      </w:r>
    </w:p>
    <w:p w14:paraId="5BF64F36" w14:textId="37DF5FD8" w:rsidR="00C44178" w:rsidRPr="00392EF8" w:rsidRDefault="00C44178" w:rsidP="00C44178">
      <w:pPr>
        <w:rPr>
          <w:rFonts w:cs="Times New Roman"/>
          <w:szCs w:val="22"/>
        </w:rPr>
      </w:pPr>
      <w:r w:rsidRPr="00392EF8">
        <w:rPr>
          <w:rFonts w:cs="Times New Roman"/>
          <w:szCs w:val="22"/>
        </w:rPr>
        <w:t>Nearly 5,400 tonnes of low GWP refrigerants are also found working in major refrigeration plants, most</w:t>
      </w:r>
      <w:r>
        <w:rPr>
          <w:rFonts w:cs="Times New Roman"/>
          <w:szCs w:val="22"/>
        </w:rPr>
        <w:t xml:space="preserve">ly in </w:t>
      </w:r>
      <w:r w:rsidRPr="00392EF8">
        <w:rPr>
          <w:rFonts w:cs="Times New Roman"/>
          <w:szCs w:val="22"/>
        </w:rPr>
        <w:t>cold storage distribution facilities, in more than 740</w:t>
      </w:r>
      <w:r>
        <w:rPr>
          <w:rFonts w:cs="Times New Roman"/>
          <w:szCs w:val="22"/>
        </w:rPr>
        <w:t>,000</w:t>
      </w:r>
      <w:r w:rsidRPr="00392EF8">
        <w:rPr>
          <w:rFonts w:cs="Times New Roman"/>
          <w:szCs w:val="22"/>
        </w:rPr>
        <w:t xml:space="preserve"> registered road vehicles, </w:t>
      </w:r>
      <w:r>
        <w:rPr>
          <w:rFonts w:cs="Times New Roman"/>
          <w:szCs w:val="22"/>
        </w:rPr>
        <w:t>in</w:t>
      </w:r>
      <w:r w:rsidRPr="00392EF8">
        <w:rPr>
          <w:rFonts w:cs="Times New Roman"/>
          <w:szCs w:val="22"/>
        </w:rPr>
        <w:t xml:space="preserve"> an increasing number of supermarket refrigeration systems and </w:t>
      </w:r>
      <w:r>
        <w:rPr>
          <w:rFonts w:cs="Times New Roman"/>
          <w:szCs w:val="22"/>
        </w:rPr>
        <w:t xml:space="preserve">in millions of </w:t>
      </w:r>
      <w:r w:rsidRPr="00392EF8">
        <w:rPr>
          <w:rFonts w:cs="Times New Roman"/>
          <w:szCs w:val="22"/>
        </w:rPr>
        <w:t>domestic refrigerators.</w:t>
      </w:r>
    </w:p>
    <w:p w14:paraId="1349BD56" w14:textId="0060E65D" w:rsidR="00C44178" w:rsidRPr="00392EF8" w:rsidRDefault="00C44178" w:rsidP="00C44178">
      <w:pPr>
        <w:rPr>
          <w:rFonts w:cs="Times New Roman"/>
          <w:szCs w:val="22"/>
        </w:rPr>
      </w:pPr>
      <w:r w:rsidRPr="00392EF8">
        <w:rPr>
          <w:rFonts w:cs="Times New Roman"/>
          <w:szCs w:val="22"/>
        </w:rPr>
        <w:t xml:space="preserve">As a result of the huge quantity of electricity used, and </w:t>
      </w:r>
      <w:r w:rsidR="00A45C98">
        <w:rPr>
          <w:rFonts w:cs="Times New Roman"/>
          <w:szCs w:val="22"/>
        </w:rPr>
        <w:t xml:space="preserve">leaks from </w:t>
      </w:r>
      <w:r w:rsidRPr="00392EF8">
        <w:rPr>
          <w:rFonts w:cs="Times New Roman"/>
          <w:szCs w:val="22"/>
        </w:rPr>
        <w:t>the significant bank of high GWP refrigerants employed, use of RAC equipment can be considered one of the largest sources of greenhouse</w:t>
      </w:r>
      <w:r>
        <w:rPr>
          <w:rFonts w:cs="Times New Roman"/>
          <w:szCs w:val="22"/>
        </w:rPr>
        <w:t xml:space="preserve"> gas</w:t>
      </w:r>
      <w:r w:rsidRPr="00392EF8">
        <w:rPr>
          <w:rFonts w:cs="Times New Roman"/>
          <w:szCs w:val="22"/>
        </w:rPr>
        <w:t xml:space="preserve"> emissions in Australia.</w:t>
      </w:r>
    </w:p>
    <w:p w14:paraId="0EF1433E" w14:textId="31CEB71B" w:rsidR="00C44178" w:rsidRPr="00392EF8" w:rsidRDefault="00C44178" w:rsidP="00C44178">
      <w:pPr>
        <w:rPr>
          <w:rFonts w:cs="Times New Roman"/>
          <w:szCs w:val="22"/>
        </w:rPr>
      </w:pPr>
      <w:r w:rsidRPr="00392EF8">
        <w:rPr>
          <w:rFonts w:cs="Times New Roman"/>
          <w:szCs w:val="22"/>
        </w:rPr>
        <w:t>Total indirect greenhouse gas emissions from e</w:t>
      </w:r>
      <w:r>
        <w:rPr>
          <w:rFonts w:cs="Times New Roman"/>
          <w:szCs w:val="22"/>
        </w:rPr>
        <w:t>lectricity</w:t>
      </w:r>
      <w:r w:rsidRPr="00392EF8">
        <w:rPr>
          <w:rFonts w:cs="Times New Roman"/>
          <w:szCs w:val="22"/>
        </w:rPr>
        <w:t xml:space="preserve"> consumption </w:t>
      </w:r>
      <w:r w:rsidR="00C2253E">
        <w:rPr>
          <w:rFonts w:cs="Times New Roman"/>
          <w:szCs w:val="22"/>
        </w:rPr>
        <w:t xml:space="preserve">by RAC </w:t>
      </w:r>
      <w:r w:rsidRPr="00392EF8">
        <w:rPr>
          <w:rFonts w:cs="Times New Roman"/>
          <w:szCs w:val="22"/>
        </w:rPr>
        <w:t>are estimated to be 58.7 Mt CO</w:t>
      </w:r>
      <w:r w:rsidRPr="00392EF8">
        <w:rPr>
          <w:rFonts w:cs="Times New Roman"/>
          <w:szCs w:val="22"/>
          <w:vertAlign w:val="subscript"/>
        </w:rPr>
        <w:t>2</w:t>
      </w:r>
      <w:r w:rsidRPr="00392EF8">
        <w:rPr>
          <w:rFonts w:cs="Times New Roman"/>
          <w:szCs w:val="22"/>
        </w:rPr>
        <w:t>e per annum, equivalent to 10.9% of Australian national greenhouse emissions in 2016 (DoEE 2018).</w:t>
      </w:r>
      <w:r w:rsidRPr="00392EF8">
        <w:rPr>
          <w:rStyle w:val="FootnoteReference"/>
          <w:rFonts w:ascii="Times New Roman" w:hAnsi="Times New Roman" w:cs="Times New Roman"/>
          <w:szCs w:val="22"/>
        </w:rPr>
        <w:footnoteReference w:id="2"/>
      </w:r>
      <w:r w:rsidRPr="00392EF8">
        <w:rPr>
          <w:rFonts w:cs="Times New Roman"/>
          <w:szCs w:val="22"/>
        </w:rPr>
        <w:t xml:space="preserve"> </w:t>
      </w:r>
    </w:p>
    <w:p w14:paraId="58AD6170" w14:textId="29A4ECB4" w:rsidR="00C44178" w:rsidRDefault="00C44178" w:rsidP="00C44178">
      <w:pPr>
        <w:rPr>
          <w:rFonts w:cs="Times New Roman"/>
          <w:szCs w:val="22"/>
        </w:rPr>
      </w:pPr>
      <w:r w:rsidRPr="008E5E05">
        <w:rPr>
          <w:rFonts w:cs="Times New Roman"/>
          <w:szCs w:val="22"/>
        </w:rPr>
        <w:t>Annual losses of HCFC and HFC refrigerants directly to air from operating RAC systems are calculated to be equal to another 6.4 million tonnes CO</w:t>
      </w:r>
      <w:r w:rsidRPr="008E5E05">
        <w:rPr>
          <w:rFonts w:cs="Times New Roman"/>
          <w:szCs w:val="22"/>
          <w:vertAlign w:val="subscript"/>
        </w:rPr>
        <w:t>2</w:t>
      </w:r>
      <w:r w:rsidRPr="008E5E05">
        <w:rPr>
          <w:rFonts w:cs="Times New Roman"/>
          <w:szCs w:val="22"/>
        </w:rPr>
        <w:t>. A further 3.6 million tonnes CO</w:t>
      </w:r>
      <w:r w:rsidRPr="008E5E05">
        <w:rPr>
          <w:rFonts w:cs="Times New Roman"/>
          <w:szCs w:val="22"/>
          <w:vertAlign w:val="subscript"/>
        </w:rPr>
        <w:t>2</w:t>
      </w:r>
      <w:r w:rsidRPr="008E5E05">
        <w:rPr>
          <w:rFonts w:cs="Times New Roman"/>
          <w:szCs w:val="22"/>
        </w:rPr>
        <w:t>e of refrigerants are lost annually from equipment retired at the end of its useful life. The resulting total direct and EOL emissions of HCFCs and HFCs in Australia in 2016 equates to 10 million tonnes of CO</w:t>
      </w:r>
      <w:r w:rsidRPr="008E5E05">
        <w:rPr>
          <w:rFonts w:cs="Times New Roman"/>
          <w:szCs w:val="22"/>
          <w:vertAlign w:val="subscript"/>
        </w:rPr>
        <w:t>2</w:t>
      </w:r>
      <w:r w:rsidRPr="008E5E05">
        <w:rPr>
          <w:rFonts w:cs="Times New Roman"/>
          <w:szCs w:val="22"/>
        </w:rPr>
        <w:t>e. Around 29% of these 2016 emissions</w:t>
      </w:r>
      <w:r w:rsidR="00A45C98">
        <w:rPr>
          <w:rFonts w:cs="Times New Roman"/>
          <w:szCs w:val="22"/>
        </w:rPr>
        <w:t xml:space="preserve"> of refrigerants</w:t>
      </w:r>
      <w:r w:rsidRPr="008E5E05">
        <w:rPr>
          <w:rFonts w:cs="Times New Roman"/>
          <w:szCs w:val="22"/>
        </w:rPr>
        <w:t xml:space="preserve"> (direct 0.85 million tonnes CO</w:t>
      </w:r>
      <w:r w:rsidRPr="008E5E05">
        <w:rPr>
          <w:rFonts w:cs="Times New Roman"/>
          <w:szCs w:val="22"/>
          <w:vertAlign w:val="subscript"/>
        </w:rPr>
        <w:t>2</w:t>
      </w:r>
      <w:r w:rsidRPr="008E5E05">
        <w:rPr>
          <w:rFonts w:cs="Times New Roman"/>
          <w:szCs w:val="22"/>
        </w:rPr>
        <w:t>e and EOL 2.06 million tonnes CO</w:t>
      </w:r>
      <w:r w:rsidRPr="008E5E05">
        <w:rPr>
          <w:rFonts w:cs="Times New Roman"/>
          <w:szCs w:val="22"/>
          <w:vertAlign w:val="subscript"/>
        </w:rPr>
        <w:t>2</w:t>
      </w:r>
      <w:r w:rsidRPr="008E5E05">
        <w:rPr>
          <w:rFonts w:cs="Times New Roman"/>
          <w:szCs w:val="22"/>
        </w:rPr>
        <w:t>e) were the result of HCFC</w:t>
      </w:r>
      <w:r w:rsidR="00A45C98">
        <w:rPr>
          <w:rStyle w:val="FootnoteReference"/>
          <w:rFonts w:cs="Times New Roman"/>
          <w:szCs w:val="22"/>
        </w:rPr>
        <w:footnoteReference w:id="3"/>
      </w:r>
      <w:r w:rsidRPr="008E5E05">
        <w:rPr>
          <w:rFonts w:cs="Times New Roman"/>
          <w:szCs w:val="22"/>
        </w:rPr>
        <w:t xml:space="preserve"> emissions, the balance were HFC emissions.</w:t>
      </w:r>
    </w:p>
    <w:p w14:paraId="0E7FDD35" w14:textId="0FAC1066" w:rsidR="00C44178" w:rsidRPr="00392EF8" w:rsidRDefault="00C44178" w:rsidP="00C44178">
      <w:pPr>
        <w:rPr>
          <w:rFonts w:cs="Times New Roman"/>
          <w:szCs w:val="22"/>
        </w:rPr>
      </w:pPr>
      <w:r>
        <w:rPr>
          <w:rFonts w:cs="Times New Roman"/>
          <w:szCs w:val="22"/>
        </w:rPr>
        <w:t xml:space="preserve">It is important to note that under the terms of the UN Framework Convention on Climate Change, for which the Australian Government prepares and publishes the annual </w:t>
      </w:r>
      <w:r w:rsidR="00D7402E">
        <w:rPr>
          <w:rFonts w:cs="Times New Roman"/>
          <w:szCs w:val="22"/>
        </w:rPr>
        <w:t xml:space="preserve">Australian </w:t>
      </w:r>
      <w:r>
        <w:rPr>
          <w:rFonts w:cs="Times New Roman"/>
          <w:szCs w:val="22"/>
        </w:rPr>
        <w:t>National Greenhouse Gas Inventory (NGGI), there is no requirement to report the global warming impact of emissions of HCFCs. CHF3 calculates the CO</w:t>
      </w:r>
      <w:r w:rsidRPr="00C75007">
        <w:rPr>
          <w:rFonts w:cs="Times New Roman"/>
          <w:szCs w:val="22"/>
          <w:vertAlign w:val="subscript"/>
        </w:rPr>
        <w:t>2</w:t>
      </w:r>
      <w:r>
        <w:rPr>
          <w:rFonts w:cs="Times New Roman"/>
          <w:szCs w:val="22"/>
        </w:rPr>
        <w:t>e values of HCFC emissions to provide a comparative measure of the scale of HCFC losses to air for the RAC industry. As such the CHF3 estimates of the CO</w:t>
      </w:r>
      <w:r w:rsidRPr="00AC79C9">
        <w:rPr>
          <w:rFonts w:cs="Times New Roman"/>
          <w:szCs w:val="22"/>
          <w:vertAlign w:val="subscript"/>
        </w:rPr>
        <w:t>2</w:t>
      </w:r>
      <w:r>
        <w:rPr>
          <w:rFonts w:cs="Times New Roman"/>
          <w:szCs w:val="22"/>
        </w:rPr>
        <w:t xml:space="preserve"> equivalent value of direct and EOL emissions of refrigerants cannot be compared with those published in the NGGI, which only reports HFCs.</w:t>
      </w:r>
    </w:p>
    <w:p w14:paraId="185DFC13" w14:textId="10B50CCF" w:rsidR="00D7402E" w:rsidRPr="00392EF8" w:rsidRDefault="00D7402E" w:rsidP="00D7402E">
      <w:pPr>
        <w:rPr>
          <w:rFonts w:cs="Times New Roman"/>
          <w:szCs w:val="22"/>
        </w:rPr>
      </w:pPr>
      <w:r w:rsidRPr="00392EF8">
        <w:rPr>
          <w:rFonts w:cs="Times New Roman"/>
          <w:szCs w:val="22"/>
        </w:rPr>
        <w:lastRenderedPageBreak/>
        <w:t xml:space="preserve">CHF3 calculates that RAC technology was responsible for </w:t>
      </w:r>
      <w:r>
        <w:rPr>
          <w:rFonts w:cs="Times New Roman"/>
          <w:szCs w:val="22"/>
        </w:rPr>
        <w:t xml:space="preserve">total </w:t>
      </w:r>
      <w:r w:rsidRPr="00392EF8">
        <w:rPr>
          <w:rFonts w:cs="Times New Roman"/>
          <w:szCs w:val="22"/>
        </w:rPr>
        <w:t>greenhouse gas emissions equivalent to approximately 68.7 million tonnes CO</w:t>
      </w:r>
      <w:r w:rsidRPr="00392EF8">
        <w:rPr>
          <w:rFonts w:cs="Times New Roman"/>
          <w:szCs w:val="22"/>
          <w:vertAlign w:val="subscript"/>
        </w:rPr>
        <w:t>2</w:t>
      </w:r>
      <w:r w:rsidRPr="00392EF8">
        <w:rPr>
          <w:rFonts w:cs="Times New Roman"/>
          <w:szCs w:val="22"/>
        </w:rPr>
        <w:t>e in 2016</w:t>
      </w:r>
      <w:r>
        <w:rPr>
          <w:rFonts w:cs="Times New Roman"/>
          <w:szCs w:val="22"/>
        </w:rPr>
        <w:t xml:space="preserve"> (including HCFCs)</w:t>
      </w:r>
      <w:r w:rsidRPr="00392EF8">
        <w:rPr>
          <w:rFonts w:cs="Times New Roman"/>
          <w:szCs w:val="22"/>
        </w:rPr>
        <w:t xml:space="preserve">, </w:t>
      </w:r>
      <w:r>
        <w:rPr>
          <w:rFonts w:cs="Times New Roman"/>
          <w:szCs w:val="22"/>
        </w:rPr>
        <w:t>equivalent to</w:t>
      </w:r>
      <w:r w:rsidRPr="00392EF8">
        <w:rPr>
          <w:rFonts w:cs="Times New Roman"/>
          <w:szCs w:val="22"/>
        </w:rPr>
        <w:t xml:space="preserve"> </w:t>
      </w:r>
      <w:r w:rsidR="00925BB2" w:rsidRPr="00392EF8">
        <w:rPr>
          <w:rFonts w:cs="Times New Roman"/>
          <w:szCs w:val="22"/>
        </w:rPr>
        <w:t>12.</w:t>
      </w:r>
      <w:r w:rsidR="00925BB2">
        <w:rPr>
          <w:rFonts w:cs="Times New Roman"/>
          <w:szCs w:val="22"/>
        </w:rPr>
        <w:t>4</w:t>
      </w:r>
      <w:r w:rsidR="00925BB2" w:rsidRPr="00392EF8">
        <w:rPr>
          <w:rFonts w:cs="Times New Roman"/>
          <w:szCs w:val="22"/>
        </w:rPr>
        <w:t xml:space="preserve">% </w:t>
      </w:r>
      <w:r w:rsidRPr="00392EF8">
        <w:rPr>
          <w:rFonts w:cs="Times New Roman"/>
          <w:szCs w:val="22"/>
        </w:rPr>
        <w:t>of all greenhouse gas emissions reported in Australia’s National Greenhouse Gas Inventory for 2016.</w:t>
      </w:r>
      <w:r w:rsidRPr="00392EF8">
        <w:rPr>
          <w:rStyle w:val="FootnoteReference"/>
          <w:rFonts w:ascii="Times New Roman" w:hAnsi="Times New Roman" w:cs="Times New Roman"/>
          <w:szCs w:val="22"/>
        </w:rPr>
        <w:footnoteReference w:id="4"/>
      </w:r>
      <w:r w:rsidRPr="00392EF8">
        <w:rPr>
          <w:rFonts w:cs="Times New Roman"/>
          <w:szCs w:val="22"/>
        </w:rPr>
        <w:t xml:space="preserve">  </w:t>
      </w:r>
    </w:p>
    <w:p w14:paraId="307E534A" w14:textId="77777777" w:rsidR="00803DF0" w:rsidRDefault="00D7402E" w:rsidP="00C44178">
      <w:pPr>
        <w:rPr>
          <w:rFonts w:cs="Times New Roman"/>
          <w:szCs w:val="22"/>
        </w:rPr>
      </w:pPr>
      <w:r>
        <w:rPr>
          <w:rFonts w:cs="Times New Roman"/>
          <w:szCs w:val="22"/>
        </w:rPr>
        <w:t xml:space="preserve">Based on the 2016 analysis, and prior studies, CHF3 provides projections of RAC industry activity and refrigerant use in the Australian economy out to 2030. </w:t>
      </w:r>
    </w:p>
    <w:p w14:paraId="1704741A" w14:textId="77777777" w:rsidR="00803DF0" w:rsidRDefault="00803DF0" w:rsidP="00803DF0">
      <w:pPr>
        <w:rPr>
          <w:rFonts w:cs="Times New Roman"/>
          <w:szCs w:val="22"/>
        </w:rPr>
      </w:pPr>
      <w:r w:rsidRPr="00392EF8">
        <w:rPr>
          <w:rFonts w:cs="Times New Roman"/>
          <w:szCs w:val="22"/>
        </w:rPr>
        <w:t>All indicators point to continued strong growth in demand for refrigeration and air conditioning services in the years ahead, driven by the same mix of factors</w:t>
      </w:r>
      <w:r>
        <w:rPr>
          <w:rFonts w:cs="Times New Roman"/>
          <w:szCs w:val="22"/>
        </w:rPr>
        <w:t xml:space="preserve"> </w:t>
      </w:r>
      <w:r w:rsidRPr="00392EF8">
        <w:rPr>
          <w:rFonts w:cs="Times New Roman"/>
          <w:szCs w:val="22"/>
        </w:rPr>
        <w:t>that has seen an expansion of the refrigerant bank by more than 50% over the last decade from 2006 to 2016</w:t>
      </w:r>
      <w:r>
        <w:rPr>
          <w:rFonts w:cs="Times New Roman"/>
          <w:szCs w:val="22"/>
        </w:rPr>
        <w:t xml:space="preserve"> -</w:t>
      </w:r>
      <w:r w:rsidRPr="00392EF8">
        <w:rPr>
          <w:rFonts w:cs="Times New Roman"/>
          <w:szCs w:val="22"/>
        </w:rPr>
        <w:t xml:space="preserve"> a strong economy, population growth, reduced costs of equipment, and higher summer temperatures.</w:t>
      </w:r>
    </w:p>
    <w:p w14:paraId="5A55F3B9" w14:textId="5D98C4A3" w:rsidR="00C44178" w:rsidRDefault="00C44178" w:rsidP="00C44178">
      <w:pPr>
        <w:rPr>
          <w:rFonts w:cs="Times New Roman"/>
          <w:szCs w:val="22"/>
        </w:rPr>
      </w:pPr>
      <w:r>
        <w:rPr>
          <w:rFonts w:cs="Times New Roman"/>
          <w:szCs w:val="22"/>
        </w:rPr>
        <w:t>T</w:t>
      </w:r>
      <w:r w:rsidRPr="00392EF8">
        <w:rPr>
          <w:rFonts w:cs="Times New Roman"/>
          <w:szCs w:val="22"/>
        </w:rPr>
        <w:t xml:space="preserve">he absolute quantum of </w:t>
      </w:r>
      <w:r>
        <w:rPr>
          <w:rFonts w:cs="Times New Roman"/>
          <w:szCs w:val="22"/>
        </w:rPr>
        <w:t xml:space="preserve">combined HCFC and HFC </w:t>
      </w:r>
      <w:r w:rsidRPr="00392EF8">
        <w:rPr>
          <w:rFonts w:cs="Times New Roman"/>
          <w:szCs w:val="22"/>
        </w:rPr>
        <w:t>refrigerant losses is expected to rise throughout the projection period</w:t>
      </w:r>
      <w:r w:rsidR="00D7402E">
        <w:rPr>
          <w:rFonts w:cs="Times New Roman"/>
          <w:szCs w:val="22"/>
        </w:rPr>
        <w:t>. This is an inevitable result of</w:t>
      </w:r>
      <w:r>
        <w:rPr>
          <w:rFonts w:cs="Times New Roman"/>
          <w:szCs w:val="22"/>
        </w:rPr>
        <w:t xml:space="preserve"> the total stocks of RAC equipment employed in the economy continu</w:t>
      </w:r>
      <w:r w:rsidR="00D7402E">
        <w:rPr>
          <w:rFonts w:cs="Times New Roman"/>
          <w:szCs w:val="22"/>
        </w:rPr>
        <w:t>ing</w:t>
      </w:r>
      <w:r>
        <w:rPr>
          <w:rFonts w:cs="Times New Roman"/>
          <w:szCs w:val="22"/>
        </w:rPr>
        <w:t xml:space="preserve"> to steadily grow, and stocks of older equipment more likely to employ HCFCs </w:t>
      </w:r>
      <w:r w:rsidR="00D7402E">
        <w:rPr>
          <w:rFonts w:cs="Times New Roman"/>
          <w:szCs w:val="22"/>
        </w:rPr>
        <w:t>being</w:t>
      </w:r>
      <w:r>
        <w:rPr>
          <w:rFonts w:cs="Times New Roman"/>
          <w:szCs w:val="22"/>
        </w:rPr>
        <w:t xml:space="preserve"> taken out of service. However</w:t>
      </w:r>
      <w:r w:rsidRPr="00392EF8">
        <w:rPr>
          <w:rFonts w:cs="Times New Roman"/>
          <w:szCs w:val="22"/>
        </w:rPr>
        <w:t xml:space="preserve"> the CO</w:t>
      </w:r>
      <w:r w:rsidRPr="00392EF8">
        <w:rPr>
          <w:rFonts w:cs="Times New Roman"/>
          <w:szCs w:val="22"/>
          <w:vertAlign w:val="subscript"/>
        </w:rPr>
        <w:t>2</w:t>
      </w:r>
      <w:r w:rsidRPr="00392EF8">
        <w:rPr>
          <w:rFonts w:cs="Times New Roman"/>
          <w:szCs w:val="22"/>
        </w:rPr>
        <w:t>e value of</w:t>
      </w:r>
      <w:r w:rsidR="005730BE">
        <w:rPr>
          <w:rFonts w:cs="Times New Roman"/>
          <w:szCs w:val="22"/>
        </w:rPr>
        <w:t xml:space="preserve"> annual</w:t>
      </w:r>
      <w:r w:rsidRPr="00392EF8">
        <w:rPr>
          <w:rFonts w:cs="Times New Roman"/>
          <w:szCs w:val="22"/>
        </w:rPr>
        <w:t xml:space="preserve"> direct emissions</w:t>
      </w:r>
      <w:r w:rsidR="00D7402E">
        <w:rPr>
          <w:rFonts w:cs="Times New Roman"/>
          <w:szCs w:val="22"/>
        </w:rPr>
        <w:t xml:space="preserve"> from operating equipment</w:t>
      </w:r>
      <w:r>
        <w:rPr>
          <w:rFonts w:cs="Times New Roman"/>
          <w:szCs w:val="22"/>
        </w:rPr>
        <w:t>,</w:t>
      </w:r>
      <w:r w:rsidRPr="00392EF8">
        <w:rPr>
          <w:rFonts w:cs="Times New Roman"/>
          <w:szCs w:val="22"/>
        </w:rPr>
        <w:t xml:space="preserve"> excluding </w:t>
      </w:r>
      <w:r>
        <w:rPr>
          <w:rFonts w:cs="Times New Roman"/>
          <w:szCs w:val="22"/>
        </w:rPr>
        <w:t>EOL</w:t>
      </w:r>
      <w:r w:rsidRPr="00392EF8">
        <w:rPr>
          <w:rFonts w:cs="Times New Roman"/>
          <w:szCs w:val="22"/>
        </w:rPr>
        <w:t xml:space="preserve"> emissions</w:t>
      </w:r>
      <w:r>
        <w:rPr>
          <w:rFonts w:cs="Times New Roman"/>
          <w:szCs w:val="22"/>
        </w:rPr>
        <w:t>,</w:t>
      </w:r>
      <w:r w:rsidRPr="00392EF8">
        <w:rPr>
          <w:rFonts w:cs="Times New Roman"/>
          <w:szCs w:val="22"/>
        </w:rPr>
        <w:t xml:space="preserve"> is expected to fall by more than 27% </w:t>
      </w:r>
      <w:r>
        <w:rPr>
          <w:rFonts w:cs="Times New Roman"/>
          <w:szCs w:val="22"/>
        </w:rPr>
        <w:t>from an estimated 6.4 million tonnes CO</w:t>
      </w:r>
      <w:r w:rsidRPr="00C75007">
        <w:rPr>
          <w:rFonts w:cs="Times New Roman"/>
          <w:szCs w:val="22"/>
          <w:vertAlign w:val="subscript"/>
        </w:rPr>
        <w:t>2</w:t>
      </w:r>
      <w:r>
        <w:rPr>
          <w:rFonts w:cs="Times New Roman"/>
          <w:szCs w:val="22"/>
        </w:rPr>
        <w:t xml:space="preserve">e now </w:t>
      </w:r>
      <w:r w:rsidRPr="00392EF8">
        <w:rPr>
          <w:rFonts w:cs="Times New Roman"/>
          <w:szCs w:val="22"/>
        </w:rPr>
        <w:t>to 4.7 million tonnes CO</w:t>
      </w:r>
      <w:r w:rsidRPr="00392EF8">
        <w:rPr>
          <w:rFonts w:cs="Times New Roman"/>
          <w:szCs w:val="22"/>
          <w:vertAlign w:val="subscript"/>
        </w:rPr>
        <w:t>2</w:t>
      </w:r>
      <w:r w:rsidRPr="00392EF8">
        <w:rPr>
          <w:rFonts w:cs="Times New Roman"/>
          <w:szCs w:val="22"/>
        </w:rPr>
        <w:t>e in 2030.</w:t>
      </w:r>
      <w:r>
        <w:rPr>
          <w:rFonts w:cs="Times New Roman"/>
          <w:szCs w:val="22"/>
        </w:rPr>
        <w:t xml:space="preserve"> This reflects the expected rate of transition of the bank to</w:t>
      </w:r>
      <w:r w:rsidR="00D7402E">
        <w:rPr>
          <w:rFonts w:cs="Times New Roman"/>
          <w:szCs w:val="22"/>
        </w:rPr>
        <w:t xml:space="preserve"> the use of</w:t>
      </w:r>
      <w:r>
        <w:rPr>
          <w:rFonts w:cs="Times New Roman"/>
          <w:szCs w:val="22"/>
        </w:rPr>
        <w:t xml:space="preserve"> lower GWP HFCs, and </w:t>
      </w:r>
      <w:r w:rsidR="00D7402E">
        <w:rPr>
          <w:rFonts w:cs="Times New Roman"/>
          <w:szCs w:val="22"/>
        </w:rPr>
        <w:t>increasing use</w:t>
      </w:r>
      <w:r>
        <w:rPr>
          <w:rFonts w:cs="Times New Roman"/>
          <w:szCs w:val="22"/>
        </w:rPr>
        <w:t xml:space="preserve"> of low GWP non-HFC refrigerants.</w:t>
      </w:r>
    </w:p>
    <w:p w14:paraId="2F555AF4" w14:textId="2BD03171" w:rsidR="00C44178" w:rsidRPr="00392EF8" w:rsidRDefault="00C44178" w:rsidP="00C44178">
      <w:pPr>
        <w:rPr>
          <w:rFonts w:cs="Times New Roman"/>
          <w:szCs w:val="22"/>
        </w:rPr>
      </w:pPr>
      <w:r>
        <w:rPr>
          <w:rFonts w:cs="Times New Roman"/>
          <w:szCs w:val="22"/>
        </w:rPr>
        <w:t xml:space="preserve">As the growing stocks of RAC equipment are </w:t>
      </w:r>
      <w:r w:rsidR="00C1334F">
        <w:rPr>
          <w:rFonts w:cs="Times New Roman"/>
          <w:szCs w:val="22"/>
        </w:rPr>
        <w:t>retired and replaced</w:t>
      </w:r>
      <w:r>
        <w:rPr>
          <w:rFonts w:cs="Times New Roman"/>
          <w:szCs w:val="22"/>
        </w:rPr>
        <w:t xml:space="preserve"> through the projection period, a corresponding rise in EOL emissions is also expected</w:t>
      </w:r>
      <w:r w:rsidR="00803DF0">
        <w:rPr>
          <w:rFonts w:cs="Times New Roman"/>
          <w:szCs w:val="22"/>
        </w:rPr>
        <w:t>.</w:t>
      </w:r>
      <w:r>
        <w:rPr>
          <w:rFonts w:cs="Times New Roman"/>
          <w:szCs w:val="22"/>
        </w:rPr>
        <w:t xml:space="preserve"> </w:t>
      </w:r>
      <w:r w:rsidR="00803DF0">
        <w:rPr>
          <w:rFonts w:cs="Times New Roman"/>
          <w:szCs w:val="22"/>
        </w:rPr>
        <w:t>The</w:t>
      </w:r>
      <w:r>
        <w:rPr>
          <w:rFonts w:cs="Times New Roman"/>
          <w:szCs w:val="22"/>
        </w:rPr>
        <w:t xml:space="preserve"> CO</w:t>
      </w:r>
      <w:r w:rsidRPr="00C75007">
        <w:rPr>
          <w:rFonts w:cs="Times New Roman"/>
          <w:szCs w:val="22"/>
          <w:vertAlign w:val="subscript"/>
        </w:rPr>
        <w:t>2</w:t>
      </w:r>
      <w:r>
        <w:rPr>
          <w:rFonts w:cs="Times New Roman"/>
          <w:szCs w:val="22"/>
        </w:rPr>
        <w:t>e values of EOL emissions are likely to fall more slowly than those of direct emissions, as the refrigerants re</w:t>
      </w:r>
      <w:r w:rsidR="00803DF0">
        <w:rPr>
          <w:rFonts w:cs="Times New Roman"/>
          <w:szCs w:val="22"/>
        </w:rPr>
        <w:t>leased</w:t>
      </w:r>
      <w:r>
        <w:rPr>
          <w:rFonts w:cs="Times New Roman"/>
          <w:szCs w:val="22"/>
        </w:rPr>
        <w:t xml:space="preserve"> </w:t>
      </w:r>
      <w:r w:rsidR="00803DF0">
        <w:rPr>
          <w:rFonts w:cs="Times New Roman"/>
          <w:szCs w:val="22"/>
        </w:rPr>
        <w:t xml:space="preserve">from </w:t>
      </w:r>
      <w:r>
        <w:rPr>
          <w:rFonts w:cs="Times New Roman"/>
          <w:szCs w:val="22"/>
        </w:rPr>
        <w:t xml:space="preserve">EOL equipment will lag the rate of change </w:t>
      </w:r>
      <w:r w:rsidR="00803DF0">
        <w:rPr>
          <w:rFonts w:cs="Times New Roman"/>
          <w:szCs w:val="22"/>
        </w:rPr>
        <w:t xml:space="preserve">of the bank </w:t>
      </w:r>
      <w:r>
        <w:rPr>
          <w:rFonts w:cs="Times New Roman"/>
          <w:szCs w:val="22"/>
        </w:rPr>
        <w:t>to lower GWP refrigerants.</w:t>
      </w:r>
    </w:p>
    <w:p w14:paraId="788F0878" w14:textId="214641F8" w:rsidR="00C44178" w:rsidRPr="00392EF8" w:rsidRDefault="00C44178" w:rsidP="00C44178">
      <w:pPr>
        <w:rPr>
          <w:rFonts w:cs="Times New Roman"/>
          <w:szCs w:val="22"/>
        </w:rPr>
      </w:pPr>
      <w:r w:rsidRPr="00E13F35">
        <w:rPr>
          <w:rFonts w:cs="Times New Roman"/>
          <w:szCs w:val="22"/>
        </w:rPr>
        <w:t xml:space="preserve">Importantly, </w:t>
      </w:r>
      <w:r w:rsidR="00803DF0" w:rsidRPr="00E13F35">
        <w:rPr>
          <w:rFonts w:cs="Times New Roman"/>
          <w:szCs w:val="22"/>
        </w:rPr>
        <w:t xml:space="preserve">during the last decade </w:t>
      </w:r>
      <w:r w:rsidRPr="00E13F35">
        <w:rPr>
          <w:rFonts w:cs="Times New Roman"/>
          <w:szCs w:val="22"/>
        </w:rPr>
        <w:t>total energy consumption of RAC equipment has grown at a slower rate than growth in the stock of equipment. More efficient equipment designs, coupled with better performing refrigerants that are better contained, combine to reduce energy consumed across the life of the equipment</w:t>
      </w:r>
      <w:r w:rsidRPr="00392EF8">
        <w:rPr>
          <w:rFonts w:cs="Times New Roman"/>
          <w:szCs w:val="22"/>
        </w:rPr>
        <w:t>.</w:t>
      </w:r>
    </w:p>
    <w:p w14:paraId="2244EEE3" w14:textId="1F5D9A91" w:rsidR="00C44178" w:rsidRDefault="00C44178" w:rsidP="00C44178">
      <w:pPr>
        <w:rPr>
          <w:rFonts w:cs="Times New Roman"/>
          <w:szCs w:val="22"/>
        </w:rPr>
      </w:pPr>
      <w:r w:rsidRPr="00392EF8">
        <w:rPr>
          <w:rFonts w:cs="Times New Roman"/>
          <w:szCs w:val="22"/>
        </w:rPr>
        <w:t>Projections of the bank predict the peak GWP value of the bank will be reached around 2020 at more than 102 million tonnes of CO</w:t>
      </w:r>
      <w:r w:rsidRPr="00392EF8">
        <w:rPr>
          <w:rFonts w:cs="Times New Roman"/>
          <w:szCs w:val="22"/>
          <w:vertAlign w:val="subscript"/>
        </w:rPr>
        <w:t>2</w:t>
      </w:r>
      <w:r w:rsidRPr="00392EF8">
        <w:rPr>
          <w:rFonts w:cs="Times New Roman"/>
          <w:szCs w:val="22"/>
        </w:rPr>
        <w:t>e, before beginning to decline steadily as new generations of lower GWP refrigerants are introduced to the stock of equipment</w:t>
      </w:r>
      <w:r>
        <w:rPr>
          <w:rFonts w:cs="Times New Roman"/>
          <w:szCs w:val="22"/>
        </w:rPr>
        <w:t>.</w:t>
      </w:r>
    </w:p>
    <w:p w14:paraId="498D47B7" w14:textId="62535661" w:rsidR="00C44178" w:rsidRPr="00392EF8" w:rsidRDefault="00C44178" w:rsidP="00C44178">
      <w:pPr>
        <w:rPr>
          <w:rFonts w:cs="Times New Roman"/>
          <w:szCs w:val="22"/>
        </w:rPr>
      </w:pPr>
      <w:r>
        <w:rPr>
          <w:rFonts w:cs="Times New Roman"/>
          <w:szCs w:val="22"/>
        </w:rPr>
        <w:t>The CO</w:t>
      </w:r>
      <w:r w:rsidRPr="00B00E8D">
        <w:rPr>
          <w:rFonts w:cs="Times New Roman"/>
          <w:szCs w:val="22"/>
          <w:vertAlign w:val="subscript"/>
        </w:rPr>
        <w:t>2</w:t>
      </w:r>
      <w:r>
        <w:rPr>
          <w:rFonts w:cs="Times New Roman"/>
          <w:szCs w:val="22"/>
        </w:rPr>
        <w:t>e value of the bank</w:t>
      </w:r>
      <w:r w:rsidRPr="00392EF8">
        <w:rPr>
          <w:rFonts w:cs="Times New Roman"/>
          <w:szCs w:val="22"/>
        </w:rPr>
        <w:t xml:space="preserve"> reduc</w:t>
      </w:r>
      <w:r>
        <w:rPr>
          <w:rFonts w:cs="Times New Roman"/>
          <w:szCs w:val="22"/>
        </w:rPr>
        <w:t>es</w:t>
      </w:r>
      <w:r w:rsidRPr="00392EF8">
        <w:rPr>
          <w:rFonts w:cs="Times New Roman"/>
          <w:szCs w:val="22"/>
        </w:rPr>
        <w:t xml:space="preserve"> to an estimated 80 million tonnes CO</w:t>
      </w:r>
      <w:r w:rsidRPr="00392EF8">
        <w:rPr>
          <w:rFonts w:cs="Times New Roman"/>
          <w:szCs w:val="22"/>
          <w:vertAlign w:val="subscript"/>
        </w:rPr>
        <w:t>2</w:t>
      </w:r>
      <w:r w:rsidRPr="00392EF8">
        <w:rPr>
          <w:rFonts w:cs="Times New Roman"/>
          <w:szCs w:val="22"/>
        </w:rPr>
        <w:t xml:space="preserve">e by 2030. Similarly, the GWP of direct emissions from supply lines and operating equipment, and </w:t>
      </w:r>
      <w:r w:rsidR="00803DF0">
        <w:rPr>
          <w:rFonts w:cs="Times New Roman"/>
          <w:szCs w:val="22"/>
        </w:rPr>
        <w:t xml:space="preserve">eventually </w:t>
      </w:r>
      <w:r w:rsidRPr="00392EF8">
        <w:rPr>
          <w:rFonts w:cs="Times New Roman"/>
          <w:szCs w:val="22"/>
        </w:rPr>
        <w:t>from end-of-life equipment, fall</w:t>
      </w:r>
      <w:r w:rsidR="005730BE">
        <w:rPr>
          <w:rFonts w:cs="Times New Roman"/>
          <w:szCs w:val="22"/>
        </w:rPr>
        <w:t>s</w:t>
      </w:r>
      <w:r w:rsidRPr="00392EF8">
        <w:rPr>
          <w:rFonts w:cs="Times New Roman"/>
          <w:szCs w:val="22"/>
        </w:rPr>
        <w:t xml:space="preserve"> as the average GWP of the bank falls in line with the phase down of HFC imports and their replacement with lower GWP refrigerants.</w:t>
      </w:r>
    </w:p>
    <w:p w14:paraId="47F55FD2" w14:textId="77777777" w:rsidR="00C44178" w:rsidRDefault="00C44178" w:rsidP="00107A47">
      <w:pPr>
        <w:rPr>
          <w:rFonts w:cs="Times New Roman"/>
          <w:szCs w:val="22"/>
        </w:rPr>
      </w:pPr>
    </w:p>
    <w:p w14:paraId="2A61760D" w14:textId="01CABF74" w:rsidR="00107A47" w:rsidRDefault="00107A47" w:rsidP="00107A47">
      <w:pPr>
        <w:rPr>
          <w:rFonts w:cs="Times New Roman"/>
          <w:szCs w:val="22"/>
        </w:rPr>
      </w:pPr>
    </w:p>
    <w:p w14:paraId="5B86AA78" w14:textId="77777777" w:rsidR="00107A47" w:rsidRDefault="00107A47" w:rsidP="00143A01">
      <w:pPr>
        <w:rPr>
          <w:rFonts w:cs="Times New Roman"/>
          <w:szCs w:val="22"/>
        </w:rPr>
      </w:pPr>
    </w:p>
    <w:p w14:paraId="2AF7E349" w14:textId="77777777" w:rsidR="00107A47" w:rsidRDefault="00107A47" w:rsidP="00143A01">
      <w:pPr>
        <w:rPr>
          <w:rFonts w:cs="Times New Roman"/>
          <w:szCs w:val="22"/>
        </w:rPr>
      </w:pPr>
    </w:p>
    <w:p w14:paraId="151BCD4E" w14:textId="77777777" w:rsidR="00107A47" w:rsidRDefault="00107A47" w:rsidP="00143A01">
      <w:pPr>
        <w:rPr>
          <w:rFonts w:cs="Times New Roman"/>
          <w:szCs w:val="22"/>
        </w:rPr>
      </w:pPr>
    </w:p>
    <w:p w14:paraId="4353489E" w14:textId="77777777" w:rsidR="00143A01" w:rsidRDefault="00143A01">
      <w:pPr>
        <w:spacing w:before="0"/>
        <w:jc w:val="left"/>
        <w:rPr>
          <w:rFonts w:ascii="Calibri" w:eastAsia="Times New Roman" w:hAnsi="Calibri" w:cs="Times New Roman"/>
          <w:b/>
          <w:bCs/>
          <w:kern w:val="32"/>
          <w:sz w:val="32"/>
          <w:szCs w:val="32"/>
          <w:lang w:val="en-US"/>
        </w:rPr>
      </w:pPr>
      <w:r>
        <w:br w:type="page"/>
      </w:r>
    </w:p>
    <w:p w14:paraId="7381AD33" w14:textId="1625CDC2" w:rsidR="00F765DA" w:rsidRPr="00034FD9" w:rsidRDefault="00F765DA" w:rsidP="00F765DA">
      <w:pPr>
        <w:pStyle w:val="Heading1"/>
      </w:pPr>
      <w:bookmarkStart w:id="5" w:name="_Toc525141257"/>
      <w:r w:rsidRPr="00034FD9">
        <w:lastRenderedPageBreak/>
        <w:t>Introduction</w:t>
      </w:r>
      <w:bookmarkEnd w:id="5"/>
    </w:p>
    <w:p w14:paraId="50DE793C" w14:textId="381E5563" w:rsidR="00F765DA" w:rsidRDefault="00F765DA" w:rsidP="00F765DA">
      <w:pPr>
        <w:rPr>
          <w:szCs w:val="22"/>
        </w:rPr>
      </w:pPr>
      <w:r w:rsidRPr="006F52EF">
        <w:rPr>
          <w:i/>
          <w:szCs w:val="22"/>
        </w:rPr>
        <w:t>Cold Hard Facts 3</w:t>
      </w:r>
      <w:r>
        <w:rPr>
          <w:szCs w:val="22"/>
        </w:rPr>
        <w:t xml:space="preserve"> (CHF3) is the third</w:t>
      </w:r>
      <w:r w:rsidRPr="006A610E">
        <w:rPr>
          <w:szCs w:val="22"/>
        </w:rPr>
        <w:t xml:space="preserve"> edition of</w:t>
      </w:r>
      <w:r>
        <w:rPr>
          <w:szCs w:val="22"/>
        </w:rPr>
        <w:t xml:space="preserve"> the</w:t>
      </w:r>
      <w:r w:rsidRPr="006A610E">
        <w:rPr>
          <w:szCs w:val="22"/>
        </w:rPr>
        <w:t xml:space="preserve"> </w:t>
      </w:r>
      <w:r w:rsidRPr="009F7800">
        <w:rPr>
          <w:i/>
          <w:szCs w:val="22"/>
        </w:rPr>
        <w:t>Cold Hard Facts</w:t>
      </w:r>
      <w:r>
        <w:rPr>
          <w:i/>
          <w:szCs w:val="22"/>
        </w:rPr>
        <w:t xml:space="preserve"> </w:t>
      </w:r>
      <w:r w:rsidRPr="006C7187">
        <w:rPr>
          <w:szCs w:val="22"/>
        </w:rPr>
        <w:t>series</w:t>
      </w:r>
      <w:r w:rsidRPr="006A610E">
        <w:rPr>
          <w:szCs w:val="22"/>
        </w:rPr>
        <w:t xml:space="preserve">. This report presents a technological and economic snapshot of the refrigeration and air conditioning </w:t>
      </w:r>
      <w:r>
        <w:rPr>
          <w:szCs w:val="22"/>
        </w:rPr>
        <w:t xml:space="preserve">(RAC) </w:t>
      </w:r>
      <w:r w:rsidRPr="006A610E">
        <w:rPr>
          <w:szCs w:val="22"/>
        </w:rPr>
        <w:t>industry in Australia</w:t>
      </w:r>
      <w:r>
        <w:rPr>
          <w:szCs w:val="22"/>
        </w:rPr>
        <w:t xml:space="preserve"> in 2016 and compares the main findings with the findings of the previous editions of the series published in 200</w:t>
      </w:r>
      <w:r w:rsidR="00536DA7">
        <w:rPr>
          <w:szCs w:val="22"/>
        </w:rPr>
        <w:t>7</w:t>
      </w:r>
      <w:r>
        <w:rPr>
          <w:szCs w:val="22"/>
        </w:rPr>
        <w:t xml:space="preserve"> and 201</w:t>
      </w:r>
      <w:r w:rsidR="00536DA7">
        <w:rPr>
          <w:szCs w:val="22"/>
        </w:rPr>
        <w:t>3</w:t>
      </w:r>
      <w:r>
        <w:rPr>
          <w:szCs w:val="22"/>
        </w:rPr>
        <w:t>.</w:t>
      </w:r>
      <w:r>
        <w:rPr>
          <w:rStyle w:val="FootnoteReference"/>
          <w:szCs w:val="22"/>
        </w:rPr>
        <w:footnoteReference w:id="5"/>
      </w:r>
      <w:r w:rsidRPr="006A610E">
        <w:rPr>
          <w:szCs w:val="22"/>
        </w:rPr>
        <w:t xml:space="preserve"> </w:t>
      </w:r>
    </w:p>
    <w:p w14:paraId="01DDC872" w14:textId="3225C3B2" w:rsidR="00F765DA" w:rsidRDefault="00F765DA" w:rsidP="00F765DA">
      <w:pPr>
        <w:rPr>
          <w:szCs w:val="22"/>
        </w:rPr>
      </w:pPr>
      <w:r>
        <w:rPr>
          <w:szCs w:val="22"/>
        </w:rPr>
        <w:t xml:space="preserve">The Cold Hard Facts series includes both a written report and an extensive </w:t>
      </w:r>
      <w:r w:rsidRPr="00E13F35">
        <w:rPr>
          <w:szCs w:val="22"/>
        </w:rPr>
        <w:t>database</w:t>
      </w:r>
      <w:r>
        <w:rPr>
          <w:szCs w:val="22"/>
        </w:rPr>
        <w:t xml:space="preserve"> built on a stock model of all RAC equipment employed in the Australian economy. Developed over more than a decade, it is believed that the Expert Group </w:t>
      </w:r>
      <w:r w:rsidR="0074185D">
        <w:rPr>
          <w:szCs w:val="22"/>
        </w:rPr>
        <w:t>‘</w:t>
      </w:r>
      <w:r w:rsidRPr="00864B42">
        <w:rPr>
          <w:i/>
          <w:szCs w:val="22"/>
        </w:rPr>
        <w:t xml:space="preserve">RAC </w:t>
      </w:r>
      <w:r w:rsidR="009A385C" w:rsidRPr="00864B42">
        <w:rPr>
          <w:i/>
          <w:szCs w:val="22"/>
        </w:rPr>
        <w:t xml:space="preserve">Age-Cohort Mass Balance </w:t>
      </w:r>
      <w:r w:rsidRPr="00864B42">
        <w:rPr>
          <w:i/>
          <w:szCs w:val="22"/>
        </w:rPr>
        <w:t>Stock Model</w:t>
      </w:r>
      <w:r w:rsidR="0074185D">
        <w:rPr>
          <w:szCs w:val="22"/>
        </w:rPr>
        <w:t>’</w:t>
      </w:r>
      <w:r>
        <w:rPr>
          <w:szCs w:val="22"/>
        </w:rPr>
        <w:t xml:space="preserve"> is the most comprehensive and extensive stock model of RAC equipment for any economy in the world. The model has been able to provide unique insights into the changing face of this industry in Australia, benefitting policy makers and the industry.</w:t>
      </w:r>
    </w:p>
    <w:p w14:paraId="3A40FBC3" w14:textId="77777777" w:rsidR="00BE2B98" w:rsidRDefault="00BE2B98" w:rsidP="00BE2B98">
      <w:pPr>
        <w:rPr>
          <w:szCs w:val="22"/>
        </w:rPr>
      </w:pPr>
      <w:r w:rsidRPr="006A610E">
        <w:rPr>
          <w:szCs w:val="22"/>
        </w:rPr>
        <w:t>The equipment that is used in this industry is often referred to as HVAC&amp;R equipment (heating, ventilation, air conditioning and refrigeration</w:t>
      </w:r>
      <w:r>
        <w:rPr>
          <w:szCs w:val="22"/>
        </w:rPr>
        <w:t xml:space="preserve"> equipment</w:t>
      </w:r>
      <w:r w:rsidRPr="006A610E">
        <w:rPr>
          <w:szCs w:val="22"/>
        </w:rPr>
        <w:t xml:space="preserve">), and the industry itself is often referred to as the HVAC&amp;R industry. </w:t>
      </w:r>
    </w:p>
    <w:p w14:paraId="6A073A7C" w14:textId="77777777" w:rsidR="00BE2B98" w:rsidRPr="006A610E" w:rsidRDefault="00BE2B98" w:rsidP="00BE2B98">
      <w:pPr>
        <w:rPr>
          <w:szCs w:val="22"/>
        </w:rPr>
      </w:pPr>
      <w:r w:rsidRPr="006A610E">
        <w:rPr>
          <w:szCs w:val="22"/>
        </w:rPr>
        <w:t xml:space="preserve">However, this report excludes </w:t>
      </w:r>
      <w:r>
        <w:rPr>
          <w:szCs w:val="22"/>
        </w:rPr>
        <w:t xml:space="preserve">gas </w:t>
      </w:r>
      <w:r w:rsidRPr="006A610E">
        <w:rPr>
          <w:szCs w:val="22"/>
        </w:rPr>
        <w:t>heating</w:t>
      </w:r>
      <w:r>
        <w:rPr>
          <w:szCs w:val="22"/>
        </w:rPr>
        <w:t xml:space="preserve"> and </w:t>
      </w:r>
      <w:r w:rsidRPr="007740DA">
        <w:rPr>
          <w:szCs w:val="22"/>
        </w:rPr>
        <w:t>evaporative cooling</w:t>
      </w:r>
      <w:r>
        <w:rPr>
          <w:szCs w:val="22"/>
        </w:rPr>
        <w:t xml:space="preserve"> </w:t>
      </w:r>
      <w:r w:rsidRPr="006A610E">
        <w:rPr>
          <w:szCs w:val="22"/>
        </w:rPr>
        <w:t>from the analysis</w:t>
      </w:r>
      <w:r>
        <w:rPr>
          <w:szCs w:val="22"/>
        </w:rPr>
        <w:t>, and in most cases does not include fan energy in ventilation</w:t>
      </w:r>
      <w:r w:rsidRPr="006A610E">
        <w:rPr>
          <w:szCs w:val="22"/>
        </w:rPr>
        <w:t xml:space="preserve">. </w:t>
      </w:r>
      <w:r>
        <w:rPr>
          <w:szCs w:val="22"/>
        </w:rPr>
        <w:t>Notably throughout the report the industry being studied is referred to as the RAC industry, and the stock of equipment is a stock of RAC equipment, with rare exceptions.</w:t>
      </w:r>
    </w:p>
    <w:p w14:paraId="345F6221" w14:textId="7E61D899" w:rsidR="00F765DA" w:rsidRDefault="00F765DA" w:rsidP="00F765DA">
      <w:pPr>
        <w:rPr>
          <w:szCs w:val="22"/>
        </w:rPr>
      </w:pPr>
      <w:r>
        <w:rPr>
          <w:szCs w:val="22"/>
        </w:rPr>
        <w:t>This extensive</w:t>
      </w:r>
      <w:r w:rsidR="0074185D">
        <w:rPr>
          <w:szCs w:val="22"/>
        </w:rPr>
        <w:t>,</w:t>
      </w:r>
      <w:r>
        <w:rPr>
          <w:szCs w:val="22"/>
        </w:rPr>
        <w:t xml:space="preserve"> bottom</w:t>
      </w:r>
      <w:r w:rsidR="0074185D">
        <w:rPr>
          <w:szCs w:val="22"/>
        </w:rPr>
        <w:t>-</w:t>
      </w:r>
      <w:r>
        <w:rPr>
          <w:szCs w:val="22"/>
        </w:rPr>
        <w:t>up</w:t>
      </w:r>
      <w:r w:rsidR="0074185D">
        <w:rPr>
          <w:szCs w:val="22"/>
        </w:rPr>
        <w:t>,</w:t>
      </w:r>
      <w:r>
        <w:rPr>
          <w:szCs w:val="22"/>
        </w:rPr>
        <w:t xml:space="preserve"> </w:t>
      </w:r>
      <w:r w:rsidR="00536DA7">
        <w:rPr>
          <w:szCs w:val="22"/>
        </w:rPr>
        <w:t xml:space="preserve">stock </w:t>
      </w:r>
      <w:r>
        <w:rPr>
          <w:szCs w:val="22"/>
        </w:rPr>
        <w:t>model provides detailed insights into a significant portion of the economy that primarily provides one energy service – cooling</w:t>
      </w:r>
      <w:r w:rsidR="00341BB7">
        <w:rPr>
          <w:szCs w:val="22"/>
        </w:rPr>
        <w:t xml:space="preserve"> - </w:t>
      </w:r>
      <w:r>
        <w:rPr>
          <w:szCs w:val="22"/>
        </w:rPr>
        <w:t>in an extraordinary range of applications and for a great many different purposes</w:t>
      </w:r>
      <w:r w:rsidR="00864B42">
        <w:rPr>
          <w:szCs w:val="22"/>
        </w:rPr>
        <w:t>.</w:t>
      </w:r>
      <w:r w:rsidR="00341BB7">
        <w:rPr>
          <w:rStyle w:val="FootnoteReference"/>
          <w:szCs w:val="22"/>
        </w:rPr>
        <w:footnoteReference w:id="6"/>
      </w:r>
      <w:r>
        <w:rPr>
          <w:szCs w:val="22"/>
        </w:rPr>
        <w:t xml:space="preserve"> </w:t>
      </w:r>
    </w:p>
    <w:p w14:paraId="13294165" w14:textId="77777777" w:rsidR="00E87D26" w:rsidRDefault="00E87D26" w:rsidP="00E87D26">
      <w:pPr>
        <w:rPr>
          <w:lang w:val="en-US"/>
        </w:rPr>
      </w:pPr>
      <w:r>
        <w:rPr>
          <w:lang w:val="en-US"/>
        </w:rPr>
        <w:t xml:space="preserve">The RAC Stock model has been built largely from primary data, including equipment and refrigerant imports, manufacturer and sales surveys, licensing data and numerous other sources of data from various component supply lines such as suppliers of compressors, condensing units and evaporators.  </w:t>
      </w:r>
    </w:p>
    <w:p w14:paraId="30BE72B8" w14:textId="77777777" w:rsidR="00E87D26" w:rsidRDefault="00E87D26" w:rsidP="00E87D26">
      <w:pPr>
        <w:rPr>
          <w:lang w:val="en-US"/>
        </w:rPr>
      </w:pPr>
      <w:r>
        <w:rPr>
          <w:lang w:val="en-US"/>
        </w:rPr>
        <w:t>The stock model allows analysis of equipment stocks in more than 50 product categories using parameters including refrigeration capacity, average refrigerant charge, leak rates, hours of use based on location and climate zone, retirement rates, and energy use. As a result, the CHF3 model can calculate the scale of the total bank of working refrigerant employed in Australia, or the bank in any category of equipment, estimate the electricity consumed, the total value of the equipment involved and several other outputs that ultimately allow us to produce an estimate of the size of the industry and of the cooling economy.</w:t>
      </w:r>
    </w:p>
    <w:p w14:paraId="4A4465FB" w14:textId="3A10A6DD" w:rsidR="00F765DA" w:rsidRDefault="00F765DA" w:rsidP="00F765DA">
      <w:pPr>
        <w:rPr>
          <w:szCs w:val="22"/>
        </w:rPr>
      </w:pPr>
      <w:r>
        <w:rPr>
          <w:szCs w:val="22"/>
        </w:rPr>
        <w:t>Taking into consideration the</w:t>
      </w:r>
      <w:r w:rsidR="002A76BE">
        <w:rPr>
          <w:szCs w:val="22"/>
        </w:rPr>
        <w:t xml:space="preserve"> common and </w:t>
      </w:r>
      <w:r>
        <w:rPr>
          <w:szCs w:val="22"/>
        </w:rPr>
        <w:t xml:space="preserve">nation-wide extent of the services provided, the </w:t>
      </w:r>
      <w:r w:rsidR="004B201C">
        <w:rPr>
          <w:szCs w:val="22"/>
        </w:rPr>
        <w:t xml:space="preserve">wide </w:t>
      </w:r>
      <w:r>
        <w:rPr>
          <w:szCs w:val="22"/>
        </w:rPr>
        <w:t xml:space="preserve">range of RAC applications and the number of dependent industries that must have reliable, affordable cooling </w:t>
      </w:r>
      <w:r w:rsidR="00436656">
        <w:rPr>
          <w:szCs w:val="22"/>
        </w:rPr>
        <w:t xml:space="preserve">and </w:t>
      </w:r>
      <w:r w:rsidR="009F5EAE">
        <w:rPr>
          <w:szCs w:val="22"/>
        </w:rPr>
        <w:t>refrigeration</w:t>
      </w:r>
      <w:r w:rsidR="00436656">
        <w:rPr>
          <w:szCs w:val="22"/>
        </w:rPr>
        <w:t xml:space="preserve"> </w:t>
      </w:r>
      <w:r>
        <w:rPr>
          <w:szCs w:val="22"/>
        </w:rPr>
        <w:t xml:space="preserve">services to operate, the entire activity can be considered in its own right as ‘the cooling economy’. </w:t>
      </w:r>
    </w:p>
    <w:p w14:paraId="3D091E6F" w14:textId="7EBE77D9" w:rsidR="00F765DA" w:rsidRDefault="00F765DA" w:rsidP="00F765DA">
      <w:pPr>
        <w:rPr>
          <w:szCs w:val="22"/>
        </w:rPr>
      </w:pPr>
      <w:r>
        <w:rPr>
          <w:szCs w:val="22"/>
        </w:rPr>
        <w:t xml:space="preserve">Most importantly this cooling economy is reliant on a significant bank </w:t>
      </w:r>
      <w:r w:rsidR="004B201C">
        <w:rPr>
          <w:szCs w:val="22"/>
        </w:rPr>
        <w:t xml:space="preserve">of </w:t>
      </w:r>
      <w:r>
        <w:rPr>
          <w:szCs w:val="22"/>
        </w:rPr>
        <w:t xml:space="preserve">refrigerant - the thermal media that facilitates the primary energy service of moving heat from one point to another to </w:t>
      </w:r>
      <w:r w:rsidR="00844BC3">
        <w:rPr>
          <w:szCs w:val="22"/>
        </w:rPr>
        <w:t xml:space="preserve">control </w:t>
      </w:r>
      <w:r>
        <w:rPr>
          <w:szCs w:val="22"/>
        </w:rPr>
        <w:t xml:space="preserve">the temperature of an enclosed space. </w:t>
      </w:r>
    </w:p>
    <w:p w14:paraId="21E15068" w14:textId="65FC8CC3" w:rsidR="00F765DA" w:rsidRDefault="00F765DA" w:rsidP="00F765DA">
      <w:pPr>
        <w:rPr>
          <w:szCs w:val="22"/>
        </w:rPr>
      </w:pPr>
      <w:r>
        <w:rPr>
          <w:szCs w:val="22"/>
        </w:rPr>
        <w:t xml:space="preserve">As such the cooling economy is the main consumer of, and emitter of a variety of </w:t>
      </w:r>
      <w:r w:rsidR="00FE74F2">
        <w:rPr>
          <w:szCs w:val="22"/>
        </w:rPr>
        <w:t>refrigerants</w:t>
      </w:r>
      <w:r>
        <w:rPr>
          <w:szCs w:val="22"/>
        </w:rPr>
        <w:t xml:space="preserve"> that include classes of </w:t>
      </w:r>
      <w:r w:rsidR="00377530">
        <w:rPr>
          <w:szCs w:val="22"/>
        </w:rPr>
        <w:t>o</w:t>
      </w:r>
      <w:r>
        <w:rPr>
          <w:szCs w:val="22"/>
        </w:rPr>
        <w:t xml:space="preserve">zone </w:t>
      </w:r>
      <w:r w:rsidR="00377530">
        <w:rPr>
          <w:szCs w:val="22"/>
        </w:rPr>
        <w:t>d</w:t>
      </w:r>
      <w:r>
        <w:rPr>
          <w:szCs w:val="22"/>
        </w:rPr>
        <w:t xml:space="preserve">epleting </w:t>
      </w:r>
      <w:r w:rsidR="00377530">
        <w:rPr>
          <w:szCs w:val="22"/>
        </w:rPr>
        <w:t>s</w:t>
      </w:r>
      <w:r>
        <w:rPr>
          <w:szCs w:val="22"/>
        </w:rPr>
        <w:t xml:space="preserve">ubstances (ODS) and </w:t>
      </w:r>
      <w:r w:rsidR="00377530">
        <w:rPr>
          <w:szCs w:val="22"/>
        </w:rPr>
        <w:t>s</w:t>
      </w:r>
      <w:r>
        <w:rPr>
          <w:szCs w:val="22"/>
        </w:rPr>
        <w:t xml:space="preserve">ynthetic </w:t>
      </w:r>
      <w:r w:rsidR="00377530">
        <w:rPr>
          <w:szCs w:val="22"/>
        </w:rPr>
        <w:t>g</w:t>
      </w:r>
      <w:r>
        <w:rPr>
          <w:szCs w:val="22"/>
        </w:rPr>
        <w:t xml:space="preserve">reenhouse </w:t>
      </w:r>
      <w:r w:rsidR="00377530">
        <w:rPr>
          <w:szCs w:val="22"/>
        </w:rPr>
        <w:t>g</w:t>
      </w:r>
      <w:r>
        <w:rPr>
          <w:szCs w:val="22"/>
        </w:rPr>
        <w:t>ases (SGG</w:t>
      </w:r>
      <w:r w:rsidR="00536DA7">
        <w:rPr>
          <w:szCs w:val="22"/>
        </w:rPr>
        <w:t>s</w:t>
      </w:r>
      <w:r>
        <w:rPr>
          <w:szCs w:val="22"/>
        </w:rPr>
        <w:t>) that are the su</w:t>
      </w:r>
      <w:r w:rsidR="009F5EAE">
        <w:rPr>
          <w:szCs w:val="22"/>
        </w:rPr>
        <w:t>bject of international treaties</w:t>
      </w:r>
      <w:r>
        <w:rPr>
          <w:szCs w:val="22"/>
        </w:rPr>
        <w:t xml:space="preserve"> and are regulated</w:t>
      </w:r>
      <w:r w:rsidR="00297632">
        <w:rPr>
          <w:szCs w:val="22"/>
        </w:rPr>
        <w:t xml:space="preserve"> </w:t>
      </w:r>
      <w:r w:rsidR="00377530">
        <w:rPr>
          <w:szCs w:val="22"/>
        </w:rPr>
        <w:t>in Australia</w:t>
      </w:r>
      <w:r>
        <w:rPr>
          <w:szCs w:val="22"/>
        </w:rPr>
        <w:t xml:space="preserve">. </w:t>
      </w:r>
    </w:p>
    <w:p w14:paraId="5BD67594" w14:textId="1156E71E" w:rsidR="00F765DA" w:rsidRDefault="00F765DA" w:rsidP="00F765DA">
      <w:pPr>
        <w:rPr>
          <w:szCs w:val="22"/>
        </w:rPr>
      </w:pPr>
      <w:r>
        <w:rPr>
          <w:szCs w:val="22"/>
        </w:rPr>
        <w:lastRenderedPageBreak/>
        <w:t xml:space="preserve">CHF3 reveals significant changes underway in the cooling economy, </w:t>
      </w:r>
      <w:r w:rsidR="00536DA7">
        <w:rPr>
          <w:szCs w:val="22"/>
        </w:rPr>
        <w:t xml:space="preserve">and </w:t>
      </w:r>
      <w:r>
        <w:rPr>
          <w:szCs w:val="22"/>
        </w:rPr>
        <w:t>throughout the RAC industry. The changes are evident in the changing shape of th</w:t>
      </w:r>
      <w:r w:rsidR="00536DA7">
        <w:rPr>
          <w:szCs w:val="22"/>
        </w:rPr>
        <w:t>e</w:t>
      </w:r>
      <w:r>
        <w:rPr>
          <w:szCs w:val="22"/>
        </w:rPr>
        <w:t xml:space="preserve"> bank of working </w:t>
      </w:r>
      <w:r w:rsidR="00FE74F2">
        <w:rPr>
          <w:szCs w:val="22"/>
        </w:rPr>
        <w:t>refrigerants</w:t>
      </w:r>
      <w:r>
        <w:rPr>
          <w:szCs w:val="22"/>
        </w:rPr>
        <w:t xml:space="preserve">. The report includes projections out to 2030 of the changing constituents of the bank of </w:t>
      </w:r>
      <w:r w:rsidR="00484352">
        <w:rPr>
          <w:szCs w:val="22"/>
        </w:rPr>
        <w:t>refrigerant</w:t>
      </w:r>
      <w:r w:rsidR="00417595">
        <w:rPr>
          <w:szCs w:val="22"/>
        </w:rPr>
        <w:t>,</w:t>
      </w:r>
      <w:r>
        <w:rPr>
          <w:szCs w:val="22"/>
        </w:rPr>
        <w:t xml:space="preserve"> </w:t>
      </w:r>
      <w:r w:rsidR="00536DA7">
        <w:rPr>
          <w:szCs w:val="22"/>
        </w:rPr>
        <w:t>shaped</w:t>
      </w:r>
      <w:r>
        <w:rPr>
          <w:szCs w:val="22"/>
        </w:rPr>
        <w:t xml:space="preserve"> by technological changes, market forces and regulatory drivers.</w:t>
      </w:r>
    </w:p>
    <w:p w14:paraId="1F2CF68A" w14:textId="43A4D8A8" w:rsidR="00F765DA" w:rsidRDefault="00F765DA" w:rsidP="00F765DA">
      <w:pPr>
        <w:rPr>
          <w:szCs w:val="22"/>
        </w:rPr>
      </w:pPr>
      <w:r>
        <w:rPr>
          <w:szCs w:val="22"/>
        </w:rPr>
        <w:t>CHF</w:t>
      </w:r>
      <w:r w:rsidRPr="006A610E">
        <w:rPr>
          <w:szCs w:val="22"/>
        </w:rPr>
        <w:t xml:space="preserve">1 was </w:t>
      </w:r>
      <w:r w:rsidRPr="00B61CF6">
        <w:rPr>
          <w:szCs w:val="22"/>
        </w:rPr>
        <w:t>downloaded 45 times a month on average</w:t>
      </w:r>
      <w:r>
        <w:rPr>
          <w:szCs w:val="22"/>
        </w:rPr>
        <w:t xml:space="preserve"> until the publication of the CHF2</w:t>
      </w:r>
      <w:r w:rsidRPr="006A610E">
        <w:rPr>
          <w:szCs w:val="22"/>
        </w:rPr>
        <w:t xml:space="preserve"> report and database </w:t>
      </w:r>
      <w:r>
        <w:rPr>
          <w:szCs w:val="22"/>
        </w:rPr>
        <w:t xml:space="preserve">in 2013. </w:t>
      </w:r>
      <w:r w:rsidR="00EB16FF">
        <w:rPr>
          <w:szCs w:val="22"/>
        </w:rPr>
        <w:t>CHF2</w:t>
      </w:r>
      <w:r>
        <w:rPr>
          <w:szCs w:val="22"/>
        </w:rPr>
        <w:t xml:space="preserve"> </w:t>
      </w:r>
      <w:r w:rsidRPr="006A610E">
        <w:rPr>
          <w:szCs w:val="22"/>
        </w:rPr>
        <w:t>has</w:t>
      </w:r>
      <w:r>
        <w:rPr>
          <w:szCs w:val="22"/>
        </w:rPr>
        <w:t xml:space="preserve"> </w:t>
      </w:r>
      <w:r w:rsidRPr="006A610E">
        <w:rPr>
          <w:szCs w:val="22"/>
        </w:rPr>
        <w:t xml:space="preserve">been available for download from the </w:t>
      </w:r>
      <w:r>
        <w:rPr>
          <w:szCs w:val="22"/>
        </w:rPr>
        <w:t xml:space="preserve">Australian Government’s Department of the Environment and Energy’s website for </w:t>
      </w:r>
      <w:r w:rsidR="003C67E6">
        <w:rPr>
          <w:szCs w:val="22"/>
        </w:rPr>
        <w:t xml:space="preserve">around </w:t>
      </w:r>
      <w:r w:rsidRPr="006A610E">
        <w:rPr>
          <w:szCs w:val="22"/>
        </w:rPr>
        <w:t>f</w:t>
      </w:r>
      <w:r w:rsidR="003C67E6">
        <w:rPr>
          <w:szCs w:val="22"/>
        </w:rPr>
        <w:t xml:space="preserve">ive </w:t>
      </w:r>
      <w:r w:rsidRPr="006A610E">
        <w:rPr>
          <w:szCs w:val="22"/>
        </w:rPr>
        <w:t>years</w:t>
      </w:r>
      <w:r>
        <w:rPr>
          <w:szCs w:val="22"/>
        </w:rPr>
        <w:t xml:space="preserve"> and has been </w:t>
      </w:r>
      <w:r w:rsidR="003C67E6">
        <w:rPr>
          <w:szCs w:val="22"/>
        </w:rPr>
        <w:t>viewed around 4,000</w:t>
      </w:r>
      <w:r>
        <w:rPr>
          <w:szCs w:val="22"/>
        </w:rPr>
        <w:t xml:space="preserve"> times over that period</w:t>
      </w:r>
      <w:r w:rsidR="0002575C">
        <w:rPr>
          <w:szCs w:val="22"/>
        </w:rPr>
        <w:t xml:space="preserve"> equating to more than 60 times per month on average</w:t>
      </w:r>
      <w:r w:rsidRPr="00B61CF6">
        <w:rPr>
          <w:szCs w:val="22"/>
        </w:rPr>
        <w:t>. To the best of our knowledge there is</w:t>
      </w:r>
      <w:r>
        <w:rPr>
          <w:szCs w:val="22"/>
        </w:rPr>
        <w:t xml:space="preserve"> still</w:t>
      </w:r>
      <w:r w:rsidRPr="00B61CF6">
        <w:rPr>
          <w:szCs w:val="22"/>
        </w:rPr>
        <w:t xml:space="preserve"> no similar study of the RAC industry anywhere else in the world.</w:t>
      </w:r>
      <w:r w:rsidRPr="006A610E">
        <w:rPr>
          <w:szCs w:val="22"/>
        </w:rPr>
        <w:t xml:space="preserve"> </w:t>
      </w:r>
    </w:p>
    <w:p w14:paraId="1AFABD10" w14:textId="622AEA84" w:rsidR="00F765DA" w:rsidRPr="006A610E" w:rsidRDefault="00F765DA" w:rsidP="00F765DA">
      <w:pPr>
        <w:rPr>
          <w:szCs w:val="22"/>
        </w:rPr>
      </w:pPr>
      <w:r>
        <w:rPr>
          <w:szCs w:val="22"/>
        </w:rPr>
        <w:t xml:space="preserve">In the course of the last decade </w:t>
      </w:r>
      <w:r w:rsidRPr="006A610E">
        <w:rPr>
          <w:szCs w:val="22"/>
        </w:rPr>
        <w:t>a number of</w:t>
      </w:r>
      <w:r>
        <w:rPr>
          <w:szCs w:val="22"/>
        </w:rPr>
        <w:t xml:space="preserve"> other </w:t>
      </w:r>
      <w:r w:rsidRPr="006A610E">
        <w:rPr>
          <w:szCs w:val="22"/>
        </w:rPr>
        <w:t xml:space="preserve">research projects </w:t>
      </w:r>
      <w:r>
        <w:rPr>
          <w:szCs w:val="22"/>
        </w:rPr>
        <w:t>conducted by the authors into various sectors</w:t>
      </w:r>
      <w:r w:rsidRPr="006A610E">
        <w:rPr>
          <w:szCs w:val="22"/>
        </w:rPr>
        <w:t xml:space="preserve"> of the </w:t>
      </w:r>
      <w:r>
        <w:rPr>
          <w:szCs w:val="22"/>
        </w:rPr>
        <w:t xml:space="preserve">RAC </w:t>
      </w:r>
      <w:r w:rsidRPr="006A610E">
        <w:rPr>
          <w:szCs w:val="22"/>
        </w:rPr>
        <w:t>industry</w:t>
      </w:r>
      <w:r>
        <w:rPr>
          <w:szCs w:val="22"/>
        </w:rPr>
        <w:t xml:space="preserve"> </w:t>
      </w:r>
      <w:r w:rsidRPr="006A610E">
        <w:rPr>
          <w:szCs w:val="22"/>
        </w:rPr>
        <w:t xml:space="preserve">have </w:t>
      </w:r>
      <w:r>
        <w:rPr>
          <w:szCs w:val="22"/>
        </w:rPr>
        <w:t xml:space="preserve">helped expand the </w:t>
      </w:r>
      <w:r w:rsidR="009A385C">
        <w:rPr>
          <w:szCs w:val="22"/>
        </w:rPr>
        <w:t>st</w:t>
      </w:r>
      <w:r>
        <w:rPr>
          <w:szCs w:val="22"/>
        </w:rPr>
        <w:t xml:space="preserve">ock </w:t>
      </w:r>
      <w:r w:rsidR="009A385C">
        <w:rPr>
          <w:szCs w:val="22"/>
        </w:rPr>
        <w:t>m</w:t>
      </w:r>
      <w:r>
        <w:rPr>
          <w:szCs w:val="22"/>
        </w:rPr>
        <w:t xml:space="preserve">odel and </w:t>
      </w:r>
      <w:r w:rsidRPr="006A610E">
        <w:rPr>
          <w:szCs w:val="22"/>
        </w:rPr>
        <w:t>provided further detail and insight</w:t>
      </w:r>
      <w:r>
        <w:rPr>
          <w:szCs w:val="22"/>
        </w:rPr>
        <w:t>s</w:t>
      </w:r>
      <w:r w:rsidRPr="006A610E">
        <w:rPr>
          <w:szCs w:val="22"/>
        </w:rPr>
        <w:t xml:space="preserve"> into some of the many </w:t>
      </w:r>
      <w:r>
        <w:rPr>
          <w:szCs w:val="22"/>
        </w:rPr>
        <w:t xml:space="preserve">specialised </w:t>
      </w:r>
      <w:r w:rsidRPr="006A610E">
        <w:rPr>
          <w:szCs w:val="22"/>
        </w:rPr>
        <w:t xml:space="preserve">segments within this sprawling and varied industry. </w:t>
      </w:r>
    </w:p>
    <w:p w14:paraId="103632C2" w14:textId="77777777" w:rsidR="00F765DA" w:rsidRDefault="00F765DA" w:rsidP="00F765DA">
      <w:pPr>
        <w:rPr>
          <w:rFonts w:cs="Times New Roman"/>
          <w:szCs w:val="22"/>
        </w:rPr>
      </w:pPr>
    </w:p>
    <w:p w14:paraId="0A45E684" w14:textId="77777777" w:rsidR="00F765DA" w:rsidRPr="00B54690" w:rsidRDefault="00F765DA" w:rsidP="00F765DA">
      <w:pPr>
        <w:pStyle w:val="Heading2"/>
      </w:pPr>
      <w:bookmarkStart w:id="6" w:name="_Toc494661731"/>
      <w:bookmarkStart w:id="7" w:name="_Toc525141258"/>
      <w:r w:rsidRPr="00B54690">
        <w:t>Structure of Cold Hard Facts 3</w:t>
      </w:r>
      <w:bookmarkEnd w:id="6"/>
      <w:bookmarkEnd w:id="7"/>
      <w:r w:rsidRPr="00B54690">
        <w:t xml:space="preserve"> </w:t>
      </w:r>
    </w:p>
    <w:p w14:paraId="3D0746B1" w14:textId="71C4C469" w:rsidR="00063F46" w:rsidRPr="0095632E" w:rsidRDefault="00063F46" w:rsidP="00063F46">
      <w:r w:rsidRPr="0095632E">
        <w:t xml:space="preserve">For readers who are not </w:t>
      </w:r>
      <w:r>
        <w:t>familiar with</w:t>
      </w:r>
      <w:r w:rsidRPr="0095632E">
        <w:t xml:space="preserve"> the RAC industry, it may be effective to take </w:t>
      </w:r>
      <w:r w:rsidR="007165E8">
        <w:t>a</w:t>
      </w:r>
      <w:r w:rsidR="007165E8" w:rsidRPr="0095632E">
        <w:t xml:space="preserve"> </w:t>
      </w:r>
      <w:r w:rsidRPr="0095632E">
        <w:t>few minutes to read the glossary which explain</w:t>
      </w:r>
      <w:r w:rsidR="007165E8">
        <w:t>s</w:t>
      </w:r>
      <w:r w:rsidRPr="0095632E">
        <w:t xml:space="preserve"> many of the </w:t>
      </w:r>
      <w:r>
        <w:t xml:space="preserve">key </w:t>
      </w:r>
      <w:r w:rsidRPr="0095632E">
        <w:t xml:space="preserve">terms commonly </w:t>
      </w:r>
      <w:r>
        <w:t>used in the</w:t>
      </w:r>
      <w:r w:rsidRPr="0095632E">
        <w:t xml:space="preserve"> industry. </w:t>
      </w:r>
    </w:p>
    <w:p w14:paraId="5B2FBEC7" w14:textId="343E071A" w:rsidR="00063F46" w:rsidRDefault="00063F46" w:rsidP="00063F46">
      <w:r>
        <w:t xml:space="preserve">The structure of this report mirrors, to some extent, the operation of the </w:t>
      </w:r>
      <w:r w:rsidR="009A385C">
        <w:t>stock model</w:t>
      </w:r>
      <w:r>
        <w:t xml:space="preserve">, examining the populations and attributes of the array of equipment involved in delivering refrigeration and air conditioning services, and then exploring the </w:t>
      </w:r>
      <w:r w:rsidR="006175F1">
        <w:t xml:space="preserve">mostly </w:t>
      </w:r>
      <w:r>
        <w:t>imported</w:t>
      </w:r>
      <w:r w:rsidR="006175F1">
        <w:t xml:space="preserve">, and </w:t>
      </w:r>
      <w:r w:rsidR="00417595">
        <w:t xml:space="preserve">some </w:t>
      </w:r>
      <w:r w:rsidR="006175F1">
        <w:t>locally manufactured</w:t>
      </w:r>
      <w:r w:rsidR="00417595">
        <w:t>,</w:t>
      </w:r>
      <w:r>
        <w:t xml:space="preserve"> inputs to this ever</w:t>
      </w:r>
      <w:r w:rsidR="00CC5113">
        <w:t>-</w:t>
      </w:r>
      <w:r>
        <w:t xml:space="preserve">growing stock. </w:t>
      </w:r>
    </w:p>
    <w:p w14:paraId="51B6C743" w14:textId="136392B9" w:rsidR="00063F46" w:rsidRDefault="00063F46" w:rsidP="00063F46">
      <w:r>
        <w:t xml:space="preserve">This data underlies the next section that examines the </w:t>
      </w:r>
      <w:r w:rsidR="00536DA7">
        <w:t xml:space="preserve">stock of equipment </w:t>
      </w:r>
      <w:r>
        <w:t xml:space="preserve">and the changing characteristics of that </w:t>
      </w:r>
      <w:r w:rsidR="00536DA7">
        <w:t>stock</w:t>
      </w:r>
      <w:r>
        <w:t xml:space="preserve">. The report then examines </w:t>
      </w:r>
      <w:r w:rsidR="00536DA7">
        <w:t>the bank of refrigerant employed in th</w:t>
      </w:r>
      <w:r w:rsidR="000974DA">
        <w:t>e</w:t>
      </w:r>
      <w:r w:rsidR="00536DA7">
        <w:t xml:space="preserve"> stock of equipment and </w:t>
      </w:r>
      <w:r>
        <w:t>the major environmental impacts of the industry</w:t>
      </w:r>
      <w:r w:rsidR="00536DA7">
        <w:t xml:space="preserve">. </w:t>
      </w:r>
      <w:r w:rsidR="009F5EAE">
        <w:t>Finally,</w:t>
      </w:r>
      <w:r w:rsidR="00536DA7">
        <w:t xml:space="preserve"> the outputs of the model are incorporated in a process of estimating the economic value of the RAC industry in Australia</w:t>
      </w:r>
      <w:r>
        <w:t xml:space="preserve">. </w:t>
      </w:r>
    </w:p>
    <w:p w14:paraId="6C072F8D" w14:textId="7557CB2E" w:rsidR="00063F46" w:rsidRDefault="00063F46" w:rsidP="00063F46">
      <w:r>
        <w:t xml:space="preserve">Throughout the report there are comparisons made with </w:t>
      </w:r>
      <w:r w:rsidR="00ED69E3">
        <w:t xml:space="preserve">some of the main </w:t>
      </w:r>
      <w:r>
        <w:t>data points reported in prior editions of Cold Hard Facts, and these comparative measures are often summarised in tables that compare at least the 2012 and 2016 values.</w:t>
      </w:r>
    </w:p>
    <w:p w14:paraId="35FF9F85" w14:textId="6DD15230" w:rsidR="00063F46" w:rsidRDefault="009F5EAE" w:rsidP="00063F46">
      <w:r>
        <w:t>Appendices</w:t>
      </w:r>
      <w:r w:rsidR="00063F46">
        <w:t xml:space="preserve"> to the report explain the main elements of the methodology used in the </w:t>
      </w:r>
      <w:r w:rsidR="007A1335">
        <w:t xml:space="preserve">CHF3 RAC </w:t>
      </w:r>
      <w:r w:rsidR="00417595">
        <w:t>s</w:t>
      </w:r>
      <w:r w:rsidR="007A1335">
        <w:t>tock model</w:t>
      </w:r>
      <w:r w:rsidR="00063F46">
        <w:t xml:space="preserve"> </w:t>
      </w:r>
      <w:r w:rsidR="007D3896">
        <w:t>as well as outputs and projections</w:t>
      </w:r>
      <w:r w:rsidR="00ED69E3">
        <w:t xml:space="preserve"> that are the product of the model, which is constructed</w:t>
      </w:r>
      <w:r w:rsidR="007D3896">
        <w:t xml:space="preserve"> in a separate Excel </w:t>
      </w:r>
      <w:r w:rsidR="00ED69E3">
        <w:t>work book</w:t>
      </w:r>
      <w:r w:rsidR="007D3896">
        <w:t>.</w:t>
      </w:r>
      <w:r w:rsidR="00063F46">
        <w:t xml:space="preserve"> </w:t>
      </w:r>
    </w:p>
    <w:p w14:paraId="2A978862" w14:textId="77777777" w:rsidR="00063F46" w:rsidRPr="0095632E" w:rsidRDefault="00063F46" w:rsidP="00063F46">
      <w:r w:rsidRPr="0095632E">
        <w:t>Following on from the</w:t>
      </w:r>
      <w:r w:rsidRPr="00BF324E">
        <w:rPr>
          <w:i/>
        </w:rPr>
        <w:t xml:space="preserve"> </w:t>
      </w:r>
      <w:r w:rsidRPr="00AC4121">
        <w:rPr>
          <w:i/>
        </w:rPr>
        <w:t>Executive Summary</w:t>
      </w:r>
      <w:r>
        <w:rPr>
          <w:i/>
        </w:rPr>
        <w:t xml:space="preserve"> </w:t>
      </w:r>
      <w:r w:rsidRPr="00BF324E">
        <w:t xml:space="preserve">and </w:t>
      </w:r>
      <w:r w:rsidRPr="00AC4121">
        <w:rPr>
          <w:i/>
        </w:rPr>
        <w:t>Introduction</w:t>
      </w:r>
      <w:r>
        <w:t>:</w:t>
      </w:r>
    </w:p>
    <w:p w14:paraId="1257F3FE" w14:textId="77777777" w:rsidR="00063F46" w:rsidRPr="0095632E" w:rsidRDefault="00063F46" w:rsidP="00063F46">
      <w:r w:rsidRPr="00AC4121">
        <w:rPr>
          <w:i/>
        </w:rPr>
        <w:t>Chapter 3, ‘Taxonomy of technology’</w:t>
      </w:r>
      <w:r w:rsidRPr="0095632E">
        <w:t xml:space="preserve"> </w:t>
      </w:r>
      <w:r>
        <w:t xml:space="preserve">is a brief explanation of </w:t>
      </w:r>
      <w:r w:rsidRPr="0095632E">
        <w:t xml:space="preserve">the way the many applications of refrigeration and air conditioning are </w:t>
      </w:r>
      <w:r>
        <w:t>categorised</w:t>
      </w:r>
      <w:r w:rsidRPr="0095632E">
        <w:t xml:space="preserve">. </w:t>
      </w:r>
    </w:p>
    <w:p w14:paraId="53380953" w14:textId="24AFE256" w:rsidR="00063F46" w:rsidRPr="0095632E" w:rsidRDefault="00063F46" w:rsidP="00063F46">
      <w:r w:rsidRPr="00AC4121">
        <w:rPr>
          <w:i/>
        </w:rPr>
        <w:t>Chapter 4, ‘The stock of equipment’</w:t>
      </w:r>
      <w:r w:rsidRPr="0095632E">
        <w:t xml:space="preserve">, employs the taxonomy </w:t>
      </w:r>
      <w:r>
        <w:t xml:space="preserve">of the technology </w:t>
      </w:r>
      <w:r w:rsidRPr="0095632E">
        <w:t xml:space="preserve">to describe the </w:t>
      </w:r>
      <w:r>
        <w:t xml:space="preserve">variety </w:t>
      </w:r>
      <w:r w:rsidRPr="0095632E">
        <w:t>of equipment that delivers RAC services</w:t>
      </w:r>
      <w:r>
        <w:t>, describing all of the major equipment applications, the format and design features of the equipment in each of the major applications, and the refrigerant predominantly used in each application</w:t>
      </w:r>
      <w:r w:rsidRPr="0095632E">
        <w:t xml:space="preserve">. </w:t>
      </w:r>
    </w:p>
    <w:p w14:paraId="27CA9BE1" w14:textId="0A8AD031" w:rsidR="00063F46" w:rsidRDefault="00063F46" w:rsidP="00063F46">
      <w:r>
        <w:rPr>
          <w:i/>
        </w:rPr>
        <w:t xml:space="preserve">Chapter 5, ‘The </w:t>
      </w:r>
      <w:r w:rsidR="00FF2937">
        <w:rPr>
          <w:i/>
        </w:rPr>
        <w:t>r</w:t>
      </w:r>
      <w:r w:rsidR="007D3896">
        <w:rPr>
          <w:i/>
        </w:rPr>
        <w:t xml:space="preserve">efrigerant </w:t>
      </w:r>
      <w:r w:rsidR="00FF2937">
        <w:rPr>
          <w:i/>
        </w:rPr>
        <w:t>b</w:t>
      </w:r>
      <w:r>
        <w:rPr>
          <w:i/>
        </w:rPr>
        <w:t>ank</w:t>
      </w:r>
      <w:r w:rsidR="007D3896">
        <w:rPr>
          <w:i/>
        </w:rPr>
        <w:t>’</w:t>
      </w:r>
      <w:r w:rsidRPr="0095632E">
        <w:t xml:space="preserve">, explores the dimensions and characteristics of the </w:t>
      </w:r>
      <w:r>
        <w:t xml:space="preserve">bank of </w:t>
      </w:r>
      <w:r w:rsidRPr="0095632E">
        <w:t>refrigerant</w:t>
      </w:r>
      <w:r>
        <w:t xml:space="preserve">, examining the economic and technological forces that drive the growth in the bank of refrigerant, trends observed in the make-up of the bank, and detailing the </w:t>
      </w:r>
      <w:r w:rsidR="006E2DED">
        <w:t xml:space="preserve">refrigerant </w:t>
      </w:r>
      <w:r>
        <w:t>types most commonly used in the major equipment types.</w:t>
      </w:r>
    </w:p>
    <w:p w14:paraId="7670D2E8" w14:textId="124AE311" w:rsidR="007D3896" w:rsidRPr="0095632E" w:rsidRDefault="009F5EAE" w:rsidP="00063F46">
      <w:r>
        <w:t>Chapter</w:t>
      </w:r>
      <w:r w:rsidR="007D3896">
        <w:t xml:space="preserve"> 6, </w:t>
      </w:r>
      <w:r w:rsidR="007D3896" w:rsidRPr="007D3896">
        <w:rPr>
          <w:i/>
        </w:rPr>
        <w:t>‘Natural refrigerants’</w:t>
      </w:r>
      <w:r w:rsidR="007D3896">
        <w:t xml:space="preserve">, provides </w:t>
      </w:r>
      <w:r w:rsidR="006E2DED">
        <w:t xml:space="preserve">a </w:t>
      </w:r>
      <w:r w:rsidR="00250D23">
        <w:t xml:space="preserve">summary of the technologies that operate on </w:t>
      </w:r>
      <w:r w:rsidR="007D3896">
        <w:t>natural refrigerant</w:t>
      </w:r>
      <w:r w:rsidR="00250D23">
        <w:t xml:space="preserve">s, and an assessment of </w:t>
      </w:r>
      <w:r w:rsidR="007D3896">
        <w:t xml:space="preserve">bank and annual consumption </w:t>
      </w:r>
      <w:r w:rsidR="00250D23">
        <w:t>for the main species</w:t>
      </w:r>
      <w:r w:rsidR="00417595">
        <w:t>;</w:t>
      </w:r>
      <w:r w:rsidR="00250D23">
        <w:t xml:space="preserve"> hydrocarbon, carbon dioxide and ammonia.</w:t>
      </w:r>
    </w:p>
    <w:p w14:paraId="22CAE1B4" w14:textId="5DF5BEBE" w:rsidR="00063F46" w:rsidRDefault="00063F46" w:rsidP="00063F46">
      <w:pPr>
        <w:rPr>
          <w:i/>
        </w:rPr>
      </w:pPr>
      <w:r>
        <w:rPr>
          <w:i/>
        </w:rPr>
        <w:lastRenderedPageBreak/>
        <w:t xml:space="preserve">Chapter </w:t>
      </w:r>
      <w:r w:rsidR="007D3896">
        <w:rPr>
          <w:i/>
        </w:rPr>
        <w:t>7</w:t>
      </w:r>
      <w:r>
        <w:rPr>
          <w:i/>
        </w:rPr>
        <w:t xml:space="preserve">, ‘The </w:t>
      </w:r>
      <w:r w:rsidR="00417595">
        <w:rPr>
          <w:i/>
        </w:rPr>
        <w:t>f</w:t>
      </w:r>
      <w:r>
        <w:rPr>
          <w:i/>
        </w:rPr>
        <w:t xml:space="preserve">uture </w:t>
      </w:r>
      <w:r w:rsidR="00FF2937">
        <w:rPr>
          <w:i/>
        </w:rPr>
        <w:t>b</w:t>
      </w:r>
      <w:r>
        <w:rPr>
          <w:i/>
        </w:rPr>
        <w:t xml:space="preserve">ank – </w:t>
      </w:r>
      <w:r w:rsidR="00FF2937">
        <w:rPr>
          <w:i/>
        </w:rPr>
        <w:t>p</w:t>
      </w:r>
      <w:r>
        <w:rPr>
          <w:i/>
        </w:rPr>
        <w:t xml:space="preserve">rojections of </w:t>
      </w:r>
      <w:r w:rsidR="00FF2937">
        <w:rPr>
          <w:i/>
        </w:rPr>
        <w:t>the b</w:t>
      </w:r>
      <w:r>
        <w:rPr>
          <w:i/>
        </w:rPr>
        <w:t xml:space="preserve">ank to 2030’, </w:t>
      </w:r>
      <w:r w:rsidRPr="005005E9">
        <w:t>presents</w:t>
      </w:r>
      <w:r>
        <w:t xml:space="preserve"> a series of projections of the changing demands for refrigerant and the impacts those changes have on the </w:t>
      </w:r>
      <w:r w:rsidR="009B5CD9">
        <w:t xml:space="preserve">refrigerant </w:t>
      </w:r>
      <w:r>
        <w:t>bank</w:t>
      </w:r>
      <w:r w:rsidR="009B5CD9">
        <w:t>.</w:t>
      </w:r>
    </w:p>
    <w:p w14:paraId="57785970" w14:textId="6C08B9F2" w:rsidR="00063F46" w:rsidRPr="0095632E" w:rsidRDefault="00063F46" w:rsidP="00063F46">
      <w:r>
        <w:rPr>
          <w:i/>
        </w:rPr>
        <w:t>Chapter 8</w:t>
      </w:r>
      <w:r w:rsidRPr="00AC4121">
        <w:rPr>
          <w:i/>
        </w:rPr>
        <w:t>, ‘</w:t>
      </w:r>
      <w:r w:rsidR="00ED69E3">
        <w:rPr>
          <w:i/>
        </w:rPr>
        <w:t xml:space="preserve">Refrigerant </w:t>
      </w:r>
      <w:r w:rsidR="00FF2937">
        <w:rPr>
          <w:i/>
        </w:rPr>
        <w:t>u</w:t>
      </w:r>
      <w:r w:rsidR="00ED69E3">
        <w:rPr>
          <w:i/>
        </w:rPr>
        <w:t xml:space="preserve">se and </w:t>
      </w:r>
      <w:r w:rsidR="00FF2937">
        <w:rPr>
          <w:i/>
        </w:rPr>
        <w:t>d</w:t>
      </w:r>
      <w:r w:rsidR="00ED69E3">
        <w:rPr>
          <w:i/>
        </w:rPr>
        <w:t xml:space="preserve">irect </w:t>
      </w:r>
      <w:r w:rsidR="00FF2937">
        <w:rPr>
          <w:i/>
        </w:rPr>
        <w:t>e</w:t>
      </w:r>
      <w:r w:rsidR="00ED69E3">
        <w:rPr>
          <w:i/>
        </w:rPr>
        <w:t xml:space="preserve">missions’, </w:t>
      </w:r>
      <w:r w:rsidR="00ED69E3">
        <w:t xml:space="preserve">examines the annual </w:t>
      </w:r>
      <w:r w:rsidR="009B5CD9">
        <w:t>usage</w:t>
      </w:r>
      <w:r w:rsidR="00ED69E3">
        <w:t xml:space="preserve"> of refrigerant, rates of losses to air of refrigerants from the supply lines and from operating equipment, and looks at the state of the banks in individual classes of equipment depending on the rate at which they are serviced. </w:t>
      </w:r>
      <w:r w:rsidRPr="0095632E">
        <w:t xml:space="preserve"> </w:t>
      </w:r>
    </w:p>
    <w:p w14:paraId="3F0BF188" w14:textId="249C14D1" w:rsidR="00063F46" w:rsidRPr="0095632E" w:rsidRDefault="00063F46" w:rsidP="00063F46">
      <w:r>
        <w:rPr>
          <w:i/>
        </w:rPr>
        <w:t>Chapter 9</w:t>
      </w:r>
      <w:r w:rsidRPr="00AC4121">
        <w:rPr>
          <w:i/>
        </w:rPr>
        <w:t xml:space="preserve">, ‘Energy and </w:t>
      </w:r>
      <w:r w:rsidR="00FF2937">
        <w:rPr>
          <w:i/>
        </w:rPr>
        <w:t>i</w:t>
      </w:r>
      <w:r w:rsidR="00484352">
        <w:rPr>
          <w:i/>
        </w:rPr>
        <w:t xml:space="preserve">ndirect </w:t>
      </w:r>
      <w:r w:rsidR="00FF2937">
        <w:rPr>
          <w:i/>
        </w:rPr>
        <w:t>e</w:t>
      </w:r>
      <w:r w:rsidRPr="00AC4121">
        <w:rPr>
          <w:i/>
        </w:rPr>
        <w:t>missions’</w:t>
      </w:r>
      <w:r w:rsidRPr="0095632E">
        <w:t>, analyses the energy used to deliver RAC services and the greenhouse emissions that result</w:t>
      </w:r>
      <w:r>
        <w:t xml:space="preserve"> from it.</w:t>
      </w:r>
    </w:p>
    <w:p w14:paraId="483DD210" w14:textId="0A619E34" w:rsidR="00063F46" w:rsidRDefault="00063F46" w:rsidP="00063F46">
      <w:r>
        <w:rPr>
          <w:i/>
        </w:rPr>
        <w:t>Chapter 10, ‘</w:t>
      </w:r>
      <w:r w:rsidR="00ED69E3" w:rsidRPr="00AC4121">
        <w:rPr>
          <w:i/>
        </w:rPr>
        <w:t xml:space="preserve">Economics and </w:t>
      </w:r>
      <w:r w:rsidR="00FF2937">
        <w:rPr>
          <w:i/>
        </w:rPr>
        <w:t>e</w:t>
      </w:r>
      <w:r w:rsidR="00ED69E3" w:rsidRPr="00AC4121">
        <w:rPr>
          <w:i/>
        </w:rPr>
        <w:t>mployment’</w:t>
      </w:r>
      <w:r w:rsidR="00ED69E3" w:rsidRPr="0095632E">
        <w:t>, presents estimates of direct spending and employment in the industr</w:t>
      </w:r>
      <w:r w:rsidR="00ED69E3">
        <w:t xml:space="preserve">y and touches on </w:t>
      </w:r>
      <w:r w:rsidR="00ED69E3" w:rsidRPr="007D3896">
        <w:t>some of the elements of the wider economy that are effectively dependent on the delivery of RAC services</w:t>
      </w:r>
      <w:r w:rsidR="00ED69E3">
        <w:t>.</w:t>
      </w:r>
      <w:r w:rsidRPr="0095632E">
        <w:t xml:space="preserve">  </w:t>
      </w:r>
    </w:p>
    <w:p w14:paraId="36A913FA" w14:textId="2E96077F" w:rsidR="00F765DA" w:rsidRDefault="00F765DA" w:rsidP="00F765DA">
      <w:pPr>
        <w:rPr>
          <w:rFonts w:cs="Times New Roman"/>
          <w:szCs w:val="22"/>
        </w:rPr>
      </w:pPr>
    </w:p>
    <w:p w14:paraId="32DA4E5D" w14:textId="77777777" w:rsidR="00110088" w:rsidRDefault="00110088">
      <w:pPr>
        <w:spacing w:before="0"/>
        <w:jc w:val="left"/>
        <w:rPr>
          <w:rFonts w:ascii="Calibri" w:eastAsia="Times New Roman" w:hAnsi="Calibri" w:cs="Times New Roman"/>
          <w:b/>
          <w:bCs/>
          <w:kern w:val="32"/>
          <w:sz w:val="32"/>
          <w:szCs w:val="32"/>
          <w:lang w:val="en-US"/>
        </w:rPr>
      </w:pPr>
      <w:bookmarkStart w:id="8" w:name="_Toc494661733"/>
      <w:r>
        <w:br w:type="page"/>
      </w:r>
    </w:p>
    <w:p w14:paraId="14B82B42" w14:textId="12E371A8" w:rsidR="00F765DA" w:rsidRPr="00625A6A" w:rsidRDefault="00F765DA" w:rsidP="00F765DA">
      <w:pPr>
        <w:pStyle w:val="Heading1"/>
        <w:ind w:left="450"/>
      </w:pPr>
      <w:bookmarkStart w:id="9" w:name="_Toc525141259"/>
      <w:r w:rsidRPr="00625A6A">
        <w:lastRenderedPageBreak/>
        <w:t xml:space="preserve">Taxonomy of a </w:t>
      </w:r>
      <w:r w:rsidR="00A7009B">
        <w:t>t</w:t>
      </w:r>
      <w:r w:rsidRPr="00625A6A">
        <w:t>echnology</w:t>
      </w:r>
      <w:bookmarkEnd w:id="8"/>
      <w:bookmarkEnd w:id="9"/>
    </w:p>
    <w:p w14:paraId="78604728" w14:textId="0C54D61D" w:rsidR="00F765DA" w:rsidRDefault="00F765DA" w:rsidP="00F765DA">
      <w:pPr>
        <w:rPr>
          <w:szCs w:val="22"/>
        </w:rPr>
      </w:pPr>
      <w:r>
        <w:rPr>
          <w:szCs w:val="22"/>
        </w:rPr>
        <w:t xml:space="preserve">At the core of RAC technology is the </w:t>
      </w:r>
      <w:r w:rsidR="009F5EAE">
        <w:rPr>
          <w:szCs w:val="22"/>
        </w:rPr>
        <w:t>vapour</w:t>
      </w:r>
      <w:r>
        <w:rPr>
          <w:szCs w:val="22"/>
        </w:rPr>
        <w:t xml:space="preserve"> compression refrigeration process. This process, invented and patented by James Harrison</w:t>
      </w:r>
      <w:r>
        <w:rPr>
          <w:rStyle w:val="FootnoteReference"/>
          <w:szCs w:val="22"/>
        </w:rPr>
        <w:footnoteReference w:id="7"/>
      </w:r>
      <w:r>
        <w:rPr>
          <w:szCs w:val="22"/>
        </w:rPr>
        <w:t xml:space="preserve"> in Geelong Victoria</w:t>
      </w:r>
      <w:r w:rsidR="002E34B1">
        <w:rPr>
          <w:szCs w:val="22"/>
        </w:rPr>
        <w:t>,</w:t>
      </w:r>
      <w:r>
        <w:rPr>
          <w:szCs w:val="22"/>
        </w:rPr>
        <w:t xml:space="preserve"> in the 1850s, is the technical foundation of the transformative technology of modern refrigeration.</w:t>
      </w:r>
    </w:p>
    <w:p w14:paraId="2096D4FA" w14:textId="2A0B5E52" w:rsidR="00F765DA" w:rsidRDefault="00F765DA" w:rsidP="00F765DA">
      <w:pPr>
        <w:rPr>
          <w:szCs w:val="22"/>
        </w:rPr>
      </w:pPr>
      <w:r w:rsidRPr="001D6D59">
        <w:rPr>
          <w:szCs w:val="22"/>
        </w:rPr>
        <w:t xml:space="preserve">At its simplest level the industry relies on the physical </w:t>
      </w:r>
      <w:r>
        <w:rPr>
          <w:szCs w:val="22"/>
        </w:rPr>
        <w:t>stock of equipment</w:t>
      </w:r>
      <w:r w:rsidRPr="001D6D59">
        <w:rPr>
          <w:szCs w:val="22"/>
        </w:rPr>
        <w:t xml:space="preserve"> </w:t>
      </w:r>
      <w:r>
        <w:rPr>
          <w:szCs w:val="22"/>
        </w:rPr>
        <w:t>that deliver</w:t>
      </w:r>
      <w:r w:rsidR="0011784B">
        <w:rPr>
          <w:szCs w:val="22"/>
        </w:rPr>
        <w:t>s</w:t>
      </w:r>
      <w:r>
        <w:rPr>
          <w:szCs w:val="22"/>
        </w:rPr>
        <w:t xml:space="preserve"> the energy </w:t>
      </w:r>
      <w:r w:rsidRPr="001D6D59">
        <w:rPr>
          <w:szCs w:val="22"/>
        </w:rPr>
        <w:t>services</w:t>
      </w:r>
      <w:r>
        <w:rPr>
          <w:szCs w:val="22"/>
        </w:rPr>
        <w:t xml:space="preserve"> of cooling, refrigeration and, in some cases, heating. </w:t>
      </w:r>
    </w:p>
    <w:p w14:paraId="55752FA5" w14:textId="296E7431" w:rsidR="00F765DA" w:rsidRDefault="00F765DA" w:rsidP="00F765DA">
      <w:pPr>
        <w:rPr>
          <w:szCs w:val="22"/>
        </w:rPr>
      </w:pPr>
      <w:r>
        <w:rPr>
          <w:szCs w:val="22"/>
        </w:rPr>
        <w:t>These energy services are delivered by an enormous</w:t>
      </w:r>
      <w:r w:rsidRPr="001D6D59">
        <w:rPr>
          <w:szCs w:val="22"/>
        </w:rPr>
        <w:t xml:space="preserve"> stock of </w:t>
      </w:r>
      <w:r>
        <w:rPr>
          <w:szCs w:val="22"/>
        </w:rPr>
        <w:t xml:space="preserve">highly varied </w:t>
      </w:r>
      <w:r w:rsidRPr="001D6D59">
        <w:rPr>
          <w:szCs w:val="22"/>
        </w:rPr>
        <w:t xml:space="preserve">equipment, </w:t>
      </w:r>
      <w:r>
        <w:rPr>
          <w:szCs w:val="22"/>
        </w:rPr>
        <w:t xml:space="preserve">all employing </w:t>
      </w:r>
      <w:r w:rsidRPr="001D6D59">
        <w:rPr>
          <w:szCs w:val="22"/>
        </w:rPr>
        <w:t>the refrigerant</w:t>
      </w:r>
      <w:r>
        <w:rPr>
          <w:szCs w:val="22"/>
        </w:rPr>
        <w:t>s</w:t>
      </w:r>
      <w:r w:rsidRPr="001D6D59">
        <w:rPr>
          <w:szCs w:val="22"/>
        </w:rPr>
        <w:t xml:space="preserve"> </w:t>
      </w:r>
      <w:r>
        <w:rPr>
          <w:szCs w:val="22"/>
        </w:rPr>
        <w:t>that act</w:t>
      </w:r>
      <w:r w:rsidRPr="001D6D59">
        <w:rPr>
          <w:szCs w:val="22"/>
        </w:rPr>
        <w:t xml:space="preserve"> as a medium to transfer heat, and the electricity </w:t>
      </w:r>
      <w:r w:rsidR="009B5CD9">
        <w:rPr>
          <w:szCs w:val="22"/>
        </w:rPr>
        <w:t xml:space="preserve">(or liquid fuel in the case of mobile air conditioning or truck refrigeration) </w:t>
      </w:r>
      <w:r w:rsidRPr="001D6D59">
        <w:rPr>
          <w:szCs w:val="22"/>
        </w:rPr>
        <w:t>that is necessary to drive the compressors and fan</w:t>
      </w:r>
      <w:r>
        <w:rPr>
          <w:szCs w:val="22"/>
        </w:rPr>
        <w:t xml:space="preserve"> motor</w:t>
      </w:r>
      <w:r w:rsidRPr="001D6D59">
        <w:rPr>
          <w:szCs w:val="22"/>
        </w:rPr>
        <w:t xml:space="preserve">s that are the two </w:t>
      </w:r>
      <w:r>
        <w:rPr>
          <w:szCs w:val="22"/>
        </w:rPr>
        <w:t xml:space="preserve">main </w:t>
      </w:r>
      <w:r w:rsidRPr="001D6D59">
        <w:rPr>
          <w:szCs w:val="22"/>
        </w:rPr>
        <w:t>electro</w:t>
      </w:r>
      <w:r>
        <w:rPr>
          <w:szCs w:val="22"/>
        </w:rPr>
        <w:t>-mechanical components</w:t>
      </w:r>
      <w:r w:rsidRPr="001D6D59">
        <w:rPr>
          <w:szCs w:val="22"/>
        </w:rPr>
        <w:t xml:space="preserve"> of all RAC equipment.</w:t>
      </w:r>
    </w:p>
    <w:p w14:paraId="466120DD" w14:textId="683EC50E" w:rsidR="00DD0604" w:rsidRDefault="00F765DA" w:rsidP="00F765DA">
      <w:pPr>
        <w:rPr>
          <w:szCs w:val="22"/>
        </w:rPr>
      </w:pPr>
      <w:r w:rsidRPr="001D6D59">
        <w:rPr>
          <w:szCs w:val="22"/>
        </w:rPr>
        <w:t xml:space="preserve">The range of formats in which RAC equipment is manufactured is very wide. </w:t>
      </w:r>
      <w:r>
        <w:rPr>
          <w:szCs w:val="22"/>
        </w:rPr>
        <w:t xml:space="preserve">To manage the large number of equipment formats and </w:t>
      </w:r>
      <w:r w:rsidR="0083397C">
        <w:rPr>
          <w:szCs w:val="22"/>
        </w:rPr>
        <w:t xml:space="preserve">end-use </w:t>
      </w:r>
      <w:r>
        <w:rPr>
          <w:szCs w:val="22"/>
        </w:rPr>
        <w:t xml:space="preserve">applications the authors, over the years, have found it useful to develop a taxonomy of the technology, categorising the </w:t>
      </w:r>
      <w:r w:rsidRPr="001D6D59">
        <w:rPr>
          <w:szCs w:val="22"/>
        </w:rPr>
        <w:t>equipment types based on end-uses</w:t>
      </w:r>
      <w:r>
        <w:rPr>
          <w:szCs w:val="22"/>
        </w:rPr>
        <w:t>, refrigerating capacity</w:t>
      </w:r>
      <w:r w:rsidR="0083397C">
        <w:rPr>
          <w:szCs w:val="22"/>
        </w:rPr>
        <w:t xml:space="preserve">, </w:t>
      </w:r>
      <w:r w:rsidR="00DD0604">
        <w:rPr>
          <w:szCs w:val="22"/>
        </w:rPr>
        <w:t>and features</w:t>
      </w:r>
      <w:r w:rsidR="00DD0604" w:rsidRPr="001D6D59">
        <w:rPr>
          <w:szCs w:val="22"/>
        </w:rPr>
        <w:t xml:space="preserve"> such as the condenser type (remote or self-contained)</w:t>
      </w:r>
      <w:r w:rsidR="00DD0604">
        <w:rPr>
          <w:szCs w:val="22"/>
        </w:rPr>
        <w:t>,</w:t>
      </w:r>
      <w:r w:rsidR="00DD0604" w:rsidRPr="001D6D59">
        <w:rPr>
          <w:szCs w:val="22"/>
        </w:rPr>
        <w:t xml:space="preserve"> </w:t>
      </w:r>
      <w:r w:rsidR="009428B1">
        <w:rPr>
          <w:szCs w:val="22"/>
        </w:rPr>
        <w:t xml:space="preserve">refrigerant </w:t>
      </w:r>
      <w:r w:rsidR="00DD0604" w:rsidRPr="001D6D59">
        <w:rPr>
          <w:szCs w:val="22"/>
        </w:rPr>
        <w:t xml:space="preserve">charge sizes, electricity requirements </w:t>
      </w:r>
      <w:r w:rsidR="00DD0604">
        <w:rPr>
          <w:szCs w:val="22"/>
        </w:rPr>
        <w:t>(single or three phase) and the physical formats of products</w:t>
      </w:r>
      <w:r>
        <w:rPr>
          <w:szCs w:val="22"/>
        </w:rPr>
        <w:t xml:space="preserve">. </w:t>
      </w:r>
    </w:p>
    <w:p w14:paraId="0BB1A8F5" w14:textId="4B1A88DF" w:rsidR="00F765DA" w:rsidRPr="001D6D59" w:rsidRDefault="00F765DA" w:rsidP="00F765DA">
      <w:pPr>
        <w:rPr>
          <w:szCs w:val="22"/>
        </w:rPr>
      </w:pPr>
      <w:r>
        <w:rPr>
          <w:szCs w:val="22"/>
        </w:rPr>
        <w:t xml:space="preserve">This system of classification works across the spectrum of RAC technology including air conditioning equipment types that use </w:t>
      </w:r>
      <w:r w:rsidR="009F5EAE">
        <w:rPr>
          <w:szCs w:val="22"/>
        </w:rPr>
        <w:t>vapour</w:t>
      </w:r>
      <w:r>
        <w:rPr>
          <w:szCs w:val="22"/>
        </w:rPr>
        <w:t xml:space="preserve"> compression refrigeration technology.</w:t>
      </w:r>
    </w:p>
    <w:p w14:paraId="39AB7494" w14:textId="5401A43C" w:rsidR="00F765DA" w:rsidRPr="001D6D59" w:rsidRDefault="00F765DA" w:rsidP="00F765DA">
      <w:pPr>
        <w:rPr>
          <w:szCs w:val="22"/>
        </w:rPr>
      </w:pPr>
      <w:r>
        <w:rPr>
          <w:szCs w:val="22"/>
        </w:rPr>
        <w:t xml:space="preserve">This RAC Taxonomy uses a system of classification </w:t>
      </w:r>
      <w:r w:rsidRPr="001D6D59">
        <w:rPr>
          <w:szCs w:val="22"/>
        </w:rPr>
        <w:t xml:space="preserve">that involves four </w:t>
      </w:r>
      <w:r>
        <w:rPr>
          <w:szCs w:val="22"/>
        </w:rPr>
        <w:t>broad ‘classes’ as a starting point,</w:t>
      </w:r>
      <w:r w:rsidRPr="001D6D59">
        <w:rPr>
          <w:szCs w:val="22"/>
        </w:rPr>
        <w:t xml:space="preserve"> </w:t>
      </w:r>
      <w:r>
        <w:rPr>
          <w:szCs w:val="22"/>
        </w:rPr>
        <w:t xml:space="preserve">comprised of fourteen </w:t>
      </w:r>
      <w:r w:rsidRPr="001D6D59">
        <w:rPr>
          <w:szCs w:val="22"/>
        </w:rPr>
        <w:t>‘</w:t>
      </w:r>
      <w:r>
        <w:rPr>
          <w:szCs w:val="22"/>
        </w:rPr>
        <w:t>segments</w:t>
      </w:r>
      <w:r w:rsidRPr="001D6D59">
        <w:rPr>
          <w:szCs w:val="22"/>
        </w:rPr>
        <w:t xml:space="preserve">’, which </w:t>
      </w:r>
      <w:r>
        <w:rPr>
          <w:szCs w:val="22"/>
        </w:rPr>
        <w:t xml:space="preserve">cover </w:t>
      </w:r>
      <w:r w:rsidR="002E34B1">
        <w:rPr>
          <w:szCs w:val="22"/>
        </w:rPr>
        <w:t>more than</w:t>
      </w:r>
      <w:r>
        <w:rPr>
          <w:szCs w:val="22"/>
        </w:rPr>
        <w:t xml:space="preserve"> fifty ‘product categories</w:t>
      </w:r>
      <w:r w:rsidRPr="001D6D59">
        <w:rPr>
          <w:szCs w:val="22"/>
        </w:rPr>
        <w:t>’.</w:t>
      </w:r>
    </w:p>
    <w:p w14:paraId="01A426BD" w14:textId="77777777" w:rsidR="00F765DA" w:rsidRPr="001D6D59" w:rsidRDefault="00F765DA" w:rsidP="00F765DA">
      <w:pPr>
        <w:rPr>
          <w:szCs w:val="22"/>
        </w:rPr>
      </w:pPr>
      <w:r w:rsidRPr="001D6D59">
        <w:rPr>
          <w:szCs w:val="22"/>
        </w:rPr>
        <w:t>The classes of RAC equipment</w:t>
      </w:r>
      <w:r>
        <w:rPr>
          <w:szCs w:val="22"/>
        </w:rPr>
        <w:t xml:space="preserve"> are</w:t>
      </w:r>
      <w:r w:rsidRPr="001D6D59">
        <w:rPr>
          <w:szCs w:val="22"/>
        </w:rPr>
        <w:t>:</w:t>
      </w:r>
    </w:p>
    <w:p w14:paraId="116ED364" w14:textId="603D633D" w:rsidR="00F765DA" w:rsidRPr="001D6D59" w:rsidRDefault="00F765DA" w:rsidP="00FC735C">
      <w:pPr>
        <w:pStyle w:val="ListBullet"/>
        <w:numPr>
          <w:ilvl w:val="0"/>
          <w:numId w:val="27"/>
        </w:numPr>
        <w:ind w:left="357" w:hanging="357"/>
        <w:contextualSpacing w:val="0"/>
      </w:pPr>
      <w:r w:rsidRPr="001D6D59">
        <w:rPr>
          <w:b/>
        </w:rPr>
        <w:t>Stationary air conditioning</w:t>
      </w:r>
      <w:r>
        <w:rPr>
          <w:b/>
        </w:rPr>
        <w:t xml:space="preserve"> </w:t>
      </w:r>
      <w:r>
        <w:t>(</w:t>
      </w:r>
      <w:r w:rsidRPr="00005A41">
        <w:t>AC)</w:t>
      </w:r>
      <w:r>
        <w:t>, the largest class in the stock</w:t>
      </w:r>
      <w:r w:rsidR="00545A97">
        <w:t xml:space="preserve"> model</w:t>
      </w:r>
      <w:r>
        <w:t xml:space="preserve">, </w:t>
      </w:r>
      <w:r w:rsidRPr="001D6D59">
        <w:t xml:space="preserve">providing comfort conditions and </w:t>
      </w:r>
      <w:r>
        <w:t>technical services using systems that range</w:t>
      </w:r>
      <w:r w:rsidRPr="001D6D59">
        <w:t xml:space="preserve"> </w:t>
      </w:r>
      <w:r>
        <w:t xml:space="preserve">from </w:t>
      </w:r>
      <w:r w:rsidRPr="001D6D59">
        <w:t xml:space="preserve">small split air conditioning systems </w:t>
      </w:r>
      <w:r>
        <w:t>and portable units</w:t>
      </w:r>
      <w:r w:rsidR="0083397C">
        <w:t>,</w:t>
      </w:r>
      <w:r>
        <w:t xml:space="preserve"> </w:t>
      </w:r>
      <w:r w:rsidRPr="001D6D59">
        <w:t>up to very large chiller driven systems used for space cooling, with exten</w:t>
      </w:r>
      <w:r>
        <w:t>sive ducted distribution of air. This class includes</w:t>
      </w:r>
      <w:r w:rsidRPr="001D6D59">
        <w:t xml:space="preserve"> close temperature control and extremely fine air quality systems </w:t>
      </w:r>
      <w:r w:rsidR="002E34B1">
        <w:t xml:space="preserve">employed </w:t>
      </w:r>
      <w:r w:rsidRPr="001D6D59">
        <w:t xml:space="preserve">in infrastructure, laboratories, hospitals and other specialised </w:t>
      </w:r>
      <w:r>
        <w:t xml:space="preserve">controlled </w:t>
      </w:r>
      <w:r w:rsidRPr="001D6D59">
        <w:t>environments;</w:t>
      </w:r>
    </w:p>
    <w:p w14:paraId="63B055AE" w14:textId="66831AC2" w:rsidR="00F765DA" w:rsidRPr="001D6D59" w:rsidRDefault="00F765DA" w:rsidP="00FC735C">
      <w:pPr>
        <w:pStyle w:val="ListBullet"/>
        <w:numPr>
          <w:ilvl w:val="0"/>
          <w:numId w:val="27"/>
        </w:numPr>
        <w:ind w:left="357" w:hanging="357"/>
        <w:contextualSpacing w:val="0"/>
      </w:pPr>
      <w:r w:rsidRPr="001D6D59">
        <w:rPr>
          <w:b/>
        </w:rPr>
        <w:t>Mobile air conditioning</w:t>
      </w:r>
      <w:r>
        <w:rPr>
          <w:b/>
        </w:rPr>
        <w:t xml:space="preserve"> </w:t>
      </w:r>
      <w:r w:rsidRPr="00005A41">
        <w:t>(MAC)</w:t>
      </w:r>
      <w:r w:rsidRPr="001D6D59">
        <w:t xml:space="preserve">, </w:t>
      </w:r>
      <w:r>
        <w:t xml:space="preserve">a class </w:t>
      </w:r>
      <w:r w:rsidR="002E34B1">
        <w:t xml:space="preserve">that </w:t>
      </w:r>
      <w:r>
        <w:t>includ</w:t>
      </w:r>
      <w:r w:rsidR="002E34B1">
        <w:t>es</w:t>
      </w:r>
      <w:r>
        <w:t xml:space="preserve"> large numbers of very small systems for passenger cars</w:t>
      </w:r>
      <w:r w:rsidR="00D11BA2">
        <w:t xml:space="preserve">, </w:t>
      </w:r>
      <w:r w:rsidR="009F5EAE">
        <w:t>incorporating</w:t>
      </w:r>
      <w:r w:rsidRPr="001D6D59">
        <w:t xml:space="preserve"> air conditioning in </w:t>
      </w:r>
      <w:r>
        <w:t xml:space="preserve">all </w:t>
      </w:r>
      <w:r w:rsidRPr="001D6D59">
        <w:t>private and commercial, registered and unregistered road, rail, marine and aviation transport;</w:t>
      </w:r>
    </w:p>
    <w:p w14:paraId="7ED3DBF2" w14:textId="1CA09DC8" w:rsidR="00F765DA" w:rsidRPr="001D6D59" w:rsidRDefault="00F765DA" w:rsidP="00FC735C">
      <w:pPr>
        <w:pStyle w:val="ListBullet"/>
        <w:numPr>
          <w:ilvl w:val="0"/>
          <w:numId w:val="27"/>
        </w:numPr>
        <w:ind w:left="357" w:hanging="357"/>
        <w:contextualSpacing w:val="0"/>
      </w:pPr>
      <w:r>
        <w:rPr>
          <w:b/>
        </w:rPr>
        <w:t xml:space="preserve">Refrigerated cold food chain </w:t>
      </w:r>
      <w:r w:rsidRPr="00005A41">
        <w:t>(RCFC)</w:t>
      </w:r>
      <w:r>
        <w:t>, a</w:t>
      </w:r>
      <w:r w:rsidRPr="001D6D59">
        <w:t xml:space="preserve"> broad </w:t>
      </w:r>
      <w:r>
        <w:t>and complex class</w:t>
      </w:r>
      <w:r w:rsidRPr="001D6D59">
        <w:t xml:space="preserve"> </w:t>
      </w:r>
      <w:r>
        <w:t xml:space="preserve">of equipment involved in preserving perishable food stuffs </w:t>
      </w:r>
      <w:r w:rsidR="002E34B1">
        <w:t xml:space="preserve">and </w:t>
      </w:r>
      <w:r w:rsidRPr="001D6D59">
        <w:t>captures all commercial, process and industrial refrigeration</w:t>
      </w:r>
      <w:r>
        <w:t xml:space="preserve"> employed from farm</w:t>
      </w:r>
      <w:r w:rsidR="00052486">
        <w:t>, through transport refrigeration,</w:t>
      </w:r>
      <w:r>
        <w:t xml:space="preserve"> to the final retail food outlet; and,</w:t>
      </w:r>
    </w:p>
    <w:p w14:paraId="20A9D272" w14:textId="047CE65B" w:rsidR="00F765DA" w:rsidRPr="001D6D59" w:rsidRDefault="00F765DA" w:rsidP="00FC735C">
      <w:pPr>
        <w:pStyle w:val="ListBullet"/>
        <w:numPr>
          <w:ilvl w:val="0"/>
          <w:numId w:val="27"/>
        </w:numPr>
        <w:ind w:left="357" w:hanging="357"/>
        <w:contextualSpacing w:val="0"/>
      </w:pPr>
      <w:r w:rsidRPr="001D6D59">
        <w:rPr>
          <w:b/>
        </w:rPr>
        <w:t>Domestic refrigeration</w:t>
      </w:r>
      <w:r>
        <w:rPr>
          <w:b/>
        </w:rPr>
        <w:t xml:space="preserve"> </w:t>
      </w:r>
      <w:r w:rsidRPr="00005A41">
        <w:t>(DR)</w:t>
      </w:r>
      <w:r>
        <w:t xml:space="preserve">, a class of small equipment </w:t>
      </w:r>
      <w:r w:rsidRPr="001D6D59">
        <w:t>that ranges from the tiny portable refrigerators found in caravans, the small ‘bar fridges’ found in nearly every hotel room an</w:t>
      </w:r>
      <w:r>
        <w:t>d</w:t>
      </w:r>
      <w:r w:rsidRPr="001D6D59">
        <w:t xml:space="preserve"> workplace, to the ‘tub’ freezer and the sometimes very large double door fridge freezer combinati</w:t>
      </w:r>
      <w:r>
        <w:t>ons that are</w:t>
      </w:r>
      <w:r w:rsidR="0083397C">
        <w:t xml:space="preserve"> found in homes but</w:t>
      </w:r>
      <w:r>
        <w:t xml:space="preserve"> also </w:t>
      </w:r>
      <w:r w:rsidR="0083397C">
        <w:t>in commercial kitchens,</w:t>
      </w:r>
      <w:r w:rsidRPr="001D6D59">
        <w:t xml:space="preserve"> restaurants, takeaways and sandwich shops. </w:t>
      </w:r>
    </w:p>
    <w:p w14:paraId="21A69A3E" w14:textId="33E27E3E" w:rsidR="002E34B1" w:rsidRDefault="00F765DA" w:rsidP="00F765DA">
      <w:pPr>
        <w:rPr>
          <w:szCs w:val="22"/>
        </w:rPr>
      </w:pPr>
      <w:r>
        <w:rPr>
          <w:szCs w:val="22"/>
        </w:rPr>
        <w:t>T</w:t>
      </w:r>
      <w:r w:rsidRPr="001D6D59">
        <w:rPr>
          <w:szCs w:val="22"/>
        </w:rPr>
        <w:t xml:space="preserve">hese four </w:t>
      </w:r>
      <w:r w:rsidRPr="003304D0">
        <w:rPr>
          <w:b/>
          <w:i/>
          <w:szCs w:val="22"/>
        </w:rPr>
        <w:t>classes</w:t>
      </w:r>
      <w:r w:rsidRPr="001D6D59">
        <w:rPr>
          <w:szCs w:val="22"/>
        </w:rPr>
        <w:t xml:space="preserve"> are divided into </w:t>
      </w:r>
      <w:r>
        <w:rPr>
          <w:szCs w:val="22"/>
        </w:rPr>
        <w:t xml:space="preserve">the </w:t>
      </w:r>
      <w:r w:rsidRPr="001D6D59">
        <w:rPr>
          <w:szCs w:val="22"/>
        </w:rPr>
        <w:t>1</w:t>
      </w:r>
      <w:r>
        <w:rPr>
          <w:szCs w:val="22"/>
        </w:rPr>
        <w:t>4</w:t>
      </w:r>
      <w:r w:rsidRPr="001D6D59">
        <w:rPr>
          <w:szCs w:val="22"/>
        </w:rPr>
        <w:t xml:space="preserve"> technology </w:t>
      </w:r>
      <w:r w:rsidRPr="003304D0">
        <w:rPr>
          <w:b/>
          <w:i/>
          <w:szCs w:val="22"/>
        </w:rPr>
        <w:t>segments</w:t>
      </w:r>
      <w:r>
        <w:rPr>
          <w:szCs w:val="22"/>
        </w:rPr>
        <w:t xml:space="preserve"> and </w:t>
      </w:r>
      <w:r w:rsidRPr="001D6D59">
        <w:rPr>
          <w:szCs w:val="22"/>
        </w:rPr>
        <w:t>5</w:t>
      </w:r>
      <w:r w:rsidR="003D3336">
        <w:rPr>
          <w:szCs w:val="22"/>
        </w:rPr>
        <w:t>9</w:t>
      </w:r>
      <w:r w:rsidRPr="001D6D59">
        <w:rPr>
          <w:szCs w:val="22"/>
        </w:rPr>
        <w:t xml:space="preserve"> product </w:t>
      </w:r>
      <w:r w:rsidRPr="003304D0">
        <w:rPr>
          <w:b/>
          <w:i/>
          <w:szCs w:val="22"/>
        </w:rPr>
        <w:t>categories</w:t>
      </w:r>
      <w:r>
        <w:rPr>
          <w:szCs w:val="22"/>
        </w:rPr>
        <w:t xml:space="preserve"> a</w:t>
      </w:r>
      <w:r w:rsidRPr="001D6D59">
        <w:rPr>
          <w:szCs w:val="22"/>
        </w:rPr>
        <w:t xml:space="preserve">s </w:t>
      </w:r>
      <w:r w:rsidR="001A3258">
        <w:rPr>
          <w:szCs w:val="22"/>
        </w:rPr>
        <w:t>discussed in</w:t>
      </w:r>
      <w:r>
        <w:rPr>
          <w:i/>
          <w:szCs w:val="22"/>
        </w:rPr>
        <w:t xml:space="preserve"> </w:t>
      </w:r>
      <w:r w:rsidR="001A3258">
        <w:rPr>
          <w:i/>
          <w:szCs w:val="22"/>
        </w:rPr>
        <w:t xml:space="preserve">Appendix A, </w:t>
      </w:r>
      <w:r>
        <w:rPr>
          <w:i/>
          <w:szCs w:val="22"/>
        </w:rPr>
        <w:t xml:space="preserve">Section </w:t>
      </w:r>
      <w:r w:rsidR="001A3258">
        <w:rPr>
          <w:i/>
          <w:szCs w:val="22"/>
        </w:rPr>
        <w:t>11.1</w:t>
      </w:r>
      <w:r>
        <w:rPr>
          <w:i/>
          <w:szCs w:val="22"/>
        </w:rPr>
        <w:t xml:space="preserve">: </w:t>
      </w:r>
      <w:r w:rsidRPr="003D382B">
        <w:rPr>
          <w:i/>
          <w:szCs w:val="22"/>
        </w:rPr>
        <w:t>Taxonomy of a technology</w:t>
      </w:r>
      <w:r w:rsidR="001A3258">
        <w:rPr>
          <w:i/>
          <w:szCs w:val="22"/>
        </w:rPr>
        <w:t>.</w:t>
      </w:r>
      <w:r w:rsidR="001A3258">
        <w:rPr>
          <w:szCs w:val="22"/>
        </w:rPr>
        <w:t xml:space="preserve"> </w:t>
      </w:r>
    </w:p>
    <w:p w14:paraId="234A229A" w14:textId="4EA679E3" w:rsidR="002E34B1" w:rsidRDefault="002E34B1" w:rsidP="00F765DA">
      <w:pPr>
        <w:rPr>
          <w:szCs w:val="22"/>
        </w:rPr>
      </w:pPr>
      <w:r>
        <w:rPr>
          <w:szCs w:val="22"/>
        </w:rPr>
        <w:t xml:space="preserve">The RAC Stock model, the interactive </w:t>
      </w:r>
      <w:r w:rsidRPr="00E13F35">
        <w:rPr>
          <w:szCs w:val="22"/>
        </w:rPr>
        <w:t>database</w:t>
      </w:r>
      <w:r>
        <w:rPr>
          <w:szCs w:val="22"/>
        </w:rPr>
        <w:t xml:space="preserve"> that underlies this report, is built on</w:t>
      </w:r>
      <w:r w:rsidRPr="001D6D59">
        <w:rPr>
          <w:szCs w:val="22"/>
        </w:rPr>
        <w:t xml:space="preserve"> these 5</w:t>
      </w:r>
      <w:r>
        <w:rPr>
          <w:szCs w:val="22"/>
        </w:rPr>
        <w:t>9</w:t>
      </w:r>
      <w:r w:rsidRPr="001D6D59">
        <w:rPr>
          <w:szCs w:val="22"/>
        </w:rPr>
        <w:t xml:space="preserve"> product categories. </w:t>
      </w:r>
    </w:p>
    <w:p w14:paraId="4F05CD24" w14:textId="797AC9CA" w:rsidR="00F765DA" w:rsidRPr="001D6D59" w:rsidRDefault="00F765DA" w:rsidP="00F765DA">
      <w:pPr>
        <w:rPr>
          <w:szCs w:val="22"/>
        </w:rPr>
      </w:pPr>
      <w:r w:rsidRPr="001D6D59">
        <w:rPr>
          <w:szCs w:val="22"/>
        </w:rPr>
        <w:t>For the purpose of modelling, some categories are further dissected in</w:t>
      </w:r>
      <w:r>
        <w:rPr>
          <w:szCs w:val="22"/>
        </w:rPr>
        <w:t xml:space="preserve"> the </w:t>
      </w:r>
      <w:r w:rsidR="00C45435">
        <w:rPr>
          <w:szCs w:val="22"/>
        </w:rPr>
        <w:t>model</w:t>
      </w:r>
      <w:r>
        <w:rPr>
          <w:szCs w:val="22"/>
        </w:rPr>
        <w:t xml:space="preserve"> into</w:t>
      </w:r>
      <w:r w:rsidRPr="001D6D59">
        <w:rPr>
          <w:szCs w:val="22"/>
        </w:rPr>
        <w:t xml:space="preserve"> ‘capacity bins’ to provide more precise energy consumption modelling (e.g. AC1-1: split systems: non-ducted: single-phase, is dissected into four capacity bins</w:t>
      </w:r>
      <w:r>
        <w:rPr>
          <w:szCs w:val="22"/>
        </w:rPr>
        <w:t xml:space="preserve"> of </w:t>
      </w:r>
      <w:r w:rsidRPr="001D6D59">
        <w:rPr>
          <w:szCs w:val="22"/>
        </w:rPr>
        <w:t>0 to 4</w:t>
      </w:r>
      <w:r>
        <w:rPr>
          <w:szCs w:val="22"/>
        </w:rPr>
        <w:t xml:space="preserve"> kWr</w:t>
      </w:r>
      <w:r w:rsidRPr="001D6D59">
        <w:rPr>
          <w:szCs w:val="22"/>
        </w:rPr>
        <w:t>; 4 to 6.5</w:t>
      </w:r>
      <w:r>
        <w:rPr>
          <w:szCs w:val="22"/>
        </w:rPr>
        <w:t xml:space="preserve"> kWr</w:t>
      </w:r>
      <w:r w:rsidRPr="001D6D59">
        <w:rPr>
          <w:szCs w:val="22"/>
        </w:rPr>
        <w:t>; 6.5 to 8.5</w:t>
      </w:r>
      <w:r>
        <w:rPr>
          <w:szCs w:val="22"/>
        </w:rPr>
        <w:t xml:space="preserve"> kWr</w:t>
      </w:r>
      <w:r w:rsidRPr="001D6D59">
        <w:rPr>
          <w:szCs w:val="22"/>
        </w:rPr>
        <w:t xml:space="preserve"> and &gt;8.5 kWr</w:t>
      </w:r>
      <w:r>
        <w:rPr>
          <w:szCs w:val="22"/>
        </w:rPr>
        <w:t>,</w:t>
      </w:r>
      <w:r w:rsidRPr="001D6D59">
        <w:rPr>
          <w:szCs w:val="22"/>
        </w:rPr>
        <w:t xml:space="preserve"> as the stock levels are </w:t>
      </w:r>
      <w:r w:rsidR="001C4E28" w:rsidRPr="001D6D59">
        <w:rPr>
          <w:szCs w:val="22"/>
        </w:rPr>
        <w:t>significant,</w:t>
      </w:r>
      <w:r w:rsidRPr="001D6D59">
        <w:rPr>
          <w:szCs w:val="22"/>
        </w:rPr>
        <w:t xml:space="preserve"> and the </w:t>
      </w:r>
      <w:r>
        <w:rPr>
          <w:szCs w:val="22"/>
        </w:rPr>
        <w:t>e</w:t>
      </w:r>
      <w:r w:rsidRPr="00081A67">
        <w:rPr>
          <w:szCs w:val="22"/>
        </w:rPr>
        <w:t xml:space="preserve">nergy </w:t>
      </w:r>
      <w:r>
        <w:rPr>
          <w:szCs w:val="22"/>
        </w:rPr>
        <w:t>e</w:t>
      </w:r>
      <w:r w:rsidRPr="00081A67">
        <w:rPr>
          <w:szCs w:val="22"/>
        </w:rPr>
        <w:t xml:space="preserve">fficiency </w:t>
      </w:r>
      <w:r>
        <w:rPr>
          <w:szCs w:val="22"/>
        </w:rPr>
        <w:t>r</w:t>
      </w:r>
      <w:r w:rsidRPr="00081A67">
        <w:rPr>
          <w:szCs w:val="22"/>
        </w:rPr>
        <w:t>atio</w:t>
      </w:r>
      <w:r>
        <w:rPr>
          <w:szCs w:val="22"/>
        </w:rPr>
        <w:t xml:space="preserve">s </w:t>
      </w:r>
      <w:r w:rsidRPr="001D6D59">
        <w:rPr>
          <w:szCs w:val="22"/>
        </w:rPr>
        <w:t xml:space="preserve">vary depending on </w:t>
      </w:r>
      <w:r w:rsidR="0083397C">
        <w:rPr>
          <w:szCs w:val="22"/>
        </w:rPr>
        <w:t xml:space="preserve">the refrigerating </w:t>
      </w:r>
      <w:r w:rsidRPr="001D6D59">
        <w:rPr>
          <w:szCs w:val="22"/>
        </w:rPr>
        <w:t>capacity</w:t>
      </w:r>
      <w:r w:rsidR="0083397C">
        <w:rPr>
          <w:szCs w:val="22"/>
        </w:rPr>
        <w:t xml:space="preserve"> of the products</w:t>
      </w:r>
      <w:r w:rsidRPr="001D6D59">
        <w:rPr>
          <w:szCs w:val="22"/>
        </w:rPr>
        <w:t xml:space="preserve">). </w:t>
      </w:r>
    </w:p>
    <w:p w14:paraId="2C9BCA47" w14:textId="439A1689" w:rsidR="00F765DA" w:rsidRPr="001D6D59" w:rsidRDefault="00F765DA" w:rsidP="00F765DA">
      <w:pPr>
        <w:rPr>
          <w:szCs w:val="22"/>
        </w:rPr>
      </w:pPr>
      <w:r w:rsidRPr="001D6D59">
        <w:rPr>
          <w:szCs w:val="22"/>
        </w:rPr>
        <w:lastRenderedPageBreak/>
        <w:t xml:space="preserve">Data in the majority of these product categories is discussed in </w:t>
      </w:r>
      <w:r>
        <w:rPr>
          <w:i/>
          <w:szCs w:val="22"/>
        </w:rPr>
        <w:t>Chapter</w:t>
      </w:r>
      <w:r w:rsidRPr="0082124E">
        <w:rPr>
          <w:i/>
          <w:szCs w:val="22"/>
        </w:rPr>
        <w:t xml:space="preserve"> 4: The </w:t>
      </w:r>
      <w:r>
        <w:rPr>
          <w:i/>
          <w:szCs w:val="22"/>
        </w:rPr>
        <w:t>s</w:t>
      </w:r>
      <w:r w:rsidRPr="0082124E">
        <w:rPr>
          <w:i/>
          <w:szCs w:val="22"/>
        </w:rPr>
        <w:t xml:space="preserve">tock of </w:t>
      </w:r>
      <w:r>
        <w:rPr>
          <w:i/>
          <w:szCs w:val="22"/>
        </w:rPr>
        <w:t>e</w:t>
      </w:r>
      <w:r w:rsidRPr="0082124E">
        <w:rPr>
          <w:i/>
          <w:szCs w:val="22"/>
        </w:rPr>
        <w:t>quipment</w:t>
      </w:r>
      <w:r w:rsidRPr="001D6D59">
        <w:rPr>
          <w:szCs w:val="22"/>
        </w:rPr>
        <w:t xml:space="preserve">. </w:t>
      </w:r>
      <w:r w:rsidR="00B86124">
        <w:rPr>
          <w:szCs w:val="22"/>
        </w:rPr>
        <w:t>E</w:t>
      </w:r>
      <w:r w:rsidRPr="001D6D59">
        <w:rPr>
          <w:szCs w:val="22"/>
        </w:rPr>
        <w:t>ven with t</w:t>
      </w:r>
      <w:r>
        <w:rPr>
          <w:szCs w:val="22"/>
        </w:rPr>
        <w:t>his number of categories, some categories are still quite large</w:t>
      </w:r>
      <w:r w:rsidRPr="001D6D59">
        <w:rPr>
          <w:szCs w:val="22"/>
        </w:rPr>
        <w:t xml:space="preserve">, covering a number of different formats and sizes </w:t>
      </w:r>
      <w:r w:rsidR="0083397C">
        <w:rPr>
          <w:szCs w:val="22"/>
        </w:rPr>
        <w:t>and many</w:t>
      </w:r>
      <w:r w:rsidRPr="001D6D59">
        <w:rPr>
          <w:szCs w:val="22"/>
        </w:rPr>
        <w:t xml:space="preserve"> individual manufacturer brands and models. </w:t>
      </w:r>
    </w:p>
    <w:p w14:paraId="3DC00F83" w14:textId="775F3F19" w:rsidR="002E34B1" w:rsidRDefault="002E34B1" w:rsidP="002E34B1">
      <w:pPr>
        <w:rPr>
          <w:szCs w:val="22"/>
        </w:rPr>
      </w:pPr>
      <w:r>
        <w:rPr>
          <w:szCs w:val="22"/>
        </w:rPr>
        <w:t xml:space="preserve">As the quality of the data discovered or developed by the authors in the course of the last decade has improved, greater resolution has been achieved in various product categories, </w:t>
      </w:r>
      <w:r w:rsidR="001D0BAE">
        <w:rPr>
          <w:szCs w:val="22"/>
        </w:rPr>
        <w:t xml:space="preserve">and resulted in </w:t>
      </w:r>
      <w:r>
        <w:rPr>
          <w:szCs w:val="22"/>
        </w:rPr>
        <w:t xml:space="preserve">some changes to the taxonomy to reduce uncertainty in model outputs. </w:t>
      </w:r>
    </w:p>
    <w:p w14:paraId="14089520" w14:textId="1C048A3C" w:rsidR="004B201C" w:rsidRDefault="00DD0604" w:rsidP="00F765DA">
      <w:pPr>
        <w:rPr>
          <w:szCs w:val="22"/>
        </w:rPr>
      </w:pPr>
      <w:r>
        <w:rPr>
          <w:szCs w:val="22"/>
        </w:rPr>
        <w:t>T</w:t>
      </w:r>
      <w:r w:rsidR="00F765DA" w:rsidRPr="001D6D59">
        <w:rPr>
          <w:szCs w:val="22"/>
        </w:rPr>
        <w:t xml:space="preserve">he authors acknowledge that to further </w:t>
      </w:r>
      <w:r w:rsidR="004B201C">
        <w:rPr>
          <w:szCs w:val="22"/>
        </w:rPr>
        <w:t>increase confidence</w:t>
      </w:r>
      <w:r w:rsidR="00F765DA" w:rsidRPr="001D6D59">
        <w:rPr>
          <w:szCs w:val="22"/>
        </w:rPr>
        <w:t xml:space="preserve"> in the data, in some areas, more definitive stock surveys would be valuable</w:t>
      </w:r>
      <w:r>
        <w:rPr>
          <w:szCs w:val="22"/>
        </w:rPr>
        <w:t xml:space="preserve"> and are always interested in opportunities to work with industry to improve the stock model data</w:t>
      </w:r>
      <w:r w:rsidR="00F765DA" w:rsidRPr="001D6D59">
        <w:rPr>
          <w:szCs w:val="22"/>
        </w:rPr>
        <w:t>.</w:t>
      </w:r>
      <w:r w:rsidR="00F765DA">
        <w:rPr>
          <w:szCs w:val="22"/>
        </w:rPr>
        <w:t xml:space="preserve"> </w:t>
      </w:r>
      <w:r w:rsidR="005141D6">
        <w:rPr>
          <w:szCs w:val="22"/>
        </w:rPr>
        <w:t xml:space="preserve">Assumptions and factors used in the CHF3 RAC Stock model and applied to each equipment class, segment or category are set out in </w:t>
      </w:r>
      <w:r w:rsidR="005141D6" w:rsidRPr="007861D9">
        <w:rPr>
          <w:i/>
          <w:szCs w:val="22"/>
        </w:rPr>
        <w:t>Appendix A</w:t>
      </w:r>
      <w:r w:rsidR="005141D6">
        <w:rPr>
          <w:szCs w:val="22"/>
        </w:rPr>
        <w:t>.</w:t>
      </w:r>
    </w:p>
    <w:p w14:paraId="2B98CA99" w14:textId="08F899CE" w:rsidR="00F765DA" w:rsidRPr="001D6D59" w:rsidRDefault="00F765DA" w:rsidP="00F765DA">
      <w:pPr>
        <w:rPr>
          <w:szCs w:val="22"/>
        </w:rPr>
      </w:pPr>
      <w:r w:rsidRPr="009428B1">
        <w:rPr>
          <w:szCs w:val="22"/>
        </w:rPr>
        <w:t xml:space="preserve">A list of the main commercial and industrial applications where RAC systems are found across the Australian economy is provided in </w:t>
      </w:r>
      <w:r w:rsidRPr="009428B1">
        <w:rPr>
          <w:i/>
          <w:szCs w:val="22"/>
        </w:rPr>
        <w:t xml:space="preserve">Appendix </w:t>
      </w:r>
      <w:r w:rsidR="001A3258">
        <w:rPr>
          <w:i/>
          <w:szCs w:val="22"/>
        </w:rPr>
        <w:t>A</w:t>
      </w:r>
      <w:r w:rsidRPr="009428B1">
        <w:rPr>
          <w:i/>
          <w:szCs w:val="22"/>
        </w:rPr>
        <w:t xml:space="preserve">: </w:t>
      </w:r>
      <w:r w:rsidR="001A3258">
        <w:rPr>
          <w:i/>
          <w:szCs w:val="22"/>
        </w:rPr>
        <w:t xml:space="preserve">Section 11.4: </w:t>
      </w:r>
      <w:r w:rsidR="001A3258" w:rsidRPr="001A3258">
        <w:rPr>
          <w:i/>
          <w:szCs w:val="22"/>
        </w:rPr>
        <w:t>HVAC&amp;R Supply chain business types and end use applications</w:t>
      </w:r>
      <w:r w:rsidRPr="009428B1">
        <w:rPr>
          <w:szCs w:val="22"/>
        </w:rPr>
        <w:t>. This list provides a view of the essential role of the technology in the economy, that the Taxonomy does not directly provide.</w:t>
      </w:r>
    </w:p>
    <w:p w14:paraId="0548DFB4" w14:textId="77777777" w:rsidR="00F765DA" w:rsidRDefault="00F765DA" w:rsidP="00F765DA">
      <w:pPr>
        <w:spacing w:before="0"/>
        <w:jc w:val="left"/>
        <w:rPr>
          <w:rFonts w:ascii="Calibri" w:eastAsia="Times New Roman" w:hAnsi="Calibri" w:cs="Times New Roman"/>
          <w:b/>
          <w:bCs/>
          <w:kern w:val="32"/>
          <w:sz w:val="32"/>
          <w:szCs w:val="32"/>
          <w:lang w:val="en-US"/>
        </w:rPr>
      </w:pPr>
      <w:bookmarkStart w:id="10" w:name="_Toc494190145"/>
      <w:r>
        <w:br w:type="page"/>
      </w:r>
    </w:p>
    <w:p w14:paraId="57BAA96C" w14:textId="77777777" w:rsidR="00F765DA" w:rsidRPr="004E5B78" w:rsidRDefault="00F765DA" w:rsidP="00F765DA">
      <w:pPr>
        <w:pStyle w:val="Heading1"/>
      </w:pPr>
      <w:bookmarkStart w:id="11" w:name="_Toc525141260"/>
      <w:r>
        <w:lastRenderedPageBreak/>
        <w:t>The stock of equipment</w:t>
      </w:r>
      <w:bookmarkEnd w:id="10"/>
      <w:bookmarkEnd w:id="11"/>
    </w:p>
    <w:p w14:paraId="2F027472" w14:textId="77777777" w:rsidR="00F765DA" w:rsidRDefault="00F765DA" w:rsidP="00F765DA">
      <w:pPr>
        <w:pStyle w:val="Heading2"/>
        <w:ind w:left="567" w:hanging="567"/>
      </w:pPr>
      <w:bookmarkStart w:id="12" w:name="_Toc494190146"/>
      <w:bookmarkStart w:id="13" w:name="_Toc525141261"/>
      <w:r>
        <w:t>The scale of events</w:t>
      </w:r>
      <w:bookmarkEnd w:id="12"/>
      <w:bookmarkEnd w:id="13"/>
    </w:p>
    <w:p w14:paraId="1F0A729F" w14:textId="031CB32B" w:rsidR="00332510" w:rsidRDefault="00F765DA" w:rsidP="00F765DA">
      <w:pPr>
        <w:rPr>
          <w:szCs w:val="22"/>
        </w:rPr>
      </w:pPr>
      <w:r w:rsidRPr="0035353E">
        <w:rPr>
          <w:szCs w:val="22"/>
        </w:rPr>
        <w:t xml:space="preserve">The Expert Group RAC </w:t>
      </w:r>
      <w:r w:rsidR="00C45435" w:rsidRPr="00C45435">
        <w:rPr>
          <w:szCs w:val="22"/>
        </w:rPr>
        <w:t xml:space="preserve">Age-Cohort Mass Balance </w:t>
      </w:r>
      <w:r w:rsidRPr="0035353E">
        <w:rPr>
          <w:szCs w:val="22"/>
        </w:rPr>
        <w:t xml:space="preserve">Stock Model </w:t>
      </w:r>
      <w:r w:rsidR="00C45435">
        <w:rPr>
          <w:szCs w:val="22"/>
        </w:rPr>
        <w:t xml:space="preserve">(RAC Stock model) </w:t>
      </w:r>
      <w:r w:rsidRPr="0035353E">
        <w:rPr>
          <w:szCs w:val="22"/>
        </w:rPr>
        <w:t>shows that RAC equipment in all its forms is delivered in Australia via over 5</w:t>
      </w:r>
      <w:r w:rsidR="005C3F5E">
        <w:rPr>
          <w:szCs w:val="22"/>
        </w:rPr>
        <w:t>4</w:t>
      </w:r>
      <w:r w:rsidRPr="0035353E">
        <w:rPr>
          <w:szCs w:val="22"/>
        </w:rPr>
        <w:t xml:space="preserve"> million individual pieces of equipment</w:t>
      </w:r>
      <w:r>
        <w:rPr>
          <w:szCs w:val="22"/>
        </w:rPr>
        <w:t xml:space="preserve"> (</w:t>
      </w:r>
      <w:r w:rsidRPr="009E4D44">
        <w:rPr>
          <w:i/>
          <w:szCs w:val="22"/>
        </w:rPr>
        <w:t>CHF2, 45 million</w:t>
      </w:r>
      <w:r w:rsidRPr="009E4D44">
        <w:rPr>
          <w:szCs w:val="22"/>
        </w:rPr>
        <w:t>).</w:t>
      </w:r>
      <w:r w:rsidRPr="00B37F8A">
        <w:rPr>
          <w:szCs w:val="22"/>
        </w:rPr>
        <w:t xml:space="preserve"> The stock m</w:t>
      </w:r>
      <w:r>
        <w:rPr>
          <w:szCs w:val="22"/>
        </w:rPr>
        <w:t>odel also estimates that in the last few</w:t>
      </w:r>
      <w:r w:rsidRPr="00B37F8A">
        <w:rPr>
          <w:szCs w:val="22"/>
        </w:rPr>
        <w:t xml:space="preserve"> years </w:t>
      </w:r>
      <w:r w:rsidRPr="004A0DD4">
        <w:rPr>
          <w:szCs w:val="22"/>
        </w:rPr>
        <w:t xml:space="preserve">Australians have spent around </w:t>
      </w:r>
      <w:r w:rsidR="00E300C5">
        <w:rPr>
          <w:szCs w:val="22"/>
        </w:rPr>
        <w:br/>
      </w:r>
      <w:r w:rsidRPr="004A0DD4">
        <w:rPr>
          <w:szCs w:val="22"/>
        </w:rPr>
        <w:t>$</w:t>
      </w:r>
      <w:r w:rsidR="00906893" w:rsidRPr="004A0DD4">
        <w:rPr>
          <w:szCs w:val="22"/>
        </w:rPr>
        <w:t>8.2</w:t>
      </w:r>
      <w:r w:rsidRPr="004A0DD4">
        <w:rPr>
          <w:szCs w:val="22"/>
        </w:rPr>
        <w:t xml:space="preserve"> billion (</w:t>
      </w:r>
      <w:r w:rsidRPr="004A0DD4">
        <w:rPr>
          <w:i/>
          <w:szCs w:val="22"/>
        </w:rPr>
        <w:t>CHF2, $5.8 billion</w:t>
      </w:r>
      <w:r w:rsidRPr="004A0DD4">
        <w:rPr>
          <w:szCs w:val="22"/>
        </w:rPr>
        <w:t>) every year buying and installing new devices across all classes of RAC equipment.</w:t>
      </w:r>
    </w:p>
    <w:p w14:paraId="268F2980" w14:textId="7537E5DA" w:rsidR="00F765DA" w:rsidRPr="00B37F8A" w:rsidRDefault="005141D6" w:rsidP="00F765DA">
      <w:pPr>
        <w:rPr>
          <w:szCs w:val="22"/>
        </w:rPr>
      </w:pPr>
      <w:r>
        <w:rPr>
          <w:szCs w:val="22"/>
        </w:rPr>
        <w:t>E</w:t>
      </w:r>
      <w:r w:rsidR="00F765DA" w:rsidRPr="009C7616">
        <w:rPr>
          <w:szCs w:val="22"/>
        </w:rPr>
        <w:t xml:space="preserve">very year an estimated 2 million devices containing </w:t>
      </w:r>
      <w:r w:rsidR="00D833D2" w:rsidRPr="009C7616">
        <w:rPr>
          <w:szCs w:val="22"/>
        </w:rPr>
        <w:t xml:space="preserve">more than </w:t>
      </w:r>
      <w:r w:rsidR="008E1312" w:rsidRPr="009C7616">
        <w:rPr>
          <w:szCs w:val="22"/>
        </w:rPr>
        <w:t>1,990</w:t>
      </w:r>
      <w:r w:rsidR="00F765DA" w:rsidRPr="009C7616">
        <w:rPr>
          <w:szCs w:val="22"/>
        </w:rPr>
        <w:t xml:space="preserve"> tonnes of refrigerant reach the end of their useful life, including </w:t>
      </w:r>
      <w:r w:rsidR="009C7616" w:rsidRPr="009C7616">
        <w:rPr>
          <w:szCs w:val="22"/>
        </w:rPr>
        <w:t xml:space="preserve">110 tonnes in </w:t>
      </w:r>
      <w:r w:rsidR="00F765DA" w:rsidRPr="009C7616">
        <w:rPr>
          <w:szCs w:val="22"/>
        </w:rPr>
        <w:t xml:space="preserve">domestic refrigerators and freezers, </w:t>
      </w:r>
      <w:r w:rsidR="009C7616" w:rsidRPr="009C7616">
        <w:rPr>
          <w:szCs w:val="22"/>
        </w:rPr>
        <w:t xml:space="preserve">1,240 tonnes in </w:t>
      </w:r>
      <w:r w:rsidR="00F765DA" w:rsidRPr="009C7616">
        <w:rPr>
          <w:szCs w:val="22"/>
        </w:rPr>
        <w:t xml:space="preserve">air conditioners, </w:t>
      </w:r>
      <w:r w:rsidR="009C7616" w:rsidRPr="009C7616">
        <w:rPr>
          <w:szCs w:val="22"/>
        </w:rPr>
        <w:t xml:space="preserve">420 tonnes in </w:t>
      </w:r>
      <w:r w:rsidR="00E300C5">
        <w:rPr>
          <w:szCs w:val="22"/>
        </w:rPr>
        <w:t xml:space="preserve">motor </w:t>
      </w:r>
      <w:r w:rsidR="00F765DA" w:rsidRPr="009C7616">
        <w:rPr>
          <w:szCs w:val="22"/>
        </w:rPr>
        <w:t xml:space="preserve">vehicles of all types, and </w:t>
      </w:r>
      <w:r w:rsidR="009C7616" w:rsidRPr="009C7616">
        <w:rPr>
          <w:szCs w:val="22"/>
        </w:rPr>
        <w:t>220 tonnes in</w:t>
      </w:r>
      <w:r w:rsidR="00F765DA" w:rsidRPr="009C7616">
        <w:rPr>
          <w:szCs w:val="22"/>
        </w:rPr>
        <w:t xml:space="preserve"> commercial refrigeration </w:t>
      </w:r>
      <w:r w:rsidR="009C7616" w:rsidRPr="009C7616">
        <w:rPr>
          <w:szCs w:val="22"/>
        </w:rPr>
        <w:t>equipment</w:t>
      </w:r>
      <w:r w:rsidR="00F765DA" w:rsidRPr="009C7616">
        <w:rPr>
          <w:szCs w:val="22"/>
        </w:rPr>
        <w:t>.</w:t>
      </w:r>
    </w:p>
    <w:p w14:paraId="5D37DB34" w14:textId="63D2C274" w:rsidR="00F765DA" w:rsidRPr="00B37F8A" w:rsidRDefault="00F765DA" w:rsidP="00F765DA">
      <w:pPr>
        <w:rPr>
          <w:szCs w:val="22"/>
        </w:rPr>
      </w:pPr>
      <w:r>
        <w:rPr>
          <w:szCs w:val="22"/>
        </w:rPr>
        <w:t>The authors note</w:t>
      </w:r>
      <w:r w:rsidRPr="00B37F8A">
        <w:rPr>
          <w:szCs w:val="22"/>
        </w:rPr>
        <w:t xml:space="preserve"> frequent anecdota</w:t>
      </w:r>
      <w:r>
        <w:rPr>
          <w:szCs w:val="22"/>
        </w:rPr>
        <w:t xml:space="preserve">l reports of </w:t>
      </w:r>
      <w:r w:rsidRPr="00B37F8A">
        <w:rPr>
          <w:szCs w:val="22"/>
        </w:rPr>
        <w:t xml:space="preserve">refrigeration and air </w:t>
      </w:r>
      <w:r>
        <w:rPr>
          <w:szCs w:val="22"/>
        </w:rPr>
        <w:t>conditioning equipment that continues</w:t>
      </w:r>
      <w:r w:rsidRPr="00B37F8A">
        <w:rPr>
          <w:szCs w:val="22"/>
        </w:rPr>
        <w:t xml:space="preserve"> to operate for many</w:t>
      </w:r>
      <w:r>
        <w:rPr>
          <w:szCs w:val="22"/>
        </w:rPr>
        <w:t xml:space="preserve"> decades, well beyond the average life used in the stock model</w:t>
      </w:r>
      <w:r w:rsidR="000047CA">
        <w:rPr>
          <w:szCs w:val="22"/>
        </w:rPr>
        <w:t>.</w:t>
      </w:r>
      <w:r w:rsidR="006175F1">
        <w:rPr>
          <w:rStyle w:val="FootnoteReference"/>
          <w:szCs w:val="22"/>
        </w:rPr>
        <w:footnoteReference w:id="8"/>
      </w:r>
      <w:r w:rsidRPr="00B37F8A">
        <w:rPr>
          <w:szCs w:val="22"/>
        </w:rPr>
        <w:t xml:space="preserve"> </w:t>
      </w:r>
    </w:p>
    <w:p w14:paraId="42E15393" w14:textId="77777777" w:rsidR="00F765DA" w:rsidRPr="00B37F8A" w:rsidRDefault="00F765DA" w:rsidP="00F765DA">
      <w:pPr>
        <w:rPr>
          <w:szCs w:val="22"/>
        </w:rPr>
      </w:pPr>
      <w:r w:rsidRPr="00B37F8A">
        <w:rPr>
          <w:szCs w:val="22"/>
        </w:rPr>
        <w:t xml:space="preserve">While these anecdotes do not provide a sufficient basis for adjusting the assumptions on </w:t>
      </w:r>
      <w:r>
        <w:rPr>
          <w:szCs w:val="22"/>
        </w:rPr>
        <w:t xml:space="preserve">average </w:t>
      </w:r>
      <w:r w:rsidRPr="00B37F8A">
        <w:rPr>
          <w:szCs w:val="22"/>
        </w:rPr>
        <w:t xml:space="preserve">equipment life that are used, </w:t>
      </w:r>
      <w:r>
        <w:rPr>
          <w:szCs w:val="22"/>
        </w:rPr>
        <w:t xml:space="preserve">they </w:t>
      </w:r>
      <w:r w:rsidRPr="00B37F8A">
        <w:rPr>
          <w:szCs w:val="22"/>
        </w:rPr>
        <w:t>are persistent</w:t>
      </w:r>
      <w:r>
        <w:rPr>
          <w:szCs w:val="22"/>
        </w:rPr>
        <w:t>,</w:t>
      </w:r>
      <w:r w:rsidRPr="00B37F8A">
        <w:rPr>
          <w:szCs w:val="22"/>
        </w:rPr>
        <w:t xml:space="preserve"> and frequently report similar types of equipment as being particularly long lasting. Many people</w:t>
      </w:r>
      <w:r>
        <w:rPr>
          <w:szCs w:val="22"/>
        </w:rPr>
        <w:t>, for instance, are likely to have encountered a</w:t>
      </w:r>
      <w:r w:rsidRPr="00B37F8A">
        <w:rPr>
          <w:szCs w:val="22"/>
        </w:rPr>
        <w:t xml:space="preserve"> </w:t>
      </w:r>
      <w:r>
        <w:rPr>
          <w:szCs w:val="22"/>
        </w:rPr>
        <w:t>25, 30</w:t>
      </w:r>
      <w:r w:rsidRPr="00B37F8A">
        <w:rPr>
          <w:szCs w:val="22"/>
        </w:rPr>
        <w:t xml:space="preserve"> </w:t>
      </w:r>
      <w:r>
        <w:rPr>
          <w:szCs w:val="22"/>
        </w:rPr>
        <w:t xml:space="preserve">or even 40 </w:t>
      </w:r>
      <w:r w:rsidRPr="00B37F8A">
        <w:rPr>
          <w:szCs w:val="22"/>
        </w:rPr>
        <w:t xml:space="preserve">year old domestic </w:t>
      </w:r>
      <w:r>
        <w:rPr>
          <w:szCs w:val="22"/>
        </w:rPr>
        <w:t>refrigerator</w:t>
      </w:r>
      <w:r w:rsidRPr="00B37F8A">
        <w:rPr>
          <w:szCs w:val="22"/>
        </w:rPr>
        <w:t xml:space="preserve"> that still runs, possibly as a ‘beer fridge’ in someone’s garage. Industry participants also report </w:t>
      </w:r>
      <w:r>
        <w:rPr>
          <w:szCs w:val="22"/>
        </w:rPr>
        <w:t xml:space="preserve">exceptional </w:t>
      </w:r>
      <w:r w:rsidRPr="00B37F8A">
        <w:rPr>
          <w:szCs w:val="22"/>
        </w:rPr>
        <w:t xml:space="preserve">longevity in some well-made commercial refrigerators and in medium sized </w:t>
      </w:r>
      <w:r>
        <w:rPr>
          <w:szCs w:val="22"/>
        </w:rPr>
        <w:t xml:space="preserve">commercial space </w:t>
      </w:r>
      <w:r w:rsidRPr="00B37F8A">
        <w:rPr>
          <w:szCs w:val="22"/>
        </w:rPr>
        <w:t xml:space="preserve">chillers. </w:t>
      </w:r>
    </w:p>
    <w:p w14:paraId="595007A4" w14:textId="6914B1DE" w:rsidR="00F765DA" w:rsidRPr="00B37F8A" w:rsidRDefault="00F765DA" w:rsidP="00F765DA">
      <w:pPr>
        <w:rPr>
          <w:szCs w:val="22"/>
        </w:rPr>
      </w:pPr>
      <w:r w:rsidRPr="00B37F8A">
        <w:rPr>
          <w:szCs w:val="22"/>
        </w:rPr>
        <w:t xml:space="preserve">Another indicator </w:t>
      </w:r>
      <w:r>
        <w:rPr>
          <w:szCs w:val="22"/>
        </w:rPr>
        <w:t>of some classes of</w:t>
      </w:r>
      <w:r w:rsidRPr="00B37F8A">
        <w:rPr>
          <w:szCs w:val="22"/>
        </w:rPr>
        <w:t xml:space="preserve"> long lasting equipment</w:t>
      </w:r>
      <w:r>
        <w:rPr>
          <w:szCs w:val="22"/>
        </w:rPr>
        <w:t xml:space="preserve"> still operating </w:t>
      </w:r>
      <w:r w:rsidRPr="00B37F8A">
        <w:rPr>
          <w:szCs w:val="22"/>
        </w:rPr>
        <w:t xml:space="preserve">is the continuing presence of </w:t>
      </w:r>
      <w:r>
        <w:rPr>
          <w:szCs w:val="22"/>
        </w:rPr>
        <w:t>chlorofluorocarbons (</w:t>
      </w:r>
      <w:r w:rsidRPr="00B37F8A">
        <w:rPr>
          <w:szCs w:val="22"/>
        </w:rPr>
        <w:t>CFCs</w:t>
      </w:r>
      <w:r>
        <w:rPr>
          <w:szCs w:val="22"/>
        </w:rPr>
        <w:t>)</w:t>
      </w:r>
      <w:r w:rsidRPr="00B37F8A">
        <w:rPr>
          <w:szCs w:val="22"/>
        </w:rPr>
        <w:t xml:space="preserve"> in the stream of waste </w:t>
      </w:r>
      <w:r w:rsidR="00614D4B">
        <w:rPr>
          <w:szCs w:val="22"/>
        </w:rPr>
        <w:t>refrigerant</w:t>
      </w:r>
      <w:r w:rsidR="00614D4B" w:rsidRPr="00B37F8A">
        <w:rPr>
          <w:szCs w:val="22"/>
        </w:rPr>
        <w:t xml:space="preserve"> </w:t>
      </w:r>
      <w:r w:rsidRPr="00B37F8A">
        <w:rPr>
          <w:szCs w:val="22"/>
        </w:rPr>
        <w:t>delivered for destruction</w:t>
      </w:r>
      <w:r>
        <w:rPr>
          <w:szCs w:val="22"/>
        </w:rPr>
        <w:t xml:space="preserve"> (see </w:t>
      </w:r>
      <w:r w:rsidR="00C00FD5" w:rsidRPr="00C00FD5">
        <w:rPr>
          <w:i/>
          <w:szCs w:val="22"/>
        </w:rPr>
        <w:t xml:space="preserve">Section </w:t>
      </w:r>
      <w:r w:rsidR="00BB16C6">
        <w:rPr>
          <w:i/>
          <w:szCs w:val="22"/>
        </w:rPr>
        <w:t>8.7</w:t>
      </w:r>
      <w:r w:rsidR="00C00FD5" w:rsidRPr="00C00FD5">
        <w:rPr>
          <w:i/>
          <w:szCs w:val="22"/>
        </w:rPr>
        <w:t>: End</w:t>
      </w:r>
      <w:r w:rsidR="00FC5FC6">
        <w:rPr>
          <w:i/>
          <w:szCs w:val="22"/>
        </w:rPr>
        <w:t>-</w:t>
      </w:r>
      <w:r w:rsidR="00C00FD5" w:rsidRPr="00C00FD5">
        <w:rPr>
          <w:i/>
          <w:szCs w:val="22"/>
        </w:rPr>
        <w:t>of</w:t>
      </w:r>
      <w:r w:rsidR="00FC5FC6">
        <w:rPr>
          <w:i/>
          <w:szCs w:val="22"/>
        </w:rPr>
        <w:t>-</w:t>
      </w:r>
      <w:r w:rsidR="00C00FD5" w:rsidRPr="00C00FD5">
        <w:rPr>
          <w:i/>
          <w:szCs w:val="22"/>
        </w:rPr>
        <w:t>life emissions and RRA data</w:t>
      </w:r>
      <w:r>
        <w:rPr>
          <w:i/>
          <w:szCs w:val="22"/>
        </w:rPr>
        <w:t>)</w:t>
      </w:r>
      <w:r w:rsidRPr="00B37F8A">
        <w:rPr>
          <w:szCs w:val="22"/>
        </w:rPr>
        <w:t xml:space="preserve">. </w:t>
      </w:r>
      <w:r>
        <w:rPr>
          <w:szCs w:val="22"/>
        </w:rPr>
        <w:t xml:space="preserve">The importation and manufacture of </w:t>
      </w:r>
      <w:r w:rsidRPr="00B37F8A">
        <w:rPr>
          <w:szCs w:val="22"/>
        </w:rPr>
        <w:t xml:space="preserve">CFCs </w:t>
      </w:r>
      <w:r w:rsidR="00E300C5">
        <w:rPr>
          <w:szCs w:val="22"/>
        </w:rPr>
        <w:t>was</w:t>
      </w:r>
      <w:r w:rsidR="00E300C5" w:rsidRPr="00B37F8A">
        <w:rPr>
          <w:szCs w:val="22"/>
        </w:rPr>
        <w:t xml:space="preserve"> </w:t>
      </w:r>
      <w:r w:rsidRPr="00B37F8A">
        <w:rPr>
          <w:szCs w:val="22"/>
        </w:rPr>
        <w:t xml:space="preserve">banned from 1996, and while some of the waste CFCs delivered for </w:t>
      </w:r>
      <w:r>
        <w:rPr>
          <w:szCs w:val="22"/>
        </w:rPr>
        <w:t xml:space="preserve">destruction may arrive </w:t>
      </w:r>
      <w:r w:rsidRPr="00B37F8A">
        <w:rPr>
          <w:szCs w:val="22"/>
        </w:rPr>
        <w:t>in old 44 gallon drums</w:t>
      </w:r>
      <w:r>
        <w:rPr>
          <w:szCs w:val="22"/>
        </w:rPr>
        <w:t xml:space="preserve"> (</w:t>
      </w:r>
      <w:r w:rsidR="009F5EAE">
        <w:rPr>
          <w:szCs w:val="22"/>
        </w:rPr>
        <w:t>i.e.</w:t>
      </w:r>
      <w:r>
        <w:rPr>
          <w:szCs w:val="22"/>
        </w:rPr>
        <w:t xml:space="preserve"> still in the bulk container that it was purchased in)</w:t>
      </w:r>
      <w:r w:rsidRPr="00B37F8A">
        <w:rPr>
          <w:szCs w:val="22"/>
        </w:rPr>
        <w:t>, some of it is certainly being recovered from equipment only now being decommiss</w:t>
      </w:r>
      <w:r>
        <w:rPr>
          <w:szCs w:val="22"/>
        </w:rPr>
        <w:t>ioned at end-of-life (or possibly even old equipment being</w:t>
      </w:r>
      <w:r w:rsidRPr="00B37F8A">
        <w:rPr>
          <w:szCs w:val="22"/>
        </w:rPr>
        <w:t xml:space="preserve"> refurbished and having the gas charge replaced).  </w:t>
      </w:r>
    </w:p>
    <w:p w14:paraId="6E42053A" w14:textId="170E2B7B" w:rsidR="00F765DA" w:rsidRDefault="00F765DA" w:rsidP="00F765DA">
      <w:pPr>
        <w:rPr>
          <w:szCs w:val="22"/>
        </w:rPr>
      </w:pPr>
      <w:r>
        <w:rPr>
          <w:szCs w:val="22"/>
        </w:rPr>
        <w:t xml:space="preserve">What this illustrates is that some of the millions of pieces of RAC equipment introduced to the economy every year will continue to be operational for decades and that, even while global agreements are driving the industry towards the use of lower GWP refrigerants, older generations of </w:t>
      </w:r>
      <w:r w:rsidR="00FE74F2">
        <w:rPr>
          <w:szCs w:val="22"/>
        </w:rPr>
        <w:t>refrigerants</w:t>
      </w:r>
      <w:r>
        <w:rPr>
          <w:szCs w:val="22"/>
        </w:rPr>
        <w:t xml:space="preserve"> will still be either lost to </w:t>
      </w:r>
      <w:r w:rsidR="00A70932">
        <w:rPr>
          <w:szCs w:val="22"/>
        </w:rPr>
        <w:t xml:space="preserve">the </w:t>
      </w:r>
      <w:r>
        <w:rPr>
          <w:szCs w:val="22"/>
        </w:rPr>
        <w:t>atmosphere or recovered for destruction for many years into the future.</w:t>
      </w:r>
    </w:p>
    <w:p w14:paraId="75CF7C6D" w14:textId="77777777" w:rsidR="00F765DA" w:rsidRDefault="00F765DA" w:rsidP="00F765DA">
      <w:pPr>
        <w:rPr>
          <w:szCs w:val="22"/>
        </w:rPr>
      </w:pPr>
      <w:r w:rsidRPr="00B37F8A">
        <w:rPr>
          <w:szCs w:val="22"/>
        </w:rPr>
        <w:t xml:space="preserve">Each of the four main classes of equipment is </w:t>
      </w:r>
      <w:r>
        <w:rPr>
          <w:szCs w:val="22"/>
        </w:rPr>
        <w:t xml:space="preserve">discussed in detail in the sections that follow. </w:t>
      </w:r>
    </w:p>
    <w:p w14:paraId="33E55344" w14:textId="77777777" w:rsidR="00F765DA" w:rsidRDefault="00F765DA" w:rsidP="00F765DA">
      <w:pPr>
        <w:spacing w:before="0"/>
        <w:jc w:val="left"/>
        <w:rPr>
          <w:rFonts w:cs="Times New Roman"/>
          <w:szCs w:val="22"/>
        </w:rPr>
      </w:pPr>
    </w:p>
    <w:p w14:paraId="14D68F54" w14:textId="77777777" w:rsidR="0056567F" w:rsidRDefault="0056567F">
      <w:pPr>
        <w:spacing w:before="0"/>
        <w:jc w:val="left"/>
        <w:rPr>
          <w:rFonts w:cs="Times New Roman"/>
          <w:szCs w:val="22"/>
        </w:rPr>
      </w:pPr>
      <w:r>
        <w:rPr>
          <w:rFonts w:cs="Times New Roman"/>
          <w:szCs w:val="22"/>
        </w:rPr>
        <w:br w:type="page"/>
      </w:r>
    </w:p>
    <w:p w14:paraId="392A683C" w14:textId="77777777" w:rsidR="0056567F" w:rsidRDefault="0056567F" w:rsidP="0056567F">
      <w:pPr>
        <w:pStyle w:val="Heading2"/>
        <w:ind w:left="567" w:hanging="567"/>
      </w:pPr>
      <w:bookmarkStart w:id="14" w:name="_Toc494190147"/>
      <w:bookmarkStart w:id="15" w:name="_Toc525141262"/>
      <w:r>
        <w:lastRenderedPageBreak/>
        <w:t>Stationary air conditioning</w:t>
      </w:r>
      <w:bookmarkEnd w:id="14"/>
      <w:bookmarkEnd w:id="15"/>
    </w:p>
    <w:p w14:paraId="06629B3A" w14:textId="4E2BA2F9" w:rsidR="00B85D06" w:rsidRPr="00D6789F" w:rsidRDefault="00B85D06" w:rsidP="00B85D06">
      <w:pPr>
        <w:rPr>
          <w:szCs w:val="22"/>
        </w:rPr>
      </w:pPr>
      <w:r w:rsidRPr="00D6789F">
        <w:rPr>
          <w:szCs w:val="22"/>
        </w:rPr>
        <w:t xml:space="preserve">Stationary air conditioning equipment contains the largest portion of the bank of </w:t>
      </w:r>
      <w:r w:rsidR="0038181B">
        <w:rPr>
          <w:szCs w:val="22"/>
        </w:rPr>
        <w:t>refrigerant</w:t>
      </w:r>
      <w:r w:rsidRPr="00D6789F">
        <w:rPr>
          <w:szCs w:val="22"/>
        </w:rPr>
        <w:t xml:space="preserve">, </w:t>
      </w:r>
      <w:r w:rsidR="00614D4B">
        <w:rPr>
          <w:szCs w:val="22"/>
        </w:rPr>
        <w:t>uses</w:t>
      </w:r>
      <w:r w:rsidR="00614D4B" w:rsidRPr="00D6789F">
        <w:rPr>
          <w:szCs w:val="22"/>
        </w:rPr>
        <w:t xml:space="preserve"> </w:t>
      </w:r>
      <w:r w:rsidRPr="00D6789F">
        <w:rPr>
          <w:szCs w:val="22"/>
        </w:rPr>
        <w:t xml:space="preserve">the largest portion of annual bulk </w:t>
      </w:r>
      <w:r w:rsidR="00614D4B">
        <w:rPr>
          <w:szCs w:val="22"/>
        </w:rPr>
        <w:t>refrigerant</w:t>
      </w:r>
      <w:r w:rsidR="00614D4B" w:rsidRPr="00D6789F">
        <w:rPr>
          <w:szCs w:val="22"/>
        </w:rPr>
        <w:t xml:space="preserve"> </w:t>
      </w:r>
      <w:r w:rsidRPr="00D6789F">
        <w:rPr>
          <w:szCs w:val="22"/>
        </w:rPr>
        <w:t xml:space="preserve">imports, and </w:t>
      </w:r>
      <w:r w:rsidR="00E32F4A">
        <w:rPr>
          <w:szCs w:val="22"/>
        </w:rPr>
        <w:t>consumes</w:t>
      </w:r>
      <w:r w:rsidRPr="00D6789F">
        <w:rPr>
          <w:szCs w:val="22"/>
        </w:rPr>
        <w:t xml:space="preserve"> more electricity than any of the other classes of equipment in the RAC industry.</w:t>
      </w:r>
    </w:p>
    <w:p w14:paraId="0FE9A35D" w14:textId="6B0C7EA1" w:rsidR="00B85D06" w:rsidRDefault="00B85D06" w:rsidP="00B85D06">
      <w:pPr>
        <w:rPr>
          <w:szCs w:val="22"/>
        </w:rPr>
      </w:pPr>
      <w:r w:rsidRPr="00D6789F">
        <w:rPr>
          <w:szCs w:val="22"/>
        </w:rPr>
        <w:t>Stationary air conditioning and heat pumps as a broad class of equipment includes all forms of stationary equipment that use the vapour compression cycle to provide human comfort</w:t>
      </w:r>
      <w:r>
        <w:rPr>
          <w:szCs w:val="22"/>
        </w:rPr>
        <w:t xml:space="preserve"> in buildings of all sorts</w:t>
      </w:r>
      <w:r w:rsidRPr="00D6789F">
        <w:rPr>
          <w:szCs w:val="22"/>
        </w:rPr>
        <w:t>, and to provide close temperature control in data processing areas</w:t>
      </w:r>
      <w:r>
        <w:rPr>
          <w:szCs w:val="22"/>
        </w:rPr>
        <w:t>, medical</w:t>
      </w:r>
      <w:r w:rsidR="0011784B">
        <w:rPr>
          <w:szCs w:val="22"/>
        </w:rPr>
        <w:t xml:space="preserve"> facilities</w:t>
      </w:r>
      <w:r>
        <w:rPr>
          <w:szCs w:val="22"/>
        </w:rPr>
        <w:t xml:space="preserve"> and scientific laboratories.</w:t>
      </w:r>
    </w:p>
    <w:p w14:paraId="112CEF78" w14:textId="4C95A408" w:rsidR="00B85D06" w:rsidRPr="00811D8F" w:rsidRDefault="00B85D06" w:rsidP="00B85D06">
      <w:pPr>
        <w:rPr>
          <w:szCs w:val="22"/>
        </w:rPr>
      </w:pPr>
      <w:r w:rsidRPr="00811D8F">
        <w:rPr>
          <w:szCs w:val="22"/>
        </w:rPr>
        <w:t>This class of equipment is a very broad group that includes equipment that can operate in reverse-cycle (heating and cooling) or cooling only, on single phase or three phase power and range</w:t>
      </w:r>
      <w:r>
        <w:rPr>
          <w:szCs w:val="22"/>
        </w:rPr>
        <w:t>s</w:t>
      </w:r>
      <w:r w:rsidRPr="00811D8F">
        <w:rPr>
          <w:szCs w:val="22"/>
        </w:rPr>
        <w:t xml:space="preserve"> in size from small </w:t>
      </w:r>
      <w:r w:rsidR="00614D4B" w:rsidRPr="00811D8F">
        <w:rPr>
          <w:szCs w:val="22"/>
        </w:rPr>
        <w:t>2</w:t>
      </w:r>
      <w:r w:rsidR="00614D4B">
        <w:rPr>
          <w:szCs w:val="22"/>
        </w:rPr>
        <w:t> </w:t>
      </w:r>
      <w:r w:rsidRPr="00811D8F">
        <w:rPr>
          <w:szCs w:val="22"/>
        </w:rPr>
        <w:t>kWr domestic portable air conditioner</w:t>
      </w:r>
      <w:r w:rsidR="009942A9">
        <w:rPr>
          <w:szCs w:val="22"/>
        </w:rPr>
        <w:t>s</w:t>
      </w:r>
      <w:r w:rsidRPr="00811D8F">
        <w:rPr>
          <w:szCs w:val="22"/>
        </w:rPr>
        <w:t>, with a refrigerant charge of less than 600 grams, to large 4,</w:t>
      </w:r>
      <w:r w:rsidR="00614D4B" w:rsidRPr="00811D8F">
        <w:rPr>
          <w:szCs w:val="22"/>
        </w:rPr>
        <w:t>000</w:t>
      </w:r>
      <w:r w:rsidR="00614D4B">
        <w:rPr>
          <w:szCs w:val="22"/>
        </w:rPr>
        <w:t> </w:t>
      </w:r>
      <w:r w:rsidRPr="00811D8F">
        <w:rPr>
          <w:szCs w:val="22"/>
        </w:rPr>
        <w:t>kWr commercial space chillers containing more than a tonne of refrigerant in a single machine.</w:t>
      </w:r>
    </w:p>
    <w:p w14:paraId="03EB896B" w14:textId="5962E20B" w:rsidR="00B85D06" w:rsidRPr="00D6789F" w:rsidRDefault="00B85D06" w:rsidP="00B85D06">
      <w:pPr>
        <w:rPr>
          <w:szCs w:val="22"/>
        </w:rPr>
      </w:pPr>
      <w:r>
        <w:rPr>
          <w:szCs w:val="22"/>
        </w:rPr>
        <w:t xml:space="preserve">This </w:t>
      </w:r>
      <w:r w:rsidR="00614D4B">
        <w:rPr>
          <w:szCs w:val="22"/>
        </w:rPr>
        <w:t>c</w:t>
      </w:r>
      <w:r w:rsidR="009942A9">
        <w:rPr>
          <w:szCs w:val="22"/>
        </w:rPr>
        <w:t>lass</w:t>
      </w:r>
      <w:r>
        <w:rPr>
          <w:szCs w:val="22"/>
        </w:rPr>
        <w:t xml:space="preserve"> includes heat pumps used for other applications such as heating water, heating swimming pools and drying cloth</w:t>
      </w:r>
      <w:r w:rsidR="0011784B">
        <w:rPr>
          <w:szCs w:val="22"/>
        </w:rPr>
        <w:t>e</w:t>
      </w:r>
      <w:r>
        <w:rPr>
          <w:szCs w:val="22"/>
        </w:rPr>
        <w:t>s. Evaporative air</w:t>
      </w:r>
      <w:r w:rsidR="00EF0702">
        <w:rPr>
          <w:szCs w:val="22"/>
        </w:rPr>
        <w:t xml:space="preserve"> </w:t>
      </w:r>
      <w:r>
        <w:rPr>
          <w:szCs w:val="22"/>
        </w:rPr>
        <w:t xml:space="preserve">conditioning that does not use a </w:t>
      </w:r>
      <w:r w:rsidR="009F5EAE">
        <w:rPr>
          <w:szCs w:val="22"/>
        </w:rPr>
        <w:t>vapour</w:t>
      </w:r>
      <w:r>
        <w:rPr>
          <w:szCs w:val="22"/>
        </w:rPr>
        <w:t xml:space="preserve"> compression cycle is not included, although in recent years </w:t>
      </w:r>
      <w:r w:rsidR="009942A9">
        <w:rPr>
          <w:szCs w:val="22"/>
        </w:rPr>
        <w:t xml:space="preserve">small and large </w:t>
      </w:r>
      <w:r w:rsidR="00F503A7">
        <w:rPr>
          <w:szCs w:val="22"/>
        </w:rPr>
        <w:t xml:space="preserve">indirect evaporative systems sometimes </w:t>
      </w:r>
      <w:r w:rsidR="009F5EAE">
        <w:rPr>
          <w:szCs w:val="22"/>
        </w:rPr>
        <w:t>referred</w:t>
      </w:r>
      <w:r w:rsidR="00F503A7">
        <w:rPr>
          <w:szCs w:val="22"/>
        </w:rPr>
        <w:t xml:space="preserve"> to as </w:t>
      </w:r>
      <w:r>
        <w:rPr>
          <w:szCs w:val="22"/>
        </w:rPr>
        <w:t xml:space="preserve">hybrid </w:t>
      </w:r>
      <w:r w:rsidR="00F503A7">
        <w:rPr>
          <w:szCs w:val="22"/>
        </w:rPr>
        <w:t xml:space="preserve">renewable technology have emerged as a viable technology to displace </w:t>
      </w:r>
      <w:r w:rsidR="009F5EAE">
        <w:rPr>
          <w:szCs w:val="22"/>
        </w:rPr>
        <w:t>vapour</w:t>
      </w:r>
      <w:r w:rsidR="00F503A7">
        <w:rPr>
          <w:szCs w:val="22"/>
        </w:rPr>
        <w:t xml:space="preserve"> compression technology in some instances</w:t>
      </w:r>
      <w:r>
        <w:rPr>
          <w:szCs w:val="22"/>
        </w:rPr>
        <w:t>.</w:t>
      </w:r>
    </w:p>
    <w:p w14:paraId="534D7726" w14:textId="1C540B0D" w:rsidR="00144ADA" w:rsidRDefault="00144ADA" w:rsidP="00B85D06">
      <w:pPr>
        <w:spacing w:before="60" w:after="60"/>
        <w:rPr>
          <w:szCs w:val="22"/>
        </w:rPr>
      </w:pPr>
      <w:r w:rsidRPr="00144ADA">
        <w:rPr>
          <w:szCs w:val="22"/>
        </w:rPr>
        <w:t>The four major segments and eighteen product categories that make up this class account for approximately 61% of the bank of refrigerant in Australia, around 31,200 tonnes, in more than 14.4 million devices</w:t>
      </w:r>
      <w:r>
        <w:rPr>
          <w:szCs w:val="22"/>
        </w:rPr>
        <w:t xml:space="preserve">. Stationary air conditioning </w:t>
      </w:r>
      <w:r w:rsidRPr="00144ADA">
        <w:rPr>
          <w:szCs w:val="22"/>
        </w:rPr>
        <w:t>required an estimated 1,040 tonnes of HFC refrigerant for service, charging new equipment, retrofitting existing equipment, and use by original equipment manufacturers (OEMs) in 2016</w:t>
      </w:r>
      <w:r>
        <w:rPr>
          <w:szCs w:val="22"/>
        </w:rPr>
        <w:t>.</w:t>
      </w:r>
    </w:p>
    <w:p w14:paraId="6527804A" w14:textId="77777777" w:rsidR="00B85D06" w:rsidRPr="00D6789F" w:rsidRDefault="00B85D06" w:rsidP="00B85D06">
      <w:pPr>
        <w:spacing w:before="60" w:after="60"/>
        <w:rPr>
          <w:szCs w:val="22"/>
        </w:rPr>
      </w:pPr>
    </w:p>
    <w:p w14:paraId="377189E6" w14:textId="048482B3" w:rsidR="00B85D06" w:rsidRPr="00811D8F" w:rsidRDefault="007328B1" w:rsidP="007328B1">
      <w:pPr>
        <w:pStyle w:val="Caption"/>
        <w:keepNext/>
        <w:rPr>
          <w:i w:val="0"/>
          <w:szCs w:val="22"/>
        </w:rPr>
      </w:pPr>
      <w:bookmarkStart w:id="16" w:name="_Toc525141391"/>
      <w:r w:rsidRPr="00D47CC7">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w:t>
      </w:r>
      <w:r w:rsidR="009D6843">
        <w:rPr>
          <w:noProof/>
        </w:rPr>
        <w:fldChar w:fldCharType="end"/>
      </w:r>
      <w:r w:rsidR="00B85D06" w:rsidRPr="00D47CC7">
        <w:rPr>
          <w:szCs w:val="22"/>
        </w:rPr>
        <w:t>: Stationary air conditioning taxonomy</w:t>
      </w:r>
      <w:r w:rsidR="00B85D06" w:rsidRPr="00811D8F">
        <w:rPr>
          <w:i w:val="0"/>
          <w:szCs w:val="22"/>
        </w:rPr>
        <w:t>.</w:t>
      </w:r>
      <w:bookmarkEnd w:id="16"/>
    </w:p>
    <w:tbl>
      <w:tblPr>
        <w:tblStyle w:val="TableGrid"/>
        <w:tblW w:w="0" w:type="auto"/>
        <w:tblInd w:w="-5" w:type="dxa"/>
        <w:tblLook w:val="04A0" w:firstRow="1" w:lastRow="0" w:firstColumn="1" w:lastColumn="0" w:noHBand="0" w:noVBand="1"/>
      </w:tblPr>
      <w:tblGrid>
        <w:gridCol w:w="973"/>
        <w:gridCol w:w="1408"/>
        <w:gridCol w:w="2989"/>
        <w:gridCol w:w="1249"/>
        <w:gridCol w:w="2873"/>
      </w:tblGrid>
      <w:tr w:rsidR="00B85D06" w14:paraId="11909E65" w14:textId="77777777" w:rsidTr="00CD73A6">
        <w:trPr>
          <w:trHeight w:val="680"/>
          <w:tblHeader/>
        </w:trPr>
        <w:tc>
          <w:tcPr>
            <w:tcW w:w="9492" w:type="dxa"/>
            <w:gridSpan w:val="5"/>
            <w:shd w:val="clear" w:color="auto" w:fill="B6DDE8" w:themeFill="accent5" w:themeFillTint="66"/>
            <w:vAlign w:val="center"/>
          </w:tcPr>
          <w:p w14:paraId="19C40F6E" w14:textId="77777777" w:rsidR="00B85D06" w:rsidRPr="00B137CC" w:rsidRDefault="00B85D06" w:rsidP="00B66ECA">
            <w:pPr>
              <w:jc w:val="center"/>
              <w:rPr>
                <w:color w:val="000000" w:themeColor="text1"/>
              </w:rPr>
            </w:pPr>
            <w:r w:rsidRPr="00B137CC">
              <w:rPr>
                <w:color w:val="000000" w:themeColor="text1"/>
              </w:rPr>
              <w:t>STATIONARY AIR CONDITIONING</w:t>
            </w:r>
          </w:p>
        </w:tc>
      </w:tr>
      <w:tr w:rsidR="00B85D06" w14:paraId="1809AD0C" w14:textId="77777777" w:rsidTr="00CD73A6">
        <w:trPr>
          <w:tblHeader/>
        </w:trPr>
        <w:tc>
          <w:tcPr>
            <w:tcW w:w="973" w:type="dxa"/>
            <w:shd w:val="clear" w:color="auto" w:fill="B6DDE8" w:themeFill="accent5" w:themeFillTint="66"/>
            <w:vAlign w:val="center"/>
          </w:tcPr>
          <w:p w14:paraId="74193B57" w14:textId="77777777" w:rsidR="00B85D06" w:rsidRPr="00B137CC" w:rsidRDefault="00B85D06" w:rsidP="00B66ECA">
            <w:pPr>
              <w:spacing w:before="60" w:after="60"/>
              <w:jc w:val="center"/>
              <w:rPr>
                <w:color w:val="000000" w:themeColor="text1"/>
              </w:rPr>
            </w:pPr>
            <w:r w:rsidRPr="00B137CC">
              <w:rPr>
                <w:color w:val="000000" w:themeColor="text1"/>
              </w:rPr>
              <w:t>Item no</w:t>
            </w:r>
          </w:p>
        </w:tc>
        <w:tc>
          <w:tcPr>
            <w:tcW w:w="1408" w:type="dxa"/>
            <w:shd w:val="clear" w:color="auto" w:fill="B6DDE8" w:themeFill="accent5" w:themeFillTint="66"/>
            <w:vAlign w:val="center"/>
          </w:tcPr>
          <w:p w14:paraId="070670B8" w14:textId="77777777" w:rsidR="00B85D06" w:rsidRPr="00B137CC" w:rsidRDefault="00B85D06" w:rsidP="00B66ECA">
            <w:pPr>
              <w:spacing w:before="60" w:after="60"/>
              <w:jc w:val="center"/>
              <w:rPr>
                <w:color w:val="000000" w:themeColor="text1"/>
              </w:rPr>
            </w:pPr>
            <w:r w:rsidRPr="00B137CC">
              <w:rPr>
                <w:color w:val="000000" w:themeColor="text1"/>
              </w:rPr>
              <w:t>Segment</w:t>
            </w:r>
          </w:p>
        </w:tc>
        <w:tc>
          <w:tcPr>
            <w:tcW w:w="2989" w:type="dxa"/>
            <w:shd w:val="clear" w:color="auto" w:fill="B6DDE8" w:themeFill="accent5" w:themeFillTint="66"/>
            <w:vAlign w:val="center"/>
          </w:tcPr>
          <w:p w14:paraId="1D1EFCEA" w14:textId="77777777" w:rsidR="00B85D06" w:rsidRPr="00B137CC" w:rsidRDefault="00B85D06" w:rsidP="00B66ECA">
            <w:pPr>
              <w:spacing w:before="60" w:after="60"/>
              <w:rPr>
                <w:color w:val="000000" w:themeColor="text1"/>
              </w:rPr>
            </w:pPr>
            <w:r w:rsidRPr="00B137CC">
              <w:rPr>
                <w:color w:val="000000" w:themeColor="text1"/>
              </w:rPr>
              <w:t>Application</w:t>
            </w:r>
          </w:p>
        </w:tc>
        <w:tc>
          <w:tcPr>
            <w:tcW w:w="1249" w:type="dxa"/>
            <w:shd w:val="clear" w:color="auto" w:fill="B6DDE8" w:themeFill="accent5" w:themeFillTint="66"/>
            <w:vAlign w:val="center"/>
          </w:tcPr>
          <w:p w14:paraId="48D96E14" w14:textId="2D48A6F4" w:rsidR="00B85D06" w:rsidRPr="00B137CC" w:rsidRDefault="00F863A5" w:rsidP="00B66ECA">
            <w:pPr>
              <w:spacing w:before="60" w:after="60"/>
              <w:jc w:val="center"/>
              <w:rPr>
                <w:color w:val="000000" w:themeColor="text1"/>
              </w:rPr>
            </w:pPr>
            <w:r>
              <w:rPr>
                <w:color w:val="000000" w:themeColor="text1"/>
              </w:rPr>
              <w:t>Category c</w:t>
            </w:r>
            <w:r w:rsidR="00B85D06" w:rsidRPr="00B137CC">
              <w:rPr>
                <w:color w:val="000000" w:themeColor="text1"/>
              </w:rPr>
              <w:t>ode</w:t>
            </w:r>
          </w:p>
        </w:tc>
        <w:tc>
          <w:tcPr>
            <w:tcW w:w="2873" w:type="dxa"/>
            <w:shd w:val="clear" w:color="auto" w:fill="B6DDE8" w:themeFill="accent5" w:themeFillTint="66"/>
            <w:vAlign w:val="center"/>
          </w:tcPr>
          <w:p w14:paraId="5860E3A2" w14:textId="77777777" w:rsidR="00B85D06" w:rsidRPr="00B137CC" w:rsidRDefault="00B85D06" w:rsidP="00B66ECA">
            <w:pPr>
              <w:spacing w:before="60" w:after="60"/>
              <w:rPr>
                <w:color w:val="000000" w:themeColor="text1"/>
              </w:rPr>
            </w:pPr>
            <w:r w:rsidRPr="00B137CC">
              <w:rPr>
                <w:color w:val="000000" w:themeColor="text1"/>
              </w:rPr>
              <w:t>Product category</w:t>
            </w:r>
          </w:p>
        </w:tc>
      </w:tr>
      <w:tr w:rsidR="00B85D06" w14:paraId="3111948D" w14:textId="77777777" w:rsidTr="00250D23">
        <w:trPr>
          <w:cantSplit/>
          <w:trHeight w:val="624"/>
        </w:trPr>
        <w:tc>
          <w:tcPr>
            <w:tcW w:w="973" w:type="dxa"/>
            <w:vAlign w:val="center"/>
          </w:tcPr>
          <w:p w14:paraId="46406E1D" w14:textId="77777777" w:rsidR="00B85D06" w:rsidRPr="00B137CC" w:rsidRDefault="00B85D06" w:rsidP="00144ADA">
            <w:pPr>
              <w:spacing w:before="60" w:after="60"/>
              <w:jc w:val="center"/>
            </w:pPr>
            <w:r w:rsidRPr="00B137CC">
              <w:rPr>
                <w:color w:val="000000"/>
              </w:rPr>
              <w:t>1</w:t>
            </w:r>
          </w:p>
        </w:tc>
        <w:tc>
          <w:tcPr>
            <w:tcW w:w="1408" w:type="dxa"/>
            <w:vMerge w:val="restart"/>
            <w:textDirection w:val="btLr"/>
            <w:vAlign w:val="center"/>
          </w:tcPr>
          <w:p w14:paraId="30CD36B0" w14:textId="77777777" w:rsidR="00B85D06" w:rsidRPr="00B137CC" w:rsidRDefault="00B85D06" w:rsidP="00144ADA">
            <w:pPr>
              <w:spacing w:before="60" w:after="60"/>
              <w:jc w:val="center"/>
            </w:pPr>
            <w:r w:rsidRPr="00B137CC">
              <w:rPr>
                <w:color w:val="000000"/>
              </w:rPr>
              <w:t>AC1: Small AC: Self-contained</w:t>
            </w:r>
          </w:p>
        </w:tc>
        <w:tc>
          <w:tcPr>
            <w:tcW w:w="2989" w:type="dxa"/>
            <w:vAlign w:val="center"/>
          </w:tcPr>
          <w:p w14:paraId="4BB7C3D8" w14:textId="77777777" w:rsidR="00B85D06" w:rsidRPr="00B137CC" w:rsidRDefault="00B85D06" w:rsidP="00144ADA">
            <w:pPr>
              <w:spacing w:before="60" w:after="60"/>
            </w:pPr>
            <w:r w:rsidRPr="00B137CC">
              <w:rPr>
                <w:color w:val="000000"/>
              </w:rPr>
              <w:t>Window/wall</w:t>
            </w:r>
          </w:p>
        </w:tc>
        <w:tc>
          <w:tcPr>
            <w:tcW w:w="1249" w:type="dxa"/>
            <w:vAlign w:val="center"/>
          </w:tcPr>
          <w:p w14:paraId="63E1215D" w14:textId="77777777" w:rsidR="00B85D06" w:rsidRPr="00B137CC" w:rsidRDefault="00B85D06" w:rsidP="00144ADA">
            <w:pPr>
              <w:spacing w:before="60" w:after="60"/>
              <w:jc w:val="center"/>
            </w:pPr>
            <w:r w:rsidRPr="00B137CC">
              <w:rPr>
                <w:color w:val="000000"/>
              </w:rPr>
              <w:t>AC1-1</w:t>
            </w:r>
          </w:p>
        </w:tc>
        <w:tc>
          <w:tcPr>
            <w:tcW w:w="2873" w:type="dxa"/>
            <w:vAlign w:val="center"/>
          </w:tcPr>
          <w:p w14:paraId="4EC9DC34" w14:textId="77777777" w:rsidR="00B85D06" w:rsidRPr="00B137CC" w:rsidRDefault="00B85D06" w:rsidP="00144ADA">
            <w:pPr>
              <w:spacing w:before="60" w:after="60"/>
            </w:pPr>
            <w:r w:rsidRPr="00B137CC">
              <w:rPr>
                <w:color w:val="000000"/>
              </w:rPr>
              <w:t xml:space="preserve">Non-Ducted: Unitary 0-10 kWr </w:t>
            </w:r>
          </w:p>
        </w:tc>
      </w:tr>
      <w:tr w:rsidR="00B85D06" w14:paraId="13F6851B" w14:textId="77777777" w:rsidTr="00250D23">
        <w:trPr>
          <w:cantSplit/>
          <w:trHeight w:val="624"/>
        </w:trPr>
        <w:tc>
          <w:tcPr>
            <w:tcW w:w="973" w:type="dxa"/>
            <w:vAlign w:val="center"/>
          </w:tcPr>
          <w:p w14:paraId="0A7CC103" w14:textId="77777777" w:rsidR="00B85D06" w:rsidRPr="00B137CC" w:rsidRDefault="00B85D06" w:rsidP="00144ADA">
            <w:pPr>
              <w:spacing w:before="60" w:after="60"/>
              <w:jc w:val="center"/>
            </w:pPr>
            <w:r w:rsidRPr="00B137CC">
              <w:rPr>
                <w:color w:val="000000"/>
              </w:rPr>
              <w:t>2</w:t>
            </w:r>
          </w:p>
        </w:tc>
        <w:tc>
          <w:tcPr>
            <w:tcW w:w="1408" w:type="dxa"/>
            <w:vMerge/>
            <w:vAlign w:val="center"/>
          </w:tcPr>
          <w:p w14:paraId="6F05571F" w14:textId="77777777" w:rsidR="00B85D06" w:rsidRPr="00B137CC" w:rsidRDefault="00B85D06" w:rsidP="00144ADA">
            <w:pPr>
              <w:spacing w:before="60" w:after="60"/>
              <w:jc w:val="center"/>
            </w:pPr>
          </w:p>
        </w:tc>
        <w:tc>
          <w:tcPr>
            <w:tcW w:w="2989" w:type="dxa"/>
            <w:vAlign w:val="center"/>
          </w:tcPr>
          <w:p w14:paraId="3AEC2198" w14:textId="77777777" w:rsidR="00B85D06" w:rsidRPr="00B137CC" w:rsidRDefault="00B85D06" w:rsidP="00144ADA">
            <w:pPr>
              <w:spacing w:before="60" w:after="60"/>
            </w:pPr>
            <w:r w:rsidRPr="00B137CC">
              <w:rPr>
                <w:color w:val="000000"/>
              </w:rPr>
              <w:t>Portable AC</w:t>
            </w:r>
          </w:p>
        </w:tc>
        <w:tc>
          <w:tcPr>
            <w:tcW w:w="1249" w:type="dxa"/>
            <w:vAlign w:val="center"/>
          </w:tcPr>
          <w:p w14:paraId="0FD19C43" w14:textId="77777777" w:rsidR="00B85D06" w:rsidRPr="00B137CC" w:rsidRDefault="00B85D06" w:rsidP="00144ADA">
            <w:pPr>
              <w:spacing w:before="60" w:after="60"/>
              <w:jc w:val="center"/>
            </w:pPr>
            <w:r w:rsidRPr="00B137CC">
              <w:rPr>
                <w:color w:val="000000"/>
              </w:rPr>
              <w:t>AC1-2</w:t>
            </w:r>
          </w:p>
        </w:tc>
        <w:tc>
          <w:tcPr>
            <w:tcW w:w="2873" w:type="dxa"/>
            <w:vAlign w:val="center"/>
          </w:tcPr>
          <w:p w14:paraId="64B1CC46" w14:textId="579E6AD0" w:rsidR="00B85D06" w:rsidRPr="00B137CC" w:rsidRDefault="00B85D06" w:rsidP="00144ADA">
            <w:pPr>
              <w:spacing w:before="60" w:after="60"/>
            </w:pPr>
            <w:r w:rsidRPr="00B137CC">
              <w:rPr>
                <w:color w:val="000000"/>
              </w:rPr>
              <w:t>Portable AC: 0-10 kWr</w:t>
            </w:r>
          </w:p>
        </w:tc>
      </w:tr>
      <w:tr w:rsidR="00B85D06" w14:paraId="2BFC4EF3" w14:textId="77777777" w:rsidTr="00250D23">
        <w:trPr>
          <w:cantSplit/>
          <w:trHeight w:val="624"/>
        </w:trPr>
        <w:tc>
          <w:tcPr>
            <w:tcW w:w="973" w:type="dxa"/>
            <w:vAlign w:val="center"/>
          </w:tcPr>
          <w:p w14:paraId="735D10F5" w14:textId="77777777" w:rsidR="00B85D06" w:rsidRPr="00B137CC" w:rsidRDefault="00B85D06" w:rsidP="00144ADA">
            <w:pPr>
              <w:spacing w:before="60" w:after="60"/>
              <w:jc w:val="center"/>
            </w:pPr>
            <w:r w:rsidRPr="00B137CC">
              <w:rPr>
                <w:color w:val="000000"/>
              </w:rPr>
              <w:t>3</w:t>
            </w:r>
          </w:p>
        </w:tc>
        <w:tc>
          <w:tcPr>
            <w:tcW w:w="1408" w:type="dxa"/>
            <w:vMerge w:val="restart"/>
            <w:textDirection w:val="btLr"/>
            <w:vAlign w:val="center"/>
          </w:tcPr>
          <w:p w14:paraId="54607107" w14:textId="77777777" w:rsidR="00B85D06" w:rsidRPr="00B137CC" w:rsidRDefault="00B85D06" w:rsidP="00144ADA">
            <w:pPr>
              <w:spacing w:before="60" w:after="60"/>
              <w:jc w:val="center"/>
            </w:pPr>
            <w:r w:rsidRPr="00B137CC">
              <w:rPr>
                <w:color w:val="000000"/>
              </w:rPr>
              <w:t xml:space="preserve">AC2: Small AC: </w:t>
            </w:r>
            <w:r>
              <w:rPr>
                <w:color w:val="000000"/>
              </w:rPr>
              <w:t>Split</w:t>
            </w:r>
          </w:p>
        </w:tc>
        <w:tc>
          <w:tcPr>
            <w:tcW w:w="2989" w:type="dxa"/>
            <w:vAlign w:val="center"/>
          </w:tcPr>
          <w:p w14:paraId="12DCF449" w14:textId="77777777" w:rsidR="00B85D06" w:rsidRPr="00B137CC" w:rsidRDefault="00B85D06" w:rsidP="00144ADA">
            <w:pPr>
              <w:spacing w:before="60" w:after="60"/>
            </w:pPr>
            <w:r w:rsidRPr="00B137CC">
              <w:rPr>
                <w:color w:val="000000"/>
              </w:rPr>
              <w:t>Single split: non-ducted</w:t>
            </w:r>
          </w:p>
        </w:tc>
        <w:tc>
          <w:tcPr>
            <w:tcW w:w="1249" w:type="dxa"/>
            <w:vAlign w:val="center"/>
          </w:tcPr>
          <w:p w14:paraId="419446B9" w14:textId="77777777" w:rsidR="00B85D06" w:rsidRPr="00B137CC" w:rsidRDefault="00B85D06" w:rsidP="00144ADA">
            <w:pPr>
              <w:spacing w:before="60" w:after="60"/>
              <w:jc w:val="center"/>
            </w:pPr>
            <w:r w:rsidRPr="00B137CC">
              <w:rPr>
                <w:color w:val="000000"/>
              </w:rPr>
              <w:t>AC2-1</w:t>
            </w:r>
          </w:p>
        </w:tc>
        <w:tc>
          <w:tcPr>
            <w:tcW w:w="2873" w:type="dxa"/>
            <w:vAlign w:val="center"/>
          </w:tcPr>
          <w:p w14:paraId="7069F581" w14:textId="77777777" w:rsidR="00B85D06" w:rsidRPr="00B137CC" w:rsidRDefault="00B85D06" w:rsidP="00144ADA">
            <w:pPr>
              <w:spacing w:before="60" w:after="60"/>
            </w:pPr>
            <w:r w:rsidRPr="00B137CC">
              <w:rPr>
                <w:color w:val="000000"/>
              </w:rPr>
              <w:t>Single split system: Non-ducted: 1-phase</w:t>
            </w:r>
          </w:p>
        </w:tc>
      </w:tr>
      <w:tr w:rsidR="00B85D06" w14:paraId="1386F14F" w14:textId="77777777" w:rsidTr="00250D23">
        <w:trPr>
          <w:cantSplit/>
          <w:trHeight w:val="624"/>
        </w:trPr>
        <w:tc>
          <w:tcPr>
            <w:tcW w:w="973" w:type="dxa"/>
            <w:vAlign w:val="center"/>
          </w:tcPr>
          <w:p w14:paraId="096D8823" w14:textId="77777777" w:rsidR="00B85D06" w:rsidRPr="00B137CC" w:rsidRDefault="00B85D06" w:rsidP="00144ADA">
            <w:pPr>
              <w:spacing w:before="60" w:after="60"/>
              <w:jc w:val="center"/>
            </w:pPr>
            <w:r w:rsidRPr="00B137CC">
              <w:rPr>
                <w:color w:val="000000"/>
              </w:rPr>
              <w:t>4</w:t>
            </w:r>
          </w:p>
        </w:tc>
        <w:tc>
          <w:tcPr>
            <w:tcW w:w="1408" w:type="dxa"/>
            <w:vMerge/>
            <w:vAlign w:val="center"/>
          </w:tcPr>
          <w:p w14:paraId="4A0C619C" w14:textId="77777777" w:rsidR="00B85D06" w:rsidRPr="00B137CC" w:rsidRDefault="00B85D06" w:rsidP="00144ADA">
            <w:pPr>
              <w:spacing w:before="60" w:after="60"/>
              <w:jc w:val="center"/>
            </w:pPr>
          </w:p>
        </w:tc>
        <w:tc>
          <w:tcPr>
            <w:tcW w:w="2989" w:type="dxa"/>
            <w:vAlign w:val="center"/>
          </w:tcPr>
          <w:p w14:paraId="58096EAB" w14:textId="77777777" w:rsidR="00B85D06" w:rsidRPr="00B137CC" w:rsidRDefault="00B85D06" w:rsidP="00144ADA">
            <w:pPr>
              <w:spacing w:before="60" w:after="60"/>
            </w:pPr>
            <w:r w:rsidRPr="00B137CC">
              <w:rPr>
                <w:color w:val="000000"/>
              </w:rPr>
              <w:t>Single split: non-ducted</w:t>
            </w:r>
          </w:p>
        </w:tc>
        <w:tc>
          <w:tcPr>
            <w:tcW w:w="1249" w:type="dxa"/>
            <w:vAlign w:val="center"/>
          </w:tcPr>
          <w:p w14:paraId="7CE77D85" w14:textId="77777777" w:rsidR="00B85D06" w:rsidRPr="00B137CC" w:rsidRDefault="00B85D06" w:rsidP="00144ADA">
            <w:pPr>
              <w:spacing w:before="60" w:after="60"/>
              <w:jc w:val="center"/>
            </w:pPr>
            <w:r w:rsidRPr="00B137CC">
              <w:rPr>
                <w:color w:val="000000"/>
              </w:rPr>
              <w:t>AC2-2</w:t>
            </w:r>
          </w:p>
        </w:tc>
        <w:tc>
          <w:tcPr>
            <w:tcW w:w="2873" w:type="dxa"/>
            <w:vAlign w:val="center"/>
          </w:tcPr>
          <w:p w14:paraId="57C74AA1" w14:textId="77777777" w:rsidR="00B85D06" w:rsidRPr="00B137CC" w:rsidRDefault="00B85D06" w:rsidP="00144ADA">
            <w:pPr>
              <w:spacing w:before="60" w:after="60"/>
            </w:pPr>
            <w:r w:rsidRPr="00B137CC">
              <w:rPr>
                <w:color w:val="000000"/>
              </w:rPr>
              <w:t>Single split system: Non-ducted: 3-phase</w:t>
            </w:r>
          </w:p>
        </w:tc>
      </w:tr>
      <w:tr w:rsidR="00AA45F7" w14:paraId="2D58F7B3" w14:textId="77777777" w:rsidTr="00250D23">
        <w:trPr>
          <w:cantSplit/>
          <w:trHeight w:val="624"/>
        </w:trPr>
        <w:tc>
          <w:tcPr>
            <w:tcW w:w="973" w:type="dxa"/>
            <w:vAlign w:val="center"/>
          </w:tcPr>
          <w:p w14:paraId="3AE42FFA" w14:textId="77777777" w:rsidR="00AA45F7" w:rsidRPr="00B137CC" w:rsidRDefault="00AA45F7" w:rsidP="00144ADA">
            <w:pPr>
              <w:spacing w:before="60" w:after="60"/>
              <w:jc w:val="center"/>
            </w:pPr>
            <w:r w:rsidRPr="00B137CC">
              <w:rPr>
                <w:color w:val="000000"/>
              </w:rPr>
              <w:t>5</w:t>
            </w:r>
          </w:p>
        </w:tc>
        <w:tc>
          <w:tcPr>
            <w:tcW w:w="1408" w:type="dxa"/>
            <w:vMerge w:val="restart"/>
            <w:textDirection w:val="btLr"/>
            <w:vAlign w:val="center"/>
          </w:tcPr>
          <w:p w14:paraId="5F116036" w14:textId="4A0716E8" w:rsidR="00AA45F7" w:rsidRPr="00B137CC" w:rsidRDefault="00AA45F7" w:rsidP="00144ADA">
            <w:pPr>
              <w:spacing w:before="60" w:after="60"/>
              <w:jc w:val="center"/>
            </w:pPr>
            <w:r w:rsidRPr="00B137CC">
              <w:rPr>
                <w:color w:val="000000"/>
              </w:rPr>
              <w:t xml:space="preserve">AC3: Medium AC: Ducted </w:t>
            </w:r>
            <w:r>
              <w:rPr>
                <w:color w:val="000000"/>
              </w:rPr>
              <w:t xml:space="preserve">          </w:t>
            </w:r>
            <w:r w:rsidRPr="00B137CC">
              <w:rPr>
                <w:color w:val="000000"/>
              </w:rPr>
              <w:t xml:space="preserve">&amp; </w:t>
            </w:r>
            <w:r>
              <w:rPr>
                <w:color w:val="000000"/>
              </w:rPr>
              <w:t>l</w:t>
            </w:r>
            <w:r w:rsidRPr="00B137CC">
              <w:rPr>
                <w:color w:val="000000"/>
              </w:rPr>
              <w:t>ight commercial</w:t>
            </w:r>
          </w:p>
        </w:tc>
        <w:tc>
          <w:tcPr>
            <w:tcW w:w="2989" w:type="dxa"/>
            <w:vAlign w:val="center"/>
          </w:tcPr>
          <w:p w14:paraId="38A4E204" w14:textId="77777777" w:rsidR="00AA45F7" w:rsidRPr="00B137CC" w:rsidRDefault="00AA45F7" w:rsidP="00144ADA">
            <w:pPr>
              <w:spacing w:before="60" w:after="60"/>
            </w:pPr>
            <w:r w:rsidRPr="00B137CC">
              <w:rPr>
                <w:color w:val="000000"/>
              </w:rPr>
              <w:t>Domestic &amp; light commercial</w:t>
            </w:r>
          </w:p>
        </w:tc>
        <w:tc>
          <w:tcPr>
            <w:tcW w:w="1249" w:type="dxa"/>
            <w:vAlign w:val="center"/>
          </w:tcPr>
          <w:p w14:paraId="287F8A99" w14:textId="77777777" w:rsidR="00AA45F7" w:rsidRPr="00B137CC" w:rsidRDefault="00AA45F7" w:rsidP="00144ADA">
            <w:pPr>
              <w:spacing w:before="60" w:after="60"/>
              <w:jc w:val="center"/>
            </w:pPr>
            <w:r w:rsidRPr="00B137CC">
              <w:rPr>
                <w:color w:val="000000"/>
              </w:rPr>
              <w:t>AC3-1</w:t>
            </w:r>
          </w:p>
        </w:tc>
        <w:tc>
          <w:tcPr>
            <w:tcW w:w="2873" w:type="dxa"/>
            <w:vAlign w:val="center"/>
          </w:tcPr>
          <w:p w14:paraId="3FF4CC93" w14:textId="77777777" w:rsidR="00AA45F7" w:rsidRPr="00B137CC" w:rsidRDefault="00AA45F7" w:rsidP="00144ADA">
            <w:pPr>
              <w:spacing w:before="60" w:after="60"/>
            </w:pPr>
            <w:r w:rsidRPr="00B137CC">
              <w:rPr>
                <w:color w:val="000000"/>
              </w:rPr>
              <w:t>Single split system: Ducted: 1-phase</w:t>
            </w:r>
          </w:p>
        </w:tc>
      </w:tr>
      <w:tr w:rsidR="00AA45F7" w14:paraId="4C7F77BE" w14:textId="77777777" w:rsidTr="00250D23">
        <w:trPr>
          <w:cantSplit/>
          <w:trHeight w:val="624"/>
        </w:trPr>
        <w:tc>
          <w:tcPr>
            <w:tcW w:w="973" w:type="dxa"/>
            <w:vAlign w:val="center"/>
          </w:tcPr>
          <w:p w14:paraId="49234EC4" w14:textId="77777777" w:rsidR="00AA45F7" w:rsidRPr="00B137CC" w:rsidRDefault="00AA45F7" w:rsidP="00144ADA">
            <w:pPr>
              <w:spacing w:before="60" w:after="60"/>
              <w:jc w:val="center"/>
            </w:pPr>
            <w:r w:rsidRPr="00B137CC">
              <w:rPr>
                <w:color w:val="000000"/>
              </w:rPr>
              <w:t>6</w:t>
            </w:r>
          </w:p>
        </w:tc>
        <w:tc>
          <w:tcPr>
            <w:tcW w:w="1408" w:type="dxa"/>
            <w:vMerge/>
            <w:vAlign w:val="center"/>
          </w:tcPr>
          <w:p w14:paraId="6A918CA4" w14:textId="77777777" w:rsidR="00AA45F7" w:rsidRPr="00B137CC" w:rsidRDefault="00AA45F7" w:rsidP="00B66ECA">
            <w:pPr>
              <w:jc w:val="center"/>
            </w:pPr>
          </w:p>
        </w:tc>
        <w:tc>
          <w:tcPr>
            <w:tcW w:w="2989" w:type="dxa"/>
            <w:vAlign w:val="center"/>
          </w:tcPr>
          <w:p w14:paraId="6CCD6ECE" w14:textId="77777777" w:rsidR="00AA45F7" w:rsidRPr="00B137CC" w:rsidRDefault="00AA45F7" w:rsidP="00144ADA">
            <w:pPr>
              <w:spacing w:before="60" w:after="60"/>
            </w:pPr>
            <w:r w:rsidRPr="00B137CC">
              <w:rPr>
                <w:color w:val="000000"/>
              </w:rPr>
              <w:t>Domestic &amp; light commercial</w:t>
            </w:r>
          </w:p>
        </w:tc>
        <w:tc>
          <w:tcPr>
            <w:tcW w:w="1249" w:type="dxa"/>
            <w:vAlign w:val="center"/>
          </w:tcPr>
          <w:p w14:paraId="2020BF03" w14:textId="77777777" w:rsidR="00AA45F7" w:rsidRPr="00B137CC" w:rsidRDefault="00AA45F7" w:rsidP="00144ADA">
            <w:pPr>
              <w:spacing w:before="60" w:after="60"/>
              <w:jc w:val="center"/>
            </w:pPr>
            <w:r w:rsidRPr="00B137CC">
              <w:rPr>
                <w:color w:val="000000"/>
              </w:rPr>
              <w:t>AC3-2</w:t>
            </w:r>
          </w:p>
        </w:tc>
        <w:tc>
          <w:tcPr>
            <w:tcW w:w="2873" w:type="dxa"/>
            <w:vAlign w:val="center"/>
          </w:tcPr>
          <w:p w14:paraId="234C9867" w14:textId="77777777" w:rsidR="00AA45F7" w:rsidRPr="00B137CC" w:rsidRDefault="00AA45F7" w:rsidP="00144ADA">
            <w:pPr>
              <w:spacing w:before="60" w:after="60"/>
            </w:pPr>
            <w:r w:rsidRPr="00B137CC">
              <w:rPr>
                <w:color w:val="000000"/>
              </w:rPr>
              <w:t>Single split system: Ducted: 3-phase</w:t>
            </w:r>
          </w:p>
        </w:tc>
      </w:tr>
      <w:tr w:rsidR="00AA45F7" w14:paraId="6D4AF413" w14:textId="77777777" w:rsidTr="00250D23">
        <w:trPr>
          <w:cantSplit/>
          <w:trHeight w:val="624"/>
        </w:trPr>
        <w:tc>
          <w:tcPr>
            <w:tcW w:w="973" w:type="dxa"/>
            <w:vAlign w:val="center"/>
          </w:tcPr>
          <w:p w14:paraId="51218312" w14:textId="77777777" w:rsidR="00AA45F7" w:rsidRPr="00B137CC" w:rsidRDefault="00AA45F7" w:rsidP="00144ADA">
            <w:pPr>
              <w:spacing w:before="60" w:after="60"/>
              <w:jc w:val="center"/>
            </w:pPr>
            <w:r w:rsidRPr="00B137CC">
              <w:rPr>
                <w:color w:val="000000"/>
              </w:rPr>
              <w:t>7</w:t>
            </w:r>
          </w:p>
        </w:tc>
        <w:tc>
          <w:tcPr>
            <w:tcW w:w="1408" w:type="dxa"/>
            <w:vMerge/>
            <w:vAlign w:val="center"/>
          </w:tcPr>
          <w:p w14:paraId="0DAE3B95" w14:textId="77777777" w:rsidR="00AA45F7" w:rsidRPr="00B137CC" w:rsidRDefault="00AA45F7" w:rsidP="00B66ECA">
            <w:pPr>
              <w:jc w:val="center"/>
            </w:pPr>
          </w:p>
        </w:tc>
        <w:tc>
          <w:tcPr>
            <w:tcW w:w="2989" w:type="dxa"/>
            <w:vAlign w:val="center"/>
          </w:tcPr>
          <w:p w14:paraId="70308823" w14:textId="77777777" w:rsidR="00AA45F7" w:rsidRPr="00B137CC" w:rsidRDefault="00AA45F7" w:rsidP="00144ADA">
            <w:pPr>
              <w:spacing w:before="60" w:after="60"/>
            </w:pPr>
            <w:r w:rsidRPr="00B137CC">
              <w:rPr>
                <w:color w:val="000000"/>
              </w:rPr>
              <w:t>Light commercial</w:t>
            </w:r>
          </w:p>
        </w:tc>
        <w:tc>
          <w:tcPr>
            <w:tcW w:w="1249" w:type="dxa"/>
            <w:vAlign w:val="center"/>
          </w:tcPr>
          <w:p w14:paraId="10E38BB9" w14:textId="77777777" w:rsidR="00AA45F7" w:rsidRPr="00B137CC" w:rsidRDefault="00AA45F7" w:rsidP="00144ADA">
            <w:pPr>
              <w:spacing w:before="60" w:after="60"/>
              <w:jc w:val="center"/>
            </w:pPr>
            <w:r w:rsidRPr="00B137CC">
              <w:rPr>
                <w:color w:val="000000"/>
              </w:rPr>
              <w:t>AC3-3</w:t>
            </w:r>
          </w:p>
        </w:tc>
        <w:tc>
          <w:tcPr>
            <w:tcW w:w="2873" w:type="dxa"/>
            <w:vAlign w:val="center"/>
          </w:tcPr>
          <w:p w14:paraId="0473E5FE" w14:textId="77777777" w:rsidR="00AA45F7" w:rsidRPr="00B137CC" w:rsidRDefault="00AA45F7" w:rsidP="00144ADA">
            <w:pPr>
              <w:spacing w:before="60" w:after="60"/>
            </w:pPr>
            <w:r w:rsidRPr="00B137CC">
              <w:rPr>
                <w:color w:val="000000"/>
              </w:rPr>
              <w:t>RT Packaged systems</w:t>
            </w:r>
          </w:p>
        </w:tc>
      </w:tr>
      <w:tr w:rsidR="00AA45F7" w14:paraId="0B39BF12" w14:textId="77777777" w:rsidTr="00250D23">
        <w:trPr>
          <w:cantSplit/>
          <w:trHeight w:val="624"/>
        </w:trPr>
        <w:tc>
          <w:tcPr>
            <w:tcW w:w="973" w:type="dxa"/>
            <w:vAlign w:val="center"/>
          </w:tcPr>
          <w:p w14:paraId="6F825C95" w14:textId="77777777" w:rsidR="00AA45F7" w:rsidRPr="00B137CC" w:rsidRDefault="00AA45F7" w:rsidP="00144ADA">
            <w:pPr>
              <w:spacing w:before="60" w:after="60"/>
              <w:jc w:val="center"/>
            </w:pPr>
            <w:r w:rsidRPr="00B137CC">
              <w:rPr>
                <w:color w:val="000000"/>
              </w:rPr>
              <w:t>8</w:t>
            </w:r>
          </w:p>
        </w:tc>
        <w:tc>
          <w:tcPr>
            <w:tcW w:w="1408" w:type="dxa"/>
            <w:vMerge/>
            <w:vAlign w:val="center"/>
          </w:tcPr>
          <w:p w14:paraId="7726BEAE" w14:textId="77777777" w:rsidR="00AA45F7" w:rsidRPr="00B137CC" w:rsidRDefault="00AA45F7" w:rsidP="00B66ECA">
            <w:pPr>
              <w:jc w:val="center"/>
            </w:pPr>
          </w:p>
        </w:tc>
        <w:tc>
          <w:tcPr>
            <w:tcW w:w="2989" w:type="dxa"/>
            <w:vAlign w:val="center"/>
          </w:tcPr>
          <w:p w14:paraId="246E1179" w14:textId="77777777" w:rsidR="00AA45F7" w:rsidRPr="00B137CC" w:rsidRDefault="00AA45F7" w:rsidP="00144ADA">
            <w:pPr>
              <w:spacing w:before="60" w:after="60"/>
            </w:pPr>
            <w:r w:rsidRPr="00B137CC">
              <w:rPr>
                <w:color w:val="000000"/>
              </w:rPr>
              <w:t>Domestic &amp; light commercial</w:t>
            </w:r>
          </w:p>
        </w:tc>
        <w:tc>
          <w:tcPr>
            <w:tcW w:w="1249" w:type="dxa"/>
            <w:vAlign w:val="center"/>
          </w:tcPr>
          <w:p w14:paraId="2DA116F7" w14:textId="77777777" w:rsidR="00AA45F7" w:rsidRPr="00B137CC" w:rsidRDefault="00AA45F7" w:rsidP="00144ADA">
            <w:pPr>
              <w:spacing w:before="60" w:after="60"/>
              <w:jc w:val="center"/>
            </w:pPr>
            <w:r w:rsidRPr="00B137CC">
              <w:rPr>
                <w:color w:val="000000"/>
              </w:rPr>
              <w:t>AC3-4</w:t>
            </w:r>
          </w:p>
        </w:tc>
        <w:tc>
          <w:tcPr>
            <w:tcW w:w="2873" w:type="dxa"/>
            <w:vAlign w:val="center"/>
          </w:tcPr>
          <w:p w14:paraId="17FACA90" w14:textId="77777777" w:rsidR="00AA45F7" w:rsidRPr="00B137CC" w:rsidRDefault="00AA45F7" w:rsidP="00144ADA">
            <w:pPr>
              <w:spacing w:before="60" w:after="60"/>
            </w:pPr>
            <w:r w:rsidRPr="00B137CC">
              <w:rPr>
                <w:color w:val="000000"/>
              </w:rPr>
              <w:t>Multi split</w:t>
            </w:r>
          </w:p>
        </w:tc>
      </w:tr>
      <w:tr w:rsidR="00AA45F7" w14:paraId="575FE8D6" w14:textId="77777777" w:rsidTr="00250D23">
        <w:trPr>
          <w:cantSplit/>
          <w:trHeight w:val="624"/>
        </w:trPr>
        <w:tc>
          <w:tcPr>
            <w:tcW w:w="973" w:type="dxa"/>
            <w:vAlign w:val="center"/>
          </w:tcPr>
          <w:p w14:paraId="4163D754" w14:textId="77777777" w:rsidR="00AA45F7" w:rsidRPr="00B137CC" w:rsidRDefault="00AA45F7" w:rsidP="00144ADA">
            <w:pPr>
              <w:spacing w:before="60" w:after="60"/>
              <w:jc w:val="center"/>
            </w:pPr>
            <w:r w:rsidRPr="00B137CC">
              <w:rPr>
                <w:color w:val="000000"/>
              </w:rPr>
              <w:t>9</w:t>
            </w:r>
          </w:p>
        </w:tc>
        <w:tc>
          <w:tcPr>
            <w:tcW w:w="1408" w:type="dxa"/>
            <w:vMerge/>
            <w:vAlign w:val="center"/>
          </w:tcPr>
          <w:p w14:paraId="2E48776D" w14:textId="77777777" w:rsidR="00AA45F7" w:rsidRPr="00B137CC" w:rsidRDefault="00AA45F7" w:rsidP="00B66ECA">
            <w:pPr>
              <w:jc w:val="center"/>
            </w:pPr>
          </w:p>
        </w:tc>
        <w:tc>
          <w:tcPr>
            <w:tcW w:w="2989" w:type="dxa"/>
            <w:vAlign w:val="center"/>
          </w:tcPr>
          <w:p w14:paraId="2D1A5622" w14:textId="77777777" w:rsidR="00AA45F7" w:rsidRPr="00B137CC" w:rsidRDefault="00AA45F7" w:rsidP="00144ADA">
            <w:pPr>
              <w:spacing w:before="60" w:after="60"/>
            </w:pPr>
            <w:r w:rsidRPr="00B137CC">
              <w:rPr>
                <w:color w:val="000000"/>
              </w:rPr>
              <w:t>Light commercial</w:t>
            </w:r>
          </w:p>
        </w:tc>
        <w:tc>
          <w:tcPr>
            <w:tcW w:w="1249" w:type="dxa"/>
            <w:vAlign w:val="center"/>
          </w:tcPr>
          <w:p w14:paraId="66671F68" w14:textId="77777777" w:rsidR="00AA45F7" w:rsidRPr="00B137CC" w:rsidRDefault="00AA45F7" w:rsidP="00144ADA">
            <w:pPr>
              <w:spacing w:before="60" w:after="60"/>
              <w:jc w:val="center"/>
            </w:pPr>
            <w:r w:rsidRPr="00B137CC">
              <w:rPr>
                <w:color w:val="000000"/>
              </w:rPr>
              <w:t>AC3-5</w:t>
            </w:r>
          </w:p>
        </w:tc>
        <w:tc>
          <w:tcPr>
            <w:tcW w:w="2873" w:type="dxa"/>
            <w:vAlign w:val="center"/>
          </w:tcPr>
          <w:p w14:paraId="1D2CB672" w14:textId="77777777" w:rsidR="00AA45F7" w:rsidRPr="00B137CC" w:rsidRDefault="00AA45F7" w:rsidP="00144ADA">
            <w:pPr>
              <w:spacing w:before="60" w:after="60"/>
            </w:pPr>
            <w:r w:rsidRPr="00B137CC">
              <w:rPr>
                <w:color w:val="000000"/>
              </w:rPr>
              <w:t>VRV/VRF split systems</w:t>
            </w:r>
          </w:p>
        </w:tc>
      </w:tr>
      <w:tr w:rsidR="00AA45F7" w14:paraId="44595887" w14:textId="77777777" w:rsidTr="00AA45F7">
        <w:trPr>
          <w:cantSplit/>
          <w:trHeight w:val="624"/>
        </w:trPr>
        <w:tc>
          <w:tcPr>
            <w:tcW w:w="973" w:type="dxa"/>
            <w:vAlign w:val="center"/>
          </w:tcPr>
          <w:p w14:paraId="15744724" w14:textId="77777777" w:rsidR="00AA45F7" w:rsidRPr="00B137CC" w:rsidRDefault="00AA45F7" w:rsidP="00AA45F7">
            <w:pPr>
              <w:spacing w:before="60" w:after="60"/>
              <w:jc w:val="center"/>
            </w:pPr>
            <w:r w:rsidRPr="00B137CC">
              <w:rPr>
                <w:color w:val="000000"/>
              </w:rPr>
              <w:lastRenderedPageBreak/>
              <w:t>10</w:t>
            </w:r>
          </w:p>
        </w:tc>
        <w:tc>
          <w:tcPr>
            <w:tcW w:w="1408" w:type="dxa"/>
            <w:vMerge w:val="restart"/>
            <w:textDirection w:val="btLr"/>
            <w:vAlign w:val="center"/>
          </w:tcPr>
          <w:p w14:paraId="28D9EB0C" w14:textId="5239D7D8" w:rsidR="00AA45F7" w:rsidRPr="00B137CC" w:rsidRDefault="00AA45F7" w:rsidP="00AA45F7">
            <w:pPr>
              <w:jc w:val="center"/>
            </w:pPr>
            <w:r w:rsidRPr="00B137CC">
              <w:rPr>
                <w:color w:val="000000"/>
              </w:rPr>
              <w:t xml:space="preserve">AC3: Medium AC: Ducted </w:t>
            </w:r>
            <w:r>
              <w:rPr>
                <w:color w:val="000000"/>
              </w:rPr>
              <w:t xml:space="preserve"> </w:t>
            </w:r>
            <w:r w:rsidRPr="00B137CC">
              <w:rPr>
                <w:color w:val="000000"/>
              </w:rPr>
              <w:t xml:space="preserve">&amp; </w:t>
            </w:r>
            <w:r>
              <w:rPr>
                <w:color w:val="000000"/>
              </w:rPr>
              <w:t>l</w:t>
            </w:r>
            <w:r w:rsidRPr="00B137CC">
              <w:rPr>
                <w:color w:val="000000"/>
              </w:rPr>
              <w:t>ight commercial</w:t>
            </w:r>
          </w:p>
        </w:tc>
        <w:tc>
          <w:tcPr>
            <w:tcW w:w="2989" w:type="dxa"/>
            <w:vAlign w:val="center"/>
          </w:tcPr>
          <w:p w14:paraId="4B1B0353" w14:textId="77777777" w:rsidR="00AA45F7" w:rsidRPr="00B137CC" w:rsidRDefault="00AA45F7" w:rsidP="00AA45F7">
            <w:pPr>
              <w:spacing w:before="60" w:after="60"/>
            </w:pPr>
            <w:r w:rsidRPr="00B137CC">
              <w:rPr>
                <w:color w:val="000000"/>
              </w:rPr>
              <w:t>Light commercial</w:t>
            </w:r>
          </w:p>
        </w:tc>
        <w:tc>
          <w:tcPr>
            <w:tcW w:w="1249" w:type="dxa"/>
            <w:vAlign w:val="center"/>
          </w:tcPr>
          <w:p w14:paraId="665B6A6E" w14:textId="77777777" w:rsidR="00AA45F7" w:rsidRPr="00B137CC" w:rsidRDefault="00AA45F7" w:rsidP="00AA45F7">
            <w:pPr>
              <w:spacing w:before="60" w:after="60"/>
              <w:jc w:val="center"/>
            </w:pPr>
            <w:r w:rsidRPr="00B137CC">
              <w:rPr>
                <w:color w:val="000000"/>
              </w:rPr>
              <w:t>AC3-6</w:t>
            </w:r>
          </w:p>
        </w:tc>
        <w:tc>
          <w:tcPr>
            <w:tcW w:w="2873" w:type="dxa"/>
            <w:vAlign w:val="center"/>
          </w:tcPr>
          <w:p w14:paraId="5C0EF1A6" w14:textId="77777777" w:rsidR="00AA45F7" w:rsidRPr="00B137CC" w:rsidRDefault="00AA45F7" w:rsidP="00AA45F7">
            <w:pPr>
              <w:spacing w:before="60" w:after="60"/>
            </w:pPr>
            <w:r w:rsidRPr="00B137CC">
              <w:rPr>
                <w:color w:val="000000"/>
              </w:rPr>
              <w:t>Close control</w:t>
            </w:r>
          </w:p>
        </w:tc>
      </w:tr>
      <w:tr w:rsidR="00AA45F7" w14:paraId="5F602EB1" w14:textId="77777777" w:rsidTr="00250D23">
        <w:trPr>
          <w:cantSplit/>
          <w:trHeight w:val="624"/>
        </w:trPr>
        <w:tc>
          <w:tcPr>
            <w:tcW w:w="973" w:type="dxa"/>
            <w:vAlign w:val="center"/>
          </w:tcPr>
          <w:p w14:paraId="32A60A1C" w14:textId="77777777" w:rsidR="00AA45F7" w:rsidRPr="00B137CC" w:rsidRDefault="00AA45F7" w:rsidP="00144ADA">
            <w:pPr>
              <w:spacing w:before="60" w:after="60"/>
              <w:jc w:val="center"/>
            </w:pPr>
            <w:r w:rsidRPr="00B137CC">
              <w:rPr>
                <w:color w:val="000000"/>
              </w:rPr>
              <w:t>11</w:t>
            </w:r>
          </w:p>
        </w:tc>
        <w:tc>
          <w:tcPr>
            <w:tcW w:w="1408" w:type="dxa"/>
            <w:vMerge/>
            <w:vAlign w:val="center"/>
          </w:tcPr>
          <w:p w14:paraId="26DEB08F" w14:textId="77777777" w:rsidR="00AA45F7" w:rsidRPr="00B137CC" w:rsidRDefault="00AA45F7" w:rsidP="00B66ECA">
            <w:pPr>
              <w:jc w:val="center"/>
            </w:pPr>
          </w:p>
        </w:tc>
        <w:tc>
          <w:tcPr>
            <w:tcW w:w="2989" w:type="dxa"/>
            <w:vAlign w:val="center"/>
          </w:tcPr>
          <w:p w14:paraId="4828365D" w14:textId="77777777" w:rsidR="00AA45F7" w:rsidRPr="00B137CC" w:rsidRDefault="00AA45F7" w:rsidP="00144ADA">
            <w:pPr>
              <w:spacing w:before="60" w:after="60"/>
            </w:pPr>
            <w:r w:rsidRPr="00B137CC">
              <w:rPr>
                <w:color w:val="000000"/>
              </w:rPr>
              <w:t>Light commercial</w:t>
            </w:r>
          </w:p>
        </w:tc>
        <w:tc>
          <w:tcPr>
            <w:tcW w:w="1249" w:type="dxa"/>
            <w:vAlign w:val="center"/>
          </w:tcPr>
          <w:p w14:paraId="49BA7483" w14:textId="77777777" w:rsidR="00AA45F7" w:rsidRPr="00B137CC" w:rsidRDefault="00AA45F7" w:rsidP="00144ADA">
            <w:pPr>
              <w:spacing w:before="60" w:after="60"/>
              <w:jc w:val="center"/>
            </w:pPr>
            <w:r w:rsidRPr="00B137CC">
              <w:rPr>
                <w:color w:val="000000"/>
              </w:rPr>
              <w:t>AC3-7</w:t>
            </w:r>
          </w:p>
        </w:tc>
        <w:tc>
          <w:tcPr>
            <w:tcW w:w="2873" w:type="dxa"/>
            <w:vAlign w:val="center"/>
          </w:tcPr>
          <w:p w14:paraId="1114A08E" w14:textId="77777777" w:rsidR="00AA45F7" w:rsidRPr="00B137CC" w:rsidRDefault="00AA45F7" w:rsidP="00144ADA">
            <w:pPr>
              <w:spacing w:before="60" w:after="60"/>
            </w:pPr>
            <w:r w:rsidRPr="00B137CC">
              <w:rPr>
                <w:color w:val="000000"/>
              </w:rPr>
              <w:t>HW heat pump: commercial</w:t>
            </w:r>
          </w:p>
        </w:tc>
      </w:tr>
      <w:tr w:rsidR="00AA45F7" w14:paraId="58BF5546" w14:textId="77777777" w:rsidTr="00250D23">
        <w:trPr>
          <w:cantSplit/>
          <w:trHeight w:val="624"/>
        </w:trPr>
        <w:tc>
          <w:tcPr>
            <w:tcW w:w="973" w:type="dxa"/>
            <w:vAlign w:val="center"/>
          </w:tcPr>
          <w:p w14:paraId="07EC249B" w14:textId="77777777" w:rsidR="00AA45F7" w:rsidRPr="00B137CC" w:rsidRDefault="00AA45F7" w:rsidP="00144ADA">
            <w:pPr>
              <w:spacing w:before="60" w:after="60"/>
              <w:jc w:val="center"/>
            </w:pPr>
            <w:r w:rsidRPr="00B137CC">
              <w:rPr>
                <w:color w:val="000000"/>
              </w:rPr>
              <w:t>12</w:t>
            </w:r>
          </w:p>
        </w:tc>
        <w:tc>
          <w:tcPr>
            <w:tcW w:w="1408" w:type="dxa"/>
            <w:vMerge/>
            <w:vAlign w:val="center"/>
          </w:tcPr>
          <w:p w14:paraId="0944FBCB" w14:textId="77777777" w:rsidR="00AA45F7" w:rsidRPr="00B137CC" w:rsidRDefault="00AA45F7" w:rsidP="00B66ECA">
            <w:pPr>
              <w:jc w:val="center"/>
            </w:pPr>
          </w:p>
        </w:tc>
        <w:tc>
          <w:tcPr>
            <w:tcW w:w="2989" w:type="dxa"/>
            <w:vAlign w:val="center"/>
          </w:tcPr>
          <w:p w14:paraId="367C580A" w14:textId="77777777" w:rsidR="00AA45F7" w:rsidRPr="00B137CC" w:rsidRDefault="00AA45F7" w:rsidP="00144ADA">
            <w:pPr>
              <w:spacing w:before="60" w:after="60"/>
            </w:pPr>
            <w:r w:rsidRPr="00B137CC">
              <w:rPr>
                <w:color w:val="000000"/>
              </w:rPr>
              <w:t>Domestic &amp; light commercial</w:t>
            </w:r>
          </w:p>
        </w:tc>
        <w:tc>
          <w:tcPr>
            <w:tcW w:w="1249" w:type="dxa"/>
            <w:vAlign w:val="center"/>
          </w:tcPr>
          <w:p w14:paraId="5B4A4170" w14:textId="77777777" w:rsidR="00AA45F7" w:rsidRPr="00B137CC" w:rsidRDefault="00AA45F7" w:rsidP="00144ADA">
            <w:pPr>
              <w:spacing w:before="60" w:after="60"/>
              <w:jc w:val="center"/>
            </w:pPr>
            <w:r w:rsidRPr="00B137CC">
              <w:rPr>
                <w:color w:val="000000"/>
              </w:rPr>
              <w:t>AC3-8</w:t>
            </w:r>
          </w:p>
        </w:tc>
        <w:tc>
          <w:tcPr>
            <w:tcW w:w="2873" w:type="dxa"/>
            <w:vAlign w:val="center"/>
          </w:tcPr>
          <w:p w14:paraId="4ABD3C4E" w14:textId="77777777" w:rsidR="00AA45F7" w:rsidRPr="00B137CC" w:rsidRDefault="00AA45F7" w:rsidP="00144ADA">
            <w:pPr>
              <w:spacing w:before="60" w:after="60"/>
            </w:pPr>
            <w:r w:rsidRPr="00B137CC">
              <w:rPr>
                <w:color w:val="000000"/>
              </w:rPr>
              <w:t>Pool heat pump</w:t>
            </w:r>
          </w:p>
        </w:tc>
      </w:tr>
      <w:tr w:rsidR="00B85D06" w14:paraId="28EF00CA" w14:textId="77777777" w:rsidTr="00250D23">
        <w:trPr>
          <w:cantSplit/>
          <w:trHeight w:val="624"/>
        </w:trPr>
        <w:tc>
          <w:tcPr>
            <w:tcW w:w="973" w:type="dxa"/>
            <w:vAlign w:val="center"/>
          </w:tcPr>
          <w:p w14:paraId="3F374F92" w14:textId="77777777" w:rsidR="00B85D06" w:rsidRPr="00B137CC" w:rsidRDefault="00B85D06" w:rsidP="00144ADA">
            <w:pPr>
              <w:spacing w:before="60" w:after="60"/>
              <w:jc w:val="center"/>
            </w:pPr>
            <w:r w:rsidRPr="00B137CC">
              <w:rPr>
                <w:color w:val="000000"/>
              </w:rPr>
              <w:t>13</w:t>
            </w:r>
          </w:p>
        </w:tc>
        <w:tc>
          <w:tcPr>
            <w:tcW w:w="1408" w:type="dxa"/>
            <w:vMerge w:val="restart"/>
            <w:textDirection w:val="btLr"/>
            <w:vAlign w:val="center"/>
          </w:tcPr>
          <w:p w14:paraId="47F47885" w14:textId="77777777" w:rsidR="00B85D06" w:rsidRPr="00B137CC" w:rsidRDefault="00B85D06" w:rsidP="00144ADA">
            <w:pPr>
              <w:spacing w:before="60" w:after="60"/>
              <w:jc w:val="center"/>
            </w:pPr>
            <w:r w:rsidRPr="00B137CC">
              <w:rPr>
                <w:color w:val="000000"/>
              </w:rPr>
              <w:t>AC4: Large AC: Chillers</w:t>
            </w:r>
          </w:p>
        </w:tc>
        <w:tc>
          <w:tcPr>
            <w:tcW w:w="2989" w:type="dxa"/>
            <w:vAlign w:val="center"/>
          </w:tcPr>
          <w:p w14:paraId="08C0500D" w14:textId="77777777" w:rsidR="00B85D06" w:rsidRPr="00B137CC" w:rsidRDefault="00B85D06" w:rsidP="00144ADA">
            <w:pPr>
              <w:spacing w:before="60" w:after="60"/>
            </w:pPr>
            <w:r w:rsidRPr="00B137CC">
              <w:rPr>
                <w:color w:val="000000"/>
              </w:rPr>
              <w:t>Chillers</w:t>
            </w:r>
          </w:p>
        </w:tc>
        <w:tc>
          <w:tcPr>
            <w:tcW w:w="1249" w:type="dxa"/>
            <w:vAlign w:val="center"/>
          </w:tcPr>
          <w:p w14:paraId="54CBAC02" w14:textId="77777777" w:rsidR="00B85D06" w:rsidRPr="00B137CC" w:rsidRDefault="00B85D06" w:rsidP="00144ADA">
            <w:pPr>
              <w:spacing w:before="60" w:after="60"/>
              <w:jc w:val="center"/>
            </w:pPr>
            <w:r w:rsidRPr="00B137CC">
              <w:rPr>
                <w:color w:val="000000"/>
              </w:rPr>
              <w:t>AC4-1</w:t>
            </w:r>
          </w:p>
        </w:tc>
        <w:tc>
          <w:tcPr>
            <w:tcW w:w="2873" w:type="dxa"/>
            <w:vAlign w:val="center"/>
          </w:tcPr>
          <w:p w14:paraId="2492A5CA" w14:textId="77777777" w:rsidR="00B85D06" w:rsidRPr="00B137CC" w:rsidRDefault="00B85D06" w:rsidP="00144ADA">
            <w:pPr>
              <w:spacing w:before="60" w:after="60"/>
            </w:pPr>
            <w:r w:rsidRPr="00B137CC">
              <w:rPr>
                <w:color w:val="000000"/>
              </w:rPr>
              <w:t>&lt;350 kWr</w:t>
            </w:r>
          </w:p>
        </w:tc>
      </w:tr>
      <w:tr w:rsidR="00B85D06" w14:paraId="28D70817" w14:textId="77777777" w:rsidTr="00250D23">
        <w:trPr>
          <w:cantSplit/>
          <w:trHeight w:val="624"/>
        </w:trPr>
        <w:tc>
          <w:tcPr>
            <w:tcW w:w="973" w:type="dxa"/>
            <w:vAlign w:val="center"/>
          </w:tcPr>
          <w:p w14:paraId="73FE0704" w14:textId="77777777" w:rsidR="00B85D06" w:rsidRPr="00B137CC" w:rsidRDefault="00B85D06" w:rsidP="00144ADA">
            <w:pPr>
              <w:spacing w:before="60" w:after="60"/>
              <w:jc w:val="center"/>
            </w:pPr>
            <w:r w:rsidRPr="00B137CC">
              <w:rPr>
                <w:color w:val="000000"/>
              </w:rPr>
              <w:t>14</w:t>
            </w:r>
          </w:p>
        </w:tc>
        <w:tc>
          <w:tcPr>
            <w:tcW w:w="1408" w:type="dxa"/>
            <w:vMerge/>
            <w:vAlign w:val="center"/>
          </w:tcPr>
          <w:p w14:paraId="73602926" w14:textId="77777777" w:rsidR="00B85D06" w:rsidRPr="00B137CC" w:rsidRDefault="00B85D06" w:rsidP="00144ADA">
            <w:pPr>
              <w:spacing w:before="60" w:after="60"/>
              <w:jc w:val="center"/>
            </w:pPr>
          </w:p>
        </w:tc>
        <w:tc>
          <w:tcPr>
            <w:tcW w:w="2989" w:type="dxa"/>
            <w:vAlign w:val="center"/>
          </w:tcPr>
          <w:p w14:paraId="4B178B05" w14:textId="77777777" w:rsidR="00B85D06" w:rsidRPr="00B137CC" w:rsidRDefault="00B85D06" w:rsidP="00144ADA">
            <w:pPr>
              <w:spacing w:before="60" w:after="60"/>
            </w:pPr>
            <w:r w:rsidRPr="00B137CC">
              <w:rPr>
                <w:color w:val="000000"/>
              </w:rPr>
              <w:t>Chillers</w:t>
            </w:r>
          </w:p>
        </w:tc>
        <w:tc>
          <w:tcPr>
            <w:tcW w:w="1249" w:type="dxa"/>
            <w:vAlign w:val="center"/>
          </w:tcPr>
          <w:p w14:paraId="613D0E2A" w14:textId="77777777" w:rsidR="00B85D06" w:rsidRPr="00B137CC" w:rsidRDefault="00B85D06" w:rsidP="00144ADA">
            <w:pPr>
              <w:spacing w:before="60" w:after="60"/>
              <w:jc w:val="center"/>
            </w:pPr>
            <w:r w:rsidRPr="00B137CC">
              <w:rPr>
                <w:color w:val="000000"/>
              </w:rPr>
              <w:t>AC4-2</w:t>
            </w:r>
          </w:p>
        </w:tc>
        <w:tc>
          <w:tcPr>
            <w:tcW w:w="2873" w:type="dxa"/>
            <w:vAlign w:val="center"/>
          </w:tcPr>
          <w:p w14:paraId="7E5548CE" w14:textId="77777777" w:rsidR="00B85D06" w:rsidRPr="00B137CC" w:rsidRDefault="00B85D06" w:rsidP="00144ADA">
            <w:pPr>
              <w:spacing w:before="60" w:after="60"/>
            </w:pPr>
            <w:r w:rsidRPr="00B137CC">
              <w:rPr>
                <w:color w:val="000000"/>
              </w:rPr>
              <w:t>&gt;500 &amp; &lt;1000 kWr</w:t>
            </w:r>
          </w:p>
        </w:tc>
      </w:tr>
      <w:tr w:rsidR="00B85D06" w14:paraId="0245A8CC" w14:textId="77777777" w:rsidTr="00250D23">
        <w:trPr>
          <w:cantSplit/>
          <w:trHeight w:val="624"/>
        </w:trPr>
        <w:tc>
          <w:tcPr>
            <w:tcW w:w="973" w:type="dxa"/>
            <w:vAlign w:val="center"/>
          </w:tcPr>
          <w:p w14:paraId="5C5E1A91" w14:textId="77777777" w:rsidR="00B85D06" w:rsidRPr="00B137CC" w:rsidRDefault="00B85D06" w:rsidP="00144ADA">
            <w:pPr>
              <w:spacing w:before="60" w:after="60"/>
              <w:jc w:val="center"/>
            </w:pPr>
            <w:r w:rsidRPr="00B137CC">
              <w:rPr>
                <w:color w:val="000000"/>
              </w:rPr>
              <w:t>15</w:t>
            </w:r>
          </w:p>
        </w:tc>
        <w:tc>
          <w:tcPr>
            <w:tcW w:w="1408" w:type="dxa"/>
            <w:vMerge/>
            <w:vAlign w:val="center"/>
          </w:tcPr>
          <w:p w14:paraId="212E2011" w14:textId="77777777" w:rsidR="00B85D06" w:rsidRPr="00B137CC" w:rsidRDefault="00B85D06" w:rsidP="00144ADA">
            <w:pPr>
              <w:spacing w:before="60" w:after="60"/>
              <w:jc w:val="center"/>
            </w:pPr>
          </w:p>
        </w:tc>
        <w:tc>
          <w:tcPr>
            <w:tcW w:w="2989" w:type="dxa"/>
            <w:vAlign w:val="center"/>
          </w:tcPr>
          <w:p w14:paraId="0190FB87" w14:textId="77777777" w:rsidR="00B85D06" w:rsidRPr="00B137CC" w:rsidRDefault="00B85D06" w:rsidP="00144ADA">
            <w:pPr>
              <w:spacing w:before="60" w:after="60"/>
            </w:pPr>
            <w:r w:rsidRPr="00B137CC">
              <w:rPr>
                <w:color w:val="000000"/>
              </w:rPr>
              <w:t>Chillers</w:t>
            </w:r>
          </w:p>
        </w:tc>
        <w:tc>
          <w:tcPr>
            <w:tcW w:w="1249" w:type="dxa"/>
            <w:vAlign w:val="center"/>
          </w:tcPr>
          <w:p w14:paraId="320E2B3B" w14:textId="77777777" w:rsidR="00B85D06" w:rsidRPr="00B137CC" w:rsidRDefault="00B85D06" w:rsidP="00144ADA">
            <w:pPr>
              <w:spacing w:before="60" w:after="60"/>
              <w:jc w:val="center"/>
            </w:pPr>
            <w:r w:rsidRPr="00B137CC">
              <w:rPr>
                <w:color w:val="000000"/>
              </w:rPr>
              <w:t>AC4-3</w:t>
            </w:r>
          </w:p>
        </w:tc>
        <w:tc>
          <w:tcPr>
            <w:tcW w:w="2873" w:type="dxa"/>
            <w:vAlign w:val="center"/>
          </w:tcPr>
          <w:p w14:paraId="649D5152" w14:textId="77777777" w:rsidR="00B85D06" w:rsidRPr="00B137CC" w:rsidRDefault="00B85D06" w:rsidP="00144ADA">
            <w:pPr>
              <w:spacing w:before="60" w:after="60"/>
            </w:pPr>
            <w:r w:rsidRPr="00B137CC">
              <w:rPr>
                <w:color w:val="000000"/>
              </w:rPr>
              <w:t>&gt;500 &amp; &lt;1000 kWr</w:t>
            </w:r>
          </w:p>
        </w:tc>
      </w:tr>
      <w:tr w:rsidR="00B85D06" w14:paraId="26018078" w14:textId="77777777" w:rsidTr="00250D23">
        <w:trPr>
          <w:cantSplit/>
          <w:trHeight w:val="624"/>
        </w:trPr>
        <w:tc>
          <w:tcPr>
            <w:tcW w:w="973" w:type="dxa"/>
            <w:vAlign w:val="center"/>
          </w:tcPr>
          <w:p w14:paraId="4569486A" w14:textId="77777777" w:rsidR="00B85D06" w:rsidRPr="00B137CC" w:rsidRDefault="00B85D06" w:rsidP="00144ADA">
            <w:pPr>
              <w:spacing w:before="60" w:after="60"/>
              <w:jc w:val="center"/>
            </w:pPr>
            <w:r w:rsidRPr="00B137CC">
              <w:rPr>
                <w:color w:val="000000"/>
              </w:rPr>
              <w:t>16</w:t>
            </w:r>
          </w:p>
        </w:tc>
        <w:tc>
          <w:tcPr>
            <w:tcW w:w="1408" w:type="dxa"/>
            <w:vMerge/>
            <w:vAlign w:val="center"/>
          </w:tcPr>
          <w:p w14:paraId="730BEE16" w14:textId="77777777" w:rsidR="00B85D06" w:rsidRPr="00B137CC" w:rsidRDefault="00B85D06" w:rsidP="00144ADA">
            <w:pPr>
              <w:spacing w:before="60" w:after="60"/>
              <w:jc w:val="center"/>
            </w:pPr>
          </w:p>
        </w:tc>
        <w:tc>
          <w:tcPr>
            <w:tcW w:w="2989" w:type="dxa"/>
            <w:vAlign w:val="center"/>
          </w:tcPr>
          <w:p w14:paraId="2BB9C232" w14:textId="77777777" w:rsidR="00B85D06" w:rsidRPr="00B137CC" w:rsidRDefault="00B85D06" w:rsidP="00144ADA">
            <w:pPr>
              <w:spacing w:before="60" w:after="60"/>
            </w:pPr>
            <w:r w:rsidRPr="00B137CC">
              <w:rPr>
                <w:color w:val="000000"/>
              </w:rPr>
              <w:t>Chillers</w:t>
            </w:r>
          </w:p>
        </w:tc>
        <w:tc>
          <w:tcPr>
            <w:tcW w:w="1249" w:type="dxa"/>
            <w:vAlign w:val="center"/>
          </w:tcPr>
          <w:p w14:paraId="105BC9EA" w14:textId="77777777" w:rsidR="00B85D06" w:rsidRPr="00B137CC" w:rsidRDefault="00B85D06" w:rsidP="00144ADA">
            <w:pPr>
              <w:spacing w:before="60" w:after="60"/>
              <w:jc w:val="center"/>
            </w:pPr>
            <w:r w:rsidRPr="00B137CC">
              <w:rPr>
                <w:color w:val="000000"/>
              </w:rPr>
              <w:t>AC4-4</w:t>
            </w:r>
          </w:p>
        </w:tc>
        <w:tc>
          <w:tcPr>
            <w:tcW w:w="2873" w:type="dxa"/>
            <w:vAlign w:val="center"/>
          </w:tcPr>
          <w:p w14:paraId="2C5DD001" w14:textId="77777777" w:rsidR="00B85D06" w:rsidRPr="00B137CC" w:rsidRDefault="00B85D06" w:rsidP="00144ADA">
            <w:pPr>
              <w:spacing w:before="60" w:after="60"/>
            </w:pPr>
            <w:r w:rsidRPr="00B137CC">
              <w:rPr>
                <w:color w:val="000000"/>
              </w:rPr>
              <w:t>&gt;1000 kWr</w:t>
            </w:r>
          </w:p>
        </w:tc>
      </w:tr>
      <w:tr w:rsidR="00B85D06" w14:paraId="67AF90AB" w14:textId="77777777" w:rsidTr="00CD73A6">
        <w:trPr>
          <w:cantSplit/>
          <w:trHeight w:val="624"/>
        </w:trPr>
        <w:tc>
          <w:tcPr>
            <w:tcW w:w="973" w:type="dxa"/>
            <w:vAlign w:val="center"/>
          </w:tcPr>
          <w:p w14:paraId="22AA47B9" w14:textId="77777777" w:rsidR="00B85D06" w:rsidRPr="00B137CC" w:rsidRDefault="00B85D06" w:rsidP="00144ADA">
            <w:pPr>
              <w:spacing w:before="60" w:after="60"/>
              <w:jc w:val="center"/>
            </w:pPr>
            <w:r w:rsidRPr="00B137CC">
              <w:rPr>
                <w:color w:val="000000"/>
              </w:rPr>
              <w:t>17</w:t>
            </w:r>
          </w:p>
        </w:tc>
        <w:tc>
          <w:tcPr>
            <w:tcW w:w="1408" w:type="dxa"/>
            <w:vMerge w:val="restart"/>
            <w:textDirection w:val="btLr"/>
            <w:vAlign w:val="center"/>
          </w:tcPr>
          <w:p w14:paraId="798E4CA9" w14:textId="77777777" w:rsidR="00B85D06" w:rsidRPr="00B137CC" w:rsidRDefault="00B85D06" w:rsidP="00144ADA">
            <w:pPr>
              <w:spacing w:before="60" w:after="60"/>
              <w:jc w:val="center"/>
            </w:pPr>
            <w:r w:rsidRPr="00B137CC">
              <w:rPr>
                <w:color w:val="000000"/>
              </w:rPr>
              <w:t>AC5: Other</w:t>
            </w:r>
          </w:p>
        </w:tc>
        <w:tc>
          <w:tcPr>
            <w:tcW w:w="2989" w:type="dxa"/>
            <w:tcBorders>
              <w:bottom w:val="single" w:sz="4" w:space="0" w:color="000000"/>
            </w:tcBorders>
            <w:vAlign w:val="center"/>
          </w:tcPr>
          <w:p w14:paraId="631FE208" w14:textId="77777777" w:rsidR="00B85D06" w:rsidRPr="00B137CC" w:rsidRDefault="00B85D06" w:rsidP="00144ADA">
            <w:pPr>
              <w:spacing w:before="60" w:after="60"/>
            </w:pPr>
            <w:r w:rsidRPr="00B137CC">
              <w:rPr>
                <w:color w:val="000000"/>
              </w:rPr>
              <w:t>HW Heat</w:t>
            </w:r>
            <w:r>
              <w:rPr>
                <w:color w:val="000000"/>
              </w:rPr>
              <w:t xml:space="preserve"> </w:t>
            </w:r>
            <w:r w:rsidRPr="00B137CC">
              <w:rPr>
                <w:color w:val="000000"/>
              </w:rPr>
              <w:t>pump</w:t>
            </w:r>
          </w:p>
        </w:tc>
        <w:tc>
          <w:tcPr>
            <w:tcW w:w="1249" w:type="dxa"/>
            <w:tcBorders>
              <w:bottom w:val="single" w:sz="4" w:space="0" w:color="000000"/>
            </w:tcBorders>
            <w:vAlign w:val="center"/>
          </w:tcPr>
          <w:p w14:paraId="592F49CF" w14:textId="77777777" w:rsidR="00B85D06" w:rsidRPr="00B137CC" w:rsidRDefault="00B85D06" w:rsidP="00144ADA">
            <w:pPr>
              <w:spacing w:before="60" w:after="60"/>
              <w:jc w:val="center"/>
            </w:pPr>
            <w:r w:rsidRPr="00B137CC">
              <w:rPr>
                <w:color w:val="000000"/>
              </w:rPr>
              <w:t>AC5-1</w:t>
            </w:r>
          </w:p>
        </w:tc>
        <w:tc>
          <w:tcPr>
            <w:tcW w:w="2873" w:type="dxa"/>
            <w:tcBorders>
              <w:bottom w:val="single" w:sz="4" w:space="0" w:color="000000"/>
            </w:tcBorders>
            <w:vAlign w:val="center"/>
          </w:tcPr>
          <w:p w14:paraId="062F828A" w14:textId="77777777" w:rsidR="00B85D06" w:rsidRPr="00B137CC" w:rsidRDefault="00B85D06" w:rsidP="00144ADA">
            <w:pPr>
              <w:spacing w:before="60" w:after="60"/>
            </w:pPr>
            <w:r w:rsidRPr="00B137CC">
              <w:rPr>
                <w:color w:val="000000"/>
              </w:rPr>
              <w:t>HW heat pump: domestic</w:t>
            </w:r>
          </w:p>
        </w:tc>
      </w:tr>
      <w:tr w:rsidR="00B85D06" w14:paraId="709E63ED" w14:textId="77777777" w:rsidTr="00CD73A6">
        <w:trPr>
          <w:cantSplit/>
          <w:trHeight w:val="624"/>
        </w:trPr>
        <w:tc>
          <w:tcPr>
            <w:tcW w:w="973" w:type="dxa"/>
            <w:vAlign w:val="center"/>
          </w:tcPr>
          <w:p w14:paraId="554DD439" w14:textId="77777777" w:rsidR="00B85D06" w:rsidRPr="00B137CC" w:rsidRDefault="00B85D06" w:rsidP="00144ADA">
            <w:pPr>
              <w:spacing w:before="60" w:after="60"/>
              <w:jc w:val="center"/>
            </w:pPr>
            <w:r w:rsidRPr="00B137CC">
              <w:rPr>
                <w:color w:val="000000"/>
              </w:rPr>
              <w:t>18</w:t>
            </w:r>
          </w:p>
        </w:tc>
        <w:tc>
          <w:tcPr>
            <w:tcW w:w="1408" w:type="dxa"/>
            <w:vMerge/>
          </w:tcPr>
          <w:p w14:paraId="25D38253" w14:textId="77777777" w:rsidR="00B85D06" w:rsidRPr="00B137CC" w:rsidRDefault="00B85D06" w:rsidP="00B66ECA"/>
        </w:tc>
        <w:tc>
          <w:tcPr>
            <w:tcW w:w="2989" w:type="dxa"/>
            <w:shd w:val="clear" w:color="auto" w:fill="C6D9F1" w:themeFill="text2" w:themeFillTint="33"/>
            <w:vAlign w:val="center"/>
          </w:tcPr>
          <w:p w14:paraId="3E3B680B" w14:textId="77777777" w:rsidR="00B85D06" w:rsidRPr="00B137CC" w:rsidRDefault="00B85D06" w:rsidP="00144ADA">
            <w:pPr>
              <w:spacing w:before="60" w:after="60"/>
            </w:pPr>
            <w:r w:rsidRPr="00B137CC">
              <w:rPr>
                <w:color w:val="000000"/>
              </w:rPr>
              <w:t>Heat pump clothes dryers</w:t>
            </w:r>
          </w:p>
        </w:tc>
        <w:tc>
          <w:tcPr>
            <w:tcW w:w="1249" w:type="dxa"/>
            <w:shd w:val="clear" w:color="auto" w:fill="C6D9F1" w:themeFill="text2" w:themeFillTint="33"/>
            <w:vAlign w:val="center"/>
          </w:tcPr>
          <w:p w14:paraId="08134930" w14:textId="77777777" w:rsidR="00B85D06" w:rsidRPr="00B137CC" w:rsidRDefault="00B85D06" w:rsidP="00144ADA">
            <w:pPr>
              <w:spacing w:before="60" w:after="60"/>
              <w:jc w:val="center"/>
            </w:pPr>
            <w:r w:rsidRPr="00B137CC">
              <w:rPr>
                <w:color w:val="000000"/>
              </w:rPr>
              <w:t>AC5-2</w:t>
            </w:r>
          </w:p>
        </w:tc>
        <w:tc>
          <w:tcPr>
            <w:tcW w:w="2873" w:type="dxa"/>
            <w:shd w:val="clear" w:color="auto" w:fill="C6D9F1" w:themeFill="text2" w:themeFillTint="33"/>
            <w:vAlign w:val="center"/>
          </w:tcPr>
          <w:p w14:paraId="66EB6C16" w14:textId="77777777" w:rsidR="00B85D06" w:rsidRPr="00B137CC" w:rsidRDefault="00B85D06" w:rsidP="00144ADA">
            <w:pPr>
              <w:spacing w:before="60" w:after="60"/>
            </w:pPr>
            <w:r w:rsidRPr="00B137CC">
              <w:rPr>
                <w:color w:val="000000"/>
              </w:rPr>
              <w:t>Heat pump clothes dryers</w:t>
            </w:r>
          </w:p>
        </w:tc>
      </w:tr>
    </w:tbl>
    <w:p w14:paraId="52E9FD6B" w14:textId="33555C72" w:rsidR="009257EE" w:rsidRPr="009257EE" w:rsidRDefault="009257EE" w:rsidP="009257EE">
      <w:pPr>
        <w:snapToGrid w:val="0"/>
        <w:spacing w:before="60"/>
        <w:rPr>
          <w:sz w:val="20"/>
          <w:szCs w:val="20"/>
        </w:rPr>
      </w:pPr>
      <w:r w:rsidRPr="009257EE">
        <w:rPr>
          <w:sz w:val="20"/>
          <w:szCs w:val="20"/>
        </w:rPr>
        <w:t>Notes:</w:t>
      </w:r>
    </w:p>
    <w:p w14:paraId="076C766F" w14:textId="2C1D4C27" w:rsidR="00B85D06" w:rsidRPr="009257EE" w:rsidRDefault="009257EE" w:rsidP="009257EE">
      <w:pPr>
        <w:pStyle w:val="ListParagraph"/>
        <w:numPr>
          <w:ilvl w:val="0"/>
          <w:numId w:val="34"/>
        </w:numPr>
        <w:snapToGrid w:val="0"/>
        <w:spacing w:before="60" w:after="60" w:line="240" w:lineRule="auto"/>
        <w:contextualSpacing w:val="0"/>
        <w:jc w:val="both"/>
        <w:rPr>
          <w:rFonts w:ascii="Times New Roman" w:hAnsi="Times New Roman"/>
          <w:sz w:val="20"/>
          <w:szCs w:val="20"/>
        </w:rPr>
      </w:pPr>
      <w:r w:rsidRPr="009257EE">
        <w:rPr>
          <w:rFonts w:ascii="Times New Roman" w:hAnsi="Times New Roman"/>
          <w:sz w:val="20"/>
          <w:szCs w:val="20"/>
        </w:rPr>
        <w:t>New segments in the 2016 Taxonomy such as AC5-2 Heat pump clothes dryers are highlighted in blue.</w:t>
      </w:r>
    </w:p>
    <w:p w14:paraId="78533B77" w14:textId="77777777" w:rsidR="009257EE" w:rsidRDefault="009257EE" w:rsidP="00F7529F">
      <w:pPr>
        <w:rPr>
          <w:szCs w:val="22"/>
        </w:rPr>
      </w:pPr>
    </w:p>
    <w:p w14:paraId="05DCDB1D" w14:textId="26DFF1FD" w:rsidR="00F7529F" w:rsidRPr="00B137CC" w:rsidRDefault="00F7529F" w:rsidP="00F7529F">
      <w:pPr>
        <w:rPr>
          <w:szCs w:val="22"/>
        </w:rPr>
      </w:pPr>
      <w:r>
        <w:rPr>
          <w:szCs w:val="22"/>
        </w:rPr>
        <w:t>Several of the</w:t>
      </w:r>
      <w:r w:rsidRPr="00B137CC">
        <w:rPr>
          <w:szCs w:val="22"/>
        </w:rPr>
        <w:t xml:space="preserve"> </w:t>
      </w:r>
      <w:r>
        <w:rPr>
          <w:szCs w:val="22"/>
        </w:rPr>
        <w:t xml:space="preserve">product categories in this class capture a wide range of technology formats. The technology covered by each </w:t>
      </w:r>
      <w:r w:rsidR="009F5EAE">
        <w:rPr>
          <w:szCs w:val="22"/>
        </w:rPr>
        <w:t>product</w:t>
      </w:r>
      <w:r>
        <w:rPr>
          <w:szCs w:val="22"/>
        </w:rPr>
        <w:t xml:space="preserve"> category is expanded upon below.</w:t>
      </w:r>
      <w:r w:rsidRPr="00B137CC">
        <w:rPr>
          <w:szCs w:val="22"/>
        </w:rPr>
        <w:t xml:space="preserve"> </w:t>
      </w:r>
    </w:p>
    <w:p w14:paraId="40A1122E" w14:textId="1753251C" w:rsidR="00B85D06" w:rsidRPr="00B137CC" w:rsidRDefault="00B85D06" w:rsidP="00FC735C">
      <w:pPr>
        <w:pStyle w:val="ListParagraph"/>
        <w:numPr>
          <w:ilvl w:val="0"/>
          <w:numId w:val="31"/>
        </w:numPr>
        <w:spacing w:before="120" w:after="0" w:line="240" w:lineRule="auto"/>
        <w:contextualSpacing w:val="0"/>
        <w:jc w:val="both"/>
        <w:rPr>
          <w:rFonts w:ascii="Times New Roman" w:hAnsi="Times New Roman"/>
        </w:rPr>
      </w:pPr>
      <w:r>
        <w:rPr>
          <w:rFonts w:ascii="Times New Roman" w:hAnsi="Times New Roman"/>
        </w:rPr>
        <w:t xml:space="preserve">AC1-1: </w:t>
      </w:r>
      <w:r w:rsidRPr="00B137CC">
        <w:rPr>
          <w:rFonts w:ascii="Times New Roman" w:hAnsi="Times New Roman"/>
        </w:rPr>
        <w:t>Packaged room air conditioning units intended to be inserted through a hole in a wall or through a window aperture of a home, shop or worksite demountable</w:t>
      </w:r>
      <w:r w:rsidR="009942A9">
        <w:rPr>
          <w:rFonts w:ascii="Times New Roman" w:hAnsi="Times New Roman"/>
        </w:rPr>
        <w:t xml:space="preserve"> building. This is a declining and </w:t>
      </w:r>
      <w:r w:rsidRPr="00B137CC">
        <w:rPr>
          <w:rFonts w:ascii="Times New Roman" w:hAnsi="Times New Roman"/>
        </w:rPr>
        <w:t>now predominately a replacement market and generally referred to as ‘window/wall’ units;</w:t>
      </w:r>
    </w:p>
    <w:p w14:paraId="7E4342B4" w14:textId="77777777" w:rsidR="00B85D06" w:rsidRPr="00227E5F" w:rsidRDefault="00B85D06" w:rsidP="00FC735C">
      <w:pPr>
        <w:pStyle w:val="ListParagraph"/>
        <w:numPr>
          <w:ilvl w:val="0"/>
          <w:numId w:val="31"/>
        </w:numPr>
        <w:spacing w:before="120" w:after="0" w:line="240" w:lineRule="auto"/>
        <w:contextualSpacing w:val="0"/>
        <w:jc w:val="both"/>
        <w:rPr>
          <w:rFonts w:ascii="Times New Roman" w:hAnsi="Times New Roman"/>
        </w:rPr>
      </w:pPr>
      <w:r w:rsidRPr="00227E5F">
        <w:rPr>
          <w:rFonts w:ascii="Times New Roman" w:hAnsi="Times New Roman"/>
        </w:rPr>
        <w:t xml:space="preserve">AC1-2: Dehumidifiers and portable air conditioning for domestic use, and </w:t>
      </w:r>
      <w:r>
        <w:rPr>
          <w:rFonts w:ascii="Times New Roman" w:hAnsi="Times New Roman"/>
        </w:rPr>
        <w:t>p</w:t>
      </w:r>
      <w:r w:rsidRPr="00227E5F">
        <w:rPr>
          <w:rFonts w:ascii="Times New Roman" w:hAnsi="Times New Roman"/>
        </w:rPr>
        <w:t>ortable space coolers for spot cooling in commercial and industrial applications, or to provide temporary relief where normal air conditioning systems are inadequate or have broken down;</w:t>
      </w:r>
    </w:p>
    <w:p w14:paraId="7562E4FB" w14:textId="32DD9B4C" w:rsidR="00B85D06" w:rsidRPr="00B137CC" w:rsidRDefault="00B85D06" w:rsidP="00FC735C">
      <w:pPr>
        <w:pStyle w:val="ListParagraph"/>
        <w:numPr>
          <w:ilvl w:val="0"/>
          <w:numId w:val="31"/>
        </w:numPr>
        <w:spacing w:before="120" w:after="0" w:line="240" w:lineRule="auto"/>
        <w:contextualSpacing w:val="0"/>
        <w:jc w:val="both"/>
        <w:rPr>
          <w:rFonts w:ascii="Times New Roman" w:hAnsi="Times New Roman"/>
        </w:rPr>
      </w:pPr>
      <w:r>
        <w:rPr>
          <w:rFonts w:ascii="Times New Roman" w:hAnsi="Times New Roman"/>
        </w:rPr>
        <w:t xml:space="preserve">AC2: </w:t>
      </w:r>
      <w:r w:rsidRPr="00B137CC">
        <w:rPr>
          <w:rFonts w:ascii="Times New Roman" w:hAnsi="Times New Roman"/>
        </w:rPr>
        <w:t xml:space="preserve">Non-ducted split systems covering a broad class of equipment including </w:t>
      </w:r>
      <w:r w:rsidR="009942A9">
        <w:rPr>
          <w:rFonts w:ascii="Times New Roman" w:hAnsi="Times New Roman"/>
        </w:rPr>
        <w:t xml:space="preserve">an outdoor unit combined with </w:t>
      </w:r>
      <w:r w:rsidRPr="00B137CC">
        <w:rPr>
          <w:rFonts w:ascii="Times New Roman" w:hAnsi="Times New Roman"/>
        </w:rPr>
        <w:t>single or multiple indoor units in a variety of styles such as wall hung, cassette, console and under ceiling</w:t>
      </w:r>
      <w:r w:rsidR="009942A9">
        <w:rPr>
          <w:rFonts w:ascii="Times New Roman" w:hAnsi="Times New Roman"/>
        </w:rPr>
        <w:t xml:space="preserve"> units</w:t>
      </w:r>
      <w:r w:rsidRPr="00B137CC">
        <w:rPr>
          <w:rFonts w:ascii="Times New Roman" w:hAnsi="Times New Roman"/>
        </w:rPr>
        <w:t>, all designed for different applications;</w:t>
      </w:r>
    </w:p>
    <w:p w14:paraId="6DF7591B" w14:textId="1966D0B6" w:rsidR="00B85D06" w:rsidRDefault="00B85D06" w:rsidP="00FC735C">
      <w:pPr>
        <w:pStyle w:val="ListParagraph"/>
        <w:numPr>
          <w:ilvl w:val="0"/>
          <w:numId w:val="31"/>
        </w:numPr>
        <w:spacing w:before="120" w:after="0" w:line="240" w:lineRule="auto"/>
        <w:contextualSpacing w:val="0"/>
        <w:jc w:val="both"/>
        <w:rPr>
          <w:rFonts w:ascii="Times New Roman" w:hAnsi="Times New Roman"/>
        </w:rPr>
      </w:pPr>
      <w:r>
        <w:rPr>
          <w:rFonts w:ascii="Times New Roman" w:hAnsi="Times New Roman"/>
        </w:rPr>
        <w:t xml:space="preserve">AC3-1 and AC3-2: </w:t>
      </w:r>
      <w:r w:rsidRPr="00B137CC">
        <w:rPr>
          <w:rFonts w:ascii="Times New Roman" w:hAnsi="Times New Roman"/>
        </w:rPr>
        <w:t>Ducted split systems used in domestic and light commercial applications where the indoor unit is connected to rigid or flexible duct which is ducted around the building to supply air to the conditioned space;</w:t>
      </w:r>
    </w:p>
    <w:p w14:paraId="45225E9D" w14:textId="3000C658" w:rsidR="00B85D06" w:rsidRPr="00B137CC" w:rsidRDefault="00B85D06" w:rsidP="00FC735C">
      <w:pPr>
        <w:pStyle w:val="ListParagraph"/>
        <w:numPr>
          <w:ilvl w:val="0"/>
          <w:numId w:val="31"/>
        </w:numPr>
        <w:spacing w:before="120" w:after="0" w:line="240" w:lineRule="auto"/>
        <w:contextualSpacing w:val="0"/>
        <w:jc w:val="both"/>
        <w:rPr>
          <w:rFonts w:ascii="Times New Roman" w:hAnsi="Times New Roman"/>
        </w:rPr>
      </w:pPr>
      <w:r>
        <w:rPr>
          <w:rFonts w:ascii="Times New Roman" w:hAnsi="Times New Roman"/>
        </w:rPr>
        <w:t xml:space="preserve">AC3-3: </w:t>
      </w:r>
      <w:r w:rsidRPr="00B137CC">
        <w:rPr>
          <w:rFonts w:ascii="Times New Roman" w:hAnsi="Times New Roman"/>
        </w:rPr>
        <w:t>Roof top packaged air conditioning systems</w:t>
      </w:r>
      <w:r w:rsidR="00F54FCD">
        <w:rPr>
          <w:rFonts w:ascii="Times New Roman" w:hAnsi="Times New Roman"/>
        </w:rPr>
        <w:t>, with generally larger capacities than the previous categories, and</w:t>
      </w:r>
      <w:r w:rsidRPr="00B137CC">
        <w:rPr>
          <w:rFonts w:ascii="Times New Roman" w:hAnsi="Times New Roman"/>
        </w:rPr>
        <w:t xml:space="preserve"> that use high static pressure fans which allow long duct runs. In recent times these systems have been re</w:t>
      </w:r>
      <w:r w:rsidR="000047CA">
        <w:rPr>
          <w:rFonts w:ascii="Times New Roman" w:hAnsi="Times New Roman"/>
        </w:rPr>
        <w:t xml:space="preserve">designed </w:t>
      </w:r>
      <w:r w:rsidRPr="00B137CC">
        <w:rPr>
          <w:rFonts w:ascii="Times New Roman" w:hAnsi="Times New Roman"/>
        </w:rPr>
        <w:t xml:space="preserve">with variable speed compressors (i.e. digital scroll), electric commutated plug fans and advanced controls to </w:t>
      </w:r>
      <w:r w:rsidR="00F54FCD">
        <w:rPr>
          <w:rFonts w:ascii="Times New Roman" w:hAnsi="Times New Roman"/>
        </w:rPr>
        <w:t>improve</w:t>
      </w:r>
      <w:r w:rsidRPr="00B137CC">
        <w:rPr>
          <w:rFonts w:ascii="Times New Roman" w:hAnsi="Times New Roman"/>
        </w:rPr>
        <w:t xml:space="preserve"> efficiency levels to compete with other technology platforms sold into commercial buildings</w:t>
      </w:r>
      <w:r w:rsidR="00E66410">
        <w:rPr>
          <w:rFonts w:ascii="Times New Roman" w:hAnsi="Times New Roman"/>
        </w:rPr>
        <w:t>;</w:t>
      </w:r>
    </w:p>
    <w:p w14:paraId="529485F9" w14:textId="2841D7D1" w:rsidR="00B85D06" w:rsidRPr="00B137CC" w:rsidRDefault="00B85D06" w:rsidP="00FC735C">
      <w:pPr>
        <w:pStyle w:val="ListParagraph"/>
        <w:numPr>
          <w:ilvl w:val="0"/>
          <w:numId w:val="31"/>
        </w:numPr>
        <w:spacing w:before="120" w:after="0" w:line="240" w:lineRule="auto"/>
        <w:contextualSpacing w:val="0"/>
        <w:jc w:val="both"/>
        <w:rPr>
          <w:rFonts w:ascii="Times New Roman" w:hAnsi="Times New Roman"/>
        </w:rPr>
      </w:pPr>
      <w:r>
        <w:rPr>
          <w:rFonts w:ascii="Times New Roman" w:hAnsi="Times New Roman"/>
        </w:rPr>
        <w:lastRenderedPageBreak/>
        <w:t xml:space="preserve">AC3-4 and AC3-5: </w:t>
      </w:r>
      <w:r w:rsidRPr="00227E5F">
        <w:rPr>
          <w:rFonts w:ascii="Times New Roman" w:hAnsi="Times New Roman"/>
        </w:rPr>
        <w:t xml:space="preserve">Multi split </w:t>
      </w:r>
      <w:r>
        <w:rPr>
          <w:rFonts w:ascii="Times New Roman" w:hAnsi="Times New Roman"/>
        </w:rPr>
        <w:t>systems and v</w:t>
      </w:r>
      <w:r w:rsidRPr="00B137CC">
        <w:rPr>
          <w:rFonts w:ascii="Times New Roman" w:hAnsi="Times New Roman"/>
        </w:rPr>
        <w:t>ariable refrigerant volume/flow (VRV/F) split systems with multiple indoor units, which is emerging as the preferred technology for medium sized commercial buildings</w:t>
      </w:r>
      <w:r w:rsidR="00F54FCD">
        <w:rPr>
          <w:rFonts w:ascii="Times New Roman" w:hAnsi="Times New Roman"/>
        </w:rPr>
        <w:t>, schools and other multi-purpose buildings</w:t>
      </w:r>
      <w:r w:rsidRPr="00B137CC">
        <w:rPr>
          <w:rFonts w:ascii="Times New Roman" w:hAnsi="Times New Roman"/>
        </w:rPr>
        <w:t>;</w:t>
      </w:r>
    </w:p>
    <w:p w14:paraId="26E4929A" w14:textId="77777777" w:rsidR="00B85D06" w:rsidRDefault="00B85D06" w:rsidP="00FC735C">
      <w:pPr>
        <w:pStyle w:val="ListParagraph"/>
        <w:numPr>
          <w:ilvl w:val="0"/>
          <w:numId w:val="32"/>
        </w:numPr>
        <w:spacing w:before="120" w:after="0" w:line="240" w:lineRule="auto"/>
        <w:contextualSpacing w:val="0"/>
        <w:jc w:val="both"/>
        <w:rPr>
          <w:rFonts w:ascii="Times New Roman" w:hAnsi="Times New Roman"/>
        </w:rPr>
      </w:pPr>
      <w:r w:rsidRPr="00227E5F">
        <w:rPr>
          <w:rFonts w:ascii="Times New Roman" w:hAnsi="Times New Roman"/>
        </w:rPr>
        <w:t>AC3-6</w:t>
      </w:r>
      <w:r>
        <w:rPr>
          <w:rFonts w:ascii="Times New Roman" w:hAnsi="Times New Roman"/>
        </w:rPr>
        <w:t xml:space="preserve">: </w:t>
      </w:r>
      <w:r w:rsidRPr="00B137CC">
        <w:rPr>
          <w:rFonts w:ascii="Times New Roman" w:hAnsi="Times New Roman"/>
        </w:rPr>
        <w:t>Close control or precision air conditioning systems employed in applications where air quality requirements are specified such as in computer rooms, data processing centres, telecommunication facilities, medical technology, clean rooms for production of electronic components and pharmaceuticals, and other industrial process areas;</w:t>
      </w:r>
    </w:p>
    <w:p w14:paraId="29D8DC10" w14:textId="75B96319" w:rsidR="00B85D06" w:rsidRPr="00B137CC" w:rsidRDefault="00B85D06" w:rsidP="00FC735C">
      <w:pPr>
        <w:pStyle w:val="ListParagraph"/>
        <w:numPr>
          <w:ilvl w:val="0"/>
          <w:numId w:val="32"/>
        </w:numPr>
        <w:spacing w:before="120" w:after="0" w:line="240" w:lineRule="auto"/>
        <w:contextualSpacing w:val="0"/>
        <w:jc w:val="both"/>
        <w:rPr>
          <w:rFonts w:ascii="Times New Roman" w:hAnsi="Times New Roman"/>
        </w:rPr>
      </w:pPr>
      <w:r w:rsidRPr="00227E5F">
        <w:rPr>
          <w:rFonts w:ascii="Times New Roman" w:hAnsi="Times New Roman"/>
        </w:rPr>
        <w:t>AC</w:t>
      </w:r>
      <w:r>
        <w:rPr>
          <w:rFonts w:ascii="Times New Roman" w:hAnsi="Times New Roman"/>
        </w:rPr>
        <w:t xml:space="preserve">3-7 and AC3-8: </w:t>
      </w:r>
      <w:r w:rsidRPr="00227E5F">
        <w:rPr>
          <w:rFonts w:ascii="Times New Roman" w:hAnsi="Times New Roman"/>
        </w:rPr>
        <w:t>Hot water heat pumps for commercial applications</w:t>
      </w:r>
      <w:r>
        <w:rPr>
          <w:rFonts w:ascii="Times New Roman" w:hAnsi="Times New Roman"/>
        </w:rPr>
        <w:t xml:space="preserve"> and swimming pool heat pumps</w:t>
      </w:r>
      <w:r w:rsidR="00E66410">
        <w:rPr>
          <w:rFonts w:ascii="Times New Roman" w:hAnsi="Times New Roman"/>
        </w:rPr>
        <w:t>;</w:t>
      </w:r>
      <w:r w:rsidR="00E32F4A">
        <w:rPr>
          <w:rStyle w:val="FootnoteReference"/>
        </w:rPr>
        <w:footnoteReference w:id="9"/>
      </w:r>
    </w:p>
    <w:p w14:paraId="7F7F1B8A" w14:textId="026A849B" w:rsidR="00B85D06" w:rsidRDefault="00B85D06" w:rsidP="00FC735C">
      <w:pPr>
        <w:pStyle w:val="ListParagraph"/>
        <w:numPr>
          <w:ilvl w:val="0"/>
          <w:numId w:val="32"/>
        </w:numPr>
        <w:spacing w:before="120" w:after="0" w:line="240" w:lineRule="auto"/>
        <w:contextualSpacing w:val="0"/>
        <w:jc w:val="both"/>
        <w:rPr>
          <w:rFonts w:ascii="Times New Roman" w:hAnsi="Times New Roman"/>
        </w:rPr>
      </w:pPr>
      <w:r w:rsidRPr="00227E5F">
        <w:rPr>
          <w:rFonts w:ascii="Times New Roman" w:hAnsi="Times New Roman"/>
        </w:rPr>
        <w:t>AC4-1</w:t>
      </w:r>
      <w:r>
        <w:rPr>
          <w:rFonts w:ascii="Times New Roman" w:hAnsi="Times New Roman"/>
        </w:rPr>
        <w:t xml:space="preserve"> to </w:t>
      </w:r>
      <w:r w:rsidRPr="00227E5F">
        <w:rPr>
          <w:rFonts w:ascii="Times New Roman" w:hAnsi="Times New Roman"/>
        </w:rPr>
        <w:t>AC4-</w:t>
      </w:r>
      <w:r>
        <w:rPr>
          <w:rFonts w:ascii="Times New Roman" w:hAnsi="Times New Roman"/>
        </w:rPr>
        <w:t xml:space="preserve">4: </w:t>
      </w:r>
      <w:r w:rsidRPr="00227E5F">
        <w:rPr>
          <w:rFonts w:ascii="Times New Roman" w:hAnsi="Times New Roman"/>
        </w:rPr>
        <w:t>Chillers for space cooling in large commercial buildings</w:t>
      </w:r>
      <w:r w:rsidR="00E66410">
        <w:rPr>
          <w:rFonts w:ascii="Times New Roman" w:hAnsi="Times New Roman"/>
        </w:rPr>
        <w:t>;</w:t>
      </w:r>
    </w:p>
    <w:p w14:paraId="4A507325" w14:textId="6607C061" w:rsidR="00B85D06" w:rsidRPr="00227E5F" w:rsidRDefault="00B85D06" w:rsidP="00FC735C">
      <w:pPr>
        <w:pStyle w:val="ListParagraph"/>
        <w:numPr>
          <w:ilvl w:val="0"/>
          <w:numId w:val="32"/>
        </w:numPr>
        <w:spacing w:before="120" w:after="0" w:line="240" w:lineRule="auto"/>
        <w:contextualSpacing w:val="0"/>
        <w:jc w:val="both"/>
        <w:rPr>
          <w:rFonts w:ascii="Times New Roman" w:hAnsi="Times New Roman"/>
        </w:rPr>
      </w:pPr>
      <w:r>
        <w:rPr>
          <w:rFonts w:ascii="Times New Roman" w:hAnsi="Times New Roman"/>
        </w:rPr>
        <w:t>AC5-1: H</w:t>
      </w:r>
      <w:r w:rsidRPr="00227E5F">
        <w:rPr>
          <w:rFonts w:ascii="Times New Roman" w:hAnsi="Times New Roman"/>
        </w:rPr>
        <w:t xml:space="preserve">ot water heat </w:t>
      </w:r>
      <w:r w:rsidR="00E32F4A">
        <w:rPr>
          <w:rFonts w:ascii="Times New Roman" w:hAnsi="Times New Roman"/>
        </w:rPr>
        <w:t>pumps for domestic applications</w:t>
      </w:r>
      <w:r w:rsidRPr="00227E5F">
        <w:rPr>
          <w:rFonts w:ascii="Times New Roman" w:hAnsi="Times New Roman"/>
        </w:rPr>
        <w:t>;</w:t>
      </w:r>
      <w:r>
        <w:rPr>
          <w:rFonts w:ascii="Times New Roman" w:hAnsi="Times New Roman"/>
        </w:rPr>
        <w:t xml:space="preserve"> and,</w:t>
      </w:r>
    </w:p>
    <w:p w14:paraId="0B5E2F95" w14:textId="48D15313" w:rsidR="00B85D06" w:rsidRPr="00B137CC" w:rsidRDefault="00B85D06" w:rsidP="00FC735C">
      <w:pPr>
        <w:pStyle w:val="ListParagraph"/>
        <w:numPr>
          <w:ilvl w:val="0"/>
          <w:numId w:val="32"/>
        </w:numPr>
        <w:spacing w:before="120" w:after="0" w:line="240" w:lineRule="auto"/>
        <w:contextualSpacing w:val="0"/>
        <w:jc w:val="both"/>
        <w:rPr>
          <w:rFonts w:ascii="Times New Roman" w:hAnsi="Times New Roman"/>
        </w:rPr>
      </w:pPr>
      <w:r>
        <w:rPr>
          <w:rFonts w:ascii="Times New Roman" w:hAnsi="Times New Roman"/>
        </w:rPr>
        <w:t xml:space="preserve">AC5-2: </w:t>
      </w:r>
      <w:r w:rsidRPr="00B137CC">
        <w:rPr>
          <w:rFonts w:ascii="Times New Roman" w:hAnsi="Times New Roman"/>
        </w:rPr>
        <w:t>Heat pump clothes dryers, a type of condenser dryer that use refrigeration technology to remove moisture from clothes and discharge the moistu</w:t>
      </w:r>
      <w:r>
        <w:rPr>
          <w:rFonts w:ascii="Times New Roman" w:hAnsi="Times New Roman"/>
        </w:rPr>
        <w:t>re as condensate to the drain.</w:t>
      </w:r>
    </w:p>
    <w:p w14:paraId="37541223" w14:textId="5BF46295" w:rsidR="00B85D06" w:rsidRPr="00811D8F" w:rsidRDefault="00B85D06" w:rsidP="00B85D06">
      <w:pPr>
        <w:rPr>
          <w:szCs w:val="22"/>
        </w:rPr>
      </w:pPr>
      <w:r w:rsidRPr="00811D8F">
        <w:rPr>
          <w:szCs w:val="22"/>
        </w:rPr>
        <w:t xml:space="preserve">The stock and the energy consumption estimates of equipment categories in this report are </w:t>
      </w:r>
      <w:r w:rsidR="00F54FCD">
        <w:rPr>
          <w:szCs w:val="22"/>
        </w:rPr>
        <w:t>broadly</w:t>
      </w:r>
      <w:r w:rsidR="00F503A7">
        <w:rPr>
          <w:szCs w:val="22"/>
        </w:rPr>
        <w:t xml:space="preserve"> </w:t>
      </w:r>
      <w:r w:rsidRPr="00811D8F">
        <w:rPr>
          <w:szCs w:val="22"/>
        </w:rPr>
        <w:t xml:space="preserve">consistent with the Australian </w:t>
      </w:r>
      <w:r w:rsidR="00E041BB">
        <w:rPr>
          <w:szCs w:val="22"/>
        </w:rPr>
        <w:t>G</w:t>
      </w:r>
      <w:r w:rsidRPr="00811D8F">
        <w:rPr>
          <w:szCs w:val="22"/>
        </w:rPr>
        <w:t>overnment regulatory impact statements for split systems, close control air conditioning, ch</w:t>
      </w:r>
      <w:r>
        <w:rPr>
          <w:szCs w:val="22"/>
        </w:rPr>
        <w:t>illers and hot water heat pumps (E3 201</w:t>
      </w:r>
      <w:r w:rsidR="00F7529F">
        <w:rPr>
          <w:szCs w:val="22"/>
        </w:rPr>
        <w:t>7a</w:t>
      </w:r>
      <w:r>
        <w:rPr>
          <w:szCs w:val="22"/>
        </w:rPr>
        <w:t xml:space="preserve">). </w:t>
      </w:r>
      <w:r w:rsidR="009F5EAE">
        <w:rPr>
          <w:szCs w:val="22"/>
        </w:rPr>
        <w:t>However,</w:t>
      </w:r>
      <w:r w:rsidR="00F54FCD">
        <w:rPr>
          <w:szCs w:val="22"/>
        </w:rPr>
        <w:t xml:space="preserve"> t</w:t>
      </w:r>
      <w:r>
        <w:rPr>
          <w:szCs w:val="22"/>
        </w:rPr>
        <w:t xml:space="preserve">here are some deviations from sales inputs where </w:t>
      </w:r>
      <w:r w:rsidR="00F54FCD">
        <w:rPr>
          <w:szCs w:val="22"/>
        </w:rPr>
        <w:t>pre-charged equipment</w:t>
      </w:r>
      <w:r>
        <w:rPr>
          <w:szCs w:val="22"/>
        </w:rPr>
        <w:t xml:space="preserve"> data provided </w:t>
      </w:r>
      <w:r w:rsidR="00F54FCD">
        <w:rPr>
          <w:szCs w:val="22"/>
        </w:rPr>
        <w:t>CHF</w:t>
      </w:r>
      <w:r w:rsidR="007128F2">
        <w:rPr>
          <w:szCs w:val="22"/>
        </w:rPr>
        <w:t>3</w:t>
      </w:r>
      <w:r w:rsidR="00F54FCD">
        <w:rPr>
          <w:szCs w:val="22"/>
        </w:rPr>
        <w:t xml:space="preserve"> with </w:t>
      </w:r>
      <w:r>
        <w:rPr>
          <w:szCs w:val="22"/>
        </w:rPr>
        <w:t xml:space="preserve">more accurate estimates </w:t>
      </w:r>
      <w:r w:rsidR="00F54FCD">
        <w:rPr>
          <w:szCs w:val="22"/>
        </w:rPr>
        <w:t xml:space="preserve">for changes in the stock </w:t>
      </w:r>
      <w:r>
        <w:rPr>
          <w:szCs w:val="22"/>
        </w:rPr>
        <w:t>in 2014, 2015 and 2016</w:t>
      </w:r>
      <w:r w:rsidR="00F54FCD">
        <w:rPr>
          <w:szCs w:val="22"/>
        </w:rPr>
        <w:t>. These changes lead to</w:t>
      </w:r>
      <w:r>
        <w:rPr>
          <w:szCs w:val="22"/>
        </w:rPr>
        <w:t xml:space="preserve"> differences</w:t>
      </w:r>
      <w:r w:rsidR="00F54FCD">
        <w:rPr>
          <w:szCs w:val="22"/>
        </w:rPr>
        <w:t xml:space="preserve"> between CHF3 projections and</w:t>
      </w:r>
      <w:r w:rsidR="009F5EAE">
        <w:rPr>
          <w:szCs w:val="22"/>
        </w:rPr>
        <w:t xml:space="preserve"> </w:t>
      </w:r>
      <w:r>
        <w:rPr>
          <w:szCs w:val="22"/>
        </w:rPr>
        <w:t>projections</w:t>
      </w:r>
      <w:r w:rsidR="00F54FCD">
        <w:rPr>
          <w:szCs w:val="22"/>
        </w:rPr>
        <w:t xml:space="preserve"> published in </w:t>
      </w:r>
      <w:r w:rsidR="0011784B">
        <w:rPr>
          <w:szCs w:val="22"/>
        </w:rPr>
        <w:t>the r</w:t>
      </w:r>
      <w:r w:rsidR="00F54FCD">
        <w:rPr>
          <w:szCs w:val="22"/>
        </w:rPr>
        <w:t xml:space="preserve">egulatory </w:t>
      </w:r>
      <w:r w:rsidR="0011784B">
        <w:rPr>
          <w:szCs w:val="22"/>
        </w:rPr>
        <w:t>i</w:t>
      </w:r>
      <w:r w:rsidR="00F54FCD">
        <w:rPr>
          <w:szCs w:val="22"/>
        </w:rPr>
        <w:t xml:space="preserve">mpact </w:t>
      </w:r>
      <w:r w:rsidR="0011784B">
        <w:rPr>
          <w:szCs w:val="22"/>
        </w:rPr>
        <w:t>s</w:t>
      </w:r>
      <w:r w:rsidR="00F54FCD">
        <w:rPr>
          <w:szCs w:val="22"/>
        </w:rPr>
        <w:t>tatements</w:t>
      </w:r>
      <w:r>
        <w:rPr>
          <w:szCs w:val="22"/>
        </w:rPr>
        <w:t>.</w:t>
      </w:r>
    </w:p>
    <w:p w14:paraId="2F48AC98" w14:textId="7FA30B54" w:rsidR="00B85D06" w:rsidRDefault="00B85D06" w:rsidP="00B85D06">
      <w:pPr>
        <w:rPr>
          <w:szCs w:val="22"/>
        </w:rPr>
      </w:pPr>
    </w:p>
    <w:p w14:paraId="121221EE" w14:textId="477BDC00" w:rsidR="00B85D06" w:rsidRPr="00D47CC7" w:rsidRDefault="00D47CC7" w:rsidP="00D47CC7">
      <w:pPr>
        <w:pStyle w:val="Caption"/>
        <w:keepNext/>
        <w:rPr>
          <w:szCs w:val="22"/>
        </w:rPr>
      </w:pPr>
      <w:bookmarkStart w:id="17" w:name="_Toc525141392"/>
      <w:r w:rsidRPr="00D47CC7">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w:t>
      </w:r>
      <w:r w:rsidR="009D6843">
        <w:rPr>
          <w:noProof/>
        </w:rPr>
        <w:fldChar w:fldCharType="end"/>
      </w:r>
      <w:r w:rsidRPr="00D47CC7">
        <w:t xml:space="preserve">: </w:t>
      </w:r>
      <w:r w:rsidR="00B85D06" w:rsidRPr="00D47CC7">
        <w:rPr>
          <w:szCs w:val="22"/>
        </w:rPr>
        <w:t>Stationary air conditioning by category and stock numbers</w:t>
      </w:r>
      <w:r w:rsidR="00313B1E" w:rsidRPr="00D47CC7">
        <w:rPr>
          <w:szCs w:val="22"/>
        </w:rPr>
        <w:t>:</w:t>
      </w:r>
      <w:r w:rsidR="00B85D06" w:rsidRPr="00D47CC7">
        <w:rPr>
          <w:szCs w:val="22"/>
        </w:rPr>
        <w:t xml:space="preserve"> 2012-2016.</w:t>
      </w:r>
      <w:bookmarkEnd w:id="17"/>
    </w:p>
    <w:tbl>
      <w:tblPr>
        <w:tblStyle w:val="TableGrid"/>
        <w:tblW w:w="0" w:type="auto"/>
        <w:tblInd w:w="-5" w:type="dxa"/>
        <w:tblLook w:val="04A0" w:firstRow="1" w:lastRow="0" w:firstColumn="1" w:lastColumn="0" w:noHBand="0" w:noVBand="1"/>
      </w:tblPr>
      <w:tblGrid>
        <w:gridCol w:w="1272"/>
        <w:gridCol w:w="1809"/>
        <w:gridCol w:w="2148"/>
        <w:gridCol w:w="1426"/>
        <w:gridCol w:w="1426"/>
        <w:gridCol w:w="1411"/>
      </w:tblGrid>
      <w:tr w:rsidR="00B85D06" w14:paraId="5E93538B" w14:textId="77777777" w:rsidTr="00CD73A6">
        <w:trPr>
          <w:trHeight w:val="624"/>
          <w:tblHeader/>
        </w:trPr>
        <w:tc>
          <w:tcPr>
            <w:tcW w:w="9492" w:type="dxa"/>
            <w:gridSpan w:val="6"/>
            <w:shd w:val="clear" w:color="auto" w:fill="B6DDE8" w:themeFill="accent5" w:themeFillTint="66"/>
            <w:vAlign w:val="center"/>
          </w:tcPr>
          <w:p w14:paraId="5CAC71B7" w14:textId="77777777" w:rsidR="00B85D06" w:rsidRPr="00B137CC" w:rsidRDefault="00B85D06" w:rsidP="00DE35E3">
            <w:pPr>
              <w:snapToGrid w:val="0"/>
              <w:spacing w:after="120"/>
              <w:jc w:val="center"/>
            </w:pPr>
            <w:r w:rsidRPr="00B137CC">
              <w:rPr>
                <w:color w:val="000000" w:themeColor="text1"/>
              </w:rPr>
              <w:t>STATIONARY AIR CONDITIONING</w:t>
            </w:r>
          </w:p>
        </w:tc>
      </w:tr>
      <w:tr w:rsidR="00B85D06" w14:paraId="423D67D9" w14:textId="77777777" w:rsidTr="00CD73A6">
        <w:trPr>
          <w:trHeight w:val="624"/>
          <w:tblHeader/>
        </w:trPr>
        <w:tc>
          <w:tcPr>
            <w:tcW w:w="1272" w:type="dxa"/>
            <w:shd w:val="clear" w:color="auto" w:fill="B6DDE8" w:themeFill="accent5" w:themeFillTint="66"/>
            <w:vAlign w:val="center"/>
          </w:tcPr>
          <w:p w14:paraId="54F8E212" w14:textId="5C7577B5" w:rsidR="00B85D06" w:rsidRPr="00B137CC" w:rsidRDefault="00B85D06" w:rsidP="00DE35E3">
            <w:pPr>
              <w:snapToGrid w:val="0"/>
              <w:spacing w:after="120"/>
            </w:pPr>
            <w:r w:rsidRPr="00B137CC">
              <w:rPr>
                <w:color w:val="000000" w:themeColor="text1"/>
              </w:rPr>
              <w:t xml:space="preserve">Category </w:t>
            </w:r>
            <w:r w:rsidR="00F863A5">
              <w:rPr>
                <w:color w:val="000000" w:themeColor="text1"/>
              </w:rPr>
              <w:t>c</w:t>
            </w:r>
            <w:r w:rsidRPr="00B137CC">
              <w:rPr>
                <w:color w:val="000000" w:themeColor="text1"/>
              </w:rPr>
              <w:t>ode</w:t>
            </w:r>
          </w:p>
        </w:tc>
        <w:tc>
          <w:tcPr>
            <w:tcW w:w="1809" w:type="dxa"/>
            <w:shd w:val="clear" w:color="auto" w:fill="B6DDE8" w:themeFill="accent5" w:themeFillTint="66"/>
            <w:vAlign w:val="center"/>
          </w:tcPr>
          <w:p w14:paraId="6B05BFED" w14:textId="77777777" w:rsidR="00B85D06" w:rsidRPr="00B137CC" w:rsidRDefault="00B85D06" w:rsidP="00DE35E3">
            <w:pPr>
              <w:snapToGrid w:val="0"/>
              <w:spacing w:after="120"/>
            </w:pPr>
            <w:r w:rsidRPr="00B137CC">
              <w:rPr>
                <w:color w:val="000000" w:themeColor="text1"/>
              </w:rPr>
              <w:t>Application</w:t>
            </w:r>
          </w:p>
        </w:tc>
        <w:tc>
          <w:tcPr>
            <w:tcW w:w="2148" w:type="dxa"/>
            <w:shd w:val="clear" w:color="auto" w:fill="B6DDE8" w:themeFill="accent5" w:themeFillTint="66"/>
            <w:vAlign w:val="center"/>
          </w:tcPr>
          <w:p w14:paraId="56A0DCCF" w14:textId="77777777" w:rsidR="00B85D06" w:rsidRPr="00B137CC" w:rsidRDefault="00B85D06" w:rsidP="00DE35E3">
            <w:pPr>
              <w:snapToGrid w:val="0"/>
              <w:spacing w:after="120"/>
            </w:pPr>
            <w:r w:rsidRPr="00B137CC">
              <w:rPr>
                <w:color w:val="000000" w:themeColor="text1"/>
              </w:rPr>
              <w:t>Product category</w:t>
            </w:r>
          </w:p>
        </w:tc>
        <w:tc>
          <w:tcPr>
            <w:tcW w:w="1426" w:type="dxa"/>
            <w:shd w:val="clear" w:color="auto" w:fill="B6DDE8" w:themeFill="accent5" w:themeFillTint="66"/>
            <w:vAlign w:val="center"/>
          </w:tcPr>
          <w:p w14:paraId="7443D8D2" w14:textId="77777777" w:rsidR="00B85D06" w:rsidRPr="00B137CC" w:rsidRDefault="00B85D06" w:rsidP="00DE35E3">
            <w:pPr>
              <w:snapToGrid w:val="0"/>
              <w:spacing w:after="120"/>
              <w:jc w:val="center"/>
              <w:rPr>
                <w:color w:val="000000" w:themeColor="text1"/>
              </w:rPr>
            </w:pPr>
            <w:r w:rsidRPr="00B137CC">
              <w:rPr>
                <w:color w:val="000000" w:themeColor="text1"/>
              </w:rPr>
              <w:t>Total (Units) 2012</w:t>
            </w:r>
          </w:p>
        </w:tc>
        <w:tc>
          <w:tcPr>
            <w:tcW w:w="1426" w:type="dxa"/>
            <w:shd w:val="clear" w:color="auto" w:fill="B6DDE8" w:themeFill="accent5" w:themeFillTint="66"/>
            <w:vAlign w:val="center"/>
          </w:tcPr>
          <w:p w14:paraId="69E1F882" w14:textId="77777777" w:rsidR="00B85D06" w:rsidRPr="00B137CC" w:rsidRDefault="00B85D06" w:rsidP="00DE35E3">
            <w:pPr>
              <w:snapToGrid w:val="0"/>
              <w:spacing w:after="120"/>
              <w:jc w:val="center"/>
              <w:rPr>
                <w:color w:val="000000" w:themeColor="text1"/>
              </w:rPr>
            </w:pPr>
            <w:r w:rsidRPr="00B137CC">
              <w:rPr>
                <w:color w:val="000000" w:themeColor="text1"/>
              </w:rPr>
              <w:t>Total (Units) 2016</w:t>
            </w:r>
          </w:p>
        </w:tc>
        <w:tc>
          <w:tcPr>
            <w:tcW w:w="1411" w:type="dxa"/>
            <w:shd w:val="clear" w:color="auto" w:fill="B6DDE8" w:themeFill="accent5" w:themeFillTint="66"/>
            <w:vAlign w:val="center"/>
          </w:tcPr>
          <w:p w14:paraId="1D0775C2" w14:textId="77777777" w:rsidR="00B85D06" w:rsidRPr="00B137CC" w:rsidRDefault="00B85D06" w:rsidP="00DE35E3">
            <w:pPr>
              <w:snapToGrid w:val="0"/>
              <w:spacing w:after="120"/>
              <w:jc w:val="center"/>
              <w:rPr>
                <w:color w:val="000000" w:themeColor="text1"/>
              </w:rPr>
            </w:pPr>
            <w:r w:rsidRPr="00B137CC">
              <w:rPr>
                <w:color w:val="000000" w:themeColor="text1"/>
              </w:rPr>
              <w:t>Change        (%)</w:t>
            </w:r>
          </w:p>
        </w:tc>
      </w:tr>
      <w:tr w:rsidR="00B85D06" w14:paraId="77C0B488" w14:textId="77777777" w:rsidTr="00DE35E3">
        <w:trPr>
          <w:trHeight w:val="624"/>
        </w:trPr>
        <w:tc>
          <w:tcPr>
            <w:tcW w:w="1272" w:type="dxa"/>
            <w:vAlign w:val="center"/>
          </w:tcPr>
          <w:p w14:paraId="48C5B78A" w14:textId="77777777" w:rsidR="00B85D06" w:rsidRPr="00B137CC" w:rsidRDefault="00B85D06" w:rsidP="00DE35E3">
            <w:pPr>
              <w:snapToGrid w:val="0"/>
              <w:spacing w:before="60" w:after="60"/>
            </w:pPr>
            <w:r w:rsidRPr="00B137CC">
              <w:rPr>
                <w:color w:val="000000"/>
              </w:rPr>
              <w:t>AC1-1</w:t>
            </w:r>
          </w:p>
        </w:tc>
        <w:tc>
          <w:tcPr>
            <w:tcW w:w="1809" w:type="dxa"/>
            <w:vAlign w:val="center"/>
          </w:tcPr>
          <w:p w14:paraId="641EFC74" w14:textId="77777777" w:rsidR="00B85D06" w:rsidRPr="00B137CC" w:rsidRDefault="00B85D06" w:rsidP="00DE35E3">
            <w:pPr>
              <w:snapToGrid w:val="0"/>
              <w:spacing w:before="60" w:after="60"/>
              <w:jc w:val="left"/>
            </w:pPr>
            <w:r w:rsidRPr="00B137CC">
              <w:rPr>
                <w:color w:val="000000"/>
              </w:rPr>
              <w:t>Window/wall</w:t>
            </w:r>
          </w:p>
        </w:tc>
        <w:tc>
          <w:tcPr>
            <w:tcW w:w="2148" w:type="dxa"/>
            <w:vAlign w:val="center"/>
          </w:tcPr>
          <w:p w14:paraId="13C7C762" w14:textId="77777777" w:rsidR="00B85D06" w:rsidRPr="00B137CC" w:rsidRDefault="00B85D06" w:rsidP="00DE35E3">
            <w:pPr>
              <w:snapToGrid w:val="0"/>
              <w:spacing w:before="60" w:after="60"/>
              <w:jc w:val="left"/>
            </w:pPr>
            <w:r w:rsidRPr="00B137CC">
              <w:rPr>
                <w:color w:val="000000"/>
              </w:rPr>
              <w:t xml:space="preserve">Non-Ducted: Unitary 0-10 kWr </w:t>
            </w:r>
          </w:p>
        </w:tc>
        <w:tc>
          <w:tcPr>
            <w:tcW w:w="1426" w:type="dxa"/>
            <w:vAlign w:val="center"/>
          </w:tcPr>
          <w:p w14:paraId="7238BAE3" w14:textId="77777777" w:rsidR="00B85D06" w:rsidRPr="00B137CC" w:rsidRDefault="00B85D06" w:rsidP="00DE35E3">
            <w:pPr>
              <w:snapToGrid w:val="0"/>
              <w:spacing w:before="60" w:after="60"/>
              <w:jc w:val="center"/>
            </w:pPr>
            <w:r w:rsidRPr="00B137CC">
              <w:rPr>
                <w:color w:val="000000"/>
              </w:rPr>
              <w:t>1,915,000</w:t>
            </w:r>
          </w:p>
        </w:tc>
        <w:tc>
          <w:tcPr>
            <w:tcW w:w="1426" w:type="dxa"/>
            <w:vAlign w:val="center"/>
          </w:tcPr>
          <w:p w14:paraId="056690D4" w14:textId="690D61D7" w:rsidR="00B85D06" w:rsidRPr="00B137CC" w:rsidRDefault="00425BFD" w:rsidP="00DE35E3">
            <w:pPr>
              <w:snapToGrid w:val="0"/>
              <w:spacing w:before="60" w:after="60"/>
              <w:jc w:val="center"/>
            </w:pPr>
            <w:r>
              <w:rPr>
                <w:color w:val="000000"/>
              </w:rPr>
              <w:t>1,592,000</w:t>
            </w:r>
          </w:p>
        </w:tc>
        <w:tc>
          <w:tcPr>
            <w:tcW w:w="1411" w:type="dxa"/>
            <w:vAlign w:val="center"/>
          </w:tcPr>
          <w:p w14:paraId="4ACEB9F4" w14:textId="65988992" w:rsidR="00B85D06" w:rsidRPr="00B137CC" w:rsidRDefault="00DE35E3" w:rsidP="00DE35E3">
            <w:pPr>
              <w:snapToGrid w:val="0"/>
              <w:spacing w:before="60" w:after="60"/>
              <w:jc w:val="center"/>
            </w:pPr>
            <w:r>
              <w:t>-17%</w:t>
            </w:r>
          </w:p>
        </w:tc>
      </w:tr>
      <w:tr w:rsidR="00B85D06" w14:paraId="53C3658D" w14:textId="77777777" w:rsidTr="00DE35E3">
        <w:trPr>
          <w:trHeight w:val="624"/>
        </w:trPr>
        <w:tc>
          <w:tcPr>
            <w:tcW w:w="1272" w:type="dxa"/>
            <w:vAlign w:val="center"/>
          </w:tcPr>
          <w:p w14:paraId="36DABF04" w14:textId="77777777" w:rsidR="00B85D06" w:rsidRPr="00B137CC" w:rsidRDefault="00B85D06" w:rsidP="00DE35E3">
            <w:pPr>
              <w:snapToGrid w:val="0"/>
              <w:spacing w:before="60" w:after="60"/>
            </w:pPr>
            <w:r w:rsidRPr="00B137CC">
              <w:rPr>
                <w:color w:val="000000"/>
              </w:rPr>
              <w:t>AC1-2</w:t>
            </w:r>
          </w:p>
        </w:tc>
        <w:tc>
          <w:tcPr>
            <w:tcW w:w="1809" w:type="dxa"/>
            <w:vAlign w:val="center"/>
          </w:tcPr>
          <w:p w14:paraId="00DECECE" w14:textId="77777777" w:rsidR="00B85D06" w:rsidRPr="00B137CC" w:rsidRDefault="00B85D06" w:rsidP="00DE35E3">
            <w:pPr>
              <w:snapToGrid w:val="0"/>
              <w:spacing w:before="60" w:after="60"/>
              <w:jc w:val="left"/>
            </w:pPr>
            <w:r w:rsidRPr="00B137CC">
              <w:rPr>
                <w:color w:val="000000"/>
              </w:rPr>
              <w:t>Portable AC</w:t>
            </w:r>
          </w:p>
        </w:tc>
        <w:tc>
          <w:tcPr>
            <w:tcW w:w="2148" w:type="dxa"/>
            <w:vAlign w:val="center"/>
          </w:tcPr>
          <w:p w14:paraId="7EB059D9" w14:textId="77777777" w:rsidR="00B85D06" w:rsidRPr="00B137CC" w:rsidRDefault="00B85D06" w:rsidP="00DE35E3">
            <w:pPr>
              <w:snapToGrid w:val="0"/>
              <w:spacing w:before="60" w:after="60"/>
              <w:jc w:val="left"/>
              <w:rPr>
                <w:color w:val="000000"/>
              </w:rPr>
            </w:pPr>
            <w:r w:rsidRPr="00B137CC">
              <w:rPr>
                <w:color w:val="000000"/>
              </w:rPr>
              <w:t xml:space="preserve">Portable AC:  </w:t>
            </w:r>
          </w:p>
          <w:p w14:paraId="4E73CFB2" w14:textId="77777777" w:rsidR="00B85D06" w:rsidRPr="00B137CC" w:rsidRDefault="00B85D06" w:rsidP="00DE35E3">
            <w:pPr>
              <w:snapToGrid w:val="0"/>
              <w:spacing w:before="60" w:after="60"/>
              <w:jc w:val="left"/>
            </w:pPr>
            <w:r w:rsidRPr="00B137CC">
              <w:rPr>
                <w:color w:val="000000"/>
              </w:rPr>
              <w:t>0-10 kWr</w:t>
            </w:r>
          </w:p>
        </w:tc>
        <w:tc>
          <w:tcPr>
            <w:tcW w:w="1426" w:type="dxa"/>
            <w:vAlign w:val="center"/>
          </w:tcPr>
          <w:p w14:paraId="4BF3BA67" w14:textId="77777777" w:rsidR="00B85D06" w:rsidRPr="00B137CC" w:rsidRDefault="00B85D06" w:rsidP="00DE35E3">
            <w:pPr>
              <w:snapToGrid w:val="0"/>
              <w:spacing w:before="60" w:after="60"/>
              <w:jc w:val="center"/>
            </w:pPr>
            <w:r w:rsidRPr="00B137CC">
              <w:rPr>
                <w:color w:val="000000"/>
              </w:rPr>
              <w:t>606,000</w:t>
            </w:r>
          </w:p>
        </w:tc>
        <w:tc>
          <w:tcPr>
            <w:tcW w:w="1426" w:type="dxa"/>
            <w:vAlign w:val="center"/>
          </w:tcPr>
          <w:p w14:paraId="6042D9FB" w14:textId="1596491E" w:rsidR="00B85D06" w:rsidRPr="00B137CC" w:rsidRDefault="00B35CB5" w:rsidP="00DE35E3">
            <w:pPr>
              <w:snapToGrid w:val="0"/>
              <w:spacing w:before="60" w:after="60"/>
              <w:jc w:val="center"/>
            </w:pPr>
            <w:r>
              <w:rPr>
                <w:color w:val="000000"/>
              </w:rPr>
              <w:t>8</w:t>
            </w:r>
            <w:r w:rsidR="0092393E">
              <w:rPr>
                <w:color w:val="000000"/>
              </w:rPr>
              <w:t>27</w:t>
            </w:r>
            <w:r>
              <w:rPr>
                <w:color w:val="000000"/>
              </w:rPr>
              <w:t>,000</w:t>
            </w:r>
          </w:p>
        </w:tc>
        <w:tc>
          <w:tcPr>
            <w:tcW w:w="1411" w:type="dxa"/>
            <w:vAlign w:val="center"/>
          </w:tcPr>
          <w:p w14:paraId="7FB166D8" w14:textId="459455B9" w:rsidR="00B85D06" w:rsidRPr="00B137CC" w:rsidRDefault="00DE35E3" w:rsidP="00DE35E3">
            <w:pPr>
              <w:snapToGrid w:val="0"/>
              <w:spacing w:before="60" w:after="60"/>
              <w:jc w:val="center"/>
            </w:pPr>
            <w:r>
              <w:t>+36%</w:t>
            </w:r>
          </w:p>
        </w:tc>
      </w:tr>
      <w:tr w:rsidR="00B85D06" w14:paraId="0EAFFFD3" w14:textId="77777777" w:rsidTr="00DE35E3">
        <w:trPr>
          <w:trHeight w:val="624"/>
        </w:trPr>
        <w:tc>
          <w:tcPr>
            <w:tcW w:w="1272" w:type="dxa"/>
            <w:vAlign w:val="center"/>
          </w:tcPr>
          <w:p w14:paraId="0A1BC072" w14:textId="77777777" w:rsidR="00B85D06" w:rsidRPr="00B137CC" w:rsidRDefault="00B85D06" w:rsidP="00DE35E3">
            <w:pPr>
              <w:snapToGrid w:val="0"/>
              <w:spacing w:before="60" w:after="60"/>
            </w:pPr>
            <w:r w:rsidRPr="00B137CC">
              <w:rPr>
                <w:color w:val="000000"/>
              </w:rPr>
              <w:t>AC2-1</w:t>
            </w:r>
          </w:p>
        </w:tc>
        <w:tc>
          <w:tcPr>
            <w:tcW w:w="1809" w:type="dxa"/>
            <w:vAlign w:val="center"/>
          </w:tcPr>
          <w:p w14:paraId="65B2904E" w14:textId="77777777" w:rsidR="00B85D06" w:rsidRPr="00B137CC" w:rsidRDefault="00B85D06" w:rsidP="00DE35E3">
            <w:pPr>
              <w:snapToGrid w:val="0"/>
              <w:spacing w:before="60" w:after="60"/>
              <w:jc w:val="left"/>
            </w:pPr>
            <w:r w:rsidRPr="00B137CC">
              <w:rPr>
                <w:color w:val="000000"/>
              </w:rPr>
              <w:t>Single split: non-ducted</w:t>
            </w:r>
          </w:p>
        </w:tc>
        <w:tc>
          <w:tcPr>
            <w:tcW w:w="2148" w:type="dxa"/>
            <w:vAlign w:val="center"/>
          </w:tcPr>
          <w:p w14:paraId="0E56F7B3" w14:textId="77777777" w:rsidR="00B85D06" w:rsidRPr="00B137CC" w:rsidRDefault="00B85D06" w:rsidP="00DE35E3">
            <w:pPr>
              <w:snapToGrid w:val="0"/>
              <w:spacing w:before="60" w:after="60"/>
              <w:jc w:val="left"/>
            </w:pPr>
            <w:r w:rsidRPr="00B137CC">
              <w:rPr>
                <w:color w:val="000000"/>
              </w:rPr>
              <w:t>Single split system: Non-ducted: 1-phase</w:t>
            </w:r>
          </w:p>
        </w:tc>
        <w:tc>
          <w:tcPr>
            <w:tcW w:w="1426" w:type="dxa"/>
            <w:vMerge w:val="restart"/>
            <w:vAlign w:val="center"/>
          </w:tcPr>
          <w:p w14:paraId="39694F11" w14:textId="77777777" w:rsidR="00B85D06" w:rsidRPr="00B137CC" w:rsidRDefault="00B85D06" w:rsidP="00DE35E3">
            <w:pPr>
              <w:snapToGrid w:val="0"/>
              <w:spacing w:before="60" w:after="60"/>
              <w:jc w:val="center"/>
              <w:rPr>
                <w:color w:val="000000"/>
              </w:rPr>
            </w:pPr>
            <w:r w:rsidRPr="00B137CC">
              <w:rPr>
                <w:color w:val="000000"/>
              </w:rPr>
              <w:t>7,145,000</w:t>
            </w:r>
          </w:p>
        </w:tc>
        <w:tc>
          <w:tcPr>
            <w:tcW w:w="1426" w:type="dxa"/>
            <w:vMerge w:val="restart"/>
            <w:vAlign w:val="center"/>
          </w:tcPr>
          <w:p w14:paraId="180B0C21" w14:textId="7031900E" w:rsidR="00B85D06" w:rsidRPr="00B137CC" w:rsidRDefault="00B85D06" w:rsidP="00DE35E3">
            <w:pPr>
              <w:snapToGrid w:val="0"/>
              <w:spacing w:before="60" w:after="60"/>
              <w:jc w:val="center"/>
            </w:pPr>
            <w:r w:rsidRPr="00B137CC">
              <w:t>9,</w:t>
            </w:r>
            <w:r w:rsidR="00DE35E3">
              <w:t>238</w:t>
            </w:r>
            <w:r w:rsidRPr="00B137CC">
              <w:t>,000</w:t>
            </w:r>
          </w:p>
        </w:tc>
        <w:tc>
          <w:tcPr>
            <w:tcW w:w="1411" w:type="dxa"/>
            <w:vMerge w:val="restart"/>
            <w:vAlign w:val="center"/>
          </w:tcPr>
          <w:p w14:paraId="7ADD165E" w14:textId="1F76B27E" w:rsidR="00B85D06" w:rsidRPr="00B137CC" w:rsidRDefault="00DE35E3" w:rsidP="00DE35E3">
            <w:pPr>
              <w:snapToGrid w:val="0"/>
              <w:spacing w:before="60" w:after="60"/>
              <w:jc w:val="center"/>
            </w:pPr>
            <w:r>
              <w:t>+29%</w:t>
            </w:r>
          </w:p>
        </w:tc>
      </w:tr>
      <w:tr w:rsidR="00B85D06" w14:paraId="1FF74A04" w14:textId="77777777" w:rsidTr="00DE35E3">
        <w:trPr>
          <w:trHeight w:val="624"/>
        </w:trPr>
        <w:tc>
          <w:tcPr>
            <w:tcW w:w="1272" w:type="dxa"/>
            <w:vAlign w:val="center"/>
          </w:tcPr>
          <w:p w14:paraId="10F5F5E1" w14:textId="77777777" w:rsidR="00B85D06" w:rsidRPr="00B137CC" w:rsidRDefault="00B85D06" w:rsidP="00DE35E3">
            <w:pPr>
              <w:snapToGrid w:val="0"/>
              <w:spacing w:before="60" w:after="60"/>
            </w:pPr>
            <w:r w:rsidRPr="00B137CC">
              <w:rPr>
                <w:color w:val="000000"/>
              </w:rPr>
              <w:t>AC2-2</w:t>
            </w:r>
          </w:p>
        </w:tc>
        <w:tc>
          <w:tcPr>
            <w:tcW w:w="1809" w:type="dxa"/>
            <w:vAlign w:val="center"/>
          </w:tcPr>
          <w:p w14:paraId="46E6835E" w14:textId="77777777" w:rsidR="00B85D06" w:rsidRPr="00B137CC" w:rsidRDefault="00B85D06" w:rsidP="00DE35E3">
            <w:pPr>
              <w:snapToGrid w:val="0"/>
              <w:spacing w:before="60" w:after="60"/>
              <w:jc w:val="left"/>
            </w:pPr>
            <w:r w:rsidRPr="00B137CC">
              <w:rPr>
                <w:color w:val="000000"/>
              </w:rPr>
              <w:t>Single split: non-ducted</w:t>
            </w:r>
          </w:p>
        </w:tc>
        <w:tc>
          <w:tcPr>
            <w:tcW w:w="2148" w:type="dxa"/>
            <w:vAlign w:val="center"/>
          </w:tcPr>
          <w:p w14:paraId="144A83B2" w14:textId="77777777" w:rsidR="00B85D06" w:rsidRPr="00B137CC" w:rsidRDefault="00B85D06" w:rsidP="00DE35E3">
            <w:pPr>
              <w:snapToGrid w:val="0"/>
              <w:spacing w:before="60" w:after="60"/>
              <w:jc w:val="left"/>
            </w:pPr>
            <w:r w:rsidRPr="00B137CC">
              <w:rPr>
                <w:color w:val="000000"/>
              </w:rPr>
              <w:t>Single split system: Non-ducted: 3-phase</w:t>
            </w:r>
          </w:p>
        </w:tc>
        <w:tc>
          <w:tcPr>
            <w:tcW w:w="1426" w:type="dxa"/>
            <w:vMerge/>
            <w:vAlign w:val="center"/>
          </w:tcPr>
          <w:p w14:paraId="09AAEF47" w14:textId="77777777" w:rsidR="00B85D06" w:rsidRPr="00B137CC" w:rsidRDefault="00B85D06" w:rsidP="00DE35E3">
            <w:pPr>
              <w:snapToGrid w:val="0"/>
              <w:spacing w:before="60" w:after="60"/>
              <w:jc w:val="center"/>
            </w:pPr>
          </w:p>
        </w:tc>
        <w:tc>
          <w:tcPr>
            <w:tcW w:w="1426" w:type="dxa"/>
            <w:vMerge/>
            <w:vAlign w:val="center"/>
          </w:tcPr>
          <w:p w14:paraId="7DAA1F53" w14:textId="77777777" w:rsidR="00B85D06" w:rsidRPr="00B137CC" w:rsidRDefault="00B85D06" w:rsidP="00DE35E3">
            <w:pPr>
              <w:snapToGrid w:val="0"/>
              <w:spacing w:before="60" w:after="60"/>
              <w:jc w:val="center"/>
            </w:pPr>
          </w:p>
        </w:tc>
        <w:tc>
          <w:tcPr>
            <w:tcW w:w="1411" w:type="dxa"/>
            <w:vMerge/>
            <w:vAlign w:val="center"/>
          </w:tcPr>
          <w:p w14:paraId="0280BDA0" w14:textId="77777777" w:rsidR="00B85D06" w:rsidRPr="00B137CC" w:rsidRDefault="00B85D06" w:rsidP="00DE35E3">
            <w:pPr>
              <w:snapToGrid w:val="0"/>
              <w:spacing w:before="60" w:after="60"/>
              <w:jc w:val="center"/>
            </w:pPr>
          </w:p>
        </w:tc>
      </w:tr>
      <w:tr w:rsidR="00B85D06" w14:paraId="544C8F3C" w14:textId="77777777" w:rsidTr="00DE35E3">
        <w:trPr>
          <w:trHeight w:val="624"/>
        </w:trPr>
        <w:tc>
          <w:tcPr>
            <w:tcW w:w="1272" w:type="dxa"/>
            <w:vAlign w:val="center"/>
          </w:tcPr>
          <w:p w14:paraId="6CDF3958" w14:textId="77777777" w:rsidR="00B85D06" w:rsidRPr="00B137CC" w:rsidRDefault="00B85D06" w:rsidP="00DE35E3">
            <w:pPr>
              <w:snapToGrid w:val="0"/>
              <w:spacing w:before="60" w:after="60"/>
            </w:pPr>
            <w:r w:rsidRPr="00B137CC">
              <w:rPr>
                <w:color w:val="000000"/>
              </w:rPr>
              <w:t>AC3-1</w:t>
            </w:r>
          </w:p>
        </w:tc>
        <w:tc>
          <w:tcPr>
            <w:tcW w:w="1809" w:type="dxa"/>
            <w:vAlign w:val="center"/>
          </w:tcPr>
          <w:p w14:paraId="4AA7D729" w14:textId="77777777" w:rsidR="00B85D06" w:rsidRPr="00B137CC" w:rsidRDefault="00B85D06" w:rsidP="00DE35E3">
            <w:pPr>
              <w:snapToGrid w:val="0"/>
              <w:spacing w:before="60" w:after="60"/>
              <w:jc w:val="left"/>
            </w:pPr>
            <w:r w:rsidRPr="00B137CC">
              <w:rPr>
                <w:color w:val="000000"/>
              </w:rPr>
              <w:t>Domestic &amp; light commercial</w:t>
            </w:r>
          </w:p>
        </w:tc>
        <w:tc>
          <w:tcPr>
            <w:tcW w:w="2148" w:type="dxa"/>
            <w:vAlign w:val="center"/>
          </w:tcPr>
          <w:p w14:paraId="23F612D8" w14:textId="77777777" w:rsidR="00B85D06" w:rsidRPr="00B137CC" w:rsidRDefault="00B85D06" w:rsidP="00DE35E3">
            <w:pPr>
              <w:snapToGrid w:val="0"/>
              <w:spacing w:before="60" w:after="60"/>
              <w:jc w:val="left"/>
            </w:pPr>
            <w:r w:rsidRPr="00B137CC">
              <w:rPr>
                <w:color w:val="000000"/>
              </w:rPr>
              <w:t>Single split system: Ducted: 1-phase</w:t>
            </w:r>
          </w:p>
        </w:tc>
        <w:tc>
          <w:tcPr>
            <w:tcW w:w="1426" w:type="dxa"/>
            <w:vMerge w:val="restart"/>
            <w:vAlign w:val="center"/>
          </w:tcPr>
          <w:p w14:paraId="323D9EDE" w14:textId="77777777" w:rsidR="00B85D06" w:rsidRPr="00B137CC" w:rsidRDefault="00B85D06" w:rsidP="00DE35E3">
            <w:pPr>
              <w:snapToGrid w:val="0"/>
              <w:spacing w:before="60" w:after="60"/>
              <w:jc w:val="center"/>
            </w:pPr>
            <w:r w:rsidRPr="00B137CC">
              <w:rPr>
                <w:color w:val="000000"/>
              </w:rPr>
              <w:t>1,304,000</w:t>
            </w:r>
          </w:p>
        </w:tc>
        <w:tc>
          <w:tcPr>
            <w:tcW w:w="1426" w:type="dxa"/>
            <w:vMerge w:val="restart"/>
            <w:vAlign w:val="center"/>
          </w:tcPr>
          <w:p w14:paraId="01047F8C" w14:textId="53CB1E77" w:rsidR="00B85D06" w:rsidRPr="00B137CC" w:rsidRDefault="00DE35E3" w:rsidP="00DE35E3">
            <w:pPr>
              <w:snapToGrid w:val="0"/>
              <w:spacing w:before="60" w:after="60"/>
              <w:jc w:val="center"/>
              <w:rPr>
                <w:color w:val="000000"/>
              </w:rPr>
            </w:pPr>
            <w:r>
              <w:rPr>
                <w:color w:val="000000"/>
              </w:rPr>
              <w:t>1,900</w:t>
            </w:r>
            <w:r w:rsidR="00B85D06" w:rsidRPr="00B137CC">
              <w:rPr>
                <w:color w:val="000000"/>
              </w:rPr>
              <w:t>,000</w:t>
            </w:r>
          </w:p>
        </w:tc>
        <w:tc>
          <w:tcPr>
            <w:tcW w:w="1411" w:type="dxa"/>
            <w:vMerge w:val="restart"/>
            <w:vAlign w:val="center"/>
          </w:tcPr>
          <w:p w14:paraId="249DC99F" w14:textId="7C488B50" w:rsidR="00B85D06" w:rsidRPr="00B137CC" w:rsidRDefault="00DE35E3" w:rsidP="00DE35E3">
            <w:pPr>
              <w:snapToGrid w:val="0"/>
              <w:spacing w:before="60" w:after="60"/>
              <w:jc w:val="center"/>
            </w:pPr>
            <w:r>
              <w:t>+46%</w:t>
            </w:r>
          </w:p>
        </w:tc>
      </w:tr>
      <w:tr w:rsidR="00B85D06" w14:paraId="2A2F9C97" w14:textId="77777777" w:rsidTr="00DE35E3">
        <w:trPr>
          <w:trHeight w:val="624"/>
        </w:trPr>
        <w:tc>
          <w:tcPr>
            <w:tcW w:w="1272" w:type="dxa"/>
            <w:vAlign w:val="center"/>
          </w:tcPr>
          <w:p w14:paraId="181FD82A" w14:textId="77777777" w:rsidR="00B85D06" w:rsidRPr="00B137CC" w:rsidRDefault="00B85D06" w:rsidP="00DE35E3">
            <w:pPr>
              <w:snapToGrid w:val="0"/>
              <w:spacing w:before="60" w:after="60"/>
            </w:pPr>
            <w:r w:rsidRPr="00B137CC">
              <w:rPr>
                <w:color w:val="000000"/>
              </w:rPr>
              <w:t>AC3-2</w:t>
            </w:r>
          </w:p>
        </w:tc>
        <w:tc>
          <w:tcPr>
            <w:tcW w:w="1809" w:type="dxa"/>
            <w:vAlign w:val="center"/>
          </w:tcPr>
          <w:p w14:paraId="18B47982" w14:textId="77777777" w:rsidR="00B85D06" w:rsidRPr="00B137CC" w:rsidRDefault="00B85D06" w:rsidP="00DE35E3">
            <w:pPr>
              <w:snapToGrid w:val="0"/>
              <w:spacing w:before="60" w:after="60"/>
              <w:jc w:val="left"/>
            </w:pPr>
            <w:r w:rsidRPr="00B137CC">
              <w:rPr>
                <w:color w:val="000000"/>
              </w:rPr>
              <w:t>Domestic &amp; light commercial</w:t>
            </w:r>
          </w:p>
        </w:tc>
        <w:tc>
          <w:tcPr>
            <w:tcW w:w="2148" w:type="dxa"/>
            <w:vAlign w:val="center"/>
          </w:tcPr>
          <w:p w14:paraId="5EA6372F" w14:textId="77777777" w:rsidR="00B85D06" w:rsidRPr="00B137CC" w:rsidRDefault="00B85D06" w:rsidP="00DE35E3">
            <w:pPr>
              <w:snapToGrid w:val="0"/>
              <w:spacing w:before="60" w:after="60"/>
              <w:jc w:val="left"/>
            </w:pPr>
            <w:r w:rsidRPr="00B137CC">
              <w:rPr>
                <w:color w:val="000000"/>
              </w:rPr>
              <w:t>Single split system: Ducted: 3-phase</w:t>
            </w:r>
          </w:p>
        </w:tc>
        <w:tc>
          <w:tcPr>
            <w:tcW w:w="1426" w:type="dxa"/>
            <w:vMerge/>
            <w:vAlign w:val="center"/>
          </w:tcPr>
          <w:p w14:paraId="299FE070" w14:textId="77777777" w:rsidR="00B85D06" w:rsidRPr="00B137CC" w:rsidRDefault="00B85D06" w:rsidP="00DE35E3">
            <w:pPr>
              <w:snapToGrid w:val="0"/>
              <w:spacing w:before="60" w:after="60"/>
              <w:jc w:val="center"/>
            </w:pPr>
          </w:p>
        </w:tc>
        <w:tc>
          <w:tcPr>
            <w:tcW w:w="1426" w:type="dxa"/>
            <w:vMerge/>
            <w:vAlign w:val="center"/>
          </w:tcPr>
          <w:p w14:paraId="757204C5" w14:textId="77777777" w:rsidR="00B85D06" w:rsidRPr="00B137CC" w:rsidRDefault="00B85D06" w:rsidP="00DE35E3">
            <w:pPr>
              <w:snapToGrid w:val="0"/>
              <w:spacing w:before="60" w:after="60"/>
              <w:jc w:val="center"/>
            </w:pPr>
          </w:p>
        </w:tc>
        <w:tc>
          <w:tcPr>
            <w:tcW w:w="1411" w:type="dxa"/>
            <w:vMerge/>
            <w:vAlign w:val="center"/>
          </w:tcPr>
          <w:p w14:paraId="322E02D6" w14:textId="77777777" w:rsidR="00B85D06" w:rsidRPr="00B137CC" w:rsidRDefault="00B85D06" w:rsidP="00DE35E3">
            <w:pPr>
              <w:snapToGrid w:val="0"/>
              <w:spacing w:before="60" w:after="60"/>
              <w:jc w:val="center"/>
            </w:pPr>
          </w:p>
        </w:tc>
      </w:tr>
      <w:tr w:rsidR="00B85D06" w14:paraId="02B9863B" w14:textId="77777777" w:rsidTr="00DE35E3">
        <w:trPr>
          <w:trHeight w:val="624"/>
        </w:trPr>
        <w:tc>
          <w:tcPr>
            <w:tcW w:w="1272" w:type="dxa"/>
            <w:vAlign w:val="center"/>
          </w:tcPr>
          <w:p w14:paraId="7F972651" w14:textId="77777777" w:rsidR="00B85D06" w:rsidRPr="00B137CC" w:rsidRDefault="00B85D06" w:rsidP="00DE35E3">
            <w:pPr>
              <w:snapToGrid w:val="0"/>
              <w:spacing w:before="60" w:after="60"/>
            </w:pPr>
            <w:r w:rsidRPr="00B137CC">
              <w:rPr>
                <w:color w:val="000000"/>
              </w:rPr>
              <w:t>AC3-3</w:t>
            </w:r>
          </w:p>
        </w:tc>
        <w:tc>
          <w:tcPr>
            <w:tcW w:w="1809" w:type="dxa"/>
            <w:vAlign w:val="center"/>
          </w:tcPr>
          <w:p w14:paraId="64A5ECFB" w14:textId="77777777" w:rsidR="00B85D06" w:rsidRPr="00B137CC" w:rsidRDefault="00B85D06" w:rsidP="00DE35E3">
            <w:pPr>
              <w:snapToGrid w:val="0"/>
              <w:spacing w:before="60" w:after="60"/>
              <w:jc w:val="left"/>
            </w:pPr>
            <w:r w:rsidRPr="00B137CC">
              <w:rPr>
                <w:color w:val="000000"/>
              </w:rPr>
              <w:t>Light commercial</w:t>
            </w:r>
          </w:p>
        </w:tc>
        <w:tc>
          <w:tcPr>
            <w:tcW w:w="2148" w:type="dxa"/>
            <w:vAlign w:val="center"/>
          </w:tcPr>
          <w:p w14:paraId="4C814741" w14:textId="77777777" w:rsidR="00B85D06" w:rsidRPr="00B137CC" w:rsidRDefault="00B85D06" w:rsidP="00DE35E3">
            <w:pPr>
              <w:snapToGrid w:val="0"/>
              <w:spacing w:before="60" w:after="60"/>
              <w:jc w:val="left"/>
            </w:pPr>
            <w:r w:rsidRPr="00B137CC">
              <w:rPr>
                <w:color w:val="000000"/>
              </w:rPr>
              <w:t>RT Packaged systems</w:t>
            </w:r>
          </w:p>
        </w:tc>
        <w:tc>
          <w:tcPr>
            <w:tcW w:w="1426" w:type="dxa"/>
            <w:vAlign w:val="center"/>
          </w:tcPr>
          <w:p w14:paraId="16975BF0" w14:textId="77777777" w:rsidR="00B85D06" w:rsidRPr="00B137CC" w:rsidRDefault="00B85D06" w:rsidP="00DE35E3">
            <w:pPr>
              <w:snapToGrid w:val="0"/>
              <w:spacing w:before="60" w:after="60"/>
              <w:jc w:val="center"/>
            </w:pPr>
            <w:r w:rsidRPr="00B137CC">
              <w:rPr>
                <w:color w:val="000000"/>
              </w:rPr>
              <w:t>70,000</w:t>
            </w:r>
          </w:p>
        </w:tc>
        <w:tc>
          <w:tcPr>
            <w:tcW w:w="1426" w:type="dxa"/>
            <w:vAlign w:val="center"/>
          </w:tcPr>
          <w:p w14:paraId="47AEB910" w14:textId="4B45471E" w:rsidR="00B85D06" w:rsidRPr="00B137CC" w:rsidRDefault="00F7529F" w:rsidP="00DE35E3">
            <w:pPr>
              <w:snapToGrid w:val="0"/>
              <w:spacing w:before="60" w:after="60"/>
              <w:jc w:val="center"/>
            </w:pPr>
            <w:r>
              <w:rPr>
                <w:color w:val="000000"/>
              </w:rPr>
              <w:t>126</w:t>
            </w:r>
            <w:r w:rsidR="005C1EB0">
              <w:rPr>
                <w:color w:val="000000"/>
              </w:rPr>
              <w:t>,000</w:t>
            </w:r>
          </w:p>
        </w:tc>
        <w:tc>
          <w:tcPr>
            <w:tcW w:w="1411" w:type="dxa"/>
            <w:vAlign w:val="center"/>
          </w:tcPr>
          <w:p w14:paraId="14FE8178" w14:textId="1893602B" w:rsidR="00B85D06" w:rsidRPr="00B137CC" w:rsidRDefault="00DE35E3" w:rsidP="00DE35E3">
            <w:pPr>
              <w:snapToGrid w:val="0"/>
              <w:spacing w:before="60" w:after="60"/>
              <w:jc w:val="center"/>
            </w:pPr>
            <w:r>
              <w:t>+80%</w:t>
            </w:r>
          </w:p>
        </w:tc>
      </w:tr>
      <w:tr w:rsidR="00B85D06" w14:paraId="547DCF29" w14:textId="77777777" w:rsidTr="00DE35E3">
        <w:trPr>
          <w:trHeight w:val="624"/>
        </w:trPr>
        <w:tc>
          <w:tcPr>
            <w:tcW w:w="1272" w:type="dxa"/>
            <w:vAlign w:val="center"/>
          </w:tcPr>
          <w:p w14:paraId="225F2A4D" w14:textId="77777777" w:rsidR="00B85D06" w:rsidRPr="00B137CC" w:rsidRDefault="00B85D06" w:rsidP="00DE35E3">
            <w:pPr>
              <w:snapToGrid w:val="0"/>
              <w:spacing w:before="60" w:after="60"/>
            </w:pPr>
            <w:r w:rsidRPr="00B137CC">
              <w:rPr>
                <w:color w:val="000000"/>
              </w:rPr>
              <w:t>AC3-4</w:t>
            </w:r>
          </w:p>
        </w:tc>
        <w:tc>
          <w:tcPr>
            <w:tcW w:w="1809" w:type="dxa"/>
            <w:vAlign w:val="center"/>
          </w:tcPr>
          <w:p w14:paraId="37E68D8A" w14:textId="77777777" w:rsidR="00B85D06" w:rsidRPr="00B137CC" w:rsidRDefault="00B85D06" w:rsidP="00DE35E3">
            <w:pPr>
              <w:snapToGrid w:val="0"/>
              <w:spacing w:before="60" w:after="60"/>
              <w:jc w:val="left"/>
            </w:pPr>
            <w:r w:rsidRPr="00B137CC">
              <w:rPr>
                <w:color w:val="000000"/>
              </w:rPr>
              <w:t>Domestic &amp; light commercial</w:t>
            </w:r>
          </w:p>
        </w:tc>
        <w:tc>
          <w:tcPr>
            <w:tcW w:w="2148" w:type="dxa"/>
            <w:vAlign w:val="center"/>
          </w:tcPr>
          <w:p w14:paraId="22D0AF24" w14:textId="77777777" w:rsidR="00B85D06" w:rsidRPr="00B137CC" w:rsidRDefault="00B85D06" w:rsidP="00DE35E3">
            <w:pPr>
              <w:snapToGrid w:val="0"/>
              <w:spacing w:before="60" w:after="60"/>
              <w:jc w:val="left"/>
            </w:pPr>
            <w:r w:rsidRPr="00B137CC">
              <w:rPr>
                <w:color w:val="000000"/>
              </w:rPr>
              <w:t>Multi split</w:t>
            </w:r>
          </w:p>
        </w:tc>
        <w:tc>
          <w:tcPr>
            <w:tcW w:w="1426" w:type="dxa"/>
            <w:vMerge w:val="restart"/>
            <w:vAlign w:val="center"/>
          </w:tcPr>
          <w:p w14:paraId="3ADBC0E9" w14:textId="77777777" w:rsidR="00B85D06" w:rsidRPr="00B137CC" w:rsidRDefault="00B85D06" w:rsidP="00DE35E3">
            <w:pPr>
              <w:snapToGrid w:val="0"/>
              <w:spacing w:before="60" w:after="60"/>
              <w:jc w:val="center"/>
            </w:pPr>
            <w:r w:rsidRPr="00B137CC">
              <w:rPr>
                <w:color w:val="000000"/>
              </w:rPr>
              <w:t>276,000</w:t>
            </w:r>
          </w:p>
        </w:tc>
        <w:tc>
          <w:tcPr>
            <w:tcW w:w="1426" w:type="dxa"/>
            <w:vAlign w:val="center"/>
          </w:tcPr>
          <w:p w14:paraId="1B847367" w14:textId="77777777" w:rsidR="00B85D06" w:rsidRPr="00B137CC" w:rsidRDefault="00B85D06" w:rsidP="00DE35E3">
            <w:pPr>
              <w:snapToGrid w:val="0"/>
              <w:spacing w:before="60" w:after="60"/>
              <w:jc w:val="center"/>
            </w:pPr>
            <w:r w:rsidRPr="00B137CC">
              <w:rPr>
                <w:color w:val="000000"/>
              </w:rPr>
              <w:t>317,000</w:t>
            </w:r>
          </w:p>
        </w:tc>
        <w:tc>
          <w:tcPr>
            <w:tcW w:w="1411" w:type="dxa"/>
            <w:vMerge w:val="restart"/>
            <w:vAlign w:val="center"/>
          </w:tcPr>
          <w:p w14:paraId="434BF835" w14:textId="7BBB1D24" w:rsidR="00B85D06" w:rsidRPr="00B137CC" w:rsidRDefault="00DE35E3" w:rsidP="00DE35E3">
            <w:pPr>
              <w:snapToGrid w:val="0"/>
              <w:spacing w:before="60" w:after="60"/>
              <w:jc w:val="center"/>
            </w:pPr>
            <w:r>
              <w:t>+47%</w:t>
            </w:r>
          </w:p>
        </w:tc>
      </w:tr>
      <w:tr w:rsidR="00B85D06" w14:paraId="10FBB067" w14:textId="77777777" w:rsidTr="00DE35E3">
        <w:trPr>
          <w:trHeight w:val="624"/>
        </w:trPr>
        <w:tc>
          <w:tcPr>
            <w:tcW w:w="1272" w:type="dxa"/>
            <w:vAlign w:val="center"/>
          </w:tcPr>
          <w:p w14:paraId="798143CA" w14:textId="77777777" w:rsidR="00B85D06" w:rsidRPr="00B137CC" w:rsidRDefault="00B85D06" w:rsidP="00DE35E3">
            <w:pPr>
              <w:snapToGrid w:val="0"/>
              <w:spacing w:before="60" w:after="60"/>
            </w:pPr>
            <w:r w:rsidRPr="00B137CC">
              <w:rPr>
                <w:color w:val="000000"/>
              </w:rPr>
              <w:lastRenderedPageBreak/>
              <w:t>AC3-5</w:t>
            </w:r>
          </w:p>
        </w:tc>
        <w:tc>
          <w:tcPr>
            <w:tcW w:w="1809" w:type="dxa"/>
            <w:vAlign w:val="center"/>
          </w:tcPr>
          <w:p w14:paraId="6F128BCC" w14:textId="77777777" w:rsidR="00B85D06" w:rsidRPr="00B137CC" w:rsidRDefault="00B85D06" w:rsidP="00DE35E3">
            <w:pPr>
              <w:snapToGrid w:val="0"/>
              <w:spacing w:before="60" w:after="60"/>
              <w:jc w:val="left"/>
            </w:pPr>
            <w:r w:rsidRPr="00B137CC">
              <w:rPr>
                <w:color w:val="000000"/>
              </w:rPr>
              <w:t>Light commercial</w:t>
            </w:r>
          </w:p>
        </w:tc>
        <w:tc>
          <w:tcPr>
            <w:tcW w:w="2148" w:type="dxa"/>
            <w:vAlign w:val="center"/>
          </w:tcPr>
          <w:p w14:paraId="358A1535" w14:textId="77777777" w:rsidR="00B85D06" w:rsidRPr="00B137CC" w:rsidRDefault="00B85D06" w:rsidP="00DE35E3">
            <w:pPr>
              <w:snapToGrid w:val="0"/>
              <w:spacing w:before="60" w:after="60"/>
              <w:jc w:val="left"/>
            </w:pPr>
            <w:r w:rsidRPr="00B137CC">
              <w:rPr>
                <w:color w:val="000000"/>
              </w:rPr>
              <w:t>VRV/VRF split systems</w:t>
            </w:r>
          </w:p>
        </w:tc>
        <w:tc>
          <w:tcPr>
            <w:tcW w:w="1426" w:type="dxa"/>
            <w:vMerge/>
            <w:vAlign w:val="center"/>
          </w:tcPr>
          <w:p w14:paraId="0D5C7516" w14:textId="77777777" w:rsidR="00B85D06" w:rsidRPr="00B137CC" w:rsidRDefault="00B85D06" w:rsidP="00DE35E3">
            <w:pPr>
              <w:snapToGrid w:val="0"/>
              <w:spacing w:before="60" w:after="60"/>
              <w:jc w:val="center"/>
            </w:pPr>
          </w:p>
        </w:tc>
        <w:tc>
          <w:tcPr>
            <w:tcW w:w="1426" w:type="dxa"/>
            <w:vAlign w:val="center"/>
          </w:tcPr>
          <w:p w14:paraId="2F0496DF" w14:textId="77777777" w:rsidR="00B85D06" w:rsidRPr="00B137CC" w:rsidRDefault="00B85D06" w:rsidP="00DE35E3">
            <w:pPr>
              <w:snapToGrid w:val="0"/>
              <w:spacing w:before="60" w:after="60"/>
              <w:jc w:val="center"/>
            </w:pPr>
            <w:r w:rsidRPr="00B137CC">
              <w:rPr>
                <w:color w:val="000000"/>
              </w:rPr>
              <w:t>88,000</w:t>
            </w:r>
          </w:p>
        </w:tc>
        <w:tc>
          <w:tcPr>
            <w:tcW w:w="1411" w:type="dxa"/>
            <w:vMerge/>
            <w:vAlign w:val="center"/>
          </w:tcPr>
          <w:p w14:paraId="5E1CC698" w14:textId="77777777" w:rsidR="00B85D06" w:rsidRPr="00B137CC" w:rsidRDefault="00B85D06" w:rsidP="00DE35E3">
            <w:pPr>
              <w:snapToGrid w:val="0"/>
              <w:spacing w:before="60" w:after="60"/>
              <w:jc w:val="center"/>
            </w:pPr>
          </w:p>
        </w:tc>
      </w:tr>
      <w:tr w:rsidR="00B85D06" w14:paraId="4878216B" w14:textId="77777777" w:rsidTr="00DE35E3">
        <w:trPr>
          <w:trHeight w:val="624"/>
        </w:trPr>
        <w:tc>
          <w:tcPr>
            <w:tcW w:w="1272" w:type="dxa"/>
            <w:vAlign w:val="center"/>
          </w:tcPr>
          <w:p w14:paraId="22AB2A93" w14:textId="77777777" w:rsidR="00B85D06" w:rsidRPr="00B137CC" w:rsidRDefault="00B85D06" w:rsidP="00DE35E3">
            <w:pPr>
              <w:snapToGrid w:val="0"/>
              <w:spacing w:before="60" w:after="60"/>
            </w:pPr>
            <w:r w:rsidRPr="00B137CC">
              <w:rPr>
                <w:color w:val="000000"/>
              </w:rPr>
              <w:t>AC3-6</w:t>
            </w:r>
          </w:p>
        </w:tc>
        <w:tc>
          <w:tcPr>
            <w:tcW w:w="1809" w:type="dxa"/>
            <w:vAlign w:val="center"/>
          </w:tcPr>
          <w:p w14:paraId="1B8D0400" w14:textId="77777777" w:rsidR="00B85D06" w:rsidRPr="00B137CC" w:rsidRDefault="00B85D06" w:rsidP="00DE35E3">
            <w:pPr>
              <w:snapToGrid w:val="0"/>
              <w:spacing w:before="60" w:after="60"/>
              <w:jc w:val="left"/>
            </w:pPr>
            <w:r w:rsidRPr="00B137CC">
              <w:rPr>
                <w:color w:val="000000"/>
              </w:rPr>
              <w:t>Light commercial</w:t>
            </w:r>
          </w:p>
        </w:tc>
        <w:tc>
          <w:tcPr>
            <w:tcW w:w="2148" w:type="dxa"/>
            <w:vAlign w:val="center"/>
          </w:tcPr>
          <w:p w14:paraId="0BDF2921" w14:textId="77777777" w:rsidR="00B85D06" w:rsidRPr="00B137CC" w:rsidRDefault="00B85D06" w:rsidP="00DE35E3">
            <w:pPr>
              <w:snapToGrid w:val="0"/>
              <w:spacing w:before="60" w:after="60"/>
              <w:jc w:val="left"/>
            </w:pPr>
            <w:r w:rsidRPr="00B137CC">
              <w:rPr>
                <w:color w:val="000000"/>
              </w:rPr>
              <w:t>Close control</w:t>
            </w:r>
          </w:p>
        </w:tc>
        <w:tc>
          <w:tcPr>
            <w:tcW w:w="1426" w:type="dxa"/>
            <w:vAlign w:val="center"/>
          </w:tcPr>
          <w:p w14:paraId="0B398227" w14:textId="77777777" w:rsidR="00B85D06" w:rsidRPr="00B137CC" w:rsidRDefault="00B85D06" w:rsidP="00DE35E3">
            <w:pPr>
              <w:snapToGrid w:val="0"/>
              <w:spacing w:before="60" w:after="60"/>
              <w:jc w:val="center"/>
            </w:pPr>
            <w:r w:rsidRPr="00B137CC">
              <w:rPr>
                <w:color w:val="000000"/>
              </w:rPr>
              <w:t>11,500</w:t>
            </w:r>
          </w:p>
        </w:tc>
        <w:tc>
          <w:tcPr>
            <w:tcW w:w="1426" w:type="dxa"/>
            <w:vAlign w:val="center"/>
          </w:tcPr>
          <w:p w14:paraId="3842B742" w14:textId="3DF92B38" w:rsidR="00B85D06" w:rsidRPr="00B137CC" w:rsidRDefault="00DE35E3" w:rsidP="00DE35E3">
            <w:pPr>
              <w:snapToGrid w:val="0"/>
              <w:spacing w:before="60" w:after="60"/>
              <w:jc w:val="center"/>
            </w:pPr>
            <w:r>
              <w:rPr>
                <w:color w:val="000000"/>
              </w:rPr>
              <w:t>21</w:t>
            </w:r>
            <w:r w:rsidR="00B85D06" w:rsidRPr="00B137CC">
              <w:rPr>
                <w:color w:val="000000"/>
              </w:rPr>
              <w:t>,000</w:t>
            </w:r>
          </w:p>
        </w:tc>
        <w:tc>
          <w:tcPr>
            <w:tcW w:w="1411" w:type="dxa"/>
            <w:vAlign w:val="center"/>
          </w:tcPr>
          <w:p w14:paraId="727D3571" w14:textId="33A7663C" w:rsidR="00B85D06" w:rsidRPr="00B137CC" w:rsidRDefault="00DE35E3" w:rsidP="00DE35E3">
            <w:pPr>
              <w:snapToGrid w:val="0"/>
              <w:spacing w:before="60" w:after="60"/>
              <w:jc w:val="center"/>
            </w:pPr>
            <w:r>
              <w:t>+83%</w:t>
            </w:r>
          </w:p>
        </w:tc>
      </w:tr>
      <w:tr w:rsidR="00B85D06" w14:paraId="5C718352" w14:textId="77777777" w:rsidTr="00DE35E3">
        <w:trPr>
          <w:trHeight w:val="624"/>
        </w:trPr>
        <w:tc>
          <w:tcPr>
            <w:tcW w:w="1272" w:type="dxa"/>
            <w:vAlign w:val="center"/>
          </w:tcPr>
          <w:p w14:paraId="43A6D8F7" w14:textId="77777777" w:rsidR="00B85D06" w:rsidRPr="00B137CC" w:rsidRDefault="00B85D06" w:rsidP="00DE35E3">
            <w:pPr>
              <w:snapToGrid w:val="0"/>
              <w:spacing w:before="60" w:after="60"/>
            </w:pPr>
            <w:r w:rsidRPr="00B137CC">
              <w:rPr>
                <w:color w:val="000000"/>
              </w:rPr>
              <w:t>AC3-7</w:t>
            </w:r>
          </w:p>
        </w:tc>
        <w:tc>
          <w:tcPr>
            <w:tcW w:w="1809" w:type="dxa"/>
            <w:vAlign w:val="center"/>
          </w:tcPr>
          <w:p w14:paraId="72DE666D" w14:textId="77777777" w:rsidR="00B85D06" w:rsidRPr="00B137CC" w:rsidRDefault="00B85D06" w:rsidP="00DE35E3">
            <w:pPr>
              <w:snapToGrid w:val="0"/>
              <w:spacing w:before="60" w:after="60"/>
              <w:jc w:val="left"/>
            </w:pPr>
            <w:r w:rsidRPr="00B137CC">
              <w:rPr>
                <w:color w:val="000000"/>
              </w:rPr>
              <w:t>Light commercial</w:t>
            </w:r>
          </w:p>
        </w:tc>
        <w:tc>
          <w:tcPr>
            <w:tcW w:w="2148" w:type="dxa"/>
            <w:vAlign w:val="center"/>
          </w:tcPr>
          <w:p w14:paraId="590C569D" w14:textId="77777777" w:rsidR="00B85D06" w:rsidRPr="00B137CC" w:rsidRDefault="00B85D06" w:rsidP="00DE35E3">
            <w:pPr>
              <w:snapToGrid w:val="0"/>
              <w:spacing w:before="60" w:after="60"/>
              <w:jc w:val="left"/>
            </w:pPr>
            <w:r w:rsidRPr="00B137CC">
              <w:rPr>
                <w:color w:val="000000"/>
              </w:rPr>
              <w:t>HW heat pump: commercial</w:t>
            </w:r>
          </w:p>
        </w:tc>
        <w:tc>
          <w:tcPr>
            <w:tcW w:w="1426" w:type="dxa"/>
            <w:vAlign w:val="center"/>
          </w:tcPr>
          <w:p w14:paraId="496397FB" w14:textId="77777777" w:rsidR="00B85D06" w:rsidRPr="00B137CC" w:rsidRDefault="00B85D06" w:rsidP="00DE35E3">
            <w:pPr>
              <w:snapToGrid w:val="0"/>
              <w:spacing w:before="60" w:after="60"/>
              <w:jc w:val="center"/>
            </w:pPr>
            <w:r w:rsidRPr="00B137CC">
              <w:rPr>
                <w:color w:val="000000"/>
              </w:rPr>
              <w:t>1,000</w:t>
            </w:r>
          </w:p>
        </w:tc>
        <w:tc>
          <w:tcPr>
            <w:tcW w:w="1426" w:type="dxa"/>
            <w:vAlign w:val="center"/>
          </w:tcPr>
          <w:p w14:paraId="0CCA54F3" w14:textId="77777777" w:rsidR="00B85D06" w:rsidRPr="00B137CC" w:rsidRDefault="00B85D06" w:rsidP="00DE35E3">
            <w:pPr>
              <w:snapToGrid w:val="0"/>
              <w:spacing w:before="60" w:after="60"/>
              <w:jc w:val="center"/>
            </w:pPr>
            <w:r w:rsidRPr="00B137CC">
              <w:rPr>
                <w:color w:val="000000"/>
              </w:rPr>
              <w:t>1,800</w:t>
            </w:r>
          </w:p>
        </w:tc>
        <w:tc>
          <w:tcPr>
            <w:tcW w:w="1411" w:type="dxa"/>
            <w:vAlign w:val="center"/>
          </w:tcPr>
          <w:p w14:paraId="49299CCF" w14:textId="776E5FA9" w:rsidR="00B85D06" w:rsidRPr="00B137CC" w:rsidRDefault="00DE35E3" w:rsidP="00DE35E3">
            <w:pPr>
              <w:snapToGrid w:val="0"/>
              <w:spacing w:before="60" w:after="60"/>
              <w:jc w:val="center"/>
            </w:pPr>
            <w:r>
              <w:t>+80%</w:t>
            </w:r>
          </w:p>
        </w:tc>
      </w:tr>
      <w:tr w:rsidR="00B85D06" w14:paraId="64DCF804" w14:textId="77777777" w:rsidTr="00DE35E3">
        <w:trPr>
          <w:trHeight w:val="624"/>
        </w:trPr>
        <w:tc>
          <w:tcPr>
            <w:tcW w:w="1272" w:type="dxa"/>
            <w:vAlign w:val="center"/>
          </w:tcPr>
          <w:p w14:paraId="09C7BDA1" w14:textId="77777777" w:rsidR="00B85D06" w:rsidRPr="00B137CC" w:rsidRDefault="00B85D06" w:rsidP="00DE35E3">
            <w:pPr>
              <w:snapToGrid w:val="0"/>
              <w:spacing w:before="60" w:after="60"/>
            </w:pPr>
            <w:r w:rsidRPr="00B137CC">
              <w:rPr>
                <w:color w:val="000000"/>
              </w:rPr>
              <w:t>AC3-8</w:t>
            </w:r>
          </w:p>
        </w:tc>
        <w:tc>
          <w:tcPr>
            <w:tcW w:w="1809" w:type="dxa"/>
            <w:vAlign w:val="center"/>
          </w:tcPr>
          <w:p w14:paraId="4EC27EFD" w14:textId="77777777" w:rsidR="00B85D06" w:rsidRPr="00B137CC" w:rsidRDefault="00B85D06" w:rsidP="00DE35E3">
            <w:pPr>
              <w:snapToGrid w:val="0"/>
              <w:spacing w:before="60" w:after="60"/>
              <w:jc w:val="left"/>
            </w:pPr>
            <w:r w:rsidRPr="00B137CC">
              <w:rPr>
                <w:color w:val="000000"/>
              </w:rPr>
              <w:t>Domestic &amp; light commercial</w:t>
            </w:r>
          </w:p>
        </w:tc>
        <w:tc>
          <w:tcPr>
            <w:tcW w:w="2148" w:type="dxa"/>
            <w:vAlign w:val="center"/>
          </w:tcPr>
          <w:p w14:paraId="168E7DEA" w14:textId="77777777" w:rsidR="00B85D06" w:rsidRPr="00B137CC" w:rsidRDefault="00B85D06" w:rsidP="00DE35E3">
            <w:pPr>
              <w:snapToGrid w:val="0"/>
              <w:spacing w:before="60" w:after="60"/>
              <w:jc w:val="left"/>
            </w:pPr>
            <w:r w:rsidRPr="00B137CC">
              <w:rPr>
                <w:color w:val="000000"/>
              </w:rPr>
              <w:t>Pool heat pump</w:t>
            </w:r>
          </w:p>
        </w:tc>
        <w:tc>
          <w:tcPr>
            <w:tcW w:w="1426" w:type="dxa"/>
            <w:vAlign w:val="center"/>
          </w:tcPr>
          <w:p w14:paraId="738130DA" w14:textId="77777777" w:rsidR="00B85D06" w:rsidRPr="00B137CC" w:rsidRDefault="00B85D06" w:rsidP="00DE35E3">
            <w:pPr>
              <w:snapToGrid w:val="0"/>
              <w:spacing w:before="60" w:after="60"/>
              <w:jc w:val="center"/>
            </w:pPr>
            <w:r w:rsidRPr="00B137CC">
              <w:rPr>
                <w:color w:val="000000"/>
              </w:rPr>
              <w:t>28,000</w:t>
            </w:r>
          </w:p>
        </w:tc>
        <w:tc>
          <w:tcPr>
            <w:tcW w:w="1426" w:type="dxa"/>
            <w:vAlign w:val="center"/>
          </w:tcPr>
          <w:p w14:paraId="3E3C19E6" w14:textId="77777777" w:rsidR="00B85D06" w:rsidRPr="00B137CC" w:rsidRDefault="00B85D06" w:rsidP="00DE35E3">
            <w:pPr>
              <w:snapToGrid w:val="0"/>
              <w:spacing w:before="60" w:after="60"/>
              <w:jc w:val="center"/>
            </w:pPr>
            <w:r w:rsidRPr="00B137CC">
              <w:rPr>
                <w:color w:val="000000"/>
              </w:rPr>
              <w:t>38,000</w:t>
            </w:r>
          </w:p>
        </w:tc>
        <w:tc>
          <w:tcPr>
            <w:tcW w:w="1411" w:type="dxa"/>
            <w:vAlign w:val="center"/>
          </w:tcPr>
          <w:p w14:paraId="22BA6C64" w14:textId="58B0DB6F" w:rsidR="00B85D06" w:rsidRPr="00B137CC" w:rsidRDefault="005C1EB0" w:rsidP="00DE35E3">
            <w:pPr>
              <w:snapToGrid w:val="0"/>
              <w:spacing w:before="60" w:after="60"/>
              <w:jc w:val="center"/>
            </w:pPr>
            <w:r>
              <w:t>+36</w:t>
            </w:r>
            <w:r w:rsidR="00DE35E3">
              <w:t>%</w:t>
            </w:r>
          </w:p>
        </w:tc>
      </w:tr>
      <w:tr w:rsidR="00B85D06" w14:paraId="0041AA12" w14:textId="77777777" w:rsidTr="00DE35E3">
        <w:trPr>
          <w:trHeight w:val="624"/>
        </w:trPr>
        <w:tc>
          <w:tcPr>
            <w:tcW w:w="1272" w:type="dxa"/>
            <w:vAlign w:val="center"/>
          </w:tcPr>
          <w:p w14:paraId="0C239A6E" w14:textId="77777777" w:rsidR="00B85D06" w:rsidRPr="00B137CC" w:rsidRDefault="00B85D06" w:rsidP="00DE35E3">
            <w:pPr>
              <w:snapToGrid w:val="0"/>
              <w:spacing w:before="60" w:after="60"/>
            </w:pPr>
            <w:r w:rsidRPr="00B137CC">
              <w:rPr>
                <w:color w:val="000000"/>
              </w:rPr>
              <w:t>AC4-1</w:t>
            </w:r>
          </w:p>
        </w:tc>
        <w:tc>
          <w:tcPr>
            <w:tcW w:w="1809" w:type="dxa"/>
            <w:vAlign w:val="center"/>
          </w:tcPr>
          <w:p w14:paraId="4CE833CB" w14:textId="77777777" w:rsidR="00B85D06" w:rsidRPr="00B137CC" w:rsidRDefault="00B85D06" w:rsidP="00DE35E3">
            <w:pPr>
              <w:snapToGrid w:val="0"/>
              <w:spacing w:before="60" w:after="60"/>
              <w:jc w:val="left"/>
            </w:pPr>
            <w:r w:rsidRPr="00B137CC">
              <w:rPr>
                <w:color w:val="000000"/>
              </w:rPr>
              <w:t>Chillers</w:t>
            </w:r>
          </w:p>
        </w:tc>
        <w:tc>
          <w:tcPr>
            <w:tcW w:w="2148" w:type="dxa"/>
            <w:vAlign w:val="center"/>
          </w:tcPr>
          <w:p w14:paraId="0317D7AE" w14:textId="77777777" w:rsidR="00B85D06" w:rsidRPr="00B137CC" w:rsidRDefault="00B85D06" w:rsidP="00DE35E3">
            <w:pPr>
              <w:snapToGrid w:val="0"/>
              <w:spacing w:before="60" w:after="60"/>
              <w:jc w:val="left"/>
            </w:pPr>
            <w:r w:rsidRPr="00B137CC">
              <w:rPr>
                <w:color w:val="000000"/>
              </w:rPr>
              <w:t>&lt;350 kWr</w:t>
            </w:r>
          </w:p>
        </w:tc>
        <w:tc>
          <w:tcPr>
            <w:tcW w:w="1426" w:type="dxa"/>
            <w:vMerge w:val="restart"/>
            <w:vAlign w:val="center"/>
          </w:tcPr>
          <w:p w14:paraId="44B9D506" w14:textId="77777777" w:rsidR="00B85D06" w:rsidRPr="00B137CC" w:rsidRDefault="00B85D06" w:rsidP="00DE35E3">
            <w:pPr>
              <w:snapToGrid w:val="0"/>
              <w:spacing w:before="60" w:after="60"/>
              <w:jc w:val="center"/>
            </w:pPr>
            <w:r w:rsidRPr="00B137CC">
              <w:t>20,200</w:t>
            </w:r>
          </w:p>
        </w:tc>
        <w:tc>
          <w:tcPr>
            <w:tcW w:w="1426" w:type="dxa"/>
            <w:vAlign w:val="center"/>
          </w:tcPr>
          <w:p w14:paraId="282E2478" w14:textId="77777777" w:rsidR="00B85D06" w:rsidRPr="00B137CC" w:rsidRDefault="00B85D06" w:rsidP="00DE35E3">
            <w:pPr>
              <w:snapToGrid w:val="0"/>
              <w:spacing w:before="60" w:after="60"/>
              <w:jc w:val="center"/>
            </w:pPr>
            <w:r w:rsidRPr="00B137CC">
              <w:rPr>
                <w:color w:val="000000"/>
              </w:rPr>
              <w:t>8,200</w:t>
            </w:r>
          </w:p>
        </w:tc>
        <w:tc>
          <w:tcPr>
            <w:tcW w:w="1411" w:type="dxa"/>
            <w:vMerge w:val="restart"/>
            <w:vAlign w:val="center"/>
          </w:tcPr>
          <w:p w14:paraId="0D39DF8C" w14:textId="38027D4C" w:rsidR="00B85D06" w:rsidRPr="00B137CC" w:rsidRDefault="00DE35E3" w:rsidP="00DE35E3">
            <w:pPr>
              <w:snapToGrid w:val="0"/>
              <w:spacing w:before="60" w:after="60"/>
              <w:jc w:val="center"/>
            </w:pPr>
            <w:r>
              <w:t>-40%</w:t>
            </w:r>
          </w:p>
        </w:tc>
      </w:tr>
      <w:tr w:rsidR="00B85D06" w14:paraId="1DBE44C5" w14:textId="77777777" w:rsidTr="00DE35E3">
        <w:trPr>
          <w:trHeight w:val="624"/>
        </w:trPr>
        <w:tc>
          <w:tcPr>
            <w:tcW w:w="1272" w:type="dxa"/>
            <w:vAlign w:val="center"/>
          </w:tcPr>
          <w:p w14:paraId="72262E75" w14:textId="77777777" w:rsidR="00B85D06" w:rsidRPr="00B137CC" w:rsidRDefault="00B85D06" w:rsidP="00DE35E3">
            <w:pPr>
              <w:snapToGrid w:val="0"/>
              <w:spacing w:before="60" w:after="60"/>
            </w:pPr>
            <w:r w:rsidRPr="00B137CC">
              <w:rPr>
                <w:color w:val="000000"/>
              </w:rPr>
              <w:t>AC4-2</w:t>
            </w:r>
          </w:p>
        </w:tc>
        <w:tc>
          <w:tcPr>
            <w:tcW w:w="1809" w:type="dxa"/>
            <w:vAlign w:val="center"/>
          </w:tcPr>
          <w:p w14:paraId="3DD12801" w14:textId="77777777" w:rsidR="00B85D06" w:rsidRPr="00B137CC" w:rsidRDefault="00B85D06" w:rsidP="00DE35E3">
            <w:pPr>
              <w:snapToGrid w:val="0"/>
              <w:spacing w:before="60" w:after="60"/>
              <w:jc w:val="left"/>
            </w:pPr>
            <w:r w:rsidRPr="00B137CC">
              <w:rPr>
                <w:color w:val="000000"/>
              </w:rPr>
              <w:t>Chillers</w:t>
            </w:r>
          </w:p>
        </w:tc>
        <w:tc>
          <w:tcPr>
            <w:tcW w:w="2148" w:type="dxa"/>
            <w:vAlign w:val="center"/>
          </w:tcPr>
          <w:p w14:paraId="1BF88D00" w14:textId="77777777" w:rsidR="00B85D06" w:rsidRPr="00B137CC" w:rsidRDefault="00B85D06" w:rsidP="00DE35E3">
            <w:pPr>
              <w:snapToGrid w:val="0"/>
              <w:spacing w:before="60" w:after="60"/>
              <w:jc w:val="left"/>
            </w:pPr>
            <w:r w:rsidRPr="00B137CC">
              <w:rPr>
                <w:color w:val="000000"/>
              </w:rPr>
              <w:t>&gt;</w:t>
            </w:r>
            <w:r>
              <w:rPr>
                <w:color w:val="000000"/>
              </w:rPr>
              <w:t>350</w:t>
            </w:r>
            <w:r w:rsidRPr="00B137CC">
              <w:rPr>
                <w:color w:val="000000"/>
              </w:rPr>
              <w:t xml:space="preserve"> &amp; &lt;</w:t>
            </w:r>
            <w:r>
              <w:rPr>
                <w:color w:val="000000"/>
              </w:rPr>
              <w:t>500</w:t>
            </w:r>
            <w:r w:rsidRPr="00B137CC">
              <w:rPr>
                <w:color w:val="000000"/>
              </w:rPr>
              <w:t>kWr</w:t>
            </w:r>
          </w:p>
        </w:tc>
        <w:tc>
          <w:tcPr>
            <w:tcW w:w="1426" w:type="dxa"/>
            <w:vMerge/>
            <w:vAlign w:val="center"/>
          </w:tcPr>
          <w:p w14:paraId="2945FC4A" w14:textId="77777777" w:rsidR="00B85D06" w:rsidRPr="00B137CC" w:rsidRDefault="00B85D06" w:rsidP="00DE35E3">
            <w:pPr>
              <w:snapToGrid w:val="0"/>
              <w:spacing w:before="60" w:after="60"/>
              <w:jc w:val="center"/>
            </w:pPr>
          </w:p>
        </w:tc>
        <w:tc>
          <w:tcPr>
            <w:tcW w:w="1426" w:type="dxa"/>
            <w:vAlign w:val="center"/>
          </w:tcPr>
          <w:p w14:paraId="7CEC5AB3" w14:textId="77777777" w:rsidR="00B85D06" w:rsidRPr="00B137CC" w:rsidRDefault="00B85D06" w:rsidP="00DE35E3">
            <w:pPr>
              <w:snapToGrid w:val="0"/>
              <w:spacing w:before="60" w:after="60"/>
              <w:jc w:val="center"/>
            </w:pPr>
            <w:r w:rsidRPr="00B137CC">
              <w:rPr>
                <w:color w:val="000000"/>
              </w:rPr>
              <w:t>3,900</w:t>
            </w:r>
          </w:p>
        </w:tc>
        <w:tc>
          <w:tcPr>
            <w:tcW w:w="1411" w:type="dxa"/>
            <w:vMerge/>
            <w:vAlign w:val="center"/>
          </w:tcPr>
          <w:p w14:paraId="12609199" w14:textId="77777777" w:rsidR="00B85D06" w:rsidRPr="00B137CC" w:rsidRDefault="00B85D06" w:rsidP="00DE35E3">
            <w:pPr>
              <w:snapToGrid w:val="0"/>
              <w:spacing w:before="60" w:after="60"/>
              <w:jc w:val="center"/>
            </w:pPr>
          </w:p>
        </w:tc>
      </w:tr>
      <w:tr w:rsidR="00B85D06" w14:paraId="179132FE" w14:textId="77777777" w:rsidTr="00DE35E3">
        <w:trPr>
          <w:trHeight w:val="624"/>
        </w:trPr>
        <w:tc>
          <w:tcPr>
            <w:tcW w:w="1272" w:type="dxa"/>
            <w:vAlign w:val="center"/>
          </w:tcPr>
          <w:p w14:paraId="2760F729" w14:textId="77777777" w:rsidR="00B85D06" w:rsidRPr="00B137CC" w:rsidRDefault="00B85D06" w:rsidP="00DE35E3">
            <w:pPr>
              <w:snapToGrid w:val="0"/>
              <w:spacing w:before="60" w:after="60"/>
            </w:pPr>
            <w:r w:rsidRPr="00B137CC">
              <w:rPr>
                <w:color w:val="000000"/>
              </w:rPr>
              <w:t>AC4-3</w:t>
            </w:r>
          </w:p>
        </w:tc>
        <w:tc>
          <w:tcPr>
            <w:tcW w:w="1809" w:type="dxa"/>
            <w:vAlign w:val="center"/>
          </w:tcPr>
          <w:p w14:paraId="4DF69F35" w14:textId="77777777" w:rsidR="00B85D06" w:rsidRPr="00B137CC" w:rsidRDefault="00B85D06" w:rsidP="00DE35E3">
            <w:pPr>
              <w:snapToGrid w:val="0"/>
              <w:spacing w:before="60" w:after="60"/>
              <w:jc w:val="left"/>
            </w:pPr>
            <w:r w:rsidRPr="00B137CC">
              <w:rPr>
                <w:color w:val="000000"/>
              </w:rPr>
              <w:t>Chillers</w:t>
            </w:r>
          </w:p>
        </w:tc>
        <w:tc>
          <w:tcPr>
            <w:tcW w:w="2148" w:type="dxa"/>
            <w:vAlign w:val="center"/>
          </w:tcPr>
          <w:p w14:paraId="0946A0C1" w14:textId="77777777" w:rsidR="00B85D06" w:rsidRPr="00B137CC" w:rsidRDefault="00B85D06" w:rsidP="00DE35E3">
            <w:pPr>
              <w:snapToGrid w:val="0"/>
              <w:spacing w:before="60" w:after="60"/>
              <w:jc w:val="left"/>
            </w:pPr>
            <w:r w:rsidRPr="00B137CC">
              <w:rPr>
                <w:color w:val="000000"/>
              </w:rPr>
              <w:t>&gt;500 &amp; &lt;1000 kWr</w:t>
            </w:r>
          </w:p>
        </w:tc>
        <w:tc>
          <w:tcPr>
            <w:tcW w:w="1426" w:type="dxa"/>
            <w:vAlign w:val="center"/>
          </w:tcPr>
          <w:p w14:paraId="7591C02F" w14:textId="77777777" w:rsidR="00B85D06" w:rsidRPr="00B137CC" w:rsidRDefault="00B85D06" w:rsidP="00DE35E3">
            <w:pPr>
              <w:snapToGrid w:val="0"/>
              <w:spacing w:before="60" w:after="60"/>
              <w:jc w:val="center"/>
            </w:pPr>
            <w:r w:rsidRPr="00B137CC">
              <w:rPr>
                <w:color w:val="000000"/>
              </w:rPr>
              <w:t>7,200</w:t>
            </w:r>
          </w:p>
        </w:tc>
        <w:tc>
          <w:tcPr>
            <w:tcW w:w="1426" w:type="dxa"/>
            <w:vAlign w:val="center"/>
          </w:tcPr>
          <w:p w14:paraId="7386D47D" w14:textId="77777777" w:rsidR="00B85D06" w:rsidRPr="00B137CC" w:rsidRDefault="00B85D06" w:rsidP="00DE35E3">
            <w:pPr>
              <w:snapToGrid w:val="0"/>
              <w:spacing w:before="60" w:after="60"/>
              <w:jc w:val="center"/>
            </w:pPr>
            <w:r w:rsidRPr="00B137CC">
              <w:rPr>
                <w:color w:val="000000"/>
              </w:rPr>
              <w:t>7,200</w:t>
            </w:r>
          </w:p>
        </w:tc>
        <w:tc>
          <w:tcPr>
            <w:tcW w:w="1411" w:type="dxa"/>
            <w:vAlign w:val="center"/>
          </w:tcPr>
          <w:p w14:paraId="1692C4B6" w14:textId="1B4F0875" w:rsidR="00B85D06" w:rsidRPr="00B137CC" w:rsidRDefault="00DE35E3" w:rsidP="00DE35E3">
            <w:pPr>
              <w:snapToGrid w:val="0"/>
              <w:spacing w:before="60" w:after="60"/>
              <w:jc w:val="center"/>
            </w:pPr>
            <w:r>
              <w:t>0%</w:t>
            </w:r>
          </w:p>
        </w:tc>
      </w:tr>
      <w:tr w:rsidR="00B85D06" w14:paraId="56537556" w14:textId="77777777" w:rsidTr="00DE35E3">
        <w:trPr>
          <w:trHeight w:val="624"/>
        </w:trPr>
        <w:tc>
          <w:tcPr>
            <w:tcW w:w="1272" w:type="dxa"/>
            <w:vAlign w:val="center"/>
          </w:tcPr>
          <w:p w14:paraId="385DE894" w14:textId="77777777" w:rsidR="00B85D06" w:rsidRPr="00B137CC" w:rsidRDefault="00B85D06" w:rsidP="00DE35E3">
            <w:pPr>
              <w:snapToGrid w:val="0"/>
              <w:spacing w:before="60" w:after="60"/>
            </w:pPr>
            <w:r w:rsidRPr="00B137CC">
              <w:rPr>
                <w:color w:val="000000"/>
              </w:rPr>
              <w:t>AC4-4</w:t>
            </w:r>
          </w:p>
        </w:tc>
        <w:tc>
          <w:tcPr>
            <w:tcW w:w="1809" w:type="dxa"/>
            <w:vAlign w:val="center"/>
          </w:tcPr>
          <w:p w14:paraId="05B05959" w14:textId="77777777" w:rsidR="00B85D06" w:rsidRPr="00B137CC" w:rsidRDefault="00B85D06" w:rsidP="00DE35E3">
            <w:pPr>
              <w:snapToGrid w:val="0"/>
              <w:spacing w:before="60" w:after="60"/>
              <w:jc w:val="left"/>
            </w:pPr>
            <w:r w:rsidRPr="00B137CC">
              <w:rPr>
                <w:color w:val="000000"/>
              </w:rPr>
              <w:t>Chillers</w:t>
            </w:r>
          </w:p>
        </w:tc>
        <w:tc>
          <w:tcPr>
            <w:tcW w:w="2148" w:type="dxa"/>
            <w:vAlign w:val="center"/>
          </w:tcPr>
          <w:p w14:paraId="59606E2B" w14:textId="77777777" w:rsidR="00B85D06" w:rsidRPr="00B137CC" w:rsidRDefault="00B85D06" w:rsidP="00DE35E3">
            <w:pPr>
              <w:snapToGrid w:val="0"/>
              <w:spacing w:before="60" w:after="60"/>
              <w:jc w:val="left"/>
            </w:pPr>
            <w:r w:rsidRPr="00B137CC">
              <w:rPr>
                <w:color w:val="000000"/>
              </w:rPr>
              <w:t>&gt;1000 kWr</w:t>
            </w:r>
          </w:p>
        </w:tc>
        <w:tc>
          <w:tcPr>
            <w:tcW w:w="1426" w:type="dxa"/>
            <w:vAlign w:val="center"/>
          </w:tcPr>
          <w:p w14:paraId="636F425B" w14:textId="77777777" w:rsidR="00B85D06" w:rsidRPr="00B137CC" w:rsidRDefault="00B85D06" w:rsidP="00DE35E3">
            <w:pPr>
              <w:snapToGrid w:val="0"/>
              <w:spacing w:before="60" w:after="60"/>
              <w:jc w:val="center"/>
            </w:pPr>
            <w:r w:rsidRPr="00B137CC">
              <w:rPr>
                <w:color w:val="000000"/>
              </w:rPr>
              <w:t>1,100</w:t>
            </w:r>
          </w:p>
        </w:tc>
        <w:tc>
          <w:tcPr>
            <w:tcW w:w="1426" w:type="dxa"/>
            <w:vAlign w:val="center"/>
          </w:tcPr>
          <w:p w14:paraId="3E519BFD" w14:textId="77777777" w:rsidR="00B85D06" w:rsidRPr="00B137CC" w:rsidRDefault="00B85D06" w:rsidP="00DE35E3">
            <w:pPr>
              <w:snapToGrid w:val="0"/>
              <w:spacing w:before="60" w:after="60"/>
              <w:jc w:val="center"/>
            </w:pPr>
            <w:r w:rsidRPr="00B137CC">
              <w:rPr>
                <w:color w:val="000000"/>
              </w:rPr>
              <w:t>3,300</w:t>
            </w:r>
          </w:p>
        </w:tc>
        <w:tc>
          <w:tcPr>
            <w:tcW w:w="1411" w:type="dxa"/>
            <w:vAlign w:val="center"/>
          </w:tcPr>
          <w:p w14:paraId="5BDA0735" w14:textId="711D4099" w:rsidR="00B85D06" w:rsidRPr="00B137CC" w:rsidRDefault="00DE35E3" w:rsidP="00DE35E3">
            <w:pPr>
              <w:snapToGrid w:val="0"/>
              <w:spacing w:before="60" w:after="60"/>
              <w:jc w:val="center"/>
            </w:pPr>
            <w:r>
              <w:t>200%</w:t>
            </w:r>
          </w:p>
        </w:tc>
      </w:tr>
      <w:tr w:rsidR="00B85D06" w14:paraId="522CA283" w14:textId="77777777" w:rsidTr="00CD73A6">
        <w:trPr>
          <w:trHeight w:val="624"/>
        </w:trPr>
        <w:tc>
          <w:tcPr>
            <w:tcW w:w="1272" w:type="dxa"/>
            <w:tcBorders>
              <w:bottom w:val="single" w:sz="4" w:space="0" w:color="000000"/>
            </w:tcBorders>
            <w:vAlign w:val="center"/>
          </w:tcPr>
          <w:p w14:paraId="5AC95276" w14:textId="77777777" w:rsidR="00B85D06" w:rsidRPr="00B137CC" w:rsidRDefault="00B85D06" w:rsidP="00DE35E3">
            <w:pPr>
              <w:snapToGrid w:val="0"/>
              <w:spacing w:before="60" w:after="60"/>
            </w:pPr>
            <w:r w:rsidRPr="00B137CC">
              <w:rPr>
                <w:color w:val="000000"/>
              </w:rPr>
              <w:t>AC5-1</w:t>
            </w:r>
          </w:p>
        </w:tc>
        <w:tc>
          <w:tcPr>
            <w:tcW w:w="1809" w:type="dxa"/>
            <w:tcBorders>
              <w:bottom w:val="single" w:sz="4" w:space="0" w:color="000000"/>
            </w:tcBorders>
            <w:vAlign w:val="center"/>
          </w:tcPr>
          <w:p w14:paraId="786D5A1F" w14:textId="77777777" w:rsidR="00B85D06" w:rsidRPr="00B137CC" w:rsidRDefault="00B85D06" w:rsidP="00DE35E3">
            <w:pPr>
              <w:snapToGrid w:val="0"/>
              <w:spacing w:before="60" w:after="60"/>
              <w:jc w:val="left"/>
            </w:pPr>
            <w:r w:rsidRPr="00B137CC">
              <w:rPr>
                <w:color w:val="000000"/>
              </w:rPr>
              <w:t>HW Heat</w:t>
            </w:r>
            <w:r>
              <w:rPr>
                <w:color w:val="000000"/>
              </w:rPr>
              <w:t xml:space="preserve"> </w:t>
            </w:r>
            <w:r w:rsidRPr="00B137CC">
              <w:rPr>
                <w:color w:val="000000"/>
              </w:rPr>
              <w:t>pump</w:t>
            </w:r>
          </w:p>
        </w:tc>
        <w:tc>
          <w:tcPr>
            <w:tcW w:w="2148" w:type="dxa"/>
            <w:tcBorders>
              <w:bottom w:val="single" w:sz="4" w:space="0" w:color="000000"/>
            </w:tcBorders>
            <w:vAlign w:val="center"/>
          </w:tcPr>
          <w:p w14:paraId="16274EA0" w14:textId="77777777" w:rsidR="00B85D06" w:rsidRPr="00B137CC" w:rsidRDefault="00B85D06" w:rsidP="00DE35E3">
            <w:pPr>
              <w:snapToGrid w:val="0"/>
              <w:spacing w:before="60" w:after="60"/>
              <w:jc w:val="left"/>
            </w:pPr>
            <w:r w:rsidRPr="00B137CC">
              <w:rPr>
                <w:color w:val="000000"/>
              </w:rPr>
              <w:t>HW heat pump: domestic</w:t>
            </w:r>
          </w:p>
        </w:tc>
        <w:tc>
          <w:tcPr>
            <w:tcW w:w="1426" w:type="dxa"/>
            <w:vAlign w:val="center"/>
          </w:tcPr>
          <w:p w14:paraId="7D00113C" w14:textId="77777777" w:rsidR="00B85D06" w:rsidRPr="00B137CC" w:rsidRDefault="00B85D06" w:rsidP="00DE35E3">
            <w:pPr>
              <w:snapToGrid w:val="0"/>
              <w:spacing w:before="60" w:after="60"/>
              <w:jc w:val="center"/>
              <w:rPr>
                <w:color w:val="000000"/>
              </w:rPr>
            </w:pPr>
            <w:r w:rsidRPr="00CD01A0">
              <w:rPr>
                <w:color w:val="000000"/>
              </w:rPr>
              <w:t>170,000</w:t>
            </w:r>
          </w:p>
        </w:tc>
        <w:tc>
          <w:tcPr>
            <w:tcW w:w="1426" w:type="dxa"/>
            <w:vAlign w:val="center"/>
          </w:tcPr>
          <w:p w14:paraId="06A22515" w14:textId="77777777" w:rsidR="00B85D06" w:rsidRPr="00B137CC" w:rsidRDefault="00B85D06" w:rsidP="00DE35E3">
            <w:pPr>
              <w:snapToGrid w:val="0"/>
              <w:spacing w:before="60" w:after="60"/>
              <w:jc w:val="center"/>
              <w:rPr>
                <w:color w:val="000000"/>
              </w:rPr>
            </w:pPr>
            <w:r w:rsidRPr="00B137CC">
              <w:rPr>
                <w:color w:val="000000"/>
              </w:rPr>
              <w:t>206,000</w:t>
            </w:r>
          </w:p>
        </w:tc>
        <w:tc>
          <w:tcPr>
            <w:tcW w:w="1411" w:type="dxa"/>
            <w:vAlign w:val="center"/>
          </w:tcPr>
          <w:p w14:paraId="15755AE4" w14:textId="6D399ABC" w:rsidR="00B85D06" w:rsidRPr="00B137CC" w:rsidRDefault="00DE35E3" w:rsidP="00DE35E3">
            <w:pPr>
              <w:snapToGrid w:val="0"/>
              <w:spacing w:before="60" w:after="60"/>
              <w:jc w:val="center"/>
            </w:pPr>
            <w:r>
              <w:t>21%</w:t>
            </w:r>
          </w:p>
        </w:tc>
      </w:tr>
      <w:tr w:rsidR="00B85D06" w14:paraId="1990EDC6" w14:textId="77777777" w:rsidTr="00CD73A6">
        <w:trPr>
          <w:trHeight w:val="624"/>
        </w:trPr>
        <w:tc>
          <w:tcPr>
            <w:tcW w:w="1272" w:type="dxa"/>
            <w:shd w:val="clear" w:color="auto" w:fill="C6D9F1" w:themeFill="text2" w:themeFillTint="33"/>
            <w:vAlign w:val="center"/>
          </w:tcPr>
          <w:p w14:paraId="15635296" w14:textId="77777777" w:rsidR="00B85D06" w:rsidRPr="00B137CC" w:rsidRDefault="00B85D06" w:rsidP="00DE35E3">
            <w:pPr>
              <w:snapToGrid w:val="0"/>
              <w:spacing w:before="60" w:after="60"/>
            </w:pPr>
            <w:r w:rsidRPr="00B137CC">
              <w:rPr>
                <w:color w:val="000000"/>
              </w:rPr>
              <w:t>AC5-2</w:t>
            </w:r>
          </w:p>
        </w:tc>
        <w:tc>
          <w:tcPr>
            <w:tcW w:w="1809" w:type="dxa"/>
            <w:shd w:val="clear" w:color="auto" w:fill="C6D9F1" w:themeFill="text2" w:themeFillTint="33"/>
            <w:vAlign w:val="center"/>
          </w:tcPr>
          <w:p w14:paraId="1E63F38D" w14:textId="77777777" w:rsidR="00B85D06" w:rsidRPr="00B137CC" w:rsidRDefault="00B85D06" w:rsidP="00DE35E3">
            <w:pPr>
              <w:snapToGrid w:val="0"/>
              <w:spacing w:before="60" w:after="60"/>
              <w:jc w:val="left"/>
            </w:pPr>
            <w:r w:rsidRPr="00B137CC">
              <w:rPr>
                <w:color w:val="000000"/>
              </w:rPr>
              <w:t>Heat pump clothes dryers</w:t>
            </w:r>
          </w:p>
        </w:tc>
        <w:tc>
          <w:tcPr>
            <w:tcW w:w="2148" w:type="dxa"/>
            <w:shd w:val="clear" w:color="auto" w:fill="C6D9F1" w:themeFill="text2" w:themeFillTint="33"/>
            <w:vAlign w:val="center"/>
          </w:tcPr>
          <w:p w14:paraId="7B831E64" w14:textId="77777777" w:rsidR="00B85D06" w:rsidRPr="00B137CC" w:rsidRDefault="00B85D06" w:rsidP="00DE35E3">
            <w:pPr>
              <w:snapToGrid w:val="0"/>
              <w:spacing w:before="60" w:after="60"/>
              <w:jc w:val="left"/>
            </w:pPr>
            <w:r w:rsidRPr="00B137CC">
              <w:rPr>
                <w:color w:val="000000"/>
              </w:rPr>
              <w:t>Heat pump clothes dryers</w:t>
            </w:r>
          </w:p>
        </w:tc>
        <w:tc>
          <w:tcPr>
            <w:tcW w:w="1426" w:type="dxa"/>
            <w:vAlign w:val="center"/>
          </w:tcPr>
          <w:p w14:paraId="7031EF0A" w14:textId="77777777" w:rsidR="00B85D06" w:rsidRPr="00B137CC" w:rsidRDefault="00B85D06" w:rsidP="00DE35E3">
            <w:pPr>
              <w:snapToGrid w:val="0"/>
              <w:spacing w:before="60" w:after="60"/>
              <w:jc w:val="center"/>
            </w:pPr>
            <w:r w:rsidRPr="00B137CC">
              <w:t>NA</w:t>
            </w:r>
          </w:p>
        </w:tc>
        <w:tc>
          <w:tcPr>
            <w:tcW w:w="1426" w:type="dxa"/>
            <w:vAlign w:val="center"/>
          </w:tcPr>
          <w:p w14:paraId="46AC57A1" w14:textId="5BC20237" w:rsidR="00B85D06" w:rsidRPr="00B137CC" w:rsidRDefault="0018688F" w:rsidP="00DE35E3">
            <w:pPr>
              <w:snapToGrid w:val="0"/>
              <w:spacing w:before="60" w:after="60"/>
              <w:jc w:val="center"/>
            </w:pPr>
            <w:r>
              <w:t>6</w:t>
            </w:r>
            <w:r w:rsidR="00C00B68">
              <w:t>4</w:t>
            </w:r>
            <w:r w:rsidR="00B85D06" w:rsidRPr="00B137CC">
              <w:t>,000</w:t>
            </w:r>
          </w:p>
        </w:tc>
        <w:tc>
          <w:tcPr>
            <w:tcW w:w="1411" w:type="dxa"/>
            <w:vAlign w:val="center"/>
          </w:tcPr>
          <w:p w14:paraId="5CAAA536" w14:textId="77777777" w:rsidR="00B85D06" w:rsidRPr="00B137CC" w:rsidRDefault="00B85D06" w:rsidP="00DE35E3">
            <w:pPr>
              <w:snapToGrid w:val="0"/>
              <w:spacing w:before="60" w:after="60"/>
              <w:jc w:val="center"/>
            </w:pPr>
            <w:r w:rsidRPr="00B137CC">
              <w:t>NA</w:t>
            </w:r>
          </w:p>
        </w:tc>
      </w:tr>
    </w:tbl>
    <w:p w14:paraId="0C2B7DCD" w14:textId="77777777" w:rsidR="007128F2" w:rsidRPr="009257EE" w:rsidRDefault="00F54FCD" w:rsidP="009257EE">
      <w:pPr>
        <w:snapToGrid w:val="0"/>
        <w:spacing w:before="60"/>
        <w:rPr>
          <w:sz w:val="20"/>
          <w:szCs w:val="20"/>
        </w:rPr>
      </w:pPr>
      <w:r w:rsidRPr="009257EE">
        <w:rPr>
          <w:sz w:val="20"/>
          <w:szCs w:val="20"/>
        </w:rPr>
        <w:t xml:space="preserve">Note: </w:t>
      </w:r>
    </w:p>
    <w:p w14:paraId="67FE80A5" w14:textId="79AA0BF0" w:rsidR="00B85D06" w:rsidRPr="007128F2" w:rsidRDefault="00F54FCD" w:rsidP="009257EE">
      <w:pPr>
        <w:pStyle w:val="ListParagraph"/>
        <w:numPr>
          <w:ilvl w:val="0"/>
          <w:numId w:val="62"/>
        </w:numPr>
        <w:snapToGrid w:val="0"/>
        <w:spacing w:before="60" w:after="60" w:line="240" w:lineRule="auto"/>
        <w:contextualSpacing w:val="0"/>
        <w:jc w:val="both"/>
        <w:rPr>
          <w:rFonts w:ascii="Times New Roman" w:hAnsi="Times New Roman"/>
          <w:sz w:val="20"/>
          <w:szCs w:val="20"/>
        </w:rPr>
      </w:pPr>
      <w:r w:rsidRPr="007128F2">
        <w:rPr>
          <w:rFonts w:ascii="Times New Roman" w:hAnsi="Times New Roman"/>
          <w:sz w:val="20"/>
          <w:szCs w:val="20"/>
        </w:rPr>
        <w:t xml:space="preserve">Where two product categories in the table in 2012 </w:t>
      </w:r>
      <w:r w:rsidR="005C1EB0">
        <w:rPr>
          <w:rFonts w:ascii="Times New Roman" w:hAnsi="Times New Roman"/>
          <w:sz w:val="20"/>
          <w:szCs w:val="20"/>
        </w:rPr>
        <w:t>are</w:t>
      </w:r>
      <w:r w:rsidRPr="007128F2">
        <w:rPr>
          <w:rFonts w:ascii="Times New Roman" w:hAnsi="Times New Roman"/>
          <w:sz w:val="20"/>
          <w:szCs w:val="20"/>
        </w:rPr>
        <w:t xml:space="preserve"> represented by only one stock number, and in 2016 has two stock numbers, the Taxonomy has been changed to break a 2012 category into two product categories in 2016.</w:t>
      </w:r>
    </w:p>
    <w:p w14:paraId="3018FFB0" w14:textId="77777777" w:rsidR="007128F2" w:rsidRDefault="007128F2" w:rsidP="00D42C7D">
      <w:pPr>
        <w:rPr>
          <w:szCs w:val="22"/>
        </w:rPr>
      </w:pPr>
    </w:p>
    <w:p w14:paraId="738B17F9" w14:textId="51F5AF54" w:rsidR="00D42C7D" w:rsidRDefault="00D42C7D" w:rsidP="00D42C7D">
      <w:pPr>
        <w:rPr>
          <w:szCs w:val="22"/>
        </w:rPr>
      </w:pPr>
      <w:r w:rsidRPr="001E6117">
        <w:rPr>
          <w:szCs w:val="22"/>
        </w:rPr>
        <w:t xml:space="preserve">Single split systems sales including wall hung, cassette, consoles and ducted </w:t>
      </w:r>
      <w:r>
        <w:rPr>
          <w:szCs w:val="22"/>
        </w:rPr>
        <w:t xml:space="preserve">systems </w:t>
      </w:r>
      <w:r w:rsidRPr="001E6117">
        <w:rPr>
          <w:szCs w:val="22"/>
        </w:rPr>
        <w:t xml:space="preserve">have grown </w:t>
      </w:r>
      <w:r>
        <w:rPr>
          <w:szCs w:val="22"/>
        </w:rPr>
        <w:t xml:space="preserve">rapidly from 2012 to 2017 with annual sales reported of </w:t>
      </w:r>
      <w:r w:rsidRPr="001E6117">
        <w:rPr>
          <w:szCs w:val="22"/>
        </w:rPr>
        <w:t>833,000</w:t>
      </w:r>
      <w:r>
        <w:rPr>
          <w:szCs w:val="22"/>
        </w:rPr>
        <w:t xml:space="preserve"> in 2012</w:t>
      </w:r>
      <w:r w:rsidRPr="001E6117">
        <w:rPr>
          <w:szCs w:val="22"/>
        </w:rPr>
        <w:t>; 887,000</w:t>
      </w:r>
      <w:r>
        <w:rPr>
          <w:szCs w:val="22"/>
        </w:rPr>
        <w:t xml:space="preserve"> in 2013</w:t>
      </w:r>
      <w:r w:rsidRPr="001E6117">
        <w:rPr>
          <w:szCs w:val="22"/>
        </w:rPr>
        <w:t>; 934,000</w:t>
      </w:r>
      <w:r>
        <w:rPr>
          <w:szCs w:val="22"/>
        </w:rPr>
        <w:t xml:space="preserve"> in 2014</w:t>
      </w:r>
      <w:r w:rsidRPr="001E6117">
        <w:rPr>
          <w:szCs w:val="22"/>
        </w:rPr>
        <w:t>; 1,000,000</w:t>
      </w:r>
      <w:r>
        <w:rPr>
          <w:szCs w:val="22"/>
        </w:rPr>
        <w:t xml:space="preserve"> in 2015</w:t>
      </w:r>
      <w:r w:rsidRPr="001E6117">
        <w:rPr>
          <w:szCs w:val="22"/>
        </w:rPr>
        <w:t xml:space="preserve">; </w:t>
      </w:r>
      <w:r>
        <w:rPr>
          <w:szCs w:val="22"/>
        </w:rPr>
        <w:t xml:space="preserve">and </w:t>
      </w:r>
      <w:r w:rsidRPr="001E6117">
        <w:rPr>
          <w:szCs w:val="22"/>
        </w:rPr>
        <w:t>1,177,000</w:t>
      </w:r>
      <w:r>
        <w:rPr>
          <w:szCs w:val="22"/>
        </w:rPr>
        <w:t xml:space="preserve"> in 2016. </w:t>
      </w:r>
      <w:r w:rsidR="005141D6">
        <w:rPr>
          <w:szCs w:val="22"/>
        </w:rPr>
        <w:t>This strong sales growth continued into</w:t>
      </w:r>
      <w:r>
        <w:rPr>
          <w:szCs w:val="22"/>
        </w:rPr>
        <w:t xml:space="preserve"> 2017</w:t>
      </w:r>
      <w:r w:rsidR="001D0BAE">
        <w:rPr>
          <w:szCs w:val="22"/>
        </w:rPr>
        <w:t xml:space="preserve"> </w:t>
      </w:r>
      <w:r w:rsidR="005141D6">
        <w:rPr>
          <w:szCs w:val="22"/>
        </w:rPr>
        <w:t>when</w:t>
      </w:r>
      <w:r>
        <w:rPr>
          <w:szCs w:val="22"/>
        </w:rPr>
        <w:t xml:space="preserve"> a record number of</w:t>
      </w:r>
      <w:r w:rsidRPr="001E6117">
        <w:rPr>
          <w:szCs w:val="22"/>
        </w:rPr>
        <w:t xml:space="preserve"> 1,356,000</w:t>
      </w:r>
      <w:r>
        <w:rPr>
          <w:szCs w:val="22"/>
        </w:rPr>
        <w:t xml:space="preserve"> single split systems were sold. </w:t>
      </w:r>
      <w:r w:rsidRPr="001E6117">
        <w:rPr>
          <w:szCs w:val="22"/>
        </w:rPr>
        <w:t xml:space="preserve">The overwhelming majority of split systems are single split systems comprising one indoor unit attached to one outdoor unit. </w:t>
      </w:r>
    </w:p>
    <w:p w14:paraId="3B198983" w14:textId="43BEC15D" w:rsidR="00203A75" w:rsidRDefault="00203A75" w:rsidP="00D42C7D">
      <w:pPr>
        <w:rPr>
          <w:szCs w:val="22"/>
        </w:rPr>
      </w:pPr>
      <w:r>
        <w:rPr>
          <w:szCs w:val="22"/>
          <w:lang w:val="en-AU"/>
        </w:rPr>
        <w:t>Analysis of pre-charged equipment (PCE) imports i</w:t>
      </w:r>
      <w:r w:rsidR="00D42C7D" w:rsidRPr="00D573E8">
        <w:rPr>
          <w:szCs w:val="22"/>
          <w:lang w:val="en-AU"/>
        </w:rPr>
        <w:t xml:space="preserve">n </w:t>
      </w:r>
      <w:r>
        <w:rPr>
          <w:szCs w:val="22"/>
          <w:lang w:val="en-AU"/>
        </w:rPr>
        <w:t>2016 indicate</w:t>
      </w:r>
      <w:r w:rsidR="00F75806">
        <w:rPr>
          <w:szCs w:val="22"/>
          <w:lang w:val="en-AU"/>
        </w:rPr>
        <w:t>s</w:t>
      </w:r>
      <w:r>
        <w:rPr>
          <w:szCs w:val="22"/>
          <w:lang w:val="en-AU"/>
        </w:rPr>
        <w:t xml:space="preserve"> that </w:t>
      </w:r>
      <w:r w:rsidR="00D42C7D" w:rsidRPr="00D573E8">
        <w:rPr>
          <w:szCs w:val="22"/>
          <w:lang w:val="en-AU"/>
        </w:rPr>
        <w:t xml:space="preserve">non-ducted </w:t>
      </w:r>
      <w:r w:rsidR="00313B1E">
        <w:rPr>
          <w:szCs w:val="22"/>
          <w:lang w:val="en-AU"/>
        </w:rPr>
        <w:t xml:space="preserve">single </w:t>
      </w:r>
      <w:r w:rsidR="00D42C7D" w:rsidRPr="00D573E8">
        <w:rPr>
          <w:szCs w:val="22"/>
          <w:lang w:val="en-AU"/>
        </w:rPr>
        <w:t xml:space="preserve">split systems made up about </w:t>
      </w:r>
      <w:r w:rsidR="008109F3" w:rsidRPr="00203A75">
        <w:rPr>
          <w:szCs w:val="22"/>
          <w:lang w:val="en-AU"/>
        </w:rPr>
        <w:t>8</w:t>
      </w:r>
      <w:r w:rsidR="00313B1E" w:rsidRPr="00203A75">
        <w:rPr>
          <w:szCs w:val="22"/>
          <w:lang w:val="en-AU"/>
        </w:rPr>
        <w:t>4</w:t>
      </w:r>
      <w:r w:rsidR="00D42C7D" w:rsidRPr="00203A75">
        <w:rPr>
          <w:szCs w:val="22"/>
          <w:lang w:val="en-AU"/>
        </w:rPr>
        <w:t>%</w:t>
      </w:r>
      <w:r w:rsidR="00D42C7D" w:rsidRPr="00D573E8">
        <w:rPr>
          <w:szCs w:val="22"/>
          <w:lang w:val="en-AU"/>
        </w:rPr>
        <w:t xml:space="preserve"> by quantity (pieces of equipment) and about </w:t>
      </w:r>
      <w:r w:rsidR="00D42C7D" w:rsidRPr="00203A75">
        <w:rPr>
          <w:szCs w:val="22"/>
          <w:lang w:val="en-AU"/>
        </w:rPr>
        <w:t>54%</w:t>
      </w:r>
      <w:r w:rsidR="00D42C7D" w:rsidRPr="00D573E8">
        <w:rPr>
          <w:szCs w:val="22"/>
          <w:lang w:val="en-AU"/>
        </w:rPr>
        <w:t xml:space="preserve"> by refrigerant volume</w:t>
      </w:r>
      <w:r w:rsidR="00D42C7D" w:rsidRPr="00D573E8">
        <w:rPr>
          <w:rStyle w:val="FootnoteReference"/>
          <w:rFonts w:ascii="Times New Roman" w:hAnsi="Times New Roman"/>
          <w:szCs w:val="22"/>
          <w:lang w:val="en-AU"/>
        </w:rPr>
        <w:footnoteReference w:id="10"/>
      </w:r>
      <w:r w:rsidR="00D42C7D" w:rsidRPr="00D573E8">
        <w:rPr>
          <w:szCs w:val="22"/>
          <w:lang w:val="en-AU"/>
        </w:rPr>
        <w:t xml:space="preserve"> </w:t>
      </w:r>
      <w:r w:rsidR="00D42C7D">
        <w:rPr>
          <w:szCs w:val="22"/>
          <w:lang w:val="en-AU"/>
        </w:rPr>
        <w:t xml:space="preserve">of all stationary AC </w:t>
      </w:r>
      <w:r>
        <w:rPr>
          <w:szCs w:val="22"/>
          <w:lang w:val="en-AU"/>
        </w:rPr>
        <w:t xml:space="preserve">imported into </w:t>
      </w:r>
      <w:r w:rsidR="00D42C7D" w:rsidRPr="00D573E8">
        <w:rPr>
          <w:szCs w:val="22"/>
          <w:lang w:val="en-AU"/>
        </w:rPr>
        <w:t>Australia.</w:t>
      </w:r>
      <w:r w:rsidR="00D42C7D">
        <w:rPr>
          <w:szCs w:val="22"/>
          <w:lang w:val="en-AU"/>
        </w:rPr>
        <w:t xml:space="preserve"> The</w:t>
      </w:r>
      <w:r w:rsidR="007C5C52">
        <w:rPr>
          <w:szCs w:val="22"/>
          <w:lang w:val="en-AU"/>
        </w:rPr>
        <w:t>re</w:t>
      </w:r>
      <w:r w:rsidR="00D42C7D">
        <w:rPr>
          <w:szCs w:val="22"/>
          <w:lang w:val="en-AU"/>
        </w:rPr>
        <w:t xml:space="preserve"> are no local manufacturers of Small AC: Self-contained equipment or Small AC: Split systems. </w:t>
      </w:r>
      <w:r w:rsidR="00D42C7D" w:rsidRPr="00A035DE">
        <w:rPr>
          <w:szCs w:val="22"/>
        </w:rPr>
        <w:t>A summary of the analysis of PCE imports with a charge greater than 800</w:t>
      </w:r>
      <w:r w:rsidR="00D42C7D" w:rsidRPr="009A36A3">
        <w:rPr>
          <w:szCs w:val="22"/>
        </w:rPr>
        <w:t xml:space="preserve"> grams and less than 2,600 grams is provided in </w:t>
      </w:r>
      <w:r w:rsidR="00BB16C6">
        <w:rPr>
          <w:i/>
          <w:szCs w:val="22"/>
        </w:rPr>
        <w:t>Table 4</w:t>
      </w:r>
      <w:r w:rsidR="00D42C7D" w:rsidRPr="009A36A3">
        <w:rPr>
          <w:szCs w:val="22"/>
        </w:rPr>
        <w:t xml:space="preserve"> below</w:t>
      </w:r>
      <w:r w:rsidR="00D42C7D" w:rsidRPr="00D573E8">
        <w:rPr>
          <w:szCs w:val="22"/>
        </w:rPr>
        <w:t>.</w:t>
      </w:r>
    </w:p>
    <w:p w14:paraId="3613F74A" w14:textId="258A061F" w:rsidR="00D42C7D" w:rsidRPr="00D573E8" w:rsidRDefault="00D42C7D" w:rsidP="00D42C7D">
      <w:pPr>
        <w:rPr>
          <w:szCs w:val="22"/>
        </w:rPr>
      </w:pPr>
      <w:r w:rsidRPr="00D573E8">
        <w:rPr>
          <w:szCs w:val="22"/>
        </w:rPr>
        <w:t xml:space="preserve"> </w:t>
      </w:r>
    </w:p>
    <w:p w14:paraId="00FCDAD2" w14:textId="77777777" w:rsidR="00D47CC7" w:rsidRDefault="00D47CC7">
      <w:pPr>
        <w:spacing w:before="0"/>
        <w:jc w:val="left"/>
        <w:rPr>
          <w:rFonts w:eastAsia="Times New Roman" w:cs="Times New Roman"/>
          <w:bCs/>
          <w:i/>
          <w:szCs w:val="20"/>
          <w:lang w:val="en-US"/>
        </w:rPr>
      </w:pPr>
      <w:r>
        <w:br w:type="page"/>
      </w:r>
    </w:p>
    <w:p w14:paraId="12FD3EB4" w14:textId="0E13CB12" w:rsidR="00D47CC7" w:rsidRPr="00D47CC7" w:rsidRDefault="00D47CC7" w:rsidP="00D47CC7">
      <w:pPr>
        <w:pStyle w:val="Caption"/>
        <w:rPr>
          <w:szCs w:val="22"/>
          <w:lang w:val="en-AU"/>
        </w:rPr>
      </w:pPr>
      <w:bookmarkStart w:id="18" w:name="_Toc525141393"/>
      <w:r w:rsidRPr="00D47CC7">
        <w:lastRenderedPageBreak/>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4</w:t>
      </w:r>
      <w:r w:rsidR="009D6843">
        <w:rPr>
          <w:noProof/>
        </w:rPr>
        <w:fldChar w:fldCharType="end"/>
      </w:r>
      <w:r w:rsidRPr="00D47CC7">
        <w:t xml:space="preserve">: </w:t>
      </w:r>
      <w:r w:rsidR="0011784B">
        <w:t xml:space="preserve">Impacts of </w:t>
      </w:r>
      <w:r w:rsidR="0011784B">
        <w:rPr>
          <w:szCs w:val="22"/>
          <w:lang w:val="en-AU"/>
        </w:rPr>
        <w:t>p</w:t>
      </w:r>
      <w:r w:rsidR="00203A75" w:rsidRPr="00D47CC7">
        <w:rPr>
          <w:szCs w:val="22"/>
          <w:lang w:val="en-AU"/>
        </w:rPr>
        <w:t xml:space="preserve">re-charged equipment </w:t>
      </w:r>
      <w:r w:rsidR="00CC3384">
        <w:rPr>
          <w:szCs w:val="22"/>
          <w:lang w:val="en-AU"/>
        </w:rPr>
        <w:t xml:space="preserve">numbers and tonnes of contained refrigerants </w:t>
      </w:r>
      <w:r w:rsidR="00CC3384" w:rsidRPr="00D47CC7">
        <w:rPr>
          <w:szCs w:val="22"/>
          <w:lang w:val="en-AU"/>
        </w:rPr>
        <w:t xml:space="preserve">with a charge greater than 800 and less than 2,600 grams </w:t>
      </w:r>
      <w:r w:rsidR="00203A75" w:rsidRPr="00D47CC7">
        <w:rPr>
          <w:szCs w:val="22"/>
          <w:lang w:val="en-AU"/>
        </w:rPr>
        <w:t>reported in ‘Domestic use air conditioning’ category 2014</w:t>
      </w:r>
      <w:r w:rsidR="002B2235">
        <w:rPr>
          <w:szCs w:val="22"/>
          <w:lang w:val="en-AU"/>
        </w:rPr>
        <w:t>-</w:t>
      </w:r>
      <w:r w:rsidR="00203A75" w:rsidRPr="00D47CC7">
        <w:rPr>
          <w:szCs w:val="22"/>
          <w:lang w:val="en-AU"/>
        </w:rPr>
        <w:t>2016.</w:t>
      </w:r>
      <w:bookmarkEnd w:id="18"/>
    </w:p>
    <w:tbl>
      <w:tblPr>
        <w:tblStyle w:val="TableGrid"/>
        <w:tblW w:w="9746" w:type="dxa"/>
        <w:tblInd w:w="-5" w:type="dxa"/>
        <w:tblLook w:val="04A0" w:firstRow="1" w:lastRow="0" w:firstColumn="1" w:lastColumn="0" w:noHBand="0" w:noVBand="1"/>
      </w:tblPr>
      <w:tblGrid>
        <w:gridCol w:w="2047"/>
        <w:gridCol w:w="1270"/>
        <w:gridCol w:w="1278"/>
        <w:gridCol w:w="1272"/>
        <w:gridCol w:w="1304"/>
        <w:gridCol w:w="1271"/>
        <w:gridCol w:w="1304"/>
      </w:tblGrid>
      <w:tr w:rsidR="00CD73A6" w:rsidRPr="00D573E8" w14:paraId="7D24407A" w14:textId="77777777" w:rsidTr="00D05CB5">
        <w:tc>
          <w:tcPr>
            <w:tcW w:w="2047" w:type="dxa"/>
            <w:vMerge w:val="restart"/>
            <w:shd w:val="clear" w:color="auto" w:fill="B6DDE8" w:themeFill="accent5" w:themeFillTint="66"/>
            <w:vAlign w:val="bottom"/>
          </w:tcPr>
          <w:p w14:paraId="75792EC8" w14:textId="77777777" w:rsidR="00CD73A6" w:rsidRPr="00D573E8" w:rsidRDefault="00CD73A6" w:rsidP="005A077A">
            <w:pPr>
              <w:spacing w:after="120"/>
              <w:rPr>
                <w:szCs w:val="22"/>
              </w:rPr>
            </w:pPr>
            <w:r w:rsidRPr="00D573E8">
              <w:rPr>
                <w:color w:val="000000"/>
                <w:szCs w:val="22"/>
              </w:rPr>
              <w:t> </w:t>
            </w:r>
          </w:p>
        </w:tc>
        <w:tc>
          <w:tcPr>
            <w:tcW w:w="2548" w:type="dxa"/>
            <w:gridSpan w:val="2"/>
            <w:shd w:val="clear" w:color="auto" w:fill="B6DDE8" w:themeFill="accent5" w:themeFillTint="66"/>
            <w:vAlign w:val="center"/>
          </w:tcPr>
          <w:p w14:paraId="450493CF" w14:textId="77777777" w:rsidR="00CD73A6" w:rsidRPr="00D573E8" w:rsidRDefault="00CD73A6" w:rsidP="005A077A">
            <w:pPr>
              <w:spacing w:after="120"/>
              <w:jc w:val="center"/>
              <w:rPr>
                <w:szCs w:val="22"/>
              </w:rPr>
            </w:pPr>
            <w:r w:rsidRPr="00D573E8">
              <w:rPr>
                <w:color w:val="000000"/>
                <w:szCs w:val="22"/>
              </w:rPr>
              <w:t>2014</w:t>
            </w:r>
          </w:p>
        </w:tc>
        <w:tc>
          <w:tcPr>
            <w:tcW w:w="2576" w:type="dxa"/>
            <w:gridSpan w:val="2"/>
            <w:shd w:val="clear" w:color="auto" w:fill="B6DDE8" w:themeFill="accent5" w:themeFillTint="66"/>
            <w:vAlign w:val="center"/>
          </w:tcPr>
          <w:p w14:paraId="5BA74E6E" w14:textId="77777777" w:rsidR="00CD73A6" w:rsidRPr="00D573E8" w:rsidRDefault="00CD73A6" w:rsidP="005A077A">
            <w:pPr>
              <w:spacing w:after="120"/>
              <w:jc w:val="center"/>
              <w:rPr>
                <w:szCs w:val="22"/>
              </w:rPr>
            </w:pPr>
            <w:r w:rsidRPr="00D573E8">
              <w:rPr>
                <w:color w:val="000000"/>
                <w:szCs w:val="22"/>
              </w:rPr>
              <w:t>2015</w:t>
            </w:r>
          </w:p>
        </w:tc>
        <w:tc>
          <w:tcPr>
            <w:tcW w:w="2575" w:type="dxa"/>
            <w:gridSpan w:val="2"/>
            <w:shd w:val="clear" w:color="auto" w:fill="B6DDE8" w:themeFill="accent5" w:themeFillTint="66"/>
            <w:vAlign w:val="center"/>
          </w:tcPr>
          <w:p w14:paraId="3C78B0D2" w14:textId="77777777" w:rsidR="00CD73A6" w:rsidRPr="00D573E8" w:rsidRDefault="00CD73A6" w:rsidP="005A077A">
            <w:pPr>
              <w:spacing w:after="120"/>
              <w:jc w:val="center"/>
              <w:rPr>
                <w:szCs w:val="22"/>
              </w:rPr>
            </w:pPr>
            <w:r w:rsidRPr="00D573E8">
              <w:rPr>
                <w:color w:val="000000"/>
                <w:szCs w:val="22"/>
              </w:rPr>
              <w:t>2016</w:t>
            </w:r>
          </w:p>
        </w:tc>
      </w:tr>
      <w:tr w:rsidR="00D05CB5" w:rsidRPr="00D573E8" w14:paraId="6687B69B" w14:textId="77777777" w:rsidTr="00D05CB5">
        <w:tc>
          <w:tcPr>
            <w:tcW w:w="2047" w:type="dxa"/>
            <w:vMerge/>
            <w:shd w:val="clear" w:color="auto" w:fill="B6DDE8" w:themeFill="accent5" w:themeFillTint="66"/>
            <w:vAlign w:val="bottom"/>
          </w:tcPr>
          <w:p w14:paraId="72CA8081" w14:textId="77777777" w:rsidR="00D05CB5" w:rsidRPr="00D573E8" w:rsidRDefault="00D05CB5" w:rsidP="00D05CB5">
            <w:pPr>
              <w:spacing w:before="60" w:after="60"/>
              <w:rPr>
                <w:color w:val="000000"/>
                <w:szCs w:val="22"/>
              </w:rPr>
            </w:pPr>
          </w:p>
        </w:tc>
        <w:tc>
          <w:tcPr>
            <w:tcW w:w="1270" w:type="dxa"/>
            <w:shd w:val="clear" w:color="auto" w:fill="B6DDE8" w:themeFill="accent5" w:themeFillTint="66"/>
            <w:vAlign w:val="center"/>
          </w:tcPr>
          <w:p w14:paraId="5DB0BC30" w14:textId="77777777" w:rsidR="00D05CB5" w:rsidRPr="00D573E8" w:rsidRDefault="00D05CB5" w:rsidP="00D05CB5">
            <w:pPr>
              <w:spacing w:before="60" w:after="60"/>
              <w:jc w:val="center"/>
              <w:rPr>
                <w:color w:val="000000"/>
                <w:szCs w:val="22"/>
              </w:rPr>
            </w:pPr>
            <w:r w:rsidRPr="00D573E8">
              <w:rPr>
                <w:color w:val="000000"/>
                <w:szCs w:val="22"/>
              </w:rPr>
              <w:t>Units</w:t>
            </w:r>
          </w:p>
        </w:tc>
        <w:tc>
          <w:tcPr>
            <w:tcW w:w="1278" w:type="dxa"/>
            <w:shd w:val="clear" w:color="auto" w:fill="B6DDE8" w:themeFill="accent5" w:themeFillTint="66"/>
            <w:vAlign w:val="center"/>
          </w:tcPr>
          <w:p w14:paraId="7C763DC1" w14:textId="6E15AC88" w:rsidR="00D05CB5" w:rsidRDefault="00D05CB5" w:rsidP="00D05CB5">
            <w:pPr>
              <w:spacing w:before="60" w:after="60"/>
              <w:jc w:val="center"/>
              <w:rPr>
                <w:color w:val="000000"/>
                <w:szCs w:val="22"/>
              </w:rPr>
            </w:pPr>
            <w:r>
              <w:rPr>
                <w:color w:val="000000"/>
                <w:szCs w:val="22"/>
              </w:rPr>
              <w:t>Refrigerant</w:t>
            </w:r>
          </w:p>
          <w:p w14:paraId="603069DB" w14:textId="5F981C1C" w:rsidR="00D05CB5" w:rsidRPr="00D573E8" w:rsidRDefault="00D05CB5" w:rsidP="00D05CB5">
            <w:pPr>
              <w:spacing w:before="60" w:after="60"/>
              <w:jc w:val="center"/>
              <w:rPr>
                <w:color w:val="000000"/>
                <w:szCs w:val="22"/>
              </w:rPr>
            </w:pPr>
            <w:r>
              <w:rPr>
                <w:color w:val="000000"/>
                <w:szCs w:val="22"/>
              </w:rPr>
              <w:t>(</w:t>
            </w:r>
            <w:r w:rsidRPr="00D573E8">
              <w:rPr>
                <w:color w:val="000000"/>
                <w:szCs w:val="22"/>
              </w:rPr>
              <w:t>Tonnes</w:t>
            </w:r>
            <w:r>
              <w:rPr>
                <w:color w:val="000000"/>
                <w:szCs w:val="22"/>
              </w:rPr>
              <w:t>)</w:t>
            </w:r>
          </w:p>
        </w:tc>
        <w:tc>
          <w:tcPr>
            <w:tcW w:w="1272" w:type="dxa"/>
            <w:shd w:val="clear" w:color="auto" w:fill="B6DDE8" w:themeFill="accent5" w:themeFillTint="66"/>
            <w:vAlign w:val="center"/>
          </w:tcPr>
          <w:p w14:paraId="3C59F064" w14:textId="77777777" w:rsidR="00D05CB5" w:rsidRPr="00D573E8" w:rsidRDefault="00D05CB5" w:rsidP="00D05CB5">
            <w:pPr>
              <w:spacing w:before="60" w:after="60"/>
              <w:jc w:val="center"/>
              <w:rPr>
                <w:color w:val="000000"/>
                <w:szCs w:val="22"/>
              </w:rPr>
            </w:pPr>
            <w:r w:rsidRPr="00D573E8">
              <w:rPr>
                <w:color w:val="000000"/>
                <w:szCs w:val="22"/>
              </w:rPr>
              <w:t>Units</w:t>
            </w:r>
          </w:p>
        </w:tc>
        <w:tc>
          <w:tcPr>
            <w:tcW w:w="1304" w:type="dxa"/>
            <w:shd w:val="clear" w:color="auto" w:fill="B6DDE8" w:themeFill="accent5" w:themeFillTint="66"/>
            <w:vAlign w:val="center"/>
          </w:tcPr>
          <w:p w14:paraId="726F63FB" w14:textId="77777777" w:rsidR="00D05CB5" w:rsidRDefault="00D05CB5" w:rsidP="00D05CB5">
            <w:pPr>
              <w:spacing w:before="60" w:after="60"/>
              <w:jc w:val="center"/>
              <w:rPr>
                <w:color w:val="000000"/>
                <w:szCs w:val="22"/>
              </w:rPr>
            </w:pPr>
            <w:r>
              <w:rPr>
                <w:color w:val="000000"/>
                <w:szCs w:val="22"/>
              </w:rPr>
              <w:t>Refrigerant</w:t>
            </w:r>
          </w:p>
          <w:p w14:paraId="61681381" w14:textId="365B9789" w:rsidR="00D05CB5" w:rsidRPr="00D573E8" w:rsidRDefault="00D05CB5" w:rsidP="00D05CB5">
            <w:pPr>
              <w:spacing w:before="60" w:after="60"/>
              <w:jc w:val="center"/>
              <w:rPr>
                <w:color w:val="000000"/>
                <w:szCs w:val="22"/>
              </w:rPr>
            </w:pPr>
            <w:r>
              <w:rPr>
                <w:color w:val="000000"/>
                <w:szCs w:val="22"/>
              </w:rPr>
              <w:t>(</w:t>
            </w:r>
            <w:r w:rsidRPr="00D573E8">
              <w:rPr>
                <w:color w:val="000000"/>
                <w:szCs w:val="22"/>
              </w:rPr>
              <w:t>Tonnes</w:t>
            </w:r>
            <w:r>
              <w:rPr>
                <w:color w:val="000000"/>
                <w:szCs w:val="22"/>
              </w:rPr>
              <w:t>)</w:t>
            </w:r>
          </w:p>
        </w:tc>
        <w:tc>
          <w:tcPr>
            <w:tcW w:w="1271" w:type="dxa"/>
            <w:shd w:val="clear" w:color="auto" w:fill="B6DDE8" w:themeFill="accent5" w:themeFillTint="66"/>
            <w:vAlign w:val="center"/>
          </w:tcPr>
          <w:p w14:paraId="70C11A45" w14:textId="77777777" w:rsidR="00D05CB5" w:rsidRPr="00D573E8" w:rsidRDefault="00D05CB5" w:rsidP="00D05CB5">
            <w:pPr>
              <w:spacing w:before="60" w:after="60"/>
              <w:jc w:val="center"/>
              <w:rPr>
                <w:color w:val="000000"/>
                <w:szCs w:val="22"/>
              </w:rPr>
            </w:pPr>
            <w:r w:rsidRPr="00D573E8">
              <w:rPr>
                <w:color w:val="000000"/>
                <w:szCs w:val="22"/>
              </w:rPr>
              <w:t>Units</w:t>
            </w:r>
          </w:p>
        </w:tc>
        <w:tc>
          <w:tcPr>
            <w:tcW w:w="1304" w:type="dxa"/>
            <w:shd w:val="clear" w:color="auto" w:fill="B6DDE8" w:themeFill="accent5" w:themeFillTint="66"/>
            <w:vAlign w:val="center"/>
          </w:tcPr>
          <w:p w14:paraId="2ED56903" w14:textId="77777777" w:rsidR="00D05CB5" w:rsidRDefault="00D05CB5" w:rsidP="00D05CB5">
            <w:pPr>
              <w:spacing w:before="60" w:after="60"/>
              <w:jc w:val="center"/>
              <w:rPr>
                <w:color w:val="000000"/>
                <w:szCs w:val="22"/>
              </w:rPr>
            </w:pPr>
            <w:r>
              <w:rPr>
                <w:color w:val="000000"/>
                <w:szCs w:val="22"/>
              </w:rPr>
              <w:t>Refrigerant</w:t>
            </w:r>
          </w:p>
          <w:p w14:paraId="3B19C42D" w14:textId="4C2A52FC" w:rsidR="00D05CB5" w:rsidRPr="00D573E8" w:rsidRDefault="00D05CB5" w:rsidP="00D05CB5">
            <w:pPr>
              <w:spacing w:before="60" w:after="60"/>
              <w:jc w:val="center"/>
              <w:rPr>
                <w:color w:val="000000"/>
                <w:szCs w:val="22"/>
              </w:rPr>
            </w:pPr>
            <w:r>
              <w:rPr>
                <w:color w:val="000000"/>
                <w:szCs w:val="22"/>
              </w:rPr>
              <w:t>(</w:t>
            </w:r>
            <w:r w:rsidRPr="00D573E8">
              <w:rPr>
                <w:color w:val="000000"/>
                <w:szCs w:val="22"/>
              </w:rPr>
              <w:t>Tonnes</w:t>
            </w:r>
            <w:r>
              <w:rPr>
                <w:color w:val="000000"/>
                <w:szCs w:val="22"/>
              </w:rPr>
              <w:t>)</w:t>
            </w:r>
          </w:p>
        </w:tc>
      </w:tr>
      <w:tr w:rsidR="00D05CB5" w:rsidRPr="00D573E8" w14:paraId="2A542B7D" w14:textId="77777777" w:rsidTr="00D05CB5">
        <w:tc>
          <w:tcPr>
            <w:tcW w:w="2047" w:type="dxa"/>
            <w:vAlign w:val="bottom"/>
          </w:tcPr>
          <w:p w14:paraId="7F75445A" w14:textId="77777777" w:rsidR="00D05CB5" w:rsidRPr="00D573E8" w:rsidRDefault="00D05CB5" w:rsidP="00D05CB5">
            <w:pPr>
              <w:spacing w:before="60" w:after="60"/>
              <w:jc w:val="left"/>
              <w:rPr>
                <w:szCs w:val="22"/>
              </w:rPr>
            </w:pPr>
            <w:r w:rsidRPr="00D573E8">
              <w:rPr>
                <w:color w:val="000000"/>
                <w:szCs w:val="22"/>
              </w:rPr>
              <w:t>HFC-410A</w:t>
            </w:r>
          </w:p>
        </w:tc>
        <w:tc>
          <w:tcPr>
            <w:tcW w:w="1270" w:type="dxa"/>
            <w:vAlign w:val="center"/>
          </w:tcPr>
          <w:p w14:paraId="50CC2E0D" w14:textId="77777777" w:rsidR="00D05CB5" w:rsidRPr="00D573E8" w:rsidRDefault="00D05CB5" w:rsidP="00D05CB5">
            <w:pPr>
              <w:spacing w:before="60" w:after="60"/>
              <w:jc w:val="center"/>
              <w:rPr>
                <w:szCs w:val="22"/>
              </w:rPr>
            </w:pPr>
            <w:r w:rsidRPr="00D573E8">
              <w:rPr>
                <w:color w:val="000000"/>
                <w:szCs w:val="22"/>
              </w:rPr>
              <w:t>547,523</w:t>
            </w:r>
          </w:p>
        </w:tc>
        <w:tc>
          <w:tcPr>
            <w:tcW w:w="1278" w:type="dxa"/>
            <w:vAlign w:val="center"/>
          </w:tcPr>
          <w:p w14:paraId="440F7E37" w14:textId="77777777" w:rsidR="00D05CB5" w:rsidRPr="00D573E8" w:rsidRDefault="00D05CB5" w:rsidP="00D05CB5">
            <w:pPr>
              <w:spacing w:before="60" w:after="60"/>
              <w:jc w:val="center"/>
              <w:rPr>
                <w:szCs w:val="22"/>
              </w:rPr>
            </w:pPr>
            <w:r w:rsidRPr="00D573E8">
              <w:rPr>
                <w:color w:val="000000"/>
                <w:szCs w:val="22"/>
              </w:rPr>
              <w:t>796</w:t>
            </w:r>
          </w:p>
        </w:tc>
        <w:tc>
          <w:tcPr>
            <w:tcW w:w="1272" w:type="dxa"/>
            <w:vAlign w:val="center"/>
          </w:tcPr>
          <w:p w14:paraId="2169E77D" w14:textId="77777777" w:rsidR="00D05CB5" w:rsidRPr="00D573E8" w:rsidRDefault="00D05CB5" w:rsidP="00D05CB5">
            <w:pPr>
              <w:spacing w:before="60" w:after="60"/>
              <w:jc w:val="center"/>
              <w:rPr>
                <w:szCs w:val="22"/>
              </w:rPr>
            </w:pPr>
            <w:r w:rsidRPr="00D573E8">
              <w:rPr>
                <w:color w:val="000000"/>
                <w:szCs w:val="22"/>
              </w:rPr>
              <w:t>547,784</w:t>
            </w:r>
          </w:p>
        </w:tc>
        <w:tc>
          <w:tcPr>
            <w:tcW w:w="1304" w:type="dxa"/>
            <w:vAlign w:val="center"/>
          </w:tcPr>
          <w:p w14:paraId="76E26246" w14:textId="77777777" w:rsidR="00D05CB5" w:rsidRPr="00D573E8" w:rsidRDefault="00D05CB5" w:rsidP="00D05CB5">
            <w:pPr>
              <w:spacing w:before="60" w:after="60"/>
              <w:jc w:val="center"/>
              <w:rPr>
                <w:szCs w:val="22"/>
              </w:rPr>
            </w:pPr>
            <w:r w:rsidRPr="00D573E8">
              <w:rPr>
                <w:color w:val="000000"/>
                <w:szCs w:val="22"/>
              </w:rPr>
              <w:t>788</w:t>
            </w:r>
          </w:p>
        </w:tc>
        <w:tc>
          <w:tcPr>
            <w:tcW w:w="1271" w:type="dxa"/>
            <w:vAlign w:val="center"/>
          </w:tcPr>
          <w:p w14:paraId="65E11CA6" w14:textId="77777777" w:rsidR="00D05CB5" w:rsidRPr="00D573E8" w:rsidRDefault="00D05CB5" w:rsidP="00D05CB5">
            <w:pPr>
              <w:spacing w:before="60" w:after="60"/>
              <w:jc w:val="center"/>
              <w:rPr>
                <w:szCs w:val="22"/>
              </w:rPr>
            </w:pPr>
            <w:r w:rsidRPr="00D573E8">
              <w:rPr>
                <w:color w:val="000000"/>
                <w:szCs w:val="22"/>
              </w:rPr>
              <w:t>485,774</w:t>
            </w:r>
          </w:p>
        </w:tc>
        <w:tc>
          <w:tcPr>
            <w:tcW w:w="1304" w:type="dxa"/>
            <w:vAlign w:val="center"/>
          </w:tcPr>
          <w:p w14:paraId="08150B03" w14:textId="77777777" w:rsidR="00D05CB5" w:rsidRPr="00D573E8" w:rsidRDefault="00D05CB5" w:rsidP="00D05CB5">
            <w:pPr>
              <w:spacing w:before="60" w:after="60"/>
              <w:jc w:val="center"/>
              <w:rPr>
                <w:szCs w:val="22"/>
              </w:rPr>
            </w:pPr>
            <w:r w:rsidRPr="00D573E8">
              <w:rPr>
                <w:color w:val="000000"/>
                <w:szCs w:val="22"/>
              </w:rPr>
              <w:t>708</w:t>
            </w:r>
          </w:p>
        </w:tc>
      </w:tr>
      <w:tr w:rsidR="00D05CB5" w:rsidRPr="00D573E8" w14:paraId="2FBCA6A5" w14:textId="77777777" w:rsidTr="00D05CB5">
        <w:tc>
          <w:tcPr>
            <w:tcW w:w="2047" w:type="dxa"/>
            <w:vAlign w:val="bottom"/>
          </w:tcPr>
          <w:p w14:paraId="7A151321" w14:textId="77777777" w:rsidR="00D05CB5" w:rsidRPr="00D573E8" w:rsidRDefault="00D05CB5" w:rsidP="00D05CB5">
            <w:pPr>
              <w:spacing w:before="60" w:after="60"/>
              <w:jc w:val="left"/>
              <w:rPr>
                <w:szCs w:val="22"/>
              </w:rPr>
            </w:pPr>
            <w:r w:rsidRPr="00D573E8">
              <w:rPr>
                <w:color w:val="000000"/>
                <w:szCs w:val="22"/>
              </w:rPr>
              <w:t>HFC-32</w:t>
            </w:r>
          </w:p>
        </w:tc>
        <w:tc>
          <w:tcPr>
            <w:tcW w:w="1270" w:type="dxa"/>
            <w:vAlign w:val="center"/>
          </w:tcPr>
          <w:p w14:paraId="158BC616" w14:textId="77777777" w:rsidR="00D05CB5" w:rsidRPr="00D573E8" w:rsidRDefault="00D05CB5" w:rsidP="00D05CB5">
            <w:pPr>
              <w:spacing w:before="60" w:after="60"/>
              <w:jc w:val="center"/>
              <w:rPr>
                <w:szCs w:val="22"/>
              </w:rPr>
            </w:pPr>
            <w:r w:rsidRPr="00D573E8">
              <w:rPr>
                <w:color w:val="000000"/>
                <w:szCs w:val="22"/>
              </w:rPr>
              <w:t>154,913</w:t>
            </w:r>
          </w:p>
        </w:tc>
        <w:tc>
          <w:tcPr>
            <w:tcW w:w="1278" w:type="dxa"/>
            <w:vAlign w:val="center"/>
          </w:tcPr>
          <w:p w14:paraId="2E3AFF74" w14:textId="77777777" w:rsidR="00D05CB5" w:rsidRPr="00D573E8" w:rsidRDefault="00D05CB5" w:rsidP="00D05CB5">
            <w:pPr>
              <w:spacing w:before="60" w:after="60"/>
              <w:jc w:val="center"/>
              <w:rPr>
                <w:szCs w:val="22"/>
              </w:rPr>
            </w:pPr>
            <w:r w:rsidRPr="00D573E8">
              <w:rPr>
                <w:color w:val="000000"/>
                <w:szCs w:val="22"/>
              </w:rPr>
              <w:t>168</w:t>
            </w:r>
          </w:p>
        </w:tc>
        <w:tc>
          <w:tcPr>
            <w:tcW w:w="1272" w:type="dxa"/>
            <w:vAlign w:val="center"/>
          </w:tcPr>
          <w:p w14:paraId="2866C73B" w14:textId="77777777" w:rsidR="00D05CB5" w:rsidRPr="00D573E8" w:rsidRDefault="00D05CB5" w:rsidP="00D05CB5">
            <w:pPr>
              <w:spacing w:before="60" w:after="60"/>
              <w:jc w:val="center"/>
              <w:rPr>
                <w:szCs w:val="22"/>
              </w:rPr>
            </w:pPr>
            <w:r w:rsidRPr="00D573E8">
              <w:rPr>
                <w:color w:val="000000"/>
                <w:szCs w:val="22"/>
              </w:rPr>
              <w:t>270,704</w:t>
            </w:r>
          </w:p>
        </w:tc>
        <w:tc>
          <w:tcPr>
            <w:tcW w:w="1304" w:type="dxa"/>
            <w:vAlign w:val="center"/>
          </w:tcPr>
          <w:p w14:paraId="09F5DDDB" w14:textId="77777777" w:rsidR="00D05CB5" w:rsidRPr="00D573E8" w:rsidRDefault="00D05CB5" w:rsidP="00D05CB5">
            <w:pPr>
              <w:spacing w:before="60" w:after="60"/>
              <w:jc w:val="center"/>
              <w:rPr>
                <w:szCs w:val="22"/>
              </w:rPr>
            </w:pPr>
            <w:r w:rsidRPr="00D573E8">
              <w:rPr>
                <w:color w:val="000000"/>
                <w:szCs w:val="22"/>
              </w:rPr>
              <w:t>314</w:t>
            </w:r>
          </w:p>
        </w:tc>
        <w:tc>
          <w:tcPr>
            <w:tcW w:w="1271" w:type="dxa"/>
            <w:vAlign w:val="center"/>
          </w:tcPr>
          <w:p w14:paraId="384CCF9C" w14:textId="77777777" w:rsidR="00D05CB5" w:rsidRPr="00D573E8" w:rsidRDefault="00D05CB5" w:rsidP="00D05CB5">
            <w:pPr>
              <w:spacing w:before="60" w:after="60"/>
              <w:jc w:val="center"/>
              <w:rPr>
                <w:szCs w:val="22"/>
              </w:rPr>
            </w:pPr>
            <w:r w:rsidRPr="00D573E8">
              <w:rPr>
                <w:color w:val="000000"/>
                <w:szCs w:val="22"/>
              </w:rPr>
              <w:t>348,333</w:t>
            </w:r>
          </w:p>
        </w:tc>
        <w:tc>
          <w:tcPr>
            <w:tcW w:w="1304" w:type="dxa"/>
            <w:vAlign w:val="center"/>
          </w:tcPr>
          <w:p w14:paraId="75C55E39" w14:textId="77777777" w:rsidR="00D05CB5" w:rsidRPr="00D573E8" w:rsidRDefault="00D05CB5" w:rsidP="00D05CB5">
            <w:pPr>
              <w:spacing w:before="60" w:after="60"/>
              <w:jc w:val="center"/>
              <w:rPr>
                <w:szCs w:val="22"/>
              </w:rPr>
            </w:pPr>
            <w:r w:rsidRPr="00D573E8">
              <w:rPr>
                <w:color w:val="000000"/>
                <w:szCs w:val="22"/>
              </w:rPr>
              <w:t>412</w:t>
            </w:r>
          </w:p>
        </w:tc>
      </w:tr>
      <w:tr w:rsidR="00D05CB5" w:rsidRPr="00D573E8" w14:paraId="7E308463" w14:textId="77777777" w:rsidTr="00D05CB5">
        <w:tc>
          <w:tcPr>
            <w:tcW w:w="2047" w:type="dxa"/>
            <w:vAlign w:val="bottom"/>
          </w:tcPr>
          <w:p w14:paraId="7351DE2E" w14:textId="77777777" w:rsidR="00D05CB5" w:rsidRPr="00D573E8" w:rsidRDefault="00D05CB5" w:rsidP="00D05CB5">
            <w:pPr>
              <w:spacing w:before="60" w:after="60"/>
              <w:jc w:val="left"/>
              <w:rPr>
                <w:color w:val="000000"/>
                <w:szCs w:val="22"/>
              </w:rPr>
            </w:pPr>
            <w:r w:rsidRPr="00D573E8">
              <w:rPr>
                <w:color w:val="000000"/>
                <w:szCs w:val="22"/>
              </w:rPr>
              <w:t>Total</w:t>
            </w:r>
          </w:p>
        </w:tc>
        <w:tc>
          <w:tcPr>
            <w:tcW w:w="1270" w:type="dxa"/>
            <w:vAlign w:val="center"/>
          </w:tcPr>
          <w:p w14:paraId="26C58D8A" w14:textId="77777777" w:rsidR="00D05CB5" w:rsidRPr="00D573E8" w:rsidRDefault="00D05CB5" w:rsidP="00D05CB5">
            <w:pPr>
              <w:spacing w:before="60" w:after="60"/>
              <w:jc w:val="center"/>
              <w:rPr>
                <w:color w:val="000000"/>
                <w:szCs w:val="22"/>
              </w:rPr>
            </w:pPr>
            <w:r w:rsidRPr="00D573E8">
              <w:rPr>
                <w:color w:val="000000"/>
                <w:szCs w:val="22"/>
              </w:rPr>
              <w:t>702,436</w:t>
            </w:r>
          </w:p>
        </w:tc>
        <w:tc>
          <w:tcPr>
            <w:tcW w:w="1278" w:type="dxa"/>
            <w:vAlign w:val="center"/>
          </w:tcPr>
          <w:p w14:paraId="03D3A04F" w14:textId="77777777" w:rsidR="00D05CB5" w:rsidRPr="00D573E8" w:rsidRDefault="00D05CB5" w:rsidP="00D05CB5">
            <w:pPr>
              <w:spacing w:before="60" w:after="60"/>
              <w:jc w:val="center"/>
              <w:rPr>
                <w:color w:val="000000"/>
                <w:szCs w:val="22"/>
              </w:rPr>
            </w:pPr>
            <w:r w:rsidRPr="00D573E8">
              <w:rPr>
                <w:color w:val="000000"/>
                <w:szCs w:val="22"/>
              </w:rPr>
              <w:t>964</w:t>
            </w:r>
          </w:p>
        </w:tc>
        <w:tc>
          <w:tcPr>
            <w:tcW w:w="1272" w:type="dxa"/>
            <w:vAlign w:val="center"/>
          </w:tcPr>
          <w:p w14:paraId="68B99A83" w14:textId="77777777" w:rsidR="00D05CB5" w:rsidRPr="00D573E8" w:rsidRDefault="00D05CB5" w:rsidP="00D05CB5">
            <w:pPr>
              <w:spacing w:before="60" w:after="60"/>
              <w:jc w:val="center"/>
              <w:rPr>
                <w:color w:val="000000"/>
                <w:szCs w:val="22"/>
              </w:rPr>
            </w:pPr>
            <w:r w:rsidRPr="00D573E8">
              <w:rPr>
                <w:color w:val="000000"/>
                <w:szCs w:val="22"/>
              </w:rPr>
              <w:t>818,488</w:t>
            </w:r>
          </w:p>
        </w:tc>
        <w:tc>
          <w:tcPr>
            <w:tcW w:w="1304" w:type="dxa"/>
            <w:vAlign w:val="center"/>
          </w:tcPr>
          <w:p w14:paraId="33698D0D" w14:textId="77777777" w:rsidR="00D05CB5" w:rsidRPr="00D573E8" w:rsidRDefault="00D05CB5" w:rsidP="00D05CB5">
            <w:pPr>
              <w:spacing w:before="60" w:after="60"/>
              <w:jc w:val="center"/>
              <w:rPr>
                <w:color w:val="000000"/>
                <w:szCs w:val="22"/>
              </w:rPr>
            </w:pPr>
            <w:r w:rsidRPr="00D573E8">
              <w:rPr>
                <w:color w:val="000000"/>
                <w:szCs w:val="22"/>
              </w:rPr>
              <w:t>1,102</w:t>
            </w:r>
          </w:p>
        </w:tc>
        <w:tc>
          <w:tcPr>
            <w:tcW w:w="1271" w:type="dxa"/>
            <w:vAlign w:val="center"/>
          </w:tcPr>
          <w:p w14:paraId="7354F00E" w14:textId="77777777" w:rsidR="00D05CB5" w:rsidRPr="00D573E8" w:rsidRDefault="00D05CB5" w:rsidP="00D05CB5">
            <w:pPr>
              <w:spacing w:before="60" w:after="60"/>
              <w:jc w:val="center"/>
              <w:rPr>
                <w:color w:val="000000"/>
                <w:szCs w:val="22"/>
              </w:rPr>
            </w:pPr>
            <w:r w:rsidRPr="00D573E8">
              <w:rPr>
                <w:color w:val="000000"/>
                <w:szCs w:val="22"/>
              </w:rPr>
              <w:t>834,107</w:t>
            </w:r>
          </w:p>
        </w:tc>
        <w:tc>
          <w:tcPr>
            <w:tcW w:w="1304" w:type="dxa"/>
            <w:vAlign w:val="center"/>
          </w:tcPr>
          <w:p w14:paraId="1C8A3C1A" w14:textId="77777777" w:rsidR="00D05CB5" w:rsidRPr="00D573E8" w:rsidRDefault="00D05CB5" w:rsidP="00D05CB5">
            <w:pPr>
              <w:spacing w:before="60" w:after="60"/>
              <w:jc w:val="center"/>
              <w:rPr>
                <w:color w:val="000000"/>
                <w:szCs w:val="22"/>
              </w:rPr>
            </w:pPr>
            <w:r w:rsidRPr="00D573E8">
              <w:rPr>
                <w:color w:val="000000"/>
                <w:szCs w:val="22"/>
              </w:rPr>
              <w:t>1,120</w:t>
            </w:r>
          </w:p>
        </w:tc>
      </w:tr>
      <w:tr w:rsidR="00D05CB5" w:rsidRPr="00D573E8" w14:paraId="45818EFB" w14:textId="77777777" w:rsidTr="00D05CB5">
        <w:tc>
          <w:tcPr>
            <w:tcW w:w="2047" w:type="dxa"/>
            <w:vAlign w:val="bottom"/>
          </w:tcPr>
          <w:p w14:paraId="2653CD17" w14:textId="77777777" w:rsidR="00D05CB5" w:rsidRPr="00D573E8" w:rsidRDefault="00D05CB5" w:rsidP="00D05CB5">
            <w:pPr>
              <w:spacing w:before="60" w:after="60"/>
              <w:jc w:val="left"/>
              <w:rPr>
                <w:szCs w:val="22"/>
              </w:rPr>
            </w:pPr>
            <w:r w:rsidRPr="00D573E8">
              <w:rPr>
                <w:color w:val="000000"/>
                <w:szCs w:val="22"/>
              </w:rPr>
              <w:t>Proportion HFC-32</w:t>
            </w:r>
          </w:p>
        </w:tc>
        <w:tc>
          <w:tcPr>
            <w:tcW w:w="1270" w:type="dxa"/>
            <w:vAlign w:val="bottom"/>
          </w:tcPr>
          <w:p w14:paraId="77EFC065" w14:textId="77777777" w:rsidR="00D05CB5" w:rsidRPr="00F61FD3" w:rsidRDefault="00D05CB5" w:rsidP="00D05CB5">
            <w:pPr>
              <w:spacing w:before="60" w:after="60"/>
              <w:jc w:val="center"/>
              <w:rPr>
                <w:szCs w:val="22"/>
              </w:rPr>
            </w:pPr>
            <w:r w:rsidRPr="00F61FD3">
              <w:rPr>
                <w:color w:val="000000"/>
              </w:rPr>
              <w:t>22%</w:t>
            </w:r>
          </w:p>
        </w:tc>
        <w:tc>
          <w:tcPr>
            <w:tcW w:w="1278" w:type="dxa"/>
            <w:vAlign w:val="bottom"/>
          </w:tcPr>
          <w:p w14:paraId="43B4E91D" w14:textId="77777777" w:rsidR="00D05CB5" w:rsidRPr="00F61FD3" w:rsidRDefault="00D05CB5" w:rsidP="00D05CB5">
            <w:pPr>
              <w:spacing w:before="60" w:after="60"/>
              <w:jc w:val="center"/>
              <w:rPr>
                <w:szCs w:val="22"/>
              </w:rPr>
            </w:pPr>
            <w:r w:rsidRPr="00F61FD3">
              <w:rPr>
                <w:color w:val="000000"/>
              </w:rPr>
              <w:t>17%</w:t>
            </w:r>
          </w:p>
        </w:tc>
        <w:tc>
          <w:tcPr>
            <w:tcW w:w="1272" w:type="dxa"/>
            <w:vAlign w:val="bottom"/>
          </w:tcPr>
          <w:p w14:paraId="0E5FD248" w14:textId="77777777" w:rsidR="00D05CB5" w:rsidRPr="00F61FD3" w:rsidRDefault="00D05CB5" w:rsidP="00D05CB5">
            <w:pPr>
              <w:spacing w:before="60" w:after="60"/>
              <w:jc w:val="center"/>
              <w:rPr>
                <w:szCs w:val="22"/>
              </w:rPr>
            </w:pPr>
            <w:r w:rsidRPr="00F61FD3">
              <w:rPr>
                <w:color w:val="000000"/>
              </w:rPr>
              <w:t>33%</w:t>
            </w:r>
          </w:p>
        </w:tc>
        <w:tc>
          <w:tcPr>
            <w:tcW w:w="1304" w:type="dxa"/>
            <w:vAlign w:val="bottom"/>
          </w:tcPr>
          <w:p w14:paraId="0D12D858" w14:textId="77777777" w:rsidR="00D05CB5" w:rsidRPr="00F61FD3" w:rsidRDefault="00D05CB5" w:rsidP="00D05CB5">
            <w:pPr>
              <w:spacing w:before="60" w:after="60"/>
              <w:jc w:val="center"/>
              <w:rPr>
                <w:szCs w:val="22"/>
              </w:rPr>
            </w:pPr>
            <w:r w:rsidRPr="00F61FD3">
              <w:rPr>
                <w:color w:val="000000"/>
              </w:rPr>
              <w:t>28%</w:t>
            </w:r>
          </w:p>
        </w:tc>
        <w:tc>
          <w:tcPr>
            <w:tcW w:w="1271" w:type="dxa"/>
            <w:vAlign w:val="bottom"/>
          </w:tcPr>
          <w:p w14:paraId="270266B0" w14:textId="77777777" w:rsidR="00D05CB5" w:rsidRPr="00F61FD3" w:rsidRDefault="00D05CB5" w:rsidP="00D05CB5">
            <w:pPr>
              <w:spacing w:before="60" w:after="60"/>
              <w:jc w:val="center"/>
              <w:rPr>
                <w:szCs w:val="22"/>
              </w:rPr>
            </w:pPr>
            <w:r w:rsidRPr="00F61FD3">
              <w:rPr>
                <w:color w:val="000000"/>
              </w:rPr>
              <w:t>42%</w:t>
            </w:r>
          </w:p>
        </w:tc>
        <w:tc>
          <w:tcPr>
            <w:tcW w:w="1304" w:type="dxa"/>
            <w:vAlign w:val="bottom"/>
          </w:tcPr>
          <w:p w14:paraId="222A22B0" w14:textId="77777777" w:rsidR="00D05CB5" w:rsidRPr="00F61FD3" w:rsidRDefault="00D05CB5" w:rsidP="00D05CB5">
            <w:pPr>
              <w:spacing w:before="60" w:after="60"/>
              <w:jc w:val="center"/>
              <w:rPr>
                <w:szCs w:val="22"/>
              </w:rPr>
            </w:pPr>
            <w:r w:rsidRPr="00F61FD3">
              <w:rPr>
                <w:color w:val="000000"/>
              </w:rPr>
              <w:t>37%</w:t>
            </w:r>
          </w:p>
        </w:tc>
      </w:tr>
    </w:tbl>
    <w:p w14:paraId="2AA17DFD" w14:textId="77777777" w:rsidR="00203A75" w:rsidRDefault="00203A75" w:rsidP="00D42C7D">
      <w:pPr>
        <w:rPr>
          <w:szCs w:val="22"/>
        </w:rPr>
      </w:pPr>
    </w:p>
    <w:p w14:paraId="3702B0D1" w14:textId="4A0E046F" w:rsidR="00D42C7D" w:rsidRDefault="00D42C7D" w:rsidP="00D42C7D">
      <w:pPr>
        <w:rPr>
          <w:szCs w:val="22"/>
        </w:rPr>
      </w:pPr>
      <w:r w:rsidRPr="00D573E8">
        <w:rPr>
          <w:szCs w:val="22"/>
        </w:rPr>
        <w:t xml:space="preserve">Filtering </w:t>
      </w:r>
      <w:r>
        <w:rPr>
          <w:szCs w:val="22"/>
        </w:rPr>
        <w:t xml:space="preserve">out equipment from this data with charges </w:t>
      </w:r>
      <w:r w:rsidRPr="00D573E8">
        <w:rPr>
          <w:szCs w:val="22"/>
        </w:rPr>
        <w:t>less than 800 grams</w:t>
      </w:r>
      <w:r>
        <w:rPr>
          <w:szCs w:val="22"/>
        </w:rPr>
        <w:t>,</w:t>
      </w:r>
      <w:r w:rsidRPr="00D573E8">
        <w:rPr>
          <w:szCs w:val="22"/>
        </w:rPr>
        <w:t xml:space="preserve"> and greater than 2,600 </w:t>
      </w:r>
      <w:r>
        <w:rPr>
          <w:szCs w:val="22"/>
        </w:rPr>
        <w:t xml:space="preserve">grams </w:t>
      </w:r>
      <w:r w:rsidRPr="00D573E8">
        <w:rPr>
          <w:szCs w:val="22"/>
        </w:rPr>
        <w:t xml:space="preserve">spotlights the very large majority of </w:t>
      </w:r>
      <w:r w:rsidRPr="00313B1E">
        <w:rPr>
          <w:szCs w:val="22"/>
        </w:rPr>
        <w:t>non-ducted split systems</w:t>
      </w:r>
      <w:r>
        <w:rPr>
          <w:szCs w:val="22"/>
        </w:rPr>
        <w:t xml:space="preserve"> in the Small AC sales mix.</w:t>
      </w:r>
      <w:r w:rsidRPr="00D573E8">
        <w:rPr>
          <w:szCs w:val="22"/>
        </w:rPr>
        <w:t xml:space="preserve"> The </w:t>
      </w:r>
      <w:r>
        <w:rPr>
          <w:szCs w:val="22"/>
        </w:rPr>
        <w:t xml:space="preserve">data </w:t>
      </w:r>
      <w:r w:rsidRPr="00D573E8">
        <w:rPr>
          <w:szCs w:val="22"/>
        </w:rPr>
        <w:t>filtering excludes the majority of portable AC and window wall units</w:t>
      </w:r>
      <w:r>
        <w:rPr>
          <w:szCs w:val="22"/>
        </w:rPr>
        <w:t xml:space="preserve"> that are typically under 800 grams</w:t>
      </w:r>
      <w:r w:rsidRPr="00D573E8">
        <w:rPr>
          <w:szCs w:val="22"/>
        </w:rPr>
        <w:t xml:space="preserve"> and </w:t>
      </w:r>
      <w:r>
        <w:rPr>
          <w:szCs w:val="22"/>
        </w:rPr>
        <w:t xml:space="preserve">the majority of </w:t>
      </w:r>
      <w:r w:rsidRPr="00D573E8">
        <w:rPr>
          <w:szCs w:val="22"/>
        </w:rPr>
        <w:t>ducted systems</w:t>
      </w:r>
      <w:r>
        <w:rPr>
          <w:szCs w:val="22"/>
        </w:rPr>
        <w:t xml:space="preserve"> which generally have charges larger than 2,600 grams</w:t>
      </w:r>
      <w:r w:rsidR="00CC3384">
        <w:rPr>
          <w:szCs w:val="22"/>
        </w:rPr>
        <w:t>. These larger units</w:t>
      </w:r>
      <w:r>
        <w:rPr>
          <w:szCs w:val="22"/>
        </w:rPr>
        <w:t xml:space="preserve"> </w:t>
      </w:r>
      <w:r w:rsidR="00CC3384">
        <w:rPr>
          <w:szCs w:val="22"/>
        </w:rPr>
        <w:t>are</w:t>
      </w:r>
      <w:r>
        <w:rPr>
          <w:szCs w:val="22"/>
        </w:rPr>
        <w:t xml:space="preserve"> mo</w:t>
      </w:r>
      <w:r w:rsidR="00CC3384">
        <w:rPr>
          <w:szCs w:val="22"/>
        </w:rPr>
        <w:t>st</w:t>
      </w:r>
      <w:r>
        <w:rPr>
          <w:szCs w:val="22"/>
        </w:rPr>
        <w:t xml:space="preserve"> likely to be charged with HFC-410A</w:t>
      </w:r>
      <w:r w:rsidRPr="00D573E8">
        <w:rPr>
          <w:szCs w:val="22"/>
        </w:rPr>
        <w:t>.</w:t>
      </w:r>
    </w:p>
    <w:p w14:paraId="7D462115" w14:textId="2758E531" w:rsidR="00D42C7D" w:rsidRDefault="009F5EAE" w:rsidP="00D42C7D">
      <w:pPr>
        <w:rPr>
          <w:szCs w:val="22"/>
        </w:rPr>
      </w:pPr>
      <w:r>
        <w:rPr>
          <w:szCs w:val="22"/>
        </w:rPr>
        <w:t>H</w:t>
      </w:r>
      <w:r w:rsidRPr="00D573E8">
        <w:rPr>
          <w:szCs w:val="22"/>
        </w:rPr>
        <w:t>owever,</w:t>
      </w:r>
      <w:r w:rsidR="00D42C7D" w:rsidRPr="00D573E8">
        <w:rPr>
          <w:szCs w:val="22"/>
        </w:rPr>
        <w:t xml:space="preserve"> there are some </w:t>
      </w:r>
      <w:r w:rsidR="00D42C7D">
        <w:rPr>
          <w:szCs w:val="22"/>
        </w:rPr>
        <w:t>exceptions of small AC that fall outside these bounds.</w:t>
      </w:r>
      <w:r w:rsidR="00D42C7D" w:rsidRPr="00D573E8">
        <w:rPr>
          <w:szCs w:val="22"/>
        </w:rPr>
        <w:t xml:space="preserve"> </w:t>
      </w:r>
    </w:p>
    <w:p w14:paraId="067016B2" w14:textId="77777777" w:rsidR="00D42C7D" w:rsidRDefault="00D42C7D" w:rsidP="00D42C7D">
      <w:pPr>
        <w:rPr>
          <w:szCs w:val="22"/>
        </w:rPr>
      </w:pPr>
      <w:r w:rsidRPr="00D573E8">
        <w:rPr>
          <w:szCs w:val="22"/>
        </w:rPr>
        <w:t xml:space="preserve">For example, </w:t>
      </w:r>
      <w:r>
        <w:rPr>
          <w:szCs w:val="22"/>
        </w:rPr>
        <w:t xml:space="preserve">the current model </w:t>
      </w:r>
      <w:r w:rsidRPr="00D573E8">
        <w:rPr>
          <w:szCs w:val="22"/>
        </w:rPr>
        <w:t>2.0 kW</w:t>
      </w:r>
      <w:r>
        <w:rPr>
          <w:szCs w:val="22"/>
        </w:rPr>
        <w:t>r</w:t>
      </w:r>
      <w:r w:rsidRPr="00D573E8">
        <w:rPr>
          <w:szCs w:val="22"/>
        </w:rPr>
        <w:t xml:space="preserve"> Daikin wall hung split system</w:t>
      </w:r>
      <w:r>
        <w:rPr>
          <w:szCs w:val="22"/>
        </w:rPr>
        <w:t xml:space="preserve"> (the smallest model they produce in this format)</w:t>
      </w:r>
      <w:r w:rsidRPr="00D573E8">
        <w:rPr>
          <w:szCs w:val="22"/>
        </w:rPr>
        <w:t xml:space="preserve"> contains </w:t>
      </w:r>
      <w:r>
        <w:rPr>
          <w:szCs w:val="22"/>
        </w:rPr>
        <w:t xml:space="preserve">only </w:t>
      </w:r>
      <w:r w:rsidRPr="00D573E8">
        <w:rPr>
          <w:szCs w:val="22"/>
        </w:rPr>
        <w:t>600 grams of HFC-32</w:t>
      </w:r>
      <w:r>
        <w:rPr>
          <w:szCs w:val="22"/>
        </w:rPr>
        <w:t>,</w:t>
      </w:r>
      <w:r w:rsidRPr="00D573E8">
        <w:rPr>
          <w:szCs w:val="22"/>
        </w:rPr>
        <w:t xml:space="preserve"> whereas the 2.5 kW</w:t>
      </w:r>
      <w:r>
        <w:rPr>
          <w:szCs w:val="22"/>
        </w:rPr>
        <w:t>r</w:t>
      </w:r>
      <w:r w:rsidRPr="00D573E8">
        <w:rPr>
          <w:szCs w:val="22"/>
        </w:rPr>
        <w:t xml:space="preserve"> model contains 900 grams. In addition, the largest capacity HFC-32 product on the market is </w:t>
      </w:r>
      <w:r>
        <w:rPr>
          <w:szCs w:val="22"/>
        </w:rPr>
        <w:t xml:space="preserve">the </w:t>
      </w:r>
      <w:r w:rsidRPr="00D573E8">
        <w:rPr>
          <w:szCs w:val="22"/>
        </w:rPr>
        <w:t xml:space="preserve">Fujitsu AOTG54KBTA, </w:t>
      </w:r>
      <w:r>
        <w:rPr>
          <w:szCs w:val="22"/>
        </w:rPr>
        <w:t xml:space="preserve">delivering </w:t>
      </w:r>
      <w:r w:rsidRPr="00D573E8">
        <w:rPr>
          <w:szCs w:val="22"/>
        </w:rPr>
        <w:t xml:space="preserve">13.0 kW cooling, </w:t>
      </w:r>
      <w:r>
        <w:rPr>
          <w:szCs w:val="22"/>
        </w:rPr>
        <w:t xml:space="preserve">and </w:t>
      </w:r>
      <w:r w:rsidRPr="00D573E8">
        <w:rPr>
          <w:szCs w:val="22"/>
        </w:rPr>
        <w:t xml:space="preserve">16.0 kW heating </w:t>
      </w:r>
      <w:r>
        <w:rPr>
          <w:szCs w:val="22"/>
        </w:rPr>
        <w:t xml:space="preserve">from a ceiling mounted </w:t>
      </w:r>
      <w:r w:rsidRPr="00D573E8">
        <w:rPr>
          <w:szCs w:val="22"/>
        </w:rPr>
        <w:t xml:space="preserve">cassette unit with a charge of 2,700 grams. </w:t>
      </w:r>
    </w:p>
    <w:p w14:paraId="15236C14" w14:textId="6B142FEB" w:rsidR="00D42C7D" w:rsidRPr="00D573E8" w:rsidRDefault="00D42C7D" w:rsidP="00D42C7D">
      <w:pPr>
        <w:rPr>
          <w:szCs w:val="22"/>
        </w:rPr>
      </w:pPr>
      <w:r w:rsidRPr="00FD7E54">
        <w:rPr>
          <w:szCs w:val="22"/>
        </w:rPr>
        <w:t>This data</w:t>
      </w:r>
      <w:r>
        <w:rPr>
          <w:szCs w:val="22"/>
        </w:rPr>
        <w:t>set</w:t>
      </w:r>
      <w:r w:rsidRPr="00FD7E54">
        <w:rPr>
          <w:szCs w:val="22"/>
        </w:rPr>
        <w:t xml:space="preserve"> </w:t>
      </w:r>
      <w:r>
        <w:rPr>
          <w:szCs w:val="22"/>
        </w:rPr>
        <w:t xml:space="preserve">does capture </w:t>
      </w:r>
      <w:r w:rsidRPr="00FD7E54">
        <w:rPr>
          <w:szCs w:val="22"/>
        </w:rPr>
        <w:t xml:space="preserve">some smaller multi-split systems, for example </w:t>
      </w:r>
      <w:r>
        <w:rPr>
          <w:szCs w:val="22"/>
        </w:rPr>
        <w:t xml:space="preserve">the </w:t>
      </w:r>
      <w:r w:rsidRPr="00FD7E54">
        <w:rPr>
          <w:szCs w:val="22"/>
        </w:rPr>
        <w:t xml:space="preserve">Fujitsu 2 or 3 </w:t>
      </w:r>
      <w:r>
        <w:rPr>
          <w:szCs w:val="22"/>
        </w:rPr>
        <w:t xml:space="preserve">head </w:t>
      </w:r>
      <w:r w:rsidRPr="00FD7E54">
        <w:rPr>
          <w:szCs w:val="22"/>
        </w:rPr>
        <w:t>multi split system</w:t>
      </w:r>
      <w:r>
        <w:rPr>
          <w:szCs w:val="22"/>
        </w:rPr>
        <w:t>s</w:t>
      </w:r>
      <w:r w:rsidRPr="00FD7E54">
        <w:rPr>
          <w:szCs w:val="22"/>
        </w:rPr>
        <w:t xml:space="preserve"> (model AOTG24, 6.8 kW cool/8.0 kW heat) </w:t>
      </w:r>
      <w:r w:rsidR="00FE74F2" w:rsidRPr="00FD7E54">
        <w:rPr>
          <w:szCs w:val="22"/>
        </w:rPr>
        <w:t>contain</w:t>
      </w:r>
      <w:r w:rsidR="00CC3384">
        <w:rPr>
          <w:szCs w:val="22"/>
        </w:rPr>
        <w:t>ing</w:t>
      </w:r>
      <w:r w:rsidRPr="00FD7E54">
        <w:rPr>
          <w:szCs w:val="22"/>
        </w:rPr>
        <w:t xml:space="preserve"> 2,200 grams of HFC-410A, whereas the 3 or 4 </w:t>
      </w:r>
      <w:r>
        <w:rPr>
          <w:szCs w:val="22"/>
        </w:rPr>
        <w:t xml:space="preserve">head </w:t>
      </w:r>
      <w:r w:rsidRPr="00FD7E54">
        <w:rPr>
          <w:szCs w:val="22"/>
        </w:rPr>
        <w:t>multi split system (model AOTG30, 8.0 kW cool/9.6 kW heat) contains 2,800 grams.</w:t>
      </w:r>
    </w:p>
    <w:p w14:paraId="3A23B28E" w14:textId="5A482D8A" w:rsidR="00D42C7D" w:rsidRPr="001E6117" w:rsidRDefault="00D42C7D" w:rsidP="00D42C7D">
      <w:pPr>
        <w:rPr>
          <w:szCs w:val="22"/>
        </w:rPr>
      </w:pPr>
      <w:r w:rsidRPr="001E6117">
        <w:rPr>
          <w:szCs w:val="22"/>
        </w:rPr>
        <w:t xml:space="preserve">There has been significant growth in </w:t>
      </w:r>
      <w:r>
        <w:rPr>
          <w:szCs w:val="22"/>
        </w:rPr>
        <w:t xml:space="preserve">single split </w:t>
      </w:r>
      <w:r w:rsidRPr="001E6117">
        <w:rPr>
          <w:szCs w:val="22"/>
        </w:rPr>
        <w:t xml:space="preserve">ducted systems (included in above numbers) increasing from around 110,000 in 2012 to 197,000 in 2017. Some of the growth has come from compact bulk head units </w:t>
      </w:r>
      <w:r w:rsidR="00301CC6" w:rsidRPr="001E6117">
        <w:rPr>
          <w:szCs w:val="22"/>
        </w:rPr>
        <w:t>below 10 kWr</w:t>
      </w:r>
      <w:r w:rsidR="00301CC6">
        <w:rPr>
          <w:szCs w:val="22"/>
        </w:rPr>
        <w:t>,</w:t>
      </w:r>
      <w:r w:rsidR="00301CC6" w:rsidRPr="001E6117">
        <w:rPr>
          <w:szCs w:val="22"/>
        </w:rPr>
        <w:t xml:space="preserve"> </w:t>
      </w:r>
      <w:r w:rsidRPr="001E6117">
        <w:rPr>
          <w:szCs w:val="22"/>
        </w:rPr>
        <w:t>comprising 32% of sales by quantity in 2017</w:t>
      </w:r>
      <w:r w:rsidR="00301CC6">
        <w:rPr>
          <w:szCs w:val="22"/>
        </w:rPr>
        <w:t>,</w:t>
      </w:r>
      <w:r w:rsidRPr="001E6117">
        <w:rPr>
          <w:szCs w:val="22"/>
        </w:rPr>
        <w:t xml:space="preserve"> versus 25% in 2012.</w:t>
      </w:r>
    </w:p>
    <w:p w14:paraId="0685B83F" w14:textId="695CDDED" w:rsidR="00D42C7D" w:rsidRPr="001E6117" w:rsidRDefault="00D42C7D" w:rsidP="00D42C7D">
      <w:pPr>
        <w:rPr>
          <w:szCs w:val="22"/>
        </w:rPr>
      </w:pPr>
      <w:r>
        <w:rPr>
          <w:szCs w:val="22"/>
        </w:rPr>
        <w:t>M</w:t>
      </w:r>
      <w:r w:rsidRPr="001E6117">
        <w:rPr>
          <w:szCs w:val="22"/>
        </w:rPr>
        <w:t xml:space="preserve">ulti head split system (excluding VRV/F) sales have grown, from around 23,000 in 2012 and 2013 to </w:t>
      </w:r>
      <w:r>
        <w:rPr>
          <w:szCs w:val="22"/>
        </w:rPr>
        <w:t xml:space="preserve">around </w:t>
      </w:r>
      <w:r w:rsidRPr="001E6117">
        <w:rPr>
          <w:szCs w:val="22"/>
        </w:rPr>
        <w:t xml:space="preserve">40,000 </w:t>
      </w:r>
      <w:r>
        <w:rPr>
          <w:szCs w:val="22"/>
        </w:rPr>
        <w:t xml:space="preserve">in </w:t>
      </w:r>
      <w:r w:rsidRPr="001E6117">
        <w:rPr>
          <w:szCs w:val="22"/>
        </w:rPr>
        <w:t xml:space="preserve">2017. The ratio of indoor units to outdoor units sold is slowly increasing from a ratio of 1.03 in 2012 to 1.06 in 2017 as </w:t>
      </w:r>
      <w:r w:rsidR="00301CC6">
        <w:rPr>
          <w:szCs w:val="22"/>
        </w:rPr>
        <w:t xml:space="preserve">the range of applications for </w:t>
      </w:r>
      <w:r w:rsidRPr="001E6117">
        <w:rPr>
          <w:szCs w:val="22"/>
        </w:rPr>
        <w:t>multi-head units grows.</w:t>
      </w:r>
    </w:p>
    <w:p w14:paraId="34B94BF0" w14:textId="0343B7E5" w:rsidR="00B85D06" w:rsidRPr="00B137CC" w:rsidRDefault="00B85D06" w:rsidP="00B85D06">
      <w:pPr>
        <w:rPr>
          <w:szCs w:val="22"/>
        </w:rPr>
      </w:pPr>
      <w:r w:rsidRPr="00A20FCB">
        <w:rPr>
          <w:szCs w:val="22"/>
        </w:rPr>
        <w:t>Australia is largely a ‘technology taker’ of</w:t>
      </w:r>
      <w:r w:rsidRPr="00B137CC">
        <w:rPr>
          <w:szCs w:val="22"/>
        </w:rPr>
        <w:t xml:space="preserve"> air conditioning equipment, driven by product development from overseas manufacturers</w:t>
      </w:r>
      <w:r w:rsidR="00D42C7D">
        <w:rPr>
          <w:szCs w:val="22"/>
        </w:rPr>
        <w:t xml:space="preserve"> and international regulatory regimes</w:t>
      </w:r>
      <w:r w:rsidRPr="00B137CC">
        <w:rPr>
          <w:szCs w:val="22"/>
        </w:rPr>
        <w:t xml:space="preserve">. Trends in the international market are therefore reflected in changes in the Australian stock of equipment and bank of working gases. </w:t>
      </w:r>
    </w:p>
    <w:p w14:paraId="43A2FE32" w14:textId="6A3081ED" w:rsidR="00B85D06" w:rsidRPr="00B137CC" w:rsidRDefault="00CC3384" w:rsidP="00B85D06">
      <w:pPr>
        <w:rPr>
          <w:szCs w:val="22"/>
        </w:rPr>
      </w:pPr>
      <w:r>
        <w:rPr>
          <w:szCs w:val="22"/>
        </w:rPr>
        <w:t xml:space="preserve">In this class, </w:t>
      </w:r>
      <w:r w:rsidR="00B85D06">
        <w:rPr>
          <w:szCs w:val="22"/>
        </w:rPr>
        <w:t>Australia</w:t>
      </w:r>
      <w:r w:rsidR="00B85D06" w:rsidRPr="00B137CC">
        <w:rPr>
          <w:szCs w:val="22"/>
        </w:rPr>
        <w:t xml:space="preserve"> still has a</w:t>
      </w:r>
      <w:r w:rsidR="00252A3E">
        <w:rPr>
          <w:szCs w:val="22"/>
        </w:rPr>
        <w:t xml:space="preserve"> </w:t>
      </w:r>
      <w:r>
        <w:rPr>
          <w:szCs w:val="22"/>
        </w:rPr>
        <w:t xml:space="preserve">declining </w:t>
      </w:r>
      <w:r w:rsidR="00252A3E">
        <w:rPr>
          <w:szCs w:val="22"/>
        </w:rPr>
        <w:t>stock</w:t>
      </w:r>
      <w:r w:rsidR="00B85D06" w:rsidRPr="00B137CC">
        <w:rPr>
          <w:szCs w:val="22"/>
        </w:rPr>
        <w:t xml:space="preserve"> of </w:t>
      </w:r>
      <w:r>
        <w:rPr>
          <w:szCs w:val="22"/>
        </w:rPr>
        <w:t xml:space="preserve">the older </w:t>
      </w:r>
      <w:r w:rsidR="00B85D06" w:rsidRPr="00B137CC">
        <w:rPr>
          <w:szCs w:val="22"/>
        </w:rPr>
        <w:t xml:space="preserve">HCFC charged equipment, and a large </w:t>
      </w:r>
      <w:r>
        <w:rPr>
          <w:szCs w:val="22"/>
        </w:rPr>
        <w:t xml:space="preserve">and rapidly growing </w:t>
      </w:r>
      <w:r w:rsidR="00B85D06" w:rsidRPr="00B137CC">
        <w:rPr>
          <w:szCs w:val="22"/>
        </w:rPr>
        <w:t xml:space="preserve">stock of relatively new HFC charged equipment. The main HFCs employed </w:t>
      </w:r>
      <w:r w:rsidR="00B85D06">
        <w:rPr>
          <w:szCs w:val="22"/>
        </w:rPr>
        <w:t>in stationary AC are</w:t>
      </w:r>
      <w:r w:rsidR="00B85D06" w:rsidRPr="00B137CC">
        <w:rPr>
          <w:szCs w:val="22"/>
        </w:rPr>
        <w:t xml:space="preserve"> HFC-410A, HFC-407C and HFC-134a</w:t>
      </w:r>
      <w:r w:rsidR="00D42C7D">
        <w:rPr>
          <w:szCs w:val="22"/>
        </w:rPr>
        <w:t>. The recently commercialised HFC</w:t>
      </w:r>
      <w:r w:rsidR="00E041BB">
        <w:rPr>
          <w:szCs w:val="22"/>
        </w:rPr>
        <w:noBreakHyphen/>
      </w:r>
      <w:r w:rsidR="00D42C7D">
        <w:rPr>
          <w:szCs w:val="22"/>
        </w:rPr>
        <w:t>32</w:t>
      </w:r>
      <w:r w:rsidR="00B85D06">
        <w:rPr>
          <w:szCs w:val="22"/>
        </w:rPr>
        <w:t xml:space="preserve"> </w:t>
      </w:r>
      <w:r w:rsidR="00D42C7D">
        <w:rPr>
          <w:szCs w:val="22"/>
        </w:rPr>
        <w:t xml:space="preserve">is </w:t>
      </w:r>
      <w:r w:rsidR="00B85D06">
        <w:rPr>
          <w:szCs w:val="22"/>
        </w:rPr>
        <w:t>rapidly emerging</w:t>
      </w:r>
      <w:r w:rsidR="00D42C7D">
        <w:rPr>
          <w:szCs w:val="22"/>
        </w:rPr>
        <w:t xml:space="preserve"> as the fastest growing portion of the bank in the main small AC product categories</w:t>
      </w:r>
      <w:r w:rsidR="00B85D06" w:rsidRPr="00B137CC">
        <w:rPr>
          <w:szCs w:val="22"/>
        </w:rPr>
        <w:t xml:space="preserve">. </w:t>
      </w:r>
    </w:p>
    <w:p w14:paraId="6673DB64" w14:textId="77777777" w:rsidR="00B85D06" w:rsidRPr="00D573E8" w:rsidRDefault="00B85D06" w:rsidP="00B85D06">
      <w:pPr>
        <w:spacing w:before="240"/>
        <w:rPr>
          <w:b/>
          <w:szCs w:val="22"/>
        </w:rPr>
      </w:pPr>
      <w:r>
        <w:rPr>
          <w:b/>
          <w:szCs w:val="22"/>
        </w:rPr>
        <w:t>Small AC t</w:t>
      </w:r>
      <w:r w:rsidRPr="00D573E8">
        <w:rPr>
          <w:b/>
          <w:szCs w:val="22"/>
        </w:rPr>
        <w:t>ransition from HFC-410A to HFC-32</w:t>
      </w:r>
    </w:p>
    <w:p w14:paraId="618C3347" w14:textId="1B2AF4E2" w:rsidR="00301CC6" w:rsidRDefault="00301CC6" w:rsidP="00301CC6">
      <w:pPr>
        <w:rPr>
          <w:szCs w:val="22"/>
          <w:lang w:val="en-AU"/>
        </w:rPr>
      </w:pPr>
      <w:r w:rsidRPr="00D573E8">
        <w:rPr>
          <w:szCs w:val="22"/>
        </w:rPr>
        <w:t xml:space="preserve">Analysis was undertaken of PCE </w:t>
      </w:r>
      <w:r>
        <w:rPr>
          <w:szCs w:val="22"/>
        </w:rPr>
        <w:t xml:space="preserve">imports </w:t>
      </w:r>
      <w:r w:rsidRPr="00D573E8">
        <w:rPr>
          <w:szCs w:val="22"/>
        </w:rPr>
        <w:t xml:space="preserve">to assess the progress of the transition of </w:t>
      </w:r>
      <w:r>
        <w:rPr>
          <w:szCs w:val="22"/>
        </w:rPr>
        <w:t xml:space="preserve">Small </w:t>
      </w:r>
      <w:r w:rsidRPr="00D573E8">
        <w:rPr>
          <w:szCs w:val="22"/>
        </w:rPr>
        <w:t xml:space="preserve">AC from </w:t>
      </w:r>
      <w:r w:rsidR="009F5EAE">
        <w:rPr>
          <w:szCs w:val="22"/>
        </w:rPr>
        <w:t>primarily</w:t>
      </w:r>
      <w:r>
        <w:rPr>
          <w:szCs w:val="22"/>
        </w:rPr>
        <w:t xml:space="preserve"> using </w:t>
      </w:r>
      <w:r w:rsidRPr="00D573E8">
        <w:rPr>
          <w:szCs w:val="22"/>
        </w:rPr>
        <w:t xml:space="preserve">HFC-410A to </w:t>
      </w:r>
      <w:r>
        <w:rPr>
          <w:szCs w:val="22"/>
        </w:rPr>
        <w:t xml:space="preserve">using </w:t>
      </w:r>
      <w:r w:rsidRPr="00D573E8">
        <w:rPr>
          <w:szCs w:val="22"/>
        </w:rPr>
        <w:t xml:space="preserve">HFC-32. </w:t>
      </w:r>
      <w:r w:rsidRPr="00D573E8">
        <w:rPr>
          <w:szCs w:val="22"/>
          <w:lang w:val="en-AU"/>
        </w:rPr>
        <w:t xml:space="preserve">PCE imports for 2014, 2015 and 2016 reported under the </w:t>
      </w:r>
      <w:r w:rsidRPr="00D573E8">
        <w:rPr>
          <w:i/>
          <w:szCs w:val="22"/>
          <w:lang w:val="en-AU"/>
        </w:rPr>
        <w:t>‘Domestic use air conditioning’</w:t>
      </w:r>
      <w:r w:rsidRPr="00D573E8">
        <w:rPr>
          <w:szCs w:val="22"/>
          <w:lang w:val="en-AU"/>
        </w:rPr>
        <w:t xml:space="preserve"> category in the </w:t>
      </w:r>
      <w:r w:rsidR="00F75806">
        <w:rPr>
          <w:szCs w:val="22"/>
          <w:lang w:val="en-AU"/>
        </w:rPr>
        <w:t>Department of the Environment and Energy’s</w:t>
      </w:r>
      <w:r w:rsidR="00F75806" w:rsidRPr="00D573E8">
        <w:rPr>
          <w:szCs w:val="22"/>
          <w:lang w:val="en-AU"/>
        </w:rPr>
        <w:t xml:space="preserve"> </w:t>
      </w:r>
      <w:r w:rsidRPr="00D573E8">
        <w:rPr>
          <w:szCs w:val="22"/>
          <w:lang w:val="en-AU"/>
        </w:rPr>
        <w:t xml:space="preserve">import data, reveals that HFC-32 has been adopted very quickly in non-ducted </w:t>
      </w:r>
      <w:r>
        <w:rPr>
          <w:szCs w:val="22"/>
          <w:lang w:val="en-AU"/>
        </w:rPr>
        <w:t xml:space="preserve">split </w:t>
      </w:r>
      <w:r w:rsidRPr="00D573E8">
        <w:rPr>
          <w:szCs w:val="22"/>
          <w:lang w:val="en-AU"/>
        </w:rPr>
        <w:t xml:space="preserve">systems designed primarily for residential use. </w:t>
      </w:r>
    </w:p>
    <w:p w14:paraId="447D03D0" w14:textId="77777777" w:rsidR="00D42C7D" w:rsidRDefault="00D42C7D" w:rsidP="00D42C7D">
      <w:pPr>
        <w:rPr>
          <w:szCs w:val="22"/>
        </w:rPr>
      </w:pPr>
      <w:r w:rsidRPr="00B137CC">
        <w:rPr>
          <w:szCs w:val="22"/>
        </w:rPr>
        <w:lastRenderedPageBreak/>
        <w:t>Until as recently as 201</w:t>
      </w:r>
      <w:r>
        <w:rPr>
          <w:szCs w:val="22"/>
        </w:rPr>
        <w:t>3</w:t>
      </w:r>
      <w:r w:rsidRPr="00B137CC">
        <w:rPr>
          <w:szCs w:val="22"/>
        </w:rPr>
        <w:t xml:space="preserve"> air conditioning units charged with HFC-410A ha</w:t>
      </w:r>
      <w:r>
        <w:rPr>
          <w:szCs w:val="22"/>
        </w:rPr>
        <w:t>d</w:t>
      </w:r>
      <w:r w:rsidRPr="00B137CC">
        <w:rPr>
          <w:szCs w:val="22"/>
        </w:rPr>
        <w:t xml:space="preserve"> been the fastest growing segment, with </w:t>
      </w:r>
      <w:r>
        <w:rPr>
          <w:szCs w:val="22"/>
        </w:rPr>
        <w:t xml:space="preserve">around </w:t>
      </w:r>
      <w:r w:rsidRPr="00B137CC">
        <w:rPr>
          <w:szCs w:val="22"/>
        </w:rPr>
        <w:t xml:space="preserve">98% of </w:t>
      </w:r>
      <w:r>
        <w:rPr>
          <w:szCs w:val="22"/>
        </w:rPr>
        <w:t xml:space="preserve">small split systems, and </w:t>
      </w:r>
      <w:r w:rsidRPr="00B137CC">
        <w:rPr>
          <w:szCs w:val="22"/>
        </w:rPr>
        <w:t>medium and light commercial air conditioning sales in that year being charged with HFC-410A.</w:t>
      </w:r>
      <w:r>
        <w:rPr>
          <w:szCs w:val="22"/>
        </w:rPr>
        <w:t xml:space="preserve"> In just the last four years, HFC-32 has emerged as the preferred refrigerant employed by manufacturers with a rapidly growing share of the small AC market.</w:t>
      </w:r>
    </w:p>
    <w:p w14:paraId="50957455" w14:textId="00CCE4C2" w:rsidR="00D42C7D" w:rsidRPr="00B137CC" w:rsidRDefault="00D42C7D" w:rsidP="00D42C7D">
      <w:pPr>
        <w:rPr>
          <w:szCs w:val="22"/>
        </w:rPr>
      </w:pPr>
      <w:r w:rsidRPr="001E6117">
        <w:rPr>
          <w:szCs w:val="22"/>
        </w:rPr>
        <w:t xml:space="preserve">The split system market has experienced solid </w:t>
      </w:r>
      <w:r>
        <w:rPr>
          <w:szCs w:val="22"/>
        </w:rPr>
        <w:t>c</w:t>
      </w:r>
      <w:r w:rsidRPr="001E6117">
        <w:rPr>
          <w:szCs w:val="22"/>
        </w:rPr>
        <w:t xml:space="preserve">ompound </w:t>
      </w:r>
      <w:r>
        <w:rPr>
          <w:szCs w:val="22"/>
        </w:rPr>
        <w:t>a</w:t>
      </w:r>
      <w:r w:rsidRPr="001E6117">
        <w:rPr>
          <w:szCs w:val="22"/>
        </w:rPr>
        <w:t xml:space="preserve">nnual </w:t>
      </w:r>
      <w:r>
        <w:rPr>
          <w:szCs w:val="22"/>
        </w:rPr>
        <w:t>g</w:t>
      </w:r>
      <w:r w:rsidRPr="001E6117">
        <w:rPr>
          <w:szCs w:val="22"/>
        </w:rPr>
        <w:t xml:space="preserve">rowth </w:t>
      </w:r>
      <w:r>
        <w:rPr>
          <w:szCs w:val="22"/>
        </w:rPr>
        <w:t>r</w:t>
      </w:r>
      <w:r w:rsidRPr="001E6117">
        <w:rPr>
          <w:szCs w:val="22"/>
        </w:rPr>
        <w:t>ate</w:t>
      </w:r>
      <w:r>
        <w:rPr>
          <w:szCs w:val="22"/>
        </w:rPr>
        <w:t>s</w:t>
      </w:r>
      <w:r w:rsidRPr="001E6117">
        <w:rPr>
          <w:szCs w:val="22"/>
        </w:rPr>
        <w:t xml:space="preserve"> (CAGR) of around 5.5% from 2012 to 2016 with a significant increase in sales of </w:t>
      </w:r>
      <w:r>
        <w:rPr>
          <w:szCs w:val="22"/>
        </w:rPr>
        <w:t xml:space="preserve">HFC-32 charged systems of </w:t>
      </w:r>
      <w:r w:rsidRPr="001E6117">
        <w:rPr>
          <w:szCs w:val="22"/>
        </w:rPr>
        <w:t>more than 30% in 2017 compared to 2016.</w:t>
      </w:r>
    </w:p>
    <w:p w14:paraId="05B4737B" w14:textId="136D14CC" w:rsidR="00B85D06" w:rsidRPr="00D573E8" w:rsidRDefault="00B85D06" w:rsidP="00B85D06">
      <w:pPr>
        <w:rPr>
          <w:szCs w:val="22"/>
        </w:rPr>
      </w:pPr>
      <w:r w:rsidRPr="00D573E8">
        <w:rPr>
          <w:szCs w:val="22"/>
        </w:rPr>
        <w:t xml:space="preserve">By the end of 2016 there </w:t>
      </w:r>
      <w:r>
        <w:rPr>
          <w:szCs w:val="22"/>
        </w:rPr>
        <w:t>had been</w:t>
      </w:r>
      <w:r w:rsidRPr="00D573E8">
        <w:rPr>
          <w:szCs w:val="22"/>
        </w:rPr>
        <w:t xml:space="preserve"> 964,000 air conditioning units</w:t>
      </w:r>
      <w:r w:rsidR="002D7154">
        <w:rPr>
          <w:szCs w:val="22"/>
        </w:rPr>
        <w:t xml:space="preserve"> containing HFC-32 imported</w:t>
      </w:r>
      <w:r>
        <w:rPr>
          <w:szCs w:val="22"/>
        </w:rPr>
        <w:t>, mostly split systems</w:t>
      </w:r>
      <w:r w:rsidR="006514C3">
        <w:rPr>
          <w:szCs w:val="22"/>
        </w:rPr>
        <w:t>,</w:t>
      </w:r>
      <w:r w:rsidRPr="00D573E8">
        <w:rPr>
          <w:szCs w:val="22"/>
        </w:rPr>
        <w:t xml:space="preserve"> </w:t>
      </w:r>
      <w:r>
        <w:rPr>
          <w:szCs w:val="22"/>
        </w:rPr>
        <w:t xml:space="preserve">containing </w:t>
      </w:r>
      <w:r w:rsidR="00E42B39">
        <w:rPr>
          <w:szCs w:val="22"/>
        </w:rPr>
        <w:t xml:space="preserve">a total of </w:t>
      </w:r>
      <w:r w:rsidRPr="00D573E8">
        <w:rPr>
          <w:szCs w:val="22"/>
        </w:rPr>
        <w:t>1,0</w:t>
      </w:r>
      <w:r w:rsidR="00DB316E">
        <w:rPr>
          <w:szCs w:val="22"/>
        </w:rPr>
        <w:t>3</w:t>
      </w:r>
      <w:r w:rsidRPr="00D573E8">
        <w:rPr>
          <w:szCs w:val="22"/>
        </w:rPr>
        <w:t>9 tonnes</w:t>
      </w:r>
      <w:r>
        <w:rPr>
          <w:szCs w:val="22"/>
        </w:rPr>
        <w:t xml:space="preserve"> of</w:t>
      </w:r>
      <w:r w:rsidR="002D7154">
        <w:rPr>
          <w:szCs w:val="22"/>
        </w:rPr>
        <w:t xml:space="preserve"> the refrigerant</w:t>
      </w:r>
      <w:r w:rsidRPr="00D573E8">
        <w:rPr>
          <w:szCs w:val="22"/>
        </w:rPr>
        <w:t xml:space="preserve">. The count </w:t>
      </w:r>
      <w:r>
        <w:rPr>
          <w:szCs w:val="22"/>
        </w:rPr>
        <w:t xml:space="preserve">of HFC-32 charged systems </w:t>
      </w:r>
      <w:r w:rsidRPr="00D573E8">
        <w:rPr>
          <w:szCs w:val="22"/>
        </w:rPr>
        <w:t xml:space="preserve">exceeded one million pieces part way through the first quarter </w:t>
      </w:r>
      <w:r>
        <w:rPr>
          <w:szCs w:val="22"/>
        </w:rPr>
        <w:t xml:space="preserve">of </w:t>
      </w:r>
      <w:r w:rsidRPr="00D573E8">
        <w:rPr>
          <w:szCs w:val="22"/>
        </w:rPr>
        <w:t>2017.</w:t>
      </w:r>
    </w:p>
    <w:p w14:paraId="760021A7" w14:textId="3D36322C" w:rsidR="00B85D06" w:rsidRDefault="00B85D06" w:rsidP="00B85D06">
      <w:pPr>
        <w:rPr>
          <w:szCs w:val="22"/>
        </w:rPr>
      </w:pPr>
      <w:r w:rsidRPr="00D573E8">
        <w:rPr>
          <w:szCs w:val="22"/>
        </w:rPr>
        <w:t>The average charge of HFC-410A models imported over th</w:t>
      </w:r>
      <w:r w:rsidR="00D32EFF">
        <w:rPr>
          <w:szCs w:val="22"/>
        </w:rPr>
        <w:t>e same</w:t>
      </w:r>
      <w:r w:rsidRPr="00D573E8">
        <w:rPr>
          <w:szCs w:val="22"/>
        </w:rPr>
        <w:t xml:space="preserve"> period was 1,450 grams </w:t>
      </w:r>
      <w:r w:rsidR="00D32EFF">
        <w:rPr>
          <w:szCs w:val="22"/>
        </w:rPr>
        <w:t xml:space="preserve">compared to the average charge of </w:t>
      </w:r>
      <w:r w:rsidRPr="00D573E8">
        <w:rPr>
          <w:szCs w:val="22"/>
        </w:rPr>
        <w:t xml:space="preserve">HFC-32 </w:t>
      </w:r>
      <w:r w:rsidR="00301CC6">
        <w:rPr>
          <w:szCs w:val="22"/>
        </w:rPr>
        <w:t xml:space="preserve">models </w:t>
      </w:r>
      <w:r w:rsidR="00D32EFF">
        <w:rPr>
          <w:szCs w:val="22"/>
        </w:rPr>
        <w:t>of only</w:t>
      </w:r>
      <w:r w:rsidR="00513FF4">
        <w:rPr>
          <w:szCs w:val="22"/>
        </w:rPr>
        <w:t xml:space="preserve"> </w:t>
      </w:r>
      <w:r w:rsidRPr="00D573E8">
        <w:rPr>
          <w:szCs w:val="22"/>
        </w:rPr>
        <w:t>1,155 grams</w:t>
      </w:r>
      <w:r w:rsidR="00CC3384">
        <w:rPr>
          <w:szCs w:val="22"/>
        </w:rPr>
        <w:t>,</w:t>
      </w:r>
      <w:r w:rsidRPr="00D573E8">
        <w:rPr>
          <w:szCs w:val="22"/>
        </w:rPr>
        <w:t xml:space="preserve"> equating to a</w:t>
      </w:r>
      <w:r w:rsidR="00D32EFF">
        <w:rPr>
          <w:szCs w:val="22"/>
        </w:rPr>
        <w:t xml:space="preserve">n average </w:t>
      </w:r>
      <w:r w:rsidRPr="00D573E8">
        <w:rPr>
          <w:szCs w:val="22"/>
        </w:rPr>
        <w:t>20% reduction in charge size</w:t>
      </w:r>
      <w:r w:rsidR="00D32EFF">
        <w:rPr>
          <w:szCs w:val="22"/>
        </w:rPr>
        <w:t xml:space="preserve"> across these equipment segments</w:t>
      </w:r>
      <w:r w:rsidRPr="00D573E8">
        <w:rPr>
          <w:szCs w:val="22"/>
        </w:rPr>
        <w:t>. Th</w:t>
      </w:r>
      <w:r w:rsidR="00D32EFF">
        <w:rPr>
          <w:szCs w:val="22"/>
        </w:rPr>
        <w:t>is</w:t>
      </w:r>
      <w:r w:rsidRPr="00D573E8">
        <w:rPr>
          <w:szCs w:val="22"/>
        </w:rPr>
        <w:t xml:space="preserve"> r</w:t>
      </w:r>
      <w:r w:rsidR="00D32EFF">
        <w:rPr>
          <w:szCs w:val="22"/>
        </w:rPr>
        <w:t>eduction</w:t>
      </w:r>
      <w:r w:rsidRPr="00D573E8">
        <w:rPr>
          <w:szCs w:val="22"/>
        </w:rPr>
        <w:t xml:space="preserve"> is consistent with </w:t>
      </w:r>
      <w:r w:rsidR="00301CC6">
        <w:rPr>
          <w:szCs w:val="22"/>
        </w:rPr>
        <w:t xml:space="preserve">an </w:t>
      </w:r>
      <w:r w:rsidRPr="00D573E8">
        <w:rPr>
          <w:szCs w:val="22"/>
        </w:rPr>
        <w:t xml:space="preserve">analysis of </w:t>
      </w:r>
      <w:r w:rsidR="00301CC6">
        <w:rPr>
          <w:szCs w:val="22"/>
        </w:rPr>
        <w:t>the relevant</w:t>
      </w:r>
      <w:r w:rsidRPr="00D573E8">
        <w:rPr>
          <w:szCs w:val="22"/>
        </w:rPr>
        <w:t xml:space="preserve"> models of Daikin’s product range</w:t>
      </w:r>
      <w:r w:rsidR="00D32EFF">
        <w:rPr>
          <w:szCs w:val="22"/>
        </w:rPr>
        <w:t>,</w:t>
      </w:r>
      <w:r w:rsidRPr="00D573E8">
        <w:rPr>
          <w:szCs w:val="22"/>
        </w:rPr>
        <w:t xml:space="preserve"> w</w:t>
      </w:r>
      <w:r>
        <w:rPr>
          <w:szCs w:val="22"/>
        </w:rPr>
        <w:t xml:space="preserve">hich </w:t>
      </w:r>
      <w:r w:rsidR="00D32EFF">
        <w:rPr>
          <w:szCs w:val="22"/>
        </w:rPr>
        <w:t>showed</w:t>
      </w:r>
      <w:r>
        <w:rPr>
          <w:szCs w:val="22"/>
        </w:rPr>
        <w:t xml:space="preserve"> a</w:t>
      </w:r>
      <w:r w:rsidR="00D32EFF">
        <w:rPr>
          <w:szCs w:val="22"/>
        </w:rPr>
        <w:t>n average</w:t>
      </w:r>
      <w:r>
        <w:rPr>
          <w:szCs w:val="22"/>
        </w:rPr>
        <w:t xml:space="preserve"> 22% reduction in charge size between HFC</w:t>
      </w:r>
      <w:r w:rsidR="00E041BB">
        <w:rPr>
          <w:szCs w:val="22"/>
        </w:rPr>
        <w:noBreakHyphen/>
      </w:r>
      <w:r>
        <w:rPr>
          <w:szCs w:val="22"/>
        </w:rPr>
        <w:t>410A and HFC-32</w:t>
      </w:r>
      <w:r w:rsidR="00D32EFF">
        <w:rPr>
          <w:szCs w:val="22"/>
        </w:rPr>
        <w:t xml:space="preserve"> charged equipment</w:t>
      </w:r>
      <w:r w:rsidR="00301CC6">
        <w:rPr>
          <w:szCs w:val="22"/>
        </w:rPr>
        <w:t xml:space="preserve"> with the same refrigerating capacity</w:t>
      </w:r>
      <w:r>
        <w:rPr>
          <w:szCs w:val="22"/>
        </w:rPr>
        <w:t xml:space="preserve">. </w:t>
      </w:r>
      <w:r w:rsidR="00D32EFF">
        <w:rPr>
          <w:szCs w:val="22"/>
        </w:rPr>
        <w:t xml:space="preserve">Combined with the much lower GWP of HFC-32 (GWP of 675 for HFC-32 as compared to </w:t>
      </w:r>
      <w:r w:rsidR="00301CC6">
        <w:rPr>
          <w:szCs w:val="22"/>
        </w:rPr>
        <w:t xml:space="preserve">a GWP of </w:t>
      </w:r>
      <w:r w:rsidR="00B61E3E">
        <w:rPr>
          <w:szCs w:val="22"/>
        </w:rPr>
        <w:t>2</w:t>
      </w:r>
      <w:r w:rsidR="00D32EFF">
        <w:rPr>
          <w:szCs w:val="22"/>
        </w:rPr>
        <w:t>088 for HFC-410A) t</w:t>
      </w:r>
      <w:r>
        <w:rPr>
          <w:szCs w:val="22"/>
        </w:rPr>
        <w:t>his equates to a 75% reduction in CO</w:t>
      </w:r>
      <w:r w:rsidRPr="00A4202C">
        <w:rPr>
          <w:szCs w:val="22"/>
          <w:vertAlign w:val="subscript"/>
        </w:rPr>
        <w:t>2</w:t>
      </w:r>
      <w:r w:rsidR="00A4202C">
        <w:rPr>
          <w:szCs w:val="22"/>
        </w:rPr>
        <w:t xml:space="preserve">e </w:t>
      </w:r>
      <w:r w:rsidR="00301CC6">
        <w:rPr>
          <w:szCs w:val="22"/>
        </w:rPr>
        <w:t xml:space="preserve">of this portion of the refrigerant bank </w:t>
      </w:r>
      <w:r>
        <w:rPr>
          <w:szCs w:val="22"/>
        </w:rPr>
        <w:t>when taking both charge size and GWP into account.</w:t>
      </w:r>
    </w:p>
    <w:p w14:paraId="7E17F4A8" w14:textId="6BBBED74" w:rsidR="00B85D06" w:rsidRDefault="00B85D06" w:rsidP="00B85D06">
      <w:pPr>
        <w:rPr>
          <w:szCs w:val="22"/>
        </w:rPr>
      </w:pPr>
      <w:r>
        <w:rPr>
          <w:szCs w:val="22"/>
        </w:rPr>
        <w:t xml:space="preserve">This capacity of HFC-32 to provide equivalent </w:t>
      </w:r>
      <w:r w:rsidR="005A1422">
        <w:rPr>
          <w:szCs w:val="22"/>
        </w:rPr>
        <w:t>cooling</w:t>
      </w:r>
      <w:r>
        <w:rPr>
          <w:szCs w:val="22"/>
        </w:rPr>
        <w:t xml:space="preserve"> </w:t>
      </w:r>
      <w:r w:rsidR="005A1422">
        <w:rPr>
          <w:szCs w:val="22"/>
        </w:rPr>
        <w:t>services</w:t>
      </w:r>
      <w:r>
        <w:rPr>
          <w:szCs w:val="22"/>
        </w:rPr>
        <w:t xml:space="preserve">, but with a smaller charge than </w:t>
      </w:r>
      <w:r w:rsidR="005A1422">
        <w:rPr>
          <w:szCs w:val="22"/>
        </w:rPr>
        <w:t>some of the older generation of refrigerants</w:t>
      </w:r>
      <w:r>
        <w:rPr>
          <w:szCs w:val="22"/>
        </w:rPr>
        <w:t xml:space="preserve">, flows through to both the make-up of the bank, and the rate of growth of the bank. From the point of view of making projections of future sales mixes by refrigerant charge, the </w:t>
      </w:r>
      <w:r w:rsidR="00C45435">
        <w:rPr>
          <w:szCs w:val="22"/>
        </w:rPr>
        <w:t>RAC Stock model</w:t>
      </w:r>
      <w:r>
        <w:rPr>
          <w:szCs w:val="22"/>
        </w:rPr>
        <w:t xml:space="preserve"> uses a concept of ‘equivalent charge’, effectively factoring the volume of HFC-32 in new equipment </w:t>
      </w:r>
      <w:r w:rsidRPr="00A811C4">
        <w:rPr>
          <w:szCs w:val="22"/>
        </w:rPr>
        <w:t xml:space="preserve">by </w:t>
      </w:r>
      <w:r w:rsidR="00A811C4" w:rsidRPr="00A811C4">
        <w:rPr>
          <w:szCs w:val="22"/>
        </w:rPr>
        <w:t>1.26 (i</w:t>
      </w:r>
      <w:r w:rsidR="00A811C4">
        <w:rPr>
          <w:szCs w:val="22"/>
        </w:rPr>
        <w:t xml:space="preserve">.e. </w:t>
      </w:r>
      <w:r w:rsidR="00301CC6">
        <w:rPr>
          <w:szCs w:val="22"/>
        </w:rPr>
        <w:t xml:space="preserve">the </w:t>
      </w:r>
      <w:r w:rsidR="00A811C4">
        <w:rPr>
          <w:szCs w:val="22"/>
        </w:rPr>
        <w:t>average charge for small split system</w:t>
      </w:r>
      <w:r w:rsidR="00301CC6">
        <w:rPr>
          <w:szCs w:val="22"/>
        </w:rPr>
        <w:t>s</w:t>
      </w:r>
      <w:r w:rsidR="00A811C4">
        <w:rPr>
          <w:szCs w:val="22"/>
        </w:rPr>
        <w:t xml:space="preserve"> with HFC-410A and HFC-32 are 1.45 and 1.15 </w:t>
      </w:r>
      <w:r w:rsidR="006F10CC">
        <w:rPr>
          <w:szCs w:val="22"/>
        </w:rPr>
        <w:t>kilo</w:t>
      </w:r>
      <w:r w:rsidR="00A811C4">
        <w:rPr>
          <w:szCs w:val="22"/>
        </w:rPr>
        <w:t>grams respectively in 2016)</w:t>
      </w:r>
      <w:r w:rsidR="00301CC6">
        <w:rPr>
          <w:szCs w:val="22"/>
        </w:rPr>
        <w:t>. This treatment of the HFC bank</w:t>
      </w:r>
      <w:r>
        <w:rPr>
          <w:szCs w:val="22"/>
        </w:rPr>
        <w:t xml:space="preserve"> allow</w:t>
      </w:r>
      <w:r w:rsidR="00301CC6">
        <w:rPr>
          <w:szCs w:val="22"/>
        </w:rPr>
        <w:t>s</w:t>
      </w:r>
      <w:r>
        <w:rPr>
          <w:szCs w:val="22"/>
        </w:rPr>
        <w:t xml:space="preserve"> </w:t>
      </w:r>
      <w:r w:rsidR="006F10CC">
        <w:rPr>
          <w:szCs w:val="22"/>
        </w:rPr>
        <w:t xml:space="preserve">a visual depiction of the </w:t>
      </w:r>
      <w:r w:rsidR="00301CC6">
        <w:rPr>
          <w:szCs w:val="22"/>
        </w:rPr>
        <w:t xml:space="preserve">scale of the </w:t>
      </w:r>
      <w:r w:rsidR="006F10CC">
        <w:rPr>
          <w:szCs w:val="22"/>
        </w:rPr>
        <w:t>energy services delivered by HFC-32</w:t>
      </w:r>
      <w:r w:rsidR="006F10CC" w:rsidDel="006F10CC">
        <w:rPr>
          <w:szCs w:val="22"/>
        </w:rPr>
        <w:t xml:space="preserve"> </w:t>
      </w:r>
      <w:r>
        <w:rPr>
          <w:szCs w:val="22"/>
        </w:rPr>
        <w:t xml:space="preserve">to be illustrated, as compared to </w:t>
      </w:r>
      <w:r w:rsidR="00301CC6">
        <w:rPr>
          <w:szCs w:val="22"/>
        </w:rPr>
        <w:t xml:space="preserve">the bank of </w:t>
      </w:r>
      <w:r>
        <w:rPr>
          <w:szCs w:val="22"/>
        </w:rPr>
        <w:t>HFC-410A</w:t>
      </w:r>
      <w:r w:rsidR="00301CC6">
        <w:rPr>
          <w:szCs w:val="22"/>
        </w:rPr>
        <w:t xml:space="preserve"> that would otherwise have been required</w:t>
      </w:r>
      <w:r w:rsidR="006F10CC">
        <w:rPr>
          <w:szCs w:val="22"/>
        </w:rPr>
        <w:t>.</w:t>
      </w:r>
      <w:r>
        <w:rPr>
          <w:szCs w:val="22"/>
        </w:rPr>
        <w:t xml:space="preserve"> </w:t>
      </w:r>
    </w:p>
    <w:p w14:paraId="7811CDEF" w14:textId="6C7E0686" w:rsidR="00B85D06" w:rsidRDefault="00B85D06" w:rsidP="00B85D06">
      <w:pPr>
        <w:rPr>
          <w:szCs w:val="22"/>
        </w:rPr>
      </w:pPr>
      <w:r>
        <w:rPr>
          <w:szCs w:val="22"/>
        </w:rPr>
        <w:t xml:space="preserve">If future projections of new equipment sales by refrigerant species were illustrated using just the raw mass of chemicals in the charge, because of the better performance of HFC-32 as a thermal media, and the smaller charge required to deliver the same cooling services, it would appear as if the overall market </w:t>
      </w:r>
      <w:r w:rsidR="00301CC6">
        <w:rPr>
          <w:szCs w:val="22"/>
        </w:rPr>
        <w:t xml:space="preserve">for small AC </w:t>
      </w:r>
      <w:r>
        <w:rPr>
          <w:szCs w:val="22"/>
        </w:rPr>
        <w:t>was declining, which is far from the case.</w:t>
      </w:r>
    </w:p>
    <w:p w14:paraId="35EC94E1" w14:textId="4CF8BF1C" w:rsidR="005A1422" w:rsidRPr="00651751" w:rsidRDefault="005A1422" w:rsidP="005A1422">
      <w:pPr>
        <w:rPr>
          <w:szCs w:val="22"/>
        </w:rPr>
      </w:pPr>
      <w:r w:rsidRPr="00651751">
        <w:rPr>
          <w:szCs w:val="22"/>
        </w:rPr>
        <w:t xml:space="preserve">The equivalent refrigerant charge is a tool used in this report to help visually compare the work that the refrigerants carry out. This has assisted in illustrating how different </w:t>
      </w:r>
      <w:r w:rsidR="003C023B">
        <w:rPr>
          <w:szCs w:val="22"/>
        </w:rPr>
        <w:t xml:space="preserve">product categories </w:t>
      </w:r>
      <w:r w:rsidRPr="00651751">
        <w:rPr>
          <w:szCs w:val="22"/>
        </w:rPr>
        <w:t xml:space="preserve">are transitioning to </w:t>
      </w:r>
      <w:r w:rsidR="005E3ADF">
        <w:rPr>
          <w:szCs w:val="22"/>
        </w:rPr>
        <w:t>alternative</w:t>
      </w:r>
      <w:r w:rsidR="005E3ADF" w:rsidRPr="00651751">
        <w:rPr>
          <w:szCs w:val="22"/>
        </w:rPr>
        <w:t xml:space="preserve"> </w:t>
      </w:r>
      <w:r w:rsidR="003C023B">
        <w:rPr>
          <w:szCs w:val="22"/>
        </w:rPr>
        <w:t>refrigerants</w:t>
      </w:r>
      <w:r w:rsidRPr="00651751">
        <w:rPr>
          <w:szCs w:val="22"/>
        </w:rPr>
        <w:t>.</w:t>
      </w:r>
    </w:p>
    <w:p w14:paraId="5E16423C" w14:textId="25089D34" w:rsidR="00B85D06" w:rsidRPr="00D573E8" w:rsidRDefault="005A1422" w:rsidP="00B85D06">
      <w:pPr>
        <w:rPr>
          <w:szCs w:val="22"/>
        </w:rPr>
      </w:pPr>
      <w:r w:rsidRPr="00651751">
        <w:rPr>
          <w:szCs w:val="22"/>
        </w:rPr>
        <w:t>It does not ignore or replace the ‘actual’ charge; it is an alternative measure used to help represent the rate of transition of the number of devices, and the energy services they provide.</w:t>
      </w:r>
      <w:r w:rsidR="002F67F0">
        <w:rPr>
          <w:szCs w:val="22"/>
        </w:rPr>
        <w:t xml:space="preserve"> </w:t>
      </w:r>
      <w:r w:rsidR="003C023B">
        <w:rPr>
          <w:szCs w:val="22"/>
        </w:rPr>
        <w:t xml:space="preserve">For </w:t>
      </w:r>
      <w:r w:rsidR="009F5EAE">
        <w:rPr>
          <w:szCs w:val="22"/>
        </w:rPr>
        <w:t>instance,</w:t>
      </w:r>
      <w:r w:rsidR="003C023B">
        <w:rPr>
          <w:szCs w:val="22"/>
        </w:rPr>
        <w:t xml:space="preserve"> </w:t>
      </w:r>
      <w:r w:rsidR="001361E8">
        <w:rPr>
          <w:szCs w:val="22"/>
        </w:rPr>
        <w:t xml:space="preserve">when </w:t>
      </w:r>
      <w:r w:rsidR="006F10CC">
        <w:rPr>
          <w:szCs w:val="22"/>
        </w:rPr>
        <w:t>developing projections of changes to the bank</w:t>
      </w:r>
      <w:r w:rsidR="003C023B">
        <w:rPr>
          <w:szCs w:val="22"/>
        </w:rPr>
        <w:t xml:space="preserve"> from 2016 to 2030</w:t>
      </w:r>
      <w:r w:rsidR="006F10CC">
        <w:rPr>
          <w:szCs w:val="22"/>
        </w:rPr>
        <w:t>, t</w:t>
      </w:r>
      <w:r w:rsidR="00B85D06" w:rsidRPr="00D573E8">
        <w:rPr>
          <w:szCs w:val="22"/>
        </w:rPr>
        <w:t>he New Sales Mix</w:t>
      </w:r>
      <w:r w:rsidR="00B85D06">
        <w:rPr>
          <w:szCs w:val="22"/>
        </w:rPr>
        <w:t xml:space="preserve"> </w:t>
      </w:r>
      <w:r w:rsidR="006F10CC" w:rsidRPr="00D573E8">
        <w:rPr>
          <w:szCs w:val="22"/>
        </w:rPr>
        <w:t xml:space="preserve">for Small AC: Split </w:t>
      </w:r>
      <w:r w:rsidR="00B85D06">
        <w:rPr>
          <w:szCs w:val="22"/>
        </w:rPr>
        <w:t xml:space="preserve">by </w:t>
      </w:r>
      <w:r w:rsidR="003C023B">
        <w:rPr>
          <w:szCs w:val="22"/>
        </w:rPr>
        <w:t>R</w:t>
      </w:r>
      <w:r w:rsidR="00B85D06">
        <w:rPr>
          <w:szCs w:val="22"/>
        </w:rPr>
        <w:t>efrigerant species</w:t>
      </w:r>
      <w:r w:rsidR="00B85D06" w:rsidRPr="00D573E8">
        <w:rPr>
          <w:szCs w:val="22"/>
        </w:rPr>
        <w:t xml:space="preserve"> in the </w:t>
      </w:r>
      <w:r w:rsidR="00C45435">
        <w:rPr>
          <w:szCs w:val="22"/>
        </w:rPr>
        <w:t>RAC Stock model</w:t>
      </w:r>
      <w:r w:rsidR="00B85D06" w:rsidRPr="00D573E8">
        <w:rPr>
          <w:szCs w:val="22"/>
        </w:rPr>
        <w:t xml:space="preserve"> </w:t>
      </w:r>
      <w:r w:rsidR="003C023B">
        <w:rPr>
          <w:szCs w:val="22"/>
        </w:rPr>
        <w:t xml:space="preserve">shows </w:t>
      </w:r>
      <w:r w:rsidR="00B85D06">
        <w:rPr>
          <w:szCs w:val="22"/>
        </w:rPr>
        <w:t xml:space="preserve">HFC-32 </w:t>
      </w:r>
      <w:r w:rsidR="003C023B">
        <w:rPr>
          <w:szCs w:val="22"/>
        </w:rPr>
        <w:t xml:space="preserve">charged equipment making up </w:t>
      </w:r>
      <w:r w:rsidR="003C023B" w:rsidRPr="00D573E8">
        <w:rPr>
          <w:szCs w:val="22"/>
        </w:rPr>
        <w:t xml:space="preserve">58% </w:t>
      </w:r>
      <w:r w:rsidR="003C023B">
        <w:rPr>
          <w:szCs w:val="22"/>
        </w:rPr>
        <w:t xml:space="preserve">of new sales </w:t>
      </w:r>
      <w:r w:rsidR="003C023B" w:rsidRPr="00D573E8">
        <w:rPr>
          <w:szCs w:val="22"/>
        </w:rPr>
        <w:t>in 2016</w:t>
      </w:r>
      <w:r w:rsidR="003C023B">
        <w:rPr>
          <w:szCs w:val="22"/>
        </w:rPr>
        <w:t>,</w:t>
      </w:r>
      <w:r w:rsidR="003C023B" w:rsidRPr="00D573E8">
        <w:rPr>
          <w:szCs w:val="22"/>
        </w:rPr>
        <w:t xml:space="preserve"> </w:t>
      </w:r>
      <w:r w:rsidR="00B85D06">
        <w:rPr>
          <w:szCs w:val="22"/>
        </w:rPr>
        <w:t xml:space="preserve">as this was the adjusted equivalent volume of HFC-32 in the </w:t>
      </w:r>
      <w:r w:rsidR="00B85D06" w:rsidRPr="00D573E8">
        <w:rPr>
          <w:szCs w:val="22"/>
        </w:rPr>
        <w:t>refrigerant</w:t>
      </w:r>
      <w:r w:rsidR="00B85D06">
        <w:rPr>
          <w:szCs w:val="22"/>
        </w:rPr>
        <w:t xml:space="preserve"> mix</w:t>
      </w:r>
      <w:r w:rsidR="00B85D06" w:rsidRPr="00D573E8">
        <w:rPr>
          <w:szCs w:val="22"/>
        </w:rPr>
        <w:t xml:space="preserve">. </w:t>
      </w:r>
    </w:p>
    <w:p w14:paraId="673BA52E" w14:textId="67454F60" w:rsidR="00944112" w:rsidRPr="00651751" w:rsidRDefault="00944112" w:rsidP="00944112">
      <w:pPr>
        <w:rPr>
          <w:szCs w:val="22"/>
        </w:rPr>
      </w:pPr>
      <w:r>
        <w:rPr>
          <w:szCs w:val="22"/>
        </w:rPr>
        <w:t xml:space="preserve">This method of illustrating the growing share of energy services delivered by new refrigerants in the bank is also used when illustrating market shares of </w:t>
      </w:r>
      <w:r w:rsidRPr="009257EE">
        <w:rPr>
          <w:szCs w:val="22"/>
        </w:rPr>
        <w:t xml:space="preserve">hydrocarbons (GWP of 3) and HFOs </w:t>
      </w:r>
      <w:r w:rsidR="009257EE">
        <w:rPr>
          <w:szCs w:val="22"/>
        </w:rPr>
        <w:t>such as HFO-1234yf (</w:t>
      </w:r>
      <w:r w:rsidRPr="009257EE">
        <w:rPr>
          <w:szCs w:val="22"/>
        </w:rPr>
        <w:t xml:space="preserve">GWP of </w:t>
      </w:r>
      <w:r w:rsidR="00CB7CCB">
        <w:t xml:space="preserve">5 or </w:t>
      </w:r>
      <w:r w:rsidR="00CB7CCB" w:rsidRPr="0048328C">
        <w:rPr>
          <w:rFonts w:cs="Times New Roman"/>
          <w:szCs w:val="22"/>
          <w:lang w:val="en-US"/>
        </w:rPr>
        <w:t>1</w:t>
      </w:r>
      <w:r w:rsidR="00CB7CCB" w:rsidRPr="0048328C">
        <w:rPr>
          <w:rFonts w:cs="Times New Roman"/>
          <w:szCs w:val="22"/>
          <w:vertAlign w:val="superscript"/>
          <w:lang w:val="en-US"/>
        </w:rPr>
        <w:t>AR5</w:t>
      </w:r>
      <w:r>
        <w:rPr>
          <w:szCs w:val="22"/>
        </w:rPr>
        <w:t xml:space="preserve">). </w:t>
      </w:r>
      <w:r w:rsidRPr="00651751">
        <w:rPr>
          <w:szCs w:val="22"/>
        </w:rPr>
        <w:t xml:space="preserve">The equivalent refrigerant charge </w:t>
      </w:r>
      <w:r>
        <w:rPr>
          <w:szCs w:val="22"/>
        </w:rPr>
        <w:t xml:space="preserve">factor </w:t>
      </w:r>
      <w:r w:rsidRPr="00651751">
        <w:rPr>
          <w:szCs w:val="22"/>
        </w:rPr>
        <w:t xml:space="preserve">shows </w:t>
      </w:r>
      <w:r>
        <w:rPr>
          <w:szCs w:val="22"/>
        </w:rPr>
        <w:t xml:space="preserve">the rate of the </w:t>
      </w:r>
      <w:r w:rsidRPr="00651751">
        <w:rPr>
          <w:szCs w:val="22"/>
        </w:rPr>
        <w:t>changing market share</w:t>
      </w:r>
      <w:r>
        <w:rPr>
          <w:szCs w:val="22"/>
        </w:rPr>
        <w:t>s of the older, higher GWP refrigerants, being replaced by lower GWP alternatives</w:t>
      </w:r>
      <w:r w:rsidRPr="00651751">
        <w:rPr>
          <w:szCs w:val="22"/>
        </w:rPr>
        <w:t>.</w:t>
      </w:r>
    </w:p>
    <w:p w14:paraId="16F7CDBE" w14:textId="56838A4A" w:rsidR="00B85D06" w:rsidRPr="00D573E8" w:rsidRDefault="00B85D06" w:rsidP="00B85D06">
      <w:pPr>
        <w:rPr>
          <w:szCs w:val="22"/>
        </w:rPr>
      </w:pPr>
      <w:r w:rsidRPr="00D573E8">
        <w:rPr>
          <w:szCs w:val="22"/>
        </w:rPr>
        <w:t xml:space="preserve">The companies and brands that are transitioning non-ducted split systems to HFC-32 include Daikin, Fujitsu, Mitsubishi Electric, Panasonic, Beijer Refrigeration (Gree brand), Electrolux, Castel (Midea brand) and Teco. These products are predominantly imported from Japan, Thailand and China. Electrolux and Teco are major suppliers of window/wall units that have </w:t>
      </w:r>
      <w:r>
        <w:rPr>
          <w:szCs w:val="22"/>
        </w:rPr>
        <w:t xml:space="preserve">recently </w:t>
      </w:r>
      <w:r w:rsidRPr="00D573E8">
        <w:rPr>
          <w:szCs w:val="22"/>
        </w:rPr>
        <w:t>migrated their ranges to HFC-32.</w:t>
      </w:r>
    </w:p>
    <w:p w14:paraId="3B9CB29D" w14:textId="44A64194" w:rsidR="00B85D06" w:rsidRPr="00D573E8" w:rsidRDefault="00B85D06" w:rsidP="00B85D06">
      <w:pPr>
        <w:rPr>
          <w:szCs w:val="22"/>
        </w:rPr>
      </w:pPr>
      <w:r w:rsidRPr="00D573E8">
        <w:rPr>
          <w:rFonts w:eastAsia="Times New Roman"/>
          <w:szCs w:val="22"/>
        </w:rPr>
        <w:t>Brands operating in Australia with all or the large majority of their 201</w:t>
      </w:r>
      <w:r>
        <w:rPr>
          <w:rFonts w:eastAsia="Times New Roman"/>
          <w:szCs w:val="22"/>
        </w:rPr>
        <w:t>6</w:t>
      </w:r>
      <w:r w:rsidRPr="00D573E8">
        <w:rPr>
          <w:rFonts w:eastAsia="Times New Roman"/>
          <w:szCs w:val="22"/>
        </w:rPr>
        <w:t xml:space="preserve"> imports or local manufactured systems </w:t>
      </w:r>
      <w:r w:rsidR="003C023B">
        <w:rPr>
          <w:rFonts w:eastAsia="Times New Roman"/>
          <w:szCs w:val="22"/>
        </w:rPr>
        <w:t xml:space="preserve">still </w:t>
      </w:r>
      <w:r w:rsidRPr="00D573E8">
        <w:rPr>
          <w:rFonts w:eastAsia="Times New Roman"/>
          <w:szCs w:val="22"/>
        </w:rPr>
        <w:t xml:space="preserve">charged 100% with HFC-410A </w:t>
      </w:r>
      <w:r>
        <w:rPr>
          <w:rFonts w:eastAsia="Times New Roman"/>
          <w:szCs w:val="22"/>
        </w:rPr>
        <w:t>include Actron Air; AHI Carrier (</w:t>
      </w:r>
      <w:r w:rsidRPr="00D573E8">
        <w:rPr>
          <w:rFonts w:eastAsia="Times New Roman"/>
          <w:szCs w:val="22"/>
        </w:rPr>
        <w:t>Toshiba</w:t>
      </w:r>
      <w:r>
        <w:rPr>
          <w:rFonts w:eastAsia="Times New Roman"/>
          <w:szCs w:val="22"/>
        </w:rPr>
        <w:t xml:space="preserve"> brand)</w:t>
      </w:r>
      <w:r w:rsidRPr="00D573E8">
        <w:rPr>
          <w:rFonts w:eastAsia="Times New Roman"/>
          <w:szCs w:val="22"/>
        </w:rPr>
        <w:t xml:space="preserve">; Heatcraft (Lennox brand); Mitsubishi Heavy Industries; Seeley-Braemar; Teco; Haier; Sharp; Temperzone (Hitachi </w:t>
      </w:r>
      <w:r w:rsidRPr="00D573E8">
        <w:rPr>
          <w:rFonts w:eastAsia="Times New Roman"/>
          <w:szCs w:val="22"/>
        </w:rPr>
        <w:lastRenderedPageBreak/>
        <w:t>brand); Hisense; Sanyo; and other private label imports.</w:t>
      </w:r>
      <w:r w:rsidR="002F67F0">
        <w:rPr>
          <w:rFonts w:eastAsia="Times New Roman"/>
          <w:szCs w:val="22"/>
        </w:rPr>
        <w:t xml:space="preserve"> </w:t>
      </w:r>
      <w:r w:rsidRPr="00D573E8">
        <w:rPr>
          <w:rFonts w:eastAsia="Times New Roman"/>
          <w:szCs w:val="22"/>
        </w:rPr>
        <w:t>Many of these suppliers are expected to migrate to HFC-32 early in the projection period.</w:t>
      </w:r>
      <w:r w:rsidRPr="00D573E8">
        <w:rPr>
          <w:rStyle w:val="FootnoteReference"/>
          <w:rFonts w:ascii="Times New Roman" w:eastAsia="Times New Roman" w:hAnsi="Times New Roman"/>
          <w:szCs w:val="22"/>
        </w:rPr>
        <w:footnoteReference w:id="11"/>
      </w:r>
    </w:p>
    <w:p w14:paraId="057CFA8B" w14:textId="3F860474" w:rsidR="00B85D06" w:rsidRPr="00D573E8" w:rsidRDefault="00B85D06" w:rsidP="00B85D06">
      <w:pPr>
        <w:rPr>
          <w:szCs w:val="22"/>
          <w:lang w:val="en-AU"/>
        </w:rPr>
      </w:pPr>
      <w:r w:rsidRPr="00D573E8">
        <w:rPr>
          <w:szCs w:val="22"/>
          <w:lang w:val="en-AU"/>
        </w:rPr>
        <w:t xml:space="preserve">The strong growth in HFC-32 charged systems has been facilitated by </w:t>
      </w:r>
      <w:r w:rsidR="00CB1CBF">
        <w:rPr>
          <w:szCs w:val="22"/>
          <w:lang w:val="en-AU"/>
        </w:rPr>
        <w:t>D</w:t>
      </w:r>
      <w:r w:rsidRPr="00D573E8">
        <w:rPr>
          <w:szCs w:val="22"/>
          <w:lang w:val="en-AU"/>
        </w:rPr>
        <w:t>aikin</w:t>
      </w:r>
      <w:r w:rsidR="00CB1CBF">
        <w:rPr>
          <w:szCs w:val="22"/>
          <w:lang w:val="en-AU"/>
        </w:rPr>
        <w:t>, a long time manufacturer of HFC-32</w:t>
      </w:r>
      <w:r w:rsidR="00050452">
        <w:rPr>
          <w:szCs w:val="22"/>
          <w:lang w:val="en-AU"/>
        </w:rPr>
        <w:t>, who</w:t>
      </w:r>
      <w:r w:rsidR="00CB1CBF">
        <w:rPr>
          <w:szCs w:val="22"/>
          <w:lang w:val="en-AU"/>
        </w:rPr>
        <w:t xml:space="preserve"> </w:t>
      </w:r>
      <w:r w:rsidR="005120A8">
        <w:rPr>
          <w:szCs w:val="22"/>
          <w:lang w:val="en-AU"/>
        </w:rPr>
        <w:t xml:space="preserve">chose </w:t>
      </w:r>
      <w:r w:rsidR="00944112">
        <w:rPr>
          <w:szCs w:val="22"/>
          <w:lang w:val="en-AU"/>
        </w:rPr>
        <w:t xml:space="preserve">in 2012 </w:t>
      </w:r>
      <w:r w:rsidR="005120A8">
        <w:rPr>
          <w:szCs w:val="22"/>
          <w:lang w:val="en-AU"/>
        </w:rPr>
        <w:t xml:space="preserve">to </w:t>
      </w:r>
      <w:r w:rsidRPr="00D573E8">
        <w:rPr>
          <w:szCs w:val="22"/>
          <w:lang w:val="en-AU"/>
        </w:rPr>
        <w:t xml:space="preserve">‘open source’ </w:t>
      </w:r>
      <w:r w:rsidR="00482409">
        <w:rPr>
          <w:szCs w:val="22"/>
          <w:lang w:val="en-AU"/>
        </w:rPr>
        <w:t xml:space="preserve">elements of </w:t>
      </w:r>
      <w:r w:rsidRPr="00D573E8">
        <w:rPr>
          <w:szCs w:val="22"/>
          <w:lang w:val="en-AU"/>
        </w:rPr>
        <w:t xml:space="preserve">its </w:t>
      </w:r>
      <w:r w:rsidR="00482409">
        <w:rPr>
          <w:szCs w:val="22"/>
          <w:lang w:val="en-AU"/>
        </w:rPr>
        <w:t xml:space="preserve">proprietary IP relating to </w:t>
      </w:r>
      <w:r w:rsidRPr="00D573E8">
        <w:rPr>
          <w:szCs w:val="22"/>
          <w:lang w:val="en-AU"/>
        </w:rPr>
        <w:t xml:space="preserve">HFC-32 </w:t>
      </w:r>
      <w:r w:rsidR="00482409">
        <w:rPr>
          <w:szCs w:val="22"/>
          <w:lang w:val="en-AU"/>
        </w:rPr>
        <w:t xml:space="preserve">charged </w:t>
      </w:r>
      <w:r w:rsidR="00CB1CBF">
        <w:rPr>
          <w:szCs w:val="22"/>
          <w:lang w:val="en-AU"/>
        </w:rPr>
        <w:t>equipment</w:t>
      </w:r>
      <w:r w:rsidRPr="00D573E8">
        <w:rPr>
          <w:szCs w:val="22"/>
          <w:lang w:val="en-AU"/>
        </w:rPr>
        <w:t>, in effect creating a new de-facto standard for inter-changeable common compon</w:t>
      </w:r>
      <w:r>
        <w:rPr>
          <w:szCs w:val="22"/>
          <w:lang w:val="en-AU"/>
        </w:rPr>
        <w:t xml:space="preserve">ents used by all manufacturers. This had the effect of accelerating introduction of the technology to broader markets, created opportunities for Daikin to supply components to the assembly lines of competitors, increased overall volumes and thus drove down component prices, finished equipment costs and the cost of the </w:t>
      </w:r>
      <w:r w:rsidR="003C023B">
        <w:rPr>
          <w:szCs w:val="22"/>
          <w:lang w:val="en-AU"/>
        </w:rPr>
        <w:t xml:space="preserve">global transition of small AC to </w:t>
      </w:r>
      <w:r>
        <w:rPr>
          <w:szCs w:val="22"/>
          <w:lang w:val="en-AU"/>
        </w:rPr>
        <w:t>HFC-32.</w:t>
      </w:r>
    </w:p>
    <w:p w14:paraId="26A4613E" w14:textId="37AB5190" w:rsidR="00B85D06" w:rsidRPr="00D573E8" w:rsidRDefault="00B85D06" w:rsidP="00B85D06">
      <w:pPr>
        <w:spacing w:before="240"/>
        <w:rPr>
          <w:b/>
          <w:szCs w:val="22"/>
        </w:rPr>
      </w:pPr>
      <w:r>
        <w:rPr>
          <w:b/>
          <w:szCs w:val="22"/>
        </w:rPr>
        <w:t>Small AC</w:t>
      </w:r>
      <w:r w:rsidR="00C22C82">
        <w:rPr>
          <w:b/>
          <w:szCs w:val="22"/>
        </w:rPr>
        <w:t xml:space="preserve">: </w:t>
      </w:r>
      <w:r w:rsidR="00210124">
        <w:rPr>
          <w:b/>
          <w:szCs w:val="22"/>
        </w:rPr>
        <w:t>H</w:t>
      </w:r>
      <w:r w:rsidRPr="00D573E8">
        <w:rPr>
          <w:b/>
          <w:szCs w:val="22"/>
        </w:rPr>
        <w:t>ydrocarbons</w:t>
      </w:r>
    </w:p>
    <w:p w14:paraId="0B334A96" w14:textId="0DD1913D" w:rsidR="00B85D06" w:rsidRPr="00D573E8" w:rsidRDefault="00B85D06" w:rsidP="00B85D06">
      <w:pPr>
        <w:rPr>
          <w:szCs w:val="22"/>
        </w:rPr>
      </w:pPr>
      <w:r w:rsidRPr="00D573E8">
        <w:rPr>
          <w:szCs w:val="22"/>
        </w:rPr>
        <w:t>At the same time effort</w:t>
      </w:r>
      <w:r>
        <w:rPr>
          <w:szCs w:val="22"/>
        </w:rPr>
        <w:t>s</w:t>
      </w:r>
      <w:r w:rsidRPr="00D573E8">
        <w:rPr>
          <w:szCs w:val="22"/>
        </w:rPr>
        <w:t xml:space="preserve"> to introduce HC</w:t>
      </w:r>
      <w:r w:rsidR="00F60758">
        <w:rPr>
          <w:szCs w:val="22"/>
        </w:rPr>
        <w:t xml:space="preserve"> </w:t>
      </w:r>
      <w:r w:rsidRPr="00D573E8">
        <w:rPr>
          <w:szCs w:val="22"/>
        </w:rPr>
        <w:t xml:space="preserve">charged </w:t>
      </w:r>
      <w:r w:rsidR="00944112">
        <w:rPr>
          <w:szCs w:val="22"/>
        </w:rPr>
        <w:t xml:space="preserve">small AC </w:t>
      </w:r>
      <w:r w:rsidRPr="00D573E8">
        <w:rPr>
          <w:szCs w:val="22"/>
        </w:rPr>
        <w:t xml:space="preserve">systems </w:t>
      </w:r>
      <w:r>
        <w:rPr>
          <w:szCs w:val="22"/>
        </w:rPr>
        <w:t xml:space="preserve">appear to </w:t>
      </w:r>
      <w:r w:rsidRPr="00D573E8">
        <w:rPr>
          <w:szCs w:val="22"/>
        </w:rPr>
        <w:t xml:space="preserve">have </w:t>
      </w:r>
      <w:r>
        <w:rPr>
          <w:szCs w:val="22"/>
        </w:rPr>
        <w:t xml:space="preserve">faded with the technology </w:t>
      </w:r>
      <w:r w:rsidRPr="00D573E8">
        <w:rPr>
          <w:szCs w:val="22"/>
        </w:rPr>
        <w:t>develop</w:t>
      </w:r>
      <w:r>
        <w:rPr>
          <w:szCs w:val="22"/>
        </w:rPr>
        <w:t>ing</w:t>
      </w:r>
      <w:r w:rsidRPr="00D573E8">
        <w:rPr>
          <w:szCs w:val="22"/>
        </w:rPr>
        <w:t xml:space="preserve"> only limited manufacturing support, and</w:t>
      </w:r>
      <w:r>
        <w:rPr>
          <w:szCs w:val="22"/>
        </w:rPr>
        <w:t xml:space="preserve"> still</w:t>
      </w:r>
      <w:r w:rsidRPr="00D573E8">
        <w:rPr>
          <w:szCs w:val="22"/>
        </w:rPr>
        <w:t xml:space="preserve"> fac</w:t>
      </w:r>
      <w:r>
        <w:rPr>
          <w:szCs w:val="22"/>
        </w:rPr>
        <w:t>ing</w:t>
      </w:r>
      <w:r w:rsidRPr="00D573E8">
        <w:rPr>
          <w:szCs w:val="22"/>
        </w:rPr>
        <w:t xml:space="preserve"> potential regulatory and work place </w:t>
      </w:r>
      <w:r w:rsidR="002F67F0">
        <w:rPr>
          <w:szCs w:val="22"/>
        </w:rPr>
        <w:t>limitations</w:t>
      </w:r>
      <w:r w:rsidR="002F67F0" w:rsidRPr="00D573E8">
        <w:rPr>
          <w:szCs w:val="22"/>
        </w:rPr>
        <w:t xml:space="preserve"> </w:t>
      </w:r>
      <w:r w:rsidRPr="00D573E8">
        <w:rPr>
          <w:szCs w:val="22"/>
        </w:rPr>
        <w:t xml:space="preserve">due to the greater flammability of the </w:t>
      </w:r>
      <w:r w:rsidR="003C023B">
        <w:rPr>
          <w:szCs w:val="22"/>
        </w:rPr>
        <w:t>refrigerant charge</w:t>
      </w:r>
      <w:r w:rsidR="007F4D1A">
        <w:rPr>
          <w:szCs w:val="22"/>
        </w:rPr>
        <w:t>.</w:t>
      </w:r>
    </w:p>
    <w:p w14:paraId="49C125C6" w14:textId="0F954065" w:rsidR="00B85D06" w:rsidRDefault="00B85D06" w:rsidP="00B85D06">
      <w:pPr>
        <w:rPr>
          <w:szCs w:val="22"/>
        </w:rPr>
      </w:pPr>
      <w:r w:rsidRPr="00D573E8">
        <w:rPr>
          <w:szCs w:val="22"/>
        </w:rPr>
        <w:t xml:space="preserve">Industry participants report that HC charged equipment </w:t>
      </w:r>
      <w:r w:rsidR="00CE0C4C" w:rsidRPr="00D573E8">
        <w:rPr>
          <w:szCs w:val="22"/>
        </w:rPr>
        <w:t>ha</w:t>
      </w:r>
      <w:r w:rsidR="00CE0C4C">
        <w:rPr>
          <w:szCs w:val="22"/>
        </w:rPr>
        <w:t>s</w:t>
      </w:r>
      <w:r w:rsidR="00CE0C4C" w:rsidRPr="00D573E8">
        <w:rPr>
          <w:szCs w:val="22"/>
        </w:rPr>
        <w:t xml:space="preserve"> </w:t>
      </w:r>
      <w:r w:rsidRPr="00D573E8">
        <w:rPr>
          <w:szCs w:val="22"/>
        </w:rPr>
        <w:t>not achieved any significant market share</w:t>
      </w:r>
      <w:r w:rsidR="002F67F0">
        <w:rPr>
          <w:szCs w:val="22"/>
        </w:rPr>
        <w:t xml:space="preserve"> in</w:t>
      </w:r>
      <w:r w:rsidR="00CE0C4C">
        <w:rPr>
          <w:szCs w:val="22"/>
        </w:rPr>
        <w:t xml:space="preserve"> Australia in</w:t>
      </w:r>
      <w:r w:rsidR="002F67F0">
        <w:rPr>
          <w:szCs w:val="22"/>
        </w:rPr>
        <w:t xml:space="preserve"> the last two years</w:t>
      </w:r>
      <w:r w:rsidRPr="00D573E8">
        <w:rPr>
          <w:szCs w:val="22"/>
        </w:rPr>
        <w:t>. Chinese manufacturers of HC charged equipment have not increased marketing efforts or been publicising recent case studies of installations or establishment of new distribution lines.</w:t>
      </w:r>
      <w:r>
        <w:rPr>
          <w:szCs w:val="22"/>
        </w:rPr>
        <w:t xml:space="preserve"> The ongoing message is </w:t>
      </w:r>
      <w:r w:rsidR="00944112">
        <w:rPr>
          <w:szCs w:val="22"/>
        </w:rPr>
        <w:t xml:space="preserve">that </w:t>
      </w:r>
      <w:r w:rsidRPr="009E6CD4">
        <w:rPr>
          <w:szCs w:val="22"/>
        </w:rPr>
        <w:t>systems are under development and available in some overseas markets</w:t>
      </w:r>
      <w:r>
        <w:rPr>
          <w:szCs w:val="22"/>
        </w:rPr>
        <w:t xml:space="preserve"> (e.g. India and in small volumes in China)</w:t>
      </w:r>
      <w:r w:rsidRPr="009E6CD4">
        <w:rPr>
          <w:szCs w:val="22"/>
        </w:rPr>
        <w:t xml:space="preserve"> and are expected to emerge as technically and commercially feasible </w:t>
      </w:r>
      <w:r>
        <w:rPr>
          <w:szCs w:val="22"/>
        </w:rPr>
        <w:t>soon.</w:t>
      </w:r>
      <w:r w:rsidRPr="009E6CD4">
        <w:rPr>
          <w:szCs w:val="22"/>
        </w:rPr>
        <w:t xml:space="preserve"> </w:t>
      </w:r>
    </w:p>
    <w:p w14:paraId="63468CC6" w14:textId="7404603F" w:rsidR="00B85D06" w:rsidRDefault="009F5EAE" w:rsidP="00411643">
      <w:pPr>
        <w:rPr>
          <w:szCs w:val="22"/>
        </w:rPr>
      </w:pPr>
      <w:r w:rsidRPr="00FA5003">
        <w:rPr>
          <w:szCs w:val="22"/>
        </w:rPr>
        <w:t>However,</w:t>
      </w:r>
      <w:r w:rsidR="00FA5003" w:rsidRPr="00FA5003">
        <w:rPr>
          <w:szCs w:val="22"/>
        </w:rPr>
        <w:t xml:space="preserve"> at present, there are only a few air conditioner models containing HC in Australia.</w:t>
      </w:r>
      <w:r w:rsidR="00A521EC" w:rsidRPr="00A521EC">
        <w:t xml:space="preserve"> </w:t>
      </w:r>
      <w:r w:rsidR="00A521EC" w:rsidRPr="00A521EC">
        <w:rPr>
          <w:szCs w:val="22"/>
        </w:rPr>
        <w:t>As a result, it is concluded that HCs in residential AC, other than in</w:t>
      </w:r>
      <w:r w:rsidR="00A521EC">
        <w:rPr>
          <w:szCs w:val="22"/>
        </w:rPr>
        <w:t xml:space="preserve"> </w:t>
      </w:r>
      <w:r w:rsidR="00A521EC" w:rsidRPr="00A521EC">
        <w:rPr>
          <w:szCs w:val="22"/>
        </w:rPr>
        <w:t>very small charge portables in the Small AC category, are unlikely to achieve a significant market share in the foreseeable future, and may never establish a significant niche in Small and Medium AC.</w:t>
      </w:r>
    </w:p>
    <w:p w14:paraId="4833F08B" w14:textId="6CACCFF2" w:rsidR="00B85D06" w:rsidRPr="00D573E8" w:rsidRDefault="00B85D06" w:rsidP="00B85D06">
      <w:pPr>
        <w:spacing w:before="240"/>
        <w:rPr>
          <w:b/>
          <w:szCs w:val="22"/>
        </w:rPr>
      </w:pPr>
      <w:r>
        <w:rPr>
          <w:b/>
          <w:szCs w:val="22"/>
        </w:rPr>
        <w:t>Small AC: Self-contained</w:t>
      </w:r>
    </w:p>
    <w:p w14:paraId="0B9FEB60" w14:textId="095001B5" w:rsidR="00B85D06" w:rsidRDefault="00B85D06" w:rsidP="00B85D06">
      <w:pPr>
        <w:rPr>
          <w:szCs w:val="22"/>
        </w:rPr>
      </w:pPr>
      <w:r w:rsidRPr="00C068FA">
        <w:rPr>
          <w:szCs w:val="22"/>
        </w:rPr>
        <w:t xml:space="preserve">The majority of all equipment classified as </w:t>
      </w:r>
      <w:r>
        <w:rPr>
          <w:szCs w:val="22"/>
        </w:rPr>
        <w:t>‘S</w:t>
      </w:r>
      <w:r w:rsidRPr="00C068FA">
        <w:rPr>
          <w:szCs w:val="22"/>
        </w:rPr>
        <w:t>mall AC</w:t>
      </w:r>
      <w:r>
        <w:rPr>
          <w:szCs w:val="22"/>
        </w:rPr>
        <w:t>: Self-contained’</w:t>
      </w:r>
      <w:r w:rsidRPr="00C068FA">
        <w:rPr>
          <w:szCs w:val="22"/>
        </w:rPr>
        <w:t xml:space="preserve"> are Window/Wall units, many </w:t>
      </w:r>
      <w:r>
        <w:rPr>
          <w:szCs w:val="22"/>
        </w:rPr>
        <w:t xml:space="preserve">of which were installed in the 1990s and are </w:t>
      </w:r>
      <w:r w:rsidRPr="00C068FA">
        <w:rPr>
          <w:szCs w:val="22"/>
        </w:rPr>
        <w:t>charged with HCFCs. Of the approximately</w:t>
      </w:r>
      <w:r w:rsidR="00F43119">
        <w:rPr>
          <w:szCs w:val="22"/>
        </w:rPr>
        <w:t xml:space="preserve"> </w:t>
      </w:r>
      <w:r w:rsidR="00DE66B8">
        <w:rPr>
          <w:szCs w:val="22"/>
        </w:rPr>
        <w:t>1.6</w:t>
      </w:r>
      <w:r w:rsidRPr="00C068FA">
        <w:rPr>
          <w:szCs w:val="22"/>
        </w:rPr>
        <w:t xml:space="preserve"> million window/wall and </w:t>
      </w:r>
      <w:r w:rsidR="00DE66B8">
        <w:rPr>
          <w:szCs w:val="22"/>
        </w:rPr>
        <w:t>827</w:t>
      </w:r>
      <w:r>
        <w:rPr>
          <w:szCs w:val="22"/>
        </w:rPr>
        <w:t xml:space="preserve">,000 </w:t>
      </w:r>
      <w:r w:rsidRPr="00C068FA">
        <w:rPr>
          <w:szCs w:val="22"/>
        </w:rPr>
        <w:t>portable AC units estimated to be in operation</w:t>
      </w:r>
      <w:r w:rsidR="00944112">
        <w:rPr>
          <w:szCs w:val="22"/>
        </w:rPr>
        <w:t xml:space="preserve"> in 2017</w:t>
      </w:r>
      <w:r w:rsidRPr="00C068FA">
        <w:rPr>
          <w:szCs w:val="22"/>
        </w:rPr>
        <w:t xml:space="preserve">, more than </w:t>
      </w:r>
      <w:r w:rsidR="00494833">
        <w:rPr>
          <w:szCs w:val="22"/>
        </w:rPr>
        <w:t>1.2</w:t>
      </w:r>
      <w:r w:rsidR="00DE66B8">
        <w:rPr>
          <w:szCs w:val="22"/>
        </w:rPr>
        <w:t xml:space="preserve"> </w:t>
      </w:r>
      <w:r w:rsidRPr="00C068FA">
        <w:rPr>
          <w:szCs w:val="22"/>
        </w:rPr>
        <w:t>million are charged with HCFCs</w:t>
      </w:r>
      <w:r w:rsidR="00944112">
        <w:rPr>
          <w:szCs w:val="22"/>
        </w:rPr>
        <w:t>,</w:t>
      </w:r>
      <w:r w:rsidRPr="00C068FA">
        <w:rPr>
          <w:szCs w:val="22"/>
        </w:rPr>
        <w:t xml:space="preserve"> representing a bank of some </w:t>
      </w:r>
      <w:r w:rsidR="00DE66B8">
        <w:rPr>
          <w:szCs w:val="22"/>
        </w:rPr>
        <w:t>800</w:t>
      </w:r>
      <w:r w:rsidRPr="00C068FA">
        <w:rPr>
          <w:szCs w:val="22"/>
        </w:rPr>
        <w:t xml:space="preserve"> tonnes of </w:t>
      </w:r>
      <w:r w:rsidR="002C5D85">
        <w:rPr>
          <w:szCs w:val="22"/>
        </w:rPr>
        <w:t xml:space="preserve">mostly </w:t>
      </w:r>
      <w:r w:rsidRPr="00C068FA">
        <w:rPr>
          <w:szCs w:val="22"/>
        </w:rPr>
        <w:t>HCFC</w:t>
      </w:r>
      <w:r w:rsidR="002C5D85">
        <w:rPr>
          <w:szCs w:val="22"/>
        </w:rPr>
        <w:t>-22</w:t>
      </w:r>
      <w:r w:rsidRPr="00C068FA">
        <w:rPr>
          <w:szCs w:val="22"/>
        </w:rPr>
        <w:t>.</w:t>
      </w:r>
      <w:r>
        <w:rPr>
          <w:szCs w:val="22"/>
        </w:rPr>
        <w:t xml:space="preserve"> </w:t>
      </w:r>
      <w:r w:rsidRPr="00ED0927">
        <w:rPr>
          <w:szCs w:val="22"/>
        </w:rPr>
        <w:t xml:space="preserve">This stock of HCFC charged equipment is declining </w:t>
      </w:r>
      <w:r>
        <w:rPr>
          <w:szCs w:val="22"/>
        </w:rPr>
        <w:t xml:space="preserve">steadily as the equipment reaches the end of its useful life and is </w:t>
      </w:r>
      <w:r w:rsidR="00C22C82">
        <w:rPr>
          <w:szCs w:val="22"/>
        </w:rPr>
        <w:t>predic</w:t>
      </w:r>
      <w:r>
        <w:rPr>
          <w:szCs w:val="22"/>
        </w:rPr>
        <w:t>ted to be virtually non-existent by 2030. In 2012 it was estimated that there were more than 1.</w:t>
      </w:r>
      <w:r w:rsidR="00494833">
        <w:rPr>
          <w:szCs w:val="22"/>
        </w:rPr>
        <w:t>7</w:t>
      </w:r>
      <w:r>
        <w:rPr>
          <w:szCs w:val="22"/>
        </w:rPr>
        <w:t xml:space="preserve"> million HCFC charged window wall units.</w:t>
      </w:r>
    </w:p>
    <w:p w14:paraId="1115846A" w14:textId="7EFA754C" w:rsidR="00B85D06" w:rsidRDefault="00B85D06" w:rsidP="00B85D06">
      <w:pPr>
        <w:rPr>
          <w:szCs w:val="22"/>
        </w:rPr>
      </w:pPr>
      <w:r>
        <w:rPr>
          <w:szCs w:val="22"/>
        </w:rPr>
        <w:t xml:space="preserve">Two major suppliers of </w:t>
      </w:r>
      <w:r w:rsidRPr="00D573E8">
        <w:rPr>
          <w:szCs w:val="22"/>
        </w:rPr>
        <w:t>window/wall units</w:t>
      </w:r>
      <w:r>
        <w:rPr>
          <w:szCs w:val="22"/>
        </w:rPr>
        <w:t xml:space="preserve">, </w:t>
      </w:r>
      <w:r w:rsidRPr="00D573E8">
        <w:rPr>
          <w:szCs w:val="22"/>
        </w:rPr>
        <w:t xml:space="preserve">Electrolux and Teco have </w:t>
      </w:r>
      <w:r>
        <w:rPr>
          <w:szCs w:val="22"/>
        </w:rPr>
        <w:t>migrated their product ranges to HFC</w:t>
      </w:r>
      <w:r w:rsidR="002F67F0">
        <w:rPr>
          <w:szCs w:val="22"/>
        </w:rPr>
        <w:noBreakHyphen/>
      </w:r>
      <w:r>
        <w:rPr>
          <w:szCs w:val="22"/>
        </w:rPr>
        <w:t xml:space="preserve">32, and the majority of the market is expected to follow within the next 2 to 3 years. The </w:t>
      </w:r>
      <w:r w:rsidR="003C67E6">
        <w:rPr>
          <w:szCs w:val="22"/>
        </w:rPr>
        <w:t>Small AC</w:t>
      </w:r>
      <w:r w:rsidR="00D96115">
        <w:rPr>
          <w:szCs w:val="22"/>
        </w:rPr>
        <w:t>: </w:t>
      </w:r>
      <w:r w:rsidR="003C67E6">
        <w:rPr>
          <w:szCs w:val="22"/>
        </w:rPr>
        <w:t xml:space="preserve">Self-contained bank </w:t>
      </w:r>
      <w:r>
        <w:rPr>
          <w:szCs w:val="22"/>
        </w:rPr>
        <w:t xml:space="preserve">is estimated to be around </w:t>
      </w:r>
      <w:r w:rsidR="003C67E6">
        <w:rPr>
          <w:szCs w:val="22"/>
        </w:rPr>
        <w:t>798</w:t>
      </w:r>
      <w:r>
        <w:rPr>
          <w:szCs w:val="22"/>
        </w:rPr>
        <w:t xml:space="preserve"> tonnes</w:t>
      </w:r>
      <w:r w:rsidR="003C67E6">
        <w:rPr>
          <w:szCs w:val="22"/>
        </w:rPr>
        <w:t xml:space="preserve"> in 2030</w:t>
      </w:r>
      <w:r w:rsidR="00D96115">
        <w:rPr>
          <w:szCs w:val="22"/>
        </w:rPr>
        <w:t>,</w:t>
      </w:r>
      <w:r>
        <w:rPr>
          <w:szCs w:val="22"/>
        </w:rPr>
        <w:t xml:space="preserve"> </w:t>
      </w:r>
      <w:r w:rsidR="00FE74F2">
        <w:rPr>
          <w:szCs w:val="22"/>
        </w:rPr>
        <w:t>comprising</w:t>
      </w:r>
      <w:r>
        <w:rPr>
          <w:szCs w:val="22"/>
        </w:rPr>
        <w:t xml:space="preserve"> </w:t>
      </w:r>
      <w:r w:rsidR="003C67E6">
        <w:rPr>
          <w:szCs w:val="22"/>
        </w:rPr>
        <w:t>less than 2</w:t>
      </w:r>
      <w:r>
        <w:rPr>
          <w:szCs w:val="22"/>
        </w:rPr>
        <w:t>% of all HFC</w:t>
      </w:r>
      <w:r w:rsidR="00B86853">
        <w:rPr>
          <w:szCs w:val="22"/>
        </w:rPr>
        <w:t>s</w:t>
      </w:r>
      <w:r>
        <w:rPr>
          <w:szCs w:val="22"/>
        </w:rPr>
        <w:t xml:space="preserve"> in the </w:t>
      </w:r>
      <w:r w:rsidR="003C67E6">
        <w:rPr>
          <w:szCs w:val="22"/>
        </w:rPr>
        <w:t xml:space="preserve">total </w:t>
      </w:r>
      <w:r>
        <w:rPr>
          <w:szCs w:val="22"/>
        </w:rPr>
        <w:t>bank at that time.</w:t>
      </w:r>
    </w:p>
    <w:p w14:paraId="2BBC0B7B" w14:textId="3BD92287" w:rsidR="00C22C82" w:rsidRPr="00C068FA" w:rsidRDefault="00C22C82" w:rsidP="00C22C82">
      <w:pPr>
        <w:rPr>
          <w:szCs w:val="22"/>
        </w:rPr>
      </w:pPr>
      <w:r>
        <w:rPr>
          <w:szCs w:val="22"/>
        </w:rPr>
        <w:t>A market for s</w:t>
      </w:r>
      <w:r w:rsidR="00B85D06" w:rsidRPr="00C068FA">
        <w:rPr>
          <w:szCs w:val="22"/>
        </w:rPr>
        <w:t xml:space="preserve">mall </w:t>
      </w:r>
      <w:r w:rsidR="00B85D06">
        <w:rPr>
          <w:szCs w:val="22"/>
        </w:rPr>
        <w:t xml:space="preserve">portable and window wall </w:t>
      </w:r>
      <w:r w:rsidR="00B85D06" w:rsidRPr="00C068FA">
        <w:rPr>
          <w:szCs w:val="22"/>
        </w:rPr>
        <w:t xml:space="preserve">AC units charged with less than 1 kg of HCs </w:t>
      </w:r>
      <w:r>
        <w:rPr>
          <w:szCs w:val="22"/>
        </w:rPr>
        <w:t xml:space="preserve">has been established during the last few years. For example, </w:t>
      </w:r>
      <w:r w:rsidRPr="00C068FA">
        <w:rPr>
          <w:szCs w:val="22"/>
        </w:rPr>
        <w:t xml:space="preserve">DeLonghi has been importing portable AC units in commercial volumes for </w:t>
      </w:r>
      <w:r>
        <w:rPr>
          <w:szCs w:val="22"/>
        </w:rPr>
        <w:t>more than 6 years with the total stock of HC charged portables now likely above ten thousand.</w:t>
      </w:r>
    </w:p>
    <w:p w14:paraId="679BC58C" w14:textId="77777777" w:rsidR="00B85D06" w:rsidRPr="00D573E8" w:rsidRDefault="00B85D06" w:rsidP="00B85D06">
      <w:pPr>
        <w:spacing w:before="240"/>
        <w:rPr>
          <w:b/>
          <w:szCs w:val="22"/>
        </w:rPr>
      </w:pPr>
      <w:r w:rsidRPr="00D573E8">
        <w:rPr>
          <w:b/>
          <w:szCs w:val="22"/>
        </w:rPr>
        <w:t>H</w:t>
      </w:r>
      <w:r>
        <w:rPr>
          <w:b/>
          <w:szCs w:val="22"/>
        </w:rPr>
        <w:t xml:space="preserve">ot water heat </w:t>
      </w:r>
      <w:r w:rsidRPr="00D573E8">
        <w:rPr>
          <w:b/>
          <w:szCs w:val="22"/>
        </w:rPr>
        <w:t>pump</w:t>
      </w:r>
      <w:r>
        <w:rPr>
          <w:b/>
          <w:szCs w:val="22"/>
        </w:rPr>
        <w:t>s</w:t>
      </w:r>
    </w:p>
    <w:p w14:paraId="5DF67A01" w14:textId="0AB72CA7" w:rsidR="00B85D06" w:rsidRDefault="00B85D06" w:rsidP="00B85D06">
      <w:pPr>
        <w:rPr>
          <w:szCs w:val="22"/>
        </w:rPr>
      </w:pPr>
      <w:r w:rsidRPr="001C5665">
        <w:rPr>
          <w:szCs w:val="22"/>
        </w:rPr>
        <w:t>Just prior to 2012 hot water heat pump annual sales peaked at over 66,000 units per annum and have since steadily declined due to changes to the solar hot water rebate</w:t>
      </w:r>
      <w:r>
        <w:rPr>
          <w:szCs w:val="22"/>
        </w:rPr>
        <w:t xml:space="preserve">, </w:t>
      </w:r>
      <w:r w:rsidR="00C22C82">
        <w:rPr>
          <w:szCs w:val="22"/>
        </w:rPr>
        <w:t>which</w:t>
      </w:r>
      <w:r>
        <w:rPr>
          <w:szCs w:val="22"/>
        </w:rPr>
        <w:t xml:space="preserve"> was a significant factor in early sales growth</w:t>
      </w:r>
      <w:r w:rsidR="00C22C82">
        <w:rPr>
          <w:szCs w:val="22"/>
        </w:rPr>
        <w:t xml:space="preserve">. Other </w:t>
      </w:r>
      <w:r w:rsidR="00C81D06">
        <w:rPr>
          <w:szCs w:val="22"/>
        </w:rPr>
        <w:t xml:space="preserve">historical </w:t>
      </w:r>
      <w:r w:rsidR="00C22C82">
        <w:rPr>
          <w:szCs w:val="22"/>
        </w:rPr>
        <w:t>factors dampening sales have been</w:t>
      </w:r>
      <w:r w:rsidRPr="001C5665">
        <w:rPr>
          <w:szCs w:val="22"/>
        </w:rPr>
        <w:t xml:space="preserve"> product reliability issues and customer perception </w:t>
      </w:r>
      <w:r w:rsidRPr="001C5665">
        <w:rPr>
          <w:szCs w:val="22"/>
        </w:rPr>
        <w:lastRenderedPageBreak/>
        <w:t xml:space="preserve">issues (i.e. not delivering hot enough water in </w:t>
      </w:r>
      <w:r w:rsidR="00C22C82">
        <w:rPr>
          <w:szCs w:val="22"/>
        </w:rPr>
        <w:t>cooler</w:t>
      </w:r>
      <w:r w:rsidRPr="001C5665">
        <w:rPr>
          <w:szCs w:val="22"/>
        </w:rPr>
        <w:t xml:space="preserve"> climates). </w:t>
      </w:r>
      <w:r w:rsidR="00C22C82">
        <w:rPr>
          <w:szCs w:val="22"/>
        </w:rPr>
        <w:t>Since that time</w:t>
      </w:r>
      <w:r w:rsidR="00C22C82" w:rsidRPr="001C5665">
        <w:rPr>
          <w:szCs w:val="22"/>
        </w:rPr>
        <w:t xml:space="preserve"> product reliability issues </w:t>
      </w:r>
      <w:r w:rsidR="00C22C82">
        <w:rPr>
          <w:szCs w:val="22"/>
        </w:rPr>
        <w:t xml:space="preserve">have </w:t>
      </w:r>
      <w:r w:rsidR="00C22C82" w:rsidRPr="001C5665">
        <w:rPr>
          <w:szCs w:val="22"/>
        </w:rPr>
        <w:t>been overcome and the market has stabilised at just under 20,000 pieces per annum.</w:t>
      </w:r>
    </w:p>
    <w:p w14:paraId="53B352A7" w14:textId="3038C3EF" w:rsidR="00B85D06" w:rsidRPr="001C5665" w:rsidRDefault="00B85D06" w:rsidP="00B85D06">
      <w:pPr>
        <w:rPr>
          <w:szCs w:val="22"/>
        </w:rPr>
      </w:pPr>
      <w:r w:rsidRPr="001C5665">
        <w:rPr>
          <w:szCs w:val="22"/>
        </w:rPr>
        <w:t>In 2012 Rheem, DUX and Quantum, and a few others manufactured around 20,000 to 25,000 hot water heat pumps in Australia (requiring around 19 tonnes of HFC-134a).</w:t>
      </w:r>
      <w:r w:rsidR="00C22C82">
        <w:rPr>
          <w:szCs w:val="22"/>
        </w:rPr>
        <w:t xml:space="preserve"> Subsequently as the market slid from its 2012 peak s</w:t>
      </w:r>
      <w:r w:rsidR="00C22C82" w:rsidRPr="001C5665">
        <w:rPr>
          <w:szCs w:val="22"/>
        </w:rPr>
        <w:t xml:space="preserve">ome suppliers </w:t>
      </w:r>
      <w:r w:rsidR="00C22C82">
        <w:rPr>
          <w:szCs w:val="22"/>
        </w:rPr>
        <w:t>have moved</w:t>
      </w:r>
      <w:r w:rsidR="00C22C82" w:rsidRPr="001C5665">
        <w:rPr>
          <w:szCs w:val="22"/>
        </w:rPr>
        <w:t xml:space="preserve"> manufacturing operations off shore</w:t>
      </w:r>
      <w:r w:rsidR="00C22C82">
        <w:rPr>
          <w:szCs w:val="22"/>
        </w:rPr>
        <w:t>.</w:t>
      </w:r>
    </w:p>
    <w:p w14:paraId="2176A5CA" w14:textId="6972CE08" w:rsidR="00B85D06" w:rsidRPr="001C5665" w:rsidRDefault="00B85D06" w:rsidP="00B85D06">
      <w:pPr>
        <w:rPr>
          <w:szCs w:val="22"/>
        </w:rPr>
      </w:pPr>
      <w:r w:rsidRPr="001C5665">
        <w:rPr>
          <w:szCs w:val="22"/>
        </w:rPr>
        <w:t xml:space="preserve">There are a number of </w:t>
      </w:r>
      <w:r w:rsidR="00B173F7">
        <w:rPr>
          <w:szCs w:val="22"/>
        </w:rPr>
        <w:t xml:space="preserve">suppliers of </w:t>
      </w:r>
      <w:r w:rsidRPr="001C5665">
        <w:rPr>
          <w:szCs w:val="22"/>
        </w:rPr>
        <w:t>domestic hot water heat pump identified in PCE that have imported hot water heat pumps over the last three years including Chromagen, Quantum Energy Technologies, Stiebel Eltron, Siddons and smaller participants</w:t>
      </w:r>
      <w:r w:rsidR="00B173F7">
        <w:rPr>
          <w:szCs w:val="22"/>
        </w:rPr>
        <w:t>,</w:t>
      </w:r>
      <w:r w:rsidRPr="001C5665">
        <w:rPr>
          <w:szCs w:val="22"/>
        </w:rPr>
        <w:t xml:space="preserve"> Glen Dimplex and Solar Station Alpha.</w:t>
      </w:r>
      <w:r>
        <w:rPr>
          <w:szCs w:val="22"/>
        </w:rPr>
        <w:t xml:space="preserve"> Over 2014, 2015 and 2016 there </w:t>
      </w:r>
      <w:r w:rsidRPr="001C5665">
        <w:rPr>
          <w:szCs w:val="22"/>
        </w:rPr>
        <w:t xml:space="preserve">were at least 23,000 pieces imported containing 23.4 tonnes of HFC-134a or almost 7,600 pieces per annum. The charge sizes ranged from 300 to 2,600 grams </w:t>
      </w:r>
      <w:r>
        <w:rPr>
          <w:szCs w:val="22"/>
        </w:rPr>
        <w:t xml:space="preserve">with </w:t>
      </w:r>
      <w:r w:rsidRPr="001C5665">
        <w:rPr>
          <w:szCs w:val="22"/>
        </w:rPr>
        <w:t>an average charge of 1,010 grams.</w:t>
      </w:r>
    </w:p>
    <w:p w14:paraId="5FC2F70B" w14:textId="068853C9" w:rsidR="00B85D06" w:rsidRPr="001C5665" w:rsidRDefault="00B85D06" w:rsidP="00B85D06">
      <w:pPr>
        <w:rPr>
          <w:szCs w:val="22"/>
        </w:rPr>
      </w:pPr>
      <w:r w:rsidRPr="001C5665">
        <w:rPr>
          <w:szCs w:val="22"/>
        </w:rPr>
        <w:t>These import statistics do not include those units charged with hydrocarbon or CO</w:t>
      </w:r>
      <w:r w:rsidRPr="001C5665">
        <w:rPr>
          <w:szCs w:val="22"/>
          <w:vertAlign w:val="subscript"/>
        </w:rPr>
        <w:t>2</w:t>
      </w:r>
      <w:r w:rsidRPr="001C5665">
        <w:rPr>
          <w:szCs w:val="22"/>
        </w:rPr>
        <w:t xml:space="preserve">. For example, </w:t>
      </w:r>
      <w:r w:rsidR="00CB1CBF">
        <w:rPr>
          <w:szCs w:val="22"/>
        </w:rPr>
        <w:t>h</w:t>
      </w:r>
      <w:r w:rsidRPr="001C5665">
        <w:rPr>
          <w:szCs w:val="22"/>
        </w:rPr>
        <w:t xml:space="preserve">eat </w:t>
      </w:r>
      <w:r w:rsidR="00CB1CBF">
        <w:rPr>
          <w:szCs w:val="22"/>
        </w:rPr>
        <w:t>p</w:t>
      </w:r>
      <w:r w:rsidRPr="001C5665">
        <w:rPr>
          <w:szCs w:val="22"/>
        </w:rPr>
        <w:t xml:space="preserve">umps that use </w:t>
      </w:r>
      <w:r w:rsidR="00CB1CBF">
        <w:rPr>
          <w:szCs w:val="22"/>
        </w:rPr>
        <w:t>CO</w:t>
      </w:r>
      <w:r w:rsidR="00CB1CBF" w:rsidRPr="003B7307">
        <w:rPr>
          <w:szCs w:val="22"/>
          <w:vertAlign w:val="subscript"/>
        </w:rPr>
        <w:t>2</w:t>
      </w:r>
      <w:r w:rsidR="00CB1CBF">
        <w:rPr>
          <w:szCs w:val="22"/>
        </w:rPr>
        <w:t xml:space="preserve"> only </w:t>
      </w:r>
      <w:r w:rsidRPr="001C5665">
        <w:rPr>
          <w:szCs w:val="22"/>
        </w:rPr>
        <w:t xml:space="preserve">technology achieve </w:t>
      </w:r>
      <w:r w:rsidR="00B173F7">
        <w:rPr>
          <w:szCs w:val="22"/>
        </w:rPr>
        <w:t xml:space="preserve">very </w:t>
      </w:r>
      <w:r w:rsidRPr="001C5665">
        <w:rPr>
          <w:szCs w:val="22"/>
        </w:rPr>
        <w:t>high efficiencies</w:t>
      </w:r>
      <w:r>
        <w:rPr>
          <w:szCs w:val="22"/>
        </w:rPr>
        <w:t>, with</w:t>
      </w:r>
      <w:r w:rsidRPr="001C5665">
        <w:rPr>
          <w:szCs w:val="22"/>
        </w:rPr>
        <w:t xml:space="preserve"> a coefficient of performance of 5.0, </w:t>
      </w:r>
      <w:r w:rsidR="00B173F7">
        <w:rPr>
          <w:szCs w:val="22"/>
        </w:rPr>
        <w:t xml:space="preserve">and </w:t>
      </w:r>
      <w:r w:rsidRPr="001C5665">
        <w:rPr>
          <w:szCs w:val="22"/>
        </w:rPr>
        <w:t xml:space="preserve">are charged with </w:t>
      </w:r>
      <w:r w:rsidR="00B173F7">
        <w:rPr>
          <w:szCs w:val="22"/>
        </w:rPr>
        <w:t xml:space="preserve">~650 grams of </w:t>
      </w:r>
      <w:r w:rsidRPr="001C5665">
        <w:rPr>
          <w:szCs w:val="22"/>
        </w:rPr>
        <w:t>CO</w:t>
      </w:r>
      <w:r w:rsidRPr="001C5665">
        <w:rPr>
          <w:szCs w:val="22"/>
          <w:vertAlign w:val="subscript"/>
        </w:rPr>
        <w:t>2</w:t>
      </w:r>
      <w:r w:rsidRPr="001C5665">
        <w:rPr>
          <w:szCs w:val="22"/>
        </w:rPr>
        <w:t>.</w:t>
      </w:r>
      <w:r>
        <w:rPr>
          <w:szCs w:val="22"/>
        </w:rPr>
        <w:t xml:space="preserve"> </w:t>
      </w:r>
      <w:r w:rsidR="00F85F99">
        <w:rPr>
          <w:szCs w:val="22"/>
        </w:rPr>
        <w:t>T</w:t>
      </w:r>
      <w:r w:rsidR="00CB1CBF">
        <w:rPr>
          <w:szCs w:val="22"/>
        </w:rPr>
        <w:t xml:space="preserve">he Clean Energy Regulator </w:t>
      </w:r>
      <w:r w:rsidR="00B359B5">
        <w:rPr>
          <w:szCs w:val="22"/>
        </w:rPr>
        <w:t xml:space="preserve">offers </w:t>
      </w:r>
      <w:r w:rsidR="00F85F99" w:rsidRPr="00F85F99">
        <w:rPr>
          <w:szCs w:val="22"/>
        </w:rPr>
        <w:t>small-scale technology certificates (STCs) for solar water heater or air source heat pump systems</w:t>
      </w:r>
      <w:r w:rsidR="00B359B5">
        <w:rPr>
          <w:szCs w:val="22"/>
        </w:rPr>
        <w:t xml:space="preserve"> which confirms these products are very efficient</w:t>
      </w:r>
      <w:r w:rsidR="003B7307">
        <w:rPr>
          <w:szCs w:val="22"/>
        </w:rPr>
        <w:t xml:space="preserve"> compared to their peers</w:t>
      </w:r>
      <w:r w:rsidR="00B359B5">
        <w:rPr>
          <w:szCs w:val="22"/>
        </w:rPr>
        <w:t>. CO</w:t>
      </w:r>
      <w:r w:rsidR="00B359B5" w:rsidRPr="00B0340B">
        <w:rPr>
          <w:szCs w:val="22"/>
          <w:vertAlign w:val="subscript"/>
        </w:rPr>
        <w:t>2</w:t>
      </w:r>
      <w:r w:rsidR="00B359B5">
        <w:rPr>
          <w:szCs w:val="22"/>
        </w:rPr>
        <w:t xml:space="preserve"> </w:t>
      </w:r>
      <w:r w:rsidR="00E2097B">
        <w:rPr>
          <w:szCs w:val="22"/>
        </w:rPr>
        <w:t xml:space="preserve">and </w:t>
      </w:r>
      <w:r w:rsidR="00B359B5">
        <w:rPr>
          <w:szCs w:val="22"/>
        </w:rPr>
        <w:t xml:space="preserve">HC </w:t>
      </w:r>
      <w:r w:rsidR="00FE74F2">
        <w:rPr>
          <w:szCs w:val="22"/>
        </w:rPr>
        <w:t>are</w:t>
      </w:r>
      <w:r w:rsidR="00B359B5">
        <w:rPr>
          <w:szCs w:val="22"/>
        </w:rPr>
        <w:t xml:space="preserve"> not controlled substance</w:t>
      </w:r>
      <w:r w:rsidR="00E2097B">
        <w:rPr>
          <w:szCs w:val="22"/>
        </w:rPr>
        <w:t>s</w:t>
      </w:r>
      <w:r w:rsidR="00B359B5">
        <w:rPr>
          <w:szCs w:val="22"/>
        </w:rPr>
        <w:t xml:space="preserve"> under the </w:t>
      </w:r>
      <w:r w:rsidR="009E69CD">
        <w:rPr>
          <w:szCs w:val="22"/>
        </w:rPr>
        <w:t xml:space="preserve">OPSGGM </w:t>
      </w:r>
      <w:r w:rsidR="00B359B5">
        <w:rPr>
          <w:szCs w:val="22"/>
        </w:rPr>
        <w:t>Act</w:t>
      </w:r>
      <w:r w:rsidR="00B173F7">
        <w:rPr>
          <w:szCs w:val="22"/>
        </w:rPr>
        <w:t xml:space="preserve"> and</w:t>
      </w:r>
      <w:r w:rsidR="0011784B">
        <w:rPr>
          <w:szCs w:val="22"/>
        </w:rPr>
        <w:t xml:space="preserve"> import and manufactur</w:t>
      </w:r>
      <w:r w:rsidR="005646D1">
        <w:rPr>
          <w:szCs w:val="22"/>
        </w:rPr>
        <w:t>ing</w:t>
      </w:r>
      <w:r w:rsidR="00B173F7">
        <w:rPr>
          <w:szCs w:val="22"/>
        </w:rPr>
        <w:t xml:space="preserve"> PCE containing these refrigerants do not need to be reported</w:t>
      </w:r>
      <w:r w:rsidR="00B359B5">
        <w:rPr>
          <w:szCs w:val="22"/>
        </w:rPr>
        <w:t>, therefore there is limited ability to analyse sales volumes of these types of units.</w:t>
      </w:r>
    </w:p>
    <w:p w14:paraId="558C57D5" w14:textId="53412862" w:rsidR="00B85D06" w:rsidRPr="001C5665" w:rsidRDefault="00B85D06" w:rsidP="00B85D06">
      <w:pPr>
        <w:rPr>
          <w:szCs w:val="22"/>
        </w:rPr>
      </w:pPr>
      <w:r w:rsidRPr="001C5665">
        <w:rPr>
          <w:szCs w:val="22"/>
        </w:rPr>
        <w:t xml:space="preserve">In CHF2 the 2012 stock </w:t>
      </w:r>
      <w:r>
        <w:rPr>
          <w:szCs w:val="22"/>
        </w:rPr>
        <w:t xml:space="preserve">of hot water heat pumps </w:t>
      </w:r>
      <w:r w:rsidRPr="001C5665">
        <w:rPr>
          <w:szCs w:val="22"/>
        </w:rPr>
        <w:t xml:space="preserve">was estimated at 170,000, this figure has been revised down to 133,000 in 2012 and 206,000 </w:t>
      </w:r>
      <w:r>
        <w:rPr>
          <w:szCs w:val="22"/>
        </w:rPr>
        <w:t xml:space="preserve">in 2016 </w:t>
      </w:r>
      <w:r w:rsidRPr="001C5665">
        <w:rPr>
          <w:szCs w:val="22"/>
        </w:rPr>
        <w:t>due to improved information. The Clean Energy Regulator</w:t>
      </w:r>
      <w:r w:rsidRPr="001C5665">
        <w:rPr>
          <w:rStyle w:val="FootnoteReference"/>
          <w:rFonts w:ascii="Times New Roman" w:hAnsi="Times New Roman"/>
          <w:szCs w:val="22"/>
        </w:rPr>
        <w:footnoteReference w:id="12"/>
      </w:r>
      <w:r w:rsidRPr="001C5665">
        <w:rPr>
          <w:szCs w:val="22"/>
        </w:rPr>
        <w:t xml:space="preserve"> publishes small-scale renewable energy installation data for Air Source Heat Pumps. The total count of domestic scale hot water heat pumps </w:t>
      </w:r>
      <w:r>
        <w:rPr>
          <w:szCs w:val="22"/>
        </w:rPr>
        <w:t xml:space="preserve">registered with the Clean Energy Regulator </w:t>
      </w:r>
      <w:r w:rsidRPr="001C5665">
        <w:rPr>
          <w:szCs w:val="22"/>
        </w:rPr>
        <w:t>at the end of 2016 was 210,649. The stock model assumes an average lifespan of 15 year</w:t>
      </w:r>
      <w:r w:rsidR="005646D1">
        <w:rPr>
          <w:szCs w:val="22"/>
        </w:rPr>
        <w:t>s</w:t>
      </w:r>
      <w:r w:rsidRPr="001C5665">
        <w:rPr>
          <w:szCs w:val="22"/>
        </w:rPr>
        <w:t xml:space="preserve"> and </w:t>
      </w:r>
      <w:r w:rsidR="00BF54D4">
        <w:rPr>
          <w:szCs w:val="22"/>
        </w:rPr>
        <w:t xml:space="preserve">roughly </w:t>
      </w:r>
      <w:r w:rsidRPr="001C5665">
        <w:rPr>
          <w:szCs w:val="22"/>
        </w:rPr>
        <w:t>aligns with th</w:t>
      </w:r>
      <w:r w:rsidR="00BF54D4">
        <w:rPr>
          <w:szCs w:val="22"/>
        </w:rPr>
        <w:t>e regulators</w:t>
      </w:r>
      <w:r w:rsidRPr="001C5665">
        <w:rPr>
          <w:szCs w:val="22"/>
        </w:rPr>
        <w:t xml:space="preserve"> </w:t>
      </w:r>
      <w:r>
        <w:rPr>
          <w:szCs w:val="22"/>
        </w:rPr>
        <w:t xml:space="preserve">reported </w:t>
      </w:r>
      <w:r w:rsidR="00BF54D4">
        <w:rPr>
          <w:szCs w:val="22"/>
        </w:rPr>
        <w:t>stock</w:t>
      </w:r>
      <w:r>
        <w:rPr>
          <w:szCs w:val="22"/>
        </w:rPr>
        <w:t>,</w:t>
      </w:r>
      <w:r w:rsidRPr="001C5665">
        <w:rPr>
          <w:szCs w:val="22"/>
        </w:rPr>
        <w:t xml:space="preserve"> </w:t>
      </w:r>
      <w:r w:rsidR="00BF54D4">
        <w:rPr>
          <w:szCs w:val="22"/>
        </w:rPr>
        <w:t>when taking into account</w:t>
      </w:r>
      <w:r w:rsidRPr="001C5665">
        <w:rPr>
          <w:szCs w:val="22"/>
        </w:rPr>
        <w:t xml:space="preserve"> equipment that would have retired.</w:t>
      </w:r>
    </w:p>
    <w:p w14:paraId="51EE868A" w14:textId="3BBD7760" w:rsidR="003B7307" w:rsidRDefault="00B85D06" w:rsidP="00B85D06">
      <w:pPr>
        <w:rPr>
          <w:szCs w:val="22"/>
        </w:rPr>
      </w:pPr>
      <w:r w:rsidRPr="001C5665">
        <w:rPr>
          <w:szCs w:val="22"/>
        </w:rPr>
        <w:t xml:space="preserve">The stock model assumes sales of domestic </w:t>
      </w:r>
      <w:r w:rsidR="00242098">
        <w:rPr>
          <w:szCs w:val="22"/>
        </w:rPr>
        <w:t xml:space="preserve">hot </w:t>
      </w:r>
      <w:r w:rsidR="001D3DD5" w:rsidRPr="001C5665">
        <w:rPr>
          <w:szCs w:val="22"/>
        </w:rPr>
        <w:t xml:space="preserve">water </w:t>
      </w:r>
      <w:r w:rsidRPr="001C5665">
        <w:rPr>
          <w:szCs w:val="22"/>
        </w:rPr>
        <w:t>heat pump</w:t>
      </w:r>
      <w:r>
        <w:rPr>
          <w:szCs w:val="22"/>
        </w:rPr>
        <w:t>s</w:t>
      </w:r>
      <w:r w:rsidRPr="001C5665">
        <w:rPr>
          <w:szCs w:val="22"/>
        </w:rPr>
        <w:t xml:space="preserve"> will continue at a typical annual sales </w:t>
      </w:r>
      <w:r w:rsidR="005646D1" w:rsidRPr="001C5665">
        <w:rPr>
          <w:szCs w:val="22"/>
        </w:rPr>
        <w:t>v</w:t>
      </w:r>
      <w:r w:rsidR="005646D1">
        <w:rPr>
          <w:szCs w:val="22"/>
        </w:rPr>
        <w:t xml:space="preserve">olume </w:t>
      </w:r>
      <w:r w:rsidRPr="001C5665">
        <w:rPr>
          <w:szCs w:val="22"/>
        </w:rPr>
        <w:t>of just under 20,000 pieces per annum until 2030.</w:t>
      </w:r>
    </w:p>
    <w:p w14:paraId="507AD095" w14:textId="7D70CC09" w:rsidR="00B85D06" w:rsidRPr="00D573E8" w:rsidRDefault="00B85D06" w:rsidP="003B7307">
      <w:pPr>
        <w:spacing w:before="240"/>
        <w:rPr>
          <w:b/>
          <w:szCs w:val="22"/>
        </w:rPr>
      </w:pPr>
      <w:r w:rsidRPr="00D573E8">
        <w:rPr>
          <w:b/>
          <w:szCs w:val="22"/>
        </w:rPr>
        <w:t>Heat pump clothes dryers</w:t>
      </w:r>
    </w:p>
    <w:p w14:paraId="12A0D041" w14:textId="045BC7B0" w:rsidR="00B85D06" w:rsidRPr="00D573E8" w:rsidRDefault="00B85D06" w:rsidP="00B85D06">
      <w:pPr>
        <w:rPr>
          <w:szCs w:val="22"/>
        </w:rPr>
      </w:pPr>
      <w:r w:rsidRPr="00D573E8">
        <w:rPr>
          <w:szCs w:val="22"/>
        </w:rPr>
        <w:t xml:space="preserve">A heat pump clothes dryer is a </w:t>
      </w:r>
      <w:r w:rsidR="00B173F7">
        <w:rPr>
          <w:szCs w:val="22"/>
        </w:rPr>
        <w:t xml:space="preserve">recently introduced product </w:t>
      </w:r>
      <w:r w:rsidRPr="00D573E8">
        <w:rPr>
          <w:szCs w:val="22"/>
        </w:rPr>
        <w:t xml:space="preserve">type of condenser dryer that </w:t>
      </w:r>
      <w:r>
        <w:rPr>
          <w:szCs w:val="22"/>
        </w:rPr>
        <w:t>is</w:t>
      </w:r>
      <w:r w:rsidRPr="00D573E8">
        <w:rPr>
          <w:szCs w:val="22"/>
        </w:rPr>
        <w:t xml:space="preserve"> extraordinarily energy efficient, as they recycle heat in the process of extracting moisture, resulting in </w:t>
      </w:r>
      <w:r>
        <w:rPr>
          <w:szCs w:val="22"/>
        </w:rPr>
        <w:t xml:space="preserve">MEPS </w:t>
      </w:r>
      <w:r w:rsidRPr="00D573E8">
        <w:rPr>
          <w:szCs w:val="22"/>
        </w:rPr>
        <w:t>energy efficiency ratings of up to 6 stars (the best possible). Whilst they are</w:t>
      </w:r>
      <w:r>
        <w:rPr>
          <w:szCs w:val="22"/>
        </w:rPr>
        <w:t xml:space="preserve"> more</w:t>
      </w:r>
      <w:r w:rsidRPr="00D573E8">
        <w:rPr>
          <w:szCs w:val="22"/>
        </w:rPr>
        <w:t xml:space="preserve"> expensive </w:t>
      </w:r>
      <w:r>
        <w:rPr>
          <w:szCs w:val="22"/>
        </w:rPr>
        <w:t>than</w:t>
      </w:r>
      <w:r w:rsidRPr="00D573E8">
        <w:rPr>
          <w:szCs w:val="22"/>
        </w:rPr>
        <w:t xml:space="preserve"> conventional clothes dryers</w:t>
      </w:r>
      <w:r w:rsidR="00B173F7">
        <w:rPr>
          <w:szCs w:val="22"/>
        </w:rPr>
        <w:t>,</w:t>
      </w:r>
      <w:r w:rsidRPr="00D573E8">
        <w:rPr>
          <w:szCs w:val="22"/>
        </w:rPr>
        <w:t xml:space="preserve"> </w:t>
      </w:r>
      <w:r>
        <w:rPr>
          <w:szCs w:val="22"/>
        </w:rPr>
        <w:t xml:space="preserve">they deliver good </w:t>
      </w:r>
      <w:r w:rsidR="000456C5">
        <w:rPr>
          <w:szCs w:val="22"/>
        </w:rPr>
        <w:t xml:space="preserve">electricity </w:t>
      </w:r>
      <w:r w:rsidRPr="00D573E8">
        <w:rPr>
          <w:szCs w:val="22"/>
        </w:rPr>
        <w:t xml:space="preserve">cost </w:t>
      </w:r>
      <w:r w:rsidR="009F5EAE" w:rsidRPr="00D573E8">
        <w:rPr>
          <w:szCs w:val="22"/>
        </w:rPr>
        <w:t>savings and</w:t>
      </w:r>
      <w:r>
        <w:rPr>
          <w:szCs w:val="22"/>
        </w:rPr>
        <w:t xml:space="preserve"> </w:t>
      </w:r>
      <w:r w:rsidRPr="00D573E8">
        <w:rPr>
          <w:szCs w:val="22"/>
        </w:rPr>
        <w:t>have the added benefit of not pumping humid air into the laundry area as the condenser dryer extracts the dampness from the clothes and the condensate is discharged down the drain.</w:t>
      </w:r>
    </w:p>
    <w:p w14:paraId="3E620536" w14:textId="323FB328" w:rsidR="00B85D06" w:rsidRPr="00D573E8" w:rsidRDefault="00B85D06" w:rsidP="00B85D06">
      <w:pPr>
        <w:rPr>
          <w:szCs w:val="22"/>
        </w:rPr>
      </w:pPr>
      <w:r w:rsidRPr="00D573E8">
        <w:rPr>
          <w:szCs w:val="22"/>
        </w:rPr>
        <w:t>There are a number of premium appliance suppliers identified in PCE that have imported heat pump clothes dryers over the last three years including Asko Appliances, Miele, LG Electronics, Robert Bosch, Samsung Electronics</w:t>
      </w:r>
      <w:r w:rsidR="00B275D4">
        <w:rPr>
          <w:szCs w:val="22"/>
        </w:rPr>
        <w:t xml:space="preserve"> and</w:t>
      </w:r>
      <w:r w:rsidRPr="00D573E8">
        <w:rPr>
          <w:szCs w:val="22"/>
        </w:rPr>
        <w:t xml:space="preserve"> Whirlpool. Over the last three years there were at least 44,000 pieces imported or almost 15,000 pieces per annum. There are no local OEMs that manufacture heat pump clothes dryers in Australia.</w:t>
      </w:r>
    </w:p>
    <w:p w14:paraId="516EB9EA" w14:textId="77777777" w:rsidR="00B85D06" w:rsidRPr="00D573E8" w:rsidRDefault="00B85D06" w:rsidP="00B85D06">
      <w:pPr>
        <w:rPr>
          <w:szCs w:val="22"/>
        </w:rPr>
      </w:pPr>
      <w:r w:rsidRPr="00D573E8">
        <w:rPr>
          <w:szCs w:val="22"/>
        </w:rPr>
        <w:t xml:space="preserve">All appliances were charged with HFC-134a containing from 300 to 480 grams and an average charge of 460 grams. The total charge of HFC-134a imported over the three year period </w:t>
      </w:r>
      <w:r>
        <w:rPr>
          <w:szCs w:val="22"/>
        </w:rPr>
        <w:t xml:space="preserve">in these appliances </w:t>
      </w:r>
      <w:r w:rsidRPr="00D573E8">
        <w:rPr>
          <w:szCs w:val="22"/>
        </w:rPr>
        <w:t xml:space="preserve">was around 20 tonnes. </w:t>
      </w:r>
    </w:p>
    <w:p w14:paraId="4E4B7433" w14:textId="36E7A682" w:rsidR="00B85D06" w:rsidRDefault="00B85D06" w:rsidP="003B7307">
      <w:pPr>
        <w:spacing w:before="240"/>
        <w:rPr>
          <w:b/>
          <w:szCs w:val="22"/>
        </w:rPr>
      </w:pPr>
      <w:r>
        <w:rPr>
          <w:b/>
          <w:szCs w:val="22"/>
        </w:rPr>
        <w:t>Small AC: Split</w:t>
      </w:r>
    </w:p>
    <w:p w14:paraId="3FB5B8C5" w14:textId="17831C48" w:rsidR="00B85D06" w:rsidRDefault="00B173F7" w:rsidP="00B85D06">
      <w:pPr>
        <w:rPr>
          <w:szCs w:val="22"/>
        </w:rPr>
      </w:pPr>
      <w:r>
        <w:rPr>
          <w:szCs w:val="22"/>
        </w:rPr>
        <w:t xml:space="preserve">The </w:t>
      </w:r>
      <w:r w:rsidR="00732378">
        <w:rPr>
          <w:szCs w:val="22"/>
        </w:rPr>
        <w:t>Small AC: Split</w:t>
      </w:r>
      <w:r>
        <w:rPr>
          <w:szCs w:val="22"/>
        </w:rPr>
        <w:t xml:space="preserve"> segment of the taxonomy</w:t>
      </w:r>
      <w:r w:rsidR="00732378">
        <w:rPr>
          <w:szCs w:val="22"/>
        </w:rPr>
        <w:t xml:space="preserve"> contains the largest </w:t>
      </w:r>
      <w:r w:rsidR="00B85D06">
        <w:rPr>
          <w:szCs w:val="22"/>
        </w:rPr>
        <w:t xml:space="preserve">numbers of units in operation, </w:t>
      </w:r>
      <w:r>
        <w:rPr>
          <w:szCs w:val="22"/>
        </w:rPr>
        <w:t xml:space="preserve">largest </w:t>
      </w:r>
      <w:r w:rsidR="00B85D06">
        <w:rPr>
          <w:szCs w:val="22"/>
        </w:rPr>
        <w:t xml:space="preserve">proportion of the bank and </w:t>
      </w:r>
      <w:r>
        <w:rPr>
          <w:szCs w:val="22"/>
        </w:rPr>
        <w:t xml:space="preserve">largest </w:t>
      </w:r>
      <w:r w:rsidR="00B85D06">
        <w:rPr>
          <w:szCs w:val="22"/>
        </w:rPr>
        <w:t>annual sales</w:t>
      </w:r>
      <w:r w:rsidR="00732378">
        <w:rPr>
          <w:szCs w:val="22"/>
        </w:rPr>
        <w:t xml:space="preserve"> in th</w:t>
      </w:r>
      <w:r>
        <w:rPr>
          <w:szCs w:val="22"/>
        </w:rPr>
        <w:t>e</w:t>
      </w:r>
      <w:r w:rsidR="00732378">
        <w:rPr>
          <w:szCs w:val="22"/>
        </w:rPr>
        <w:t xml:space="preserve"> </w:t>
      </w:r>
      <w:r>
        <w:rPr>
          <w:szCs w:val="22"/>
        </w:rPr>
        <w:t xml:space="preserve">Stationary AC </w:t>
      </w:r>
      <w:r w:rsidR="00732378">
        <w:rPr>
          <w:szCs w:val="22"/>
        </w:rPr>
        <w:t>class</w:t>
      </w:r>
      <w:r w:rsidR="00B85D06">
        <w:rPr>
          <w:szCs w:val="22"/>
        </w:rPr>
        <w:t>. Small split systems, in the last two decades have become almost as common as domestic refrigerators.</w:t>
      </w:r>
    </w:p>
    <w:p w14:paraId="397E3B27" w14:textId="09B30A8A" w:rsidR="00B85D06" w:rsidRDefault="00B85D06" w:rsidP="00B85D06">
      <w:pPr>
        <w:rPr>
          <w:szCs w:val="22"/>
        </w:rPr>
      </w:pPr>
      <w:r>
        <w:rPr>
          <w:szCs w:val="22"/>
        </w:rPr>
        <w:lastRenderedPageBreak/>
        <w:t xml:space="preserve">In many Australian houses in 2016 there </w:t>
      </w:r>
      <w:r w:rsidR="000456C5">
        <w:rPr>
          <w:szCs w:val="22"/>
        </w:rPr>
        <w:t>may</w:t>
      </w:r>
      <w:r>
        <w:rPr>
          <w:szCs w:val="22"/>
        </w:rPr>
        <w:t xml:space="preserve"> be several reverse cycle, wall hung split AC systems, that </w:t>
      </w:r>
      <w:r w:rsidR="00242098">
        <w:rPr>
          <w:szCs w:val="22"/>
        </w:rPr>
        <w:t xml:space="preserve">provide </w:t>
      </w:r>
      <w:r>
        <w:rPr>
          <w:szCs w:val="22"/>
        </w:rPr>
        <w:t xml:space="preserve">both heating and cooling. New homes and apartments built in the last </w:t>
      </w:r>
      <w:r w:rsidR="000456C5">
        <w:rPr>
          <w:szCs w:val="22"/>
        </w:rPr>
        <w:t xml:space="preserve">two </w:t>
      </w:r>
      <w:r>
        <w:rPr>
          <w:szCs w:val="22"/>
        </w:rPr>
        <w:t>decade</w:t>
      </w:r>
      <w:r w:rsidR="000456C5">
        <w:rPr>
          <w:szCs w:val="22"/>
        </w:rPr>
        <w:t>s</w:t>
      </w:r>
      <w:r>
        <w:rPr>
          <w:szCs w:val="22"/>
        </w:rPr>
        <w:t xml:space="preserve"> almost always have at least one wall hung split system as a standard inclusion.</w:t>
      </w:r>
    </w:p>
    <w:p w14:paraId="112E8411" w14:textId="1899F0BB" w:rsidR="00B85D06" w:rsidRDefault="00B85D06" w:rsidP="00B85D06">
      <w:pPr>
        <w:rPr>
          <w:szCs w:val="22"/>
        </w:rPr>
      </w:pPr>
      <w:r>
        <w:rPr>
          <w:szCs w:val="22"/>
        </w:rPr>
        <w:t>In the 1990s when the cost of small split systems first started to fall</w:t>
      </w:r>
      <w:r w:rsidR="000456C5">
        <w:rPr>
          <w:szCs w:val="22"/>
        </w:rPr>
        <w:t>,</w:t>
      </w:r>
      <w:r>
        <w:rPr>
          <w:szCs w:val="22"/>
        </w:rPr>
        <w:t xml:space="preserve"> as the economics of mass production in Thailand, Korea and China began to drive prices down, these devices were universally charged with HCFC-22. As import volumes rose towards a million units a year in the early </w:t>
      </w:r>
      <w:r w:rsidR="00E514EC">
        <w:rPr>
          <w:szCs w:val="22"/>
        </w:rPr>
        <w:t xml:space="preserve">part </w:t>
      </w:r>
      <w:r>
        <w:rPr>
          <w:szCs w:val="22"/>
        </w:rPr>
        <w:t xml:space="preserve">of the century, </w:t>
      </w:r>
      <w:r w:rsidR="00B56AB3">
        <w:rPr>
          <w:szCs w:val="22"/>
        </w:rPr>
        <w:t xml:space="preserve">manufacturers moved to </w:t>
      </w:r>
      <w:r w:rsidR="0068391F">
        <w:rPr>
          <w:szCs w:val="22"/>
        </w:rPr>
        <w:t xml:space="preserve">the use of </w:t>
      </w:r>
      <w:r w:rsidR="00B56AB3">
        <w:rPr>
          <w:szCs w:val="22"/>
        </w:rPr>
        <w:t xml:space="preserve">HFC-410A </w:t>
      </w:r>
      <w:r>
        <w:rPr>
          <w:szCs w:val="22"/>
        </w:rPr>
        <w:t>as the Montreal Protocol phase out of HCFCs</w:t>
      </w:r>
      <w:r w:rsidR="000456C5">
        <w:rPr>
          <w:szCs w:val="22"/>
        </w:rPr>
        <w:t xml:space="preserve"> progressed</w:t>
      </w:r>
      <w:r>
        <w:rPr>
          <w:szCs w:val="22"/>
        </w:rPr>
        <w:t xml:space="preserve">. </w:t>
      </w:r>
    </w:p>
    <w:p w14:paraId="408D3AC5" w14:textId="1BE0C12A" w:rsidR="00B85D06" w:rsidRDefault="0068391F" w:rsidP="00B85D06">
      <w:pPr>
        <w:rPr>
          <w:szCs w:val="22"/>
        </w:rPr>
      </w:pPr>
      <w:bookmarkStart w:id="19" w:name="_Hlk508546358"/>
      <w:r>
        <w:rPr>
          <w:szCs w:val="22"/>
        </w:rPr>
        <w:t>I</w:t>
      </w:r>
      <w:r w:rsidRPr="0068391F">
        <w:rPr>
          <w:szCs w:val="22"/>
        </w:rPr>
        <w:t>n 2006 HCFC-22 dominated the bank of working gas in Australia</w:t>
      </w:r>
      <w:r>
        <w:rPr>
          <w:szCs w:val="22"/>
        </w:rPr>
        <w:t xml:space="preserve"> l</w:t>
      </w:r>
      <w:r w:rsidRPr="0068391F">
        <w:rPr>
          <w:szCs w:val="22"/>
        </w:rPr>
        <w:t>argely as a result of its use in stationary AC, in both the small and medium commercial categories, and those early years of rapid growth of small split system sales. In 2012 the portion of HCFC-22 was still estimated at 26% (11,227 tonnes) of the total bank. Small AC equipment pre-charged with HCFCs only stopped entering the country in 2010 (excluding some minor exemptions), although most major manufacturers had moved away from HCFC-22 before the 2010 pre-charged equipment import ban.</w:t>
      </w:r>
    </w:p>
    <w:p w14:paraId="0514730F" w14:textId="18A877DF" w:rsidR="00B85D06" w:rsidRDefault="00B85D06" w:rsidP="00B85D06">
      <w:pPr>
        <w:rPr>
          <w:szCs w:val="22"/>
        </w:rPr>
      </w:pPr>
      <w:r w:rsidRPr="00E77A97">
        <w:rPr>
          <w:szCs w:val="22"/>
        </w:rPr>
        <w:t xml:space="preserve">In 2016 HCFCs are still estimated to make up </w:t>
      </w:r>
      <w:r w:rsidR="00E77A97" w:rsidRPr="00E77A97">
        <w:rPr>
          <w:szCs w:val="22"/>
        </w:rPr>
        <w:t>17</w:t>
      </w:r>
      <w:r w:rsidRPr="00E77A97">
        <w:rPr>
          <w:szCs w:val="22"/>
        </w:rPr>
        <w:t xml:space="preserve">% of the bank, or </w:t>
      </w:r>
      <w:r w:rsidR="00732378">
        <w:rPr>
          <w:szCs w:val="22"/>
        </w:rPr>
        <w:t>8,5</w:t>
      </w:r>
      <w:r w:rsidR="00E77A97" w:rsidRPr="00E77A97">
        <w:rPr>
          <w:szCs w:val="22"/>
        </w:rPr>
        <w:t>00</w:t>
      </w:r>
      <w:r w:rsidRPr="00E77A97">
        <w:rPr>
          <w:szCs w:val="22"/>
        </w:rPr>
        <w:t xml:space="preserve"> tonnes, the majority of which will be found in small </w:t>
      </w:r>
      <w:r w:rsidR="009510C8" w:rsidRPr="00E77A97">
        <w:rPr>
          <w:szCs w:val="22"/>
        </w:rPr>
        <w:t xml:space="preserve">and medium </w:t>
      </w:r>
      <w:r w:rsidRPr="00E77A97">
        <w:rPr>
          <w:szCs w:val="22"/>
        </w:rPr>
        <w:t>AC systems. HCFC-22 was the refrigerant of</w:t>
      </w:r>
      <w:r>
        <w:rPr>
          <w:szCs w:val="22"/>
        </w:rPr>
        <w:t xml:space="preserve"> choice for most of the 90s and into the early years of this century in other applications as well, including larger </w:t>
      </w:r>
      <w:r w:rsidRPr="00160D68">
        <w:rPr>
          <w:szCs w:val="22"/>
        </w:rPr>
        <w:t xml:space="preserve">chillers and some types of commercial refrigeration, however it is estimated that of the total of </w:t>
      </w:r>
      <w:r w:rsidR="00494833">
        <w:rPr>
          <w:szCs w:val="22"/>
        </w:rPr>
        <w:t>8,5</w:t>
      </w:r>
      <w:r w:rsidR="00160D68" w:rsidRPr="00160D68">
        <w:rPr>
          <w:szCs w:val="22"/>
        </w:rPr>
        <w:t>00</w:t>
      </w:r>
      <w:r w:rsidRPr="00160D68">
        <w:rPr>
          <w:szCs w:val="22"/>
        </w:rPr>
        <w:t xml:space="preserve"> tonnes of HCFCs still in the bank, more than </w:t>
      </w:r>
      <w:r w:rsidR="00160D68" w:rsidRPr="00160D68">
        <w:rPr>
          <w:szCs w:val="22"/>
        </w:rPr>
        <w:t>50</w:t>
      </w:r>
      <w:r w:rsidRPr="00160D68">
        <w:rPr>
          <w:szCs w:val="22"/>
        </w:rPr>
        <w:t xml:space="preserve">% is still operating in some </w:t>
      </w:r>
      <w:r w:rsidR="00E77A97" w:rsidRPr="00160D68">
        <w:rPr>
          <w:szCs w:val="22"/>
        </w:rPr>
        <w:t>2.7</w:t>
      </w:r>
      <w:r w:rsidRPr="00160D68">
        <w:rPr>
          <w:szCs w:val="22"/>
        </w:rPr>
        <w:t xml:space="preserve"> million small </w:t>
      </w:r>
      <w:r w:rsidR="00E77A97" w:rsidRPr="00160D68">
        <w:rPr>
          <w:szCs w:val="22"/>
        </w:rPr>
        <w:t xml:space="preserve">AC </w:t>
      </w:r>
      <w:r w:rsidR="009510C8" w:rsidRPr="00160D68">
        <w:rPr>
          <w:szCs w:val="22"/>
        </w:rPr>
        <w:t xml:space="preserve">and </w:t>
      </w:r>
      <w:r w:rsidR="00E77A97" w:rsidRPr="00160D68">
        <w:rPr>
          <w:szCs w:val="22"/>
        </w:rPr>
        <w:t xml:space="preserve">780,000 </w:t>
      </w:r>
      <w:r w:rsidR="009510C8" w:rsidRPr="00160D68">
        <w:rPr>
          <w:szCs w:val="22"/>
        </w:rPr>
        <w:t>medium</w:t>
      </w:r>
      <w:r w:rsidRPr="00160D68">
        <w:rPr>
          <w:szCs w:val="22"/>
        </w:rPr>
        <w:t xml:space="preserve"> AC.</w:t>
      </w:r>
    </w:p>
    <w:p w14:paraId="446E5F5C" w14:textId="181EC7B2" w:rsidR="00AF0148" w:rsidRDefault="00AF0148" w:rsidP="00AF0148">
      <w:pPr>
        <w:rPr>
          <w:szCs w:val="22"/>
        </w:rPr>
      </w:pPr>
      <w:r w:rsidRPr="00160D68">
        <w:rPr>
          <w:szCs w:val="22"/>
        </w:rPr>
        <w:t>The move to HFC-410A starting around 2005</w:t>
      </w:r>
      <w:r w:rsidR="00B173F7">
        <w:rPr>
          <w:szCs w:val="22"/>
        </w:rPr>
        <w:t>,</w:t>
      </w:r>
      <w:r w:rsidRPr="00160D68">
        <w:rPr>
          <w:szCs w:val="22"/>
        </w:rPr>
        <w:t xml:space="preserve"> occurred at the same time that small and medium AC sales pas</w:t>
      </w:r>
      <w:r w:rsidR="005078E7">
        <w:rPr>
          <w:szCs w:val="22"/>
        </w:rPr>
        <w:t>sed</w:t>
      </w:r>
      <w:r w:rsidRPr="00160D68">
        <w:rPr>
          <w:szCs w:val="22"/>
        </w:rPr>
        <w:t xml:space="preserve"> more than 1 million units a year in Australia, a figure that has continued to climb to more than 1.3 million units in 2017. This has built a stock of more than </w:t>
      </w:r>
      <w:r w:rsidR="00160D68" w:rsidRPr="00160D68">
        <w:rPr>
          <w:szCs w:val="22"/>
        </w:rPr>
        <w:t>9.2</w:t>
      </w:r>
      <w:r w:rsidRPr="00160D68">
        <w:rPr>
          <w:szCs w:val="22"/>
        </w:rPr>
        <w:t xml:space="preserve"> million HFC-410A charged pieces of equipment in the course of the last decade, containing a bank of </w:t>
      </w:r>
      <w:r w:rsidR="00160D68" w:rsidRPr="00160D68">
        <w:rPr>
          <w:szCs w:val="22"/>
        </w:rPr>
        <w:t>18,</w:t>
      </w:r>
      <w:r w:rsidR="00494833">
        <w:rPr>
          <w:szCs w:val="22"/>
        </w:rPr>
        <w:t>7</w:t>
      </w:r>
      <w:r w:rsidR="00160D68" w:rsidRPr="00160D68">
        <w:rPr>
          <w:szCs w:val="22"/>
        </w:rPr>
        <w:t>00</w:t>
      </w:r>
      <w:r w:rsidRPr="00160D68">
        <w:rPr>
          <w:szCs w:val="22"/>
        </w:rPr>
        <w:t xml:space="preserve"> tonnes of HFC-410A, representing </w:t>
      </w:r>
      <w:r w:rsidR="00160D68" w:rsidRPr="00160D68">
        <w:rPr>
          <w:szCs w:val="22"/>
        </w:rPr>
        <w:t>3</w:t>
      </w:r>
      <w:r w:rsidR="00494833">
        <w:rPr>
          <w:szCs w:val="22"/>
        </w:rPr>
        <w:t>7</w:t>
      </w:r>
      <w:r w:rsidRPr="00160D68">
        <w:rPr>
          <w:szCs w:val="22"/>
        </w:rPr>
        <w:t xml:space="preserve">% of the </w:t>
      </w:r>
      <w:r w:rsidR="00494833">
        <w:rPr>
          <w:szCs w:val="22"/>
        </w:rPr>
        <w:t xml:space="preserve">total </w:t>
      </w:r>
      <w:r w:rsidRPr="00160D68">
        <w:rPr>
          <w:szCs w:val="22"/>
        </w:rPr>
        <w:t>bank in tonnes.</w:t>
      </w:r>
    </w:p>
    <w:p w14:paraId="09407921" w14:textId="120B5213" w:rsidR="00B85D06" w:rsidRDefault="00B85D06" w:rsidP="00B85D06">
      <w:pPr>
        <w:rPr>
          <w:szCs w:val="22"/>
        </w:rPr>
      </w:pPr>
      <w:r w:rsidRPr="004230CA">
        <w:rPr>
          <w:szCs w:val="22"/>
        </w:rPr>
        <w:t xml:space="preserve">Since </w:t>
      </w:r>
      <w:r>
        <w:rPr>
          <w:szCs w:val="22"/>
        </w:rPr>
        <w:t xml:space="preserve">2014, with the introduction of HFC-32 as a more </w:t>
      </w:r>
      <w:r w:rsidR="002C5D85">
        <w:rPr>
          <w:szCs w:val="22"/>
        </w:rPr>
        <w:t xml:space="preserve">energy </w:t>
      </w:r>
      <w:r>
        <w:rPr>
          <w:szCs w:val="22"/>
        </w:rPr>
        <w:t xml:space="preserve">efficient and lower GWP refrigerant into small AC, the growth of HFC-410A in the bank has slowed. In just three years nearly a million HFC-32 charged systems have been imported into Australia and already this </w:t>
      </w:r>
      <w:r w:rsidR="00494833">
        <w:rPr>
          <w:szCs w:val="22"/>
        </w:rPr>
        <w:t xml:space="preserve">refrigerant </w:t>
      </w:r>
      <w:r>
        <w:rPr>
          <w:szCs w:val="22"/>
        </w:rPr>
        <w:t xml:space="preserve">makes up </w:t>
      </w:r>
      <w:r w:rsidR="00160D68" w:rsidRPr="00160D68">
        <w:rPr>
          <w:szCs w:val="22"/>
        </w:rPr>
        <w:t>2</w:t>
      </w:r>
      <w:r w:rsidRPr="00160D68">
        <w:rPr>
          <w:szCs w:val="22"/>
        </w:rPr>
        <w:t xml:space="preserve">% of the </w:t>
      </w:r>
      <w:r w:rsidR="00494833">
        <w:rPr>
          <w:szCs w:val="22"/>
        </w:rPr>
        <w:t xml:space="preserve">total </w:t>
      </w:r>
      <w:r w:rsidRPr="00160D68">
        <w:rPr>
          <w:szCs w:val="22"/>
        </w:rPr>
        <w:t xml:space="preserve">bank of </w:t>
      </w:r>
      <w:r w:rsidR="008109F3" w:rsidRPr="00160D68">
        <w:rPr>
          <w:szCs w:val="22"/>
        </w:rPr>
        <w:t>refrigerant</w:t>
      </w:r>
      <w:r w:rsidRPr="00160D68">
        <w:rPr>
          <w:szCs w:val="22"/>
        </w:rPr>
        <w:t>.</w:t>
      </w:r>
    </w:p>
    <w:bookmarkEnd w:id="19"/>
    <w:p w14:paraId="0973972C" w14:textId="5889A9E1" w:rsidR="00B85D06" w:rsidRDefault="00B85D06" w:rsidP="00B85D06">
      <w:pPr>
        <w:rPr>
          <w:szCs w:val="22"/>
        </w:rPr>
      </w:pPr>
      <w:r>
        <w:rPr>
          <w:szCs w:val="22"/>
        </w:rPr>
        <w:t xml:space="preserve">Overall, in the last two decades, the trend in small AC has been </w:t>
      </w:r>
      <w:r w:rsidR="00F42E99">
        <w:rPr>
          <w:szCs w:val="22"/>
        </w:rPr>
        <w:t>towards</w:t>
      </w:r>
      <w:r>
        <w:rPr>
          <w:szCs w:val="22"/>
        </w:rPr>
        <w:t xml:space="preserve"> greater energy efficiency, driven by regulatory settings in developed economies, </w:t>
      </w:r>
      <w:r w:rsidR="006974AA">
        <w:rPr>
          <w:szCs w:val="22"/>
        </w:rPr>
        <w:t>international standards</w:t>
      </w:r>
      <w:r w:rsidR="006974AA">
        <w:rPr>
          <w:rStyle w:val="FootnoteReference"/>
          <w:szCs w:val="22"/>
        </w:rPr>
        <w:footnoteReference w:id="13"/>
      </w:r>
      <w:r w:rsidR="006974AA">
        <w:rPr>
          <w:szCs w:val="22"/>
        </w:rPr>
        <w:t xml:space="preserve">, </w:t>
      </w:r>
      <w:r>
        <w:rPr>
          <w:szCs w:val="22"/>
        </w:rPr>
        <w:t xml:space="preserve">competition in the market place, and technical improvements, particularly the incorporation of highly efficient variable speed drives and the perfection of reverse cycle systems. Over the same period design improvements have led to the use of smaller refrigerant charges in designs </w:t>
      </w:r>
      <w:r w:rsidR="000456C5">
        <w:rPr>
          <w:szCs w:val="22"/>
        </w:rPr>
        <w:t>that also exhibit</w:t>
      </w:r>
      <w:r>
        <w:rPr>
          <w:szCs w:val="22"/>
        </w:rPr>
        <w:t xml:space="preserve"> better </w:t>
      </w:r>
      <w:r w:rsidR="000456C5">
        <w:rPr>
          <w:szCs w:val="22"/>
        </w:rPr>
        <w:t xml:space="preserve">refrigerant </w:t>
      </w:r>
      <w:r>
        <w:rPr>
          <w:szCs w:val="22"/>
        </w:rPr>
        <w:t xml:space="preserve">containment. </w:t>
      </w:r>
      <w:r w:rsidRPr="000313A4">
        <w:rPr>
          <w:szCs w:val="22"/>
        </w:rPr>
        <w:t xml:space="preserve">In 2006 the average charge in this </w:t>
      </w:r>
      <w:r w:rsidR="000456C5">
        <w:rPr>
          <w:szCs w:val="22"/>
        </w:rPr>
        <w:t xml:space="preserve">product </w:t>
      </w:r>
      <w:r w:rsidRPr="000313A4">
        <w:rPr>
          <w:szCs w:val="22"/>
        </w:rPr>
        <w:t>category was 1.7 kg, in 2012 it was 1.6</w:t>
      </w:r>
      <w:r w:rsidR="006D5A9D">
        <w:rPr>
          <w:szCs w:val="22"/>
        </w:rPr>
        <w:t xml:space="preserve"> </w:t>
      </w:r>
      <w:r w:rsidRPr="000313A4">
        <w:rPr>
          <w:szCs w:val="22"/>
        </w:rPr>
        <w:t xml:space="preserve">kg </w:t>
      </w:r>
      <w:r w:rsidRPr="006D5A9D">
        <w:rPr>
          <w:szCs w:val="22"/>
        </w:rPr>
        <w:t xml:space="preserve">and in 2016 </w:t>
      </w:r>
      <w:r w:rsidR="006D5A9D" w:rsidRPr="006D5A9D">
        <w:rPr>
          <w:szCs w:val="22"/>
        </w:rPr>
        <w:t>the average HFC-32 charge is 1.15 kg</w:t>
      </w:r>
      <w:r w:rsidRPr="006D5A9D">
        <w:rPr>
          <w:szCs w:val="22"/>
        </w:rPr>
        <w:t>.</w:t>
      </w:r>
    </w:p>
    <w:p w14:paraId="327B1E98" w14:textId="6E856BCA" w:rsidR="00B85D06" w:rsidRPr="004230CA" w:rsidRDefault="00B85D06" w:rsidP="00B85D06">
      <w:pPr>
        <w:rPr>
          <w:szCs w:val="22"/>
        </w:rPr>
      </w:pPr>
      <w:r>
        <w:rPr>
          <w:szCs w:val="22"/>
        </w:rPr>
        <w:t>With the advent of HFC-32 this trend</w:t>
      </w:r>
      <w:r w:rsidR="000456C5">
        <w:rPr>
          <w:szCs w:val="22"/>
        </w:rPr>
        <w:t xml:space="preserve"> to smaller charges</w:t>
      </w:r>
      <w:r>
        <w:rPr>
          <w:szCs w:val="22"/>
        </w:rPr>
        <w:t xml:space="preserve"> is set to </w:t>
      </w:r>
      <w:r w:rsidR="000456C5">
        <w:rPr>
          <w:szCs w:val="22"/>
        </w:rPr>
        <w:t>accelerate</w:t>
      </w:r>
      <w:r>
        <w:rPr>
          <w:szCs w:val="22"/>
        </w:rPr>
        <w:t xml:space="preserve"> as </w:t>
      </w:r>
      <w:r w:rsidR="000456C5">
        <w:rPr>
          <w:szCs w:val="22"/>
        </w:rPr>
        <w:t>the reduced HFC-32</w:t>
      </w:r>
      <w:r w:rsidR="005F0FCF">
        <w:rPr>
          <w:szCs w:val="22"/>
        </w:rPr>
        <w:t xml:space="preserve"> </w:t>
      </w:r>
      <w:r>
        <w:rPr>
          <w:szCs w:val="22"/>
        </w:rPr>
        <w:t xml:space="preserve">charges </w:t>
      </w:r>
      <w:r w:rsidR="000456C5">
        <w:rPr>
          <w:szCs w:val="22"/>
        </w:rPr>
        <w:t xml:space="preserve">required </w:t>
      </w:r>
      <w:r>
        <w:rPr>
          <w:szCs w:val="22"/>
        </w:rPr>
        <w:t>to achieve the same cooling, allow designers more leeway in designing smaller devices with smaller compressors and thus lower electri</w:t>
      </w:r>
      <w:r w:rsidR="00AD62C8">
        <w:rPr>
          <w:szCs w:val="22"/>
        </w:rPr>
        <w:t xml:space="preserve">city </w:t>
      </w:r>
      <w:r>
        <w:rPr>
          <w:szCs w:val="22"/>
        </w:rPr>
        <w:t>demand, to deliver the same cooling services.</w:t>
      </w:r>
      <w:r w:rsidRPr="004230CA">
        <w:rPr>
          <w:szCs w:val="22"/>
        </w:rPr>
        <w:br w:type="page"/>
      </w:r>
    </w:p>
    <w:p w14:paraId="38517C1E" w14:textId="77777777" w:rsidR="00B85D06" w:rsidRPr="000D307E" w:rsidRDefault="00B85D06" w:rsidP="00B85D06">
      <w:pPr>
        <w:spacing w:before="240"/>
        <w:rPr>
          <w:b/>
          <w:szCs w:val="22"/>
        </w:rPr>
      </w:pPr>
      <w:r w:rsidRPr="000D307E">
        <w:rPr>
          <w:b/>
          <w:szCs w:val="22"/>
        </w:rPr>
        <w:lastRenderedPageBreak/>
        <w:t>Medium AC</w:t>
      </w:r>
    </w:p>
    <w:p w14:paraId="16AA04DC" w14:textId="71D725D7" w:rsidR="00C14F18" w:rsidRDefault="00B85D06" w:rsidP="00AF6D55">
      <w:pPr>
        <w:rPr>
          <w:rFonts w:eastAsia="Times New Roman"/>
          <w:szCs w:val="22"/>
        </w:rPr>
      </w:pPr>
      <w:r w:rsidRPr="00D573E8">
        <w:rPr>
          <w:rFonts w:eastAsia="Times New Roman"/>
          <w:szCs w:val="22"/>
        </w:rPr>
        <w:t>There was no HFC-32 reported in PCE import data</w:t>
      </w:r>
      <w:r>
        <w:rPr>
          <w:rFonts w:eastAsia="Times New Roman"/>
          <w:szCs w:val="22"/>
        </w:rPr>
        <w:t xml:space="preserve"> categories, </w:t>
      </w:r>
      <w:r w:rsidRPr="00D573E8">
        <w:rPr>
          <w:rFonts w:eastAsia="Times New Roman"/>
          <w:szCs w:val="22"/>
        </w:rPr>
        <w:t>‘</w:t>
      </w:r>
      <w:r w:rsidRPr="00D573E8">
        <w:rPr>
          <w:rFonts w:eastAsia="Times New Roman"/>
          <w:i/>
          <w:szCs w:val="22"/>
        </w:rPr>
        <w:t>Commercial use air conditioning’</w:t>
      </w:r>
      <w:r>
        <w:rPr>
          <w:rFonts w:eastAsia="Times New Roman"/>
          <w:szCs w:val="22"/>
        </w:rPr>
        <w:t xml:space="preserve"> or ‘</w:t>
      </w:r>
      <w:r w:rsidRPr="00D573E8">
        <w:rPr>
          <w:rFonts w:eastAsia="Times New Roman"/>
          <w:i/>
          <w:szCs w:val="22"/>
        </w:rPr>
        <w:t>Commercial or domestic use heat pumps’</w:t>
      </w:r>
      <w:r w:rsidR="00C14F18">
        <w:rPr>
          <w:rFonts w:eastAsia="Times New Roman"/>
          <w:szCs w:val="22"/>
        </w:rPr>
        <w:t>.</w:t>
      </w:r>
      <w:r w:rsidR="00AD62C8" w:rsidRPr="00AD62C8">
        <w:rPr>
          <w:rFonts w:eastAsia="Times New Roman"/>
          <w:szCs w:val="22"/>
        </w:rPr>
        <w:t xml:space="preserve"> </w:t>
      </w:r>
    </w:p>
    <w:p w14:paraId="2A80DA20" w14:textId="65D39EF7" w:rsidR="00AF6D55" w:rsidRDefault="00AF6D55" w:rsidP="00AF6D55">
      <w:pPr>
        <w:rPr>
          <w:rFonts w:eastAsia="Times New Roman"/>
          <w:szCs w:val="22"/>
        </w:rPr>
      </w:pPr>
      <w:r w:rsidRPr="005A7687">
        <w:rPr>
          <w:rFonts w:eastAsia="Times New Roman"/>
          <w:i/>
          <w:szCs w:val="22"/>
        </w:rPr>
        <w:t>AS/NZS ISO 5149:</w:t>
      </w:r>
      <w:r w:rsidR="009C5C01">
        <w:rPr>
          <w:rFonts w:eastAsia="Times New Roman"/>
          <w:i/>
          <w:szCs w:val="22"/>
        </w:rPr>
        <w:t xml:space="preserve"> </w:t>
      </w:r>
      <w:r w:rsidRPr="005A7687">
        <w:rPr>
          <w:rFonts w:eastAsia="Times New Roman"/>
          <w:i/>
          <w:szCs w:val="22"/>
        </w:rPr>
        <w:t>2016 Refrigerating systems and heat pumps</w:t>
      </w:r>
      <w:r w:rsidR="00C14F18">
        <w:rPr>
          <w:rFonts w:eastAsia="Times New Roman"/>
          <w:i/>
          <w:szCs w:val="22"/>
        </w:rPr>
        <w:t>-</w:t>
      </w:r>
      <w:r w:rsidRPr="00C14F18">
        <w:rPr>
          <w:rFonts w:eastAsia="Times New Roman"/>
          <w:i/>
          <w:szCs w:val="22"/>
        </w:rPr>
        <w:t>Safety and environmental requirements</w:t>
      </w:r>
      <w:r>
        <w:rPr>
          <w:rFonts w:eastAsia="Times New Roman"/>
          <w:szCs w:val="22"/>
        </w:rPr>
        <w:t xml:space="preserve"> imposes refrigerant charge limits that restricts the use of HFC-32 in commercial equipment and domestic hot water heatpumps</w:t>
      </w:r>
      <w:r w:rsidR="00D37122">
        <w:rPr>
          <w:rFonts w:eastAsia="Times New Roman"/>
          <w:szCs w:val="22"/>
        </w:rPr>
        <w:t xml:space="preserve">. </w:t>
      </w:r>
      <w:r w:rsidR="009F5EAE">
        <w:rPr>
          <w:rFonts w:eastAsia="Times New Roman"/>
          <w:szCs w:val="22"/>
        </w:rPr>
        <w:t>However,</w:t>
      </w:r>
      <w:r w:rsidR="00D37122">
        <w:rPr>
          <w:rFonts w:eastAsia="Times New Roman"/>
          <w:szCs w:val="22"/>
        </w:rPr>
        <w:t xml:space="preserve"> manufacturers</w:t>
      </w:r>
      <w:r>
        <w:rPr>
          <w:rFonts w:eastAsia="Times New Roman"/>
          <w:szCs w:val="22"/>
        </w:rPr>
        <w:t xml:space="preserve"> are exploring lower GWP alternatives</w:t>
      </w:r>
      <w:r w:rsidR="00D37122">
        <w:rPr>
          <w:rFonts w:eastAsia="Times New Roman"/>
          <w:szCs w:val="22"/>
        </w:rPr>
        <w:t xml:space="preserve"> for these product categories</w:t>
      </w:r>
      <w:r>
        <w:rPr>
          <w:rFonts w:eastAsia="Times New Roman"/>
          <w:szCs w:val="22"/>
        </w:rPr>
        <w:t>.</w:t>
      </w:r>
    </w:p>
    <w:p w14:paraId="6996469D" w14:textId="70AFAD6E" w:rsidR="00B85D06" w:rsidRDefault="00B85D06" w:rsidP="00B85D06">
      <w:pPr>
        <w:rPr>
          <w:szCs w:val="22"/>
        </w:rPr>
      </w:pPr>
      <w:r w:rsidRPr="00D573E8">
        <w:rPr>
          <w:szCs w:val="22"/>
        </w:rPr>
        <w:t>Analysis was undertaken of the PCE</w:t>
      </w:r>
      <w:r w:rsidR="005646D1">
        <w:rPr>
          <w:szCs w:val="22"/>
        </w:rPr>
        <w:t xml:space="preserve"> imports</w:t>
      </w:r>
      <w:r>
        <w:rPr>
          <w:szCs w:val="22"/>
        </w:rPr>
        <w:t xml:space="preserve"> </w:t>
      </w:r>
      <w:r w:rsidRPr="00D573E8">
        <w:rPr>
          <w:szCs w:val="22"/>
          <w:lang w:val="en-AU"/>
        </w:rPr>
        <w:t xml:space="preserve">for 2014, 2015 and 2016 reported under the </w:t>
      </w:r>
      <w:r w:rsidRPr="00D573E8">
        <w:rPr>
          <w:i/>
          <w:szCs w:val="22"/>
          <w:lang w:val="en-AU"/>
        </w:rPr>
        <w:t>‘Domestic use air conditioning’</w:t>
      </w:r>
      <w:r w:rsidRPr="00D573E8">
        <w:rPr>
          <w:szCs w:val="22"/>
          <w:lang w:val="en-AU"/>
        </w:rPr>
        <w:t xml:space="preserve"> </w:t>
      </w:r>
      <w:r>
        <w:rPr>
          <w:szCs w:val="22"/>
          <w:lang w:val="en-AU"/>
        </w:rPr>
        <w:t xml:space="preserve">and </w:t>
      </w:r>
      <w:r w:rsidRPr="00D573E8">
        <w:rPr>
          <w:rFonts w:eastAsia="Times New Roman"/>
          <w:szCs w:val="22"/>
        </w:rPr>
        <w:t>‘</w:t>
      </w:r>
      <w:r w:rsidRPr="00D573E8">
        <w:rPr>
          <w:rFonts w:eastAsia="Times New Roman"/>
          <w:i/>
          <w:szCs w:val="22"/>
        </w:rPr>
        <w:t>Commercial use air conditioning’</w:t>
      </w:r>
      <w:r>
        <w:rPr>
          <w:szCs w:val="22"/>
          <w:lang w:val="en-AU"/>
        </w:rPr>
        <w:t xml:space="preserve"> </w:t>
      </w:r>
      <w:r w:rsidRPr="00D573E8">
        <w:rPr>
          <w:szCs w:val="22"/>
          <w:lang w:val="en-AU"/>
        </w:rPr>
        <w:t>categor</w:t>
      </w:r>
      <w:r>
        <w:rPr>
          <w:szCs w:val="22"/>
          <w:lang w:val="en-AU"/>
        </w:rPr>
        <w:t xml:space="preserve">ies dissected into three charge sizes including &gt;2.6 kg and </w:t>
      </w:r>
      <w:r w:rsidRPr="0025727A">
        <w:rPr>
          <w:szCs w:val="22"/>
        </w:rPr>
        <w:t>≤</w:t>
      </w:r>
      <w:r>
        <w:rPr>
          <w:szCs w:val="22"/>
        </w:rPr>
        <w:t xml:space="preserve">10 kg; &gt;10 kg and </w:t>
      </w:r>
      <w:r w:rsidRPr="0025727A">
        <w:rPr>
          <w:szCs w:val="22"/>
        </w:rPr>
        <w:t>≤</w:t>
      </w:r>
      <w:r>
        <w:rPr>
          <w:szCs w:val="22"/>
        </w:rPr>
        <w:t xml:space="preserve"> 60 kg and &gt;60 kg. A summary of the results is provided in the table below.</w:t>
      </w:r>
    </w:p>
    <w:p w14:paraId="3E58147A" w14:textId="77777777" w:rsidR="00D47CC7" w:rsidRDefault="00D47CC7" w:rsidP="00B85D06">
      <w:pPr>
        <w:rPr>
          <w:szCs w:val="22"/>
        </w:rPr>
      </w:pPr>
    </w:p>
    <w:p w14:paraId="451FD94A" w14:textId="79D83623" w:rsidR="00B85D06" w:rsidRPr="00D47CC7" w:rsidRDefault="00D47CC7" w:rsidP="00D47CC7">
      <w:pPr>
        <w:pStyle w:val="Caption"/>
      </w:pPr>
      <w:bookmarkStart w:id="20" w:name="_Toc525141394"/>
      <w:r w:rsidRPr="00D47CC7">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5</w:t>
      </w:r>
      <w:r w:rsidR="009D6843">
        <w:rPr>
          <w:noProof/>
        </w:rPr>
        <w:fldChar w:fldCharType="end"/>
      </w:r>
      <w:r w:rsidRPr="00D47CC7">
        <w:t xml:space="preserve">: </w:t>
      </w:r>
      <w:r w:rsidR="00B85D06" w:rsidRPr="00D47CC7">
        <w:t xml:space="preserve">Pre-charged equipment </w:t>
      </w:r>
      <w:r w:rsidR="005646D1">
        <w:t xml:space="preserve">imports </w:t>
      </w:r>
      <w:r w:rsidR="00B85D06" w:rsidRPr="00D47CC7">
        <w:t>reported with a charge greater than 2</w:t>
      </w:r>
      <w:r w:rsidR="00C14F18">
        <w:t>.</w:t>
      </w:r>
      <w:r w:rsidR="00B85D06" w:rsidRPr="00D47CC7">
        <w:t>6</w:t>
      </w:r>
      <w:r w:rsidR="00F43119">
        <w:t xml:space="preserve"> </w:t>
      </w:r>
      <w:r w:rsidR="00C14F18">
        <w:t>kg</w:t>
      </w:r>
      <w:r w:rsidR="00B85D06" w:rsidRPr="00D47CC7">
        <w:t xml:space="preserve"> in 2014</w:t>
      </w:r>
      <w:r w:rsidR="002B2235">
        <w:t>-</w:t>
      </w:r>
      <w:r w:rsidR="00B85D06" w:rsidRPr="00D47CC7">
        <w:t>2016.</w:t>
      </w:r>
      <w:bookmarkEnd w:id="20"/>
    </w:p>
    <w:tbl>
      <w:tblPr>
        <w:tblStyle w:val="TableGrid"/>
        <w:tblW w:w="0" w:type="auto"/>
        <w:tblInd w:w="-5" w:type="dxa"/>
        <w:tblLook w:val="04A0" w:firstRow="1" w:lastRow="0" w:firstColumn="1" w:lastColumn="0" w:noHBand="0" w:noVBand="1"/>
      </w:tblPr>
      <w:tblGrid>
        <w:gridCol w:w="1355"/>
        <w:gridCol w:w="1358"/>
        <w:gridCol w:w="1353"/>
        <w:gridCol w:w="1359"/>
        <w:gridCol w:w="1354"/>
        <w:gridCol w:w="1359"/>
        <w:gridCol w:w="1354"/>
      </w:tblGrid>
      <w:tr w:rsidR="00B85D06" w14:paraId="03814E61" w14:textId="77777777" w:rsidTr="00CD73A6">
        <w:tc>
          <w:tcPr>
            <w:tcW w:w="1355" w:type="dxa"/>
            <w:vMerge w:val="restart"/>
            <w:shd w:val="clear" w:color="auto" w:fill="B6DDE8" w:themeFill="accent5" w:themeFillTint="66"/>
            <w:vAlign w:val="center"/>
          </w:tcPr>
          <w:p w14:paraId="71DFC711" w14:textId="77777777" w:rsidR="00B85D06" w:rsidRPr="00B7182A" w:rsidRDefault="00B85D06" w:rsidP="00B66ECA">
            <w:pPr>
              <w:spacing w:before="60" w:after="60"/>
            </w:pPr>
          </w:p>
        </w:tc>
        <w:tc>
          <w:tcPr>
            <w:tcW w:w="2711" w:type="dxa"/>
            <w:gridSpan w:val="2"/>
            <w:shd w:val="clear" w:color="auto" w:fill="B6DDE8" w:themeFill="accent5" w:themeFillTint="66"/>
            <w:vAlign w:val="center"/>
          </w:tcPr>
          <w:p w14:paraId="30E4D98D" w14:textId="77777777" w:rsidR="00B85D06" w:rsidRPr="00B7182A" w:rsidRDefault="00B85D06" w:rsidP="00B66ECA">
            <w:pPr>
              <w:spacing w:before="60" w:after="60"/>
              <w:jc w:val="center"/>
            </w:pPr>
            <w:r w:rsidRPr="00B7182A">
              <w:t>2014</w:t>
            </w:r>
          </w:p>
        </w:tc>
        <w:tc>
          <w:tcPr>
            <w:tcW w:w="2713" w:type="dxa"/>
            <w:gridSpan w:val="2"/>
            <w:shd w:val="clear" w:color="auto" w:fill="B6DDE8" w:themeFill="accent5" w:themeFillTint="66"/>
            <w:vAlign w:val="center"/>
          </w:tcPr>
          <w:p w14:paraId="567AD229" w14:textId="77777777" w:rsidR="00B85D06" w:rsidRPr="00B7182A" w:rsidRDefault="00B85D06" w:rsidP="00B66ECA">
            <w:pPr>
              <w:spacing w:before="60" w:after="60"/>
              <w:jc w:val="center"/>
            </w:pPr>
            <w:r w:rsidRPr="00B7182A">
              <w:t>2015</w:t>
            </w:r>
          </w:p>
        </w:tc>
        <w:tc>
          <w:tcPr>
            <w:tcW w:w="2713" w:type="dxa"/>
            <w:gridSpan w:val="2"/>
            <w:shd w:val="clear" w:color="auto" w:fill="B6DDE8" w:themeFill="accent5" w:themeFillTint="66"/>
            <w:vAlign w:val="center"/>
          </w:tcPr>
          <w:p w14:paraId="40DD43DD" w14:textId="77777777" w:rsidR="00B85D06" w:rsidRPr="00B7182A" w:rsidRDefault="00B85D06" w:rsidP="00B66ECA">
            <w:pPr>
              <w:spacing w:before="60" w:after="60"/>
              <w:jc w:val="center"/>
            </w:pPr>
            <w:r w:rsidRPr="00B7182A">
              <w:t>2016</w:t>
            </w:r>
          </w:p>
        </w:tc>
      </w:tr>
      <w:tr w:rsidR="00B85D06" w14:paraId="2B9F8D93" w14:textId="77777777" w:rsidTr="00CD73A6">
        <w:tc>
          <w:tcPr>
            <w:tcW w:w="1355" w:type="dxa"/>
            <w:vMerge/>
            <w:shd w:val="clear" w:color="auto" w:fill="B6DDE8" w:themeFill="accent5" w:themeFillTint="66"/>
            <w:vAlign w:val="center"/>
          </w:tcPr>
          <w:p w14:paraId="12A89198" w14:textId="77777777" w:rsidR="00B85D06" w:rsidRPr="00B7182A" w:rsidRDefault="00B85D06" w:rsidP="00B66ECA">
            <w:pPr>
              <w:spacing w:before="60" w:after="60"/>
            </w:pPr>
          </w:p>
        </w:tc>
        <w:tc>
          <w:tcPr>
            <w:tcW w:w="1358" w:type="dxa"/>
            <w:shd w:val="clear" w:color="auto" w:fill="B6DDE8" w:themeFill="accent5" w:themeFillTint="66"/>
            <w:vAlign w:val="center"/>
          </w:tcPr>
          <w:p w14:paraId="67E62A17" w14:textId="77777777" w:rsidR="00B85D06" w:rsidRPr="00B7182A" w:rsidRDefault="00B85D06" w:rsidP="00B66ECA">
            <w:pPr>
              <w:spacing w:before="60" w:after="60"/>
              <w:jc w:val="center"/>
            </w:pPr>
            <w:r w:rsidRPr="00B7182A">
              <w:rPr>
                <w:color w:val="000000"/>
              </w:rPr>
              <w:t>Units</w:t>
            </w:r>
          </w:p>
        </w:tc>
        <w:tc>
          <w:tcPr>
            <w:tcW w:w="1353" w:type="dxa"/>
            <w:shd w:val="clear" w:color="auto" w:fill="B6DDE8" w:themeFill="accent5" w:themeFillTint="66"/>
            <w:vAlign w:val="center"/>
          </w:tcPr>
          <w:p w14:paraId="03E9A534" w14:textId="77777777" w:rsidR="00B85D06" w:rsidRPr="00B7182A" w:rsidRDefault="00B85D06" w:rsidP="00B66ECA">
            <w:pPr>
              <w:spacing w:before="60" w:after="60"/>
              <w:jc w:val="center"/>
            </w:pPr>
            <w:r w:rsidRPr="00B7182A">
              <w:rPr>
                <w:color w:val="000000"/>
              </w:rPr>
              <w:t>Tonnes</w:t>
            </w:r>
          </w:p>
        </w:tc>
        <w:tc>
          <w:tcPr>
            <w:tcW w:w="1359" w:type="dxa"/>
            <w:shd w:val="clear" w:color="auto" w:fill="B6DDE8" w:themeFill="accent5" w:themeFillTint="66"/>
            <w:vAlign w:val="center"/>
          </w:tcPr>
          <w:p w14:paraId="35735E22" w14:textId="77777777" w:rsidR="00B85D06" w:rsidRPr="00B7182A" w:rsidRDefault="00B85D06" w:rsidP="00B66ECA">
            <w:pPr>
              <w:spacing w:before="60" w:after="60"/>
              <w:jc w:val="center"/>
            </w:pPr>
            <w:r w:rsidRPr="00B7182A">
              <w:rPr>
                <w:color w:val="000000"/>
              </w:rPr>
              <w:t>Units</w:t>
            </w:r>
          </w:p>
        </w:tc>
        <w:tc>
          <w:tcPr>
            <w:tcW w:w="1354" w:type="dxa"/>
            <w:shd w:val="clear" w:color="auto" w:fill="B6DDE8" w:themeFill="accent5" w:themeFillTint="66"/>
            <w:vAlign w:val="center"/>
          </w:tcPr>
          <w:p w14:paraId="25EF1891" w14:textId="77777777" w:rsidR="00B85D06" w:rsidRPr="00B7182A" w:rsidRDefault="00B85D06" w:rsidP="00B66ECA">
            <w:pPr>
              <w:spacing w:before="60" w:after="60"/>
              <w:jc w:val="center"/>
            </w:pPr>
            <w:r w:rsidRPr="00B7182A">
              <w:rPr>
                <w:color w:val="000000"/>
              </w:rPr>
              <w:t>Tonnes</w:t>
            </w:r>
          </w:p>
        </w:tc>
        <w:tc>
          <w:tcPr>
            <w:tcW w:w="1359" w:type="dxa"/>
            <w:shd w:val="clear" w:color="auto" w:fill="B6DDE8" w:themeFill="accent5" w:themeFillTint="66"/>
            <w:vAlign w:val="center"/>
          </w:tcPr>
          <w:p w14:paraId="608E40D3" w14:textId="77777777" w:rsidR="00B85D06" w:rsidRPr="00B7182A" w:rsidRDefault="00B85D06" w:rsidP="00B66ECA">
            <w:pPr>
              <w:spacing w:before="60" w:after="60"/>
              <w:jc w:val="center"/>
            </w:pPr>
            <w:r w:rsidRPr="00B7182A">
              <w:rPr>
                <w:color w:val="000000"/>
              </w:rPr>
              <w:t>Units</w:t>
            </w:r>
          </w:p>
        </w:tc>
        <w:tc>
          <w:tcPr>
            <w:tcW w:w="1354" w:type="dxa"/>
            <w:shd w:val="clear" w:color="auto" w:fill="B6DDE8" w:themeFill="accent5" w:themeFillTint="66"/>
            <w:vAlign w:val="center"/>
          </w:tcPr>
          <w:p w14:paraId="4C59C9CD" w14:textId="77777777" w:rsidR="00B85D06" w:rsidRPr="00B7182A" w:rsidRDefault="00B85D06" w:rsidP="00B66ECA">
            <w:pPr>
              <w:spacing w:before="60" w:after="60"/>
              <w:jc w:val="center"/>
            </w:pPr>
            <w:r w:rsidRPr="00B7182A">
              <w:rPr>
                <w:color w:val="000000"/>
              </w:rPr>
              <w:t>Tonnes</w:t>
            </w:r>
          </w:p>
        </w:tc>
      </w:tr>
      <w:tr w:rsidR="00B85D06" w14:paraId="5DC6A4E6" w14:textId="77777777" w:rsidTr="00D8549E">
        <w:tc>
          <w:tcPr>
            <w:tcW w:w="9492" w:type="dxa"/>
            <w:gridSpan w:val="7"/>
            <w:vAlign w:val="center"/>
          </w:tcPr>
          <w:p w14:paraId="2306FA8C" w14:textId="77777777" w:rsidR="00B85D06" w:rsidRPr="00B7182A" w:rsidRDefault="00B85D06" w:rsidP="00B66ECA">
            <w:pPr>
              <w:spacing w:before="60" w:after="60"/>
            </w:pPr>
            <w:r w:rsidRPr="00B7182A">
              <w:rPr>
                <w:lang w:val="en-AU"/>
              </w:rPr>
              <w:t xml:space="preserve">&gt;2.6 kg and </w:t>
            </w:r>
            <w:r w:rsidRPr="00B7182A">
              <w:t>≤10 kg</w:t>
            </w:r>
          </w:p>
        </w:tc>
      </w:tr>
      <w:tr w:rsidR="00B85D06" w14:paraId="39B2EBC8" w14:textId="77777777" w:rsidTr="00D8549E">
        <w:tc>
          <w:tcPr>
            <w:tcW w:w="1355" w:type="dxa"/>
            <w:vAlign w:val="center"/>
          </w:tcPr>
          <w:p w14:paraId="28B0F5CE" w14:textId="77777777" w:rsidR="00B85D06" w:rsidRPr="00B7182A" w:rsidRDefault="00B85D06" w:rsidP="00B66ECA">
            <w:pPr>
              <w:spacing w:before="60" w:after="60"/>
            </w:pPr>
            <w:r w:rsidRPr="00B7182A">
              <w:t>HFC-410A</w:t>
            </w:r>
          </w:p>
        </w:tc>
        <w:tc>
          <w:tcPr>
            <w:tcW w:w="1358" w:type="dxa"/>
            <w:vAlign w:val="center"/>
          </w:tcPr>
          <w:p w14:paraId="27D2A90B" w14:textId="77777777" w:rsidR="00B85D06" w:rsidRPr="00B7182A" w:rsidRDefault="00B85D06" w:rsidP="00B66ECA">
            <w:pPr>
              <w:spacing w:before="60" w:after="60"/>
              <w:jc w:val="center"/>
            </w:pPr>
            <w:r w:rsidRPr="00B7182A">
              <w:rPr>
                <w:color w:val="000000"/>
              </w:rPr>
              <w:t>187,137</w:t>
            </w:r>
          </w:p>
        </w:tc>
        <w:tc>
          <w:tcPr>
            <w:tcW w:w="1353" w:type="dxa"/>
            <w:vAlign w:val="center"/>
          </w:tcPr>
          <w:p w14:paraId="57ABD03B" w14:textId="77777777" w:rsidR="00B85D06" w:rsidRPr="00B7182A" w:rsidRDefault="00B85D06" w:rsidP="00B66ECA">
            <w:pPr>
              <w:spacing w:before="60" w:after="60"/>
              <w:jc w:val="center"/>
            </w:pPr>
            <w:r w:rsidRPr="00B7182A">
              <w:rPr>
                <w:color w:val="000000"/>
              </w:rPr>
              <w:t>661.3</w:t>
            </w:r>
          </w:p>
        </w:tc>
        <w:tc>
          <w:tcPr>
            <w:tcW w:w="1359" w:type="dxa"/>
            <w:vAlign w:val="center"/>
          </w:tcPr>
          <w:p w14:paraId="75603AFA" w14:textId="77777777" w:rsidR="00B85D06" w:rsidRPr="00B7182A" w:rsidRDefault="00B85D06" w:rsidP="00B66ECA">
            <w:pPr>
              <w:spacing w:before="60" w:after="60"/>
              <w:jc w:val="center"/>
            </w:pPr>
            <w:r w:rsidRPr="00B7182A">
              <w:rPr>
                <w:color w:val="000000"/>
              </w:rPr>
              <w:t>195,161</w:t>
            </w:r>
          </w:p>
        </w:tc>
        <w:tc>
          <w:tcPr>
            <w:tcW w:w="1354" w:type="dxa"/>
            <w:vAlign w:val="center"/>
          </w:tcPr>
          <w:p w14:paraId="07C376F8" w14:textId="77777777" w:rsidR="00B85D06" w:rsidRPr="00B7182A" w:rsidRDefault="00B85D06" w:rsidP="00B66ECA">
            <w:pPr>
              <w:spacing w:before="60" w:after="60"/>
              <w:jc w:val="center"/>
            </w:pPr>
            <w:r w:rsidRPr="00B7182A">
              <w:rPr>
                <w:color w:val="000000"/>
              </w:rPr>
              <w:t>730.0</w:t>
            </w:r>
          </w:p>
        </w:tc>
        <w:tc>
          <w:tcPr>
            <w:tcW w:w="1359" w:type="dxa"/>
            <w:vAlign w:val="center"/>
          </w:tcPr>
          <w:p w14:paraId="70B7BC2B" w14:textId="77777777" w:rsidR="00B85D06" w:rsidRPr="00B7182A" w:rsidRDefault="00B85D06" w:rsidP="00B66ECA">
            <w:pPr>
              <w:spacing w:before="60" w:after="60"/>
              <w:jc w:val="center"/>
            </w:pPr>
            <w:r w:rsidRPr="00B7182A">
              <w:rPr>
                <w:color w:val="000000"/>
              </w:rPr>
              <w:t>199,596</w:t>
            </w:r>
          </w:p>
        </w:tc>
        <w:tc>
          <w:tcPr>
            <w:tcW w:w="1354" w:type="dxa"/>
            <w:vAlign w:val="center"/>
          </w:tcPr>
          <w:p w14:paraId="53BAA0AD" w14:textId="77777777" w:rsidR="00B85D06" w:rsidRPr="00B7182A" w:rsidRDefault="00B85D06" w:rsidP="00B66ECA">
            <w:pPr>
              <w:spacing w:before="60" w:after="60"/>
              <w:jc w:val="center"/>
            </w:pPr>
            <w:r w:rsidRPr="00B7182A">
              <w:rPr>
                <w:color w:val="000000"/>
              </w:rPr>
              <w:t>773.5</w:t>
            </w:r>
          </w:p>
        </w:tc>
      </w:tr>
      <w:tr w:rsidR="00B85D06" w14:paraId="295BB3A5" w14:textId="77777777" w:rsidTr="00D8549E">
        <w:tc>
          <w:tcPr>
            <w:tcW w:w="1355" w:type="dxa"/>
            <w:vAlign w:val="center"/>
          </w:tcPr>
          <w:p w14:paraId="200C36D1" w14:textId="77777777" w:rsidR="00B85D06" w:rsidRPr="00B7182A" w:rsidRDefault="00B85D06" w:rsidP="00B66ECA">
            <w:pPr>
              <w:spacing w:before="60" w:after="60"/>
            </w:pPr>
            <w:r w:rsidRPr="00B7182A">
              <w:t>HFC-407C</w:t>
            </w:r>
          </w:p>
        </w:tc>
        <w:tc>
          <w:tcPr>
            <w:tcW w:w="1358" w:type="dxa"/>
            <w:vAlign w:val="center"/>
          </w:tcPr>
          <w:p w14:paraId="0F9FBDA1" w14:textId="77777777" w:rsidR="00B85D06" w:rsidRPr="00B7182A" w:rsidRDefault="00B85D06" w:rsidP="00B66ECA">
            <w:pPr>
              <w:spacing w:before="60" w:after="60"/>
              <w:jc w:val="center"/>
            </w:pPr>
            <w:r w:rsidRPr="00B7182A">
              <w:rPr>
                <w:color w:val="000000"/>
              </w:rPr>
              <w:t>291</w:t>
            </w:r>
          </w:p>
        </w:tc>
        <w:tc>
          <w:tcPr>
            <w:tcW w:w="1353" w:type="dxa"/>
            <w:vAlign w:val="center"/>
          </w:tcPr>
          <w:p w14:paraId="7E3A8AD3" w14:textId="77777777" w:rsidR="00B85D06" w:rsidRPr="00B7182A" w:rsidRDefault="00B85D06" w:rsidP="00B66ECA">
            <w:pPr>
              <w:spacing w:before="60" w:after="60"/>
              <w:jc w:val="center"/>
            </w:pPr>
            <w:r w:rsidRPr="00B7182A">
              <w:rPr>
                <w:color w:val="000000"/>
              </w:rPr>
              <w:t>1.2</w:t>
            </w:r>
          </w:p>
        </w:tc>
        <w:tc>
          <w:tcPr>
            <w:tcW w:w="1359" w:type="dxa"/>
            <w:vAlign w:val="center"/>
          </w:tcPr>
          <w:p w14:paraId="26ECA97B" w14:textId="77777777" w:rsidR="00B85D06" w:rsidRPr="00B7182A" w:rsidRDefault="00B85D06" w:rsidP="00B66ECA">
            <w:pPr>
              <w:spacing w:before="60" w:after="60"/>
              <w:jc w:val="center"/>
            </w:pPr>
            <w:r w:rsidRPr="00B7182A">
              <w:rPr>
                <w:color w:val="000000"/>
              </w:rPr>
              <w:t>137</w:t>
            </w:r>
          </w:p>
        </w:tc>
        <w:tc>
          <w:tcPr>
            <w:tcW w:w="1354" w:type="dxa"/>
            <w:vAlign w:val="center"/>
          </w:tcPr>
          <w:p w14:paraId="602E8BA7" w14:textId="77777777" w:rsidR="00B85D06" w:rsidRPr="00B7182A" w:rsidRDefault="00B85D06" w:rsidP="00B66ECA">
            <w:pPr>
              <w:spacing w:before="60" w:after="60"/>
              <w:jc w:val="center"/>
            </w:pPr>
            <w:r w:rsidRPr="00B7182A">
              <w:rPr>
                <w:color w:val="000000"/>
              </w:rPr>
              <w:t>0.8</w:t>
            </w:r>
          </w:p>
        </w:tc>
        <w:tc>
          <w:tcPr>
            <w:tcW w:w="1359" w:type="dxa"/>
            <w:vAlign w:val="center"/>
          </w:tcPr>
          <w:p w14:paraId="74B079CE" w14:textId="77777777" w:rsidR="00B85D06" w:rsidRPr="00B7182A" w:rsidRDefault="00B85D06" w:rsidP="00B66ECA">
            <w:pPr>
              <w:spacing w:before="60" w:after="60"/>
              <w:jc w:val="center"/>
            </w:pPr>
            <w:r w:rsidRPr="00B7182A">
              <w:rPr>
                <w:color w:val="000000"/>
              </w:rPr>
              <w:t>46</w:t>
            </w:r>
          </w:p>
        </w:tc>
        <w:tc>
          <w:tcPr>
            <w:tcW w:w="1354" w:type="dxa"/>
            <w:vAlign w:val="center"/>
          </w:tcPr>
          <w:p w14:paraId="313DC282" w14:textId="77777777" w:rsidR="00B85D06" w:rsidRPr="00B7182A" w:rsidRDefault="00B85D06" w:rsidP="00B66ECA">
            <w:pPr>
              <w:spacing w:before="60" w:after="60"/>
              <w:jc w:val="center"/>
            </w:pPr>
            <w:r w:rsidRPr="00B7182A">
              <w:rPr>
                <w:color w:val="000000"/>
              </w:rPr>
              <w:t>0.2</w:t>
            </w:r>
          </w:p>
        </w:tc>
      </w:tr>
      <w:tr w:rsidR="00B85D06" w14:paraId="1E96CC43" w14:textId="77777777" w:rsidTr="00D8549E">
        <w:tc>
          <w:tcPr>
            <w:tcW w:w="1355" w:type="dxa"/>
            <w:vAlign w:val="center"/>
          </w:tcPr>
          <w:p w14:paraId="3E07802E" w14:textId="77777777" w:rsidR="00B85D06" w:rsidRPr="00B7182A" w:rsidRDefault="00B85D06" w:rsidP="00B66ECA">
            <w:pPr>
              <w:spacing w:before="60" w:after="60"/>
            </w:pPr>
            <w:r w:rsidRPr="00B7182A">
              <w:t>Sub-total</w:t>
            </w:r>
          </w:p>
        </w:tc>
        <w:tc>
          <w:tcPr>
            <w:tcW w:w="1358" w:type="dxa"/>
            <w:vAlign w:val="center"/>
          </w:tcPr>
          <w:p w14:paraId="40CD4A3D" w14:textId="77777777" w:rsidR="00B85D06" w:rsidRPr="00B7182A" w:rsidRDefault="00B85D06" w:rsidP="00B66ECA">
            <w:pPr>
              <w:spacing w:before="60" w:after="60"/>
              <w:jc w:val="center"/>
            </w:pPr>
            <w:r w:rsidRPr="00B7182A">
              <w:rPr>
                <w:color w:val="000000"/>
              </w:rPr>
              <w:t>187,428</w:t>
            </w:r>
          </w:p>
        </w:tc>
        <w:tc>
          <w:tcPr>
            <w:tcW w:w="1353" w:type="dxa"/>
            <w:vAlign w:val="center"/>
          </w:tcPr>
          <w:p w14:paraId="1EA5E4B9" w14:textId="77777777" w:rsidR="00B85D06" w:rsidRPr="00B7182A" w:rsidRDefault="00B85D06" w:rsidP="00B66ECA">
            <w:pPr>
              <w:spacing w:before="60" w:after="60"/>
              <w:jc w:val="center"/>
            </w:pPr>
            <w:r w:rsidRPr="00B7182A">
              <w:rPr>
                <w:color w:val="000000"/>
              </w:rPr>
              <w:t>662.5</w:t>
            </w:r>
          </w:p>
        </w:tc>
        <w:tc>
          <w:tcPr>
            <w:tcW w:w="1359" w:type="dxa"/>
            <w:vAlign w:val="center"/>
          </w:tcPr>
          <w:p w14:paraId="5D444986" w14:textId="77777777" w:rsidR="00B85D06" w:rsidRPr="00B7182A" w:rsidRDefault="00B85D06" w:rsidP="00B66ECA">
            <w:pPr>
              <w:spacing w:before="60" w:after="60"/>
              <w:jc w:val="center"/>
            </w:pPr>
            <w:r w:rsidRPr="00B7182A">
              <w:rPr>
                <w:color w:val="000000"/>
              </w:rPr>
              <w:t>195,298</w:t>
            </w:r>
          </w:p>
        </w:tc>
        <w:tc>
          <w:tcPr>
            <w:tcW w:w="1354" w:type="dxa"/>
            <w:vAlign w:val="center"/>
          </w:tcPr>
          <w:p w14:paraId="1FC57BFD" w14:textId="77777777" w:rsidR="00B85D06" w:rsidRPr="00B7182A" w:rsidRDefault="00B85D06" w:rsidP="00B66ECA">
            <w:pPr>
              <w:spacing w:before="60" w:after="60"/>
              <w:jc w:val="center"/>
            </w:pPr>
            <w:r w:rsidRPr="00B7182A">
              <w:rPr>
                <w:color w:val="000000"/>
              </w:rPr>
              <w:t>730.8</w:t>
            </w:r>
          </w:p>
        </w:tc>
        <w:tc>
          <w:tcPr>
            <w:tcW w:w="1359" w:type="dxa"/>
            <w:vAlign w:val="center"/>
          </w:tcPr>
          <w:p w14:paraId="7632585F" w14:textId="77777777" w:rsidR="00B85D06" w:rsidRPr="00B7182A" w:rsidRDefault="00B85D06" w:rsidP="00B66ECA">
            <w:pPr>
              <w:spacing w:before="60" w:after="60"/>
              <w:jc w:val="center"/>
            </w:pPr>
            <w:r w:rsidRPr="00B7182A">
              <w:rPr>
                <w:color w:val="000000"/>
              </w:rPr>
              <w:t>199,642</w:t>
            </w:r>
          </w:p>
        </w:tc>
        <w:tc>
          <w:tcPr>
            <w:tcW w:w="1354" w:type="dxa"/>
            <w:vAlign w:val="center"/>
          </w:tcPr>
          <w:p w14:paraId="04752EF3" w14:textId="77777777" w:rsidR="00B85D06" w:rsidRPr="00B7182A" w:rsidRDefault="00B85D06" w:rsidP="00B66ECA">
            <w:pPr>
              <w:spacing w:before="60" w:after="60"/>
              <w:jc w:val="center"/>
            </w:pPr>
            <w:r w:rsidRPr="00B7182A">
              <w:rPr>
                <w:color w:val="000000"/>
              </w:rPr>
              <w:t>773.7</w:t>
            </w:r>
          </w:p>
        </w:tc>
      </w:tr>
      <w:tr w:rsidR="00B85D06" w14:paraId="6313EF57" w14:textId="77777777" w:rsidTr="00D8549E">
        <w:tc>
          <w:tcPr>
            <w:tcW w:w="9492" w:type="dxa"/>
            <w:gridSpan w:val="7"/>
            <w:vAlign w:val="center"/>
          </w:tcPr>
          <w:p w14:paraId="1A26F1B8" w14:textId="594FF1D4" w:rsidR="00B85D06" w:rsidRPr="00B7182A" w:rsidRDefault="00B85D06" w:rsidP="00B66ECA">
            <w:pPr>
              <w:spacing w:before="60" w:after="60"/>
            </w:pPr>
            <w:r w:rsidRPr="00B7182A">
              <w:t>&gt;10 kg and ≤ 60 kg</w:t>
            </w:r>
          </w:p>
        </w:tc>
      </w:tr>
      <w:tr w:rsidR="00B85D06" w14:paraId="75099361" w14:textId="77777777" w:rsidTr="00D8549E">
        <w:tc>
          <w:tcPr>
            <w:tcW w:w="1355" w:type="dxa"/>
            <w:vAlign w:val="center"/>
          </w:tcPr>
          <w:p w14:paraId="0ED1D219" w14:textId="77777777" w:rsidR="00B85D06" w:rsidRPr="00B7182A" w:rsidRDefault="00B85D06" w:rsidP="00B66ECA">
            <w:pPr>
              <w:spacing w:before="60" w:after="60"/>
            </w:pPr>
            <w:r w:rsidRPr="00B7182A">
              <w:t>HFC-410A</w:t>
            </w:r>
          </w:p>
        </w:tc>
        <w:tc>
          <w:tcPr>
            <w:tcW w:w="1358" w:type="dxa"/>
            <w:vAlign w:val="center"/>
          </w:tcPr>
          <w:p w14:paraId="2275B55E" w14:textId="77777777" w:rsidR="00B85D06" w:rsidRPr="00B7182A" w:rsidRDefault="00B85D06" w:rsidP="00B66ECA">
            <w:pPr>
              <w:spacing w:before="60" w:after="60"/>
              <w:jc w:val="center"/>
            </w:pPr>
            <w:r w:rsidRPr="00B7182A">
              <w:rPr>
                <w:color w:val="000000"/>
              </w:rPr>
              <w:t>6,338</w:t>
            </w:r>
          </w:p>
        </w:tc>
        <w:tc>
          <w:tcPr>
            <w:tcW w:w="1353" w:type="dxa"/>
            <w:vAlign w:val="center"/>
          </w:tcPr>
          <w:p w14:paraId="18BB980A" w14:textId="77777777" w:rsidR="00B85D06" w:rsidRPr="00B7182A" w:rsidRDefault="00B85D06" w:rsidP="00B66ECA">
            <w:pPr>
              <w:spacing w:before="60" w:after="60"/>
              <w:jc w:val="center"/>
            </w:pPr>
            <w:r w:rsidRPr="00B7182A">
              <w:rPr>
                <w:color w:val="000000"/>
              </w:rPr>
              <w:t>77.1</w:t>
            </w:r>
          </w:p>
        </w:tc>
        <w:tc>
          <w:tcPr>
            <w:tcW w:w="1359" w:type="dxa"/>
            <w:vAlign w:val="center"/>
          </w:tcPr>
          <w:p w14:paraId="6FC476A5" w14:textId="77777777" w:rsidR="00B85D06" w:rsidRPr="00B7182A" w:rsidRDefault="00B85D06" w:rsidP="00B66ECA">
            <w:pPr>
              <w:spacing w:before="60" w:after="60"/>
              <w:jc w:val="center"/>
            </w:pPr>
            <w:r w:rsidRPr="00B7182A">
              <w:rPr>
                <w:color w:val="000000"/>
              </w:rPr>
              <w:t>9,482</w:t>
            </w:r>
          </w:p>
        </w:tc>
        <w:tc>
          <w:tcPr>
            <w:tcW w:w="1354" w:type="dxa"/>
            <w:vAlign w:val="center"/>
          </w:tcPr>
          <w:p w14:paraId="5F088EED" w14:textId="77777777" w:rsidR="00B85D06" w:rsidRPr="00B7182A" w:rsidRDefault="00B85D06" w:rsidP="00B66ECA">
            <w:pPr>
              <w:spacing w:before="60" w:after="60"/>
              <w:jc w:val="center"/>
            </w:pPr>
            <w:r w:rsidRPr="00B7182A">
              <w:rPr>
                <w:color w:val="000000"/>
              </w:rPr>
              <w:t>111.5</w:t>
            </w:r>
          </w:p>
        </w:tc>
        <w:tc>
          <w:tcPr>
            <w:tcW w:w="1359" w:type="dxa"/>
            <w:vAlign w:val="center"/>
          </w:tcPr>
          <w:p w14:paraId="66600505" w14:textId="77777777" w:rsidR="00B85D06" w:rsidRPr="00B7182A" w:rsidRDefault="00B85D06" w:rsidP="00B66ECA">
            <w:pPr>
              <w:spacing w:before="60" w:after="60"/>
              <w:jc w:val="center"/>
            </w:pPr>
            <w:r w:rsidRPr="00B7182A">
              <w:rPr>
                <w:color w:val="000000"/>
              </w:rPr>
              <w:t>12,522</w:t>
            </w:r>
          </w:p>
        </w:tc>
        <w:tc>
          <w:tcPr>
            <w:tcW w:w="1354" w:type="dxa"/>
            <w:vAlign w:val="center"/>
          </w:tcPr>
          <w:p w14:paraId="0CAD7260" w14:textId="77777777" w:rsidR="00B85D06" w:rsidRPr="00B7182A" w:rsidRDefault="00B85D06" w:rsidP="00B66ECA">
            <w:pPr>
              <w:spacing w:before="60" w:after="60"/>
              <w:jc w:val="center"/>
            </w:pPr>
            <w:r w:rsidRPr="00B7182A">
              <w:rPr>
                <w:color w:val="000000"/>
              </w:rPr>
              <w:t>147.5</w:t>
            </w:r>
          </w:p>
        </w:tc>
      </w:tr>
      <w:tr w:rsidR="00B85D06" w14:paraId="3EC66DAD" w14:textId="77777777" w:rsidTr="00D8549E">
        <w:tc>
          <w:tcPr>
            <w:tcW w:w="1355" w:type="dxa"/>
            <w:vAlign w:val="center"/>
          </w:tcPr>
          <w:p w14:paraId="0B67ED86" w14:textId="77777777" w:rsidR="00B85D06" w:rsidRPr="00B7182A" w:rsidRDefault="00B85D06" w:rsidP="00B66ECA">
            <w:pPr>
              <w:spacing w:before="60" w:after="60"/>
            </w:pPr>
            <w:r w:rsidRPr="00B7182A">
              <w:t>HFC-407C</w:t>
            </w:r>
          </w:p>
        </w:tc>
        <w:tc>
          <w:tcPr>
            <w:tcW w:w="1358" w:type="dxa"/>
            <w:vAlign w:val="center"/>
          </w:tcPr>
          <w:p w14:paraId="2D0FD5C5" w14:textId="77777777" w:rsidR="00B85D06" w:rsidRPr="00B7182A" w:rsidRDefault="00B85D06" w:rsidP="00B66ECA">
            <w:pPr>
              <w:spacing w:before="60" w:after="60"/>
              <w:jc w:val="center"/>
            </w:pPr>
            <w:r w:rsidRPr="00B7182A">
              <w:rPr>
                <w:color w:val="000000"/>
              </w:rPr>
              <w:t>132</w:t>
            </w:r>
          </w:p>
        </w:tc>
        <w:tc>
          <w:tcPr>
            <w:tcW w:w="1353" w:type="dxa"/>
            <w:vAlign w:val="center"/>
          </w:tcPr>
          <w:p w14:paraId="5388A0DC" w14:textId="77777777" w:rsidR="00B85D06" w:rsidRPr="00B7182A" w:rsidRDefault="00B85D06" w:rsidP="00B66ECA">
            <w:pPr>
              <w:spacing w:before="60" w:after="60"/>
              <w:jc w:val="center"/>
            </w:pPr>
            <w:r w:rsidRPr="00B7182A">
              <w:rPr>
                <w:color w:val="000000"/>
              </w:rPr>
              <w:t>3.4</w:t>
            </w:r>
          </w:p>
        </w:tc>
        <w:tc>
          <w:tcPr>
            <w:tcW w:w="1359" w:type="dxa"/>
            <w:vAlign w:val="center"/>
          </w:tcPr>
          <w:p w14:paraId="3B8FFDE6" w14:textId="77777777" w:rsidR="00B85D06" w:rsidRPr="00B7182A" w:rsidRDefault="00B85D06" w:rsidP="00B66ECA">
            <w:pPr>
              <w:spacing w:before="60" w:after="60"/>
              <w:jc w:val="center"/>
            </w:pPr>
            <w:r w:rsidRPr="00B7182A">
              <w:rPr>
                <w:color w:val="000000"/>
              </w:rPr>
              <w:t>91</w:t>
            </w:r>
          </w:p>
        </w:tc>
        <w:tc>
          <w:tcPr>
            <w:tcW w:w="1354" w:type="dxa"/>
            <w:vAlign w:val="center"/>
          </w:tcPr>
          <w:p w14:paraId="1E0C4290" w14:textId="77777777" w:rsidR="00B85D06" w:rsidRPr="00B7182A" w:rsidRDefault="00B85D06" w:rsidP="00B66ECA">
            <w:pPr>
              <w:spacing w:before="60" w:after="60"/>
              <w:jc w:val="center"/>
            </w:pPr>
            <w:r w:rsidRPr="00B7182A">
              <w:rPr>
                <w:color w:val="000000"/>
              </w:rPr>
              <w:t>2.4</w:t>
            </w:r>
          </w:p>
        </w:tc>
        <w:tc>
          <w:tcPr>
            <w:tcW w:w="1359" w:type="dxa"/>
            <w:vAlign w:val="center"/>
          </w:tcPr>
          <w:p w14:paraId="57625844" w14:textId="77777777" w:rsidR="00B85D06" w:rsidRPr="00B7182A" w:rsidRDefault="00B85D06" w:rsidP="00B66ECA">
            <w:pPr>
              <w:spacing w:before="60" w:after="60"/>
              <w:jc w:val="center"/>
            </w:pPr>
            <w:r w:rsidRPr="00B7182A">
              <w:rPr>
                <w:color w:val="000000"/>
              </w:rPr>
              <w:t>72</w:t>
            </w:r>
          </w:p>
        </w:tc>
        <w:tc>
          <w:tcPr>
            <w:tcW w:w="1354" w:type="dxa"/>
            <w:vAlign w:val="center"/>
          </w:tcPr>
          <w:p w14:paraId="72E10D41" w14:textId="77777777" w:rsidR="00B85D06" w:rsidRPr="00B7182A" w:rsidRDefault="00B85D06" w:rsidP="00B66ECA">
            <w:pPr>
              <w:spacing w:before="60" w:after="60"/>
              <w:jc w:val="center"/>
            </w:pPr>
            <w:r w:rsidRPr="00B7182A">
              <w:rPr>
                <w:color w:val="000000"/>
              </w:rPr>
              <w:t>2.0</w:t>
            </w:r>
          </w:p>
        </w:tc>
      </w:tr>
      <w:tr w:rsidR="00B85D06" w14:paraId="17D56959" w14:textId="77777777" w:rsidTr="00D8549E">
        <w:tc>
          <w:tcPr>
            <w:tcW w:w="1355" w:type="dxa"/>
            <w:vAlign w:val="center"/>
          </w:tcPr>
          <w:p w14:paraId="5D6A5173" w14:textId="77777777" w:rsidR="00B85D06" w:rsidRPr="00B7182A" w:rsidRDefault="00B85D06" w:rsidP="00B66ECA">
            <w:pPr>
              <w:spacing w:before="60" w:after="60"/>
            </w:pPr>
            <w:r w:rsidRPr="00B7182A">
              <w:t>Sub-total</w:t>
            </w:r>
          </w:p>
        </w:tc>
        <w:tc>
          <w:tcPr>
            <w:tcW w:w="1358" w:type="dxa"/>
            <w:vAlign w:val="center"/>
          </w:tcPr>
          <w:p w14:paraId="52C38D2E" w14:textId="77777777" w:rsidR="00B85D06" w:rsidRPr="00B7182A" w:rsidRDefault="00B85D06" w:rsidP="00B66ECA">
            <w:pPr>
              <w:spacing w:before="60" w:after="60"/>
              <w:jc w:val="center"/>
            </w:pPr>
            <w:r w:rsidRPr="00B7182A">
              <w:rPr>
                <w:color w:val="000000"/>
              </w:rPr>
              <w:t>6,470</w:t>
            </w:r>
          </w:p>
        </w:tc>
        <w:tc>
          <w:tcPr>
            <w:tcW w:w="1353" w:type="dxa"/>
            <w:vAlign w:val="center"/>
          </w:tcPr>
          <w:p w14:paraId="330C06D6" w14:textId="77777777" w:rsidR="00B85D06" w:rsidRPr="00B7182A" w:rsidRDefault="00B85D06" w:rsidP="00B66ECA">
            <w:pPr>
              <w:spacing w:before="60" w:after="60"/>
              <w:jc w:val="center"/>
            </w:pPr>
            <w:r w:rsidRPr="00B7182A">
              <w:rPr>
                <w:color w:val="000000"/>
              </w:rPr>
              <w:t>80</w:t>
            </w:r>
          </w:p>
        </w:tc>
        <w:tc>
          <w:tcPr>
            <w:tcW w:w="1359" w:type="dxa"/>
            <w:vAlign w:val="center"/>
          </w:tcPr>
          <w:p w14:paraId="6F6F1382" w14:textId="77777777" w:rsidR="00B85D06" w:rsidRPr="00B7182A" w:rsidRDefault="00B85D06" w:rsidP="00B66ECA">
            <w:pPr>
              <w:spacing w:before="60" w:after="60"/>
              <w:jc w:val="center"/>
            </w:pPr>
            <w:r w:rsidRPr="00B7182A">
              <w:rPr>
                <w:color w:val="000000"/>
              </w:rPr>
              <w:t>9,573</w:t>
            </w:r>
          </w:p>
        </w:tc>
        <w:tc>
          <w:tcPr>
            <w:tcW w:w="1354" w:type="dxa"/>
            <w:vAlign w:val="center"/>
          </w:tcPr>
          <w:p w14:paraId="134C6547" w14:textId="77777777" w:rsidR="00B85D06" w:rsidRPr="00B7182A" w:rsidRDefault="00B85D06" w:rsidP="00B66ECA">
            <w:pPr>
              <w:spacing w:before="60" w:after="60"/>
              <w:jc w:val="center"/>
            </w:pPr>
            <w:r w:rsidRPr="00B7182A">
              <w:rPr>
                <w:color w:val="000000"/>
              </w:rPr>
              <w:t>114</w:t>
            </w:r>
          </w:p>
        </w:tc>
        <w:tc>
          <w:tcPr>
            <w:tcW w:w="1359" w:type="dxa"/>
            <w:vAlign w:val="center"/>
          </w:tcPr>
          <w:p w14:paraId="74D622CA" w14:textId="77777777" w:rsidR="00B85D06" w:rsidRPr="00B7182A" w:rsidRDefault="00B85D06" w:rsidP="00B66ECA">
            <w:pPr>
              <w:spacing w:before="60" w:after="60"/>
              <w:jc w:val="center"/>
            </w:pPr>
            <w:r w:rsidRPr="00B7182A">
              <w:rPr>
                <w:color w:val="000000"/>
              </w:rPr>
              <w:t>12,594</w:t>
            </w:r>
          </w:p>
        </w:tc>
        <w:tc>
          <w:tcPr>
            <w:tcW w:w="1354" w:type="dxa"/>
            <w:vAlign w:val="center"/>
          </w:tcPr>
          <w:p w14:paraId="5601A2F5" w14:textId="77777777" w:rsidR="00B85D06" w:rsidRPr="00B7182A" w:rsidRDefault="00B85D06" w:rsidP="00B66ECA">
            <w:pPr>
              <w:spacing w:before="60" w:after="60"/>
              <w:jc w:val="center"/>
            </w:pPr>
            <w:r w:rsidRPr="00B7182A">
              <w:rPr>
                <w:color w:val="000000"/>
              </w:rPr>
              <w:t>149</w:t>
            </w:r>
          </w:p>
        </w:tc>
      </w:tr>
      <w:tr w:rsidR="00B85D06" w14:paraId="6DEEA2A7" w14:textId="77777777" w:rsidTr="00D8549E">
        <w:tc>
          <w:tcPr>
            <w:tcW w:w="9492" w:type="dxa"/>
            <w:gridSpan w:val="7"/>
            <w:vAlign w:val="center"/>
          </w:tcPr>
          <w:p w14:paraId="713734B9" w14:textId="77777777" w:rsidR="00B85D06" w:rsidRPr="00B7182A" w:rsidRDefault="00B85D06" w:rsidP="00B66ECA">
            <w:pPr>
              <w:spacing w:before="60" w:after="60"/>
            </w:pPr>
            <w:r w:rsidRPr="00B7182A">
              <w:t>&gt; 60 kg</w:t>
            </w:r>
          </w:p>
        </w:tc>
      </w:tr>
      <w:tr w:rsidR="00B85D06" w14:paraId="14FFB8AA" w14:textId="77777777" w:rsidTr="00D8549E">
        <w:tc>
          <w:tcPr>
            <w:tcW w:w="1355" w:type="dxa"/>
            <w:vAlign w:val="center"/>
          </w:tcPr>
          <w:p w14:paraId="76E2CDD6" w14:textId="77777777" w:rsidR="00B85D06" w:rsidRPr="00B7182A" w:rsidRDefault="00B85D06" w:rsidP="00B66ECA">
            <w:pPr>
              <w:spacing w:before="60" w:after="60"/>
            </w:pPr>
            <w:r w:rsidRPr="00B7182A">
              <w:t>HFC-410A</w:t>
            </w:r>
          </w:p>
        </w:tc>
        <w:tc>
          <w:tcPr>
            <w:tcW w:w="1358" w:type="dxa"/>
            <w:vAlign w:val="center"/>
          </w:tcPr>
          <w:p w14:paraId="75FF7D9B" w14:textId="77777777" w:rsidR="00B85D06" w:rsidRPr="00B7182A" w:rsidRDefault="00B85D06" w:rsidP="00B66ECA">
            <w:pPr>
              <w:spacing w:before="60" w:after="60"/>
              <w:jc w:val="center"/>
            </w:pPr>
            <w:r w:rsidRPr="00B7182A">
              <w:rPr>
                <w:color w:val="000000"/>
              </w:rPr>
              <w:t>79</w:t>
            </w:r>
          </w:p>
        </w:tc>
        <w:tc>
          <w:tcPr>
            <w:tcW w:w="1353" w:type="dxa"/>
            <w:vAlign w:val="center"/>
          </w:tcPr>
          <w:p w14:paraId="65828EAE" w14:textId="77777777" w:rsidR="00B85D06" w:rsidRPr="00B7182A" w:rsidRDefault="00B85D06" w:rsidP="00B66ECA">
            <w:pPr>
              <w:spacing w:before="60" w:after="60"/>
              <w:jc w:val="center"/>
            </w:pPr>
            <w:r w:rsidRPr="00B7182A">
              <w:rPr>
                <w:color w:val="000000"/>
              </w:rPr>
              <w:t>8.2</w:t>
            </w:r>
          </w:p>
        </w:tc>
        <w:tc>
          <w:tcPr>
            <w:tcW w:w="1359" w:type="dxa"/>
            <w:vAlign w:val="center"/>
          </w:tcPr>
          <w:p w14:paraId="5CA88E4A" w14:textId="77777777" w:rsidR="00B85D06" w:rsidRPr="00B7182A" w:rsidRDefault="00B85D06" w:rsidP="00B66ECA">
            <w:pPr>
              <w:spacing w:before="60" w:after="60"/>
              <w:jc w:val="center"/>
            </w:pPr>
            <w:r w:rsidRPr="00B7182A">
              <w:rPr>
                <w:color w:val="000000"/>
              </w:rPr>
              <w:t>92</w:t>
            </w:r>
          </w:p>
        </w:tc>
        <w:tc>
          <w:tcPr>
            <w:tcW w:w="1354" w:type="dxa"/>
            <w:vAlign w:val="center"/>
          </w:tcPr>
          <w:p w14:paraId="496787FF" w14:textId="77777777" w:rsidR="00B85D06" w:rsidRPr="00B7182A" w:rsidRDefault="00B85D06" w:rsidP="00B66ECA">
            <w:pPr>
              <w:spacing w:before="60" w:after="60"/>
              <w:jc w:val="center"/>
            </w:pPr>
            <w:r w:rsidRPr="00B7182A">
              <w:rPr>
                <w:color w:val="000000"/>
              </w:rPr>
              <w:t>8.9</w:t>
            </w:r>
          </w:p>
        </w:tc>
        <w:tc>
          <w:tcPr>
            <w:tcW w:w="1359" w:type="dxa"/>
            <w:vAlign w:val="center"/>
          </w:tcPr>
          <w:p w14:paraId="23D916AF" w14:textId="77777777" w:rsidR="00B85D06" w:rsidRPr="00B7182A" w:rsidRDefault="00B85D06" w:rsidP="00B66ECA">
            <w:pPr>
              <w:spacing w:before="60" w:after="60"/>
              <w:jc w:val="center"/>
            </w:pPr>
            <w:r w:rsidRPr="00B7182A">
              <w:rPr>
                <w:color w:val="000000"/>
              </w:rPr>
              <w:t>129</w:t>
            </w:r>
          </w:p>
        </w:tc>
        <w:tc>
          <w:tcPr>
            <w:tcW w:w="1354" w:type="dxa"/>
            <w:vAlign w:val="center"/>
          </w:tcPr>
          <w:p w14:paraId="5A47F145" w14:textId="77777777" w:rsidR="00B85D06" w:rsidRPr="00B7182A" w:rsidRDefault="00B85D06" w:rsidP="00B66ECA">
            <w:pPr>
              <w:spacing w:before="60" w:after="60"/>
              <w:jc w:val="center"/>
            </w:pPr>
            <w:r w:rsidRPr="00B7182A">
              <w:rPr>
                <w:color w:val="000000"/>
              </w:rPr>
              <w:t>19.7</w:t>
            </w:r>
          </w:p>
        </w:tc>
      </w:tr>
      <w:tr w:rsidR="00B85D06" w14:paraId="5F5E1D7B" w14:textId="77777777" w:rsidTr="00D8549E">
        <w:tc>
          <w:tcPr>
            <w:tcW w:w="1355" w:type="dxa"/>
            <w:vAlign w:val="center"/>
          </w:tcPr>
          <w:p w14:paraId="315C0802" w14:textId="77777777" w:rsidR="00B85D06" w:rsidRPr="00B7182A" w:rsidRDefault="00B85D06" w:rsidP="00B66ECA">
            <w:pPr>
              <w:spacing w:before="60" w:after="60"/>
            </w:pPr>
            <w:r w:rsidRPr="00B7182A">
              <w:t>HFC-407C</w:t>
            </w:r>
          </w:p>
        </w:tc>
        <w:tc>
          <w:tcPr>
            <w:tcW w:w="1358" w:type="dxa"/>
            <w:vAlign w:val="center"/>
          </w:tcPr>
          <w:p w14:paraId="32ABFBAF" w14:textId="77777777" w:rsidR="00B85D06" w:rsidRPr="00B7182A" w:rsidRDefault="00B85D06" w:rsidP="00B66ECA">
            <w:pPr>
              <w:spacing w:before="60" w:after="60"/>
              <w:jc w:val="center"/>
            </w:pPr>
            <w:r w:rsidRPr="00B7182A">
              <w:rPr>
                <w:color w:val="000000"/>
              </w:rPr>
              <w:t>30</w:t>
            </w:r>
          </w:p>
        </w:tc>
        <w:tc>
          <w:tcPr>
            <w:tcW w:w="1353" w:type="dxa"/>
            <w:vAlign w:val="center"/>
          </w:tcPr>
          <w:p w14:paraId="0AE342F1" w14:textId="77777777" w:rsidR="00B85D06" w:rsidRPr="00B7182A" w:rsidRDefault="00B85D06" w:rsidP="00B66ECA">
            <w:pPr>
              <w:spacing w:before="60" w:after="60"/>
              <w:jc w:val="center"/>
            </w:pPr>
            <w:r w:rsidRPr="00B7182A">
              <w:rPr>
                <w:color w:val="000000"/>
              </w:rPr>
              <w:t>3.9</w:t>
            </w:r>
          </w:p>
        </w:tc>
        <w:tc>
          <w:tcPr>
            <w:tcW w:w="1359" w:type="dxa"/>
            <w:vAlign w:val="center"/>
          </w:tcPr>
          <w:p w14:paraId="4B8BCD46" w14:textId="77777777" w:rsidR="00B85D06" w:rsidRPr="00B7182A" w:rsidRDefault="00B85D06" w:rsidP="00B66ECA">
            <w:pPr>
              <w:spacing w:before="60" w:after="60"/>
              <w:jc w:val="center"/>
            </w:pPr>
            <w:r w:rsidRPr="00B7182A">
              <w:rPr>
                <w:color w:val="000000"/>
              </w:rPr>
              <w:t>19</w:t>
            </w:r>
          </w:p>
        </w:tc>
        <w:tc>
          <w:tcPr>
            <w:tcW w:w="1354" w:type="dxa"/>
            <w:vAlign w:val="center"/>
          </w:tcPr>
          <w:p w14:paraId="4D4ED956" w14:textId="77777777" w:rsidR="00B85D06" w:rsidRPr="00B7182A" w:rsidRDefault="00B85D06" w:rsidP="00B66ECA">
            <w:pPr>
              <w:spacing w:before="60" w:after="60"/>
              <w:jc w:val="center"/>
            </w:pPr>
            <w:r w:rsidRPr="00B7182A">
              <w:rPr>
                <w:color w:val="000000"/>
              </w:rPr>
              <w:t>2.0</w:t>
            </w:r>
          </w:p>
        </w:tc>
        <w:tc>
          <w:tcPr>
            <w:tcW w:w="1359" w:type="dxa"/>
            <w:vAlign w:val="center"/>
          </w:tcPr>
          <w:p w14:paraId="64F48916" w14:textId="77777777" w:rsidR="00B85D06" w:rsidRPr="00B7182A" w:rsidRDefault="00B85D06" w:rsidP="00B66ECA">
            <w:pPr>
              <w:spacing w:before="60" w:after="60"/>
              <w:jc w:val="center"/>
            </w:pPr>
            <w:r w:rsidRPr="00B7182A">
              <w:rPr>
                <w:color w:val="000000"/>
              </w:rPr>
              <w:t>33</w:t>
            </w:r>
          </w:p>
        </w:tc>
        <w:tc>
          <w:tcPr>
            <w:tcW w:w="1354" w:type="dxa"/>
            <w:vAlign w:val="center"/>
          </w:tcPr>
          <w:p w14:paraId="143C10D3" w14:textId="77777777" w:rsidR="00B85D06" w:rsidRPr="00B7182A" w:rsidRDefault="00B85D06" w:rsidP="00B66ECA">
            <w:pPr>
              <w:spacing w:before="60" w:after="60"/>
              <w:jc w:val="center"/>
            </w:pPr>
            <w:r w:rsidRPr="00B7182A">
              <w:rPr>
                <w:color w:val="000000"/>
              </w:rPr>
              <w:t>7.7</w:t>
            </w:r>
          </w:p>
        </w:tc>
      </w:tr>
      <w:tr w:rsidR="00B85D06" w14:paraId="4B036BB6" w14:textId="77777777" w:rsidTr="00D8549E">
        <w:tc>
          <w:tcPr>
            <w:tcW w:w="1355" w:type="dxa"/>
            <w:vAlign w:val="center"/>
          </w:tcPr>
          <w:p w14:paraId="389DE5AE" w14:textId="77777777" w:rsidR="00B85D06" w:rsidRPr="00B7182A" w:rsidRDefault="00B85D06" w:rsidP="00B66ECA">
            <w:pPr>
              <w:spacing w:before="60" w:after="60"/>
            </w:pPr>
            <w:r w:rsidRPr="00B7182A">
              <w:t>Sub-total</w:t>
            </w:r>
          </w:p>
        </w:tc>
        <w:tc>
          <w:tcPr>
            <w:tcW w:w="1358" w:type="dxa"/>
            <w:vAlign w:val="center"/>
          </w:tcPr>
          <w:p w14:paraId="1C811091" w14:textId="77777777" w:rsidR="00B85D06" w:rsidRPr="00B7182A" w:rsidRDefault="00B85D06" w:rsidP="00B66ECA">
            <w:pPr>
              <w:spacing w:before="60" w:after="60"/>
              <w:jc w:val="center"/>
            </w:pPr>
            <w:r w:rsidRPr="00B7182A">
              <w:rPr>
                <w:color w:val="000000"/>
              </w:rPr>
              <w:t>109</w:t>
            </w:r>
          </w:p>
        </w:tc>
        <w:tc>
          <w:tcPr>
            <w:tcW w:w="1353" w:type="dxa"/>
            <w:vAlign w:val="center"/>
          </w:tcPr>
          <w:p w14:paraId="1E6541AD" w14:textId="77777777" w:rsidR="00B85D06" w:rsidRPr="00B7182A" w:rsidRDefault="00B85D06" w:rsidP="00B66ECA">
            <w:pPr>
              <w:spacing w:before="60" w:after="60"/>
              <w:jc w:val="center"/>
            </w:pPr>
            <w:r w:rsidRPr="00B7182A">
              <w:rPr>
                <w:color w:val="000000"/>
              </w:rPr>
              <w:t>12.2</w:t>
            </w:r>
          </w:p>
        </w:tc>
        <w:tc>
          <w:tcPr>
            <w:tcW w:w="1359" w:type="dxa"/>
            <w:vAlign w:val="center"/>
          </w:tcPr>
          <w:p w14:paraId="2D9549C3" w14:textId="77777777" w:rsidR="00B85D06" w:rsidRPr="00B7182A" w:rsidRDefault="00B85D06" w:rsidP="00B66ECA">
            <w:pPr>
              <w:spacing w:before="60" w:after="60"/>
              <w:jc w:val="center"/>
            </w:pPr>
            <w:r w:rsidRPr="00B7182A">
              <w:rPr>
                <w:color w:val="000000"/>
              </w:rPr>
              <w:t>111</w:t>
            </w:r>
          </w:p>
        </w:tc>
        <w:tc>
          <w:tcPr>
            <w:tcW w:w="1354" w:type="dxa"/>
            <w:vAlign w:val="center"/>
          </w:tcPr>
          <w:p w14:paraId="533B955B" w14:textId="77777777" w:rsidR="00B85D06" w:rsidRPr="00B7182A" w:rsidRDefault="00B85D06" w:rsidP="00B66ECA">
            <w:pPr>
              <w:spacing w:before="60" w:after="60"/>
              <w:jc w:val="center"/>
            </w:pPr>
            <w:r w:rsidRPr="00B7182A">
              <w:rPr>
                <w:color w:val="000000"/>
              </w:rPr>
              <w:t>10.9</w:t>
            </w:r>
          </w:p>
        </w:tc>
        <w:tc>
          <w:tcPr>
            <w:tcW w:w="1359" w:type="dxa"/>
            <w:vAlign w:val="center"/>
          </w:tcPr>
          <w:p w14:paraId="2FDDA3E5" w14:textId="77777777" w:rsidR="00B85D06" w:rsidRPr="00B7182A" w:rsidRDefault="00B85D06" w:rsidP="00B66ECA">
            <w:pPr>
              <w:spacing w:before="60" w:after="60"/>
              <w:jc w:val="center"/>
            </w:pPr>
            <w:r w:rsidRPr="00B7182A">
              <w:rPr>
                <w:color w:val="000000"/>
              </w:rPr>
              <w:t>162</w:t>
            </w:r>
          </w:p>
        </w:tc>
        <w:tc>
          <w:tcPr>
            <w:tcW w:w="1354" w:type="dxa"/>
            <w:vAlign w:val="center"/>
          </w:tcPr>
          <w:p w14:paraId="64E547E1" w14:textId="77777777" w:rsidR="00B85D06" w:rsidRPr="00B7182A" w:rsidRDefault="00B85D06" w:rsidP="00B66ECA">
            <w:pPr>
              <w:spacing w:before="60" w:after="60"/>
              <w:jc w:val="center"/>
            </w:pPr>
            <w:r w:rsidRPr="00B7182A">
              <w:rPr>
                <w:color w:val="000000"/>
              </w:rPr>
              <w:t>27.4</w:t>
            </w:r>
          </w:p>
        </w:tc>
      </w:tr>
      <w:tr w:rsidR="00B85D06" w14:paraId="30CD0EFE" w14:textId="77777777" w:rsidTr="00D8549E">
        <w:tc>
          <w:tcPr>
            <w:tcW w:w="9492" w:type="dxa"/>
            <w:gridSpan w:val="7"/>
            <w:vAlign w:val="center"/>
          </w:tcPr>
          <w:p w14:paraId="5D481150" w14:textId="78376483" w:rsidR="00B85D06" w:rsidRPr="00B7182A" w:rsidRDefault="00B85D06" w:rsidP="00B66ECA">
            <w:pPr>
              <w:spacing w:before="60" w:after="60"/>
            </w:pPr>
            <w:r w:rsidRPr="00B7182A">
              <w:t>&gt;2.6 kg</w:t>
            </w:r>
            <w:r w:rsidR="005A7687">
              <w:t xml:space="preserve"> (includes all of the above categories)</w:t>
            </w:r>
          </w:p>
        </w:tc>
      </w:tr>
      <w:tr w:rsidR="00B85D06" w14:paraId="0448FAC9" w14:textId="77777777" w:rsidTr="00D8549E">
        <w:tc>
          <w:tcPr>
            <w:tcW w:w="1355" w:type="dxa"/>
            <w:vAlign w:val="center"/>
          </w:tcPr>
          <w:p w14:paraId="45C4F373" w14:textId="77777777" w:rsidR="00B85D06" w:rsidRPr="00B7182A" w:rsidRDefault="00B85D06" w:rsidP="00B66ECA">
            <w:pPr>
              <w:spacing w:before="60" w:after="60"/>
            </w:pPr>
            <w:r w:rsidRPr="00B7182A">
              <w:t>HFC-410A</w:t>
            </w:r>
          </w:p>
        </w:tc>
        <w:tc>
          <w:tcPr>
            <w:tcW w:w="1358" w:type="dxa"/>
            <w:vAlign w:val="center"/>
          </w:tcPr>
          <w:p w14:paraId="2FBC6010" w14:textId="77777777" w:rsidR="00B85D06" w:rsidRPr="00B7182A" w:rsidRDefault="00B85D06" w:rsidP="00B66ECA">
            <w:pPr>
              <w:spacing w:before="60" w:after="60"/>
              <w:jc w:val="center"/>
            </w:pPr>
            <w:r w:rsidRPr="00B7182A">
              <w:rPr>
                <w:color w:val="000000"/>
              </w:rPr>
              <w:t>193,554</w:t>
            </w:r>
          </w:p>
        </w:tc>
        <w:tc>
          <w:tcPr>
            <w:tcW w:w="1353" w:type="dxa"/>
            <w:vAlign w:val="center"/>
          </w:tcPr>
          <w:p w14:paraId="68BE251E" w14:textId="77777777" w:rsidR="00B85D06" w:rsidRPr="00B7182A" w:rsidRDefault="00B85D06" w:rsidP="00B66ECA">
            <w:pPr>
              <w:spacing w:before="60" w:after="60"/>
              <w:jc w:val="center"/>
            </w:pPr>
            <w:r w:rsidRPr="00B7182A">
              <w:rPr>
                <w:color w:val="000000"/>
              </w:rPr>
              <w:t>746.6</w:t>
            </w:r>
          </w:p>
        </w:tc>
        <w:tc>
          <w:tcPr>
            <w:tcW w:w="1359" w:type="dxa"/>
            <w:vAlign w:val="center"/>
          </w:tcPr>
          <w:p w14:paraId="61A2F1E6" w14:textId="77777777" w:rsidR="00B85D06" w:rsidRPr="00B7182A" w:rsidRDefault="00B85D06" w:rsidP="00B66ECA">
            <w:pPr>
              <w:spacing w:before="60" w:after="60"/>
              <w:jc w:val="center"/>
            </w:pPr>
            <w:r w:rsidRPr="00B7182A">
              <w:rPr>
                <w:color w:val="000000"/>
              </w:rPr>
              <w:t>204,735</w:t>
            </w:r>
          </w:p>
        </w:tc>
        <w:tc>
          <w:tcPr>
            <w:tcW w:w="1354" w:type="dxa"/>
            <w:vAlign w:val="center"/>
          </w:tcPr>
          <w:p w14:paraId="4326E403" w14:textId="77777777" w:rsidR="00B85D06" w:rsidRPr="00B7182A" w:rsidRDefault="00B85D06" w:rsidP="00B66ECA">
            <w:pPr>
              <w:spacing w:before="60" w:after="60"/>
              <w:jc w:val="center"/>
            </w:pPr>
            <w:r w:rsidRPr="00B7182A">
              <w:rPr>
                <w:color w:val="000000"/>
              </w:rPr>
              <w:t>850.5</w:t>
            </w:r>
          </w:p>
        </w:tc>
        <w:tc>
          <w:tcPr>
            <w:tcW w:w="1359" w:type="dxa"/>
            <w:vAlign w:val="center"/>
          </w:tcPr>
          <w:p w14:paraId="460630AA" w14:textId="77777777" w:rsidR="00B85D06" w:rsidRPr="00B7182A" w:rsidRDefault="00B85D06" w:rsidP="00B66ECA">
            <w:pPr>
              <w:spacing w:before="60" w:after="60"/>
              <w:jc w:val="center"/>
            </w:pPr>
            <w:r w:rsidRPr="00B7182A">
              <w:rPr>
                <w:color w:val="000000"/>
              </w:rPr>
              <w:t>212,247</w:t>
            </w:r>
          </w:p>
        </w:tc>
        <w:tc>
          <w:tcPr>
            <w:tcW w:w="1354" w:type="dxa"/>
            <w:vAlign w:val="center"/>
          </w:tcPr>
          <w:p w14:paraId="7685C0F9" w14:textId="77777777" w:rsidR="00B85D06" w:rsidRPr="00B7182A" w:rsidRDefault="00B85D06" w:rsidP="00B66ECA">
            <w:pPr>
              <w:spacing w:before="60" w:after="60"/>
              <w:jc w:val="center"/>
            </w:pPr>
            <w:r w:rsidRPr="00B7182A">
              <w:rPr>
                <w:color w:val="000000"/>
              </w:rPr>
              <w:t>940.7</w:t>
            </w:r>
          </w:p>
        </w:tc>
      </w:tr>
      <w:tr w:rsidR="00B85D06" w14:paraId="19B3EC7B" w14:textId="77777777" w:rsidTr="00D8549E">
        <w:tc>
          <w:tcPr>
            <w:tcW w:w="1355" w:type="dxa"/>
            <w:vAlign w:val="center"/>
          </w:tcPr>
          <w:p w14:paraId="7EC99AE7" w14:textId="77777777" w:rsidR="00B85D06" w:rsidRPr="00B7182A" w:rsidRDefault="00B85D06" w:rsidP="00B66ECA">
            <w:pPr>
              <w:spacing w:before="60" w:after="60"/>
            </w:pPr>
            <w:r w:rsidRPr="00B7182A">
              <w:t>HFC-407C</w:t>
            </w:r>
          </w:p>
        </w:tc>
        <w:tc>
          <w:tcPr>
            <w:tcW w:w="1358" w:type="dxa"/>
            <w:vAlign w:val="center"/>
          </w:tcPr>
          <w:p w14:paraId="17487E5D" w14:textId="77777777" w:rsidR="00B85D06" w:rsidRPr="00B7182A" w:rsidRDefault="00B85D06" w:rsidP="00B66ECA">
            <w:pPr>
              <w:spacing w:before="60" w:after="60"/>
              <w:jc w:val="center"/>
            </w:pPr>
            <w:r w:rsidRPr="00B7182A">
              <w:rPr>
                <w:color w:val="000000"/>
              </w:rPr>
              <w:t>453</w:t>
            </w:r>
          </w:p>
        </w:tc>
        <w:tc>
          <w:tcPr>
            <w:tcW w:w="1353" w:type="dxa"/>
            <w:vAlign w:val="center"/>
          </w:tcPr>
          <w:p w14:paraId="532485BC" w14:textId="77777777" w:rsidR="00B85D06" w:rsidRPr="00B7182A" w:rsidRDefault="00B85D06" w:rsidP="00B66ECA">
            <w:pPr>
              <w:spacing w:before="60" w:after="60"/>
              <w:jc w:val="center"/>
            </w:pPr>
            <w:r w:rsidRPr="00B7182A">
              <w:rPr>
                <w:color w:val="000000"/>
              </w:rPr>
              <w:t>8.5</w:t>
            </w:r>
          </w:p>
        </w:tc>
        <w:tc>
          <w:tcPr>
            <w:tcW w:w="1359" w:type="dxa"/>
            <w:vAlign w:val="center"/>
          </w:tcPr>
          <w:p w14:paraId="3B2B4FDE" w14:textId="77777777" w:rsidR="00B85D06" w:rsidRPr="00B7182A" w:rsidRDefault="00B85D06" w:rsidP="00B66ECA">
            <w:pPr>
              <w:spacing w:before="60" w:after="60"/>
              <w:jc w:val="center"/>
            </w:pPr>
            <w:r w:rsidRPr="00B7182A">
              <w:rPr>
                <w:color w:val="000000"/>
              </w:rPr>
              <w:t>247</w:t>
            </w:r>
          </w:p>
        </w:tc>
        <w:tc>
          <w:tcPr>
            <w:tcW w:w="1354" w:type="dxa"/>
            <w:vAlign w:val="center"/>
          </w:tcPr>
          <w:p w14:paraId="07A3D7EF" w14:textId="77777777" w:rsidR="00B85D06" w:rsidRPr="00B7182A" w:rsidRDefault="00B85D06" w:rsidP="00B66ECA">
            <w:pPr>
              <w:spacing w:before="60" w:after="60"/>
              <w:jc w:val="center"/>
            </w:pPr>
            <w:r w:rsidRPr="00B7182A">
              <w:rPr>
                <w:color w:val="000000"/>
              </w:rPr>
              <w:t>5.2</w:t>
            </w:r>
          </w:p>
        </w:tc>
        <w:tc>
          <w:tcPr>
            <w:tcW w:w="1359" w:type="dxa"/>
            <w:vAlign w:val="center"/>
          </w:tcPr>
          <w:p w14:paraId="339FAEF6" w14:textId="77777777" w:rsidR="00B85D06" w:rsidRPr="00B7182A" w:rsidRDefault="00B85D06" w:rsidP="00B66ECA">
            <w:pPr>
              <w:spacing w:before="60" w:after="60"/>
              <w:jc w:val="center"/>
            </w:pPr>
            <w:r w:rsidRPr="00B7182A">
              <w:rPr>
                <w:color w:val="000000"/>
              </w:rPr>
              <w:t>151</w:t>
            </w:r>
          </w:p>
        </w:tc>
        <w:tc>
          <w:tcPr>
            <w:tcW w:w="1354" w:type="dxa"/>
            <w:vAlign w:val="center"/>
          </w:tcPr>
          <w:p w14:paraId="1007E39E" w14:textId="77777777" w:rsidR="00B85D06" w:rsidRPr="00B7182A" w:rsidRDefault="00B85D06" w:rsidP="00B66ECA">
            <w:pPr>
              <w:spacing w:before="60" w:after="60"/>
              <w:jc w:val="center"/>
            </w:pPr>
            <w:r w:rsidRPr="00B7182A">
              <w:rPr>
                <w:color w:val="000000"/>
              </w:rPr>
              <w:t>9.9</w:t>
            </w:r>
          </w:p>
        </w:tc>
      </w:tr>
      <w:tr w:rsidR="00B85D06" w14:paraId="3267DB00" w14:textId="77777777" w:rsidTr="00D8549E">
        <w:tc>
          <w:tcPr>
            <w:tcW w:w="1355" w:type="dxa"/>
            <w:vAlign w:val="center"/>
          </w:tcPr>
          <w:p w14:paraId="2683FA7C" w14:textId="77777777" w:rsidR="00B85D06" w:rsidRPr="00B7182A" w:rsidRDefault="00B85D06" w:rsidP="00B66ECA">
            <w:pPr>
              <w:spacing w:before="60" w:after="60"/>
            </w:pPr>
            <w:r w:rsidRPr="00B7182A">
              <w:t>Total</w:t>
            </w:r>
          </w:p>
        </w:tc>
        <w:tc>
          <w:tcPr>
            <w:tcW w:w="1358" w:type="dxa"/>
            <w:vAlign w:val="center"/>
          </w:tcPr>
          <w:p w14:paraId="302D2BAF" w14:textId="77777777" w:rsidR="00B85D06" w:rsidRPr="00B7182A" w:rsidRDefault="00B85D06" w:rsidP="00B66ECA">
            <w:pPr>
              <w:spacing w:before="60" w:after="60"/>
              <w:jc w:val="center"/>
            </w:pPr>
            <w:r w:rsidRPr="00B7182A">
              <w:rPr>
                <w:color w:val="000000"/>
              </w:rPr>
              <w:t>194,007</w:t>
            </w:r>
          </w:p>
        </w:tc>
        <w:tc>
          <w:tcPr>
            <w:tcW w:w="1353" w:type="dxa"/>
            <w:vAlign w:val="center"/>
          </w:tcPr>
          <w:p w14:paraId="4FF19ABC" w14:textId="77777777" w:rsidR="00B85D06" w:rsidRPr="00B7182A" w:rsidRDefault="00B85D06" w:rsidP="00B66ECA">
            <w:pPr>
              <w:spacing w:before="60" w:after="60"/>
              <w:jc w:val="center"/>
            </w:pPr>
            <w:r w:rsidRPr="00B7182A">
              <w:rPr>
                <w:color w:val="000000"/>
              </w:rPr>
              <w:t>755.2</w:t>
            </w:r>
          </w:p>
        </w:tc>
        <w:tc>
          <w:tcPr>
            <w:tcW w:w="1359" w:type="dxa"/>
            <w:vAlign w:val="center"/>
          </w:tcPr>
          <w:p w14:paraId="02CA070D" w14:textId="77777777" w:rsidR="00B85D06" w:rsidRPr="00B7182A" w:rsidRDefault="00B85D06" w:rsidP="00B66ECA">
            <w:pPr>
              <w:spacing w:before="60" w:after="60"/>
              <w:jc w:val="center"/>
            </w:pPr>
            <w:r w:rsidRPr="00B7182A">
              <w:rPr>
                <w:color w:val="000000"/>
              </w:rPr>
              <w:t>204,982</w:t>
            </w:r>
          </w:p>
        </w:tc>
        <w:tc>
          <w:tcPr>
            <w:tcW w:w="1354" w:type="dxa"/>
            <w:vAlign w:val="center"/>
          </w:tcPr>
          <w:p w14:paraId="1B7D2EA7" w14:textId="77777777" w:rsidR="00B85D06" w:rsidRPr="00B7182A" w:rsidRDefault="00B85D06" w:rsidP="00B66ECA">
            <w:pPr>
              <w:spacing w:before="60" w:after="60"/>
              <w:jc w:val="center"/>
            </w:pPr>
            <w:r w:rsidRPr="00B7182A">
              <w:rPr>
                <w:color w:val="000000"/>
              </w:rPr>
              <w:t>855.6</w:t>
            </w:r>
          </w:p>
        </w:tc>
        <w:tc>
          <w:tcPr>
            <w:tcW w:w="1359" w:type="dxa"/>
            <w:vAlign w:val="center"/>
          </w:tcPr>
          <w:p w14:paraId="2C73879A" w14:textId="77777777" w:rsidR="00B85D06" w:rsidRPr="00B7182A" w:rsidRDefault="00B85D06" w:rsidP="00B66ECA">
            <w:pPr>
              <w:spacing w:before="60" w:after="60"/>
              <w:jc w:val="center"/>
            </w:pPr>
            <w:r w:rsidRPr="00B7182A">
              <w:rPr>
                <w:color w:val="000000"/>
              </w:rPr>
              <w:t>212,398</w:t>
            </w:r>
          </w:p>
        </w:tc>
        <w:tc>
          <w:tcPr>
            <w:tcW w:w="1354" w:type="dxa"/>
            <w:vAlign w:val="center"/>
          </w:tcPr>
          <w:p w14:paraId="6725DBA3" w14:textId="77777777" w:rsidR="00B85D06" w:rsidRPr="00B7182A" w:rsidRDefault="00B85D06" w:rsidP="00B66ECA">
            <w:pPr>
              <w:spacing w:before="60" w:after="60"/>
              <w:jc w:val="center"/>
            </w:pPr>
            <w:r w:rsidRPr="00B7182A">
              <w:rPr>
                <w:color w:val="000000"/>
              </w:rPr>
              <w:t>950.6</w:t>
            </w:r>
          </w:p>
        </w:tc>
      </w:tr>
    </w:tbl>
    <w:p w14:paraId="55496039" w14:textId="04E85161" w:rsidR="00B85D06" w:rsidRPr="00C00FD5" w:rsidRDefault="00FD7E54" w:rsidP="00A9105F">
      <w:pPr>
        <w:spacing w:before="60" w:after="60"/>
        <w:rPr>
          <w:sz w:val="20"/>
          <w:szCs w:val="20"/>
        </w:rPr>
      </w:pPr>
      <w:r w:rsidRPr="00C00FD5">
        <w:rPr>
          <w:sz w:val="20"/>
          <w:szCs w:val="20"/>
        </w:rPr>
        <w:t>Notes:</w:t>
      </w:r>
    </w:p>
    <w:p w14:paraId="3F1A9A65" w14:textId="3A4D51AD" w:rsidR="00A9105F" w:rsidRDefault="00FD7E54" w:rsidP="00FC735C">
      <w:pPr>
        <w:pStyle w:val="ListParagraph"/>
        <w:numPr>
          <w:ilvl w:val="0"/>
          <w:numId w:val="41"/>
        </w:numPr>
        <w:spacing w:before="60" w:after="60" w:line="240" w:lineRule="auto"/>
        <w:contextualSpacing w:val="0"/>
        <w:jc w:val="both"/>
        <w:rPr>
          <w:rFonts w:ascii="Times New Roman" w:hAnsi="Times New Roman"/>
          <w:sz w:val="20"/>
          <w:szCs w:val="20"/>
        </w:rPr>
      </w:pPr>
      <w:r w:rsidRPr="00A9105F">
        <w:rPr>
          <w:rFonts w:ascii="Times New Roman" w:hAnsi="Times New Roman"/>
          <w:sz w:val="20"/>
          <w:szCs w:val="20"/>
        </w:rPr>
        <w:t>The large majority o</w:t>
      </w:r>
      <w:r w:rsidR="00066E49">
        <w:rPr>
          <w:rFonts w:ascii="Times New Roman" w:hAnsi="Times New Roman"/>
          <w:sz w:val="20"/>
          <w:szCs w:val="20"/>
        </w:rPr>
        <w:t>f imports in this category are m</w:t>
      </w:r>
      <w:r w:rsidRPr="00A9105F">
        <w:rPr>
          <w:rFonts w:ascii="Times New Roman" w:hAnsi="Times New Roman"/>
          <w:sz w:val="20"/>
          <w:szCs w:val="20"/>
        </w:rPr>
        <w:t xml:space="preserve">edium AC with a charge less than 15 kg. </w:t>
      </w:r>
    </w:p>
    <w:p w14:paraId="51B98681" w14:textId="3B691072" w:rsidR="00A9105F" w:rsidRPr="005A7687" w:rsidRDefault="00FD7E54" w:rsidP="00FC735C">
      <w:pPr>
        <w:pStyle w:val="ListParagraph"/>
        <w:numPr>
          <w:ilvl w:val="0"/>
          <w:numId w:val="41"/>
        </w:numPr>
        <w:spacing w:before="60" w:after="60" w:line="240" w:lineRule="auto"/>
        <w:contextualSpacing w:val="0"/>
        <w:jc w:val="both"/>
        <w:rPr>
          <w:rFonts w:ascii="Times New Roman" w:hAnsi="Times New Roman"/>
          <w:sz w:val="20"/>
          <w:szCs w:val="20"/>
        </w:rPr>
      </w:pPr>
      <w:r w:rsidRPr="00A9105F">
        <w:rPr>
          <w:rFonts w:ascii="Times New Roman" w:hAnsi="Times New Roman"/>
          <w:sz w:val="20"/>
          <w:szCs w:val="20"/>
        </w:rPr>
        <w:t xml:space="preserve">In 2016 </w:t>
      </w:r>
      <w:r w:rsidR="00A9105F">
        <w:rPr>
          <w:rFonts w:ascii="Times New Roman" w:hAnsi="Times New Roman"/>
          <w:sz w:val="20"/>
          <w:szCs w:val="20"/>
        </w:rPr>
        <w:t xml:space="preserve">there </w:t>
      </w:r>
      <w:r w:rsidR="00A9105F" w:rsidRPr="00A9105F">
        <w:rPr>
          <w:rFonts w:ascii="Times New Roman" w:hAnsi="Times New Roman"/>
          <w:sz w:val="20"/>
          <w:szCs w:val="20"/>
        </w:rPr>
        <w:t xml:space="preserve">were 11,839 devices containing </w:t>
      </w:r>
      <w:r w:rsidR="00A9105F">
        <w:rPr>
          <w:rFonts w:ascii="Times New Roman" w:hAnsi="Times New Roman"/>
          <w:sz w:val="20"/>
          <w:szCs w:val="20"/>
        </w:rPr>
        <w:t xml:space="preserve">a total of </w:t>
      </w:r>
      <w:r w:rsidR="00A9105F" w:rsidRPr="00A9105F">
        <w:rPr>
          <w:rFonts w:ascii="Times New Roman" w:hAnsi="Times New Roman"/>
          <w:sz w:val="20"/>
          <w:szCs w:val="20"/>
        </w:rPr>
        <w:t xml:space="preserve">130 tonnes in the category </w:t>
      </w:r>
      <w:r w:rsidR="00A9105F" w:rsidRPr="005A7687">
        <w:rPr>
          <w:rFonts w:ascii="Times New Roman" w:hAnsi="Times New Roman"/>
          <w:sz w:val="20"/>
          <w:szCs w:val="20"/>
        </w:rPr>
        <w:t>&gt;10 kg and &lt; 15 kg.</w:t>
      </w:r>
    </w:p>
    <w:p w14:paraId="5470221A" w14:textId="798044DF" w:rsidR="00FD7E54" w:rsidRPr="00A9105F" w:rsidRDefault="00A9105F" w:rsidP="00FC735C">
      <w:pPr>
        <w:pStyle w:val="ListParagraph"/>
        <w:numPr>
          <w:ilvl w:val="0"/>
          <w:numId w:val="41"/>
        </w:numPr>
        <w:spacing w:before="60" w:after="60" w:line="240" w:lineRule="auto"/>
        <w:contextualSpacing w:val="0"/>
        <w:jc w:val="both"/>
        <w:rPr>
          <w:rFonts w:ascii="Times New Roman" w:hAnsi="Times New Roman"/>
          <w:sz w:val="20"/>
          <w:szCs w:val="20"/>
        </w:rPr>
      </w:pPr>
      <w:r w:rsidRPr="00A9105F">
        <w:rPr>
          <w:rFonts w:ascii="Times New Roman" w:hAnsi="Times New Roman"/>
          <w:sz w:val="20"/>
          <w:szCs w:val="20"/>
        </w:rPr>
        <w:t xml:space="preserve">In 2016 </w:t>
      </w:r>
      <w:r w:rsidR="00FD7E54" w:rsidRPr="00A9105F">
        <w:rPr>
          <w:rFonts w:ascii="Times New Roman" w:hAnsi="Times New Roman"/>
          <w:sz w:val="20"/>
          <w:szCs w:val="20"/>
        </w:rPr>
        <w:t xml:space="preserve">there were only 755 devices containing </w:t>
      </w:r>
      <w:r>
        <w:rPr>
          <w:rFonts w:ascii="Times New Roman" w:hAnsi="Times New Roman"/>
          <w:sz w:val="20"/>
          <w:szCs w:val="20"/>
        </w:rPr>
        <w:t xml:space="preserve">a total of </w:t>
      </w:r>
      <w:r w:rsidR="00FD7E54" w:rsidRPr="00A9105F">
        <w:rPr>
          <w:rFonts w:ascii="Times New Roman" w:hAnsi="Times New Roman"/>
          <w:sz w:val="20"/>
          <w:szCs w:val="20"/>
        </w:rPr>
        <w:t>19.0 tonnes with a charge ≥ 15 kg an</w:t>
      </w:r>
      <w:r w:rsidRPr="00A9105F">
        <w:rPr>
          <w:rFonts w:ascii="Times New Roman" w:hAnsi="Times New Roman"/>
          <w:sz w:val="20"/>
          <w:szCs w:val="20"/>
        </w:rPr>
        <w:t xml:space="preserve">d ≤ 60 kg, and </w:t>
      </w:r>
      <w:r w:rsidR="00FD7E54" w:rsidRPr="00A9105F">
        <w:rPr>
          <w:rFonts w:ascii="Times New Roman" w:hAnsi="Times New Roman"/>
          <w:sz w:val="20"/>
          <w:szCs w:val="20"/>
        </w:rPr>
        <w:t xml:space="preserve">only 176 devices containing </w:t>
      </w:r>
      <w:r>
        <w:rPr>
          <w:rFonts w:ascii="Times New Roman" w:hAnsi="Times New Roman"/>
          <w:sz w:val="20"/>
          <w:szCs w:val="20"/>
        </w:rPr>
        <w:t xml:space="preserve">a total of </w:t>
      </w:r>
      <w:r w:rsidR="00FD7E54" w:rsidRPr="00A9105F">
        <w:rPr>
          <w:rFonts w:ascii="Times New Roman" w:hAnsi="Times New Roman"/>
          <w:sz w:val="20"/>
          <w:szCs w:val="20"/>
        </w:rPr>
        <w:t>6.5 tonnes with a charge ≥ 30 kg and ≤ 60 kg.</w:t>
      </w:r>
    </w:p>
    <w:p w14:paraId="3EA72547" w14:textId="62FB19ED" w:rsidR="00B60B26" w:rsidRDefault="00F01241" w:rsidP="00FC735C">
      <w:pPr>
        <w:pStyle w:val="ListParagraph"/>
        <w:numPr>
          <w:ilvl w:val="0"/>
          <w:numId w:val="41"/>
        </w:numPr>
        <w:spacing w:before="60" w:after="60" w:line="240" w:lineRule="auto"/>
        <w:contextualSpacing w:val="0"/>
        <w:jc w:val="both"/>
        <w:rPr>
          <w:rFonts w:ascii="Times New Roman" w:hAnsi="Times New Roman"/>
          <w:sz w:val="20"/>
          <w:szCs w:val="20"/>
        </w:rPr>
      </w:pPr>
      <w:r w:rsidRPr="00A9105F">
        <w:rPr>
          <w:rFonts w:ascii="Times New Roman" w:hAnsi="Times New Roman"/>
          <w:sz w:val="20"/>
          <w:szCs w:val="20"/>
        </w:rPr>
        <w:t xml:space="preserve">Industry </w:t>
      </w:r>
      <w:r w:rsidR="009F5EAE">
        <w:rPr>
          <w:rFonts w:ascii="Times New Roman" w:hAnsi="Times New Roman"/>
          <w:sz w:val="20"/>
          <w:szCs w:val="20"/>
        </w:rPr>
        <w:t>sources</w:t>
      </w:r>
      <w:r>
        <w:rPr>
          <w:rFonts w:ascii="Times New Roman" w:hAnsi="Times New Roman"/>
          <w:sz w:val="20"/>
          <w:szCs w:val="20"/>
        </w:rPr>
        <w:t xml:space="preserve"> </w:t>
      </w:r>
      <w:r w:rsidRPr="00A9105F">
        <w:rPr>
          <w:rFonts w:ascii="Times New Roman" w:hAnsi="Times New Roman"/>
          <w:sz w:val="20"/>
          <w:szCs w:val="20"/>
        </w:rPr>
        <w:t xml:space="preserve">suggest that </w:t>
      </w:r>
      <w:r>
        <w:rPr>
          <w:rFonts w:ascii="Times New Roman" w:hAnsi="Times New Roman"/>
          <w:sz w:val="20"/>
          <w:szCs w:val="20"/>
        </w:rPr>
        <w:t xml:space="preserve">large commercial </w:t>
      </w:r>
      <w:r w:rsidRPr="00A9105F">
        <w:rPr>
          <w:rFonts w:ascii="Times New Roman" w:hAnsi="Times New Roman"/>
          <w:sz w:val="20"/>
          <w:szCs w:val="20"/>
        </w:rPr>
        <w:t xml:space="preserve">equipment </w:t>
      </w:r>
      <w:r w:rsidR="009F5EAE">
        <w:rPr>
          <w:rFonts w:ascii="Times New Roman" w:hAnsi="Times New Roman"/>
          <w:sz w:val="20"/>
          <w:szCs w:val="20"/>
        </w:rPr>
        <w:t>is</w:t>
      </w:r>
      <w:r>
        <w:rPr>
          <w:rFonts w:ascii="Times New Roman" w:hAnsi="Times New Roman"/>
          <w:sz w:val="20"/>
          <w:szCs w:val="20"/>
        </w:rPr>
        <w:t xml:space="preserve"> increasingly </w:t>
      </w:r>
      <w:r w:rsidRPr="00A9105F">
        <w:rPr>
          <w:rFonts w:ascii="Times New Roman" w:hAnsi="Times New Roman"/>
          <w:sz w:val="20"/>
          <w:szCs w:val="20"/>
        </w:rPr>
        <w:t xml:space="preserve">being imported with a nitrogen charge or small holding charge. </w:t>
      </w:r>
      <w:r w:rsidR="00FD7E54" w:rsidRPr="00A9105F">
        <w:rPr>
          <w:rFonts w:ascii="Times New Roman" w:hAnsi="Times New Roman"/>
          <w:sz w:val="20"/>
          <w:szCs w:val="20"/>
        </w:rPr>
        <w:t>Importers are constantly weighing up the benefits of importing equipment pre-charge</w:t>
      </w:r>
      <w:r w:rsidR="000A076A">
        <w:rPr>
          <w:rFonts w:ascii="Times New Roman" w:hAnsi="Times New Roman"/>
          <w:sz w:val="20"/>
          <w:szCs w:val="20"/>
        </w:rPr>
        <w:t>d</w:t>
      </w:r>
      <w:r w:rsidR="00FD7E54" w:rsidRPr="00A9105F">
        <w:rPr>
          <w:rFonts w:ascii="Times New Roman" w:hAnsi="Times New Roman"/>
          <w:sz w:val="20"/>
          <w:szCs w:val="20"/>
        </w:rPr>
        <w:t xml:space="preserve"> with refrigerant versus charging locally. The main considerations are the refrigerant cost in the country of manufacture versus Australia; the cost of labour to charge locally and </w:t>
      </w:r>
      <w:r>
        <w:rPr>
          <w:rFonts w:ascii="Times New Roman" w:hAnsi="Times New Roman"/>
          <w:sz w:val="20"/>
          <w:szCs w:val="20"/>
        </w:rPr>
        <w:t xml:space="preserve">potential </w:t>
      </w:r>
      <w:r w:rsidR="00FD7E54" w:rsidRPr="00A9105F">
        <w:rPr>
          <w:rFonts w:ascii="Times New Roman" w:hAnsi="Times New Roman"/>
          <w:sz w:val="20"/>
          <w:szCs w:val="20"/>
        </w:rPr>
        <w:t xml:space="preserve">additional transport fees or delays associated with transporting equipment </w:t>
      </w:r>
      <w:r>
        <w:rPr>
          <w:rFonts w:ascii="Times New Roman" w:hAnsi="Times New Roman"/>
          <w:sz w:val="20"/>
          <w:szCs w:val="20"/>
        </w:rPr>
        <w:t>w</w:t>
      </w:r>
      <w:r w:rsidR="00FD7E54" w:rsidRPr="00A9105F">
        <w:rPr>
          <w:rFonts w:ascii="Times New Roman" w:hAnsi="Times New Roman"/>
          <w:sz w:val="20"/>
          <w:szCs w:val="20"/>
        </w:rPr>
        <w:t xml:space="preserve">ith </w:t>
      </w:r>
      <w:r>
        <w:rPr>
          <w:rFonts w:ascii="Times New Roman" w:hAnsi="Times New Roman"/>
          <w:sz w:val="20"/>
          <w:szCs w:val="20"/>
        </w:rPr>
        <w:t xml:space="preserve">a larger refrigerant </w:t>
      </w:r>
      <w:r w:rsidR="00FD7E54" w:rsidRPr="00A9105F">
        <w:rPr>
          <w:rFonts w:ascii="Times New Roman" w:hAnsi="Times New Roman"/>
          <w:sz w:val="20"/>
          <w:szCs w:val="20"/>
        </w:rPr>
        <w:t>charge</w:t>
      </w:r>
      <w:r>
        <w:rPr>
          <w:rFonts w:ascii="Times New Roman" w:hAnsi="Times New Roman"/>
          <w:sz w:val="20"/>
          <w:szCs w:val="20"/>
        </w:rPr>
        <w:t xml:space="preserve">. Under the </w:t>
      </w:r>
      <w:r w:rsidRPr="00F01241">
        <w:rPr>
          <w:rFonts w:ascii="Times New Roman" w:hAnsi="Times New Roman"/>
          <w:sz w:val="20"/>
          <w:szCs w:val="20"/>
        </w:rPr>
        <w:t>International Maritime Dangerous Goods Code</w:t>
      </w:r>
      <w:r w:rsidR="00FD7E54" w:rsidRPr="00A9105F">
        <w:rPr>
          <w:rFonts w:ascii="Times New Roman" w:hAnsi="Times New Roman"/>
          <w:sz w:val="20"/>
          <w:szCs w:val="20"/>
        </w:rPr>
        <w:t xml:space="preserve"> </w:t>
      </w:r>
      <w:r>
        <w:rPr>
          <w:rFonts w:ascii="Times New Roman" w:hAnsi="Times New Roman"/>
          <w:sz w:val="20"/>
          <w:szCs w:val="20"/>
        </w:rPr>
        <w:t xml:space="preserve">equipment containing </w:t>
      </w:r>
      <w:r w:rsidR="00FD7E54" w:rsidRPr="00A9105F">
        <w:rPr>
          <w:rFonts w:ascii="Times New Roman" w:hAnsi="Times New Roman"/>
          <w:sz w:val="20"/>
          <w:szCs w:val="20"/>
        </w:rPr>
        <w:t>greater than 1</w:t>
      </w:r>
      <w:r w:rsidR="00E43721">
        <w:rPr>
          <w:rFonts w:ascii="Times New Roman" w:hAnsi="Times New Roman"/>
          <w:sz w:val="20"/>
          <w:szCs w:val="20"/>
        </w:rPr>
        <w:t>4</w:t>
      </w:r>
      <w:r>
        <w:rPr>
          <w:rFonts w:ascii="Times New Roman" w:hAnsi="Times New Roman"/>
          <w:sz w:val="20"/>
          <w:szCs w:val="20"/>
        </w:rPr>
        <w:t xml:space="preserve"> kg of refrigerant is classified as Dangerous Goods.</w:t>
      </w:r>
    </w:p>
    <w:p w14:paraId="21494C36" w14:textId="77777777" w:rsidR="00FD7E54" w:rsidRDefault="00FD7E54" w:rsidP="00B85D06">
      <w:pPr>
        <w:rPr>
          <w:szCs w:val="22"/>
        </w:rPr>
      </w:pPr>
    </w:p>
    <w:p w14:paraId="7AFD40A6" w14:textId="6AAF5DBA" w:rsidR="00B85D06" w:rsidRDefault="00B85D06" w:rsidP="00B85D06">
      <w:pPr>
        <w:rPr>
          <w:szCs w:val="22"/>
        </w:rPr>
      </w:pPr>
      <w:r w:rsidRPr="00F4426D">
        <w:rPr>
          <w:szCs w:val="22"/>
        </w:rPr>
        <w:t>The PCE data shows there w</w:t>
      </w:r>
      <w:r w:rsidR="00D37122">
        <w:rPr>
          <w:szCs w:val="22"/>
        </w:rPr>
        <w:t>as an average of around</w:t>
      </w:r>
      <w:r w:rsidRPr="00F4426D">
        <w:rPr>
          <w:szCs w:val="22"/>
        </w:rPr>
        <w:t xml:space="preserve"> 200,000 </w:t>
      </w:r>
      <w:r w:rsidR="00066E49">
        <w:rPr>
          <w:szCs w:val="22"/>
        </w:rPr>
        <w:t>m</w:t>
      </w:r>
      <w:r w:rsidR="00D37122">
        <w:rPr>
          <w:szCs w:val="22"/>
        </w:rPr>
        <w:t xml:space="preserve">edium AC </w:t>
      </w:r>
      <w:r w:rsidRPr="00F4426D">
        <w:rPr>
          <w:szCs w:val="22"/>
        </w:rPr>
        <w:t>pieces</w:t>
      </w:r>
      <w:r w:rsidR="00D37122">
        <w:rPr>
          <w:szCs w:val="22"/>
        </w:rPr>
        <w:t xml:space="preserve"> of equipment</w:t>
      </w:r>
      <w:r w:rsidRPr="00F4426D">
        <w:rPr>
          <w:szCs w:val="22"/>
        </w:rPr>
        <w:t xml:space="preserve"> imported per annum over the three</w:t>
      </w:r>
      <w:r>
        <w:rPr>
          <w:szCs w:val="22"/>
        </w:rPr>
        <w:t>-</w:t>
      </w:r>
      <w:r w:rsidRPr="00F4426D">
        <w:rPr>
          <w:szCs w:val="22"/>
        </w:rPr>
        <w:t xml:space="preserve">year period, </w:t>
      </w:r>
      <w:r>
        <w:rPr>
          <w:szCs w:val="22"/>
        </w:rPr>
        <w:t>containing</w:t>
      </w:r>
      <w:r w:rsidRPr="00F4426D">
        <w:rPr>
          <w:szCs w:val="22"/>
        </w:rPr>
        <w:t xml:space="preserve"> an </w:t>
      </w:r>
      <w:r w:rsidR="00D37122">
        <w:rPr>
          <w:szCs w:val="22"/>
        </w:rPr>
        <w:t xml:space="preserve">annual </w:t>
      </w:r>
      <w:r w:rsidRPr="00F4426D">
        <w:rPr>
          <w:szCs w:val="22"/>
        </w:rPr>
        <w:t>average of 84</w:t>
      </w:r>
      <w:r>
        <w:rPr>
          <w:szCs w:val="22"/>
        </w:rPr>
        <w:t>6</w:t>
      </w:r>
      <w:r w:rsidRPr="00F4426D">
        <w:rPr>
          <w:szCs w:val="22"/>
        </w:rPr>
        <w:t xml:space="preserve"> tonnes of HFC-410A and </w:t>
      </w:r>
      <w:r>
        <w:rPr>
          <w:szCs w:val="22"/>
        </w:rPr>
        <w:t>8</w:t>
      </w:r>
      <w:r w:rsidRPr="00F4426D">
        <w:rPr>
          <w:szCs w:val="22"/>
        </w:rPr>
        <w:t xml:space="preserve"> tonnes of HFC-407C per annum.</w:t>
      </w:r>
      <w:r>
        <w:rPr>
          <w:szCs w:val="22"/>
        </w:rPr>
        <w:t xml:space="preserve"> </w:t>
      </w:r>
    </w:p>
    <w:p w14:paraId="60A60741" w14:textId="756EFFC6" w:rsidR="00B85D06" w:rsidRDefault="00B85D06" w:rsidP="00B85D06">
      <w:pPr>
        <w:rPr>
          <w:szCs w:val="22"/>
        </w:rPr>
      </w:pPr>
      <w:r w:rsidRPr="00F4426D">
        <w:rPr>
          <w:szCs w:val="22"/>
        </w:rPr>
        <w:t xml:space="preserve">Total </w:t>
      </w:r>
      <w:r>
        <w:rPr>
          <w:szCs w:val="22"/>
        </w:rPr>
        <w:t xml:space="preserve">Australian </w:t>
      </w:r>
      <w:r w:rsidR="00FA271B">
        <w:rPr>
          <w:szCs w:val="22"/>
        </w:rPr>
        <w:t>m</w:t>
      </w:r>
      <w:r>
        <w:rPr>
          <w:szCs w:val="22"/>
        </w:rPr>
        <w:t xml:space="preserve">edium AC </w:t>
      </w:r>
      <w:r w:rsidRPr="00F4426D">
        <w:rPr>
          <w:szCs w:val="22"/>
        </w:rPr>
        <w:t>sale</w:t>
      </w:r>
      <w:r>
        <w:rPr>
          <w:szCs w:val="22"/>
        </w:rPr>
        <w:t xml:space="preserve">s includes these PCE imports </w:t>
      </w:r>
      <w:r w:rsidRPr="00F4426D">
        <w:rPr>
          <w:szCs w:val="22"/>
        </w:rPr>
        <w:t xml:space="preserve">plus local manufacturing by Actron Air, Temperzone and </w:t>
      </w:r>
      <w:r>
        <w:rPr>
          <w:szCs w:val="22"/>
        </w:rPr>
        <w:t xml:space="preserve">the recently acquired </w:t>
      </w:r>
      <w:r w:rsidRPr="00F4426D">
        <w:rPr>
          <w:szCs w:val="22"/>
        </w:rPr>
        <w:t>Brivis Climate Systems and Specialized Engineering</w:t>
      </w:r>
      <w:r w:rsidR="005A7687">
        <w:rPr>
          <w:szCs w:val="22"/>
        </w:rPr>
        <w:t xml:space="preserve">, now divisions of </w:t>
      </w:r>
      <w:r w:rsidR="005A7687" w:rsidRPr="005A7687">
        <w:rPr>
          <w:szCs w:val="22"/>
        </w:rPr>
        <w:t>Rinnai HVAC</w:t>
      </w:r>
      <w:r w:rsidRPr="00F4426D">
        <w:rPr>
          <w:szCs w:val="22"/>
        </w:rPr>
        <w:t>.</w:t>
      </w:r>
      <w:r>
        <w:rPr>
          <w:szCs w:val="22"/>
        </w:rPr>
        <w:t xml:space="preserve"> All three companies locally produce single split ducted systems, as well as roof top packaged systems and collectively consume </w:t>
      </w:r>
      <w:r w:rsidR="00160D68">
        <w:rPr>
          <w:szCs w:val="22"/>
        </w:rPr>
        <w:t>187</w:t>
      </w:r>
      <w:r>
        <w:rPr>
          <w:szCs w:val="22"/>
        </w:rPr>
        <w:t xml:space="preserve"> tonnes of HFC-410A. Local manufacturing of hot water heat pumps is estimated to consume 2 to 3 tonnes of HFC-407C.</w:t>
      </w:r>
    </w:p>
    <w:p w14:paraId="5C7138A1" w14:textId="7C831360" w:rsidR="00B85D06" w:rsidRDefault="00B85D06" w:rsidP="00B85D06">
      <w:pPr>
        <w:rPr>
          <w:szCs w:val="22"/>
        </w:rPr>
      </w:pPr>
      <w:r w:rsidRPr="00D573E8">
        <w:rPr>
          <w:szCs w:val="22"/>
        </w:rPr>
        <w:t xml:space="preserve">Unlike the large </w:t>
      </w:r>
      <w:r>
        <w:rPr>
          <w:szCs w:val="22"/>
        </w:rPr>
        <w:t>international air conditioning c</w:t>
      </w:r>
      <w:r w:rsidRPr="00D573E8">
        <w:rPr>
          <w:szCs w:val="22"/>
        </w:rPr>
        <w:t xml:space="preserve">orporations who develop their own compressors, local air conditioning manufacturers are reliant on </w:t>
      </w:r>
      <w:r w:rsidR="007A021F">
        <w:rPr>
          <w:szCs w:val="22"/>
        </w:rPr>
        <w:t>suppliers such as</w:t>
      </w:r>
      <w:r w:rsidRPr="00D573E8">
        <w:rPr>
          <w:szCs w:val="22"/>
        </w:rPr>
        <w:t xml:space="preserve"> Copeland and Danfoss </w:t>
      </w:r>
      <w:r>
        <w:rPr>
          <w:szCs w:val="22"/>
        </w:rPr>
        <w:t>for supply of</w:t>
      </w:r>
      <w:r w:rsidRPr="00D573E8">
        <w:rPr>
          <w:szCs w:val="22"/>
        </w:rPr>
        <w:t xml:space="preserve"> </w:t>
      </w:r>
      <w:r>
        <w:rPr>
          <w:szCs w:val="22"/>
        </w:rPr>
        <w:t>compressor technology</w:t>
      </w:r>
      <w:r w:rsidR="00D37122">
        <w:rPr>
          <w:szCs w:val="22"/>
        </w:rPr>
        <w:t>,</w:t>
      </w:r>
      <w:r>
        <w:rPr>
          <w:szCs w:val="22"/>
        </w:rPr>
        <w:t xml:space="preserve"> and thus </w:t>
      </w:r>
      <w:r w:rsidR="00B56AB3">
        <w:rPr>
          <w:szCs w:val="22"/>
        </w:rPr>
        <w:t xml:space="preserve">are </w:t>
      </w:r>
      <w:r>
        <w:rPr>
          <w:szCs w:val="22"/>
        </w:rPr>
        <w:t xml:space="preserve">limited in their </w:t>
      </w:r>
      <w:r w:rsidR="002A04A3">
        <w:rPr>
          <w:szCs w:val="22"/>
        </w:rPr>
        <w:t xml:space="preserve">compressor and </w:t>
      </w:r>
      <w:r w:rsidRPr="00D573E8">
        <w:rPr>
          <w:szCs w:val="22"/>
        </w:rPr>
        <w:t xml:space="preserve">refrigerant </w:t>
      </w:r>
      <w:r>
        <w:rPr>
          <w:szCs w:val="22"/>
        </w:rPr>
        <w:t>choices</w:t>
      </w:r>
      <w:r w:rsidRPr="00D573E8">
        <w:rPr>
          <w:szCs w:val="22"/>
        </w:rPr>
        <w:t>.</w:t>
      </w:r>
    </w:p>
    <w:p w14:paraId="7E966787" w14:textId="7B1F8091" w:rsidR="00B85D06" w:rsidRDefault="00B85D06" w:rsidP="00B85D06">
      <w:pPr>
        <w:rPr>
          <w:szCs w:val="22"/>
        </w:rPr>
      </w:pPr>
      <w:r>
        <w:rPr>
          <w:szCs w:val="22"/>
        </w:rPr>
        <w:t xml:space="preserve">There is negligible </w:t>
      </w:r>
      <w:r w:rsidRPr="00F4426D">
        <w:rPr>
          <w:szCs w:val="22"/>
        </w:rPr>
        <w:t xml:space="preserve">HFC-407C (0.1% based on </w:t>
      </w:r>
      <w:r>
        <w:rPr>
          <w:szCs w:val="22"/>
        </w:rPr>
        <w:t>sales</w:t>
      </w:r>
      <w:r w:rsidRPr="00F4426D">
        <w:rPr>
          <w:szCs w:val="22"/>
        </w:rPr>
        <w:t xml:space="preserve"> and 0.4% based on refrigerant charge) in air conditioning equipment with charges &gt;2.6 kg and ≤ 60 kg</w:t>
      </w:r>
      <w:r>
        <w:rPr>
          <w:szCs w:val="22"/>
        </w:rPr>
        <w:t>.</w:t>
      </w:r>
      <w:r w:rsidRPr="00F4426D">
        <w:rPr>
          <w:szCs w:val="22"/>
        </w:rPr>
        <w:t xml:space="preserve"> </w:t>
      </w:r>
      <w:r>
        <w:rPr>
          <w:szCs w:val="22"/>
        </w:rPr>
        <w:t xml:space="preserve">However, in </w:t>
      </w:r>
      <w:r w:rsidRPr="00F4426D">
        <w:rPr>
          <w:szCs w:val="22"/>
        </w:rPr>
        <w:t xml:space="preserve">large capacity equipment with charges &gt; 60 kg HFC-407C is more common (21.5% based on </w:t>
      </w:r>
      <w:r>
        <w:rPr>
          <w:szCs w:val="22"/>
        </w:rPr>
        <w:t>sales</w:t>
      </w:r>
      <w:r w:rsidRPr="00F4426D">
        <w:rPr>
          <w:szCs w:val="22"/>
        </w:rPr>
        <w:t xml:space="preserve"> and 27.0% based on refrigerant charge). Many of these larger devi</w:t>
      </w:r>
      <w:r w:rsidR="00D37122">
        <w:rPr>
          <w:szCs w:val="22"/>
        </w:rPr>
        <w:t>c</w:t>
      </w:r>
      <w:r w:rsidRPr="00F4426D">
        <w:rPr>
          <w:szCs w:val="22"/>
        </w:rPr>
        <w:t>es are likely to be chillers, some of which are used in process applications.</w:t>
      </w:r>
    </w:p>
    <w:p w14:paraId="10E8153F" w14:textId="15389F7B" w:rsidR="00F20DE0" w:rsidRDefault="009E2642" w:rsidP="00F20DE0">
      <w:pPr>
        <w:rPr>
          <w:szCs w:val="22"/>
        </w:rPr>
      </w:pPr>
      <w:r>
        <w:rPr>
          <w:szCs w:val="22"/>
        </w:rPr>
        <w:t xml:space="preserve">Recent changes to </w:t>
      </w:r>
      <w:r w:rsidRPr="009E2642">
        <w:rPr>
          <w:i/>
          <w:szCs w:val="22"/>
        </w:rPr>
        <w:t>IEC 60335-2-40</w:t>
      </w:r>
      <w:r w:rsidR="00C93832">
        <w:rPr>
          <w:i/>
          <w:szCs w:val="22"/>
        </w:rPr>
        <w:t>: 2018</w:t>
      </w:r>
      <w:r w:rsidRPr="009E2642">
        <w:rPr>
          <w:i/>
          <w:szCs w:val="22"/>
        </w:rPr>
        <w:t xml:space="preserve"> Particular requirements for electrical heat pumps, air conditioners and dehumidifiers</w:t>
      </w:r>
      <w:r w:rsidR="00C14F18">
        <w:rPr>
          <w:i/>
          <w:szCs w:val="22"/>
        </w:rPr>
        <w:t>,</w:t>
      </w:r>
      <w:r w:rsidRPr="009E2642">
        <w:rPr>
          <w:szCs w:val="22"/>
        </w:rPr>
        <w:t xml:space="preserve"> </w:t>
      </w:r>
      <w:r w:rsidR="00C93832">
        <w:rPr>
          <w:szCs w:val="22"/>
        </w:rPr>
        <w:t xml:space="preserve">regarding </w:t>
      </w:r>
      <w:r w:rsidR="00C93832" w:rsidRPr="00C93832">
        <w:rPr>
          <w:szCs w:val="22"/>
        </w:rPr>
        <w:t>the refrigerant charge/floor area limitations for A2L (mildly flammable or lower flammability)</w:t>
      </w:r>
      <w:r w:rsidR="00C93832">
        <w:rPr>
          <w:szCs w:val="22"/>
        </w:rPr>
        <w:t xml:space="preserve"> </w:t>
      </w:r>
      <w:r w:rsidR="00A57800">
        <w:rPr>
          <w:szCs w:val="22"/>
        </w:rPr>
        <w:t xml:space="preserve">refrigerants </w:t>
      </w:r>
      <w:r w:rsidR="00C93832">
        <w:rPr>
          <w:szCs w:val="22"/>
        </w:rPr>
        <w:t xml:space="preserve">were </w:t>
      </w:r>
      <w:r w:rsidRPr="009E2642">
        <w:rPr>
          <w:szCs w:val="22"/>
        </w:rPr>
        <w:t xml:space="preserve">published in </w:t>
      </w:r>
      <w:r w:rsidR="00C93832">
        <w:rPr>
          <w:szCs w:val="22"/>
        </w:rPr>
        <w:t xml:space="preserve">the new edition in </w:t>
      </w:r>
      <w:r w:rsidRPr="009E2642">
        <w:rPr>
          <w:szCs w:val="22"/>
        </w:rPr>
        <w:t>January 2018.</w:t>
      </w:r>
      <w:r w:rsidR="00D94A72">
        <w:rPr>
          <w:rStyle w:val="FootnoteReference"/>
          <w:szCs w:val="22"/>
        </w:rPr>
        <w:footnoteReference w:id="14"/>
      </w:r>
      <w:r w:rsidR="00B85D06" w:rsidRPr="00D573E8">
        <w:rPr>
          <w:szCs w:val="22"/>
        </w:rPr>
        <w:t xml:space="preserve"> </w:t>
      </w:r>
      <w:r w:rsidR="00C93832">
        <w:rPr>
          <w:szCs w:val="22"/>
        </w:rPr>
        <w:t xml:space="preserve">The revised standard includes a </w:t>
      </w:r>
      <w:r w:rsidR="00C93832" w:rsidRPr="00C93832">
        <w:rPr>
          <w:szCs w:val="22"/>
        </w:rPr>
        <w:t xml:space="preserve">new clause (cl 22.125) </w:t>
      </w:r>
      <w:r w:rsidR="00F20DE0">
        <w:rPr>
          <w:szCs w:val="22"/>
        </w:rPr>
        <w:t>and definition to define an</w:t>
      </w:r>
      <w:r w:rsidR="00C93832" w:rsidRPr="00C93832">
        <w:rPr>
          <w:szCs w:val="22"/>
        </w:rPr>
        <w:t xml:space="preserve"> </w:t>
      </w:r>
      <w:r w:rsidR="000D3FC9">
        <w:rPr>
          <w:szCs w:val="22"/>
        </w:rPr>
        <w:t>‘</w:t>
      </w:r>
      <w:r w:rsidR="00F20DE0">
        <w:rPr>
          <w:szCs w:val="22"/>
        </w:rPr>
        <w:t>E</w:t>
      </w:r>
      <w:r w:rsidR="00C93832" w:rsidRPr="00C93832">
        <w:rPr>
          <w:szCs w:val="22"/>
        </w:rPr>
        <w:t xml:space="preserve">nhanced </w:t>
      </w:r>
      <w:r w:rsidR="00F20DE0">
        <w:rPr>
          <w:szCs w:val="22"/>
        </w:rPr>
        <w:t>T</w:t>
      </w:r>
      <w:r w:rsidR="00C93832" w:rsidRPr="00C93832">
        <w:rPr>
          <w:szCs w:val="22"/>
        </w:rPr>
        <w:t xml:space="preserve">ightness </w:t>
      </w:r>
      <w:r w:rsidR="00F20DE0">
        <w:rPr>
          <w:szCs w:val="22"/>
        </w:rPr>
        <w:t>R</w:t>
      </w:r>
      <w:r w:rsidR="00C93832" w:rsidRPr="00C93832">
        <w:rPr>
          <w:szCs w:val="22"/>
        </w:rPr>
        <w:t>efrigeration</w:t>
      </w:r>
      <w:r w:rsidR="00F20DE0">
        <w:rPr>
          <w:szCs w:val="22"/>
        </w:rPr>
        <w:t xml:space="preserve"> System</w:t>
      </w:r>
      <w:r w:rsidR="000D3FC9">
        <w:rPr>
          <w:szCs w:val="22"/>
        </w:rPr>
        <w:t>’</w:t>
      </w:r>
      <w:r w:rsidR="00F20DE0">
        <w:rPr>
          <w:szCs w:val="22"/>
        </w:rPr>
        <w:t xml:space="preserve"> as well as</w:t>
      </w:r>
      <w:r w:rsidR="00C93832" w:rsidRPr="00C93832">
        <w:rPr>
          <w:szCs w:val="22"/>
        </w:rPr>
        <w:t xml:space="preserve"> </w:t>
      </w:r>
      <w:r w:rsidR="00F20DE0" w:rsidRPr="000D3FC9">
        <w:rPr>
          <w:i/>
          <w:szCs w:val="22"/>
        </w:rPr>
        <w:t>Annex GG</w:t>
      </w:r>
      <w:r w:rsidR="000D3FC9" w:rsidRPr="000D3FC9">
        <w:rPr>
          <w:i/>
          <w:szCs w:val="22"/>
        </w:rPr>
        <w:t xml:space="preserve">: </w:t>
      </w:r>
      <w:r w:rsidR="00F20DE0" w:rsidRPr="000D3FC9">
        <w:rPr>
          <w:i/>
          <w:szCs w:val="22"/>
        </w:rPr>
        <w:t>Flammable Refrigerant Charge Limits</w:t>
      </w:r>
      <w:r w:rsidR="00F20DE0">
        <w:rPr>
          <w:szCs w:val="22"/>
        </w:rPr>
        <w:t xml:space="preserve"> that specifies </w:t>
      </w:r>
      <w:r w:rsidR="00F20DE0" w:rsidRPr="00F20DE0">
        <w:rPr>
          <w:szCs w:val="22"/>
        </w:rPr>
        <w:t xml:space="preserve">charge limits that can be applied where A2L refrigerants are used in Enhanced Tightness Refrigeration Systems. </w:t>
      </w:r>
      <w:r w:rsidR="00F20DE0">
        <w:rPr>
          <w:szCs w:val="22"/>
        </w:rPr>
        <w:t>T</w:t>
      </w:r>
      <w:r w:rsidR="00F20DE0" w:rsidRPr="00D573E8">
        <w:rPr>
          <w:szCs w:val="22"/>
        </w:rPr>
        <w:t xml:space="preserve">hese changes </w:t>
      </w:r>
      <w:r w:rsidR="000D3FC9">
        <w:rPr>
          <w:szCs w:val="22"/>
        </w:rPr>
        <w:t xml:space="preserve">potentially </w:t>
      </w:r>
      <w:r w:rsidR="00F20DE0" w:rsidRPr="00D573E8">
        <w:rPr>
          <w:szCs w:val="22"/>
        </w:rPr>
        <w:t xml:space="preserve">allow larger refrigerant charges if additional mitigation </w:t>
      </w:r>
      <w:r w:rsidR="00F20DE0">
        <w:rPr>
          <w:szCs w:val="22"/>
        </w:rPr>
        <w:t xml:space="preserve">of fire risk </w:t>
      </w:r>
      <w:r w:rsidR="00F20DE0" w:rsidRPr="00D573E8">
        <w:rPr>
          <w:szCs w:val="22"/>
        </w:rPr>
        <w:t>(e.g. ventilation, sensors, enhanced ti</w:t>
      </w:r>
      <w:r w:rsidR="00F20DE0">
        <w:rPr>
          <w:szCs w:val="22"/>
        </w:rPr>
        <w:t xml:space="preserve">ghtness of design) is </w:t>
      </w:r>
      <w:r w:rsidR="00A57800">
        <w:rPr>
          <w:szCs w:val="22"/>
        </w:rPr>
        <w:t xml:space="preserve">undertaken </w:t>
      </w:r>
      <w:r w:rsidR="00F20DE0">
        <w:rPr>
          <w:szCs w:val="22"/>
        </w:rPr>
        <w:t>including n</w:t>
      </w:r>
      <w:r w:rsidR="00F20DE0" w:rsidRPr="00F20DE0">
        <w:rPr>
          <w:szCs w:val="22"/>
        </w:rPr>
        <w:t>atural or mechanical ventilatio</w:t>
      </w:r>
      <w:r w:rsidR="00F20DE0">
        <w:rPr>
          <w:szCs w:val="22"/>
        </w:rPr>
        <w:t>n meeting specific requirements; s</w:t>
      </w:r>
      <w:r w:rsidR="00F20DE0" w:rsidRPr="00F20DE0">
        <w:rPr>
          <w:szCs w:val="22"/>
        </w:rPr>
        <w:t>afety shut</w:t>
      </w:r>
      <w:r w:rsidR="00C14F18">
        <w:rPr>
          <w:szCs w:val="22"/>
        </w:rPr>
        <w:t>-</w:t>
      </w:r>
      <w:r w:rsidR="00F20DE0" w:rsidRPr="00F20DE0">
        <w:rPr>
          <w:szCs w:val="22"/>
        </w:rPr>
        <w:t>of</w:t>
      </w:r>
      <w:r w:rsidR="00C14F18">
        <w:rPr>
          <w:szCs w:val="22"/>
        </w:rPr>
        <w:t>f</w:t>
      </w:r>
      <w:r w:rsidR="00F20DE0" w:rsidRPr="00F20DE0">
        <w:rPr>
          <w:szCs w:val="22"/>
        </w:rPr>
        <w:t xml:space="preserve"> valves meeting specific requirements</w:t>
      </w:r>
      <w:r w:rsidR="00F20DE0">
        <w:rPr>
          <w:szCs w:val="22"/>
        </w:rPr>
        <w:t>; and</w:t>
      </w:r>
      <w:r w:rsidR="00A57800">
        <w:rPr>
          <w:szCs w:val="22"/>
        </w:rPr>
        <w:t>/or</w:t>
      </w:r>
      <w:r w:rsidR="00F20DE0">
        <w:rPr>
          <w:szCs w:val="22"/>
        </w:rPr>
        <w:t xml:space="preserve"> s</w:t>
      </w:r>
      <w:r w:rsidR="00F20DE0" w:rsidRPr="00F20DE0">
        <w:rPr>
          <w:szCs w:val="22"/>
        </w:rPr>
        <w:t xml:space="preserve">afety </w:t>
      </w:r>
      <w:r w:rsidR="00F20DE0">
        <w:rPr>
          <w:szCs w:val="22"/>
        </w:rPr>
        <w:t>a</w:t>
      </w:r>
      <w:r w:rsidR="00F20DE0" w:rsidRPr="00F20DE0">
        <w:rPr>
          <w:szCs w:val="22"/>
        </w:rPr>
        <w:t>larm system</w:t>
      </w:r>
      <w:r w:rsidR="00C14F18">
        <w:rPr>
          <w:szCs w:val="22"/>
        </w:rPr>
        <w:t>s</w:t>
      </w:r>
      <w:r w:rsidR="00F20DE0" w:rsidRPr="00F20DE0">
        <w:rPr>
          <w:szCs w:val="22"/>
        </w:rPr>
        <w:t xml:space="preserve"> meeting specific requirements</w:t>
      </w:r>
      <w:r w:rsidR="00F20DE0">
        <w:rPr>
          <w:szCs w:val="22"/>
        </w:rPr>
        <w:t>.</w:t>
      </w:r>
      <w:r w:rsidR="00F20DE0" w:rsidRPr="00D573E8">
        <w:rPr>
          <w:rStyle w:val="FootnoteReference"/>
          <w:rFonts w:ascii="Times New Roman" w:hAnsi="Times New Roman"/>
          <w:szCs w:val="22"/>
        </w:rPr>
        <w:footnoteReference w:id="15"/>
      </w:r>
      <w:r w:rsidR="00F20DE0">
        <w:rPr>
          <w:szCs w:val="22"/>
        </w:rPr>
        <w:t xml:space="preserve"> If passed by the </w:t>
      </w:r>
      <w:r w:rsidR="00F20DE0" w:rsidRPr="00E51FB7">
        <w:rPr>
          <w:szCs w:val="18"/>
        </w:rPr>
        <w:t xml:space="preserve">AU/NZ </w:t>
      </w:r>
      <w:r w:rsidR="00075036">
        <w:rPr>
          <w:szCs w:val="18"/>
        </w:rPr>
        <w:t xml:space="preserve">standards </w:t>
      </w:r>
      <w:r w:rsidR="00F20DE0" w:rsidRPr="00E51FB7">
        <w:rPr>
          <w:szCs w:val="18"/>
        </w:rPr>
        <w:t>committee (EL-002)</w:t>
      </w:r>
      <w:r w:rsidR="000D3FC9">
        <w:rPr>
          <w:szCs w:val="18"/>
        </w:rPr>
        <w:t xml:space="preserve">, </w:t>
      </w:r>
      <w:r w:rsidR="00F20DE0">
        <w:rPr>
          <w:szCs w:val="22"/>
        </w:rPr>
        <w:t>t</w:t>
      </w:r>
      <w:r w:rsidR="00F20DE0" w:rsidRPr="00D573E8">
        <w:rPr>
          <w:szCs w:val="22"/>
        </w:rPr>
        <w:t xml:space="preserve">hese changes </w:t>
      </w:r>
      <w:r w:rsidR="000D3FC9">
        <w:rPr>
          <w:szCs w:val="22"/>
        </w:rPr>
        <w:t xml:space="preserve">increase the scope of medium AC products to </w:t>
      </w:r>
      <w:r w:rsidR="00F20DE0" w:rsidRPr="00D573E8">
        <w:rPr>
          <w:szCs w:val="22"/>
        </w:rPr>
        <w:t>us</w:t>
      </w:r>
      <w:r w:rsidR="000D3FC9">
        <w:rPr>
          <w:szCs w:val="22"/>
        </w:rPr>
        <w:t xml:space="preserve">e </w:t>
      </w:r>
      <w:r w:rsidR="00F20DE0" w:rsidRPr="00D573E8">
        <w:rPr>
          <w:szCs w:val="22"/>
        </w:rPr>
        <w:t>A2L</w:t>
      </w:r>
      <w:r w:rsidR="00F20DE0">
        <w:rPr>
          <w:szCs w:val="22"/>
        </w:rPr>
        <w:t xml:space="preserve"> </w:t>
      </w:r>
      <w:r w:rsidR="00F20DE0" w:rsidRPr="00D573E8">
        <w:rPr>
          <w:szCs w:val="22"/>
        </w:rPr>
        <w:t>refrigerant</w:t>
      </w:r>
      <w:r w:rsidR="000D3FC9">
        <w:rPr>
          <w:szCs w:val="22"/>
        </w:rPr>
        <w:t xml:space="preserve">s such as split </w:t>
      </w:r>
      <w:r w:rsidR="00FE74F2">
        <w:rPr>
          <w:szCs w:val="22"/>
        </w:rPr>
        <w:t>duct</w:t>
      </w:r>
      <w:r w:rsidR="000D1CDB">
        <w:rPr>
          <w:szCs w:val="22"/>
        </w:rPr>
        <w:t>ed</w:t>
      </w:r>
      <w:r w:rsidR="000D3FC9">
        <w:rPr>
          <w:szCs w:val="22"/>
        </w:rPr>
        <w:t xml:space="preserve"> systems and VRV/F </w:t>
      </w:r>
      <w:r w:rsidR="00CB4A1B">
        <w:rPr>
          <w:szCs w:val="22"/>
        </w:rPr>
        <w:t xml:space="preserve">multi head </w:t>
      </w:r>
      <w:r w:rsidR="000D3FC9">
        <w:rPr>
          <w:szCs w:val="22"/>
        </w:rPr>
        <w:t xml:space="preserve">systems. However, </w:t>
      </w:r>
      <w:r w:rsidR="000D3FC9" w:rsidRPr="000D3FC9">
        <w:rPr>
          <w:szCs w:val="22"/>
        </w:rPr>
        <w:t xml:space="preserve">the question for </w:t>
      </w:r>
      <w:r w:rsidR="00CB4A1B">
        <w:rPr>
          <w:szCs w:val="22"/>
        </w:rPr>
        <w:t xml:space="preserve">air conditioning </w:t>
      </w:r>
      <w:r w:rsidR="00A57800">
        <w:rPr>
          <w:szCs w:val="22"/>
        </w:rPr>
        <w:t>manufacturers</w:t>
      </w:r>
      <w:r w:rsidR="000D3FC9" w:rsidRPr="000D3FC9">
        <w:rPr>
          <w:szCs w:val="22"/>
        </w:rPr>
        <w:t xml:space="preserve"> is whether it would be cost effective, practical or acceptable to the end user</w:t>
      </w:r>
      <w:r w:rsidR="00CB4A1B">
        <w:rPr>
          <w:szCs w:val="22"/>
        </w:rPr>
        <w:t xml:space="preserve"> to undertake the additional fire risk mitigation measures.</w:t>
      </w:r>
      <w:r w:rsidR="000D3FC9">
        <w:rPr>
          <w:szCs w:val="22"/>
        </w:rPr>
        <w:t xml:space="preserve">  </w:t>
      </w:r>
    </w:p>
    <w:p w14:paraId="2D2643F6" w14:textId="14C61CC1" w:rsidR="00B85D06" w:rsidRDefault="00B85D06" w:rsidP="00B85D06">
      <w:pPr>
        <w:rPr>
          <w:szCs w:val="22"/>
        </w:rPr>
      </w:pPr>
      <w:r w:rsidRPr="00664C8A">
        <w:rPr>
          <w:szCs w:val="22"/>
        </w:rPr>
        <w:t>While low GWP HFOs were thought to be a real candidate for small and medium AC, current performance data on HFOs and on HFO/HFC blends in</w:t>
      </w:r>
      <w:r w:rsidR="00B86853" w:rsidRPr="00664C8A">
        <w:rPr>
          <w:szCs w:val="22"/>
        </w:rPr>
        <w:t xml:space="preserve"> AC</w:t>
      </w:r>
      <w:r w:rsidRPr="00664C8A">
        <w:rPr>
          <w:szCs w:val="22"/>
        </w:rPr>
        <w:t xml:space="preserve"> indicates that HFC-32 provides superior or equivalent energy efficiency and overall performance, and therefore best Total Environmental Warming Impact</w:t>
      </w:r>
      <w:r w:rsidR="00C14F18" w:rsidRPr="00664C8A">
        <w:rPr>
          <w:szCs w:val="22"/>
        </w:rPr>
        <w:t xml:space="preserve"> (TEWI)</w:t>
      </w:r>
      <w:r w:rsidRPr="00664C8A">
        <w:rPr>
          <w:szCs w:val="22"/>
        </w:rPr>
        <w:t xml:space="preserve">. </w:t>
      </w:r>
      <w:r w:rsidR="003C5F7F" w:rsidRPr="00664C8A">
        <w:rPr>
          <w:szCs w:val="22"/>
        </w:rPr>
        <w:t>As such the rapid transition from HFC-410A to HFC-32 is expected to continue</w:t>
      </w:r>
      <w:r w:rsidR="003C5F7F">
        <w:rPr>
          <w:szCs w:val="22"/>
        </w:rPr>
        <w:t>.</w:t>
      </w:r>
    </w:p>
    <w:p w14:paraId="300A0092" w14:textId="384AF5B8" w:rsidR="00B85D06" w:rsidRDefault="007A021F" w:rsidP="00B85D06">
      <w:pPr>
        <w:rPr>
          <w:szCs w:val="22"/>
        </w:rPr>
      </w:pPr>
      <w:r>
        <w:rPr>
          <w:szCs w:val="22"/>
        </w:rPr>
        <w:t xml:space="preserve">Anecdotally </w:t>
      </w:r>
      <w:r w:rsidR="00B85D06" w:rsidRPr="00D573E8">
        <w:rPr>
          <w:szCs w:val="22"/>
        </w:rPr>
        <w:t xml:space="preserve">HFOs </w:t>
      </w:r>
      <w:r w:rsidR="00B86853">
        <w:rPr>
          <w:szCs w:val="22"/>
        </w:rPr>
        <w:t>on the market in 2016 were priced at significant multiple</w:t>
      </w:r>
      <w:r w:rsidR="008B5B07">
        <w:rPr>
          <w:szCs w:val="22"/>
        </w:rPr>
        <w:t>s</w:t>
      </w:r>
      <w:r w:rsidR="00B85D06" w:rsidRPr="00D573E8">
        <w:rPr>
          <w:szCs w:val="22"/>
        </w:rPr>
        <w:t xml:space="preserve"> of HFC-32 so </w:t>
      </w:r>
      <w:r w:rsidR="00B85D06">
        <w:rPr>
          <w:szCs w:val="22"/>
        </w:rPr>
        <w:t>in applications where HFC-32 exhibits clear technical advantages HFOs</w:t>
      </w:r>
      <w:r w:rsidR="00B85D06" w:rsidRPr="00D573E8">
        <w:rPr>
          <w:szCs w:val="22"/>
        </w:rPr>
        <w:t xml:space="preserve"> are unlikely to have a significant impact</w:t>
      </w:r>
      <w:r w:rsidR="00B85D06">
        <w:rPr>
          <w:szCs w:val="22"/>
        </w:rPr>
        <w:t xml:space="preserve"> until the deterrent of the price differential is alleviated</w:t>
      </w:r>
      <w:r w:rsidR="00B85D06" w:rsidRPr="00D573E8">
        <w:rPr>
          <w:szCs w:val="22"/>
        </w:rPr>
        <w:t>.</w:t>
      </w:r>
      <w:r w:rsidR="00B85D06">
        <w:rPr>
          <w:szCs w:val="22"/>
        </w:rPr>
        <w:t xml:space="preserve"> </w:t>
      </w:r>
    </w:p>
    <w:p w14:paraId="7AE6E5BB" w14:textId="77777777" w:rsidR="00B85D06" w:rsidRPr="00F37BCB" w:rsidRDefault="00B85D06" w:rsidP="00B85D06">
      <w:pPr>
        <w:spacing w:before="240"/>
        <w:rPr>
          <w:b/>
          <w:szCs w:val="22"/>
        </w:rPr>
      </w:pPr>
      <w:r w:rsidRPr="00F37BCB">
        <w:rPr>
          <w:b/>
          <w:szCs w:val="22"/>
        </w:rPr>
        <w:t>Large AC: Chillers</w:t>
      </w:r>
    </w:p>
    <w:p w14:paraId="07081DD0" w14:textId="6E9969C6" w:rsidR="00B85D06" w:rsidRDefault="00B85D06" w:rsidP="00B85D06">
      <w:pPr>
        <w:rPr>
          <w:szCs w:val="22"/>
        </w:rPr>
      </w:pPr>
      <w:r w:rsidRPr="00D1327E">
        <w:rPr>
          <w:szCs w:val="22"/>
        </w:rPr>
        <w:t>There are estimated to be 2</w:t>
      </w:r>
      <w:r>
        <w:rPr>
          <w:szCs w:val="22"/>
        </w:rPr>
        <w:t>2</w:t>
      </w:r>
      <w:r w:rsidRPr="00D1327E">
        <w:rPr>
          <w:szCs w:val="22"/>
        </w:rPr>
        <w:t>,</w:t>
      </w:r>
      <w:r>
        <w:rPr>
          <w:szCs w:val="22"/>
        </w:rPr>
        <w:t>600</w:t>
      </w:r>
      <w:r w:rsidRPr="00D1327E">
        <w:rPr>
          <w:szCs w:val="22"/>
        </w:rPr>
        <w:t xml:space="preserve"> chillers operating in </w:t>
      </w:r>
      <w:r>
        <w:rPr>
          <w:szCs w:val="22"/>
        </w:rPr>
        <w:t>Australia in 2016</w:t>
      </w:r>
      <w:r w:rsidRPr="00D1327E">
        <w:rPr>
          <w:szCs w:val="22"/>
        </w:rPr>
        <w:t xml:space="preserve">, containing in total approximately </w:t>
      </w:r>
      <w:r w:rsidRPr="00A10A63">
        <w:rPr>
          <w:szCs w:val="22"/>
        </w:rPr>
        <w:t>4,200 tonnes</w:t>
      </w:r>
      <w:r w:rsidRPr="00D1327E">
        <w:rPr>
          <w:szCs w:val="22"/>
        </w:rPr>
        <w:t xml:space="preserve"> of refrigerant. This stock estimate </w:t>
      </w:r>
      <w:r>
        <w:rPr>
          <w:szCs w:val="22"/>
        </w:rPr>
        <w:t xml:space="preserve">has been revised down from </w:t>
      </w:r>
      <w:r w:rsidR="00D37122">
        <w:rPr>
          <w:szCs w:val="22"/>
        </w:rPr>
        <w:t xml:space="preserve">the </w:t>
      </w:r>
      <w:r>
        <w:rPr>
          <w:szCs w:val="22"/>
        </w:rPr>
        <w:t xml:space="preserve">28,500 published in CHF2 as a result of better market intelligence. This stock estimate is </w:t>
      </w:r>
      <w:r w:rsidRPr="00D1327E">
        <w:rPr>
          <w:szCs w:val="22"/>
        </w:rPr>
        <w:t xml:space="preserve">consistent with the </w:t>
      </w:r>
      <w:r>
        <w:rPr>
          <w:szCs w:val="22"/>
        </w:rPr>
        <w:t xml:space="preserve">findings of the </w:t>
      </w:r>
      <w:r w:rsidRPr="00D1327E">
        <w:rPr>
          <w:szCs w:val="22"/>
        </w:rPr>
        <w:t xml:space="preserve">Decision and Consultation Regulation Impact Statement for Air </w:t>
      </w:r>
      <w:r w:rsidR="005646D1">
        <w:rPr>
          <w:szCs w:val="22"/>
        </w:rPr>
        <w:t>C</w:t>
      </w:r>
      <w:r w:rsidRPr="00D1327E">
        <w:rPr>
          <w:szCs w:val="22"/>
        </w:rPr>
        <w:t>onditioners, Chillers and Close Control Air Conditioners</w:t>
      </w:r>
      <w:r w:rsidR="00C14F18">
        <w:rPr>
          <w:szCs w:val="22"/>
        </w:rPr>
        <w:t>,</w:t>
      </w:r>
      <w:r w:rsidRPr="00D1327E">
        <w:rPr>
          <w:szCs w:val="22"/>
        </w:rPr>
        <w:t xml:space="preserve"> prepared by </w:t>
      </w:r>
      <w:r>
        <w:rPr>
          <w:szCs w:val="22"/>
        </w:rPr>
        <w:t xml:space="preserve">the </w:t>
      </w:r>
      <w:r w:rsidRPr="00D1327E">
        <w:rPr>
          <w:szCs w:val="22"/>
        </w:rPr>
        <w:t>Equipment Energy Efficiency (E3) program (E3 2017</w:t>
      </w:r>
      <w:r w:rsidR="00FA271B">
        <w:rPr>
          <w:szCs w:val="22"/>
        </w:rPr>
        <w:t>a</w:t>
      </w:r>
      <w:r w:rsidRPr="00D1327E">
        <w:rPr>
          <w:szCs w:val="22"/>
        </w:rPr>
        <w:t xml:space="preserve">) </w:t>
      </w:r>
      <w:r w:rsidR="00C14F18">
        <w:rPr>
          <w:szCs w:val="22"/>
        </w:rPr>
        <w:t xml:space="preserve">which estimated a population </w:t>
      </w:r>
      <w:r w:rsidRPr="00D1327E">
        <w:rPr>
          <w:szCs w:val="22"/>
        </w:rPr>
        <w:t xml:space="preserve">of </w:t>
      </w:r>
      <w:r>
        <w:rPr>
          <w:szCs w:val="22"/>
        </w:rPr>
        <w:t xml:space="preserve">20,600 </w:t>
      </w:r>
      <w:r w:rsidRPr="00D1327E">
        <w:rPr>
          <w:szCs w:val="22"/>
        </w:rPr>
        <w:t xml:space="preserve">chillers in </w:t>
      </w:r>
      <w:r>
        <w:rPr>
          <w:szCs w:val="22"/>
        </w:rPr>
        <w:t xml:space="preserve">Australia in </w:t>
      </w:r>
      <w:r w:rsidRPr="00D1327E">
        <w:rPr>
          <w:szCs w:val="22"/>
        </w:rPr>
        <w:t>2016.</w:t>
      </w:r>
    </w:p>
    <w:p w14:paraId="5D6C772C" w14:textId="4D3228E7" w:rsidR="00B85D06" w:rsidRDefault="00B85D06" w:rsidP="00B85D06">
      <w:pPr>
        <w:rPr>
          <w:szCs w:val="22"/>
        </w:rPr>
      </w:pPr>
      <w:r>
        <w:rPr>
          <w:szCs w:val="22"/>
        </w:rPr>
        <w:lastRenderedPageBreak/>
        <w:t xml:space="preserve">Higher resolution data has also allowed improvements in the categorisation of this </w:t>
      </w:r>
      <w:r w:rsidR="00B27562">
        <w:rPr>
          <w:szCs w:val="22"/>
        </w:rPr>
        <w:t>s</w:t>
      </w:r>
      <w:r>
        <w:rPr>
          <w:szCs w:val="22"/>
        </w:rPr>
        <w:t xml:space="preserve">egment in the taxonomy with the three </w:t>
      </w:r>
      <w:r w:rsidR="00C14F18">
        <w:rPr>
          <w:szCs w:val="22"/>
        </w:rPr>
        <w:t>CHF2</w:t>
      </w:r>
      <w:r>
        <w:rPr>
          <w:szCs w:val="22"/>
        </w:rPr>
        <w:t xml:space="preserve"> categories being expanded to four</w:t>
      </w:r>
      <w:r w:rsidR="00C14F18">
        <w:rPr>
          <w:szCs w:val="22"/>
        </w:rPr>
        <w:t>,</w:t>
      </w:r>
      <w:r>
        <w:rPr>
          <w:szCs w:val="22"/>
        </w:rPr>
        <w:t xml:space="preserve"> with the addition of a new category for chillers &lt;350 kWr that had previously been aggregated with a category that included all devices &lt;500 kWr.</w:t>
      </w:r>
    </w:p>
    <w:p w14:paraId="2524BF2F" w14:textId="0E7BD136" w:rsidR="00B85D06" w:rsidRDefault="00B85D06" w:rsidP="00B85D06">
      <w:pPr>
        <w:rPr>
          <w:szCs w:val="22"/>
          <w:lang w:val="en-AU"/>
        </w:rPr>
      </w:pPr>
      <w:r>
        <w:rPr>
          <w:szCs w:val="22"/>
        </w:rPr>
        <w:t xml:space="preserve">Smaller chillers (&lt;350 kWr) can contain HFC-410A and HFC-407C, with charges ranging from </w:t>
      </w:r>
      <w:r w:rsidR="00A10A63" w:rsidRPr="00A10A63">
        <w:rPr>
          <w:szCs w:val="22"/>
        </w:rPr>
        <w:t>40</w:t>
      </w:r>
      <w:r w:rsidRPr="00A10A63">
        <w:rPr>
          <w:szCs w:val="22"/>
        </w:rPr>
        <w:t xml:space="preserve"> kg to </w:t>
      </w:r>
      <w:r w:rsidR="00A10A63" w:rsidRPr="00A10A63">
        <w:rPr>
          <w:szCs w:val="22"/>
        </w:rPr>
        <w:t>more than one tonne</w:t>
      </w:r>
      <w:r w:rsidRPr="00A10A63">
        <w:rPr>
          <w:szCs w:val="22"/>
        </w:rPr>
        <w:t xml:space="preserve">. The PCE import category </w:t>
      </w:r>
      <w:r w:rsidRPr="00A10A63">
        <w:rPr>
          <w:i/>
          <w:szCs w:val="22"/>
          <w:lang w:val="en-AU"/>
        </w:rPr>
        <w:t xml:space="preserve">‘Commercial use air-conditioning’ </w:t>
      </w:r>
      <w:r w:rsidRPr="00A10A63">
        <w:rPr>
          <w:szCs w:val="22"/>
          <w:lang w:val="en-AU"/>
        </w:rPr>
        <w:t>includes many other Medium AC product types with similar refrigerant charges including V</w:t>
      </w:r>
      <w:r w:rsidR="00160D68">
        <w:rPr>
          <w:szCs w:val="22"/>
          <w:lang w:val="en-AU"/>
        </w:rPr>
        <w:t xml:space="preserve">ariable </w:t>
      </w:r>
      <w:r w:rsidRPr="00A10A63">
        <w:rPr>
          <w:szCs w:val="22"/>
          <w:lang w:val="en-AU"/>
        </w:rPr>
        <w:t>R</w:t>
      </w:r>
      <w:r w:rsidR="00160D68">
        <w:rPr>
          <w:szCs w:val="22"/>
          <w:lang w:val="en-AU"/>
        </w:rPr>
        <w:t xml:space="preserve">efrigerant </w:t>
      </w:r>
      <w:r w:rsidRPr="00A10A63">
        <w:rPr>
          <w:szCs w:val="22"/>
          <w:lang w:val="en-AU"/>
        </w:rPr>
        <w:t>V</w:t>
      </w:r>
      <w:r w:rsidR="00160D68">
        <w:rPr>
          <w:szCs w:val="22"/>
          <w:lang w:val="en-AU"/>
        </w:rPr>
        <w:t>olume</w:t>
      </w:r>
      <w:r w:rsidRPr="00A10A63">
        <w:rPr>
          <w:szCs w:val="22"/>
          <w:lang w:val="en-AU"/>
        </w:rPr>
        <w:t>/F</w:t>
      </w:r>
      <w:r w:rsidR="00160D68">
        <w:rPr>
          <w:szCs w:val="22"/>
          <w:lang w:val="en-AU"/>
        </w:rPr>
        <w:t>low</w:t>
      </w:r>
      <w:r w:rsidRPr="00A10A63">
        <w:rPr>
          <w:szCs w:val="22"/>
          <w:lang w:val="en-AU"/>
        </w:rPr>
        <w:t xml:space="preserve"> Sp</w:t>
      </w:r>
      <w:r w:rsidR="005646D1">
        <w:rPr>
          <w:szCs w:val="22"/>
          <w:lang w:val="en-AU"/>
        </w:rPr>
        <w:t>l</w:t>
      </w:r>
      <w:r w:rsidRPr="00A10A63">
        <w:rPr>
          <w:szCs w:val="22"/>
          <w:lang w:val="en-AU"/>
        </w:rPr>
        <w:t>it systems, larger</w:t>
      </w:r>
      <w:r w:rsidRPr="00A52821">
        <w:rPr>
          <w:szCs w:val="22"/>
          <w:lang w:val="en-AU"/>
        </w:rPr>
        <w:t xml:space="preserve"> ducted systems and close control AC.</w:t>
      </w:r>
    </w:p>
    <w:p w14:paraId="0DC72CA5" w14:textId="1857FA37" w:rsidR="00B85D06" w:rsidRDefault="00B85D06" w:rsidP="00B85D06">
      <w:pPr>
        <w:rPr>
          <w:szCs w:val="22"/>
          <w:lang w:val="en-AU"/>
        </w:rPr>
      </w:pPr>
      <w:r>
        <w:rPr>
          <w:szCs w:val="22"/>
        </w:rPr>
        <w:t xml:space="preserve">Generally, chillers </w:t>
      </w:r>
      <w:r>
        <w:rPr>
          <w:szCs w:val="22"/>
          <w:lang w:val="en-AU"/>
        </w:rPr>
        <w:t xml:space="preserve">require larger refrigerant charges and the majority are charged with HFC-134a. </w:t>
      </w:r>
      <w:r w:rsidRPr="00D573E8">
        <w:rPr>
          <w:szCs w:val="22"/>
          <w:lang w:val="en-AU"/>
        </w:rPr>
        <w:t xml:space="preserve">PCE imports for </w:t>
      </w:r>
      <w:r>
        <w:rPr>
          <w:szCs w:val="22"/>
          <w:lang w:val="en-AU"/>
        </w:rPr>
        <w:t xml:space="preserve">2013, </w:t>
      </w:r>
      <w:r w:rsidRPr="00D573E8">
        <w:rPr>
          <w:szCs w:val="22"/>
          <w:lang w:val="en-AU"/>
        </w:rPr>
        <w:t xml:space="preserve">2014, 2015 and 2016 reported under the </w:t>
      </w:r>
      <w:r w:rsidRPr="00D573E8">
        <w:rPr>
          <w:i/>
          <w:szCs w:val="22"/>
          <w:lang w:val="en-AU"/>
        </w:rPr>
        <w:t>‘</w:t>
      </w:r>
      <w:r w:rsidRPr="00355401">
        <w:rPr>
          <w:i/>
          <w:szCs w:val="22"/>
          <w:lang w:val="en-AU"/>
        </w:rPr>
        <w:t>Commercial use air-conditioning</w:t>
      </w:r>
      <w:r w:rsidRPr="00D573E8">
        <w:rPr>
          <w:i/>
          <w:szCs w:val="22"/>
          <w:lang w:val="en-AU"/>
        </w:rPr>
        <w:t>’</w:t>
      </w:r>
      <w:r w:rsidRPr="00D573E8">
        <w:rPr>
          <w:szCs w:val="22"/>
          <w:lang w:val="en-AU"/>
        </w:rPr>
        <w:t xml:space="preserve"> category in the </w:t>
      </w:r>
      <w:r w:rsidR="008B5B07">
        <w:rPr>
          <w:szCs w:val="22"/>
          <w:lang w:val="en-AU"/>
        </w:rPr>
        <w:t xml:space="preserve">DoEE pre-charged equipment </w:t>
      </w:r>
      <w:r w:rsidRPr="00D573E8">
        <w:rPr>
          <w:szCs w:val="22"/>
          <w:lang w:val="en-AU"/>
        </w:rPr>
        <w:t>import data</w:t>
      </w:r>
      <w:r>
        <w:rPr>
          <w:szCs w:val="22"/>
          <w:lang w:val="en-AU"/>
        </w:rPr>
        <w:t xml:space="preserve"> were analysed for HFC-134a equipment with a charge greater than 10 kg. Over the four-year period 1,686 units were imported with an average charge of 194 kg, equating to </w:t>
      </w:r>
      <w:r w:rsidR="003C5F7F">
        <w:rPr>
          <w:szCs w:val="22"/>
          <w:lang w:val="en-AU"/>
        </w:rPr>
        <w:t xml:space="preserve">imports of </w:t>
      </w:r>
      <w:r>
        <w:rPr>
          <w:szCs w:val="22"/>
          <w:lang w:val="en-AU"/>
        </w:rPr>
        <w:t xml:space="preserve">82 tonnes of HFC-134a on average per annum in these large devices. Over the same period there </w:t>
      </w:r>
      <w:r w:rsidR="00FE74F2">
        <w:rPr>
          <w:szCs w:val="22"/>
          <w:lang w:val="en-AU"/>
        </w:rPr>
        <w:t>were</w:t>
      </w:r>
      <w:r>
        <w:rPr>
          <w:szCs w:val="22"/>
          <w:lang w:val="en-AU"/>
        </w:rPr>
        <w:t xml:space="preserve"> 28 units imported containing HCFC-123 with an average charge of 825 kg, equating to almost 6 tonnes per annum</w:t>
      </w:r>
      <w:r w:rsidR="00D53166">
        <w:rPr>
          <w:rStyle w:val="FootnoteReference"/>
          <w:szCs w:val="22"/>
          <w:lang w:val="en-AU"/>
        </w:rPr>
        <w:footnoteReference w:id="16"/>
      </w:r>
      <w:r>
        <w:rPr>
          <w:szCs w:val="22"/>
          <w:lang w:val="en-AU"/>
        </w:rPr>
        <w:t>.</w:t>
      </w:r>
      <w:r w:rsidR="00D63E58">
        <w:rPr>
          <w:szCs w:val="22"/>
          <w:lang w:val="en-AU"/>
        </w:rPr>
        <w:t xml:space="preserve"> </w:t>
      </w:r>
      <w:r w:rsidR="00D63E58" w:rsidRPr="00D63E58">
        <w:rPr>
          <w:szCs w:val="22"/>
          <w:lang w:val="en-AU"/>
        </w:rPr>
        <w:t>The import of space chillers charged with HCFC-123 continued until the end of 2015.</w:t>
      </w:r>
    </w:p>
    <w:p w14:paraId="2D085CC1" w14:textId="3F15B6E5" w:rsidR="00B85D06" w:rsidRPr="00A52821" w:rsidRDefault="00B85D06" w:rsidP="00B85D06">
      <w:pPr>
        <w:rPr>
          <w:szCs w:val="22"/>
        </w:rPr>
      </w:pPr>
      <w:r>
        <w:rPr>
          <w:szCs w:val="22"/>
          <w:lang w:val="en-AU"/>
        </w:rPr>
        <w:t>There can be exceptions</w:t>
      </w:r>
      <w:r w:rsidR="005646D1">
        <w:rPr>
          <w:szCs w:val="22"/>
          <w:lang w:val="en-AU"/>
        </w:rPr>
        <w:t>;</w:t>
      </w:r>
      <w:r>
        <w:rPr>
          <w:szCs w:val="22"/>
          <w:lang w:val="en-AU"/>
        </w:rPr>
        <w:t xml:space="preserve"> for example, further a</w:t>
      </w:r>
      <w:r w:rsidRPr="004364B6">
        <w:rPr>
          <w:szCs w:val="22"/>
          <w:lang w:val="en-AU"/>
        </w:rPr>
        <w:t xml:space="preserve">nalysis of PCE imports for 2013, 2014, 2015 and 2016 revealed there were </w:t>
      </w:r>
      <w:r w:rsidRPr="004364B6">
        <w:rPr>
          <w:szCs w:val="22"/>
        </w:rPr>
        <w:t xml:space="preserve">45 large chillers containing HFC-407C imported by companies providing off-shore </w:t>
      </w:r>
      <w:r>
        <w:rPr>
          <w:szCs w:val="22"/>
        </w:rPr>
        <w:t>services</w:t>
      </w:r>
      <w:r w:rsidR="00784D8B">
        <w:rPr>
          <w:rStyle w:val="FootnoteReference"/>
          <w:szCs w:val="22"/>
        </w:rPr>
        <w:footnoteReference w:id="17"/>
      </w:r>
      <w:r>
        <w:rPr>
          <w:szCs w:val="22"/>
        </w:rPr>
        <w:t xml:space="preserve"> </w:t>
      </w:r>
      <w:r w:rsidRPr="004364B6">
        <w:rPr>
          <w:szCs w:val="22"/>
        </w:rPr>
        <w:t>with charges ranging from 120 kg to 650 kg.</w:t>
      </w:r>
      <w:r>
        <w:rPr>
          <w:szCs w:val="22"/>
        </w:rPr>
        <w:t xml:space="preserve"> In addition, there were chillers containing as much as 460 kg of HFC-410A. </w:t>
      </w:r>
      <w:r>
        <w:rPr>
          <w:szCs w:val="22"/>
          <w:lang w:val="en-AU"/>
        </w:rPr>
        <w:t>These chillers were most likely process chillers</w:t>
      </w:r>
      <w:r w:rsidR="00D53166">
        <w:rPr>
          <w:szCs w:val="22"/>
          <w:lang w:val="en-AU"/>
        </w:rPr>
        <w:t xml:space="preserve"> with particularly demanding operational requirements</w:t>
      </w:r>
      <w:r>
        <w:rPr>
          <w:szCs w:val="22"/>
          <w:lang w:val="en-AU"/>
        </w:rPr>
        <w:t xml:space="preserve">.   </w:t>
      </w:r>
      <w:r w:rsidRPr="00A52821">
        <w:rPr>
          <w:szCs w:val="22"/>
          <w:lang w:val="en-AU"/>
        </w:rPr>
        <w:t xml:space="preserve"> </w:t>
      </w:r>
    </w:p>
    <w:p w14:paraId="41C7F5E0" w14:textId="149A22E7" w:rsidR="00B85D06" w:rsidRDefault="00B85D06" w:rsidP="00356682">
      <w:pPr>
        <w:rPr>
          <w:szCs w:val="22"/>
        </w:rPr>
      </w:pPr>
      <w:r>
        <w:rPr>
          <w:szCs w:val="22"/>
        </w:rPr>
        <w:t xml:space="preserve">The remaining local manufacturer of chillers, Smardt Chillers, provided Expert Group with </w:t>
      </w:r>
      <w:r w:rsidR="00075036">
        <w:rPr>
          <w:szCs w:val="22"/>
        </w:rPr>
        <w:t xml:space="preserve">its </w:t>
      </w:r>
      <w:r w:rsidR="00493AC5">
        <w:rPr>
          <w:szCs w:val="22"/>
        </w:rPr>
        <w:t xml:space="preserve">manufacturing </w:t>
      </w:r>
      <w:r w:rsidR="003220F2">
        <w:rPr>
          <w:szCs w:val="22"/>
        </w:rPr>
        <w:t xml:space="preserve">use </w:t>
      </w:r>
      <w:r>
        <w:rPr>
          <w:szCs w:val="22"/>
        </w:rPr>
        <w:t>of HFC-134a</w:t>
      </w:r>
      <w:r w:rsidR="003220F2">
        <w:rPr>
          <w:szCs w:val="22"/>
        </w:rPr>
        <w:t>,</w:t>
      </w:r>
      <w:r>
        <w:rPr>
          <w:szCs w:val="22"/>
        </w:rPr>
        <w:t xml:space="preserve"> which was used in the model to assess </w:t>
      </w:r>
      <w:r w:rsidR="007D7BE9">
        <w:rPr>
          <w:szCs w:val="22"/>
        </w:rPr>
        <w:t xml:space="preserve">manufacturing </w:t>
      </w:r>
      <w:r>
        <w:rPr>
          <w:szCs w:val="22"/>
        </w:rPr>
        <w:t xml:space="preserve">and service </w:t>
      </w:r>
      <w:r w:rsidR="003220F2">
        <w:rPr>
          <w:szCs w:val="22"/>
        </w:rPr>
        <w:t>use</w:t>
      </w:r>
      <w:r>
        <w:rPr>
          <w:szCs w:val="22"/>
        </w:rPr>
        <w:t xml:space="preserve"> in this </w:t>
      </w:r>
      <w:r w:rsidR="007D7BE9">
        <w:rPr>
          <w:szCs w:val="22"/>
        </w:rPr>
        <w:t>s</w:t>
      </w:r>
      <w:r>
        <w:rPr>
          <w:szCs w:val="22"/>
        </w:rPr>
        <w:t>egment.</w:t>
      </w:r>
    </w:p>
    <w:p w14:paraId="064537C0" w14:textId="1826F5A6" w:rsidR="0056567F" w:rsidRDefault="00B85D06" w:rsidP="00356682">
      <w:pPr>
        <w:rPr>
          <w:szCs w:val="22"/>
        </w:rPr>
      </w:pPr>
      <w:r w:rsidRPr="00D1327E">
        <w:rPr>
          <w:szCs w:val="22"/>
        </w:rPr>
        <w:t>New chillers sales are expected grow at around 1% per annum or in line with construction activity in large commercial buildings.</w:t>
      </w:r>
    </w:p>
    <w:p w14:paraId="3471B76F" w14:textId="105CAB5B" w:rsidR="00711088" w:rsidRDefault="00356682" w:rsidP="00356682">
      <w:pPr>
        <w:rPr>
          <w:szCs w:val="22"/>
        </w:rPr>
      </w:pPr>
      <w:r w:rsidRPr="00664C8A">
        <w:rPr>
          <w:szCs w:val="22"/>
        </w:rPr>
        <w:t xml:space="preserve">All of the global manufacturers </w:t>
      </w:r>
      <w:r w:rsidR="00711088" w:rsidRPr="00664C8A">
        <w:rPr>
          <w:szCs w:val="22"/>
        </w:rPr>
        <w:t xml:space="preserve">of space chillers </w:t>
      </w:r>
      <w:r w:rsidR="006818AD" w:rsidRPr="00664C8A">
        <w:rPr>
          <w:szCs w:val="22"/>
        </w:rPr>
        <w:t xml:space="preserve">(including local manufacturer Smardt Chillers) </w:t>
      </w:r>
      <w:r w:rsidRPr="00664C8A">
        <w:rPr>
          <w:szCs w:val="22"/>
        </w:rPr>
        <w:t xml:space="preserve">are offering </w:t>
      </w:r>
      <w:r w:rsidR="00711088" w:rsidRPr="00664C8A">
        <w:rPr>
          <w:szCs w:val="22"/>
        </w:rPr>
        <w:t xml:space="preserve">equipment charged with </w:t>
      </w:r>
      <w:r w:rsidRPr="00664C8A">
        <w:rPr>
          <w:szCs w:val="22"/>
        </w:rPr>
        <w:t>HFO</w:t>
      </w:r>
      <w:r w:rsidR="00711088" w:rsidRPr="00664C8A">
        <w:rPr>
          <w:szCs w:val="22"/>
        </w:rPr>
        <w:t>s</w:t>
      </w:r>
      <w:r w:rsidRPr="00664C8A">
        <w:rPr>
          <w:szCs w:val="22"/>
        </w:rPr>
        <w:t xml:space="preserve"> </w:t>
      </w:r>
      <w:r w:rsidR="00711088" w:rsidRPr="00664C8A">
        <w:rPr>
          <w:szCs w:val="22"/>
        </w:rPr>
        <w:t>or</w:t>
      </w:r>
      <w:r w:rsidRPr="00664C8A">
        <w:rPr>
          <w:szCs w:val="22"/>
        </w:rPr>
        <w:t xml:space="preserve"> HFO</w:t>
      </w:r>
      <w:r w:rsidR="00711088" w:rsidRPr="00664C8A">
        <w:rPr>
          <w:szCs w:val="22"/>
        </w:rPr>
        <w:t>/HFC</w:t>
      </w:r>
      <w:r w:rsidRPr="00664C8A">
        <w:rPr>
          <w:szCs w:val="22"/>
        </w:rPr>
        <w:t xml:space="preserve"> blends. The refrigerant landscape </w:t>
      </w:r>
      <w:r w:rsidR="00711088" w:rsidRPr="00664C8A">
        <w:rPr>
          <w:szCs w:val="22"/>
        </w:rPr>
        <w:t xml:space="preserve">in this segment </w:t>
      </w:r>
      <w:r w:rsidRPr="00664C8A">
        <w:rPr>
          <w:szCs w:val="22"/>
        </w:rPr>
        <w:t xml:space="preserve">is changing rapidly, primarily driven by experiences </w:t>
      </w:r>
      <w:r w:rsidR="00711088" w:rsidRPr="00664C8A">
        <w:rPr>
          <w:szCs w:val="22"/>
        </w:rPr>
        <w:t>in</w:t>
      </w:r>
      <w:r w:rsidR="00D53166" w:rsidRPr="00664C8A">
        <w:rPr>
          <w:szCs w:val="22"/>
        </w:rPr>
        <w:t xml:space="preserve"> </w:t>
      </w:r>
      <w:r w:rsidRPr="00664C8A">
        <w:rPr>
          <w:szCs w:val="22"/>
        </w:rPr>
        <w:t xml:space="preserve">the European Union where the </w:t>
      </w:r>
      <w:r w:rsidR="00711088" w:rsidRPr="00664C8A">
        <w:rPr>
          <w:szCs w:val="22"/>
        </w:rPr>
        <w:t xml:space="preserve">HFC </w:t>
      </w:r>
      <w:r w:rsidRPr="00664C8A">
        <w:rPr>
          <w:szCs w:val="22"/>
        </w:rPr>
        <w:t>phasedown timetable is driving change.</w:t>
      </w:r>
      <w:r>
        <w:rPr>
          <w:szCs w:val="22"/>
        </w:rPr>
        <w:t xml:space="preserve"> </w:t>
      </w:r>
    </w:p>
    <w:p w14:paraId="7C307212" w14:textId="008B9B64" w:rsidR="00356682" w:rsidRDefault="00356682" w:rsidP="00356682">
      <w:pPr>
        <w:rPr>
          <w:szCs w:val="22"/>
        </w:rPr>
      </w:pPr>
      <w:r>
        <w:rPr>
          <w:szCs w:val="22"/>
        </w:rPr>
        <w:t xml:space="preserve">The </w:t>
      </w:r>
      <w:r w:rsidR="00D53166">
        <w:rPr>
          <w:szCs w:val="22"/>
        </w:rPr>
        <w:t xml:space="preserve">HFO </w:t>
      </w:r>
      <w:r>
        <w:rPr>
          <w:szCs w:val="22"/>
        </w:rPr>
        <w:t>refrigerant of choice for l</w:t>
      </w:r>
      <w:r w:rsidRPr="00356682">
        <w:rPr>
          <w:szCs w:val="22"/>
        </w:rPr>
        <w:t xml:space="preserve">arge </w:t>
      </w:r>
      <w:r>
        <w:rPr>
          <w:szCs w:val="22"/>
        </w:rPr>
        <w:t>c</w:t>
      </w:r>
      <w:r w:rsidRPr="00356682">
        <w:rPr>
          <w:szCs w:val="22"/>
        </w:rPr>
        <w:t xml:space="preserve">entrifugal chillers </w:t>
      </w:r>
      <w:r>
        <w:rPr>
          <w:szCs w:val="22"/>
        </w:rPr>
        <w:t xml:space="preserve">is </w:t>
      </w:r>
      <w:r w:rsidRPr="00356682">
        <w:rPr>
          <w:szCs w:val="22"/>
        </w:rPr>
        <w:t>HFO-1233zd a</w:t>
      </w:r>
      <w:r>
        <w:rPr>
          <w:szCs w:val="22"/>
        </w:rPr>
        <w:t xml:space="preserve">s there is a financial benefit </w:t>
      </w:r>
      <w:r w:rsidR="00711088">
        <w:rPr>
          <w:szCs w:val="22"/>
        </w:rPr>
        <w:t>deliver</w:t>
      </w:r>
      <w:r>
        <w:rPr>
          <w:szCs w:val="22"/>
        </w:rPr>
        <w:t xml:space="preserve">ed </w:t>
      </w:r>
      <w:r w:rsidR="00711088">
        <w:rPr>
          <w:szCs w:val="22"/>
        </w:rPr>
        <w:t xml:space="preserve">to the equipment owner </w:t>
      </w:r>
      <w:r>
        <w:rPr>
          <w:szCs w:val="22"/>
        </w:rPr>
        <w:t xml:space="preserve">due to </w:t>
      </w:r>
      <w:r w:rsidR="00D53166">
        <w:rPr>
          <w:szCs w:val="22"/>
        </w:rPr>
        <w:t xml:space="preserve">significant </w:t>
      </w:r>
      <w:r>
        <w:rPr>
          <w:szCs w:val="22"/>
        </w:rPr>
        <w:t>energy efficiency gains</w:t>
      </w:r>
      <w:r w:rsidR="00017BD7">
        <w:rPr>
          <w:szCs w:val="22"/>
        </w:rPr>
        <w:t>.</w:t>
      </w:r>
      <w:r>
        <w:rPr>
          <w:szCs w:val="22"/>
        </w:rPr>
        <w:t xml:space="preserve"> </w:t>
      </w:r>
      <w:r w:rsidR="00017BD7">
        <w:rPr>
          <w:szCs w:val="22"/>
        </w:rPr>
        <w:t>T</w:t>
      </w:r>
      <w:r w:rsidR="00711088">
        <w:rPr>
          <w:szCs w:val="22"/>
        </w:rPr>
        <w:t xml:space="preserve">he </w:t>
      </w:r>
      <w:r w:rsidR="002965C7">
        <w:rPr>
          <w:szCs w:val="22"/>
        </w:rPr>
        <w:t>non</w:t>
      </w:r>
      <w:r w:rsidR="00711088">
        <w:rPr>
          <w:szCs w:val="22"/>
        </w:rPr>
        <w:t>-</w:t>
      </w:r>
      <w:r w:rsidR="002965C7">
        <w:rPr>
          <w:szCs w:val="22"/>
        </w:rPr>
        <w:t>flammable safety classification</w:t>
      </w:r>
      <w:r w:rsidR="00D53166">
        <w:rPr>
          <w:szCs w:val="22"/>
        </w:rPr>
        <w:t xml:space="preserve"> of the refrigerant</w:t>
      </w:r>
      <w:r w:rsidR="002965C7">
        <w:rPr>
          <w:szCs w:val="22"/>
        </w:rPr>
        <w:t xml:space="preserve"> (i.e. </w:t>
      </w:r>
      <w:r>
        <w:rPr>
          <w:szCs w:val="22"/>
        </w:rPr>
        <w:t>Class A1</w:t>
      </w:r>
      <w:r w:rsidR="002965C7">
        <w:rPr>
          <w:szCs w:val="22"/>
        </w:rPr>
        <w:t xml:space="preserve">, </w:t>
      </w:r>
      <w:r>
        <w:rPr>
          <w:szCs w:val="22"/>
        </w:rPr>
        <w:t>non</w:t>
      </w:r>
      <w:r w:rsidR="00D53166">
        <w:rPr>
          <w:szCs w:val="22"/>
        </w:rPr>
        <w:t>-</w:t>
      </w:r>
      <w:r>
        <w:rPr>
          <w:szCs w:val="22"/>
        </w:rPr>
        <w:t xml:space="preserve">flammable) </w:t>
      </w:r>
      <w:r w:rsidR="00017BD7">
        <w:rPr>
          <w:szCs w:val="22"/>
        </w:rPr>
        <w:t>also</w:t>
      </w:r>
      <w:r>
        <w:rPr>
          <w:szCs w:val="22"/>
        </w:rPr>
        <w:t xml:space="preserve"> makes installation </w:t>
      </w:r>
      <w:r w:rsidR="002965C7">
        <w:rPr>
          <w:szCs w:val="22"/>
        </w:rPr>
        <w:t xml:space="preserve">similar to HFC-134a </w:t>
      </w:r>
      <w:r w:rsidR="00711088">
        <w:rPr>
          <w:szCs w:val="22"/>
        </w:rPr>
        <w:t xml:space="preserve">charged equipment </w:t>
      </w:r>
      <w:r>
        <w:rPr>
          <w:szCs w:val="22"/>
        </w:rPr>
        <w:t xml:space="preserve">under the new technical standard </w:t>
      </w:r>
      <w:r w:rsidRPr="002965C7">
        <w:rPr>
          <w:i/>
          <w:szCs w:val="22"/>
        </w:rPr>
        <w:t>ISO 5149</w:t>
      </w:r>
      <w:r w:rsidR="002965C7">
        <w:rPr>
          <w:i/>
          <w:szCs w:val="22"/>
        </w:rPr>
        <w:t>:</w:t>
      </w:r>
      <w:r w:rsidR="009C5C01">
        <w:rPr>
          <w:i/>
          <w:szCs w:val="22"/>
        </w:rPr>
        <w:t xml:space="preserve"> 2016</w:t>
      </w:r>
      <w:r w:rsidR="002965C7" w:rsidRPr="002965C7">
        <w:rPr>
          <w:i/>
          <w:szCs w:val="22"/>
        </w:rPr>
        <w:t xml:space="preserve"> Refrigerating systems and heat pumps - Safety and environmental requirements</w:t>
      </w:r>
      <w:r>
        <w:rPr>
          <w:szCs w:val="22"/>
        </w:rPr>
        <w:t>.</w:t>
      </w:r>
      <w:r w:rsidR="00051510">
        <w:rPr>
          <w:szCs w:val="22"/>
        </w:rPr>
        <w:t xml:space="preserve"> There were several large chillers </w:t>
      </w:r>
      <w:r w:rsidR="004258D2">
        <w:rPr>
          <w:szCs w:val="22"/>
        </w:rPr>
        <w:t xml:space="preserve">installed </w:t>
      </w:r>
      <w:r w:rsidR="00051510">
        <w:rPr>
          <w:szCs w:val="22"/>
        </w:rPr>
        <w:t xml:space="preserve">in Australia </w:t>
      </w:r>
      <w:r w:rsidR="004258D2">
        <w:rPr>
          <w:szCs w:val="22"/>
        </w:rPr>
        <w:t xml:space="preserve">in 2017 </w:t>
      </w:r>
      <w:r w:rsidR="00051510">
        <w:rPr>
          <w:szCs w:val="22"/>
        </w:rPr>
        <w:t>operating on HFO-1233zd.</w:t>
      </w:r>
    </w:p>
    <w:p w14:paraId="04881F05" w14:textId="06D4FFC8" w:rsidR="00431107" w:rsidRDefault="00431107" w:rsidP="00356682">
      <w:pPr>
        <w:rPr>
          <w:szCs w:val="22"/>
        </w:rPr>
      </w:pPr>
      <w:r>
        <w:rPr>
          <w:szCs w:val="22"/>
        </w:rPr>
        <w:t xml:space="preserve">Some suppliers are adopting a </w:t>
      </w:r>
      <w:r w:rsidR="009F5EAE">
        <w:rPr>
          <w:szCs w:val="22"/>
        </w:rPr>
        <w:t>two-step</w:t>
      </w:r>
      <w:r>
        <w:rPr>
          <w:szCs w:val="22"/>
        </w:rPr>
        <w:t xml:space="preserve"> approach</w:t>
      </w:r>
      <w:r w:rsidR="00711088">
        <w:rPr>
          <w:szCs w:val="22"/>
        </w:rPr>
        <w:t>,</w:t>
      </w:r>
      <w:r>
        <w:rPr>
          <w:szCs w:val="22"/>
        </w:rPr>
        <w:t xml:space="preserve"> </w:t>
      </w:r>
      <w:r w:rsidR="00711088">
        <w:rPr>
          <w:szCs w:val="22"/>
        </w:rPr>
        <w:t>mov</w:t>
      </w:r>
      <w:r>
        <w:rPr>
          <w:szCs w:val="22"/>
        </w:rPr>
        <w:t xml:space="preserve">ing to a Class A1 </w:t>
      </w:r>
      <w:r w:rsidR="00711088">
        <w:rPr>
          <w:szCs w:val="22"/>
        </w:rPr>
        <w:t>HFO/</w:t>
      </w:r>
      <w:r>
        <w:rPr>
          <w:szCs w:val="22"/>
        </w:rPr>
        <w:t>HFC blend with around half the GWP of HFC-134a</w:t>
      </w:r>
      <w:r w:rsidR="00711088">
        <w:rPr>
          <w:szCs w:val="22"/>
        </w:rPr>
        <w:t>,</w:t>
      </w:r>
      <w:r>
        <w:rPr>
          <w:szCs w:val="22"/>
        </w:rPr>
        <w:t xml:space="preserve"> such as HFC-513</w:t>
      </w:r>
      <w:r w:rsidR="00B73823">
        <w:rPr>
          <w:szCs w:val="22"/>
        </w:rPr>
        <w:t>A</w:t>
      </w:r>
      <w:r>
        <w:rPr>
          <w:szCs w:val="22"/>
        </w:rPr>
        <w:t xml:space="preserve"> (GWP of </w:t>
      </w:r>
      <w:r w:rsidR="006818AD">
        <w:rPr>
          <w:szCs w:val="22"/>
        </w:rPr>
        <w:t>632</w:t>
      </w:r>
      <w:r>
        <w:rPr>
          <w:szCs w:val="22"/>
        </w:rPr>
        <w:t>)</w:t>
      </w:r>
      <w:r w:rsidR="00711088">
        <w:rPr>
          <w:szCs w:val="22"/>
        </w:rPr>
        <w:t>,</w:t>
      </w:r>
      <w:r>
        <w:rPr>
          <w:szCs w:val="22"/>
        </w:rPr>
        <w:t xml:space="preserve"> </w:t>
      </w:r>
      <w:r w:rsidR="00711088">
        <w:rPr>
          <w:szCs w:val="22"/>
        </w:rPr>
        <w:t>while planning t</w:t>
      </w:r>
      <w:r w:rsidR="00017BD7">
        <w:rPr>
          <w:szCs w:val="22"/>
        </w:rPr>
        <w:t>he</w:t>
      </w:r>
      <w:r w:rsidR="00711088">
        <w:rPr>
          <w:szCs w:val="22"/>
        </w:rPr>
        <w:t xml:space="preserve"> </w:t>
      </w:r>
      <w:r>
        <w:rPr>
          <w:szCs w:val="22"/>
        </w:rPr>
        <w:t xml:space="preserve">transition to </w:t>
      </w:r>
      <w:r w:rsidR="00017BD7">
        <w:rPr>
          <w:szCs w:val="22"/>
        </w:rPr>
        <w:t xml:space="preserve">pure </w:t>
      </w:r>
      <w:r>
        <w:rPr>
          <w:szCs w:val="22"/>
        </w:rPr>
        <w:t>HFO</w:t>
      </w:r>
      <w:r w:rsidR="00D53166">
        <w:rPr>
          <w:szCs w:val="22"/>
        </w:rPr>
        <w:t>s. One impediment to this transition, particularly to HFO</w:t>
      </w:r>
      <w:r>
        <w:rPr>
          <w:szCs w:val="22"/>
        </w:rPr>
        <w:t xml:space="preserve">-1234yf </w:t>
      </w:r>
      <w:r w:rsidR="00D53166">
        <w:rPr>
          <w:szCs w:val="22"/>
        </w:rPr>
        <w:t xml:space="preserve">is the </w:t>
      </w:r>
      <w:r w:rsidR="006818AD">
        <w:rPr>
          <w:szCs w:val="22"/>
        </w:rPr>
        <w:t xml:space="preserve">additional </w:t>
      </w:r>
      <w:r>
        <w:rPr>
          <w:szCs w:val="22"/>
        </w:rPr>
        <w:t>installation cost</w:t>
      </w:r>
      <w:r w:rsidR="006818AD">
        <w:rPr>
          <w:szCs w:val="22"/>
        </w:rPr>
        <w:t>s</w:t>
      </w:r>
      <w:r>
        <w:rPr>
          <w:szCs w:val="22"/>
        </w:rPr>
        <w:t xml:space="preserve"> arising from its Class A2L mildly flammable classification.</w:t>
      </w:r>
    </w:p>
    <w:p w14:paraId="178B01A3" w14:textId="77777777" w:rsidR="00356682" w:rsidRDefault="00356682" w:rsidP="00C34004">
      <w:pPr>
        <w:jc w:val="left"/>
        <w:rPr>
          <w:rFonts w:cs="Times New Roman"/>
          <w:szCs w:val="22"/>
        </w:rPr>
      </w:pPr>
    </w:p>
    <w:p w14:paraId="28787700" w14:textId="777F2C15" w:rsidR="008109F3" w:rsidRDefault="008109F3">
      <w:pPr>
        <w:spacing w:before="0"/>
        <w:jc w:val="left"/>
        <w:rPr>
          <w:rFonts w:cs="Times New Roman"/>
          <w:szCs w:val="22"/>
        </w:rPr>
      </w:pPr>
      <w:r>
        <w:rPr>
          <w:rFonts w:cs="Times New Roman"/>
          <w:szCs w:val="22"/>
        </w:rPr>
        <w:br w:type="page"/>
      </w:r>
    </w:p>
    <w:p w14:paraId="6D1D2663" w14:textId="49C8D55A" w:rsidR="008109F3" w:rsidRPr="002B2235" w:rsidRDefault="002B2235" w:rsidP="002B2235">
      <w:pPr>
        <w:pStyle w:val="Caption"/>
        <w:keepNext/>
      </w:pPr>
      <w:bookmarkStart w:id="21" w:name="_Toc525141395"/>
      <w:r>
        <w:lastRenderedPageBreak/>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6</w:t>
      </w:r>
      <w:r w:rsidR="009D6843">
        <w:rPr>
          <w:noProof/>
        </w:rPr>
        <w:fldChar w:fldCharType="end"/>
      </w:r>
      <w:r>
        <w:t xml:space="preserve">: </w:t>
      </w:r>
      <w:r w:rsidRPr="002B2235">
        <w:rPr>
          <w:lang w:val="en-GB"/>
        </w:rPr>
        <w:t>Stationary air conditioning main metrics: 2012 versus 2016.</w:t>
      </w:r>
      <w:bookmarkEnd w:id="21"/>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2552"/>
        <w:gridCol w:w="2126"/>
        <w:gridCol w:w="1417"/>
      </w:tblGrid>
      <w:tr w:rsidR="008109F3" w:rsidRPr="00866793" w14:paraId="617A1ABC" w14:textId="77777777" w:rsidTr="00CD73A6">
        <w:trPr>
          <w:trHeight w:val="456"/>
        </w:trPr>
        <w:tc>
          <w:tcPr>
            <w:tcW w:w="3544" w:type="dxa"/>
            <w:tcBorders>
              <w:top w:val="single" w:sz="4" w:space="0" w:color="000000"/>
            </w:tcBorders>
            <w:shd w:val="clear" w:color="auto" w:fill="B6DDE8" w:themeFill="accent5" w:themeFillTint="66"/>
          </w:tcPr>
          <w:p w14:paraId="31807780" w14:textId="61775887" w:rsidR="008109F3" w:rsidRPr="008109F3" w:rsidRDefault="008109F3" w:rsidP="008109F3">
            <w:pPr>
              <w:snapToGrid w:val="0"/>
              <w:spacing w:after="120"/>
              <w:jc w:val="left"/>
              <w:rPr>
                <w:rFonts w:cs="Times New Roman"/>
                <w:szCs w:val="22"/>
              </w:rPr>
            </w:pPr>
            <w:r w:rsidRPr="008109F3">
              <w:rPr>
                <w:rFonts w:cs="Times New Roman"/>
                <w:szCs w:val="22"/>
              </w:rPr>
              <w:t>Metric</w:t>
            </w:r>
          </w:p>
        </w:tc>
        <w:tc>
          <w:tcPr>
            <w:tcW w:w="2552" w:type="dxa"/>
            <w:tcBorders>
              <w:top w:val="single" w:sz="4" w:space="0" w:color="000000"/>
            </w:tcBorders>
            <w:shd w:val="clear" w:color="auto" w:fill="B6DDE8" w:themeFill="accent5" w:themeFillTint="66"/>
            <w:vAlign w:val="center"/>
          </w:tcPr>
          <w:p w14:paraId="287528D1" w14:textId="3A8C2E9A" w:rsidR="008109F3" w:rsidRPr="008109F3" w:rsidRDefault="008109F3" w:rsidP="008109F3">
            <w:pPr>
              <w:snapToGrid w:val="0"/>
              <w:spacing w:after="120"/>
              <w:jc w:val="left"/>
              <w:rPr>
                <w:rFonts w:cs="Times New Roman"/>
                <w:szCs w:val="22"/>
              </w:rPr>
            </w:pPr>
            <w:r w:rsidRPr="008109F3">
              <w:rPr>
                <w:rFonts w:cs="Times New Roman"/>
                <w:szCs w:val="22"/>
              </w:rPr>
              <w:t>2012</w:t>
            </w:r>
          </w:p>
        </w:tc>
        <w:tc>
          <w:tcPr>
            <w:tcW w:w="2126" w:type="dxa"/>
            <w:tcBorders>
              <w:top w:val="single" w:sz="4" w:space="0" w:color="000000"/>
            </w:tcBorders>
            <w:shd w:val="clear" w:color="auto" w:fill="B6DDE8" w:themeFill="accent5" w:themeFillTint="66"/>
            <w:vAlign w:val="center"/>
          </w:tcPr>
          <w:p w14:paraId="31ABAB90" w14:textId="2EE49194" w:rsidR="008109F3" w:rsidRPr="008109F3" w:rsidRDefault="008109F3" w:rsidP="008109F3">
            <w:pPr>
              <w:snapToGrid w:val="0"/>
              <w:spacing w:after="120"/>
              <w:jc w:val="left"/>
              <w:rPr>
                <w:rFonts w:cs="Times New Roman"/>
                <w:szCs w:val="22"/>
              </w:rPr>
            </w:pPr>
            <w:r w:rsidRPr="008109F3">
              <w:rPr>
                <w:rFonts w:cs="Times New Roman"/>
                <w:szCs w:val="22"/>
              </w:rPr>
              <w:t>2016</w:t>
            </w:r>
          </w:p>
        </w:tc>
        <w:tc>
          <w:tcPr>
            <w:tcW w:w="1417" w:type="dxa"/>
            <w:tcBorders>
              <w:top w:val="single" w:sz="4" w:space="0" w:color="000000"/>
            </w:tcBorders>
            <w:shd w:val="clear" w:color="auto" w:fill="B6DDE8" w:themeFill="accent5" w:themeFillTint="66"/>
            <w:vAlign w:val="center"/>
          </w:tcPr>
          <w:p w14:paraId="21E1760A" w14:textId="11B1A71F" w:rsidR="008109F3" w:rsidRPr="008109F3" w:rsidRDefault="008109F3" w:rsidP="008109F3">
            <w:pPr>
              <w:snapToGrid w:val="0"/>
              <w:spacing w:after="120"/>
              <w:jc w:val="center"/>
              <w:rPr>
                <w:rFonts w:cs="Times New Roman"/>
                <w:szCs w:val="22"/>
              </w:rPr>
            </w:pPr>
            <w:r w:rsidRPr="008109F3">
              <w:rPr>
                <w:rFonts w:cs="Times New Roman"/>
                <w:szCs w:val="22"/>
              </w:rPr>
              <w:t>Change</w:t>
            </w:r>
          </w:p>
        </w:tc>
      </w:tr>
      <w:tr w:rsidR="008109F3" w:rsidRPr="00866793" w14:paraId="44A59590" w14:textId="78D01932" w:rsidTr="008109F3">
        <w:trPr>
          <w:trHeight w:val="456"/>
        </w:trPr>
        <w:tc>
          <w:tcPr>
            <w:tcW w:w="3544" w:type="dxa"/>
            <w:tcBorders>
              <w:top w:val="single" w:sz="4" w:space="0" w:color="000000"/>
            </w:tcBorders>
            <w:vAlign w:val="center"/>
          </w:tcPr>
          <w:p w14:paraId="05125FCA" w14:textId="2B76F952" w:rsidR="008109F3" w:rsidRPr="008109F3" w:rsidRDefault="008109F3" w:rsidP="008109F3">
            <w:pPr>
              <w:snapToGrid w:val="0"/>
              <w:spacing w:before="60" w:after="60"/>
              <w:jc w:val="left"/>
              <w:rPr>
                <w:rFonts w:cs="Times New Roman"/>
                <w:szCs w:val="22"/>
              </w:rPr>
            </w:pPr>
            <w:r w:rsidRPr="008109F3">
              <w:rPr>
                <w:rFonts w:cs="Times New Roman"/>
                <w:szCs w:val="22"/>
              </w:rPr>
              <w:t>Share of refrigerant bank</w:t>
            </w:r>
          </w:p>
        </w:tc>
        <w:tc>
          <w:tcPr>
            <w:tcW w:w="2552" w:type="dxa"/>
            <w:tcBorders>
              <w:top w:val="single" w:sz="4" w:space="0" w:color="000000"/>
            </w:tcBorders>
            <w:vAlign w:val="center"/>
          </w:tcPr>
          <w:p w14:paraId="2CF16B13" w14:textId="77777777" w:rsidR="008109F3" w:rsidRPr="008109F3" w:rsidRDefault="008109F3" w:rsidP="008109F3">
            <w:pPr>
              <w:snapToGrid w:val="0"/>
              <w:spacing w:before="60" w:after="60"/>
              <w:jc w:val="left"/>
              <w:rPr>
                <w:rFonts w:cs="Times New Roman"/>
                <w:szCs w:val="22"/>
              </w:rPr>
            </w:pPr>
            <w:r w:rsidRPr="008109F3">
              <w:rPr>
                <w:rFonts w:cs="Times New Roman"/>
                <w:szCs w:val="22"/>
              </w:rPr>
              <w:t>63%</w:t>
            </w:r>
          </w:p>
        </w:tc>
        <w:tc>
          <w:tcPr>
            <w:tcW w:w="2126" w:type="dxa"/>
            <w:tcBorders>
              <w:top w:val="single" w:sz="4" w:space="0" w:color="000000"/>
            </w:tcBorders>
            <w:vAlign w:val="center"/>
          </w:tcPr>
          <w:p w14:paraId="2575B546" w14:textId="0264EF7F" w:rsidR="008109F3" w:rsidRPr="008109F3" w:rsidRDefault="008109F3" w:rsidP="008109F3">
            <w:pPr>
              <w:snapToGrid w:val="0"/>
              <w:spacing w:before="60" w:after="60"/>
              <w:jc w:val="left"/>
              <w:rPr>
                <w:rFonts w:cs="Times New Roman"/>
                <w:szCs w:val="22"/>
              </w:rPr>
            </w:pPr>
            <w:r>
              <w:rPr>
                <w:rFonts w:cs="Times New Roman"/>
                <w:szCs w:val="22"/>
              </w:rPr>
              <w:t>61%</w:t>
            </w:r>
          </w:p>
        </w:tc>
        <w:tc>
          <w:tcPr>
            <w:tcW w:w="1417" w:type="dxa"/>
            <w:tcBorders>
              <w:top w:val="single" w:sz="4" w:space="0" w:color="000000"/>
            </w:tcBorders>
            <w:vAlign w:val="center"/>
          </w:tcPr>
          <w:p w14:paraId="62639B88" w14:textId="37ABA236" w:rsidR="008109F3" w:rsidRPr="008109F3" w:rsidRDefault="008109F3" w:rsidP="008109F3">
            <w:pPr>
              <w:snapToGrid w:val="0"/>
              <w:spacing w:before="60" w:after="60"/>
              <w:jc w:val="center"/>
              <w:rPr>
                <w:rFonts w:cs="Times New Roman"/>
                <w:szCs w:val="22"/>
              </w:rPr>
            </w:pPr>
            <w:r>
              <w:rPr>
                <w:rFonts w:cs="Times New Roman"/>
                <w:szCs w:val="22"/>
              </w:rPr>
              <w:t>-1%</w:t>
            </w:r>
          </w:p>
        </w:tc>
      </w:tr>
      <w:tr w:rsidR="008109F3" w:rsidRPr="00866793" w14:paraId="37137EA7" w14:textId="2252A0BA" w:rsidTr="008109F3">
        <w:trPr>
          <w:trHeight w:val="456"/>
        </w:trPr>
        <w:tc>
          <w:tcPr>
            <w:tcW w:w="3544" w:type="dxa"/>
            <w:tcBorders>
              <w:top w:val="single" w:sz="4" w:space="0" w:color="000000"/>
            </w:tcBorders>
            <w:vAlign w:val="center"/>
          </w:tcPr>
          <w:p w14:paraId="1F67911A" w14:textId="6B5E0E2B" w:rsidR="008109F3" w:rsidRPr="008109F3" w:rsidRDefault="008109F3" w:rsidP="008109F3">
            <w:pPr>
              <w:snapToGrid w:val="0"/>
              <w:spacing w:before="60" w:after="60"/>
              <w:jc w:val="left"/>
              <w:rPr>
                <w:rFonts w:cs="Times New Roman"/>
                <w:szCs w:val="22"/>
              </w:rPr>
            </w:pPr>
            <w:r w:rsidRPr="008109F3">
              <w:rPr>
                <w:rFonts w:cs="Times New Roman"/>
                <w:szCs w:val="22"/>
              </w:rPr>
              <w:t>Size of refrigerant bank</w:t>
            </w:r>
          </w:p>
        </w:tc>
        <w:tc>
          <w:tcPr>
            <w:tcW w:w="2552" w:type="dxa"/>
            <w:tcBorders>
              <w:top w:val="single" w:sz="4" w:space="0" w:color="000000"/>
            </w:tcBorders>
            <w:vAlign w:val="center"/>
          </w:tcPr>
          <w:p w14:paraId="6336597A" w14:textId="77777777" w:rsidR="008109F3" w:rsidRPr="008109F3" w:rsidRDefault="008109F3" w:rsidP="008109F3">
            <w:pPr>
              <w:snapToGrid w:val="0"/>
              <w:spacing w:before="60" w:after="60"/>
              <w:jc w:val="left"/>
              <w:rPr>
                <w:rFonts w:cs="Times New Roman"/>
                <w:szCs w:val="22"/>
              </w:rPr>
            </w:pPr>
            <w:r w:rsidRPr="008109F3">
              <w:rPr>
                <w:rFonts w:cs="Times New Roman"/>
                <w:szCs w:val="22"/>
              </w:rPr>
              <w:t>27,200 tonnes</w:t>
            </w:r>
          </w:p>
        </w:tc>
        <w:tc>
          <w:tcPr>
            <w:tcW w:w="2126" w:type="dxa"/>
            <w:tcBorders>
              <w:top w:val="single" w:sz="4" w:space="0" w:color="000000"/>
            </w:tcBorders>
            <w:vAlign w:val="center"/>
          </w:tcPr>
          <w:p w14:paraId="430991F0" w14:textId="2FCF7E3E" w:rsidR="008109F3" w:rsidRPr="008109F3" w:rsidRDefault="008109F3" w:rsidP="008109F3">
            <w:pPr>
              <w:snapToGrid w:val="0"/>
              <w:spacing w:before="60" w:after="60"/>
              <w:jc w:val="left"/>
              <w:rPr>
                <w:rFonts w:cs="Times New Roman"/>
                <w:szCs w:val="22"/>
              </w:rPr>
            </w:pPr>
            <w:r>
              <w:rPr>
                <w:rFonts w:cs="Times New Roman"/>
                <w:szCs w:val="22"/>
              </w:rPr>
              <w:t>31,200 tonnes</w:t>
            </w:r>
          </w:p>
        </w:tc>
        <w:tc>
          <w:tcPr>
            <w:tcW w:w="1417" w:type="dxa"/>
            <w:tcBorders>
              <w:top w:val="single" w:sz="4" w:space="0" w:color="000000"/>
            </w:tcBorders>
            <w:vAlign w:val="center"/>
          </w:tcPr>
          <w:p w14:paraId="56ECBDC2" w14:textId="0F3EE411" w:rsidR="008109F3" w:rsidRPr="008109F3" w:rsidRDefault="008109F3" w:rsidP="008109F3">
            <w:pPr>
              <w:snapToGrid w:val="0"/>
              <w:spacing w:before="60" w:after="60"/>
              <w:jc w:val="center"/>
              <w:rPr>
                <w:rFonts w:cs="Times New Roman"/>
                <w:szCs w:val="22"/>
              </w:rPr>
            </w:pPr>
            <w:r>
              <w:rPr>
                <w:rFonts w:cs="Times New Roman"/>
                <w:szCs w:val="22"/>
              </w:rPr>
              <w:t>+15%</w:t>
            </w:r>
          </w:p>
        </w:tc>
      </w:tr>
      <w:tr w:rsidR="008109F3" w:rsidRPr="00866793" w14:paraId="0B40EBAF" w14:textId="5338B289" w:rsidTr="008109F3">
        <w:trPr>
          <w:trHeight w:val="456"/>
        </w:trPr>
        <w:tc>
          <w:tcPr>
            <w:tcW w:w="3544" w:type="dxa"/>
            <w:tcBorders>
              <w:top w:val="single" w:sz="4" w:space="0" w:color="000000"/>
            </w:tcBorders>
            <w:vAlign w:val="center"/>
          </w:tcPr>
          <w:p w14:paraId="01EEA4A3" w14:textId="7946DA15" w:rsidR="008109F3" w:rsidRPr="008109F3" w:rsidRDefault="008109F3" w:rsidP="008109F3">
            <w:pPr>
              <w:snapToGrid w:val="0"/>
              <w:spacing w:before="60" w:after="60"/>
              <w:jc w:val="left"/>
              <w:rPr>
                <w:rFonts w:cs="Times New Roman"/>
                <w:szCs w:val="22"/>
              </w:rPr>
            </w:pPr>
            <w:r w:rsidRPr="008109F3">
              <w:rPr>
                <w:rFonts w:cs="Times New Roman"/>
                <w:szCs w:val="22"/>
              </w:rPr>
              <w:t xml:space="preserve">Annual </w:t>
            </w:r>
            <w:r w:rsidR="00EA2C32">
              <w:rPr>
                <w:rFonts w:cs="Times New Roman"/>
                <w:szCs w:val="22"/>
              </w:rPr>
              <w:t>usage</w:t>
            </w:r>
            <w:r w:rsidRPr="008109F3">
              <w:rPr>
                <w:rFonts w:cs="Times New Roman"/>
                <w:szCs w:val="22"/>
              </w:rPr>
              <w:t xml:space="preserve"> to replace leaks (excl. OEM)</w:t>
            </w:r>
          </w:p>
        </w:tc>
        <w:tc>
          <w:tcPr>
            <w:tcW w:w="2552" w:type="dxa"/>
            <w:tcBorders>
              <w:top w:val="single" w:sz="4" w:space="0" w:color="000000"/>
            </w:tcBorders>
            <w:vAlign w:val="center"/>
          </w:tcPr>
          <w:p w14:paraId="3B2EBE22" w14:textId="77777777" w:rsidR="008109F3" w:rsidRPr="008109F3" w:rsidRDefault="008109F3" w:rsidP="008109F3">
            <w:pPr>
              <w:snapToGrid w:val="0"/>
              <w:spacing w:before="60" w:after="60"/>
              <w:jc w:val="left"/>
              <w:rPr>
                <w:rFonts w:cs="Times New Roman"/>
                <w:szCs w:val="22"/>
              </w:rPr>
            </w:pPr>
            <w:r w:rsidRPr="008109F3">
              <w:rPr>
                <w:rFonts w:cs="Times New Roman"/>
                <w:szCs w:val="22"/>
              </w:rPr>
              <w:t>1,470 tonnes</w:t>
            </w:r>
          </w:p>
        </w:tc>
        <w:tc>
          <w:tcPr>
            <w:tcW w:w="2126" w:type="dxa"/>
            <w:tcBorders>
              <w:top w:val="single" w:sz="4" w:space="0" w:color="000000"/>
            </w:tcBorders>
            <w:vAlign w:val="center"/>
          </w:tcPr>
          <w:p w14:paraId="1DF4F1FB" w14:textId="3753641D" w:rsidR="008109F3" w:rsidRPr="008109F3" w:rsidRDefault="008109F3" w:rsidP="008109F3">
            <w:pPr>
              <w:snapToGrid w:val="0"/>
              <w:spacing w:before="60" w:after="60"/>
              <w:jc w:val="left"/>
              <w:rPr>
                <w:rFonts w:cs="Times New Roman"/>
                <w:szCs w:val="22"/>
              </w:rPr>
            </w:pPr>
            <w:r>
              <w:rPr>
                <w:rFonts w:cs="Times New Roman"/>
                <w:szCs w:val="22"/>
              </w:rPr>
              <w:t>1,004 tonnes</w:t>
            </w:r>
          </w:p>
        </w:tc>
        <w:tc>
          <w:tcPr>
            <w:tcW w:w="1417" w:type="dxa"/>
            <w:tcBorders>
              <w:top w:val="single" w:sz="4" w:space="0" w:color="000000"/>
            </w:tcBorders>
            <w:vAlign w:val="center"/>
          </w:tcPr>
          <w:p w14:paraId="412623A9" w14:textId="6949FFCC" w:rsidR="008109F3" w:rsidRPr="008109F3" w:rsidRDefault="001F1144" w:rsidP="008109F3">
            <w:pPr>
              <w:snapToGrid w:val="0"/>
              <w:spacing w:before="60" w:after="60"/>
              <w:jc w:val="center"/>
              <w:rPr>
                <w:rFonts w:cs="Times New Roman"/>
                <w:szCs w:val="22"/>
              </w:rPr>
            </w:pPr>
            <w:r>
              <w:rPr>
                <w:rFonts w:cs="Times New Roman"/>
                <w:szCs w:val="22"/>
              </w:rPr>
              <w:t>-31</w:t>
            </w:r>
            <w:r w:rsidR="00FB55D1">
              <w:rPr>
                <w:rFonts w:cs="Times New Roman"/>
                <w:szCs w:val="22"/>
              </w:rPr>
              <w:t>%</w:t>
            </w:r>
          </w:p>
        </w:tc>
      </w:tr>
      <w:tr w:rsidR="008109F3" w:rsidRPr="00866793" w14:paraId="1460F784" w14:textId="5941E6E2" w:rsidTr="008109F3">
        <w:trPr>
          <w:trHeight w:val="456"/>
        </w:trPr>
        <w:tc>
          <w:tcPr>
            <w:tcW w:w="3544" w:type="dxa"/>
            <w:tcBorders>
              <w:top w:val="single" w:sz="4" w:space="0" w:color="000000"/>
            </w:tcBorders>
            <w:vAlign w:val="center"/>
          </w:tcPr>
          <w:p w14:paraId="4C725554" w14:textId="29147776" w:rsidR="008109F3" w:rsidRPr="008109F3" w:rsidRDefault="008109F3" w:rsidP="008109F3">
            <w:pPr>
              <w:snapToGrid w:val="0"/>
              <w:spacing w:before="60" w:after="60"/>
              <w:jc w:val="left"/>
              <w:rPr>
                <w:rFonts w:cs="Times New Roman"/>
                <w:szCs w:val="22"/>
              </w:rPr>
            </w:pPr>
            <w:r w:rsidRPr="008109F3">
              <w:rPr>
                <w:rFonts w:cs="Times New Roman"/>
                <w:szCs w:val="22"/>
              </w:rPr>
              <w:t>Gas in pre-charged equipment imports over last five years (excl. 2012)</w:t>
            </w:r>
          </w:p>
        </w:tc>
        <w:tc>
          <w:tcPr>
            <w:tcW w:w="2552" w:type="dxa"/>
            <w:tcBorders>
              <w:top w:val="single" w:sz="4" w:space="0" w:color="000000"/>
            </w:tcBorders>
            <w:vAlign w:val="center"/>
          </w:tcPr>
          <w:p w14:paraId="59405746" w14:textId="77777777" w:rsidR="008109F3" w:rsidRPr="008109F3" w:rsidRDefault="008109F3" w:rsidP="008109F3">
            <w:pPr>
              <w:snapToGrid w:val="0"/>
              <w:spacing w:before="60" w:after="60"/>
              <w:jc w:val="left"/>
              <w:rPr>
                <w:rFonts w:cs="Times New Roman"/>
                <w:szCs w:val="22"/>
              </w:rPr>
            </w:pPr>
            <w:r w:rsidRPr="008109F3">
              <w:rPr>
                <w:rFonts w:cs="Times New Roman"/>
                <w:szCs w:val="22"/>
              </w:rPr>
              <w:t>970 to 1,285 tonnes per annum</w:t>
            </w:r>
          </w:p>
        </w:tc>
        <w:tc>
          <w:tcPr>
            <w:tcW w:w="2126" w:type="dxa"/>
            <w:tcBorders>
              <w:top w:val="single" w:sz="4" w:space="0" w:color="000000"/>
            </w:tcBorders>
            <w:vAlign w:val="center"/>
          </w:tcPr>
          <w:p w14:paraId="43E29F4B" w14:textId="1B7B42F1" w:rsidR="008109F3" w:rsidRPr="008109F3" w:rsidRDefault="00FB55D1" w:rsidP="008109F3">
            <w:pPr>
              <w:snapToGrid w:val="0"/>
              <w:spacing w:before="60" w:after="60"/>
              <w:jc w:val="left"/>
              <w:rPr>
                <w:rFonts w:cs="Times New Roman"/>
                <w:szCs w:val="22"/>
              </w:rPr>
            </w:pPr>
            <w:r w:rsidRPr="00FB55D1">
              <w:rPr>
                <w:rFonts w:cs="Times New Roman"/>
                <w:szCs w:val="22"/>
              </w:rPr>
              <w:t>1,100 to 1309 tonnes per annum</w:t>
            </w:r>
          </w:p>
        </w:tc>
        <w:tc>
          <w:tcPr>
            <w:tcW w:w="1417" w:type="dxa"/>
            <w:tcBorders>
              <w:top w:val="single" w:sz="4" w:space="0" w:color="000000"/>
            </w:tcBorders>
            <w:vAlign w:val="center"/>
          </w:tcPr>
          <w:p w14:paraId="50435A3F" w14:textId="1A47B5EC" w:rsidR="008109F3" w:rsidRPr="008109F3" w:rsidRDefault="00FB55D1" w:rsidP="008109F3">
            <w:pPr>
              <w:snapToGrid w:val="0"/>
              <w:spacing w:before="60" w:after="60"/>
              <w:jc w:val="center"/>
              <w:rPr>
                <w:rFonts w:cs="Times New Roman"/>
                <w:szCs w:val="22"/>
              </w:rPr>
            </w:pPr>
            <w:r>
              <w:rPr>
                <w:rFonts w:cs="Times New Roman"/>
                <w:szCs w:val="22"/>
              </w:rPr>
              <w:t>+2%</w:t>
            </w:r>
          </w:p>
        </w:tc>
      </w:tr>
      <w:tr w:rsidR="00FB55D1" w:rsidRPr="00866793" w14:paraId="4B14CD24" w14:textId="42E9FD2D" w:rsidTr="008109F3">
        <w:trPr>
          <w:trHeight w:val="456"/>
        </w:trPr>
        <w:tc>
          <w:tcPr>
            <w:tcW w:w="3544" w:type="dxa"/>
            <w:tcBorders>
              <w:top w:val="single" w:sz="4" w:space="0" w:color="000000"/>
            </w:tcBorders>
            <w:vAlign w:val="center"/>
          </w:tcPr>
          <w:p w14:paraId="670449AF" w14:textId="605337E3" w:rsidR="00FB55D1" w:rsidRPr="008109F3" w:rsidRDefault="00FB55D1" w:rsidP="00FB55D1">
            <w:pPr>
              <w:snapToGrid w:val="0"/>
              <w:spacing w:before="60" w:after="60"/>
              <w:jc w:val="left"/>
              <w:rPr>
                <w:rFonts w:cs="Times New Roman"/>
                <w:szCs w:val="22"/>
              </w:rPr>
            </w:pPr>
            <w:r w:rsidRPr="008109F3">
              <w:rPr>
                <w:rFonts w:cs="Times New Roman"/>
                <w:szCs w:val="22"/>
              </w:rPr>
              <w:t>Estimated stock of equipment</w:t>
            </w:r>
          </w:p>
        </w:tc>
        <w:tc>
          <w:tcPr>
            <w:tcW w:w="2552" w:type="dxa"/>
            <w:tcBorders>
              <w:top w:val="single" w:sz="4" w:space="0" w:color="000000"/>
            </w:tcBorders>
            <w:vAlign w:val="center"/>
          </w:tcPr>
          <w:p w14:paraId="2A8BAA66" w14:textId="77777777" w:rsidR="00FB55D1" w:rsidRPr="008109F3" w:rsidRDefault="00FB55D1" w:rsidP="00FB55D1">
            <w:pPr>
              <w:snapToGrid w:val="0"/>
              <w:spacing w:before="60" w:after="60"/>
              <w:jc w:val="left"/>
              <w:rPr>
                <w:rFonts w:cs="Times New Roman"/>
                <w:szCs w:val="22"/>
              </w:rPr>
            </w:pPr>
            <w:r w:rsidRPr="008109F3">
              <w:rPr>
                <w:rFonts w:cs="Times New Roman"/>
                <w:szCs w:val="22"/>
              </w:rPr>
              <w:t>&gt; 11.5 million units</w:t>
            </w:r>
          </w:p>
        </w:tc>
        <w:tc>
          <w:tcPr>
            <w:tcW w:w="2126" w:type="dxa"/>
            <w:tcBorders>
              <w:top w:val="single" w:sz="4" w:space="0" w:color="000000"/>
            </w:tcBorders>
            <w:vAlign w:val="center"/>
          </w:tcPr>
          <w:p w14:paraId="43F0EB23" w14:textId="22F43A8C" w:rsidR="00FB55D1" w:rsidRPr="008109F3" w:rsidRDefault="00FB55D1" w:rsidP="00FB55D1">
            <w:pPr>
              <w:snapToGrid w:val="0"/>
              <w:spacing w:before="60" w:after="60"/>
              <w:jc w:val="left"/>
              <w:rPr>
                <w:rFonts w:cs="Times New Roman"/>
                <w:szCs w:val="22"/>
              </w:rPr>
            </w:pPr>
            <w:r w:rsidRPr="008109F3">
              <w:rPr>
                <w:rFonts w:cs="Times New Roman"/>
                <w:szCs w:val="22"/>
              </w:rPr>
              <w:t>&gt; 1</w:t>
            </w:r>
            <w:r>
              <w:rPr>
                <w:rFonts w:cs="Times New Roman"/>
                <w:szCs w:val="22"/>
              </w:rPr>
              <w:t>4</w:t>
            </w:r>
            <w:r w:rsidRPr="008109F3">
              <w:rPr>
                <w:rFonts w:cs="Times New Roman"/>
                <w:szCs w:val="22"/>
              </w:rPr>
              <w:t>.</w:t>
            </w:r>
            <w:r>
              <w:rPr>
                <w:rFonts w:cs="Times New Roman"/>
                <w:szCs w:val="22"/>
              </w:rPr>
              <w:t>4</w:t>
            </w:r>
            <w:r w:rsidRPr="008109F3">
              <w:rPr>
                <w:rFonts w:cs="Times New Roman"/>
                <w:szCs w:val="22"/>
              </w:rPr>
              <w:t xml:space="preserve"> million units</w:t>
            </w:r>
          </w:p>
        </w:tc>
        <w:tc>
          <w:tcPr>
            <w:tcW w:w="1417" w:type="dxa"/>
            <w:tcBorders>
              <w:top w:val="single" w:sz="4" w:space="0" w:color="000000"/>
            </w:tcBorders>
            <w:vAlign w:val="center"/>
          </w:tcPr>
          <w:p w14:paraId="25A27C78" w14:textId="11C7FE6D" w:rsidR="00FB55D1" w:rsidRPr="008109F3" w:rsidRDefault="00FB55D1" w:rsidP="00FB55D1">
            <w:pPr>
              <w:snapToGrid w:val="0"/>
              <w:spacing w:before="60" w:after="60"/>
              <w:jc w:val="center"/>
              <w:rPr>
                <w:rFonts w:cs="Times New Roman"/>
                <w:szCs w:val="22"/>
              </w:rPr>
            </w:pPr>
            <w:r>
              <w:rPr>
                <w:rFonts w:cs="Times New Roman"/>
                <w:szCs w:val="22"/>
              </w:rPr>
              <w:t>+25%</w:t>
            </w:r>
          </w:p>
        </w:tc>
      </w:tr>
      <w:tr w:rsidR="00FB55D1" w:rsidRPr="00866793" w14:paraId="0B3A4042" w14:textId="65470830" w:rsidTr="008109F3">
        <w:trPr>
          <w:trHeight w:val="456"/>
        </w:trPr>
        <w:tc>
          <w:tcPr>
            <w:tcW w:w="3544" w:type="dxa"/>
            <w:tcBorders>
              <w:top w:val="single" w:sz="4" w:space="0" w:color="000000"/>
            </w:tcBorders>
            <w:vAlign w:val="center"/>
          </w:tcPr>
          <w:p w14:paraId="0CF32478" w14:textId="1EF7DAFF" w:rsidR="00FB55D1" w:rsidRPr="008109F3" w:rsidRDefault="00FB55D1" w:rsidP="00FB55D1">
            <w:pPr>
              <w:snapToGrid w:val="0"/>
              <w:spacing w:before="60" w:after="60"/>
              <w:jc w:val="left"/>
              <w:rPr>
                <w:rFonts w:cs="Times New Roman"/>
                <w:szCs w:val="22"/>
              </w:rPr>
            </w:pPr>
            <w:r w:rsidRPr="008109F3">
              <w:rPr>
                <w:rFonts w:cs="Times New Roman"/>
                <w:szCs w:val="22"/>
              </w:rPr>
              <w:t>Annual expenditure on new equipment</w:t>
            </w:r>
          </w:p>
        </w:tc>
        <w:tc>
          <w:tcPr>
            <w:tcW w:w="2552" w:type="dxa"/>
            <w:tcBorders>
              <w:top w:val="single" w:sz="4" w:space="0" w:color="000000"/>
            </w:tcBorders>
            <w:vAlign w:val="center"/>
          </w:tcPr>
          <w:p w14:paraId="66CAC025" w14:textId="77777777" w:rsidR="00FB55D1" w:rsidRPr="008109F3" w:rsidRDefault="00FB55D1" w:rsidP="00FB55D1">
            <w:pPr>
              <w:snapToGrid w:val="0"/>
              <w:spacing w:before="60" w:after="60"/>
              <w:jc w:val="left"/>
              <w:rPr>
                <w:rFonts w:cs="Times New Roman"/>
                <w:szCs w:val="22"/>
              </w:rPr>
            </w:pPr>
            <w:r w:rsidRPr="008109F3">
              <w:rPr>
                <w:rFonts w:cs="Times New Roman"/>
                <w:szCs w:val="22"/>
              </w:rPr>
              <w:t>~$3.35 Billion</w:t>
            </w:r>
          </w:p>
        </w:tc>
        <w:tc>
          <w:tcPr>
            <w:tcW w:w="2126" w:type="dxa"/>
            <w:tcBorders>
              <w:top w:val="single" w:sz="4" w:space="0" w:color="000000"/>
            </w:tcBorders>
            <w:vAlign w:val="center"/>
          </w:tcPr>
          <w:p w14:paraId="2EF5D60F" w14:textId="12594F03" w:rsidR="00FB55D1" w:rsidRPr="008109F3" w:rsidRDefault="001F1144" w:rsidP="00FB55D1">
            <w:pPr>
              <w:snapToGrid w:val="0"/>
              <w:spacing w:before="60" w:after="60"/>
              <w:jc w:val="left"/>
              <w:rPr>
                <w:rFonts w:cs="Times New Roman"/>
                <w:szCs w:val="22"/>
              </w:rPr>
            </w:pPr>
            <w:r w:rsidRPr="008109F3">
              <w:rPr>
                <w:rFonts w:cs="Times New Roman"/>
                <w:szCs w:val="22"/>
              </w:rPr>
              <w:t>~$</w:t>
            </w:r>
            <w:r>
              <w:rPr>
                <w:rFonts w:cs="Times New Roman"/>
                <w:szCs w:val="22"/>
              </w:rPr>
              <w:t>4.86</w:t>
            </w:r>
            <w:r w:rsidRPr="008109F3">
              <w:rPr>
                <w:rFonts w:cs="Times New Roman"/>
                <w:szCs w:val="22"/>
              </w:rPr>
              <w:t xml:space="preserve"> Billion</w:t>
            </w:r>
          </w:p>
        </w:tc>
        <w:tc>
          <w:tcPr>
            <w:tcW w:w="1417" w:type="dxa"/>
            <w:tcBorders>
              <w:top w:val="single" w:sz="4" w:space="0" w:color="000000"/>
            </w:tcBorders>
            <w:vAlign w:val="center"/>
          </w:tcPr>
          <w:p w14:paraId="7111F66C" w14:textId="283AFBCF" w:rsidR="00FB55D1" w:rsidRPr="008109F3" w:rsidRDefault="001F1144" w:rsidP="00FB55D1">
            <w:pPr>
              <w:snapToGrid w:val="0"/>
              <w:spacing w:before="60" w:after="60"/>
              <w:jc w:val="center"/>
              <w:rPr>
                <w:rFonts w:cs="Times New Roman"/>
                <w:szCs w:val="22"/>
              </w:rPr>
            </w:pPr>
            <w:r>
              <w:rPr>
                <w:rFonts w:cs="Times New Roman"/>
                <w:szCs w:val="22"/>
              </w:rPr>
              <w:t>+45%</w:t>
            </w:r>
          </w:p>
        </w:tc>
      </w:tr>
      <w:tr w:rsidR="00FB55D1" w:rsidRPr="00866793" w14:paraId="3918FF01" w14:textId="59277708" w:rsidTr="008109F3">
        <w:trPr>
          <w:trHeight w:val="456"/>
        </w:trPr>
        <w:tc>
          <w:tcPr>
            <w:tcW w:w="3544" w:type="dxa"/>
            <w:tcBorders>
              <w:top w:val="single" w:sz="4" w:space="0" w:color="000000"/>
            </w:tcBorders>
            <w:vAlign w:val="center"/>
          </w:tcPr>
          <w:p w14:paraId="54BFDE45" w14:textId="0A51F385" w:rsidR="00FB55D1" w:rsidRPr="008109F3" w:rsidRDefault="00FB55D1" w:rsidP="00FB55D1">
            <w:pPr>
              <w:snapToGrid w:val="0"/>
              <w:spacing w:before="60" w:after="60"/>
              <w:jc w:val="left"/>
              <w:rPr>
                <w:rFonts w:cs="Times New Roman"/>
                <w:szCs w:val="22"/>
              </w:rPr>
            </w:pPr>
            <w:r w:rsidRPr="008109F3">
              <w:rPr>
                <w:rFonts w:cs="Times New Roman"/>
                <w:szCs w:val="22"/>
              </w:rPr>
              <w:t>Annual electricity consumption</w:t>
            </w:r>
          </w:p>
        </w:tc>
        <w:tc>
          <w:tcPr>
            <w:tcW w:w="2552" w:type="dxa"/>
            <w:tcBorders>
              <w:top w:val="single" w:sz="4" w:space="0" w:color="000000"/>
            </w:tcBorders>
            <w:vAlign w:val="center"/>
          </w:tcPr>
          <w:p w14:paraId="5FBEE30B" w14:textId="77777777" w:rsidR="00FB55D1" w:rsidRPr="008109F3" w:rsidRDefault="00FB55D1" w:rsidP="00FB55D1">
            <w:pPr>
              <w:snapToGrid w:val="0"/>
              <w:spacing w:before="60" w:after="60"/>
              <w:jc w:val="left"/>
              <w:rPr>
                <w:rFonts w:cs="Times New Roman"/>
                <w:szCs w:val="22"/>
              </w:rPr>
            </w:pPr>
            <w:r w:rsidRPr="008109F3">
              <w:rPr>
                <w:rFonts w:cs="Times New Roman"/>
                <w:szCs w:val="22"/>
              </w:rPr>
              <w:t>36,845 GWh</w:t>
            </w:r>
          </w:p>
        </w:tc>
        <w:tc>
          <w:tcPr>
            <w:tcW w:w="2126" w:type="dxa"/>
            <w:tcBorders>
              <w:top w:val="single" w:sz="4" w:space="0" w:color="000000"/>
            </w:tcBorders>
            <w:vAlign w:val="center"/>
          </w:tcPr>
          <w:p w14:paraId="337878A3" w14:textId="6FFE1E81" w:rsidR="00FB55D1" w:rsidRPr="008109F3" w:rsidRDefault="00FB55D1" w:rsidP="00FB55D1">
            <w:pPr>
              <w:snapToGrid w:val="0"/>
              <w:spacing w:before="60" w:after="60"/>
              <w:jc w:val="left"/>
              <w:rPr>
                <w:rFonts w:cs="Times New Roman"/>
                <w:szCs w:val="22"/>
              </w:rPr>
            </w:pPr>
            <w:r>
              <w:rPr>
                <w:rFonts w:cs="Times New Roman"/>
                <w:szCs w:val="22"/>
              </w:rPr>
              <w:t>30,442 GWh</w:t>
            </w:r>
          </w:p>
        </w:tc>
        <w:tc>
          <w:tcPr>
            <w:tcW w:w="1417" w:type="dxa"/>
            <w:tcBorders>
              <w:top w:val="single" w:sz="4" w:space="0" w:color="000000"/>
            </w:tcBorders>
            <w:vAlign w:val="center"/>
          </w:tcPr>
          <w:p w14:paraId="5A0E5A07" w14:textId="30919866" w:rsidR="00FB55D1" w:rsidRPr="008109F3" w:rsidRDefault="00FB55D1" w:rsidP="00FB55D1">
            <w:pPr>
              <w:snapToGrid w:val="0"/>
              <w:spacing w:before="60" w:after="60"/>
              <w:jc w:val="center"/>
              <w:rPr>
                <w:rFonts w:cs="Times New Roman"/>
                <w:szCs w:val="22"/>
              </w:rPr>
            </w:pPr>
            <w:r>
              <w:rPr>
                <w:rFonts w:cs="Times New Roman"/>
                <w:szCs w:val="22"/>
              </w:rPr>
              <w:t>-17%</w:t>
            </w:r>
          </w:p>
        </w:tc>
      </w:tr>
      <w:tr w:rsidR="00FB55D1" w:rsidRPr="00866793" w14:paraId="566163E1" w14:textId="73A09C80" w:rsidTr="008109F3">
        <w:trPr>
          <w:trHeight w:val="456"/>
        </w:trPr>
        <w:tc>
          <w:tcPr>
            <w:tcW w:w="3544" w:type="dxa"/>
            <w:tcBorders>
              <w:top w:val="single" w:sz="4" w:space="0" w:color="000000"/>
            </w:tcBorders>
            <w:vAlign w:val="center"/>
          </w:tcPr>
          <w:p w14:paraId="0EFB9352" w14:textId="7DC9F6DA" w:rsidR="00FB55D1" w:rsidRPr="008109F3" w:rsidRDefault="00FB55D1" w:rsidP="00FB55D1">
            <w:pPr>
              <w:snapToGrid w:val="0"/>
              <w:spacing w:before="60" w:after="60"/>
              <w:jc w:val="left"/>
              <w:rPr>
                <w:rFonts w:cs="Times New Roman"/>
                <w:szCs w:val="22"/>
              </w:rPr>
            </w:pPr>
            <w:r w:rsidRPr="008109F3">
              <w:rPr>
                <w:rFonts w:cs="Times New Roman"/>
                <w:szCs w:val="22"/>
              </w:rPr>
              <w:t>Share of HVAC&amp;R Electricity consumption</w:t>
            </w:r>
          </w:p>
        </w:tc>
        <w:tc>
          <w:tcPr>
            <w:tcW w:w="2552" w:type="dxa"/>
            <w:tcBorders>
              <w:top w:val="single" w:sz="4" w:space="0" w:color="000000"/>
            </w:tcBorders>
            <w:vAlign w:val="center"/>
          </w:tcPr>
          <w:p w14:paraId="644F6EFA" w14:textId="77777777" w:rsidR="00FB55D1" w:rsidRPr="008109F3" w:rsidRDefault="00FB55D1" w:rsidP="00FB55D1">
            <w:pPr>
              <w:snapToGrid w:val="0"/>
              <w:spacing w:before="60" w:after="60"/>
              <w:jc w:val="left"/>
              <w:rPr>
                <w:rFonts w:cs="Times New Roman"/>
                <w:szCs w:val="22"/>
              </w:rPr>
            </w:pPr>
            <w:r w:rsidRPr="008109F3">
              <w:rPr>
                <w:rFonts w:cs="Times New Roman"/>
                <w:szCs w:val="22"/>
              </w:rPr>
              <w:t>62%</w:t>
            </w:r>
          </w:p>
        </w:tc>
        <w:tc>
          <w:tcPr>
            <w:tcW w:w="2126" w:type="dxa"/>
            <w:tcBorders>
              <w:top w:val="single" w:sz="4" w:space="0" w:color="000000"/>
            </w:tcBorders>
            <w:vAlign w:val="center"/>
          </w:tcPr>
          <w:p w14:paraId="5F6F2EFE" w14:textId="58866B6B" w:rsidR="00FB55D1" w:rsidRPr="008109F3" w:rsidRDefault="00FB55D1" w:rsidP="00FB55D1">
            <w:pPr>
              <w:snapToGrid w:val="0"/>
              <w:spacing w:before="60" w:after="60"/>
              <w:jc w:val="left"/>
              <w:rPr>
                <w:rFonts w:cs="Times New Roman"/>
                <w:szCs w:val="22"/>
              </w:rPr>
            </w:pPr>
            <w:r>
              <w:rPr>
                <w:rFonts w:cs="Times New Roman"/>
                <w:szCs w:val="22"/>
              </w:rPr>
              <w:t>55%</w:t>
            </w:r>
          </w:p>
        </w:tc>
        <w:tc>
          <w:tcPr>
            <w:tcW w:w="1417" w:type="dxa"/>
            <w:tcBorders>
              <w:top w:val="single" w:sz="4" w:space="0" w:color="000000"/>
            </w:tcBorders>
            <w:vAlign w:val="center"/>
          </w:tcPr>
          <w:p w14:paraId="73A0D228" w14:textId="7912E25D" w:rsidR="00FB55D1" w:rsidRPr="008109F3" w:rsidRDefault="00FB55D1" w:rsidP="00FB55D1">
            <w:pPr>
              <w:snapToGrid w:val="0"/>
              <w:spacing w:before="60" w:after="60"/>
              <w:jc w:val="center"/>
              <w:rPr>
                <w:rFonts w:cs="Times New Roman"/>
                <w:szCs w:val="22"/>
              </w:rPr>
            </w:pPr>
            <w:r>
              <w:rPr>
                <w:rFonts w:cs="Times New Roman"/>
                <w:szCs w:val="22"/>
              </w:rPr>
              <w:t>-12%</w:t>
            </w:r>
          </w:p>
        </w:tc>
      </w:tr>
      <w:tr w:rsidR="00FB55D1" w:rsidRPr="00866793" w14:paraId="34D4D40E" w14:textId="7BAB4BE1" w:rsidTr="008109F3">
        <w:trPr>
          <w:trHeight w:val="456"/>
        </w:trPr>
        <w:tc>
          <w:tcPr>
            <w:tcW w:w="3544" w:type="dxa"/>
            <w:tcBorders>
              <w:top w:val="single" w:sz="4" w:space="0" w:color="000000"/>
            </w:tcBorders>
            <w:vAlign w:val="center"/>
          </w:tcPr>
          <w:p w14:paraId="7141A0A0" w14:textId="278ADF28" w:rsidR="00FB55D1" w:rsidRPr="008109F3" w:rsidRDefault="00FB55D1" w:rsidP="00FB55D1">
            <w:pPr>
              <w:snapToGrid w:val="0"/>
              <w:spacing w:before="60" w:after="60"/>
              <w:jc w:val="left"/>
              <w:rPr>
                <w:rFonts w:cs="Times New Roman"/>
                <w:szCs w:val="22"/>
              </w:rPr>
            </w:pPr>
            <w:r w:rsidRPr="008109F3">
              <w:rPr>
                <w:rFonts w:cs="Times New Roman"/>
                <w:szCs w:val="22"/>
              </w:rPr>
              <w:t>Annual GHG indirect emissions</w:t>
            </w:r>
          </w:p>
        </w:tc>
        <w:tc>
          <w:tcPr>
            <w:tcW w:w="2552" w:type="dxa"/>
            <w:tcBorders>
              <w:top w:val="single" w:sz="4" w:space="0" w:color="000000"/>
            </w:tcBorders>
            <w:vAlign w:val="center"/>
          </w:tcPr>
          <w:p w14:paraId="7DBC1DEC" w14:textId="7FE1849F" w:rsidR="00FB55D1" w:rsidRPr="008109F3" w:rsidRDefault="00FB55D1" w:rsidP="00FB55D1">
            <w:pPr>
              <w:snapToGrid w:val="0"/>
              <w:spacing w:before="60" w:after="60"/>
              <w:jc w:val="left"/>
              <w:rPr>
                <w:rFonts w:cs="Times New Roman"/>
                <w:szCs w:val="22"/>
              </w:rPr>
            </w:pPr>
            <w:r w:rsidRPr="008109F3">
              <w:rPr>
                <w:rFonts w:cs="Times New Roman"/>
                <w:szCs w:val="22"/>
              </w:rPr>
              <w:t xml:space="preserve">33.67 Mt </w:t>
            </w:r>
            <w:r w:rsidR="00470E87">
              <w:rPr>
                <w:rFonts w:cs="Times New Roman"/>
                <w:szCs w:val="22"/>
              </w:rPr>
              <w:t>CO</w:t>
            </w:r>
            <w:r w:rsidR="00470E87" w:rsidRPr="00470E87">
              <w:rPr>
                <w:rFonts w:cs="Times New Roman"/>
                <w:szCs w:val="22"/>
                <w:vertAlign w:val="subscript"/>
              </w:rPr>
              <w:t>2</w:t>
            </w:r>
            <w:r w:rsidR="00470E87">
              <w:rPr>
                <w:rFonts w:cs="Times New Roman"/>
                <w:szCs w:val="22"/>
              </w:rPr>
              <w:t>e</w:t>
            </w:r>
          </w:p>
        </w:tc>
        <w:tc>
          <w:tcPr>
            <w:tcW w:w="2126" w:type="dxa"/>
            <w:tcBorders>
              <w:top w:val="single" w:sz="4" w:space="0" w:color="000000"/>
            </w:tcBorders>
            <w:vAlign w:val="center"/>
          </w:tcPr>
          <w:p w14:paraId="63FA02C3" w14:textId="151CAA2D" w:rsidR="00FB55D1" w:rsidRPr="008109F3" w:rsidRDefault="00FB55D1" w:rsidP="00FB55D1">
            <w:pPr>
              <w:snapToGrid w:val="0"/>
              <w:spacing w:before="60" w:after="60"/>
              <w:jc w:val="left"/>
              <w:rPr>
                <w:rFonts w:cs="Times New Roman"/>
                <w:szCs w:val="22"/>
              </w:rPr>
            </w:pPr>
            <w:r>
              <w:rPr>
                <w:rFonts w:cs="Times New Roman"/>
                <w:szCs w:val="22"/>
              </w:rPr>
              <w:t>30.44</w:t>
            </w:r>
            <w:r w:rsidR="001F1144">
              <w:rPr>
                <w:rFonts w:cs="Times New Roman"/>
                <w:szCs w:val="22"/>
              </w:rPr>
              <w:t xml:space="preserve"> </w:t>
            </w:r>
            <w:r w:rsidR="001F1144" w:rsidRPr="008109F3">
              <w:rPr>
                <w:rFonts w:cs="Times New Roman"/>
                <w:szCs w:val="22"/>
              </w:rPr>
              <w:t>Mt CO</w:t>
            </w:r>
            <w:r w:rsidR="001F1144" w:rsidRPr="008109F3">
              <w:rPr>
                <w:rFonts w:cs="Times New Roman"/>
                <w:szCs w:val="22"/>
                <w:vertAlign w:val="subscript"/>
              </w:rPr>
              <w:t>2</w:t>
            </w:r>
            <w:r w:rsidR="001F1144" w:rsidRPr="008109F3">
              <w:rPr>
                <w:rFonts w:cs="Times New Roman"/>
                <w:szCs w:val="22"/>
              </w:rPr>
              <w:t>e</w:t>
            </w:r>
          </w:p>
        </w:tc>
        <w:tc>
          <w:tcPr>
            <w:tcW w:w="1417" w:type="dxa"/>
            <w:tcBorders>
              <w:top w:val="single" w:sz="4" w:space="0" w:color="000000"/>
            </w:tcBorders>
            <w:vAlign w:val="center"/>
          </w:tcPr>
          <w:p w14:paraId="758AE09C" w14:textId="2A6B06C3" w:rsidR="00FB55D1" w:rsidRPr="008109F3" w:rsidRDefault="00FB55D1" w:rsidP="00FB55D1">
            <w:pPr>
              <w:snapToGrid w:val="0"/>
              <w:spacing w:before="60" w:after="60"/>
              <w:jc w:val="center"/>
              <w:rPr>
                <w:rFonts w:cs="Times New Roman"/>
                <w:szCs w:val="22"/>
              </w:rPr>
            </w:pPr>
            <w:r>
              <w:rPr>
                <w:rFonts w:cs="Times New Roman"/>
                <w:szCs w:val="22"/>
              </w:rPr>
              <w:t>-10%</w:t>
            </w:r>
          </w:p>
        </w:tc>
      </w:tr>
      <w:tr w:rsidR="00FB55D1" w:rsidRPr="00866793" w14:paraId="79B8B514" w14:textId="6BD7B3D6" w:rsidTr="008109F3">
        <w:trPr>
          <w:trHeight w:val="456"/>
        </w:trPr>
        <w:tc>
          <w:tcPr>
            <w:tcW w:w="3544" w:type="dxa"/>
            <w:tcBorders>
              <w:top w:val="single" w:sz="4" w:space="0" w:color="000000"/>
            </w:tcBorders>
            <w:vAlign w:val="center"/>
          </w:tcPr>
          <w:p w14:paraId="63D7F786" w14:textId="472A0C35" w:rsidR="00FB55D1" w:rsidRPr="008109F3" w:rsidRDefault="00FB55D1" w:rsidP="00FB55D1">
            <w:pPr>
              <w:snapToGrid w:val="0"/>
              <w:spacing w:before="60" w:after="60"/>
              <w:jc w:val="left"/>
              <w:rPr>
                <w:rFonts w:cs="Times New Roman"/>
                <w:szCs w:val="22"/>
              </w:rPr>
            </w:pPr>
            <w:r w:rsidRPr="008109F3">
              <w:rPr>
                <w:rFonts w:cs="Times New Roman"/>
                <w:szCs w:val="22"/>
              </w:rPr>
              <w:t>Share of HVAC&amp;R indirect emissions</w:t>
            </w:r>
          </w:p>
        </w:tc>
        <w:tc>
          <w:tcPr>
            <w:tcW w:w="2552" w:type="dxa"/>
            <w:tcBorders>
              <w:top w:val="single" w:sz="4" w:space="0" w:color="000000"/>
            </w:tcBorders>
            <w:vAlign w:val="center"/>
          </w:tcPr>
          <w:p w14:paraId="6F3FB2BB" w14:textId="77777777" w:rsidR="00FB55D1" w:rsidRPr="008109F3" w:rsidRDefault="00FB55D1" w:rsidP="00FB55D1">
            <w:pPr>
              <w:snapToGrid w:val="0"/>
              <w:spacing w:before="60" w:after="60"/>
              <w:jc w:val="left"/>
              <w:rPr>
                <w:rFonts w:cs="Times New Roman"/>
                <w:szCs w:val="22"/>
              </w:rPr>
            </w:pPr>
            <w:r w:rsidRPr="008109F3">
              <w:rPr>
                <w:rFonts w:cs="Times New Roman"/>
                <w:szCs w:val="22"/>
              </w:rPr>
              <w:t>59%</w:t>
            </w:r>
          </w:p>
        </w:tc>
        <w:tc>
          <w:tcPr>
            <w:tcW w:w="2126" w:type="dxa"/>
            <w:tcBorders>
              <w:top w:val="single" w:sz="4" w:space="0" w:color="000000"/>
            </w:tcBorders>
            <w:vAlign w:val="center"/>
          </w:tcPr>
          <w:p w14:paraId="4A2B9203" w14:textId="3DAF9AB3" w:rsidR="00FB55D1" w:rsidRPr="008109F3" w:rsidRDefault="00FB55D1" w:rsidP="00FB55D1">
            <w:pPr>
              <w:snapToGrid w:val="0"/>
              <w:spacing w:before="60" w:after="60"/>
              <w:jc w:val="left"/>
              <w:rPr>
                <w:rFonts w:cs="Times New Roman"/>
                <w:szCs w:val="22"/>
              </w:rPr>
            </w:pPr>
            <w:r>
              <w:rPr>
                <w:rFonts w:cs="Times New Roman"/>
                <w:szCs w:val="22"/>
              </w:rPr>
              <w:t>52%</w:t>
            </w:r>
          </w:p>
        </w:tc>
        <w:tc>
          <w:tcPr>
            <w:tcW w:w="1417" w:type="dxa"/>
            <w:tcBorders>
              <w:top w:val="single" w:sz="4" w:space="0" w:color="000000"/>
            </w:tcBorders>
            <w:vAlign w:val="center"/>
          </w:tcPr>
          <w:p w14:paraId="4D1AF9A0" w14:textId="3B2079DC" w:rsidR="00FB55D1" w:rsidRPr="008109F3" w:rsidRDefault="00FB55D1" w:rsidP="00FB55D1">
            <w:pPr>
              <w:snapToGrid w:val="0"/>
              <w:spacing w:before="60" w:after="60"/>
              <w:jc w:val="center"/>
              <w:rPr>
                <w:rFonts w:cs="Times New Roman"/>
                <w:szCs w:val="22"/>
              </w:rPr>
            </w:pPr>
            <w:r>
              <w:rPr>
                <w:rFonts w:cs="Times New Roman"/>
                <w:szCs w:val="22"/>
              </w:rPr>
              <w:t>-12%</w:t>
            </w:r>
          </w:p>
        </w:tc>
      </w:tr>
      <w:tr w:rsidR="00FB55D1" w:rsidRPr="00866793" w14:paraId="1932FB6E" w14:textId="1EE743B9" w:rsidTr="008109F3">
        <w:trPr>
          <w:trHeight w:val="456"/>
        </w:trPr>
        <w:tc>
          <w:tcPr>
            <w:tcW w:w="3544" w:type="dxa"/>
            <w:tcBorders>
              <w:top w:val="single" w:sz="4" w:space="0" w:color="000000"/>
            </w:tcBorders>
            <w:vAlign w:val="center"/>
          </w:tcPr>
          <w:p w14:paraId="3E07B7ED" w14:textId="10FB0F1A" w:rsidR="00FB55D1" w:rsidRPr="008109F3" w:rsidRDefault="00FB55D1" w:rsidP="00FB55D1">
            <w:pPr>
              <w:snapToGrid w:val="0"/>
              <w:spacing w:before="60" w:after="60"/>
              <w:jc w:val="left"/>
              <w:rPr>
                <w:rFonts w:cs="Times New Roman"/>
                <w:szCs w:val="22"/>
              </w:rPr>
            </w:pPr>
            <w:r w:rsidRPr="008109F3">
              <w:rPr>
                <w:rFonts w:cs="Times New Roman"/>
                <w:szCs w:val="22"/>
              </w:rPr>
              <w:t>An</w:t>
            </w:r>
            <w:r w:rsidR="00E94279">
              <w:rPr>
                <w:rFonts w:cs="Times New Roman"/>
                <w:szCs w:val="22"/>
              </w:rPr>
              <w:t xml:space="preserve">nual GHG direct emissions (ODS) </w:t>
            </w:r>
            <w:r w:rsidR="00E94279" w:rsidRPr="00E94279">
              <w:rPr>
                <w:rFonts w:cs="Times New Roman"/>
                <w:szCs w:val="22"/>
                <w:vertAlign w:val="superscript"/>
              </w:rPr>
              <w:t>(2)</w:t>
            </w:r>
          </w:p>
        </w:tc>
        <w:tc>
          <w:tcPr>
            <w:tcW w:w="2552" w:type="dxa"/>
            <w:tcBorders>
              <w:top w:val="single" w:sz="4" w:space="0" w:color="000000"/>
            </w:tcBorders>
            <w:vAlign w:val="center"/>
          </w:tcPr>
          <w:p w14:paraId="4927DC15" w14:textId="6A9DCDF0" w:rsidR="00FB55D1" w:rsidRPr="008109F3" w:rsidRDefault="00FB55D1" w:rsidP="00FB55D1">
            <w:pPr>
              <w:snapToGrid w:val="0"/>
              <w:spacing w:before="60" w:after="60"/>
              <w:jc w:val="left"/>
              <w:rPr>
                <w:rFonts w:cs="Times New Roman"/>
                <w:szCs w:val="22"/>
              </w:rPr>
            </w:pPr>
            <w:r w:rsidRPr="008109F3">
              <w:rPr>
                <w:rFonts w:cs="Times New Roman"/>
                <w:szCs w:val="22"/>
              </w:rPr>
              <w:t>1.18 Mt CO</w:t>
            </w:r>
            <w:r w:rsidRPr="008109F3">
              <w:rPr>
                <w:rFonts w:cs="Times New Roman"/>
                <w:szCs w:val="22"/>
                <w:vertAlign w:val="subscript"/>
              </w:rPr>
              <w:t>2</w:t>
            </w:r>
            <w:r w:rsidRPr="008109F3">
              <w:rPr>
                <w:rFonts w:cs="Times New Roman"/>
                <w:szCs w:val="22"/>
              </w:rPr>
              <w:t>e</w:t>
            </w:r>
          </w:p>
        </w:tc>
        <w:tc>
          <w:tcPr>
            <w:tcW w:w="2126" w:type="dxa"/>
            <w:tcBorders>
              <w:top w:val="single" w:sz="4" w:space="0" w:color="000000"/>
            </w:tcBorders>
            <w:vAlign w:val="center"/>
          </w:tcPr>
          <w:p w14:paraId="3B333251" w14:textId="42F2618E" w:rsidR="00FB55D1" w:rsidRPr="008109F3" w:rsidRDefault="00CC643C" w:rsidP="00FB55D1">
            <w:pPr>
              <w:snapToGrid w:val="0"/>
              <w:spacing w:before="60" w:after="60"/>
              <w:jc w:val="left"/>
              <w:rPr>
                <w:rFonts w:cs="Times New Roman"/>
                <w:szCs w:val="22"/>
              </w:rPr>
            </w:pPr>
            <w:r>
              <w:rPr>
                <w:rFonts w:cs="Times New Roman"/>
                <w:szCs w:val="22"/>
              </w:rPr>
              <w:t>0.72</w:t>
            </w:r>
            <w:r w:rsidR="00FB55D1" w:rsidRPr="008109F3">
              <w:rPr>
                <w:rFonts w:cs="Times New Roman"/>
                <w:szCs w:val="22"/>
              </w:rPr>
              <w:t xml:space="preserve"> Mt CO</w:t>
            </w:r>
            <w:r w:rsidR="00FB55D1" w:rsidRPr="008109F3">
              <w:rPr>
                <w:rFonts w:cs="Times New Roman"/>
                <w:szCs w:val="22"/>
                <w:vertAlign w:val="subscript"/>
              </w:rPr>
              <w:t>2</w:t>
            </w:r>
            <w:r w:rsidR="00FB55D1" w:rsidRPr="008109F3">
              <w:rPr>
                <w:rFonts w:cs="Times New Roman"/>
                <w:szCs w:val="22"/>
              </w:rPr>
              <w:t>e</w:t>
            </w:r>
          </w:p>
        </w:tc>
        <w:tc>
          <w:tcPr>
            <w:tcW w:w="1417" w:type="dxa"/>
            <w:tcBorders>
              <w:top w:val="single" w:sz="4" w:space="0" w:color="000000"/>
            </w:tcBorders>
            <w:vAlign w:val="center"/>
          </w:tcPr>
          <w:p w14:paraId="291DC675" w14:textId="1AAEFF89" w:rsidR="00FB55D1" w:rsidRPr="008109F3" w:rsidRDefault="00582B65" w:rsidP="00FB55D1">
            <w:pPr>
              <w:snapToGrid w:val="0"/>
              <w:spacing w:before="60" w:after="60"/>
              <w:jc w:val="center"/>
              <w:rPr>
                <w:rFonts w:cs="Times New Roman"/>
                <w:szCs w:val="22"/>
              </w:rPr>
            </w:pPr>
            <w:r>
              <w:rPr>
                <w:rFonts w:cs="Times New Roman"/>
                <w:szCs w:val="22"/>
              </w:rPr>
              <w:t xml:space="preserve">NA </w:t>
            </w:r>
            <w:r w:rsidRPr="00582B65">
              <w:rPr>
                <w:rFonts w:cs="Times New Roman"/>
                <w:szCs w:val="22"/>
                <w:vertAlign w:val="superscript"/>
              </w:rPr>
              <w:t>(3)</w:t>
            </w:r>
          </w:p>
        </w:tc>
      </w:tr>
      <w:tr w:rsidR="00FB55D1" w:rsidRPr="00866793" w14:paraId="0E885023" w14:textId="76533D75" w:rsidTr="008109F3">
        <w:trPr>
          <w:trHeight w:val="456"/>
        </w:trPr>
        <w:tc>
          <w:tcPr>
            <w:tcW w:w="3544" w:type="dxa"/>
            <w:tcBorders>
              <w:top w:val="single" w:sz="4" w:space="0" w:color="000000"/>
            </w:tcBorders>
            <w:vAlign w:val="center"/>
          </w:tcPr>
          <w:p w14:paraId="53E470B8" w14:textId="362EBF78" w:rsidR="00FB55D1" w:rsidRPr="008109F3" w:rsidRDefault="00FB55D1" w:rsidP="00FB55D1">
            <w:pPr>
              <w:snapToGrid w:val="0"/>
              <w:spacing w:before="60" w:after="60"/>
              <w:jc w:val="left"/>
              <w:rPr>
                <w:rFonts w:cs="Times New Roman"/>
                <w:szCs w:val="22"/>
              </w:rPr>
            </w:pPr>
            <w:r w:rsidRPr="008109F3">
              <w:rPr>
                <w:rFonts w:cs="Times New Roman"/>
                <w:szCs w:val="22"/>
              </w:rPr>
              <w:t>Annual GHG direct emissions (SGG)</w:t>
            </w:r>
          </w:p>
        </w:tc>
        <w:tc>
          <w:tcPr>
            <w:tcW w:w="2552" w:type="dxa"/>
            <w:tcBorders>
              <w:top w:val="single" w:sz="4" w:space="0" w:color="000000"/>
            </w:tcBorders>
            <w:vAlign w:val="center"/>
          </w:tcPr>
          <w:p w14:paraId="7DC520CD" w14:textId="346554D4" w:rsidR="00FB55D1" w:rsidRPr="008109F3" w:rsidRDefault="00FB55D1" w:rsidP="00FB55D1">
            <w:pPr>
              <w:snapToGrid w:val="0"/>
              <w:spacing w:before="60" w:after="60"/>
              <w:jc w:val="left"/>
              <w:rPr>
                <w:rFonts w:cs="Times New Roman"/>
                <w:szCs w:val="22"/>
              </w:rPr>
            </w:pPr>
            <w:r w:rsidRPr="008109F3">
              <w:rPr>
                <w:rFonts w:cs="Times New Roman"/>
                <w:szCs w:val="22"/>
              </w:rPr>
              <w:t>1</w:t>
            </w:r>
            <w:r w:rsidR="00017BD7">
              <w:rPr>
                <w:rFonts w:cs="Times New Roman"/>
                <w:szCs w:val="22"/>
              </w:rPr>
              <w:t>.</w:t>
            </w:r>
            <w:r w:rsidRPr="008109F3">
              <w:rPr>
                <w:rFonts w:cs="Times New Roman"/>
                <w:szCs w:val="22"/>
              </w:rPr>
              <w:t>14 Mt CO</w:t>
            </w:r>
            <w:r w:rsidRPr="008109F3">
              <w:rPr>
                <w:rFonts w:cs="Times New Roman"/>
                <w:szCs w:val="22"/>
                <w:vertAlign w:val="subscript"/>
              </w:rPr>
              <w:t>2</w:t>
            </w:r>
            <w:r w:rsidRPr="008109F3">
              <w:rPr>
                <w:rFonts w:cs="Times New Roman"/>
                <w:szCs w:val="22"/>
              </w:rPr>
              <w:t>e</w:t>
            </w:r>
          </w:p>
        </w:tc>
        <w:tc>
          <w:tcPr>
            <w:tcW w:w="2126" w:type="dxa"/>
            <w:tcBorders>
              <w:top w:val="single" w:sz="4" w:space="0" w:color="000000"/>
            </w:tcBorders>
            <w:vAlign w:val="center"/>
          </w:tcPr>
          <w:p w14:paraId="3E454855" w14:textId="674EB909" w:rsidR="00FB55D1" w:rsidRPr="008109F3" w:rsidRDefault="00FB55D1" w:rsidP="00FB55D1">
            <w:pPr>
              <w:snapToGrid w:val="0"/>
              <w:spacing w:before="60" w:after="60"/>
              <w:jc w:val="left"/>
              <w:rPr>
                <w:rFonts w:cs="Times New Roman"/>
                <w:szCs w:val="22"/>
              </w:rPr>
            </w:pPr>
            <w:r>
              <w:rPr>
                <w:rFonts w:cs="Times New Roman"/>
                <w:szCs w:val="22"/>
              </w:rPr>
              <w:t>1.4</w:t>
            </w:r>
            <w:r w:rsidR="00CC643C">
              <w:rPr>
                <w:rFonts w:cs="Times New Roman"/>
                <w:szCs w:val="22"/>
              </w:rPr>
              <w:t>7</w:t>
            </w:r>
            <w:r w:rsidRPr="008109F3">
              <w:rPr>
                <w:rFonts w:cs="Times New Roman"/>
                <w:szCs w:val="22"/>
              </w:rPr>
              <w:t xml:space="preserve"> Mt CO</w:t>
            </w:r>
            <w:r w:rsidRPr="008109F3">
              <w:rPr>
                <w:rFonts w:cs="Times New Roman"/>
                <w:szCs w:val="22"/>
                <w:vertAlign w:val="subscript"/>
              </w:rPr>
              <w:t>2</w:t>
            </w:r>
            <w:r w:rsidRPr="008109F3">
              <w:rPr>
                <w:rFonts w:cs="Times New Roman"/>
                <w:szCs w:val="22"/>
              </w:rPr>
              <w:t>e</w:t>
            </w:r>
          </w:p>
        </w:tc>
        <w:tc>
          <w:tcPr>
            <w:tcW w:w="1417" w:type="dxa"/>
            <w:tcBorders>
              <w:top w:val="single" w:sz="4" w:space="0" w:color="000000"/>
            </w:tcBorders>
            <w:vAlign w:val="center"/>
          </w:tcPr>
          <w:p w14:paraId="7269B23A" w14:textId="66CD0E69" w:rsidR="00FB55D1" w:rsidRPr="008109F3" w:rsidRDefault="00582B65" w:rsidP="00FB55D1">
            <w:pPr>
              <w:snapToGrid w:val="0"/>
              <w:spacing w:before="60" w:after="60"/>
              <w:jc w:val="center"/>
              <w:rPr>
                <w:rFonts w:cs="Times New Roman"/>
                <w:szCs w:val="22"/>
              </w:rPr>
            </w:pPr>
            <w:r>
              <w:rPr>
                <w:rFonts w:cs="Times New Roman"/>
                <w:szCs w:val="22"/>
              </w:rPr>
              <w:t xml:space="preserve">NA </w:t>
            </w:r>
            <w:r w:rsidRPr="00582B65">
              <w:rPr>
                <w:rFonts w:cs="Times New Roman"/>
                <w:szCs w:val="22"/>
                <w:vertAlign w:val="superscript"/>
              </w:rPr>
              <w:t>(3)</w:t>
            </w:r>
          </w:p>
        </w:tc>
      </w:tr>
      <w:tr w:rsidR="00FB55D1" w:rsidRPr="00866793" w14:paraId="4CFFD1C1" w14:textId="5BE75DAB" w:rsidTr="008109F3">
        <w:trPr>
          <w:trHeight w:val="456"/>
        </w:trPr>
        <w:tc>
          <w:tcPr>
            <w:tcW w:w="3544" w:type="dxa"/>
            <w:tcBorders>
              <w:top w:val="single" w:sz="4" w:space="0" w:color="000000"/>
            </w:tcBorders>
            <w:vAlign w:val="center"/>
          </w:tcPr>
          <w:p w14:paraId="1E770557" w14:textId="678E2AA8" w:rsidR="00FB55D1" w:rsidRPr="008109F3" w:rsidRDefault="00FB55D1" w:rsidP="00FB55D1">
            <w:pPr>
              <w:snapToGrid w:val="0"/>
              <w:spacing w:before="60" w:after="60"/>
              <w:jc w:val="left"/>
              <w:rPr>
                <w:rFonts w:cs="Times New Roman"/>
                <w:szCs w:val="22"/>
              </w:rPr>
            </w:pPr>
            <w:r w:rsidRPr="008109F3">
              <w:rPr>
                <w:rFonts w:cs="Times New Roman"/>
                <w:szCs w:val="22"/>
              </w:rPr>
              <w:t>Share of HVAC&amp;R direct emissions</w:t>
            </w:r>
          </w:p>
        </w:tc>
        <w:tc>
          <w:tcPr>
            <w:tcW w:w="2552" w:type="dxa"/>
            <w:tcBorders>
              <w:top w:val="single" w:sz="4" w:space="0" w:color="000000"/>
            </w:tcBorders>
            <w:vAlign w:val="center"/>
          </w:tcPr>
          <w:p w14:paraId="57149E0A" w14:textId="77777777" w:rsidR="00FB55D1" w:rsidRPr="008109F3" w:rsidRDefault="00FB55D1" w:rsidP="00FB55D1">
            <w:pPr>
              <w:snapToGrid w:val="0"/>
              <w:spacing w:before="60" w:after="60"/>
              <w:jc w:val="left"/>
              <w:rPr>
                <w:rFonts w:cs="Times New Roman"/>
                <w:szCs w:val="22"/>
              </w:rPr>
            </w:pPr>
            <w:r w:rsidRPr="008109F3">
              <w:rPr>
                <w:rFonts w:cs="Times New Roman"/>
                <w:szCs w:val="22"/>
              </w:rPr>
              <w:t>44%</w:t>
            </w:r>
          </w:p>
        </w:tc>
        <w:tc>
          <w:tcPr>
            <w:tcW w:w="2126" w:type="dxa"/>
            <w:tcBorders>
              <w:top w:val="single" w:sz="4" w:space="0" w:color="000000"/>
            </w:tcBorders>
            <w:vAlign w:val="center"/>
          </w:tcPr>
          <w:p w14:paraId="011D57D7" w14:textId="2598C70D" w:rsidR="00FB55D1" w:rsidRPr="008109F3" w:rsidRDefault="00CC643C" w:rsidP="00FB55D1">
            <w:pPr>
              <w:snapToGrid w:val="0"/>
              <w:spacing w:before="60" w:after="60"/>
              <w:jc w:val="left"/>
              <w:rPr>
                <w:rFonts w:cs="Times New Roman"/>
                <w:szCs w:val="22"/>
              </w:rPr>
            </w:pPr>
            <w:r>
              <w:rPr>
                <w:rFonts w:cs="Times New Roman"/>
                <w:szCs w:val="22"/>
              </w:rPr>
              <w:t>34</w:t>
            </w:r>
            <w:r w:rsidR="00FB55D1" w:rsidRPr="008109F3">
              <w:rPr>
                <w:rFonts w:cs="Times New Roman"/>
                <w:szCs w:val="22"/>
              </w:rPr>
              <w:t>%</w:t>
            </w:r>
          </w:p>
        </w:tc>
        <w:tc>
          <w:tcPr>
            <w:tcW w:w="1417" w:type="dxa"/>
            <w:tcBorders>
              <w:top w:val="single" w:sz="4" w:space="0" w:color="000000"/>
            </w:tcBorders>
            <w:vAlign w:val="center"/>
          </w:tcPr>
          <w:p w14:paraId="56015A09" w14:textId="51C13C9C" w:rsidR="00FB55D1" w:rsidRPr="008109F3" w:rsidRDefault="00941642" w:rsidP="00FB55D1">
            <w:pPr>
              <w:snapToGrid w:val="0"/>
              <w:spacing w:before="60" w:after="60"/>
              <w:jc w:val="center"/>
              <w:rPr>
                <w:rFonts w:cs="Times New Roman"/>
                <w:szCs w:val="22"/>
              </w:rPr>
            </w:pPr>
            <w:r>
              <w:rPr>
                <w:rFonts w:cs="Times New Roman"/>
                <w:szCs w:val="22"/>
              </w:rPr>
              <w:t xml:space="preserve">NA </w:t>
            </w:r>
            <w:r w:rsidRPr="00582B65">
              <w:rPr>
                <w:rFonts w:cs="Times New Roman"/>
                <w:szCs w:val="22"/>
                <w:vertAlign w:val="superscript"/>
              </w:rPr>
              <w:t>(3)</w:t>
            </w:r>
          </w:p>
        </w:tc>
      </w:tr>
      <w:tr w:rsidR="00FB55D1" w:rsidRPr="00866793" w14:paraId="4639F270" w14:textId="0CE80136" w:rsidTr="008109F3">
        <w:trPr>
          <w:trHeight w:val="456"/>
        </w:trPr>
        <w:tc>
          <w:tcPr>
            <w:tcW w:w="3544" w:type="dxa"/>
            <w:tcBorders>
              <w:top w:val="single" w:sz="4" w:space="0" w:color="000000"/>
            </w:tcBorders>
            <w:vAlign w:val="center"/>
          </w:tcPr>
          <w:p w14:paraId="0D1EB714" w14:textId="36EDBFE6" w:rsidR="00FB55D1" w:rsidRPr="008109F3" w:rsidRDefault="00FB55D1" w:rsidP="00FB55D1">
            <w:pPr>
              <w:snapToGrid w:val="0"/>
              <w:spacing w:before="60" w:after="60"/>
              <w:jc w:val="left"/>
              <w:rPr>
                <w:rFonts w:cs="Times New Roman"/>
                <w:szCs w:val="22"/>
              </w:rPr>
            </w:pPr>
            <w:r w:rsidRPr="008109F3">
              <w:rPr>
                <w:rFonts w:cs="Times New Roman"/>
                <w:szCs w:val="22"/>
              </w:rPr>
              <w:t>Share of HVAC&amp;R total emissions                                                 (direct and indirect, not including EOL)</w:t>
            </w:r>
          </w:p>
        </w:tc>
        <w:tc>
          <w:tcPr>
            <w:tcW w:w="2552" w:type="dxa"/>
            <w:tcBorders>
              <w:top w:val="single" w:sz="4" w:space="0" w:color="000000"/>
            </w:tcBorders>
            <w:vAlign w:val="center"/>
          </w:tcPr>
          <w:p w14:paraId="6E622532" w14:textId="77777777" w:rsidR="00FB55D1" w:rsidRPr="008109F3" w:rsidRDefault="00FB55D1" w:rsidP="00FB55D1">
            <w:pPr>
              <w:snapToGrid w:val="0"/>
              <w:spacing w:before="60" w:after="60"/>
              <w:jc w:val="left"/>
              <w:rPr>
                <w:rFonts w:cs="Times New Roman"/>
                <w:szCs w:val="22"/>
              </w:rPr>
            </w:pPr>
            <w:r w:rsidRPr="008109F3">
              <w:rPr>
                <w:rFonts w:cs="Times New Roman"/>
                <w:szCs w:val="22"/>
              </w:rPr>
              <w:t>58%</w:t>
            </w:r>
          </w:p>
        </w:tc>
        <w:tc>
          <w:tcPr>
            <w:tcW w:w="2126" w:type="dxa"/>
            <w:tcBorders>
              <w:top w:val="single" w:sz="4" w:space="0" w:color="000000"/>
            </w:tcBorders>
            <w:vAlign w:val="center"/>
          </w:tcPr>
          <w:p w14:paraId="17E8874F" w14:textId="75446E85" w:rsidR="00FB55D1" w:rsidRPr="008109F3" w:rsidRDefault="00FB55D1" w:rsidP="00FB55D1">
            <w:pPr>
              <w:snapToGrid w:val="0"/>
              <w:spacing w:before="60" w:after="60"/>
              <w:jc w:val="left"/>
              <w:rPr>
                <w:rFonts w:cs="Times New Roman"/>
                <w:szCs w:val="22"/>
              </w:rPr>
            </w:pPr>
            <w:r w:rsidRPr="008109F3">
              <w:rPr>
                <w:rFonts w:cs="Times New Roman"/>
                <w:szCs w:val="22"/>
              </w:rPr>
              <w:t>5</w:t>
            </w:r>
            <w:r w:rsidR="00CC643C">
              <w:rPr>
                <w:rFonts w:cs="Times New Roman"/>
                <w:szCs w:val="22"/>
              </w:rPr>
              <w:t>0</w:t>
            </w:r>
            <w:r w:rsidRPr="008109F3">
              <w:rPr>
                <w:rFonts w:cs="Times New Roman"/>
                <w:szCs w:val="22"/>
              </w:rPr>
              <w:t>%</w:t>
            </w:r>
          </w:p>
        </w:tc>
        <w:tc>
          <w:tcPr>
            <w:tcW w:w="1417" w:type="dxa"/>
            <w:tcBorders>
              <w:top w:val="single" w:sz="4" w:space="0" w:color="000000"/>
            </w:tcBorders>
            <w:vAlign w:val="center"/>
          </w:tcPr>
          <w:p w14:paraId="3B832459" w14:textId="76203ECD" w:rsidR="00FB55D1" w:rsidRPr="008109F3" w:rsidRDefault="00941642" w:rsidP="00FB55D1">
            <w:pPr>
              <w:snapToGrid w:val="0"/>
              <w:spacing w:before="60" w:after="60"/>
              <w:jc w:val="center"/>
              <w:rPr>
                <w:rFonts w:cs="Times New Roman"/>
                <w:szCs w:val="22"/>
              </w:rPr>
            </w:pPr>
            <w:r>
              <w:rPr>
                <w:rFonts w:cs="Times New Roman"/>
                <w:szCs w:val="22"/>
              </w:rPr>
              <w:t xml:space="preserve">NA </w:t>
            </w:r>
            <w:r w:rsidRPr="00582B65">
              <w:rPr>
                <w:rFonts w:cs="Times New Roman"/>
                <w:szCs w:val="22"/>
                <w:vertAlign w:val="superscript"/>
              </w:rPr>
              <w:t>(3)</w:t>
            </w:r>
          </w:p>
        </w:tc>
      </w:tr>
    </w:tbl>
    <w:p w14:paraId="0DC457A3" w14:textId="4AA6C6A8" w:rsidR="008109F3" w:rsidRPr="00FB55D1" w:rsidRDefault="00FB55D1" w:rsidP="00FB55D1">
      <w:pPr>
        <w:snapToGrid w:val="0"/>
        <w:spacing w:before="60"/>
        <w:jc w:val="left"/>
        <w:rPr>
          <w:rFonts w:cs="Times New Roman"/>
          <w:sz w:val="20"/>
          <w:szCs w:val="20"/>
        </w:rPr>
      </w:pPr>
      <w:r w:rsidRPr="00FB55D1">
        <w:rPr>
          <w:rFonts w:cs="Times New Roman"/>
          <w:sz w:val="20"/>
          <w:szCs w:val="20"/>
        </w:rPr>
        <w:t>Notes:</w:t>
      </w:r>
    </w:p>
    <w:p w14:paraId="7B1FEECC" w14:textId="5B8B18E1" w:rsidR="00FB55D1" w:rsidRDefault="00FB55D1" w:rsidP="00FC735C">
      <w:pPr>
        <w:pStyle w:val="ListParagraph"/>
        <w:numPr>
          <w:ilvl w:val="0"/>
          <w:numId w:val="42"/>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Change comparison of </w:t>
      </w:r>
      <w:r w:rsidRPr="00FB55D1">
        <w:rPr>
          <w:rFonts w:ascii="Times New Roman" w:hAnsi="Times New Roman"/>
          <w:sz w:val="20"/>
          <w:szCs w:val="20"/>
        </w:rPr>
        <w:t xml:space="preserve">pre-charged </w:t>
      </w:r>
      <w:r>
        <w:rPr>
          <w:rFonts w:ascii="Times New Roman" w:hAnsi="Times New Roman"/>
          <w:sz w:val="20"/>
          <w:szCs w:val="20"/>
        </w:rPr>
        <w:t>refrigerant imports over last five years, compares the highest numbers over the period.</w:t>
      </w:r>
    </w:p>
    <w:p w14:paraId="02465D97" w14:textId="401CF82B" w:rsidR="000045FC" w:rsidRDefault="000045FC" w:rsidP="00FC735C">
      <w:pPr>
        <w:pStyle w:val="ListParagraph"/>
        <w:numPr>
          <w:ilvl w:val="0"/>
          <w:numId w:val="42"/>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Emissions of ODS </w:t>
      </w:r>
      <w:r w:rsidRPr="000045FC">
        <w:rPr>
          <w:rFonts w:ascii="Times New Roman" w:hAnsi="Times New Roman"/>
          <w:sz w:val="20"/>
          <w:szCs w:val="20"/>
        </w:rPr>
        <w:t>are not counted as part of the GHGs reported under the Kyoto Protocol or United Nations Convention on Climate Change, as they managed through the Montreal Protocol.</w:t>
      </w:r>
    </w:p>
    <w:p w14:paraId="246755D3" w14:textId="77777777" w:rsidR="00582B65" w:rsidRPr="00FB55D1" w:rsidRDefault="00582B65" w:rsidP="00FC735C">
      <w:pPr>
        <w:pStyle w:val="ListParagraph"/>
        <w:numPr>
          <w:ilvl w:val="0"/>
          <w:numId w:val="42"/>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The direct emissions in 2012 cannot be directly compared to 2016 as CHF2 is an assessment of a full bank and CHF3 is an assessment of a partially full bank.  </w:t>
      </w:r>
    </w:p>
    <w:p w14:paraId="326964F6" w14:textId="77777777" w:rsidR="00582B65" w:rsidRPr="00FB55D1" w:rsidRDefault="00582B65" w:rsidP="00582B65">
      <w:pPr>
        <w:pStyle w:val="ListParagraph"/>
        <w:spacing w:before="60" w:after="60" w:line="240" w:lineRule="auto"/>
        <w:ind w:left="360"/>
        <w:contextualSpacing w:val="0"/>
        <w:jc w:val="both"/>
        <w:rPr>
          <w:rFonts w:ascii="Times New Roman" w:hAnsi="Times New Roman"/>
          <w:sz w:val="20"/>
          <w:szCs w:val="20"/>
        </w:rPr>
      </w:pPr>
    </w:p>
    <w:p w14:paraId="24CD5DBC" w14:textId="7591CB16" w:rsidR="008109F3" w:rsidRDefault="008109F3">
      <w:pPr>
        <w:spacing w:before="0"/>
        <w:jc w:val="left"/>
        <w:rPr>
          <w:rFonts w:cs="Times New Roman"/>
          <w:szCs w:val="22"/>
        </w:rPr>
      </w:pPr>
    </w:p>
    <w:p w14:paraId="75290A5E" w14:textId="427FB042" w:rsidR="008109F3" w:rsidRDefault="008109F3">
      <w:pPr>
        <w:spacing w:before="0"/>
        <w:jc w:val="left"/>
        <w:rPr>
          <w:rFonts w:cs="Times New Roman"/>
          <w:szCs w:val="22"/>
        </w:rPr>
      </w:pPr>
    </w:p>
    <w:p w14:paraId="3799B469" w14:textId="1EAAF138" w:rsidR="008109F3" w:rsidRDefault="008109F3">
      <w:pPr>
        <w:spacing w:before="0"/>
        <w:jc w:val="left"/>
        <w:rPr>
          <w:rFonts w:cs="Times New Roman"/>
          <w:szCs w:val="22"/>
        </w:rPr>
      </w:pPr>
    </w:p>
    <w:p w14:paraId="1EF4B95A" w14:textId="2D777A87" w:rsidR="008109F3" w:rsidRDefault="008109F3">
      <w:pPr>
        <w:spacing w:before="0"/>
        <w:jc w:val="left"/>
        <w:rPr>
          <w:rFonts w:cs="Times New Roman"/>
          <w:szCs w:val="22"/>
        </w:rPr>
      </w:pPr>
    </w:p>
    <w:p w14:paraId="5BA455CC" w14:textId="77777777" w:rsidR="008109F3" w:rsidRDefault="008109F3">
      <w:pPr>
        <w:spacing w:before="0"/>
        <w:jc w:val="left"/>
        <w:rPr>
          <w:rFonts w:cs="Times New Roman"/>
          <w:szCs w:val="22"/>
        </w:rPr>
      </w:pPr>
    </w:p>
    <w:p w14:paraId="307A01F5" w14:textId="77777777" w:rsidR="0056567F" w:rsidRDefault="0056567F">
      <w:pPr>
        <w:spacing w:before="0"/>
        <w:jc w:val="left"/>
        <w:rPr>
          <w:rFonts w:cs="Times New Roman"/>
          <w:szCs w:val="22"/>
        </w:rPr>
      </w:pPr>
    </w:p>
    <w:p w14:paraId="53A9EE5E" w14:textId="77777777" w:rsidR="0056567F" w:rsidRDefault="0056567F">
      <w:pPr>
        <w:spacing w:before="0"/>
        <w:jc w:val="left"/>
        <w:rPr>
          <w:rFonts w:cs="Times New Roman"/>
          <w:szCs w:val="22"/>
        </w:rPr>
      </w:pPr>
    </w:p>
    <w:p w14:paraId="15D82DDA" w14:textId="41167014" w:rsidR="001B2302" w:rsidRDefault="001B2302">
      <w:pPr>
        <w:spacing w:before="0"/>
        <w:jc w:val="left"/>
        <w:rPr>
          <w:rFonts w:cs="Times New Roman"/>
          <w:szCs w:val="22"/>
        </w:rPr>
      </w:pPr>
      <w:r>
        <w:rPr>
          <w:rFonts w:cs="Times New Roman"/>
          <w:szCs w:val="22"/>
        </w:rPr>
        <w:br w:type="page"/>
      </w:r>
    </w:p>
    <w:p w14:paraId="519B8860" w14:textId="77777777" w:rsidR="001B2302" w:rsidRPr="00414D21" w:rsidRDefault="001B2302" w:rsidP="0056567F">
      <w:pPr>
        <w:pStyle w:val="Heading2"/>
        <w:rPr>
          <w:rFonts w:eastAsiaTheme="minorEastAsia"/>
        </w:rPr>
      </w:pPr>
      <w:bookmarkStart w:id="22" w:name="_Toc525141263"/>
      <w:r w:rsidRPr="00414D21">
        <w:rPr>
          <w:rFonts w:eastAsiaTheme="minorEastAsia"/>
        </w:rPr>
        <w:lastRenderedPageBreak/>
        <w:t>Mobile air conditioning</w:t>
      </w:r>
      <w:bookmarkEnd w:id="22"/>
    </w:p>
    <w:p w14:paraId="56CBA83C" w14:textId="77777777" w:rsidR="001B2302" w:rsidRDefault="001B2302" w:rsidP="001B2302">
      <w:pPr>
        <w:rPr>
          <w:szCs w:val="22"/>
        </w:rPr>
      </w:pPr>
      <w:r w:rsidRPr="005C3266">
        <w:rPr>
          <w:szCs w:val="22"/>
        </w:rPr>
        <w:t xml:space="preserve">Mobile air conditioning </w:t>
      </w:r>
      <w:r>
        <w:rPr>
          <w:szCs w:val="22"/>
        </w:rPr>
        <w:t xml:space="preserve">(MAC) </w:t>
      </w:r>
      <w:r w:rsidRPr="005C3266">
        <w:rPr>
          <w:szCs w:val="22"/>
        </w:rPr>
        <w:t xml:space="preserve">includes </w:t>
      </w:r>
      <w:r>
        <w:rPr>
          <w:szCs w:val="22"/>
        </w:rPr>
        <w:t xml:space="preserve">air conditioning </w:t>
      </w:r>
      <w:r w:rsidRPr="005C3266">
        <w:rPr>
          <w:szCs w:val="22"/>
        </w:rPr>
        <w:t xml:space="preserve">equipment found in passenger vehicles, light commercial vehicles, buses, trucks, and </w:t>
      </w:r>
      <w:r>
        <w:rPr>
          <w:szCs w:val="22"/>
        </w:rPr>
        <w:t xml:space="preserve">in </w:t>
      </w:r>
      <w:r w:rsidRPr="005C3266">
        <w:rPr>
          <w:szCs w:val="22"/>
        </w:rPr>
        <w:t>un</w:t>
      </w:r>
      <w:r>
        <w:rPr>
          <w:szCs w:val="22"/>
        </w:rPr>
        <w:t>registered and off-</w:t>
      </w:r>
      <w:r w:rsidRPr="005C3266">
        <w:rPr>
          <w:szCs w:val="22"/>
        </w:rPr>
        <w:t>road applications including locomotives, passenger rail, mining equipment, harvesters, fork</w:t>
      </w:r>
      <w:r>
        <w:rPr>
          <w:szCs w:val="22"/>
        </w:rPr>
        <w:t>lift</w:t>
      </w:r>
      <w:r w:rsidRPr="005C3266">
        <w:rPr>
          <w:szCs w:val="22"/>
        </w:rPr>
        <w:t xml:space="preserve"> trucks, road making vehicles, mobile </w:t>
      </w:r>
      <w:r>
        <w:rPr>
          <w:szCs w:val="22"/>
        </w:rPr>
        <w:t>and fixed cranes, military vehicles,</w:t>
      </w:r>
      <w:r w:rsidRPr="005C3266">
        <w:rPr>
          <w:szCs w:val="22"/>
        </w:rPr>
        <w:t xml:space="preserve"> earthmoving equipment</w:t>
      </w:r>
      <w:r>
        <w:rPr>
          <w:szCs w:val="22"/>
        </w:rPr>
        <w:t>, registered shipping, pleasure craft</w:t>
      </w:r>
      <w:r w:rsidRPr="00D74C91">
        <w:rPr>
          <w:szCs w:val="22"/>
        </w:rPr>
        <w:t xml:space="preserve">, </w:t>
      </w:r>
      <w:r w:rsidRPr="00414D21">
        <w:rPr>
          <w:szCs w:val="22"/>
        </w:rPr>
        <w:t>and light aircraft.</w:t>
      </w:r>
      <w:r>
        <w:rPr>
          <w:szCs w:val="22"/>
        </w:rPr>
        <w:t xml:space="preserve"> </w:t>
      </w:r>
    </w:p>
    <w:p w14:paraId="312574B6" w14:textId="1B1B0091" w:rsidR="00A035DE" w:rsidRDefault="00A035DE" w:rsidP="00A035DE">
      <w:pPr>
        <w:rPr>
          <w:szCs w:val="22"/>
        </w:rPr>
      </w:pPr>
      <w:bookmarkStart w:id="23" w:name="_Hlk508546541"/>
      <w:r w:rsidRPr="00294756">
        <w:rPr>
          <w:szCs w:val="22"/>
        </w:rPr>
        <w:t xml:space="preserve">The two segments and </w:t>
      </w:r>
      <w:r w:rsidR="004E41B6">
        <w:rPr>
          <w:szCs w:val="22"/>
        </w:rPr>
        <w:t>twelve</w:t>
      </w:r>
      <w:r w:rsidRPr="00294756">
        <w:rPr>
          <w:szCs w:val="22"/>
        </w:rPr>
        <w:t xml:space="preserve"> product categories that make up this class contained </w:t>
      </w:r>
      <w:r w:rsidRPr="00A10A63">
        <w:rPr>
          <w:szCs w:val="22"/>
        </w:rPr>
        <w:t xml:space="preserve">approximately </w:t>
      </w:r>
      <w:r w:rsidR="00A10A63" w:rsidRPr="00A10A63">
        <w:rPr>
          <w:szCs w:val="22"/>
        </w:rPr>
        <w:t>21</w:t>
      </w:r>
      <w:r w:rsidR="00C9319D" w:rsidRPr="00A10A63">
        <w:rPr>
          <w:szCs w:val="22"/>
        </w:rPr>
        <w:t>%</w:t>
      </w:r>
      <w:r w:rsidRPr="00A10A63">
        <w:rPr>
          <w:szCs w:val="22"/>
        </w:rPr>
        <w:t xml:space="preserve"> of the</w:t>
      </w:r>
      <w:r w:rsidR="005E4A63">
        <w:rPr>
          <w:szCs w:val="22"/>
        </w:rPr>
        <w:t xml:space="preserve"> bank of working refrigerants</w:t>
      </w:r>
      <w:r w:rsidRPr="00294756">
        <w:rPr>
          <w:szCs w:val="22"/>
        </w:rPr>
        <w:t xml:space="preserve"> in Australia (</w:t>
      </w:r>
      <w:r w:rsidRPr="00294756">
        <w:rPr>
          <w:i/>
          <w:szCs w:val="22"/>
        </w:rPr>
        <w:t>CHF2, 21%</w:t>
      </w:r>
      <w:r w:rsidRPr="00294756">
        <w:rPr>
          <w:szCs w:val="22"/>
        </w:rPr>
        <w:t>), or around 1</w:t>
      </w:r>
      <w:r w:rsidR="00A10A63">
        <w:rPr>
          <w:szCs w:val="22"/>
        </w:rPr>
        <w:t>0</w:t>
      </w:r>
      <w:r w:rsidRPr="00294756">
        <w:rPr>
          <w:szCs w:val="22"/>
        </w:rPr>
        <w:t>,</w:t>
      </w:r>
      <w:r w:rsidR="00A10A63">
        <w:rPr>
          <w:szCs w:val="22"/>
        </w:rPr>
        <w:t>8</w:t>
      </w:r>
      <w:r w:rsidRPr="00294756">
        <w:rPr>
          <w:szCs w:val="22"/>
        </w:rPr>
        <w:t>00</w:t>
      </w:r>
      <w:r w:rsidR="00A10A63">
        <w:rPr>
          <w:szCs w:val="22"/>
        </w:rPr>
        <w:t xml:space="preserve"> actual and 11,400</w:t>
      </w:r>
      <w:r w:rsidRPr="00294756">
        <w:rPr>
          <w:szCs w:val="22"/>
        </w:rPr>
        <w:t xml:space="preserve"> </w:t>
      </w:r>
      <w:r w:rsidR="005E4A63">
        <w:rPr>
          <w:szCs w:val="22"/>
        </w:rPr>
        <w:t>equivale</w:t>
      </w:r>
      <w:r w:rsidR="00A10A63">
        <w:rPr>
          <w:szCs w:val="22"/>
        </w:rPr>
        <w:t xml:space="preserve">nt </w:t>
      </w:r>
      <w:r w:rsidRPr="005E4A63">
        <w:rPr>
          <w:szCs w:val="22"/>
        </w:rPr>
        <w:t>tonnes (</w:t>
      </w:r>
      <w:r w:rsidR="001238E1" w:rsidRPr="001760A4">
        <w:rPr>
          <w:i/>
          <w:szCs w:val="22"/>
        </w:rPr>
        <w:t>201</w:t>
      </w:r>
      <w:r w:rsidRPr="001760A4">
        <w:rPr>
          <w:i/>
          <w:szCs w:val="22"/>
        </w:rPr>
        <w:t xml:space="preserve">2, </w:t>
      </w:r>
      <w:r w:rsidR="001238E1" w:rsidRPr="001760A4">
        <w:rPr>
          <w:i/>
          <w:szCs w:val="22"/>
        </w:rPr>
        <w:t>1</w:t>
      </w:r>
      <w:r w:rsidR="00A10A63" w:rsidRPr="001760A4">
        <w:rPr>
          <w:i/>
          <w:szCs w:val="22"/>
        </w:rPr>
        <w:t>0</w:t>
      </w:r>
      <w:r w:rsidR="001238E1" w:rsidRPr="001760A4">
        <w:rPr>
          <w:i/>
          <w:szCs w:val="22"/>
        </w:rPr>
        <w:t>,</w:t>
      </w:r>
      <w:r w:rsidR="00FD71FA">
        <w:rPr>
          <w:i/>
          <w:szCs w:val="22"/>
        </w:rPr>
        <w:t>600 actual and 11,13</w:t>
      </w:r>
      <w:r w:rsidR="005E4A63">
        <w:rPr>
          <w:i/>
          <w:szCs w:val="22"/>
        </w:rPr>
        <w:t>0 equivale</w:t>
      </w:r>
      <w:r w:rsidR="00A10A63" w:rsidRPr="001760A4">
        <w:rPr>
          <w:i/>
          <w:szCs w:val="22"/>
        </w:rPr>
        <w:t>nt tonnes</w:t>
      </w:r>
      <w:r w:rsidRPr="001760A4">
        <w:rPr>
          <w:rStyle w:val="FootnoteReference"/>
          <w:i/>
          <w:szCs w:val="22"/>
        </w:rPr>
        <w:footnoteReference w:id="18"/>
      </w:r>
      <w:r w:rsidR="009702EF">
        <w:rPr>
          <w:szCs w:val="22"/>
        </w:rPr>
        <w:t>)</w:t>
      </w:r>
      <w:r w:rsidRPr="001760A4">
        <w:rPr>
          <w:szCs w:val="22"/>
        </w:rPr>
        <w:t xml:space="preserve"> in more than</w:t>
      </w:r>
      <w:r w:rsidRPr="00294756">
        <w:rPr>
          <w:szCs w:val="22"/>
        </w:rPr>
        <w:t xml:space="preserve"> 18 million vehicles of all sorts (</w:t>
      </w:r>
      <w:r w:rsidRPr="00294756">
        <w:rPr>
          <w:i/>
          <w:szCs w:val="22"/>
        </w:rPr>
        <w:t>CHF2, 16 million</w:t>
      </w:r>
      <w:r w:rsidRPr="00294756">
        <w:rPr>
          <w:szCs w:val="22"/>
        </w:rPr>
        <w:t xml:space="preserve">). </w:t>
      </w:r>
    </w:p>
    <w:bookmarkEnd w:id="23"/>
    <w:p w14:paraId="5E01EC13" w14:textId="306F90D3" w:rsidR="001B2302" w:rsidRDefault="001B2302" w:rsidP="001B2302">
      <w:pPr>
        <w:rPr>
          <w:szCs w:val="22"/>
        </w:rPr>
      </w:pPr>
      <w:r>
        <w:rPr>
          <w:szCs w:val="22"/>
        </w:rPr>
        <w:t xml:space="preserve">The </w:t>
      </w:r>
      <w:r w:rsidR="00C45435">
        <w:rPr>
          <w:szCs w:val="22"/>
        </w:rPr>
        <w:t>RAC Stock model</w:t>
      </w:r>
      <w:r>
        <w:rPr>
          <w:szCs w:val="22"/>
        </w:rPr>
        <w:t xml:space="preserve"> for CHF3 has simplified this class, reducing the previously four segments to just two, </w:t>
      </w:r>
      <w:r w:rsidR="009702EF">
        <w:rPr>
          <w:szCs w:val="22"/>
        </w:rPr>
        <w:t>s</w:t>
      </w:r>
      <w:r>
        <w:rPr>
          <w:szCs w:val="22"/>
        </w:rPr>
        <w:t xml:space="preserve">mall MAC and </w:t>
      </w:r>
      <w:r w:rsidR="009702EF">
        <w:rPr>
          <w:szCs w:val="22"/>
        </w:rPr>
        <w:t>l</w:t>
      </w:r>
      <w:r>
        <w:rPr>
          <w:szCs w:val="22"/>
        </w:rPr>
        <w:t xml:space="preserve">arge MAC. There </w:t>
      </w:r>
      <w:r w:rsidR="004D1E03">
        <w:rPr>
          <w:szCs w:val="22"/>
        </w:rPr>
        <w:t xml:space="preserve">have </w:t>
      </w:r>
      <w:r>
        <w:rPr>
          <w:szCs w:val="22"/>
        </w:rPr>
        <w:t xml:space="preserve">also been three </w:t>
      </w:r>
      <w:r w:rsidR="009702EF">
        <w:rPr>
          <w:szCs w:val="22"/>
        </w:rPr>
        <w:t>p</w:t>
      </w:r>
      <w:r>
        <w:rPr>
          <w:szCs w:val="22"/>
        </w:rPr>
        <w:t xml:space="preserve">roduct </w:t>
      </w:r>
      <w:r w:rsidR="009702EF">
        <w:rPr>
          <w:szCs w:val="22"/>
        </w:rPr>
        <w:t>c</w:t>
      </w:r>
      <w:r>
        <w:rPr>
          <w:szCs w:val="22"/>
        </w:rPr>
        <w:t xml:space="preserve">ategories added to this </w:t>
      </w:r>
      <w:r w:rsidR="009702EF">
        <w:rPr>
          <w:szCs w:val="22"/>
        </w:rPr>
        <w:t>c</w:t>
      </w:r>
      <w:r>
        <w:rPr>
          <w:szCs w:val="22"/>
        </w:rPr>
        <w:t xml:space="preserve">lass, buses &gt;7 </w:t>
      </w:r>
      <w:r w:rsidR="00FE74F2">
        <w:rPr>
          <w:szCs w:val="22"/>
        </w:rPr>
        <w:t>metres</w:t>
      </w:r>
      <w:r>
        <w:rPr>
          <w:szCs w:val="22"/>
        </w:rPr>
        <w:t xml:space="preserve"> has been dissected into two categories (MAC2-1 and MAC2-2) based on </w:t>
      </w:r>
      <w:r w:rsidR="005646D1">
        <w:rPr>
          <w:szCs w:val="22"/>
        </w:rPr>
        <w:t>g</w:t>
      </w:r>
      <w:r>
        <w:rPr>
          <w:szCs w:val="22"/>
        </w:rPr>
        <w:t xml:space="preserve">ross </w:t>
      </w:r>
      <w:r w:rsidR="005646D1">
        <w:rPr>
          <w:szCs w:val="22"/>
        </w:rPr>
        <w:t>v</w:t>
      </w:r>
      <w:r>
        <w:rPr>
          <w:szCs w:val="22"/>
        </w:rPr>
        <w:t xml:space="preserve">ehicle </w:t>
      </w:r>
      <w:r w:rsidR="005646D1">
        <w:rPr>
          <w:szCs w:val="22"/>
        </w:rPr>
        <w:t>m</w:t>
      </w:r>
      <w:r>
        <w:rPr>
          <w:szCs w:val="22"/>
        </w:rPr>
        <w:t>ass (GVM) of less than or greater than 12 GVM to align with ABS registration data; MAC2-5, ‘Vehicles: RV and caravan’, to allow higher resolution tracking of a rapidly growing pool of registered recreational vehicles and caravans, and MAC2-7, ‘Register</w:t>
      </w:r>
      <w:r w:rsidR="005E4A63">
        <w:rPr>
          <w:szCs w:val="22"/>
        </w:rPr>
        <w:t xml:space="preserve">ed marine vessels and pleasure </w:t>
      </w:r>
      <w:r>
        <w:rPr>
          <w:szCs w:val="22"/>
        </w:rPr>
        <w:t>craft’.</w:t>
      </w:r>
    </w:p>
    <w:p w14:paraId="4EC39571" w14:textId="77777777" w:rsidR="009702EF" w:rsidRDefault="009702EF" w:rsidP="001B2302">
      <w:pPr>
        <w:rPr>
          <w:szCs w:val="22"/>
        </w:rPr>
      </w:pPr>
    </w:p>
    <w:p w14:paraId="5C0286D8" w14:textId="523B587C" w:rsidR="001B2302" w:rsidRPr="002B2235" w:rsidRDefault="002B2235" w:rsidP="002B2235">
      <w:pPr>
        <w:pStyle w:val="Caption"/>
        <w:rPr>
          <w:szCs w:val="22"/>
        </w:rPr>
      </w:pPr>
      <w:bookmarkStart w:id="24" w:name="_Toc494118079"/>
      <w:bookmarkStart w:id="25" w:name="_Toc525141396"/>
      <w:r w:rsidRPr="002B2235">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7</w:t>
      </w:r>
      <w:r w:rsidR="009D6843">
        <w:rPr>
          <w:noProof/>
        </w:rPr>
        <w:fldChar w:fldCharType="end"/>
      </w:r>
      <w:r w:rsidRPr="002B2235">
        <w:t xml:space="preserve">: </w:t>
      </w:r>
      <w:r w:rsidR="001B2302" w:rsidRPr="002B2235">
        <w:rPr>
          <w:szCs w:val="22"/>
        </w:rPr>
        <w:t>Mobile air conditioning taxonomy</w:t>
      </w:r>
      <w:bookmarkEnd w:id="24"/>
      <w:r w:rsidR="001B2302" w:rsidRPr="002B2235">
        <w:rPr>
          <w:szCs w:val="22"/>
        </w:rPr>
        <w:t>.</w:t>
      </w:r>
      <w:bookmarkEnd w:id="25"/>
    </w:p>
    <w:tbl>
      <w:tblPr>
        <w:tblStyle w:val="TableGrid"/>
        <w:tblW w:w="0" w:type="auto"/>
        <w:tblInd w:w="-5" w:type="dxa"/>
        <w:tblLook w:val="04A0" w:firstRow="1" w:lastRow="0" w:firstColumn="1" w:lastColumn="0" w:noHBand="0" w:noVBand="1"/>
      </w:tblPr>
      <w:tblGrid>
        <w:gridCol w:w="974"/>
        <w:gridCol w:w="1408"/>
        <w:gridCol w:w="2983"/>
        <w:gridCol w:w="1250"/>
        <w:gridCol w:w="2877"/>
      </w:tblGrid>
      <w:tr w:rsidR="009B28CD" w14:paraId="5C036FDE" w14:textId="77777777" w:rsidTr="00AA45F7">
        <w:trPr>
          <w:trHeight w:val="680"/>
          <w:tblHeader/>
        </w:trPr>
        <w:tc>
          <w:tcPr>
            <w:tcW w:w="9492" w:type="dxa"/>
            <w:gridSpan w:val="5"/>
            <w:shd w:val="clear" w:color="auto" w:fill="B6DDE8" w:themeFill="accent5" w:themeFillTint="66"/>
            <w:vAlign w:val="center"/>
          </w:tcPr>
          <w:p w14:paraId="6D1BBBE0" w14:textId="7F4EB0F2" w:rsidR="009B28CD" w:rsidRPr="00B137CC" w:rsidRDefault="000407D6" w:rsidP="000407D6">
            <w:pPr>
              <w:spacing w:after="120"/>
              <w:jc w:val="center"/>
              <w:rPr>
                <w:color w:val="000000" w:themeColor="text1"/>
              </w:rPr>
            </w:pPr>
            <w:r>
              <w:rPr>
                <w:color w:val="000000" w:themeColor="text1"/>
              </w:rPr>
              <w:t>MOBILE</w:t>
            </w:r>
            <w:r w:rsidR="009B28CD" w:rsidRPr="00B137CC">
              <w:rPr>
                <w:color w:val="000000" w:themeColor="text1"/>
              </w:rPr>
              <w:t xml:space="preserve"> AIR CONDITIONING</w:t>
            </w:r>
          </w:p>
        </w:tc>
      </w:tr>
      <w:tr w:rsidR="009B28CD" w14:paraId="74B9DE24" w14:textId="77777777" w:rsidTr="00AA45F7">
        <w:trPr>
          <w:tblHeader/>
        </w:trPr>
        <w:tc>
          <w:tcPr>
            <w:tcW w:w="974" w:type="dxa"/>
            <w:shd w:val="clear" w:color="auto" w:fill="B6DDE8" w:themeFill="accent5" w:themeFillTint="66"/>
            <w:vAlign w:val="center"/>
          </w:tcPr>
          <w:p w14:paraId="0AE77C48" w14:textId="77777777" w:rsidR="009B28CD" w:rsidRPr="00B137CC" w:rsidRDefault="009B28CD" w:rsidP="00014D67">
            <w:pPr>
              <w:spacing w:before="60" w:after="60"/>
              <w:jc w:val="center"/>
              <w:rPr>
                <w:color w:val="000000" w:themeColor="text1"/>
              </w:rPr>
            </w:pPr>
            <w:r w:rsidRPr="00B137CC">
              <w:rPr>
                <w:color w:val="000000" w:themeColor="text1"/>
              </w:rPr>
              <w:t>Item no</w:t>
            </w:r>
          </w:p>
        </w:tc>
        <w:tc>
          <w:tcPr>
            <w:tcW w:w="1408" w:type="dxa"/>
            <w:shd w:val="clear" w:color="auto" w:fill="B6DDE8" w:themeFill="accent5" w:themeFillTint="66"/>
            <w:vAlign w:val="center"/>
          </w:tcPr>
          <w:p w14:paraId="6D978775" w14:textId="77777777" w:rsidR="009B28CD" w:rsidRPr="00B137CC" w:rsidRDefault="009B28CD" w:rsidP="00014D67">
            <w:pPr>
              <w:spacing w:before="60" w:after="60"/>
              <w:jc w:val="center"/>
              <w:rPr>
                <w:color w:val="000000" w:themeColor="text1"/>
              </w:rPr>
            </w:pPr>
            <w:r w:rsidRPr="00B137CC">
              <w:rPr>
                <w:color w:val="000000" w:themeColor="text1"/>
              </w:rPr>
              <w:t>Segment</w:t>
            </w:r>
          </w:p>
        </w:tc>
        <w:tc>
          <w:tcPr>
            <w:tcW w:w="2983" w:type="dxa"/>
            <w:shd w:val="clear" w:color="auto" w:fill="B6DDE8" w:themeFill="accent5" w:themeFillTint="66"/>
            <w:vAlign w:val="center"/>
          </w:tcPr>
          <w:p w14:paraId="69348146" w14:textId="77777777" w:rsidR="009B28CD" w:rsidRPr="00B137CC" w:rsidRDefault="009B28CD" w:rsidP="00014D67">
            <w:pPr>
              <w:spacing w:before="60" w:after="60"/>
              <w:rPr>
                <w:color w:val="000000" w:themeColor="text1"/>
              </w:rPr>
            </w:pPr>
            <w:r w:rsidRPr="00B137CC">
              <w:rPr>
                <w:color w:val="000000" w:themeColor="text1"/>
              </w:rPr>
              <w:t>Application</w:t>
            </w:r>
          </w:p>
        </w:tc>
        <w:tc>
          <w:tcPr>
            <w:tcW w:w="1250" w:type="dxa"/>
            <w:shd w:val="clear" w:color="auto" w:fill="B6DDE8" w:themeFill="accent5" w:themeFillTint="66"/>
            <w:vAlign w:val="center"/>
          </w:tcPr>
          <w:p w14:paraId="1E503851" w14:textId="05B19CF7" w:rsidR="009B28CD" w:rsidRPr="00B137CC" w:rsidRDefault="00F863A5" w:rsidP="00014D67">
            <w:pPr>
              <w:spacing w:before="60" w:after="60"/>
              <w:jc w:val="center"/>
              <w:rPr>
                <w:color w:val="000000" w:themeColor="text1"/>
              </w:rPr>
            </w:pPr>
            <w:r>
              <w:rPr>
                <w:color w:val="000000" w:themeColor="text1"/>
              </w:rPr>
              <w:t>Category c</w:t>
            </w:r>
            <w:r w:rsidR="009B28CD" w:rsidRPr="00B137CC">
              <w:rPr>
                <w:color w:val="000000" w:themeColor="text1"/>
              </w:rPr>
              <w:t>ode</w:t>
            </w:r>
          </w:p>
        </w:tc>
        <w:tc>
          <w:tcPr>
            <w:tcW w:w="2877" w:type="dxa"/>
            <w:shd w:val="clear" w:color="auto" w:fill="B6DDE8" w:themeFill="accent5" w:themeFillTint="66"/>
            <w:vAlign w:val="center"/>
          </w:tcPr>
          <w:p w14:paraId="068D45C2" w14:textId="77777777" w:rsidR="009B28CD" w:rsidRPr="00B137CC" w:rsidRDefault="009B28CD" w:rsidP="00014D67">
            <w:pPr>
              <w:spacing w:before="60" w:after="60"/>
              <w:rPr>
                <w:color w:val="000000" w:themeColor="text1"/>
              </w:rPr>
            </w:pPr>
            <w:r w:rsidRPr="00B137CC">
              <w:rPr>
                <w:color w:val="000000" w:themeColor="text1"/>
              </w:rPr>
              <w:t>Product category</w:t>
            </w:r>
          </w:p>
        </w:tc>
      </w:tr>
      <w:tr w:rsidR="007847A4" w14:paraId="626D03A3" w14:textId="77777777" w:rsidTr="00D8549E">
        <w:trPr>
          <w:cantSplit/>
          <w:trHeight w:val="624"/>
        </w:trPr>
        <w:tc>
          <w:tcPr>
            <w:tcW w:w="974" w:type="dxa"/>
            <w:vAlign w:val="center"/>
          </w:tcPr>
          <w:p w14:paraId="198C13E6" w14:textId="5870D141" w:rsidR="007847A4" w:rsidRPr="00B137CC" w:rsidRDefault="007847A4" w:rsidP="007847A4">
            <w:pPr>
              <w:spacing w:before="60" w:after="60"/>
              <w:jc w:val="center"/>
            </w:pPr>
            <w:r>
              <w:rPr>
                <w:color w:val="000000"/>
                <w:szCs w:val="22"/>
              </w:rPr>
              <w:t>19</w:t>
            </w:r>
          </w:p>
        </w:tc>
        <w:tc>
          <w:tcPr>
            <w:tcW w:w="1408" w:type="dxa"/>
            <w:vMerge w:val="restart"/>
            <w:textDirection w:val="btLr"/>
            <w:vAlign w:val="center"/>
          </w:tcPr>
          <w:p w14:paraId="2DE42C1B" w14:textId="1F83CE86" w:rsidR="007847A4" w:rsidRPr="00B137CC" w:rsidRDefault="007847A4" w:rsidP="007847A4">
            <w:pPr>
              <w:spacing w:before="60" w:after="60"/>
              <w:jc w:val="center"/>
            </w:pPr>
            <w:r>
              <w:rPr>
                <w:color w:val="000000"/>
                <w:szCs w:val="22"/>
              </w:rPr>
              <w:t>MAC1: Small Mobile AC</w:t>
            </w:r>
          </w:p>
        </w:tc>
        <w:tc>
          <w:tcPr>
            <w:tcW w:w="2983" w:type="dxa"/>
            <w:vAlign w:val="center"/>
          </w:tcPr>
          <w:p w14:paraId="257CE193" w14:textId="20A3A3D3" w:rsidR="007847A4" w:rsidRPr="00B137CC" w:rsidRDefault="007847A4" w:rsidP="007847A4">
            <w:pPr>
              <w:spacing w:before="60" w:after="60"/>
            </w:pPr>
            <w:r>
              <w:rPr>
                <w:color w:val="000000"/>
                <w:szCs w:val="22"/>
              </w:rPr>
              <w:t>Registered vehicles &lt;3.5t GVM</w:t>
            </w:r>
          </w:p>
        </w:tc>
        <w:tc>
          <w:tcPr>
            <w:tcW w:w="1250" w:type="dxa"/>
            <w:vAlign w:val="center"/>
          </w:tcPr>
          <w:p w14:paraId="42E68F1B" w14:textId="00E238EB" w:rsidR="007847A4" w:rsidRPr="00B137CC" w:rsidRDefault="007847A4" w:rsidP="007847A4">
            <w:pPr>
              <w:spacing w:before="60" w:after="60"/>
              <w:jc w:val="center"/>
            </w:pPr>
            <w:r>
              <w:rPr>
                <w:color w:val="000000"/>
                <w:szCs w:val="22"/>
              </w:rPr>
              <w:t>MAC1-1</w:t>
            </w:r>
          </w:p>
        </w:tc>
        <w:tc>
          <w:tcPr>
            <w:tcW w:w="2877" w:type="dxa"/>
            <w:vAlign w:val="center"/>
          </w:tcPr>
          <w:p w14:paraId="220CDC52" w14:textId="42614575" w:rsidR="007847A4" w:rsidRPr="00B137CC" w:rsidRDefault="007847A4" w:rsidP="007847A4">
            <w:pPr>
              <w:spacing w:before="60" w:after="60"/>
            </w:pPr>
            <w:r>
              <w:rPr>
                <w:color w:val="000000"/>
                <w:szCs w:val="22"/>
              </w:rPr>
              <w:t>Passenger vehicles</w:t>
            </w:r>
          </w:p>
        </w:tc>
      </w:tr>
      <w:tr w:rsidR="007847A4" w14:paraId="2D80B747" w14:textId="77777777" w:rsidTr="00D8549E">
        <w:trPr>
          <w:cantSplit/>
          <w:trHeight w:val="624"/>
        </w:trPr>
        <w:tc>
          <w:tcPr>
            <w:tcW w:w="974" w:type="dxa"/>
            <w:vAlign w:val="center"/>
          </w:tcPr>
          <w:p w14:paraId="1AD22785" w14:textId="7A559D01" w:rsidR="007847A4" w:rsidRPr="00B137CC" w:rsidRDefault="007847A4" w:rsidP="007847A4">
            <w:pPr>
              <w:spacing w:before="60" w:after="60"/>
              <w:jc w:val="center"/>
              <w:rPr>
                <w:color w:val="000000"/>
              </w:rPr>
            </w:pPr>
            <w:r>
              <w:rPr>
                <w:color w:val="000000"/>
                <w:szCs w:val="22"/>
              </w:rPr>
              <w:t>20</w:t>
            </w:r>
          </w:p>
        </w:tc>
        <w:tc>
          <w:tcPr>
            <w:tcW w:w="1408" w:type="dxa"/>
            <w:vMerge/>
            <w:vAlign w:val="center"/>
          </w:tcPr>
          <w:p w14:paraId="0B42C6E0" w14:textId="77777777" w:rsidR="007847A4" w:rsidRPr="00B137CC" w:rsidRDefault="007847A4" w:rsidP="007847A4">
            <w:pPr>
              <w:spacing w:before="60" w:after="60"/>
              <w:jc w:val="center"/>
            </w:pPr>
          </w:p>
        </w:tc>
        <w:tc>
          <w:tcPr>
            <w:tcW w:w="2983" w:type="dxa"/>
            <w:vAlign w:val="center"/>
          </w:tcPr>
          <w:p w14:paraId="1BD443A3" w14:textId="40D09F3B" w:rsidR="007847A4" w:rsidRPr="00B137CC" w:rsidRDefault="007847A4" w:rsidP="007847A4">
            <w:pPr>
              <w:spacing w:before="60" w:after="60"/>
              <w:rPr>
                <w:color w:val="000000"/>
              </w:rPr>
            </w:pPr>
            <w:r>
              <w:rPr>
                <w:color w:val="000000"/>
                <w:szCs w:val="22"/>
              </w:rPr>
              <w:t>Registered vehicles &lt;3.5t GVM</w:t>
            </w:r>
          </w:p>
        </w:tc>
        <w:tc>
          <w:tcPr>
            <w:tcW w:w="1250" w:type="dxa"/>
            <w:vAlign w:val="center"/>
          </w:tcPr>
          <w:p w14:paraId="393389E6" w14:textId="01AE4C5E" w:rsidR="007847A4" w:rsidRPr="00B137CC" w:rsidRDefault="007847A4" w:rsidP="007847A4">
            <w:pPr>
              <w:spacing w:before="60" w:after="60"/>
              <w:jc w:val="center"/>
              <w:rPr>
                <w:color w:val="000000"/>
              </w:rPr>
            </w:pPr>
            <w:r>
              <w:rPr>
                <w:color w:val="000000"/>
                <w:szCs w:val="22"/>
              </w:rPr>
              <w:t>MAC1-2</w:t>
            </w:r>
          </w:p>
        </w:tc>
        <w:tc>
          <w:tcPr>
            <w:tcW w:w="2877" w:type="dxa"/>
            <w:vAlign w:val="center"/>
          </w:tcPr>
          <w:p w14:paraId="093E138D" w14:textId="28B27F8F" w:rsidR="007847A4" w:rsidRPr="00B137CC" w:rsidRDefault="007847A4" w:rsidP="007847A4">
            <w:pPr>
              <w:spacing w:before="60" w:after="60"/>
              <w:rPr>
                <w:color w:val="000000"/>
              </w:rPr>
            </w:pPr>
            <w:r>
              <w:rPr>
                <w:color w:val="000000"/>
                <w:szCs w:val="22"/>
              </w:rPr>
              <w:t>Light commercial vehicles</w:t>
            </w:r>
          </w:p>
        </w:tc>
      </w:tr>
      <w:tr w:rsidR="007847A4" w14:paraId="6B423AED" w14:textId="77777777" w:rsidTr="00D8549E">
        <w:trPr>
          <w:cantSplit/>
          <w:trHeight w:val="624"/>
        </w:trPr>
        <w:tc>
          <w:tcPr>
            <w:tcW w:w="974" w:type="dxa"/>
            <w:vAlign w:val="center"/>
          </w:tcPr>
          <w:p w14:paraId="397D0D98" w14:textId="446D04ED" w:rsidR="007847A4" w:rsidRPr="00B137CC" w:rsidRDefault="007847A4" w:rsidP="007847A4">
            <w:pPr>
              <w:spacing w:before="60" w:after="60"/>
              <w:jc w:val="center"/>
              <w:rPr>
                <w:color w:val="000000"/>
              </w:rPr>
            </w:pPr>
            <w:r>
              <w:rPr>
                <w:color w:val="000000"/>
                <w:szCs w:val="22"/>
              </w:rPr>
              <w:t>21</w:t>
            </w:r>
          </w:p>
        </w:tc>
        <w:tc>
          <w:tcPr>
            <w:tcW w:w="1408" w:type="dxa"/>
            <w:vMerge/>
            <w:vAlign w:val="center"/>
          </w:tcPr>
          <w:p w14:paraId="0D7F50EC" w14:textId="77777777" w:rsidR="007847A4" w:rsidRPr="00B137CC" w:rsidRDefault="007847A4" w:rsidP="007847A4">
            <w:pPr>
              <w:spacing w:before="60" w:after="60"/>
              <w:jc w:val="center"/>
            </w:pPr>
          </w:p>
        </w:tc>
        <w:tc>
          <w:tcPr>
            <w:tcW w:w="2983" w:type="dxa"/>
            <w:vAlign w:val="center"/>
          </w:tcPr>
          <w:p w14:paraId="685012E6" w14:textId="1E798283" w:rsidR="007847A4" w:rsidRPr="00B137CC" w:rsidRDefault="007847A4" w:rsidP="007847A4">
            <w:pPr>
              <w:spacing w:before="60" w:after="60"/>
              <w:rPr>
                <w:color w:val="000000"/>
              </w:rPr>
            </w:pPr>
            <w:r>
              <w:rPr>
                <w:color w:val="000000"/>
                <w:szCs w:val="22"/>
              </w:rPr>
              <w:t>Registered vehicles &lt;3.5t GVM</w:t>
            </w:r>
          </w:p>
        </w:tc>
        <w:tc>
          <w:tcPr>
            <w:tcW w:w="1250" w:type="dxa"/>
            <w:vAlign w:val="center"/>
          </w:tcPr>
          <w:p w14:paraId="62F1DEFD" w14:textId="16B46015" w:rsidR="007847A4" w:rsidRPr="00B137CC" w:rsidRDefault="007847A4" w:rsidP="007847A4">
            <w:pPr>
              <w:spacing w:before="60" w:after="60"/>
              <w:jc w:val="center"/>
              <w:rPr>
                <w:color w:val="000000"/>
              </w:rPr>
            </w:pPr>
            <w:r>
              <w:rPr>
                <w:color w:val="000000"/>
                <w:szCs w:val="22"/>
              </w:rPr>
              <w:t>MAC1-3</w:t>
            </w:r>
          </w:p>
        </w:tc>
        <w:tc>
          <w:tcPr>
            <w:tcW w:w="2877" w:type="dxa"/>
            <w:vAlign w:val="center"/>
          </w:tcPr>
          <w:p w14:paraId="74047D27" w14:textId="62D4538F" w:rsidR="007847A4" w:rsidRPr="00B137CC" w:rsidRDefault="007847A4" w:rsidP="007847A4">
            <w:pPr>
              <w:spacing w:before="60" w:after="60"/>
              <w:rPr>
                <w:color w:val="000000"/>
              </w:rPr>
            </w:pPr>
            <w:r>
              <w:rPr>
                <w:color w:val="000000"/>
                <w:szCs w:val="22"/>
              </w:rPr>
              <w:t>Rigid truck and other</w:t>
            </w:r>
          </w:p>
        </w:tc>
      </w:tr>
      <w:tr w:rsidR="007847A4" w14:paraId="362B034B" w14:textId="77777777" w:rsidTr="00D8549E">
        <w:trPr>
          <w:cantSplit/>
          <w:trHeight w:val="624"/>
        </w:trPr>
        <w:tc>
          <w:tcPr>
            <w:tcW w:w="974" w:type="dxa"/>
            <w:vAlign w:val="center"/>
          </w:tcPr>
          <w:p w14:paraId="4A7AC643" w14:textId="5CF70085" w:rsidR="007847A4" w:rsidRPr="00B137CC" w:rsidRDefault="007847A4" w:rsidP="007847A4">
            <w:pPr>
              <w:spacing w:before="60" w:after="60"/>
              <w:jc w:val="center"/>
              <w:rPr>
                <w:color w:val="000000"/>
              </w:rPr>
            </w:pPr>
            <w:r>
              <w:rPr>
                <w:color w:val="000000"/>
                <w:szCs w:val="22"/>
              </w:rPr>
              <w:t>22</w:t>
            </w:r>
          </w:p>
        </w:tc>
        <w:tc>
          <w:tcPr>
            <w:tcW w:w="1408" w:type="dxa"/>
            <w:vMerge/>
            <w:vAlign w:val="center"/>
          </w:tcPr>
          <w:p w14:paraId="6314DE2A" w14:textId="77777777" w:rsidR="007847A4" w:rsidRPr="00B137CC" w:rsidRDefault="007847A4" w:rsidP="007847A4">
            <w:pPr>
              <w:spacing w:before="60" w:after="60"/>
              <w:jc w:val="center"/>
            </w:pPr>
          </w:p>
        </w:tc>
        <w:tc>
          <w:tcPr>
            <w:tcW w:w="2983" w:type="dxa"/>
            <w:vAlign w:val="center"/>
          </w:tcPr>
          <w:p w14:paraId="329BEBB1" w14:textId="36909A88" w:rsidR="007847A4" w:rsidRPr="00B137CC" w:rsidRDefault="007847A4" w:rsidP="007847A4">
            <w:pPr>
              <w:spacing w:before="60" w:after="60"/>
              <w:rPr>
                <w:color w:val="000000"/>
              </w:rPr>
            </w:pPr>
            <w:r>
              <w:rPr>
                <w:color w:val="000000"/>
                <w:szCs w:val="22"/>
              </w:rPr>
              <w:t>Registered vehicles ≥3.5t GVM</w:t>
            </w:r>
          </w:p>
        </w:tc>
        <w:tc>
          <w:tcPr>
            <w:tcW w:w="1250" w:type="dxa"/>
            <w:vAlign w:val="center"/>
          </w:tcPr>
          <w:p w14:paraId="22ADB780" w14:textId="20D6D1DE" w:rsidR="007847A4" w:rsidRPr="00B137CC" w:rsidRDefault="007847A4" w:rsidP="007847A4">
            <w:pPr>
              <w:spacing w:before="60" w:after="60"/>
              <w:jc w:val="center"/>
              <w:rPr>
                <w:color w:val="000000"/>
              </w:rPr>
            </w:pPr>
            <w:r>
              <w:rPr>
                <w:color w:val="000000"/>
                <w:szCs w:val="22"/>
              </w:rPr>
              <w:t>MAC1-4</w:t>
            </w:r>
          </w:p>
        </w:tc>
        <w:tc>
          <w:tcPr>
            <w:tcW w:w="2877" w:type="dxa"/>
            <w:vAlign w:val="center"/>
          </w:tcPr>
          <w:p w14:paraId="7D6566F0" w14:textId="06968126" w:rsidR="007847A4" w:rsidRPr="00B137CC" w:rsidRDefault="007847A4" w:rsidP="007847A4">
            <w:pPr>
              <w:spacing w:before="60" w:after="60"/>
              <w:rPr>
                <w:color w:val="000000"/>
              </w:rPr>
            </w:pPr>
            <w:r>
              <w:rPr>
                <w:color w:val="000000"/>
                <w:szCs w:val="22"/>
              </w:rPr>
              <w:t>Truck: articulated</w:t>
            </w:r>
          </w:p>
        </w:tc>
      </w:tr>
      <w:tr w:rsidR="007847A4" w14:paraId="446910EB" w14:textId="77777777" w:rsidTr="0094323D">
        <w:trPr>
          <w:cantSplit/>
          <w:trHeight w:val="624"/>
        </w:trPr>
        <w:tc>
          <w:tcPr>
            <w:tcW w:w="974" w:type="dxa"/>
            <w:vAlign w:val="center"/>
          </w:tcPr>
          <w:p w14:paraId="0B3179DB" w14:textId="2E1E86BF" w:rsidR="007847A4" w:rsidRPr="00B137CC" w:rsidRDefault="007847A4" w:rsidP="007847A4">
            <w:pPr>
              <w:spacing w:before="60" w:after="60"/>
              <w:jc w:val="center"/>
            </w:pPr>
            <w:r>
              <w:rPr>
                <w:color w:val="000000"/>
                <w:szCs w:val="22"/>
              </w:rPr>
              <w:t>23</w:t>
            </w:r>
          </w:p>
        </w:tc>
        <w:tc>
          <w:tcPr>
            <w:tcW w:w="1408" w:type="dxa"/>
            <w:vMerge/>
            <w:vAlign w:val="center"/>
          </w:tcPr>
          <w:p w14:paraId="041C80C8" w14:textId="77777777" w:rsidR="007847A4" w:rsidRPr="00B137CC" w:rsidRDefault="007847A4" w:rsidP="007847A4">
            <w:pPr>
              <w:spacing w:before="60" w:after="60"/>
              <w:jc w:val="center"/>
            </w:pPr>
          </w:p>
        </w:tc>
        <w:tc>
          <w:tcPr>
            <w:tcW w:w="2983" w:type="dxa"/>
            <w:tcBorders>
              <w:bottom w:val="single" w:sz="4" w:space="0" w:color="000000"/>
            </w:tcBorders>
            <w:vAlign w:val="center"/>
          </w:tcPr>
          <w:p w14:paraId="5485314D" w14:textId="64851D0F" w:rsidR="007847A4" w:rsidRPr="00B137CC" w:rsidRDefault="007847A4" w:rsidP="007847A4">
            <w:pPr>
              <w:spacing w:before="60" w:after="60"/>
            </w:pPr>
            <w:r>
              <w:rPr>
                <w:color w:val="000000"/>
                <w:szCs w:val="22"/>
              </w:rPr>
              <w:t>Registered vehicles ≥3.5t GVM</w:t>
            </w:r>
          </w:p>
        </w:tc>
        <w:tc>
          <w:tcPr>
            <w:tcW w:w="1250" w:type="dxa"/>
            <w:tcBorders>
              <w:bottom w:val="single" w:sz="4" w:space="0" w:color="000000"/>
            </w:tcBorders>
            <w:vAlign w:val="center"/>
          </w:tcPr>
          <w:p w14:paraId="14C13D1A" w14:textId="6C3E00BC" w:rsidR="007847A4" w:rsidRPr="00B137CC" w:rsidRDefault="007847A4" w:rsidP="007847A4">
            <w:pPr>
              <w:spacing w:before="60" w:after="60"/>
              <w:jc w:val="center"/>
            </w:pPr>
            <w:r>
              <w:rPr>
                <w:color w:val="000000"/>
                <w:szCs w:val="22"/>
              </w:rPr>
              <w:t>MAC1-5</w:t>
            </w:r>
          </w:p>
        </w:tc>
        <w:tc>
          <w:tcPr>
            <w:tcW w:w="2877" w:type="dxa"/>
            <w:tcBorders>
              <w:bottom w:val="single" w:sz="4" w:space="0" w:color="000000"/>
            </w:tcBorders>
            <w:vAlign w:val="center"/>
          </w:tcPr>
          <w:p w14:paraId="62D94641" w14:textId="56E54D5E" w:rsidR="007847A4" w:rsidRPr="00B137CC" w:rsidRDefault="007847A4" w:rsidP="007847A4">
            <w:pPr>
              <w:spacing w:before="60" w:after="60"/>
            </w:pPr>
            <w:r>
              <w:rPr>
                <w:color w:val="000000"/>
                <w:szCs w:val="22"/>
              </w:rPr>
              <w:t>Commuter buses</w:t>
            </w:r>
          </w:p>
        </w:tc>
      </w:tr>
      <w:tr w:rsidR="00AA45F7" w14:paraId="48FD615E" w14:textId="77777777" w:rsidTr="0094323D">
        <w:trPr>
          <w:cantSplit/>
          <w:trHeight w:val="624"/>
        </w:trPr>
        <w:tc>
          <w:tcPr>
            <w:tcW w:w="974" w:type="dxa"/>
            <w:vAlign w:val="center"/>
          </w:tcPr>
          <w:p w14:paraId="35071346" w14:textId="570DAFC1" w:rsidR="00AA45F7" w:rsidRPr="00B137CC" w:rsidRDefault="00AA45F7" w:rsidP="007847A4">
            <w:pPr>
              <w:spacing w:before="60" w:after="60"/>
              <w:jc w:val="center"/>
            </w:pPr>
            <w:r>
              <w:rPr>
                <w:color w:val="000000"/>
                <w:szCs w:val="22"/>
              </w:rPr>
              <w:t>24</w:t>
            </w:r>
          </w:p>
        </w:tc>
        <w:tc>
          <w:tcPr>
            <w:tcW w:w="1408" w:type="dxa"/>
            <w:vMerge w:val="restart"/>
            <w:textDirection w:val="btLr"/>
            <w:vAlign w:val="center"/>
          </w:tcPr>
          <w:p w14:paraId="6B7B22FE" w14:textId="1E96AAF8" w:rsidR="00AA45F7" w:rsidRPr="00B137CC" w:rsidRDefault="00AA45F7" w:rsidP="007847A4">
            <w:pPr>
              <w:spacing w:before="60" w:after="60"/>
              <w:jc w:val="center"/>
            </w:pPr>
            <w:r>
              <w:rPr>
                <w:color w:val="000000"/>
                <w:szCs w:val="22"/>
              </w:rPr>
              <w:t>MAC2: Large Mobile AC</w:t>
            </w:r>
          </w:p>
        </w:tc>
        <w:tc>
          <w:tcPr>
            <w:tcW w:w="2983" w:type="dxa"/>
            <w:shd w:val="clear" w:color="auto" w:fill="C6D9F1" w:themeFill="text2" w:themeFillTint="33"/>
            <w:vAlign w:val="center"/>
          </w:tcPr>
          <w:p w14:paraId="6DFA5DCF" w14:textId="61B8B77E" w:rsidR="00AA45F7" w:rsidRPr="00B137CC" w:rsidRDefault="00AA45F7" w:rsidP="007847A4">
            <w:pPr>
              <w:spacing w:before="60" w:after="60"/>
            </w:pPr>
            <w:r>
              <w:rPr>
                <w:color w:val="000000"/>
                <w:szCs w:val="22"/>
              </w:rPr>
              <w:t>Registered vehicles ≥4.5t &amp; &lt;12t GVM</w:t>
            </w:r>
          </w:p>
        </w:tc>
        <w:tc>
          <w:tcPr>
            <w:tcW w:w="1250" w:type="dxa"/>
            <w:shd w:val="clear" w:color="auto" w:fill="C6D9F1" w:themeFill="text2" w:themeFillTint="33"/>
            <w:vAlign w:val="center"/>
          </w:tcPr>
          <w:p w14:paraId="38EDD200" w14:textId="21AF0EA4" w:rsidR="00AA45F7" w:rsidRPr="00B137CC" w:rsidRDefault="00AA45F7" w:rsidP="007847A4">
            <w:pPr>
              <w:spacing w:before="60" w:after="60"/>
              <w:jc w:val="center"/>
            </w:pPr>
            <w:r>
              <w:rPr>
                <w:color w:val="000000"/>
                <w:szCs w:val="22"/>
              </w:rPr>
              <w:t>MAC2-1</w:t>
            </w:r>
          </w:p>
        </w:tc>
        <w:tc>
          <w:tcPr>
            <w:tcW w:w="2877" w:type="dxa"/>
            <w:shd w:val="clear" w:color="auto" w:fill="C6D9F1" w:themeFill="text2" w:themeFillTint="33"/>
            <w:vAlign w:val="center"/>
          </w:tcPr>
          <w:p w14:paraId="169E10F6" w14:textId="35D602B0" w:rsidR="00AA45F7" w:rsidRPr="00B137CC" w:rsidRDefault="00AA45F7" w:rsidP="007847A4">
            <w:pPr>
              <w:spacing w:before="60" w:after="60"/>
            </w:pPr>
            <w:r>
              <w:rPr>
                <w:color w:val="000000"/>
                <w:szCs w:val="22"/>
              </w:rPr>
              <w:t>Buses and coaches: Small</w:t>
            </w:r>
          </w:p>
        </w:tc>
      </w:tr>
      <w:tr w:rsidR="00AA45F7" w14:paraId="790A3E6B" w14:textId="77777777" w:rsidTr="00D8549E">
        <w:trPr>
          <w:cantSplit/>
          <w:trHeight w:val="624"/>
        </w:trPr>
        <w:tc>
          <w:tcPr>
            <w:tcW w:w="974" w:type="dxa"/>
            <w:vAlign w:val="center"/>
          </w:tcPr>
          <w:p w14:paraId="3B8D2F3C" w14:textId="32EEEA68" w:rsidR="00AA45F7" w:rsidRPr="00B137CC" w:rsidRDefault="00AA45F7" w:rsidP="007847A4">
            <w:pPr>
              <w:spacing w:before="60" w:after="60"/>
              <w:jc w:val="center"/>
            </w:pPr>
            <w:r>
              <w:rPr>
                <w:color w:val="000000"/>
                <w:szCs w:val="22"/>
              </w:rPr>
              <w:t>25</w:t>
            </w:r>
          </w:p>
        </w:tc>
        <w:tc>
          <w:tcPr>
            <w:tcW w:w="1408" w:type="dxa"/>
            <w:vMerge/>
            <w:vAlign w:val="center"/>
          </w:tcPr>
          <w:p w14:paraId="3259F3B4" w14:textId="77777777" w:rsidR="00AA45F7" w:rsidRPr="00B137CC" w:rsidRDefault="00AA45F7" w:rsidP="007847A4">
            <w:pPr>
              <w:jc w:val="center"/>
            </w:pPr>
          </w:p>
        </w:tc>
        <w:tc>
          <w:tcPr>
            <w:tcW w:w="2983" w:type="dxa"/>
            <w:vAlign w:val="center"/>
          </w:tcPr>
          <w:p w14:paraId="3FE7113D" w14:textId="06643DF6" w:rsidR="00AA45F7" w:rsidRPr="00B137CC" w:rsidRDefault="00AA45F7" w:rsidP="007847A4">
            <w:pPr>
              <w:spacing w:before="60" w:after="60"/>
            </w:pPr>
            <w:r>
              <w:rPr>
                <w:color w:val="000000"/>
                <w:szCs w:val="22"/>
              </w:rPr>
              <w:t>Registered vehicles ≥12t GVM</w:t>
            </w:r>
          </w:p>
        </w:tc>
        <w:tc>
          <w:tcPr>
            <w:tcW w:w="1250" w:type="dxa"/>
            <w:vAlign w:val="center"/>
          </w:tcPr>
          <w:p w14:paraId="1E8D2AA0" w14:textId="53D17FD2" w:rsidR="00AA45F7" w:rsidRPr="00B137CC" w:rsidRDefault="00AA45F7" w:rsidP="007847A4">
            <w:pPr>
              <w:spacing w:before="60" w:after="60"/>
              <w:jc w:val="center"/>
            </w:pPr>
            <w:r>
              <w:rPr>
                <w:color w:val="000000"/>
                <w:szCs w:val="22"/>
              </w:rPr>
              <w:t>MAC2-2</w:t>
            </w:r>
          </w:p>
        </w:tc>
        <w:tc>
          <w:tcPr>
            <w:tcW w:w="2877" w:type="dxa"/>
            <w:vAlign w:val="center"/>
          </w:tcPr>
          <w:p w14:paraId="28A91152" w14:textId="6E31F739" w:rsidR="00AA45F7" w:rsidRPr="00B137CC" w:rsidRDefault="00AA45F7" w:rsidP="007847A4">
            <w:pPr>
              <w:spacing w:before="60" w:after="60"/>
            </w:pPr>
            <w:r>
              <w:rPr>
                <w:color w:val="000000"/>
                <w:szCs w:val="22"/>
              </w:rPr>
              <w:t>Buses and coaches: Large</w:t>
            </w:r>
          </w:p>
        </w:tc>
      </w:tr>
      <w:tr w:rsidR="00AA45F7" w14:paraId="40EB29CE" w14:textId="77777777" w:rsidTr="00D8549E">
        <w:trPr>
          <w:cantSplit/>
          <w:trHeight w:val="624"/>
        </w:trPr>
        <w:tc>
          <w:tcPr>
            <w:tcW w:w="974" w:type="dxa"/>
            <w:vAlign w:val="center"/>
          </w:tcPr>
          <w:p w14:paraId="19098197" w14:textId="2200214F" w:rsidR="00AA45F7" w:rsidRPr="00B137CC" w:rsidRDefault="00AA45F7" w:rsidP="007847A4">
            <w:pPr>
              <w:spacing w:before="60" w:after="60"/>
              <w:jc w:val="center"/>
            </w:pPr>
            <w:r>
              <w:rPr>
                <w:color w:val="000000"/>
                <w:szCs w:val="22"/>
              </w:rPr>
              <w:t>26</w:t>
            </w:r>
          </w:p>
        </w:tc>
        <w:tc>
          <w:tcPr>
            <w:tcW w:w="1408" w:type="dxa"/>
            <w:vMerge/>
            <w:textDirection w:val="btLr"/>
            <w:vAlign w:val="center"/>
          </w:tcPr>
          <w:p w14:paraId="1CBD34EE" w14:textId="77777777" w:rsidR="00AA45F7" w:rsidRPr="00B137CC" w:rsidRDefault="00AA45F7" w:rsidP="007847A4">
            <w:pPr>
              <w:jc w:val="center"/>
            </w:pPr>
          </w:p>
        </w:tc>
        <w:tc>
          <w:tcPr>
            <w:tcW w:w="2983" w:type="dxa"/>
            <w:vAlign w:val="center"/>
          </w:tcPr>
          <w:p w14:paraId="21A45558" w14:textId="4EA9AA08" w:rsidR="00AA45F7" w:rsidRPr="00B137CC" w:rsidRDefault="00AA45F7" w:rsidP="007847A4">
            <w:pPr>
              <w:spacing w:before="60" w:after="60"/>
            </w:pPr>
            <w:r>
              <w:rPr>
                <w:color w:val="000000"/>
                <w:szCs w:val="22"/>
              </w:rPr>
              <w:t>Rail</w:t>
            </w:r>
          </w:p>
        </w:tc>
        <w:tc>
          <w:tcPr>
            <w:tcW w:w="1250" w:type="dxa"/>
            <w:vAlign w:val="center"/>
          </w:tcPr>
          <w:p w14:paraId="386AE45D" w14:textId="272177C1" w:rsidR="00AA45F7" w:rsidRPr="00B137CC" w:rsidRDefault="00AA45F7" w:rsidP="007847A4">
            <w:pPr>
              <w:spacing w:before="60" w:after="60"/>
              <w:jc w:val="center"/>
            </w:pPr>
            <w:r>
              <w:rPr>
                <w:color w:val="000000"/>
                <w:szCs w:val="22"/>
              </w:rPr>
              <w:t>MAC2-3</w:t>
            </w:r>
          </w:p>
        </w:tc>
        <w:tc>
          <w:tcPr>
            <w:tcW w:w="2877" w:type="dxa"/>
            <w:vAlign w:val="center"/>
          </w:tcPr>
          <w:p w14:paraId="77C7A3FD" w14:textId="0DE62505" w:rsidR="00AA45F7" w:rsidRPr="00B137CC" w:rsidRDefault="00AA45F7" w:rsidP="007847A4">
            <w:pPr>
              <w:spacing w:before="60" w:after="60"/>
            </w:pPr>
            <w:r>
              <w:rPr>
                <w:color w:val="000000"/>
                <w:szCs w:val="22"/>
              </w:rPr>
              <w:t xml:space="preserve">Passenger rail </w:t>
            </w:r>
          </w:p>
        </w:tc>
      </w:tr>
      <w:tr w:rsidR="00AA45F7" w14:paraId="6B8F28E6" w14:textId="77777777" w:rsidTr="0094323D">
        <w:trPr>
          <w:cantSplit/>
          <w:trHeight w:val="624"/>
        </w:trPr>
        <w:tc>
          <w:tcPr>
            <w:tcW w:w="974" w:type="dxa"/>
            <w:vAlign w:val="center"/>
          </w:tcPr>
          <w:p w14:paraId="18AF9848" w14:textId="02E7A464" w:rsidR="00AA45F7" w:rsidRPr="00B137CC" w:rsidRDefault="00AA45F7" w:rsidP="007847A4">
            <w:pPr>
              <w:spacing w:before="60" w:after="60"/>
              <w:jc w:val="center"/>
            </w:pPr>
            <w:r>
              <w:rPr>
                <w:color w:val="000000"/>
                <w:szCs w:val="22"/>
              </w:rPr>
              <w:t>27</w:t>
            </w:r>
          </w:p>
        </w:tc>
        <w:tc>
          <w:tcPr>
            <w:tcW w:w="1408" w:type="dxa"/>
            <w:vMerge/>
            <w:vAlign w:val="center"/>
          </w:tcPr>
          <w:p w14:paraId="2371D0D5" w14:textId="77777777" w:rsidR="00AA45F7" w:rsidRPr="00B137CC" w:rsidRDefault="00AA45F7" w:rsidP="007847A4">
            <w:pPr>
              <w:jc w:val="center"/>
            </w:pPr>
          </w:p>
        </w:tc>
        <w:tc>
          <w:tcPr>
            <w:tcW w:w="2983" w:type="dxa"/>
            <w:tcBorders>
              <w:bottom w:val="single" w:sz="4" w:space="0" w:color="000000"/>
            </w:tcBorders>
            <w:vAlign w:val="center"/>
          </w:tcPr>
          <w:p w14:paraId="60654A94" w14:textId="5DECE06D" w:rsidR="00AA45F7" w:rsidRPr="00B137CC" w:rsidRDefault="00AA45F7" w:rsidP="007847A4">
            <w:pPr>
              <w:spacing w:before="60" w:after="60"/>
            </w:pPr>
            <w:r>
              <w:rPr>
                <w:color w:val="000000"/>
                <w:szCs w:val="22"/>
              </w:rPr>
              <w:t>Rail</w:t>
            </w:r>
          </w:p>
        </w:tc>
        <w:tc>
          <w:tcPr>
            <w:tcW w:w="1250" w:type="dxa"/>
            <w:tcBorders>
              <w:bottom w:val="single" w:sz="4" w:space="0" w:color="000000"/>
            </w:tcBorders>
            <w:vAlign w:val="center"/>
          </w:tcPr>
          <w:p w14:paraId="28EAE962" w14:textId="49FBE022" w:rsidR="00AA45F7" w:rsidRPr="00B137CC" w:rsidRDefault="00AA45F7" w:rsidP="007847A4">
            <w:pPr>
              <w:spacing w:before="60" w:after="60"/>
              <w:jc w:val="center"/>
            </w:pPr>
            <w:r>
              <w:rPr>
                <w:color w:val="000000"/>
                <w:szCs w:val="22"/>
              </w:rPr>
              <w:t>MAC2-4</w:t>
            </w:r>
          </w:p>
        </w:tc>
        <w:tc>
          <w:tcPr>
            <w:tcW w:w="2877" w:type="dxa"/>
            <w:tcBorders>
              <w:bottom w:val="single" w:sz="4" w:space="0" w:color="000000"/>
            </w:tcBorders>
            <w:vAlign w:val="center"/>
          </w:tcPr>
          <w:p w14:paraId="5708115E" w14:textId="5126E617" w:rsidR="00AA45F7" w:rsidRPr="00B137CC" w:rsidRDefault="00AA45F7" w:rsidP="007847A4">
            <w:pPr>
              <w:spacing w:before="60" w:after="60"/>
            </w:pPr>
            <w:r>
              <w:rPr>
                <w:color w:val="000000"/>
                <w:szCs w:val="22"/>
              </w:rPr>
              <w:t>Locomotive</w:t>
            </w:r>
          </w:p>
        </w:tc>
      </w:tr>
      <w:tr w:rsidR="00AA45F7" w14:paraId="1D552945" w14:textId="77777777" w:rsidTr="00AA45F7">
        <w:trPr>
          <w:cantSplit/>
          <w:trHeight w:val="624"/>
        </w:trPr>
        <w:tc>
          <w:tcPr>
            <w:tcW w:w="974" w:type="dxa"/>
            <w:vAlign w:val="center"/>
          </w:tcPr>
          <w:p w14:paraId="6E20F304" w14:textId="1587194A" w:rsidR="00AA45F7" w:rsidRPr="00B137CC" w:rsidRDefault="00AA45F7" w:rsidP="00AA45F7">
            <w:pPr>
              <w:spacing w:before="60" w:after="60"/>
              <w:jc w:val="center"/>
            </w:pPr>
            <w:r>
              <w:rPr>
                <w:color w:val="000000"/>
                <w:szCs w:val="22"/>
              </w:rPr>
              <w:lastRenderedPageBreak/>
              <w:t>28</w:t>
            </w:r>
          </w:p>
        </w:tc>
        <w:tc>
          <w:tcPr>
            <w:tcW w:w="1408" w:type="dxa"/>
            <w:vMerge w:val="restart"/>
            <w:textDirection w:val="btLr"/>
            <w:vAlign w:val="center"/>
          </w:tcPr>
          <w:p w14:paraId="0117DD37" w14:textId="05BA7BB7" w:rsidR="00AA45F7" w:rsidRPr="00B137CC" w:rsidRDefault="00AA45F7" w:rsidP="00AA45F7">
            <w:pPr>
              <w:jc w:val="center"/>
            </w:pPr>
            <w:r>
              <w:rPr>
                <w:color w:val="000000"/>
                <w:szCs w:val="22"/>
              </w:rPr>
              <w:t>MAC2: Large Mobile AC</w:t>
            </w:r>
          </w:p>
        </w:tc>
        <w:tc>
          <w:tcPr>
            <w:tcW w:w="2983" w:type="dxa"/>
            <w:shd w:val="clear" w:color="auto" w:fill="C6D9F1" w:themeFill="text2" w:themeFillTint="33"/>
            <w:vAlign w:val="center"/>
          </w:tcPr>
          <w:p w14:paraId="0B8E24BB" w14:textId="636AA889" w:rsidR="00AA45F7" w:rsidRPr="00B137CC" w:rsidRDefault="00AA45F7" w:rsidP="00AA45F7">
            <w:pPr>
              <w:spacing w:before="60" w:after="60"/>
            </w:pPr>
            <w:r>
              <w:rPr>
                <w:color w:val="000000"/>
                <w:szCs w:val="22"/>
              </w:rPr>
              <w:t>Vehicles: RV and caravan</w:t>
            </w:r>
          </w:p>
        </w:tc>
        <w:tc>
          <w:tcPr>
            <w:tcW w:w="1250" w:type="dxa"/>
            <w:shd w:val="clear" w:color="auto" w:fill="C6D9F1" w:themeFill="text2" w:themeFillTint="33"/>
            <w:vAlign w:val="center"/>
          </w:tcPr>
          <w:p w14:paraId="6723D1AE" w14:textId="5ED25AF5" w:rsidR="00AA45F7" w:rsidRPr="00B137CC" w:rsidRDefault="00AA45F7" w:rsidP="00AA45F7">
            <w:pPr>
              <w:spacing w:before="60" w:after="60"/>
              <w:jc w:val="center"/>
            </w:pPr>
            <w:r>
              <w:rPr>
                <w:color w:val="000000"/>
                <w:szCs w:val="22"/>
              </w:rPr>
              <w:t>MAC2-5</w:t>
            </w:r>
          </w:p>
        </w:tc>
        <w:tc>
          <w:tcPr>
            <w:tcW w:w="2877" w:type="dxa"/>
            <w:shd w:val="clear" w:color="auto" w:fill="C6D9F1" w:themeFill="text2" w:themeFillTint="33"/>
            <w:vAlign w:val="center"/>
          </w:tcPr>
          <w:p w14:paraId="642FEAF2" w14:textId="5C55DFD0" w:rsidR="00AA45F7" w:rsidRPr="00B137CC" w:rsidRDefault="00AA45F7" w:rsidP="00AA45F7">
            <w:pPr>
              <w:spacing w:before="60" w:after="60"/>
            </w:pPr>
            <w:r>
              <w:rPr>
                <w:color w:val="000000"/>
                <w:szCs w:val="22"/>
              </w:rPr>
              <w:t>RV and caravan</w:t>
            </w:r>
          </w:p>
        </w:tc>
      </w:tr>
      <w:tr w:rsidR="00AA45F7" w14:paraId="0D8045B6" w14:textId="77777777" w:rsidTr="0094323D">
        <w:trPr>
          <w:cantSplit/>
          <w:trHeight w:val="624"/>
        </w:trPr>
        <w:tc>
          <w:tcPr>
            <w:tcW w:w="974" w:type="dxa"/>
            <w:vAlign w:val="center"/>
          </w:tcPr>
          <w:p w14:paraId="671D105C" w14:textId="109DA512" w:rsidR="00AA45F7" w:rsidRPr="00B137CC" w:rsidRDefault="00AA45F7" w:rsidP="000407D6">
            <w:pPr>
              <w:spacing w:before="60" w:after="60"/>
              <w:jc w:val="center"/>
            </w:pPr>
            <w:r>
              <w:rPr>
                <w:color w:val="000000"/>
                <w:szCs w:val="22"/>
              </w:rPr>
              <w:t>29</w:t>
            </w:r>
          </w:p>
        </w:tc>
        <w:tc>
          <w:tcPr>
            <w:tcW w:w="1408" w:type="dxa"/>
            <w:vMerge/>
            <w:vAlign w:val="center"/>
          </w:tcPr>
          <w:p w14:paraId="61098086" w14:textId="77777777" w:rsidR="00AA45F7" w:rsidRPr="00B137CC" w:rsidRDefault="00AA45F7" w:rsidP="00014D67">
            <w:pPr>
              <w:jc w:val="center"/>
            </w:pPr>
          </w:p>
        </w:tc>
        <w:tc>
          <w:tcPr>
            <w:tcW w:w="2983" w:type="dxa"/>
            <w:tcBorders>
              <w:bottom w:val="single" w:sz="4" w:space="0" w:color="000000"/>
            </w:tcBorders>
            <w:vAlign w:val="center"/>
          </w:tcPr>
          <w:p w14:paraId="44946C1F" w14:textId="0DD0820A" w:rsidR="00AA45F7" w:rsidRPr="00B137CC" w:rsidRDefault="00AA45F7" w:rsidP="000407D6">
            <w:pPr>
              <w:spacing w:before="60" w:after="60"/>
            </w:pPr>
            <w:r>
              <w:rPr>
                <w:color w:val="000000"/>
                <w:szCs w:val="22"/>
              </w:rPr>
              <w:t>Un-registered</w:t>
            </w:r>
          </w:p>
        </w:tc>
        <w:tc>
          <w:tcPr>
            <w:tcW w:w="1250" w:type="dxa"/>
            <w:tcBorders>
              <w:bottom w:val="single" w:sz="4" w:space="0" w:color="000000"/>
            </w:tcBorders>
            <w:vAlign w:val="center"/>
          </w:tcPr>
          <w:p w14:paraId="0D04BA21" w14:textId="46F84457" w:rsidR="00AA45F7" w:rsidRPr="00B137CC" w:rsidRDefault="00AA45F7" w:rsidP="000407D6">
            <w:pPr>
              <w:spacing w:before="60" w:after="60"/>
              <w:jc w:val="center"/>
            </w:pPr>
            <w:r>
              <w:rPr>
                <w:color w:val="000000"/>
                <w:szCs w:val="22"/>
              </w:rPr>
              <w:t>MAC2-6</w:t>
            </w:r>
          </w:p>
        </w:tc>
        <w:tc>
          <w:tcPr>
            <w:tcW w:w="2877" w:type="dxa"/>
            <w:tcBorders>
              <w:bottom w:val="single" w:sz="4" w:space="0" w:color="000000"/>
            </w:tcBorders>
            <w:vAlign w:val="center"/>
          </w:tcPr>
          <w:p w14:paraId="096547CD" w14:textId="65781822" w:rsidR="00AA45F7" w:rsidRPr="00B137CC" w:rsidRDefault="00AA45F7" w:rsidP="000407D6">
            <w:pPr>
              <w:spacing w:before="60" w:after="60"/>
            </w:pPr>
            <w:r>
              <w:rPr>
                <w:color w:val="000000"/>
                <w:szCs w:val="22"/>
              </w:rPr>
              <w:t>Off-road, defence and other.</w:t>
            </w:r>
          </w:p>
        </w:tc>
      </w:tr>
      <w:tr w:rsidR="00AA45F7" w14:paraId="1134B47B" w14:textId="77777777" w:rsidTr="0094323D">
        <w:trPr>
          <w:cantSplit/>
          <w:trHeight w:val="624"/>
        </w:trPr>
        <w:tc>
          <w:tcPr>
            <w:tcW w:w="974" w:type="dxa"/>
            <w:vAlign w:val="center"/>
          </w:tcPr>
          <w:p w14:paraId="0CFF207A" w14:textId="5BBBDEA3" w:rsidR="00AA45F7" w:rsidRPr="00B137CC" w:rsidRDefault="00AA45F7" w:rsidP="000407D6">
            <w:pPr>
              <w:spacing w:before="60" w:after="60"/>
              <w:jc w:val="center"/>
            </w:pPr>
            <w:r>
              <w:rPr>
                <w:color w:val="000000"/>
                <w:szCs w:val="22"/>
              </w:rPr>
              <w:t>30</w:t>
            </w:r>
          </w:p>
        </w:tc>
        <w:tc>
          <w:tcPr>
            <w:tcW w:w="1408" w:type="dxa"/>
            <w:vMerge/>
            <w:textDirection w:val="btLr"/>
            <w:vAlign w:val="center"/>
          </w:tcPr>
          <w:p w14:paraId="328D9521" w14:textId="77777777" w:rsidR="00AA45F7" w:rsidRPr="00B137CC" w:rsidRDefault="00AA45F7" w:rsidP="00014D67">
            <w:pPr>
              <w:jc w:val="center"/>
            </w:pPr>
          </w:p>
        </w:tc>
        <w:tc>
          <w:tcPr>
            <w:tcW w:w="2983" w:type="dxa"/>
            <w:shd w:val="clear" w:color="auto" w:fill="C6D9F1" w:themeFill="text2" w:themeFillTint="33"/>
            <w:vAlign w:val="center"/>
          </w:tcPr>
          <w:p w14:paraId="7C9EDE4A" w14:textId="13196D30" w:rsidR="00AA45F7" w:rsidRPr="00B137CC" w:rsidRDefault="00AA45F7" w:rsidP="000407D6">
            <w:pPr>
              <w:spacing w:before="60" w:after="60"/>
            </w:pPr>
            <w:r>
              <w:rPr>
                <w:color w:val="000000"/>
                <w:szCs w:val="22"/>
              </w:rPr>
              <w:t>Marine</w:t>
            </w:r>
          </w:p>
        </w:tc>
        <w:tc>
          <w:tcPr>
            <w:tcW w:w="1250" w:type="dxa"/>
            <w:shd w:val="clear" w:color="auto" w:fill="C6D9F1" w:themeFill="text2" w:themeFillTint="33"/>
            <w:vAlign w:val="center"/>
          </w:tcPr>
          <w:p w14:paraId="75C2ABC6" w14:textId="3D62A78E" w:rsidR="00AA45F7" w:rsidRPr="00B137CC" w:rsidRDefault="00AA45F7" w:rsidP="000407D6">
            <w:pPr>
              <w:spacing w:before="60" w:after="60"/>
              <w:jc w:val="center"/>
            </w:pPr>
            <w:r>
              <w:rPr>
                <w:color w:val="000000"/>
                <w:szCs w:val="22"/>
              </w:rPr>
              <w:t>MAC2-7</w:t>
            </w:r>
          </w:p>
        </w:tc>
        <w:tc>
          <w:tcPr>
            <w:tcW w:w="2877" w:type="dxa"/>
            <w:shd w:val="clear" w:color="auto" w:fill="C6D9F1" w:themeFill="text2" w:themeFillTint="33"/>
            <w:vAlign w:val="center"/>
          </w:tcPr>
          <w:p w14:paraId="4844C48A" w14:textId="76B2AF1B" w:rsidR="00AA45F7" w:rsidRPr="00B137CC" w:rsidRDefault="00AA45F7" w:rsidP="000407D6">
            <w:pPr>
              <w:spacing w:before="60" w:after="60"/>
            </w:pPr>
            <w:r>
              <w:rPr>
                <w:color w:val="000000"/>
                <w:szCs w:val="22"/>
              </w:rPr>
              <w:t>Registered marine vessels and pleasure craft</w:t>
            </w:r>
          </w:p>
        </w:tc>
      </w:tr>
    </w:tbl>
    <w:p w14:paraId="366F7884" w14:textId="7206AF29" w:rsidR="001B2302" w:rsidRPr="005C6E42" w:rsidRDefault="001B2302" w:rsidP="001B2302">
      <w:pPr>
        <w:rPr>
          <w:sz w:val="20"/>
          <w:szCs w:val="20"/>
        </w:rPr>
      </w:pPr>
      <w:r>
        <w:rPr>
          <w:sz w:val="20"/>
          <w:szCs w:val="20"/>
        </w:rPr>
        <w:t>Note</w:t>
      </w:r>
      <w:r w:rsidRPr="005C6E42">
        <w:rPr>
          <w:sz w:val="20"/>
          <w:szCs w:val="20"/>
        </w:rPr>
        <w:t>:</w:t>
      </w:r>
    </w:p>
    <w:p w14:paraId="6D6F2C4D" w14:textId="6F062BE2" w:rsidR="001B2302" w:rsidRPr="005C6E42" w:rsidRDefault="001B2302" w:rsidP="00FC735C">
      <w:pPr>
        <w:pStyle w:val="ListParagraph"/>
        <w:numPr>
          <w:ilvl w:val="0"/>
          <w:numId w:val="18"/>
        </w:numPr>
        <w:spacing w:before="60" w:after="60" w:line="240" w:lineRule="auto"/>
        <w:ind w:left="357" w:hanging="357"/>
        <w:contextualSpacing w:val="0"/>
        <w:jc w:val="both"/>
        <w:rPr>
          <w:rFonts w:ascii="Times New Roman" w:hAnsi="Times New Roman"/>
          <w:sz w:val="20"/>
          <w:szCs w:val="20"/>
          <w:lang w:val="en-US"/>
        </w:rPr>
      </w:pPr>
      <w:r w:rsidRPr="005C6E42">
        <w:rPr>
          <w:rFonts w:ascii="Times New Roman" w:hAnsi="Times New Roman"/>
          <w:sz w:val="20"/>
          <w:szCs w:val="20"/>
        </w:rPr>
        <w:t xml:space="preserve">New segments in this class in the 2016 Taxonomy, MAC2-1 Buses and coaches: Small; MAC 2-5 Vehicles: RV and caravan, and MAC2-7; Marine are highlighted in </w:t>
      </w:r>
      <w:r w:rsidR="0094323D">
        <w:rPr>
          <w:rFonts w:ascii="Times New Roman" w:hAnsi="Times New Roman"/>
          <w:sz w:val="20"/>
          <w:szCs w:val="20"/>
        </w:rPr>
        <w:t>blue</w:t>
      </w:r>
      <w:r w:rsidRPr="005C6E42">
        <w:rPr>
          <w:rFonts w:ascii="Times New Roman" w:hAnsi="Times New Roman"/>
          <w:sz w:val="20"/>
          <w:szCs w:val="20"/>
        </w:rPr>
        <w:t>.</w:t>
      </w:r>
    </w:p>
    <w:p w14:paraId="5D0389B2" w14:textId="54ACC7AB" w:rsidR="001B2302" w:rsidRDefault="001B2302" w:rsidP="001B2302">
      <w:pPr>
        <w:rPr>
          <w:szCs w:val="22"/>
        </w:rPr>
      </w:pPr>
    </w:p>
    <w:p w14:paraId="332E4FCF" w14:textId="52464BDF" w:rsidR="001B2302" w:rsidRDefault="001B2302" w:rsidP="001B2302">
      <w:pPr>
        <w:rPr>
          <w:szCs w:val="22"/>
        </w:rPr>
      </w:pPr>
      <w:r w:rsidRPr="005D4B7C">
        <w:rPr>
          <w:szCs w:val="22"/>
        </w:rPr>
        <w:t>The majority of mobile air conditioning systems (9</w:t>
      </w:r>
      <w:r>
        <w:rPr>
          <w:szCs w:val="22"/>
        </w:rPr>
        <w:t>5</w:t>
      </w:r>
      <w:r w:rsidR="00C9319D">
        <w:rPr>
          <w:szCs w:val="22"/>
        </w:rPr>
        <w:t>%</w:t>
      </w:r>
      <w:r w:rsidRPr="005D4B7C">
        <w:rPr>
          <w:szCs w:val="22"/>
        </w:rPr>
        <w:t xml:space="preserve">) are found in </w:t>
      </w:r>
      <w:r>
        <w:rPr>
          <w:szCs w:val="22"/>
        </w:rPr>
        <w:t>passenger and light commercial</w:t>
      </w:r>
      <w:r w:rsidR="00653AED">
        <w:rPr>
          <w:szCs w:val="22"/>
        </w:rPr>
        <w:t xml:space="preserve"> vehicles</w:t>
      </w:r>
      <w:r>
        <w:rPr>
          <w:szCs w:val="22"/>
        </w:rPr>
        <w:t xml:space="preserve">. These systems now generally </w:t>
      </w:r>
      <w:r w:rsidRPr="005D4B7C">
        <w:rPr>
          <w:szCs w:val="22"/>
        </w:rPr>
        <w:t xml:space="preserve">contain </w:t>
      </w:r>
      <w:r>
        <w:rPr>
          <w:szCs w:val="22"/>
        </w:rPr>
        <w:t xml:space="preserve">between </w:t>
      </w:r>
      <w:r w:rsidRPr="005D4B7C">
        <w:rPr>
          <w:szCs w:val="22"/>
        </w:rPr>
        <w:t xml:space="preserve">600 to 700 grams of </w:t>
      </w:r>
      <w:r>
        <w:rPr>
          <w:szCs w:val="22"/>
        </w:rPr>
        <w:t>refrigerant</w:t>
      </w:r>
      <w:r w:rsidRPr="005D4B7C">
        <w:rPr>
          <w:szCs w:val="22"/>
        </w:rPr>
        <w:t xml:space="preserve"> when fully charged.</w:t>
      </w:r>
      <w:r>
        <w:rPr>
          <w:szCs w:val="22"/>
        </w:rPr>
        <w:t xml:space="preserve"> </w:t>
      </w:r>
      <w:r w:rsidR="00A035DE">
        <w:rPr>
          <w:szCs w:val="22"/>
        </w:rPr>
        <w:t xml:space="preserve">The average charge size of MAC </w:t>
      </w:r>
      <w:r>
        <w:rPr>
          <w:szCs w:val="22"/>
        </w:rPr>
        <w:t xml:space="preserve">has fallen significantly since the early 1990s, a time at which MAC started to become standard in most new vehicles.  </w:t>
      </w:r>
    </w:p>
    <w:p w14:paraId="604F3263" w14:textId="5C51E9A3" w:rsidR="000C62AA" w:rsidRDefault="000C62AA" w:rsidP="001B2302">
      <w:pPr>
        <w:rPr>
          <w:szCs w:val="22"/>
        </w:rPr>
      </w:pPr>
      <w:r>
        <w:rPr>
          <w:szCs w:val="22"/>
        </w:rPr>
        <w:t>Recording of the manufacturers</w:t>
      </w:r>
      <w:r w:rsidR="006E05BC">
        <w:rPr>
          <w:szCs w:val="22"/>
        </w:rPr>
        <w:t>’</w:t>
      </w:r>
      <w:r>
        <w:rPr>
          <w:szCs w:val="22"/>
        </w:rPr>
        <w:t xml:space="preserve"> recommended refrigerant charges from more than </w:t>
      </w:r>
      <w:r w:rsidRPr="00F71269">
        <w:rPr>
          <w:szCs w:val="22"/>
        </w:rPr>
        <w:t>10,000 vehicles</w:t>
      </w:r>
      <w:r>
        <w:rPr>
          <w:szCs w:val="22"/>
        </w:rPr>
        <w:t>,</w:t>
      </w:r>
      <w:r w:rsidRPr="00F71269">
        <w:rPr>
          <w:szCs w:val="22"/>
        </w:rPr>
        <w:t xml:space="preserve"> conducted over several years by an industry participant has provided primary data on average charges of vehicles by year of make.</w:t>
      </w:r>
      <w:r>
        <w:rPr>
          <w:szCs w:val="22"/>
        </w:rPr>
        <w:t xml:space="preserve"> What this </w:t>
      </w:r>
      <w:r w:rsidR="006E05BC">
        <w:rPr>
          <w:szCs w:val="22"/>
        </w:rPr>
        <w:t>data</w:t>
      </w:r>
      <w:r>
        <w:rPr>
          <w:szCs w:val="22"/>
        </w:rPr>
        <w:t xml:space="preserve"> has shown is that in the early 1990s Small MAC was being manufactured with an average of 1,100 grams of refrigerant charge. By 2000 this average charge had reduced to about 800 grams and continued to decline to the current average charge of 6</w:t>
      </w:r>
      <w:r w:rsidR="00F727EA">
        <w:rPr>
          <w:szCs w:val="22"/>
        </w:rPr>
        <w:t>2</w:t>
      </w:r>
      <w:r>
        <w:rPr>
          <w:szCs w:val="22"/>
        </w:rPr>
        <w:t xml:space="preserve">0 grams. This data has been used to establish an average charge by year of make that is used in the </w:t>
      </w:r>
      <w:r w:rsidR="00C45435">
        <w:rPr>
          <w:szCs w:val="22"/>
        </w:rPr>
        <w:t>RAC Stock model</w:t>
      </w:r>
      <w:r>
        <w:rPr>
          <w:szCs w:val="22"/>
        </w:rPr>
        <w:t xml:space="preserve"> (see </w:t>
      </w:r>
      <w:r w:rsidRPr="005C6E42">
        <w:rPr>
          <w:i/>
          <w:szCs w:val="22"/>
        </w:rPr>
        <w:t>Appendix A: Section</w:t>
      </w:r>
      <w:r w:rsidR="00B81515">
        <w:rPr>
          <w:i/>
          <w:szCs w:val="22"/>
        </w:rPr>
        <w:t xml:space="preserve"> 11.2.4 </w:t>
      </w:r>
      <w:r w:rsidR="00B81515" w:rsidRPr="00B81515">
        <w:rPr>
          <w:i/>
          <w:szCs w:val="22"/>
        </w:rPr>
        <w:t>Small MAC refrigerant charges</w:t>
      </w:r>
      <w:r>
        <w:rPr>
          <w:szCs w:val="22"/>
        </w:rPr>
        <w:t xml:space="preserve">). </w:t>
      </w:r>
    </w:p>
    <w:p w14:paraId="12B88FF1" w14:textId="15E3F8C7" w:rsidR="001B2302" w:rsidRDefault="001B2302" w:rsidP="001B2302">
      <w:pPr>
        <w:rPr>
          <w:szCs w:val="22"/>
        </w:rPr>
      </w:pPr>
      <w:r>
        <w:rPr>
          <w:szCs w:val="22"/>
        </w:rPr>
        <w:t>The majority of the MAC bank is made up of HFC-134a (~9</w:t>
      </w:r>
      <w:r w:rsidR="00847B12">
        <w:rPr>
          <w:szCs w:val="22"/>
        </w:rPr>
        <w:t>4</w:t>
      </w:r>
      <w:r>
        <w:rPr>
          <w:szCs w:val="22"/>
        </w:rPr>
        <w:t xml:space="preserve">%). </w:t>
      </w:r>
      <w:r w:rsidR="00711088">
        <w:rPr>
          <w:szCs w:val="22"/>
        </w:rPr>
        <w:t>It is estimated that t</w:t>
      </w:r>
      <w:r>
        <w:rPr>
          <w:szCs w:val="22"/>
        </w:rPr>
        <w:t>here are still</w:t>
      </w:r>
      <w:r w:rsidR="00653AED">
        <w:rPr>
          <w:szCs w:val="22"/>
        </w:rPr>
        <w:t xml:space="preserve"> </w:t>
      </w:r>
      <w:r w:rsidR="00711088">
        <w:rPr>
          <w:szCs w:val="22"/>
        </w:rPr>
        <w:t>more than</w:t>
      </w:r>
      <w:r>
        <w:rPr>
          <w:szCs w:val="22"/>
        </w:rPr>
        <w:t xml:space="preserve"> 400,000 older vehicles in the</w:t>
      </w:r>
      <w:r w:rsidR="00711088">
        <w:rPr>
          <w:szCs w:val="22"/>
        </w:rPr>
        <w:t xml:space="preserve"> fleet</w:t>
      </w:r>
      <w:r>
        <w:rPr>
          <w:szCs w:val="22"/>
        </w:rPr>
        <w:t xml:space="preserve"> that were originally manufactured containing CFCs, the large majority of which </w:t>
      </w:r>
      <w:r w:rsidR="008977BE">
        <w:rPr>
          <w:szCs w:val="22"/>
        </w:rPr>
        <w:t>are likely to</w:t>
      </w:r>
      <w:r>
        <w:rPr>
          <w:szCs w:val="22"/>
        </w:rPr>
        <w:t xml:space="preserve"> have been converted to HFC-134a or hydrocarbons at some stage in the last two decades. Hydrocarbons</w:t>
      </w:r>
      <w:r w:rsidR="00711088">
        <w:rPr>
          <w:szCs w:val="22"/>
        </w:rPr>
        <w:t xml:space="preserve">, which </w:t>
      </w:r>
      <w:r w:rsidR="0059556D">
        <w:rPr>
          <w:szCs w:val="22"/>
        </w:rPr>
        <w:t xml:space="preserve">are </w:t>
      </w:r>
      <w:r w:rsidR="006E05BC">
        <w:rPr>
          <w:szCs w:val="22"/>
        </w:rPr>
        <w:t>sometimes</w:t>
      </w:r>
      <w:r w:rsidR="00711088">
        <w:rPr>
          <w:szCs w:val="22"/>
        </w:rPr>
        <w:t xml:space="preserve"> installed as an aftermarket option in MAC in Australia, </w:t>
      </w:r>
      <w:r>
        <w:rPr>
          <w:szCs w:val="22"/>
        </w:rPr>
        <w:t xml:space="preserve">are estimated to be </w:t>
      </w:r>
      <w:r w:rsidR="006E05BC">
        <w:rPr>
          <w:szCs w:val="22"/>
        </w:rPr>
        <w:t xml:space="preserve">used </w:t>
      </w:r>
      <w:r>
        <w:rPr>
          <w:szCs w:val="22"/>
        </w:rPr>
        <w:t>in about 4% of the fleet. O</w:t>
      </w:r>
      <w:r w:rsidRPr="005D4B7C">
        <w:rPr>
          <w:szCs w:val="22"/>
        </w:rPr>
        <w:t xml:space="preserve">ther refrigerants </w:t>
      </w:r>
      <w:r w:rsidR="006E05BC">
        <w:rPr>
          <w:szCs w:val="22"/>
        </w:rPr>
        <w:t xml:space="preserve">used </w:t>
      </w:r>
      <w:r w:rsidRPr="005D4B7C">
        <w:rPr>
          <w:szCs w:val="22"/>
        </w:rPr>
        <w:t xml:space="preserve">in mobile </w:t>
      </w:r>
      <w:r>
        <w:rPr>
          <w:szCs w:val="22"/>
        </w:rPr>
        <w:t>air conditioning</w:t>
      </w:r>
      <w:r w:rsidRPr="005D4B7C">
        <w:rPr>
          <w:szCs w:val="22"/>
        </w:rPr>
        <w:t xml:space="preserve"> applications include HFC-407C and HFC-410A </w:t>
      </w:r>
      <w:r>
        <w:rPr>
          <w:szCs w:val="22"/>
        </w:rPr>
        <w:t xml:space="preserve">which are </w:t>
      </w:r>
      <w:r w:rsidRPr="005D4B7C">
        <w:rPr>
          <w:szCs w:val="22"/>
        </w:rPr>
        <w:t xml:space="preserve">more likely to be used in </w:t>
      </w:r>
      <w:r>
        <w:rPr>
          <w:szCs w:val="22"/>
        </w:rPr>
        <w:t>large MAC</w:t>
      </w:r>
      <w:r w:rsidR="00847B12">
        <w:rPr>
          <w:szCs w:val="22"/>
        </w:rPr>
        <w:t xml:space="preserve"> including </w:t>
      </w:r>
      <w:r w:rsidRPr="005D4B7C">
        <w:rPr>
          <w:szCs w:val="22"/>
        </w:rPr>
        <w:t>locomotive, passenger rail</w:t>
      </w:r>
      <w:r>
        <w:rPr>
          <w:szCs w:val="22"/>
        </w:rPr>
        <w:t>, recreational vehicles, caravans</w:t>
      </w:r>
      <w:r w:rsidRPr="005D4B7C">
        <w:rPr>
          <w:szCs w:val="22"/>
        </w:rPr>
        <w:t xml:space="preserve"> and off-road applications</w:t>
      </w:r>
      <w:r>
        <w:rPr>
          <w:szCs w:val="22"/>
        </w:rPr>
        <w:t xml:space="preserve"> such as marine</w:t>
      </w:r>
      <w:r w:rsidRPr="005D4B7C">
        <w:rPr>
          <w:szCs w:val="22"/>
        </w:rPr>
        <w:t>. The relatively rare H</w:t>
      </w:r>
      <w:r w:rsidR="000D1CDB">
        <w:rPr>
          <w:szCs w:val="22"/>
        </w:rPr>
        <w:t>C</w:t>
      </w:r>
      <w:r w:rsidRPr="005D4B7C">
        <w:rPr>
          <w:szCs w:val="22"/>
        </w:rPr>
        <w:t>FC-124 can be found in extreme ambient applications such as in mobile cranes.</w:t>
      </w:r>
    </w:p>
    <w:p w14:paraId="645303C9" w14:textId="71D71389" w:rsidR="001B2302" w:rsidRDefault="001B2302" w:rsidP="001B2302">
      <w:pPr>
        <w:rPr>
          <w:rFonts w:cs="Times New Roman"/>
          <w:lang w:val="en-AU"/>
        </w:rPr>
      </w:pPr>
      <w:r>
        <w:rPr>
          <w:rFonts w:cs="Times New Roman"/>
          <w:lang w:val="en-AU"/>
        </w:rPr>
        <w:t>While the taxonomy incorporates some vehicles that might be though</w:t>
      </w:r>
      <w:r w:rsidR="00847B12">
        <w:rPr>
          <w:rFonts w:cs="Times New Roman"/>
          <w:lang w:val="en-AU"/>
        </w:rPr>
        <w:t>t of as large vehicles, in the s</w:t>
      </w:r>
      <w:r>
        <w:rPr>
          <w:rFonts w:cs="Times New Roman"/>
          <w:lang w:val="en-AU"/>
        </w:rPr>
        <w:t>mall MAC segment, and vice versa, the taxonomy is based on the size of the average charge in the MAC installed in the vehicle, not the size of the vehicle.</w:t>
      </w:r>
    </w:p>
    <w:p w14:paraId="5FC5201E" w14:textId="73E62441" w:rsidR="001B2302" w:rsidRDefault="001B2302" w:rsidP="001B2302">
      <w:pPr>
        <w:rPr>
          <w:rFonts w:cs="Times New Roman"/>
          <w:lang w:val="en-AU"/>
        </w:rPr>
      </w:pPr>
      <w:r>
        <w:rPr>
          <w:rFonts w:cs="Times New Roman"/>
          <w:lang w:val="en-AU"/>
        </w:rPr>
        <w:t xml:space="preserve">The size of the MAC system and its </w:t>
      </w:r>
      <w:r w:rsidR="00653AED">
        <w:rPr>
          <w:rFonts w:cs="Times New Roman"/>
          <w:lang w:val="en-AU"/>
        </w:rPr>
        <w:t xml:space="preserve">refrigerant </w:t>
      </w:r>
      <w:r>
        <w:rPr>
          <w:rFonts w:cs="Times New Roman"/>
          <w:lang w:val="en-AU"/>
        </w:rPr>
        <w:t>charge does not always necessarily equate to the size of the vehicle, or its gross vehicle mass, but rather the use of the vehicle and the investment in equipment required for passenger and operator comfort.</w:t>
      </w:r>
    </w:p>
    <w:p w14:paraId="286E0088" w14:textId="77777777" w:rsidR="001B2302" w:rsidRDefault="001B2302" w:rsidP="001B2302">
      <w:pPr>
        <w:rPr>
          <w:szCs w:val="22"/>
        </w:rPr>
      </w:pPr>
    </w:p>
    <w:p w14:paraId="5C3FEE49" w14:textId="77EB9CA8" w:rsidR="005646D1" w:rsidRDefault="005646D1" w:rsidP="001B2302">
      <w:pPr>
        <w:rPr>
          <w:szCs w:val="22"/>
        </w:rPr>
      </w:pPr>
    </w:p>
    <w:p w14:paraId="2BC9CDDF" w14:textId="77777777" w:rsidR="005646D1" w:rsidRDefault="005646D1" w:rsidP="001B2302">
      <w:pPr>
        <w:rPr>
          <w:szCs w:val="22"/>
        </w:rPr>
      </w:pPr>
    </w:p>
    <w:p w14:paraId="01268C5D" w14:textId="37007526" w:rsidR="000407D6" w:rsidRPr="002B2235" w:rsidRDefault="002B2235" w:rsidP="002B2235">
      <w:pPr>
        <w:pStyle w:val="Caption"/>
        <w:keepNext/>
        <w:rPr>
          <w:szCs w:val="22"/>
        </w:rPr>
      </w:pPr>
      <w:bookmarkStart w:id="26" w:name="_Toc494118080"/>
      <w:bookmarkStart w:id="27" w:name="_Toc525141397"/>
      <w:r w:rsidRPr="002B2235">
        <w:lastRenderedPageBreak/>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8</w:t>
      </w:r>
      <w:r w:rsidR="009D6843">
        <w:rPr>
          <w:noProof/>
        </w:rPr>
        <w:fldChar w:fldCharType="end"/>
      </w:r>
      <w:r w:rsidRPr="002B2235">
        <w:t xml:space="preserve">: </w:t>
      </w:r>
      <w:r w:rsidR="00765EAD" w:rsidRPr="002B2235">
        <w:rPr>
          <w:szCs w:val="22"/>
        </w:rPr>
        <w:t>Mobile air conditioning by category and stock numbers</w:t>
      </w:r>
      <w:r w:rsidR="00ED3D96" w:rsidRPr="002B2235">
        <w:rPr>
          <w:szCs w:val="22"/>
        </w:rPr>
        <w:t xml:space="preserve">: </w:t>
      </w:r>
      <w:r w:rsidR="00765EAD" w:rsidRPr="002B2235">
        <w:rPr>
          <w:szCs w:val="22"/>
        </w:rPr>
        <w:t>2012</w:t>
      </w:r>
      <w:r w:rsidR="00ED3D96" w:rsidRPr="002B2235">
        <w:rPr>
          <w:szCs w:val="22"/>
        </w:rPr>
        <w:t xml:space="preserve"> versus </w:t>
      </w:r>
      <w:r w:rsidR="00765EAD" w:rsidRPr="002B2235">
        <w:rPr>
          <w:szCs w:val="22"/>
        </w:rPr>
        <w:t>2016</w:t>
      </w:r>
      <w:bookmarkEnd w:id="26"/>
      <w:r w:rsidR="00765EAD" w:rsidRPr="002B2235">
        <w:rPr>
          <w:szCs w:val="22"/>
        </w:rPr>
        <w:t>.</w:t>
      </w:r>
      <w:bookmarkEnd w:id="27"/>
    </w:p>
    <w:tbl>
      <w:tblPr>
        <w:tblStyle w:val="TableGrid"/>
        <w:tblW w:w="0" w:type="auto"/>
        <w:tblInd w:w="-5" w:type="dxa"/>
        <w:tblLook w:val="04A0" w:firstRow="1" w:lastRow="0" w:firstColumn="1" w:lastColumn="0" w:noHBand="0" w:noVBand="1"/>
      </w:tblPr>
      <w:tblGrid>
        <w:gridCol w:w="1268"/>
        <w:gridCol w:w="1796"/>
        <w:gridCol w:w="2297"/>
        <w:gridCol w:w="1383"/>
        <w:gridCol w:w="1384"/>
        <w:gridCol w:w="1364"/>
      </w:tblGrid>
      <w:tr w:rsidR="000407D6" w14:paraId="39B57215" w14:textId="77777777" w:rsidTr="00CD73A6">
        <w:trPr>
          <w:trHeight w:val="567"/>
          <w:tblHeader/>
        </w:trPr>
        <w:tc>
          <w:tcPr>
            <w:tcW w:w="9492" w:type="dxa"/>
            <w:gridSpan w:val="6"/>
            <w:shd w:val="clear" w:color="auto" w:fill="B6DDE8" w:themeFill="accent5" w:themeFillTint="66"/>
            <w:vAlign w:val="center"/>
          </w:tcPr>
          <w:p w14:paraId="3EE386C1" w14:textId="5759DEB4" w:rsidR="000407D6" w:rsidRPr="000D1CDB" w:rsidRDefault="00AB198F" w:rsidP="002907AC">
            <w:pPr>
              <w:spacing w:after="120"/>
              <w:jc w:val="center"/>
            </w:pPr>
            <w:r w:rsidRPr="000D1CDB">
              <w:rPr>
                <w:color w:val="000000" w:themeColor="text1"/>
              </w:rPr>
              <w:t>MOBILE</w:t>
            </w:r>
            <w:r w:rsidR="000407D6" w:rsidRPr="000D1CDB">
              <w:rPr>
                <w:color w:val="000000" w:themeColor="text1"/>
              </w:rPr>
              <w:t xml:space="preserve"> AIR CONDITIONING</w:t>
            </w:r>
          </w:p>
        </w:tc>
      </w:tr>
      <w:tr w:rsidR="000407D6" w14:paraId="4EDF3D0C" w14:textId="77777777" w:rsidTr="00CD73A6">
        <w:trPr>
          <w:trHeight w:val="567"/>
          <w:tblHeader/>
        </w:trPr>
        <w:tc>
          <w:tcPr>
            <w:tcW w:w="1268" w:type="dxa"/>
            <w:shd w:val="clear" w:color="auto" w:fill="B6DDE8" w:themeFill="accent5" w:themeFillTint="66"/>
            <w:vAlign w:val="center"/>
          </w:tcPr>
          <w:p w14:paraId="00E65804" w14:textId="3968A51D" w:rsidR="000407D6" w:rsidRPr="000D1CDB" w:rsidRDefault="00F863A5" w:rsidP="00765EAD">
            <w:pPr>
              <w:spacing w:before="60" w:after="60"/>
              <w:jc w:val="center"/>
            </w:pPr>
            <w:r w:rsidRPr="000D1CDB">
              <w:rPr>
                <w:color w:val="000000" w:themeColor="text1"/>
              </w:rPr>
              <w:t>Category c</w:t>
            </w:r>
            <w:r w:rsidR="000407D6" w:rsidRPr="000D1CDB">
              <w:rPr>
                <w:color w:val="000000" w:themeColor="text1"/>
              </w:rPr>
              <w:t>ode</w:t>
            </w:r>
          </w:p>
        </w:tc>
        <w:tc>
          <w:tcPr>
            <w:tcW w:w="1796" w:type="dxa"/>
            <w:shd w:val="clear" w:color="auto" w:fill="B6DDE8" w:themeFill="accent5" w:themeFillTint="66"/>
            <w:vAlign w:val="center"/>
          </w:tcPr>
          <w:p w14:paraId="1FCB3067" w14:textId="77777777" w:rsidR="000407D6" w:rsidRPr="000D1CDB" w:rsidRDefault="000407D6" w:rsidP="00765EAD">
            <w:pPr>
              <w:spacing w:before="60" w:after="60"/>
              <w:jc w:val="left"/>
            </w:pPr>
            <w:r w:rsidRPr="000D1CDB">
              <w:rPr>
                <w:color w:val="000000" w:themeColor="text1"/>
              </w:rPr>
              <w:t>Application</w:t>
            </w:r>
          </w:p>
        </w:tc>
        <w:tc>
          <w:tcPr>
            <w:tcW w:w="2297" w:type="dxa"/>
            <w:shd w:val="clear" w:color="auto" w:fill="B6DDE8" w:themeFill="accent5" w:themeFillTint="66"/>
            <w:vAlign w:val="center"/>
          </w:tcPr>
          <w:p w14:paraId="510C9392" w14:textId="77777777" w:rsidR="000407D6" w:rsidRPr="000D1CDB" w:rsidRDefault="000407D6" w:rsidP="002907AC">
            <w:pPr>
              <w:spacing w:before="60" w:after="60"/>
            </w:pPr>
            <w:r w:rsidRPr="000D1CDB">
              <w:rPr>
                <w:color w:val="000000" w:themeColor="text1"/>
              </w:rPr>
              <w:t>Product category</w:t>
            </w:r>
          </w:p>
        </w:tc>
        <w:tc>
          <w:tcPr>
            <w:tcW w:w="1383" w:type="dxa"/>
            <w:shd w:val="clear" w:color="auto" w:fill="B6DDE8" w:themeFill="accent5" w:themeFillTint="66"/>
            <w:vAlign w:val="center"/>
          </w:tcPr>
          <w:p w14:paraId="6A861733" w14:textId="77777777" w:rsidR="000407D6" w:rsidRPr="000D1CDB" w:rsidRDefault="000407D6" w:rsidP="002907AC">
            <w:pPr>
              <w:spacing w:before="60" w:after="60"/>
              <w:jc w:val="center"/>
              <w:rPr>
                <w:color w:val="000000" w:themeColor="text1"/>
              </w:rPr>
            </w:pPr>
            <w:r w:rsidRPr="000D1CDB">
              <w:rPr>
                <w:color w:val="000000" w:themeColor="text1"/>
              </w:rPr>
              <w:t>Total (Units) 2012</w:t>
            </w:r>
          </w:p>
        </w:tc>
        <w:tc>
          <w:tcPr>
            <w:tcW w:w="1384" w:type="dxa"/>
            <w:shd w:val="clear" w:color="auto" w:fill="B6DDE8" w:themeFill="accent5" w:themeFillTint="66"/>
            <w:vAlign w:val="center"/>
          </w:tcPr>
          <w:p w14:paraId="3534E8E1" w14:textId="77777777" w:rsidR="000407D6" w:rsidRPr="000D1CDB" w:rsidRDefault="000407D6" w:rsidP="002907AC">
            <w:pPr>
              <w:spacing w:before="60" w:after="60"/>
              <w:jc w:val="center"/>
              <w:rPr>
                <w:color w:val="000000" w:themeColor="text1"/>
              </w:rPr>
            </w:pPr>
            <w:r w:rsidRPr="000D1CDB">
              <w:rPr>
                <w:color w:val="000000" w:themeColor="text1"/>
              </w:rPr>
              <w:t>Total (Units) 2016</w:t>
            </w:r>
          </w:p>
        </w:tc>
        <w:tc>
          <w:tcPr>
            <w:tcW w:w="1364" w:type="dxa"/>
            <w:shd w:val="clear" w:color="auto" w:fill="B6DDE8" w:themeFill="accent5" w:themeFillTint="66"/>
            <w:vAlign w:val="center"/>
          </w:tcPr>
          <w:p w14:paraId="49D6C20D" w14:textId="77777777" w:rsidR="000407D6" w:rsidRPr="000D1CDB" w:rsidRDefault="000407D6" w:rsidP="002907AC">
            <w:pPr>
              <w:spacing w:before="60" w:after="60"/>
              <w:jc w:val="center"/>
              <w:rPr>
                <w:color w:val="000000" w:themeColor="text1"/>
              </w:rPr>
            </w:pPr>
            <w:r w:rsidRPr="000D1CDB">
              <w:rPr>
                <w:color w:val="000000" w:themeColor="text1"/>
              </w:rPr>
              <w:t>Change        (%)</w:t>
            </w:r>
          </w:p>
        </w:tc>
      </w:tr>
      <w:tr w:rsidR="000E41C8" w14:paraId="54409E22" w14:textId="77777777" w:rsidTr="00D8549E">
        <w:trPr>
          <w:trHeight w:val="567"/>
        </w:trPr>
        <w:tc>
          <w:tcPr>
            <w:tcW w:w="1268" w:type="dxa"/>
            <w:vAlign w:val="center"/>
          </w:tcPr>
          <w:p w14:paraId="6535C468" w14:textId="1DCD85CA" w:rsidR="000E41C8" w:rsidRPr="000D1CDB" w:rsidRDefault="000E41C8" w:rsidP="00765EAD">
            <w:pPr>
              <w:spacing w:before="60" w:after="60"/>
              <w:jc w:val="center"/>
            </w:pPr>
            <w:r w:rsidRPr="000D1CDB">
              <w:rPr>
                <w:color w:val="000000"/>
              </w:rPr>
              <w:t>MAC1-1</w:t>
            </w:r>
          </w:p>
        </w:tc>
        <w:tc>
          <w:tcPr>
            <w:tcW w:w="1796" w:type="dxa"/>
            <w:vAlign w:val="center"/>
          </w:tcPr>
          <w:p w14:paraId="5ABCBBD2" w14:textId="75445019" w:rsidR="000E41C8" w:rsidRPr="000D1CDB" w:rsidRDefault="000E41C8" w:rsidP="00765EAD">
            <w:pPr>
              <w:spacing w:before="60" w:after="60"/>
              <w:jc w:val="left"/>
            </w:pPr>
            <w:r w:rsidRPr="000D1CDB">
              <w:rPr>
                <w:color w:val="000000"/>
              </w:rPr>
              <w:t>Registered vehicles &lt;3.5t GVM</w:t>
            </w:r>
          </w:p>
        </w:tc>
        <w:tc>
          <w:tcPr>
            <w:tcW w:w="2297" w:type="dxa"/>
            <w:vAlign w:val="center"/>
          </w:tcPr>
          <w:p w14:paraId="157E52AA" w14:textId="25495770" w:rsidR="000E41C8" w:rsidRPr="000D1CDB" w:rsidRDefault="000E41C8" w:rsidP="002907AC">
            <w:pPr>
              <w:spacing w:before="60" w:after="60"/>
              <w:jc w:val="left"/>
            </w:pPr>
            <w:r w:rsidRPr="000D1CDB">
              <w:rPr>
                <w:color w:val="000000"/>
              </w:rPr>
              <w:t>Passenger vehicles</w:t>
            </w:r>
          </w:p>
        </w:tc>
        <w:tc>
          <w:tcPr>
            <w:tcW w:w="1383" w:type="dxa"/>
            <w:vAlign w:val="center"/>
          </w:tcPr>
          <w:p w14:paraId="2A360266" w14:textId="66BE54A6" w:rsidR="000E41C8" w:rsidRPr="000D1CDB" w:rsidRDefault="000E41C8" w:rsidP="002907AC">
            <w:pPr>
              <w:spacing w:before="60" w:after="60"/>
              <w:jc w:val="center"/>
            </w:pPr>
            <w:r w:rsidRPr="000D1CDB">
              <w:rPr>
                <w:color w:val="000000"/>
              </w:rPr>
              <w:t>12,079,000</w:t>
            </w:r>
          </w:p>
        </w:tc>
        <w:tc>
          <w:tcPr>
            <w:tcW w:w="1384" w:type="dxa"/>
            <w:vAlign w:val="center"/>
          </w:tcPr>
          <w:p w14:paraId="7506D732" w14:textId="2EC25872" w:rsidR="000E41C8" w:rsidRPr="000D1CDB" w:rsidRDefault="000E41C8" w:rsidP="002907AC">
            <w:pPr>
              <w:spacing w:before="60" w:after="60"/>
              <w:jc w:val="center"/>
            </w:pPr>
            <w:r w:rsidRPr="000D1CDB">
              <w:rPr>
                <w:color w:val="000000"/>
              </w:rPr>
              <w:t>13,938,000</w:t>
            </w:r>
          </w:p>
        </w:tc>
        <w:tc>
          <w:tcPr>
            <w:tcW w:w="1364" w:type="dxa"/>
            <w:vAlign w:val="center"/>
          </w:tcPr>
          <w:p w14:paraId="227A98B2" w14:textId="5D87E547" w:rsidR="000E41C8" w:rsidRPr="000D1CDB" w:rsidRDefault="000E41C8" w:rsidP="002907AC">
            <w:pPr>
              <w:spacing w:before="60" w:after="60"/>
              <w:jc w:val="center"/>
            </w:pPr>
            <w:r w:rsidRPr="000D1CDB">
              <w:rPr>
                <w:color w:val="000000"/>
              </w:rPr>
              <w:t>15%</w:t>
            </w:r>
          </w:p>
        </w:tc>
      </w:tr>
      <w:tr w:rsidR="000E41C8" w14:paraId="2524568C" w14:textId="77777777" w:rsidTr="00D8549E">
        <w:trPr>
          <w:trHeight w:val="567"/>
        </w:trPr>
        <w:tc>
          <w:tcPr>
            <w:tcW w:w="1268" w:type="dxa"/>
            <w:vAlign w:val="center"/>
          </w:tcPr>
          <w:p w14:paraId="4DFF6467" w14:textId="3A4D2A62" w:rsidR="000E41C8" w:rsidRPr="000D1CDB" w:rsidRDefault="000E41C8" w:rsidP="00765EAD">
            <w:pPr>
              <w:spacing w:before="60" w:after="60"/>
              <w:jc w:val="center"/>
            </w:pPr>
            <w:r w:rsidRPr="000D1CDB">
              <w:rPr>
                <w:color w:val="000000"/>
              </w:rPr>
              <w:t>MAC1-2</w:t>
            </w:r>
          </w:p>
        </w:tc>
        <w:tc>
          <w:tcPr>
            <w:tcW w:w="1796" w:type="dxa"/>
            <w:vAlign w:val="center"/>
          </w:tcPr>
          <w:p w14:paraId="59BBAC64" w14:textId="58C1C997" w:rsidR="000E41C8" w:rsidRPr="000D1CDB" w:rsidRDefault="000E41C8" w:rsidP="00765EAD">
            <w:pPr>
              <w:spacing w:before="60" w:after="60"/>
              <w:jc w:val="left"/>
            </w:pPr>
            <w:r w:rsidRPr="000D1CDB">
              <w:rPr>
                <w:color w:val="000000"/>
              </w:rPr>
              <w:t>Registered vehicles &lt;3.5t GVM</w:t>
            </w:r>
          </w:p>
        </w:tc>
        <w:tc>
          <w:tcPr>
            <w:tcW w:w="2297" w:type="dxa"/>
            <w:vAlign w:val="center"/>
          </w:tcPr>
          <w:p w14:paraId="6F0A4D9B" w14:textId="09AC263A" w:rsidR="000E41C8" w:rsidRPr="000D1CDB" w:rsidRDefault="000E41C8" w:rsidP="002907AC">
            <w:pPr>
              <w:spacing w:before="60" w:after="60"/>
              <w:jc w:val="left"/>
            </w:pPr>
            <w:r w:rsidRPr="000D1CDB">
              <w:rPr>
                <w:color w:val="000000"/>
              </w:rPr>
              <w:t>Light commercial vehicles</w:t>
            </w:r>
          </w:p>
        </w:tc>
        <w:tc>
          <w:tcPr>
            <w:tcW w:w="1383" w:type="dxa"/>
            <w:vAlign w:val="center"/>
          </w:tcPr>
          <w:p w14:paraId="795026D8" w14:textId="3D5ED88C" w:rsidR="000E41C8" w:rsidRPr="000D1CDB" w:rsidRDefault="000E41C8" w:rsidP="002907AC">
            <w:pPr>
              <w:spacing w:before="60" w:after="60"/>
              <w:jc w:val="center"/>
            </w:pPr>
            <w:r w:rsidRPr="000D1CDB">
              <w:rPr>
                <w:color w:val="000000"/>
              </w:rPr>
              <w:t>2,487,000</w:t>
            </w:r>
          </w:p>
        </w:tc>
        <w:tc>
          <w:tcPr>
            <w:tcW w:w="1384" w:type="dxa"/>
            <w:vAlign w:val="center"/>
          </w:tcPr>
          <w:p w14:paraId="12EF3045" w14:textId="7AA6517E" w:rsidR="000E41C8" w:rsidRPr="000D1CDB" w:rsidRDefault="000E41C8" w:rsidP="002907AC">
            <w:pPr>
              <w:spacing w:before="60" w:after="60"/>
              <w:jc w:val="center"/>
            </w:pPr>
            <w:r w:rsidRPr="000D1CDB">
              <w:rPr>
                <w:color w:val="000000"/>
              </w:rPr>
              <w:t>3,049,000</w:t>
            </w:r>
          </w:p>
        </w:tc>
        <w:tc>
          <w:tcPr>
            <w:tcW w:w="1364" w:type="dxa"/>
            <w:vAlign w:val="center"/>
          </w:tcPr>
          <w:p w14:paraId="7D1B8E05" w14:textId="51A5A980" w:rsidR="000E41C8" w:rsidRPr="000D1CDB" w:rsidRDefault="000E41C8" w:rsidP="002907AC">
            <w:pPr>
              <w:spacing w:before="60" w:after="60"/>
              <w:jc w:val="center"/>
            </w:pPr>
            <w:r w:rsidRPr="000D1CDB">
              <w:rPr>
                <w:color w:val="000000"/>
              </w:rPr>
              <w:t>2</w:t>
            </w:r>
            <w:r w:rsidR="002F42EF" w:rsidRPr="000D1CDB">
              <w:rPr>
                <w:color w:val="000000"/>
              </w:rPr>
              <w:t>3</w:t>
            </w:r>
            <w:r w:rsidRPr="000D1CDB">
              <w:rPr>
                <w:color w:val="000000"/>
              </w:rPr>
              <w:t>%</w:t>
            </w:r>
          </w:p>
        </w:tc>
      </w:tr>
      <w:tr w:rsidR="000E41C8" w14:paraId="7CF28BD1" w14:textId="77777777" w:rsidTr="00D8549E">
        <w:trPr>
          <w:trHeight w:val="567"/>
        </w:trPr>
        <w:tc>
          <w:tcPr>
            <w:tcW w:w="1268" w:type="dxa"/>
            <w:vAlign w:val="center"/>
          </w:tcPr>
          <w:p w14:paraId="4695631C" w14:textId="1E8E056A" w:rsidR="000E41C8" w:rsidRPr="000D1CDB" w:rsidRDefault="000E41C8" w:rsidP="00765EAD">
            <w:pPr>
              <w:spacing w:before="60" w:after="60"/>
              <w:jc w:val="center"/>
            </w:pPr>
            <w:r w:rsidRPr="000D1CDB">
              <w:rPr>
                <w:color w:val="000000"/>
              </w:rPr>
              <w:t>MAC1-3</w:t>
            </w:r>
          </w:p>
        </w:tc>
        <w:tc>
          <w:tcPr>
            <w:tcW w:w="1796" w:type="dxa"/>
            <w:vAlign w:val="center"/>
          </w:tcPr>
          <w:p w14:paraId="6C07FFF0" w14:textId="1D5F7F19" w:rsidR="000E41C8" w:rsidRPr="000D1CDB" w:rsidRDefault="000E41C8" w:rsidP="00765EAD">
            <w:pPr>
              <w:spacing w:before="60" w:after="60"/>
              <w:jc w:val="left"/>
            </w:pPr>
            <w:r w:rsidRPr="000D1CDB">
              <w:rPr>
                <w:color w:val="000000"/>
              </w:rPr>
              <w:t>Registered vehicles &lt;3.5t GVM</w:t>
            </w:r>
          </w:p>
        </w:tc>
        <w:tc>
          <w:tcPr>
            <w:tcW w:w="2297" w:type="dxa"/>
            <w:vAlign w:val="center"/>
          </w:tcPr>
          <w:p w14:paraId="09F28111" w14:textId="2C433DF0" w:rsidR="000E41C8" w:rsidRPr="000D1CDB" w:rsidRDefault="000E41C8" w:rsidP="002907AC">
            <w:pPr>
              <w:spacing w:before="60" w:after="60"/>
              <w:jc w:val="left"/>
            </w:pPr>
            <w:r w:rsidRPr="000D1CDB">
              <w:rPr>
                <w:color w:val="000000"/>
              </w:rPr>
              <w:t>Rigid truck and other</w:t>
            </w:r>
          </w:p>
        </w:tc>
        <w:tc>
          <w:tcPr>
            <w:tcW w:w="1383" w:type="dxa"/>
            <w:vAlign w:val="center"/>
          </w:tcPr>
          <w:p w14:paraId="374E2BCA" w14:textId="332E6592" w:rsidR="000E41C8" w:rsidRPr="000D1CDB" w:rsidRDefault="000E41C8" w:rsidP="002907AC">
            <w:pPr>
              <w:spacing w:before="60" w:after="60"/>
              <w:jc w:val="center"/>
            </w:pPr>
            <w:r w:rsidRPr="000D1CDB">
              <w:rPr>
                <w:color w:val="000000"/>
              </w:rPr>
              <w:t>422,000</w:t>
            </w:r>
          </w:p>
        </w:tc>
        <w:tc>
          <w:tcPr>
            <w:tcW w:w="1384" w:type="dxa"/>
            <w:vAlign w:val="center"/>
          </w:tcPr>
          <w:p w14:paraId="4CF2AA37" w14:textId="53697161" w:rsidR="000E41C8" w:rsidRPr="000D1CDB" w:rsidRDefault="004740F7" w:rsidP="002907AC">
            <w:pPr>
              <w:spacing w:before="60" w:after="60"/>
              <w:jc w:val="center"/>
            </w:pPr>
            <w:r w:rsidRPr="000D1CDB">
              <w:t>489,000</w:t>
            </w:r>
          </w:p>
        </w:tc>
        <w:tc>
          <w:tcPr>
            <w:tcW w:w="1364" w:type="dxa"/>
            <w:vAlign w:val="center"/>
          </w:tcPr>
          <w:p w14:paraId="1478E4E9" w14:textId="27A2073E" w:rsidR="000E41C8" w:rsidRPr="000D1CDB" w:rsidRDefault="00DC5211" w:rsidP="002907AC">
            <w:pPr>
              <w:spacing w:before="60" w:after="60"/>
              <w:jc w:val="center"/>
            </w:pPr>
            <w:r w:rsidRPr="000D1CDB">
              <w:rPr>
                <w:color w:val="000000"/>
              </w:rPr>
              <w:t>16</w:t>
            </w:r>
            <w:r w:rsidR="000E41C8" w:rsidRPr="000D1CDB">
              <w:rPr>
                <w:color w:val="000000"/>
              </w:rPr>
              <w:t>%</w:t>
            </w:r>
          </w:p>
        </w:tc>
      </w:tr>
      <w:tr w:rsidR="000E41C8" w14:paraId="19A033F9" w14:textId="77777777" w:rsidTr="00D8549E">
        <w:trPr>
          <w:trHeight w:val="567"/>
        </w:trPr>
        <w:tc>
          <w:tcPr>
            <w:tcW w:w="1268" w:type="dxa"/>
            <w:vAlign w:val="center"/>
          </w:tcPr>
          <w:p w14:paraId="303F9B63" w14:textId="4901B3E3" w:rsidR="000E41C8" w:rsidRPr="000D1CDB" w:rsidRDefault="000E41C8" w:rsidP="00765EAD">
            <w:pPr>
              <w:spacing w:before="60" w:after="60"/>
              <w:jc w:val="center"/>
            </w:pPr>
            <w:r w:rsidRPr="000D1CDB">
              <w:rPr>
                <w:color w:val="000000"/>
              </w:rPr>
              <w:t>MAC1-4</w:t>
            </w:r>
          </w:p>
        </w:tc>
        <w:tc>
          <w:tcPr>
            <w:tcW w:w="1796" w:type="dxa"/>
            <w:vAlign w:val="center"/>
          </w:tcPr>
          <w:p w14:paraId="1338E82E" w14:textId="739BA25E" w:rsidR="000E41C8" w:rsidRPr="000D1CDB" w:rsidRDefault="000E41C8" w:rsidP="00765EAD">
            <w:pPr>
              <w:spacing w:before="60" w:after="60"/>
              <w:jc w:val="left"/>
            </w:pPr>
            <w:r w:rsidRPr="000D1CDB">
              <w:rPr>
                <w:color w:val="000000"/>
              </w:rPr>
              <w:t>Registered vehicles ≥3.5t GVM</w:t>
            </w:r>
          </w:p>
        </w:tc>
        <w:tc>
          <w:tcPr>
            <w:tcW w:w="2297" w:type="dxa"/>
            <w:vAlign w:val="center"/>
          </w:tcPr>
          <w:p w14:paraId="092FDD91" w14:textId="2AABE2E0" w:rsidR="000E41C8" w:rsidRPr="000D1CDB" w:rsidRDefault="000E41C8" w:rsidP="002907AC">
            <w:pPr>
              <w:spacing w:before="60" w:after="60"/>
              <w:jc w:val="left"/>
            </w:pPr>
            <w:r w:rsidRPr="000D1CDB">
              <w:rPr>
                <w:color w:val="000000"/>
              </w:rPr>
              <w:t>Truck: articulated</w:t>
            </w:r>
          </w:p>
        </w:tc>
        <w:tc>
          <w:tcPr>
            <w:tcW w:w="1383" w:type="dxa"/>
            <w:vAlign w:val="center"/>
          </w:tcPr>
          <w:p w14:paraId="0C53C7A4" w14:textId="3E77C523" w:rsidR="000E41C8" w:rsidRPr="000D1CDB" w:rsidRDefault="000E41C8" w:rsidP="002907AC">
            <w:pPr>
              <w:spacing w:before="60" w:after="60"/>
              <w:jc w:val="center"/>
            </w:pPr>
            <w:r w:rsidRPr="000D1CDB">
              <w:rPr>
                <w:color w:val="000000"/>
              </w:rPr>
              <w:t>88,000</w:t>
            </w:r>
          </w:p>
        </w:tc>
        <w:tc>
          <w:tcPr>
            <w:tcW w:w="1384" w:type="dxa"/>
            <w:vAlign w:val="center"/>
          </w:tcPr>
          <w:p w14:paraId="051E8864" w14:textId="13D2AE5A" w:rsidR="000E41C8" w:rsidRPr="000D1CDB" w:rsidRDefault="000E41C8" w:rsidP="002907AC">
            <w:pPr>
              <w:spacing w:before="60" w:after="60"/>
              <w:jc w:val="center"/>
            </w:pPr>
            <w:r w:rsidRPr="000D1CDB">
              <w:rPr>
                <w:color w:val="000000"/>
              </w:rPr>
              <w:t>98,100</w:t>
            </w:r>
          </w:p>
        </w:tc>
        <w:tc>
          <w:tcPr>
            <w:tcW w:w="1364" w:type="dxa"/>
            <w:vAlign w:val="center"/>
          </w:tcPr>
          <w:p w14:paraId="7F632570" w14:textId="534C09B3" w:rsidR="000E41C8" w:rsidRPr="000D1CDB" w:rsidRDefault="000E41C8" w:rsidP="002907AC">
            <w:pPr>
              <w:spacing w:before="60" w:after="60"/>
              <w:jc w:val="center"/>
            </w:pPr>
            <w:r w:rsidRPr="000D1CDB">
              <w:rPr>
                <w:color w:val="000000"/>
              </w:rPr>
              <w:t>1</w:t>
            </w:r>
            <w:r w:rsidR="002F42EF" w:rsidRPr="000D1CDB">
              <w:rPr>
                <w:color w:val="000000"/>
              </w:rPr>
              <w:t>2</w:t>
            </w:r>
            <w:r w:rsidRPr="000D1CDB">
              <w:rPr>
                <w:color w:val="000000"/>
              </w:rPr>
              <w:t>%</w:t>
            </w:r>
          </w:p>
        </w:tc>
      </w:tr>
      <w:tr w:rsidR="000E41C8" w14:paraId="321BEC2F" w14:textId="77777777" w:rsidTr="00CD73A6">
        <w:trPr>
          <w:trHeight w:val="567"/>
        </w:trPr>
        <w:tc>
          <w:tcPr>
            <w:tcW w:w="1268" w:type="dxa"/>
            <w:tcBorders>
              <w:bottom w:val="single" w:sz="4" w:space="0" w:color="000000"/>
            </w:tcBorders>
            <w:vAlign w:val="center"/>
          </w:tcPr>
          <w:p w14:paraId="31F69BB8" w14:textId="0EACC8BD" w:rsidR="000E41C8" w:rsidRPr="000D1CDB" w:rsidRDefault="000E41C8" w:rsidP="00765EAD">
            <w:pPr>
              <w:spacing w:before="60" w:after="60"/>
              <w:jc w:val="center"/>
            </w:pPr>
            <w:r w:rsidRPr="000D1CDB">
              <w:rPr>
                <w:color w:val="000000"/>
              </w:rPr>
              <w:t>MAC1-5</w:t>
            </w:r>
          </w:p>
        </w:tc>
        <w:tc>
          <w:tcPr>
            <w:tcW w:w="1796" w:type="dxa"/>
            <w:tcBorders>
              <w:bottom w:val="single" w:sz="4" w:space="0" w:color="000000"/>
            </w:tcBorders>
            <w:vAlign w:val="center"/>
          </w:tcPr>
          <w:p w14:paraId="5CC0A787" w14:textId="34B0EA82" w:rsidR="000E41C8" w:rsidRPr="000D1CDB" w:rsidRDefault="000E41C8" w:rsidP="00765EAD">
            <w:pPr>
              <w:spacing w:before="60" w:after="60"/>
              <w:jc w:val="left"/>
            </w:pPr>
            <w:r w:rsidRPr="000D1CDB">
              <w:rPr>
                <w:color w:val="000000"/>
              </w:rPr>
              <w:t>Registered vehicles ≥3.5t GVM</w:t>
            </w:r>
          </w:p>
        </w:tc>
        <w:tc>
          <w:tcPr>
            <w:tcW w:w="2297" w:type="dxa"/>
            <w:tcBorders>
              <w:bottom w:val="single" w:sz="4" w:space="0" w:color="000000"/>
            </w:tcBorders>
            <w:vAlign w:val="center"/>
          </w:tcPr>
          <w:p w14:paraId="65E7BD08" w14:textId="1F2B782E" w:rsidR="000E41C8" w:rsidRPr="000D1CDB" w:rsidRDefault="000E41C8" w:rsidP="002907AC">
            <w:pPr>
              <w:spacing w:before="60" w:after="60"/>
              <w:jc w:val="left"/>
            </w:pPr>
            <w:r w:rsidRPr="000D1CDB">
              <w:rPr>
                <w:color w:val="000000"/>
              </w:rPr>
              <w:t>Commuter buses</w:t>
            </w:r>
          </w:p>
        </w:tc>
        <w:tc>
          <w:tcPr>
            <w:tcW w:w="1383" w:type="dxa"/>
            <w:vAlign w:val="center"/>
          </w:tcPr>
          <w:p w14:paraId="064BD7B1" w14:textId="45F5FC5E" w:rsidR="000E41C8" w:rsidRPr="000D1CDB" w:rsidRDefault="000E41C8" w:rsidP="002907AC">
            <w:pPr>
              <w:spacing w:before="60" w:after="60"/>
              <w:jc w:val="center"/>
            </w:pPr>
            <w:r w:rsidRPr="000D1CDB">
              <w:rPr>
                <w:color w:val="000000"/>
              </w:rPr>
              <w:t>68,600</w:t>
            </w:r>
          </w:p>
        </w:tc>
        <w:tc>
          <w:tcPr>
            <w:tcW w:w="1384" w:type="dxa"/>
            <w:vAlign w:val="center"/>
          </w:tcPr>
          <w:p w14:paraId="269E577A" w14:textId="08DF885B" w:rsidR="000E41C8" w:rsidRPr="000D1CDB" w:rsidRDefault="000E41C8" w:rsidP="002907AC">
            <w:pPr>
              <w:spacing w:before="60" w:after="60"/>
              <w:jc w:val="center"/>
            </w:pPr>
            <w:r w:rsidRPr="000D1CDB">
              <w:rPr>
                <w:color w:val="000000"/>
              </w:rPr>
              <w:t>55,000</w:t>
            </w:r>
          </w:p>
        </w:tc>
        <w:tc>
          <w:tcPr>
            <w:tcW w:w="1364" w:type="dxa"/>
            <w:vAlign w:val="center"/>
          </w:tcPr>
          <w:p w14:paraId="238EA350" w14:textId="027EB53F" w:rsidR="000E41C8" w:rsidRPr="000D1CDB" w:rsidRDefault="000E41C8" w:rsidP="002907AC">
            <w:pPr>
              <w:spacing w:before="60" w:after="60"/>
              <w:jc w:val="center"/>
            </w:pPr>
            <w:r w:rsidRPr="000D1CDB">
              <w:rPr>
                <w:color w:val="000000"/>
              </w:rPr>
              <w:t>NA</w:t>
            </w:r>
          </w:p>
        </w:tc>
      </w:tr>
      <w:tr w:rsidR="00765EAD" w14:paraId="2966CA88" w14:textId="77777777" w:rsidTr="00CD73A6">
        <w:trPr>
          <w:trHeight w:val="567"/>
        </w:trPr>
        <w:tc>
          <w:tcPr>
            <w:tcW w:w="1268" w:type="dxa"/>
            <w:shd w:val="clear" w:color="auto" w:fill="C6D9F1" w:themeFill="text2" w:themeFillTint="33"/>
            <w:vAlign w:val="center"/>
          </w:tcPr>
          <w:p w14:paraId="7440A2C9" w14:textId="5D62040F" w:rsidR="000E41C8" w:rsidRPr="000D1CDB" w:rsidRDefault="000E41C8" w:rsidP="00765EAD">
            <w:pPr>
              <w:spacing w:before="60" w:after="60"/>
              <w:jc w:val="center"/>
            </w:pPr>
            <w:r w:rsidRPr="000D1CDB">
              <w:rPr>
                <w:color w:val="000000"/>
              </w:rPr>
              <w:t>MAC2-1</w:t>
            </w:r>
          </w:p>
        </w:tc>
        <w:tc>
          <w:tcPr>
            <w:tcW w:w="1796" w:type="dxa"/>
            <w:shd w:val="clear" w:color="auto" w:fill="C6D9F1" w:themeFill="text2" w:themeFillTint="33"/>
            <w:vAlign w:val="center"/>
          </w:tcPr>
          <w:p w14:paraId="6EB1DF72" w14:textId="02214889" w:rsidR="000E41C8" w:rsidRPr="000D1CDB" w:rsidRDefault="000E41C8" w:rsidP="00765EAD">
            <w:pPr>
              <w:spacing w:before="60" w:after="60"/>
              <w:jc w:val="left"/>
            </w:pPr>
            <w:r w:rsidRPr="000D1CDB">
              <w:rPr>
                <w:color w:val="000000"/>
              </w:rPr>
              <w:t>Registered vehicles ≥4.5t &amp; &lt;12t GVM</w:t>
            </w:r>
          </w:p>
        </w:tc>
        <w:tc>
          <w:tcPr>
            <w:tcW w:w="2297" w:type="dxa"/>
            <w:shd w:val="clear" w:color="auto" w:fill="C6D9F1" w:themeFill="text2" w:themeFillTint="33"/>
            <w:vAlign w:val="center"/>
          </w:tcPr>
          <w:p w14:paraId="38D5FDF1" w14:textId="61AE3727" w:rsidR="000E41C8" w:rsidRPr="000D1CDB" w:rsidRDefault="000E41C8" w:rsidP="002907AC">
            <w:pPr>
              <w:spacing w:before="60" w:after="60"/>
              <w:jc w:val="left"/>
            </w:pPr>
            <w:r w:rsidRPr="000D1CDB">
              <w:rPr>
                <w:color w:val="000000"/>
              </w:rPr>
              <w:t>Buses and coaches: Small</w:t>
            </w:r>
          </w:p>
        </w:tc>
        <w:tc>
          <w:tcPr>
            <w:tcW w:w="1383" w:type="dxa"/>
            <w:vAlign w:val="center"/>
          </w:tcPr>
          <w:p w14:paraId="047BE530" w14:textId="51FBEF7A" w:rsidR="000E41C8" w:rsidRPr="000D1CDB" w:rsidRDefault="000E41C8" w:rsidP="002907AC">
            <w:pPr>
              <w:spacing w:before="60" w:after="60"/>
              <w:jc w:val="center"/>
            </w:pPr>
            <w:r w:rsidRPr="000D1CDB">
              <w:rPr>
                <w:color w:val="000000"/>
              </w:rPr>
              <w:t>22,000</w:t>
            </w:r>
          </w:p>
        </w:tc>
        <w:tc>
          <w:tcPr>
            <w:tcW w:w="1384" w:type="dxa"/>
            <w:vAlign w:val="center"/>
          </w:tcPr>
          <w:p w14:paraId="201425BA" w14:textId="491F0100" w:rsidR="000E41C8" w:rsidRPr="000D1CDB" w:rsidRDefault="000E41C8" w:rsidP="002907AC">
            <w:pPr>
              <w:spacing w:before="60" w:after="60"/>
              <w:jc w:val="center"/>
            </w:pPr>
            <w:r w:rsidRPr="000D1CDB">
              <w:rPr>
                <w:color w:val="000000"/>
              </w:rPr>
              <w:t>17,000</w:t>
            </w:r>
          </w:p>
        </w:tc>
        <w:tc>
          <w:tcPr>
            <w:tcW w:w="1364" w:type="dxa"/>
            <w:vAlign w:val="center"/>
          </w:tcPr>
          <w:p w14:paraId="3FF80864" w14:textId="45763A23" w:rsidR="000E41C8" w:rsidRPr="000D1CDB" w:rsidRDefault="000E41C8" w:rsidP="002907AC">
            <w:pPr>
              <w:spacing w:before="60" w:after="60"/>
              <w:jc w:val="center"/>
            </w:pPr>
            <w:r w:rsidRPr="000D1CDB">
              <w:rPr>
                <w:color w:val="000000"/>
              </w:rPr>
              <w:t>NA</w:t>
            </w:r>
          </w:p>
        </w:tc>
      </w:tr>
      <w:tr w:rsidR="000E41C8" w14:paraId="13FC8791" w14:textId="77777777" w:rsidTr="00D8549E">
        <w:trPr>
          <w:trHeight w:val="567"/>
        </w:trPr>
        <w:tc>
          <w:tcPr>
            <w:tcW w:w="1268" w:type="dxa"/>
            <w:vAlign w:val="center"/>
          </w:tcPr>
          <w:p w14:paraId="025AFDA0" w14:textId="58839DEF" w:rsidR="000E41C8" w:rsidRPr="000D1CDB" w:rsidRDefault="000E41C8" w:rsidP="00765EAD">
            <w:pPr>
              <w:spacing w:before="60" w:after="60"/>
              <w:jc w:val="center"/>
            </w:pPr>
            <w:r w:rsidRPr="000D1CDB">
              <w:rPr>
                <w:color w:val="000000"/>
              </w:rPr>
              <w:t>MAC2-2</w:t>
            </w:r>
          </w:p>
        </w:tc>
        <w:tc>
          <w:tcPr>
            <w:tcW w:w="1796" w:type="dxa"/>
            <w:vAlign w:val="center"/>
          </w:tcPr>
          <w:p w14:paraId="77C09E04" w14:textId="51E851F0" w:rsidR="000E41C8" w:rsidRPr="000D1CDB" w:rsidRDefault="000E41C8" w:rsidP="00765EAD">
            <w:pPr>
              <w:spacing w:before="60" w:after="60"/>
              <w:jc w:val="left"/>
            </w:pPr>
            <w:r w:rsidRPr="000D1CDB">
              <w:rPr>
                <w:color w:val="000000"/>
              </w:rPr>
              <w:t>Registered vehicles ≥12t GVM</w:t>
            </w:r>
          </w:p>
        </w:tc>
        <w:tc>
          <w:tcPr>
            <w:tcW w:w="2297" w:type="dxa"/>
            <w:vAlign w:val="center"/>
          </w:tcPr>
          <w:p w14:paraId="337AF6D1" w14:textId="7386C714" w:rsidR="000E41C8" w:rsidRPr="000D1CDB" w:rsidRDefault="000E41C8" w:rsidP="002907AC">
            <w:pPr>
              <w:spacing w:before="60" w:after="60"/>
              <w:jc w:val="left"/>
            </w:pPr>
            <w:r w:rsidRPr="000D1CDB">
              <w:rPr>
                <w:color w:val="000000"/>
              </w:rPr>
              <w:t>Buses and coaches: Large</w:t>
            </w:r>
          </w:p>
        </w:tc>
        <w:tc>
          <w:tcPr>
            <w:tcW w:w="1383" w:type="dxa"/>
            <w:vAlign w:val="center"/>
          </w:tcPr>
          <w:p w14:paraId="0F5B87F8" w14:textId="63A12216" w:rsidR="000E41C8" w:rsidRPr="000D1CDB" w:rsidRDefault="000E41C8" w:rsidP="002907AC">
            <w:pPr>
              <w:spacing w:before="60" w:after="60"/>
              <w:jc w:val="center"/>
            </w:pPr>
            <w:r w:rsidRPr="000D1CDB">
              <w:rPr>
                <w:color w:val="000000"/>
              </w:rPr>
              <w:t>NA</w:t>
            </w:r>
          </w:p>
        </w:tc>
        <w:tc>
          <w:tcPr>
            <w:tcW w:w="1384" w:type="dxa"/>
            <w:vAlign w:val="center"/>
          </w:tcPr>
          <w:p w14:paraId="457BF8FB" w14:textId="37A589DF" w:rsidR="000E41C8" w:rsidRPr="000D1CDB" w:rsidRDefault="000E41C8" w:rsidP="002907AC">
            <w:pPr>
              <w:spacing w:before="60" w:after="60"/>
              <w:jc w:val="center"/>
            </w:pPr>
            <w:r w:rsidRPr="000D1CDB">
              <w:rPr>
                <w:color w:val="000000"/>
              </w:rPr>
              <w:t>24,870</w:t>
            </w:r>
          </w:p>
        </w:tc>
        <w:tc>
          <w:tcPr>
            <w:tcW w:w="1364" w:type="dxa"/>
            <w:vAlign w:val="center"/>
          </w:tcPr>
          <w:p w14:paraId="400B7E64" w14:textId="64A70EB8" w:rsidR="000E41C8" w:rsidRPr="000D1CDB" w:rsidRDefault="000E41C8" w:rsidP="002907AC">
            <w:pPr>
              <w:spacing w:before="60" w:after="60"/>
              <w:jc w:val="center"/>
            </w:pPr>
            <w:r w:rsidRPr="000D1CDB">
              <w:rPr>
                <w:color w:val="000000"/>
              </w:rPr>
              <w:t>NA</w:t>
            </w:r>
          </w:p>
        </w:tc>
      </w:tr>
      <w:tr w:rsidR="000E41C8" w14:paraId="4BCFD048" w14:textId="77777777" w:rsidTr="00D8549E">
        <w:trPr>
          <w:trHeight w:val="567"/>
        </w:trPr>
        <w:tc>
          <w:tcPr>
            <w:tcW w:w="1268" w:type="dxa"/>
            <w:vAlign w:val="center"/>
          </w:tcPr>
          <w:p w14:paraId="59E972DB" w14:textId="023293BA" w:rsidR="000E41C8" w:rsidRPr="000D1CDB" w:rsidRDefault="000E41C8" w:rsidP="00765EAD">
            <w:pPr>
              <w:spacing w:before="60" w:after="60"/>
              <w:jc w:val="center"/>
            </w:pPr>
            <w:r w:rsidRPr="000D1CDB">
              <w:rPr>
                <w:color w:val="000000"/>
              </w:rPr>
              <w:t>MAC2-3</w:t>
            </w:r>
          </w:p>
        </w:tc>
        <w:tc>
          <w:tcPr>
            <w:tcW w:w="1796" w:type="dxa"/>
            <w:vAlign w:val="center"/>
          </w:tcPr>
          <w:p w14:paraId="6BE829B3" w14:textId="589C376F" w:rsidR="000E41C8" w:rsidRPr="000D1CDB" w:rsidRDefault="000E41C8" w:rsidP="00765EAD">
            <w:pPr>
              <w:spacing w:before="60" w:after="60"/>
              <w:jc w:val="left"/>
            </w:pPr>
            <w:r w:rsidRPr="000D1CDB">
              <w:rPr>
                <w:color w:val="000000"/>
              </w:rPr>
              <w:t>Rail</w:t>
            </w:r>
          </w:p>
        </w:tc>
        <w:tc>
          <w:tcPr>
            <w:tcW w:w="2297" w:type="dxa"/>
            <w:vAlign w:val="center"/>
          </w:tcPr>
          <w:p w14:paraId="4494B8AE" w14:textId="14904A65" w:rsidR="000E41C8" w:rsidRPr="000D1CDB" w:rsidRDefault="000E41C8" w:rsidP="002907AC">
            <w:pPr>
              <w:spacing w:before="60" w:after="60"/>
              <w:jc w:val="left"/>
            </w:pPr>
            <w:r w:rsidRPr="000D1CDB">
              <w:rPr>
                <w:color w:val="000000"/>
              </w:rPr>
              <w:t xml:space="preserve">Passenger rail </w:t>
            </w:r>
          </w:p>
        </w:tc>
        <w:tc>
          <w:tcPr>
            <w:tcW w:w="1383" w:type="dxa"/>
            <w:vAlign w:val="center"/>
          </w:tcPr>
          <w:p w14:paraId="187DC068" w14:textId="77EC9975" w:rsidR="000E41C8" w:rsidRPr="000D1CDB" w:rsidRDefault="000E41C8" w:rsidP="002907AC">
            <w:pPr>
              <w:spacing w:before="60" w:after="60"/>
              <w:jc w:val="center"/>
            </w:pPr>
            <w:r w:rsidRPr="000D1CDB">
              <w:rPr>
                <w:color w:val="000000"/>
              </w:rPr>
              <w:t>6,800</w:t>
            </w:r>
          </w:p>
        </w:tc>
        <w:tc>
          <w:tcPr>
            <w:tcW w:w="1384" w:type="dxa"/>
            <w:vAlign w:val="center"/>
          </w:tcPr>
          <w:p w14:paraId="2B4B1D6A" w14:textId="4AC81DEE" w:rsidR="000E41C8" w:rsidRPr="000D1CDB" w:rsidRDefault="000E41C8" w:rsidP="002907AC">
            <w:pPr>
              <w:spacing w:before="60" w:after="60"/>
              <w:jc w:val="center"/>
            </w:pPr>
            <w:r w:rsidRPr="000D1CDB">
              <w:rPr>
                <w:color w:val="000000"/>
              </w:rPr>
              <w:t>5,450</w:t>
            </w:r>
          </w:p>
        </w:tc>
        <w:tc>
          <w:tcPr>
            <w:tcW w:w="1364" w:type="dxa"/>
            <w:vAlign w:val="center"/>
          </w:tcPr>
          <w:p w14:paraId="7BB437DB" w14:textId="7A311A2F" w:rsidR="000E41C8" w:rsidRPr="000D1CDB" w:rsidRDefault="000E41C8" w:rsidP="002907AC">
            <w:pPr>
              <w:spacing w:before="60" w:after="60"/>
              <w:jc w:val="center"/>
            </w:pPr>
            <w:r w:rsidRPr="000D1CDB">
              <w:rPr>
                <w:color w:val="000000"/>
              </w:rPr>
              <w:t>NA</w:t>
            </w:r>
          </w:p>
        </w:tc>
      </w:tr>
      <w:tr w:rsidR="000E41C8" w14:paraId="19F814D6" w14:textId="77777777" w:rsidTr="00CD73A6">
        <w:trPr>
          <w:trHeight w:val="567"/>
        </w:trPr>
        <w:tc>
          <w:tcPr>
            <w:tcW w:w="1268" w:type="dxa"/>
            <w:tcBorders>
              <w:bottom w:val="single" w:sz="4" w:space="0" w:color="000000"/>
            </w:tcBorders>
            <w:vAlign w:val="center"/>
          </w:tcPr>
          <w:p w14:paraId="7E764094" w14:textId="3C366BE5" w:rsidR="000E41C8" w:rsidRPr="000D1CDB" w:rsidRDefault="000E41C8" w:rsidP="00765EAD">
            <w:pPr>
              <w:spacing w:before="60" w:after="60"/>
              <w:jc w:val="center"/>
            </w:pPr>
            <w:r w:rsidRPr="000D1CDB">
              <w:rPr>
                <w:color w:val="000000"/>
              </w:rPr>
              <w:t>MAC2-4</w:t>
            </w:r>
          </w:p>
        </w:tc>
        <w:tc>
          <w:tcPr>
            <w:tcW w:w="1796" w:type="dxa"/>
            <w:tcBorders>
              <w:bottom w:val="single" w:sz="4" w:space="0" w:color="000000"/>
            </w:tcBorders>
            <w:vAlign w:val="center"/>
          </w:tcPr>
          <w:p w14:paraId="19987996" w14:textId="7C078698" w:rsidR="000E41C8" w:rsidRPr="000D1CDB" w:rsidRDefault="000E41C8" w:rsidP="00765EAD">
            <w:pPr>
              <w:spacing w:before="60" w:after="60"/>
              <w:jc w:val="left"/>
            </w:pPr>
            <w:r w:rsidRPr="000D1CDB">
              <w:rPr>
                <w:color w:val="000000"/>
              </w:rPr>
              <w:t>Rail</w:t>
            </w:r>
          </w:p>
        </w:tc>
        <w:tc>
          <w:tcPr>
            <w:tcW w:w="2297" w:type="dxa"/>
            <w:tcBorders>
              <w:bottom w:val="single" w:sz="4" w:space="0" w:color="000000"/>
            </w:tcBorders>
            <w:vAlign w:val="center"/>
          </w:tcPr>
          <w:p w14:paraId="097D20E0" w14:textId="7E82CF8B" w:rsidR="000E41C8" w:rsidRPr="000D1CDB" w:rsidRDefault="000E41C8" w:rsidP="002907AC">
            <w:pPr>
              <w:spacing w:before="60" w:after="60"/>
              <w:jc w:val="left"/>
            </w:pPr>
            <w:r w:rsidRPr="000D1CDB">
              <w:rPr>
                <w:color w:val="000000"/>
              </w:rPr>
              <w:t>Locomotive</w:t>
            </w:r>
          </w:p>
        </w:tc>
        <w:tc>
          <w:tcPr>
            <w:tcW w:w="1383" w:type="dxa"/>
            <w:vAlign w:val="center"/>
          </w:tcPr>
          <w:p w14:paraId="2062D964" w14:textId="48C67E66" w:rsidR="000E41C8" w:rsidRPr="000D1CDB" w:rsidRDefault="000E41C8" w:rsidP="002907AC">
            <w:pPr>
              <w:spacing w:before="60" w:after="60"/>
              <w:jc w:val="center"/>
              <w:rPr>
                <w:color w:val="000000"/>
              </w:rPr>
            </w:pPr>
            <w:r w:rsidRPr="000D1CDB">
              <w:rPr>
                <w:color w:val="000000"/>
              </w:rPr>
              <w:t>1,900</w:t>
            </w:r>
          </w:p>
        </w:tc>
        <w:tc>
          <w:tcPr>
            <w:tcW w:w="1384" w:type="dxa"/>
            <w:vAlign w:val="center"/>
          </w:tcPr>
          <w:p w14:paraId="0B3A84A8" w14:textId="01EBFCAE" w:rsidR="000E41C8" w:rsidRPr="000D1CDB" w:rsidRDefault="000E41C8" w:rsidP="002907AC">
            <w:pPr>
              <w:spacing w:before="60" w:after="60"/>
              <w:jc w:val="center"/>
              <w:rPr>
                <w:color w:val="000000"/>
              </w:rPr>
            </w:pPr>
            <w:r w:rsidRPr="000D1CDB">
              <w:rPr>
                <w:color w:val="000000"/>
              </w:rPr>
              <w:t>2,050</w:t>
            </w:r>
          </w:p>
        </w:tc>
        <w:tc>
          <w:tcPr>
            <w:tcW w:w="1364" w:type="dxa"/>
            <w:vAlign w:val="center"/>
          </w:tcPr>
          <w:p w14:paraId="5EFFE4C4" w14:textId="3186E655" w:rsidR="000E41C8" w:rsidRPr="000D1CDB" w:rsidRDefault="002F42EF" w:rsidP="002907AC">
            <w:pPr>
              <w:spacing w:before="60" w:after="60"/>
              <w:jc w:val="center"/>
            </w:pPr>
            <w:r w:rsidRPr="000D1CDB">
              <w:rPr>
                <w:color w:val="000000"/>
              </w:rPr>
              <w:t>8</w:t>
            </w:r>
            <w:r w:rsidR="000E41C8" w:rsidRPr="000D1CDB">
              <w:rPr>
                <w:color w:val="000000"/>
              </w:rPr>
              <w:t>%</w:t>
            </w:r>
          </w:p>
        </w:tc>
      </w:tr>
      <w:tr w:rsidR="000E41C8" w14:paraId="67628138" w14:textId="77777777" w:rsidTr="00CD73A6">
        <w:trPr>
          <w:trHeight w:val="567"/>
        </w:trPr>
        <w:tc>
          <w:tcPr>
            <w:tcW w:w="1268" w:type="dxa"/>
            <w:shd w:val="clear" w:color="auto" w:fill="C6D9F1" w:themeFill="text2" w:themeFillTint="33"/>
            <w:vAlign w:val="center"/>
          </w:tcPr>
          <w:p w14:paraId="64BC3033" w14:textId="4528FC9F" w:rsidR="000E41C8" w:rsidRPr="000D1CDB" w:rsidRDefault="000E41C8" w:rsidP="00765EAD">
            <w:pPr>
              <w:spacing w:before="60" w:after="60"/>
              <w:jc w:val="center"/>
            </w:pPr>
            <w:r w:rsidRPr="000D1CDB">
              <w:rPr>
                <w:color w:val="000000"/>
              </w:rPr>
              <w:t>MAC2-5</w:t>
            </w:r>
          </w:p>
        </w:tc>
        <w:tc>
          <w:tcPr>
            <w:tcW w:w="1796" w:type="dxa"/>
            <w:shd w:val="clear" w:color="auto" w:fill="C6D9F1" w:themeFill="text2" w:themeFillTint="33"/>
            <w:vAlign w:val="center"/>
          </w:tcPr>
          <w:p w14:paraId="2291F09E" w14:textId="47C37D4A" w:rsidR="000E41C8" w:rsidRPr="000D1CDB" w:rsidRDefault="000E41C8" w:rsidP="00765EAD">
            <w:pPr>
              <w:spacing w:before="60" w:after="60"/>
              <w:jc w:val="left"/>
            </w:pPr>
            <w:r w:rsidRPr="000D1CDB">
              <w:rPr>
                <w:color w:val="000000"/>
              </w:rPr>
              <w:t>Vehicles: RV and caravan</w:t>
            </w:r>
          </w:p>
        </w:tc>
        <w:tc>
          <w:tcPr>
            <w:tcW w:w="2297" w:type="dxa"/>
            <w:shd w:val="clear" w:color="auto" w:fill="C6D9F1" w:themeFill="text2" w:themeFillTint="33"/>
            <w:vAlign w:val="center"/>
          </w:tcPr>
          <w:p w14:paraId="53C899F1" w14:textId="7B60F2F1" w:rsidR="000E41C8" w:rsidRPr="000D1CDB" w:rsidRDefault="000E41C8" w:rsidP="002907AC">
            <w:pPr>
              <w:spacing w:before="60" w:after="60"/>
              <w:jc w:val="left"/>
            </w:pPr>
            <w:r w:rsidRPr="000D1CDB">
              <w:rPr>
                <w:color w:val="000000"/>
              </w:rPr>
              <w:t>RV and caravan</w:t>
            </w:r>
          </w:p>
        </w:tc>
        <w:tc>
          <w:tcPr>
            <w:tcW w:w="1383" w:type="dxa"/>
            <w:vAlign w:val="center"/>
          </w:tcPr>
          <w:p w14:paraId="51C68366" w14:textId="27435429" w:rsidR="000E41C8" w:rsidRPr="000D1CDB" w:rsidRDefault="00E02C14" w:rsidP="002907AC">
            <w:pPr>
              <w:spacing w:before="60" w:after="60"/>
              <w:jc w:val="center"/>
            </w:pPr>
            <w:r w:rsidRPr="000D1CDB">
              <w:rPr>
                <w:color w:val="000000"/>
              </w:rPr>
              <w:t>N</w:t>
            </w:r>
            <w:r w:rsidR="000E41C8" w:rsidRPr="000D1CDB">
              <w:rPr>
                <w:color w:val="000000"/>
              </w:rPr>
              <w:t>A</w:t>
            </w:r>
          </w:p>
        </w:tc>
        <w:tc>
          <w:tcPr>
            <w:tcW w:w="1384" w:type="dxa"/>
            <w:vAlign w:val="center"/>
          </w:tcPr>
          <w:p w14:paraId="47ABB985" w14:textId="452D7C9B" w:rsidR="000E41C8" w:rsidRPr="000D1CDB" w:rsidRDefault="000E41C8" w:rsidP="002907AC">
            <w:pPr>
              <w:spacing w:before="60" w:after="60"/>
              <w:jc w:val="center"/>
            </w:pPr>
            <w:r w:rsidRPr="000D1CDB">
              <w:rPr>
                <w:color w:val="000000"/>
              </w:rPr>
              <w:t>452,000</w:t>
            </w:r>
          </w:p>
        </w:tc>
        <w:tc>
          <w:tcPr>
            <w:tcW w:w="1364" w:type="dxa"/>
            <w:vAlign w:val="center"/>
          </w:tcPr>
          <w:p w14:paraId="21F8F883" w14:textId="7D122670" w:rsidR="000E41C8" w:rsidRPr="000D1CDB" w:rsidRDefault="000E41C8" w:rsidP="002907AC">
            <w:pPr>
              <w:spacing w:before="60" w:after="60"/>
              <w:jc w:val="center"/>
            </w:pPr>
            <w:r w:rsidRPr="000D1CDB">
              <w:rPr>
                <w:color w:val="000000"/>
              </w:rPr>
              <w:t>NA</w:t>
            </w:r>
          </w:p>
        </w:tc>
      </w:tr>
      <w:tr w:rsidR="000E41C8" w14:paraId="72EBC5DA" w14:textId="77777777" w:rsidTr="00CD73A6">
        <w:trPr>
          <w:trHeight w:val="567"/>
        </w:trPr>
        <w:tc>
          <w:tcPr>
            <w:tcW w:w="1268" w:type="dxa"/>
            <w:tcBorders>
              <w:bottom w:val="single" w:sz="4" w:space="0" w:color="000000"/>
            </w:tcBorders>
            <w:vAlign w:val="center"/>
          </w:tcPr>
          <w:p w14:paraId="68A0BB07" w14:textId="7ABDCD5E" w:rsidR="000E41C8" w:rsidRPr="000D1CDB" w:rsidRDefault="000E41C8" w:rsidP="00765EAD">
            <w:pPr>
              <w:spacing w:before="60" w:after="60"/>
              <w:jc w:val="center"/>
            </w:pPr>
            <w:r w:rsidRPr="000D1CDB">
              <w:rPr>
                <w:color w:val="000000"/>
              </w:rPr>
              <w:t>MAC2-6</w:t>
            </w:r>
          </w:p>
        </w:tc>
        <w:tc>
          <w:tcPr>
            <w:tcW w:w="1796" w:type="dxa"/>
            <w:tcBorders>
              <w:bottom w:val="single" w:sz="4" w:space="0" w:color="000000"/>
            </w:tcBorders>
            <w:vAlign w:val="center"/>
          </w:tcPr>
          <w:p w14:paraId="7933DA40" w14:textId="31AA5454" w:rsidR="000E41C8" w:rsidRPr="000D1CDB" w:rsidRDefault="000E41C8" w:rsidP="00765EAD">
            <w:pPr>
              <w:spacing w:before="60" w:after="60"/>
              <w:jc w:val="left"/>
            </w:pPr>
            <w:r w:rsidRPr="000D1CDB">
              <w:rPr>
                <w:color w:val="000000"/>
              </w:rPr>
              <w:t>Un-registered</w:t>
            </w:r>
          </w:p>
        </w:tc>
        <w:tc>
          <w:tcPr>
            <w:tcW w:w="2297" w:type="dxa"/>
            <w:tcBorders>
              <w:bottom w:val="single" w:sz="4" w:space="0" w:color="000000"/>
            </w:tcBorders>
            <w:vAlign w:val="center"/>
          </w:tcPr>
          <w:p w14:paraId="5548B9DE" w14:textId="5154F3AC" w:rsidR="000E41C8" w:rsidRPr="000D1CDB" w:rsidRDefault="000E41C8" w:rsidP="002907AC">
            <w:pPr>
              <w:spacing w:before="60" w:after="60"/>
              <w:jc w:val="left"/>
            </w:pPr>
            <w:r w:rsidRPr="000D1CDB">
              <w:rPr>
                <w:color w:val="000000"/>
              </w:rPr>
              <w:t>Off-road, defence and other</w:t>
            </w:r>
          </w:p>
        </w:tc>
        <w:tc>
          <w:tcPr>
            <w:tcW w:w="1383" w:type="dxa"/>
            <w:vAlign w:val="center"/>
          </w:tcPr>
          <w:p w14:paraId="620F53C9" w14:textId="3C59989D" w:rsidR="000E41C8" w:rsidRPr="000D1CDB" w:rsidRDefault="000E41C8" w:rsidP="002907AC">
            <w:pPr>
              <w:spacing w:before="60" w:after="60"/>
              <w:jc w:val="center"/>
            </w:pPr>
            <w:r w:rsidRPr="000D1CDB">
              <w:rPr>
                <w:color w:val="000000"/>
              </w:rPr>
              <w:t>32,800</w:t>
            </w:r>
          </w:p>
        </w:tc>
        <w:tc>
          <w:tcPr>
            <w:tcW w:w="1384" w:type="dxa"/>
            <w:vAlign w:val="center"/>
          </w:tcPr>
          <w:p w14:paraId="010E3392" w14:textId="544097AD" w:rsidR="000E41C8" w:rsidRPr="000D1CDB" w:rsidRDefault="000E41C8" w:rsidP="002907AC">
            <w:pPr>
              <w:spacing w:before="60" w:after="60"/>
              <w:jc w:val="center"/>
            </w:pPr>
            <w:r w:rsidRPr="000D1CDB">
              <w:rPr>
                <w:color w:val="000000"/>
              </w:rPr>
              <w:t>20,000</w:t>
            </w:r>
          </w:p>
        </w:tc>
        <w:tc>
          <w:tcPr>
            <w:tcW w:w="1364" w:type="dxa"/>
            <w:vAlign w:val="center"/>
          </w:tcPr>
          <w:p w14:paraId="18DD0A95" w14:textId="4D079D1E" w:rsidR="000E41C8" w:rsidRPr="000D1CDB" w:rsidRDefault="000E41C8" w:rsidP="002907AC">
            <w:pPr>
              <w:spacing w:before="60" w:after="60"/>
              <w:jc w:val="center"/>
            </w:pPr>
            <w:r w:rsidRPr="000D1CDB">
              <w:rPr>
                <w:color w:val="000000"/>
              </w:rPr>
              <w:t>NA</w:t>
            </w:r>
          </w:p>
        </w:tc>
      </w:tr>
      <w:tr w:rsidR="000E41C8" w14:paraId="6B594CF6" w14:textId="77777777" w:rsidTr="00CD73A6">
        <w:trPr>
          <w:trHeight w:val="567"/>
        </w:trPr>
        <w:tc>
          <w:tcPr>
            <w:tcW w:w="1268" w:type="dxa"/>
            <w:shd w:val="clear" w:color="auto" w:fill="C6D9F1" w:themeFill="text2" w:themeFillTint="33"/>
            <w:vAlign w:val="center"/>
          </w:tcPr>
          <w:p w14:paraId="28D6C0E2" w14:textId="69133E34" w:rsidR="000E41C8" w:rsidRPr="000D1CDB" w:rsidRDefault="000E41C8" w:rsidP="00765EAD">
            <w:pPr>
              <w:spacing w:before="60" w:after="60"/>
              <w:jc w:val="center"/>
            </w:pPr>
            <w:r w:rsidRPr="000D1CDB">
              <w:rPr>
                <w:color w:val="000000"/>
              </w:rPr>
              <w:t>MAC2-7</w:t>
            </w:r>
          </w:p>
        </w:tc>
        <w:tc>
          <w:tcPr>
            <w:tcW w:w="1796" w:type="dxa"/>
            <w:shd w:val="clear" w:color="auto" w:fill="C6D9F1" w:themeFill="text2" w:themeFillTint="33"/>
            <w:vAlign w:val="center"/>
          </w:tcPr>
          <w:p w14:paraId="51B26CDA" w14:textId="6E71E930" w:rsidR="000E41C8" w:rsidRPr="000D1CDB" w:rsidRDefault="000E41C8" w:rsidP="00765EAD">
            <w:pPr>
              <w:spacing w:before="60" w:after="60"/>
              <w:jc w:val="left"/>
            </w:pPr>
            <w:r w:rsidRPr="000D1CDB">
              <w:rPr>
                <w:color w:val="000000"/>
              </w:rPr>
              <w:t>Marine</w:t>
            </w:r>
          </w:p>
        </w:tc>
        <w:tc>
          <w:tcPr>
            <w:tcW w:w="2297" w:type="dxa"/>
            <w:shd w:val="clear" w:color="auto" w:fill="C6D9F1" w:themeFill="text2" w:themeFillTint="33"/>
            <w:vAlign w:val="center"/>
          </w:tcPr>
          <w:p w14:paraId="4506BD5D" w14:textId="149C2596" w:rsidR="000E41C8" w:rsidRPr="000D1CDB" w:rsidRDefault="000E41C8" w:rsidP="002907AC">
            <w:pPr>
              <w:spacing w:before="60" w:after="60"/>
              <w:jc w:val="left"/>
            </w:pPr>
            <w:r w:rsidRPr="000D1CDB">
              <w:rPr>
                <w:color w:val="000000"/>
              </w:rPr>
              <w:t>Registered marine vessels and pleasure craft</w:t>
            </w:r>
          </w:p>
        </w:tc>
        <w:tc>
          <w:tcPr>
            <w:tcW w:w="1383" w:type="dxa"/>
            <w:vAlign w:val="center"/>
          </w:tcPr>
          <w:p w14:paraId="2E9B6E48" w14:textId="38235680" w:rsidR="000E41C8" w:rsidRPr="000D1CDB" w:rsidRDefault="000E41C8" w:rsidP="002907AC">
            <w:pPr>
              <w:spacing w:before="60" w:after="60"/>
              <w:jc w:val="center"/>
            </w:pPr>
            <w:r w:rsidRPr="000D1CDB">
              <w:rPr>
                <w:color w:val="000000"/>
              </w:rPr>
              <w:t>NA</w:t>
            </w:r>
          </w:p>
        </w:tc>
        <w:tc>
          <w:tcPr>
            <w:tcW w:w="1384" w:type="dxa"/>
            <w:vAlign w:val="center"/>
          </w:tcPr>
          <w:p w14:paraId="1BE27D4D" w14:textId="3EBA34BB" w:rsidR="000E41C8" w:rsidRPr="000D1CDB" w:rsidRDefault="000E41C8" w:rsidP="002907AC">
            <w:pPr>
              <w:spacing w:before="60" w:after="60"/>
              <w:jc w:val="center"/>
            </w:pPr>
            <w:r w:rsidRPr="000D1CDB">
              <w:rPr>
                <w:color w:val="000000"/>
              </w:rPr>
              <w:t>6,000</w:t>
            </w:r>
          </w:p>
        </w:tc>
        <w:tc>
          <w:tcPr>
            <w:tcW w:w="1364" w:type="dxa"/>
            <w:vAlign w:val="center"/>
          </w:tcPr>
          <w:p w14:paraId="5AEDAED7" w14:textId="0885C7AC" w:rsidR="000E41C8" w:rsidRPr="000D1CDB" w:rsidRDefault="000E41C8" w:rsidP="002907AC">
            <w:pPr>
              <w:spacing w:before="60" w:after="60"/>
              <w:jc w:val="center"/>
            </w:pPr>
            <w:r w:rsidRPr="000D1CDB">
              <w:rPr>
                <w:color w:val="000000"/>
              </w:rPr>
              <w:t>NA</w:t>
            </w:r>
          </w:p>
        </w:tc>
      </w:tr>
      <w:tr w:rsidR="000E41C8" w14:paraId="4E2DEFD0" w14:textId="77777777" w:rsidTr="00D8549E">
        <w:trPr>
          <w:trHeight w:val="567"/>
        </w:trPr>
        <w:tc>
          <w:tcPr>
            <w:tcW w:w="5361" w:type="dxa"/>
            <w:gridSpan w:val="3"/>
            <w:vAlign w:val="center"/>
          </w:tcPr>
          <w:p w14:paraId="3D47A9E7" w14:textId="347DB9A9" w:rsidR="000E41C8" w:rsidRPr="000D1CDB" w:rsidRDefault="000E41C8" w:rsidP="002907AC">
            <w:pPr>
              <w:spacing w:before="60" w:after="60"/>
            </w:pPr>
            <w:r w:rsidRPr="000D1CDB">
              <w:t>Total MAC</w:t>
            </w:r>
          </w:p>
        </w:tc>
        <w:tc>
          <w:tcPr>
            <w:tcW w:w="1383" w:type="dxa"/>
            <w:vAlign w:val="center"/>
          </w:tcPr>
          <w:p w14:paraId="014DE00F" w14:textId="0F49CDE1" w:rsidR="000E41C8" w:rsidRPr="000D1CDB" w:rsidRDefault="000E41C8" w:rsidP="002907AC">
            <w:pPr>
              <w:spacing w:before="60" w:after="60"/>
              <w:jc w:val="center"/>
            </w:pPr>
            <w:r w:rsidRPr="000D1CDB">
              <w:rPr>
                <w:color w:val="000000"/>
              </w:rPr>
              <w:t>15,208,100</w:t>
            </w:r>
          </w:p>
        </w:tc>
        <w:tc>
          <w:tcPr>
            <w:tcW w:w="1384" w:type="dxa"/>
            <w:vAlign w:val="center"/>
          </w:tcPr>
          <w:p w14:paraId="23994A76" w14:textId="48F1E41D" w:rsidR="000E41C8" w:rsidRPr="000D1CDB" w:rsidRDefault="00DC5211" w:rsidP="002907AC">
            <w:pPr>
              <w:spacing w:before="60" w:after="60"/>
              <w:jc w:val="center"/>
            </w:pPr>
            <w:r w:rsidRPr="000D1CDB">
              <w:rPr>
                <w:color w:val="000000"/>
              </w:rPr>
              <w:t>18,156,470</w:t>
            </w:r>
          </w:p>
        </w:tc>
        <w:tc>
          <w:tcPr>
            <w:tcW w:w="1364" w:type="dxa"/>
            <w:vAlign w:val="center"/>
          </w:tcPr>
          <w:p w14:paraId="4ACA4E62" w14:textId="6BB26E7A" w:rsidR="000E41C8" w:rsidRPr="000D1CDB" w:rsidRDefault="00DC5211" w:rsidP="002907AC">
            <w:pPr>
              <w:spacing w:before="60" w:after="60"/>
              <w:jc w:val="center"/>
            </w:pPr>
            <w:r w:rsidRPr="000D1CDB">
              <w:rPr>
                <w:color w:val="000000"/>
              </w:rPr>
              <w:t>19</w:t>
            </w:r>
            <w:r w:rsidR="000E41C8" w:rsidRPr="000D1CDB">
              <w:rPr>
                <w:color w:val="000000"/>
              </w:rPr>
              <w:t>%</w:t>
            </w:r>
          </w:p>
        </w:tc>
      </w:tr>
    </w:tbl>
    <w:p w14:paraId="18019775" w14:textId="77777777" w:rsidR="002907AC" w:rsidRPr="00853C1C" w:rsidRDefault="002907AC" w:rsidP="002907AC">
      <w:pPr>
        <w:spacing w:before="0"/>
        <w:rPr>
          <w:sz w:val="20"/>
          <w:szCs w:val="20"/>
        </w:rPr>
      </w:pPr>
      <w:r w:rsidRPr="00116557">
        <w:rPr>
          <w:sz w:val="20"/>
          <w:szCs w:val="20"/>
        </w:rPr>
        <w:t>(</w:t>
      </w:r>
      <w:r w:rsidRPr="001301E8">
        <w:rPr>
          <w:sz w:val="20"/>
          <w:szCs w:val="20"/>
        </w:rPr>
        <w:t>Sources: AB&amp;C 2017</w:t>
      </w:r>
      <w:r>
        <w:rPr>
          <w:sz w:val="20"/>
          <w:szCs w:val="20"/>
        </w:rPr>
        <w:t xml:space="preserve">, </w:t>
      </w:r>
      <w:r w:rsidRPr="001301E8">
        <w:rPr>
          <w:sz w:val="20"/>
          <w:szCs w:val="20"/>
        </w:rPr>
        <w:t>ABS 9309.0 2017</w:t>
      </w:r>
      <w:r>
        <w:rPr>
          <w:sz w:val="20"/>
          <w:szCs w:val="20"/>
        </w:rPr>
        <w:t xml:space="preserve">, </w:t>
      </w:r>
      <w:r w:rsidRPr="001301E8">
        <w:rPr>
          <w:sz w:val="20"/>
          <w:szCs w:val="20"/>
        </w:rPr>
        <w:t xml:space="preserve">ABS 9314.0 2017, </w:t>
      </w:r>
      <w:r>
        <w:rPr>
          <w:sz w:val="20"/>
          <w:szCs w:val="20"/>
        </w:rPr>
        <w:t xml:space="preserve">AMSA 2017, </w:t>
      </w:r>
      <w:r w:rsidRPr="009B32A1">
        <w:rPr>
          <w:sz w:val="20"/>
          <w:szCs w:val="20"/>
        </w:rPr>
        <w:t>BITRE 2016</w:t>
      </w:r>
      <w:r>
        <w:rPr>
          <w:sz w:val="20"/>
          <w:szCs w:val="20"/>
        </w:rPr>
        <w:t xml:space="preserve">, </w:t>
      </w:r>
      <w:r w:rsidRPr="009B32A1">
        <w:rPr>
          <w:sz w:val="20"/>
          <w:szCs w:val="20"/>
        </w:rPr>
        <w:t>BIC 2017</w:t>
      </w:r>
      <w:r>
        <w:rPr>
          <w:sz w:val="20"/>
          <w:szCs w:val="20"/>
        </w:rPr>
        <w:t xml:space="preserve">, </w:t>
      </w:r>
      <w:r w:rsidRPr="00140452">
        <w:rPr>
          <w:sz w:val="20"/>
          <w:szCs w:val="20"/>
        </w:rPr>
        <w:t>CVIAA 2016</w:t>
      </w:r>
      <w:r>
        <w:rPr>
          <w:sz w:val="20"/>
          <w:szCs w:val="20"/>
        </w:rPr>
        <w:t xml:space="preserve">, </w:t>
      </w:r>
      <w:r w:rsidRPr="001301E8">
        <w:rPr>
          <w:sz w:val="20"/>
          <w:szCs w:val="20"/>
        </w:rPr>
        <w:t>DoEE 2017, FCAI 2017 and industry informants)</w:t>
      </w:r>
    </w:p>
    <w:p w14:paraId="7DAD6C74" w14:textId="77777777" w:rsidR="000407D6" w:rsidRDefault="000407D6" w:rsidP="001B2302">
      <w:pPr>
        <w:rPr>
          <w:rFonts w:cs="Times New Roman"/>
          <w:lang w:val="en-AU"/>
        </w:rPr>
      </w:pPr>
    </w:p>
    <w:p w14:paraId="5D7AFCBF" w14:textId="6994D4B8" w:rsidR="001B2302" w:rsidRDefault="001B2302" w:rsidP="001B2302">
      <w:pPr>
        <w:rPr>
          <w:rFonts w:cs="Times New Roman"/>
          <w:lang w:val="en-AU"/>
        </w:rPr>
      </w:pPr>
      <w:r>
        <w:rPr>
          <w:rFonts w:cs="Times New Roman"/>
          <w:lang w:val="en-AU"/>
        </w:rPr>
        <w:t>The</w:t>
      </w:r>
      <w:r w:rsidR="00E02C14">
        <w:rPr>
          <w:rFonts w:cs="Times New Roman"/>
          <w:lang w:val="en-AU"/>
        </w:rPr>
        <w:t>re are</w:t>
      </w:r>
      <w:r>
        <w:rPr>
          <w:rFonts w:cs="Times New Roman"/>
          <w:lang w:val="en-AU"/>
        </w:rPr>
        <w:t xml:space="preserve"> several </w:t>
      </w:r>
      <w:r w:rsidR="00E02C14">
        <w:rPr>
          <w:rFonts w:cs="Times New Roman"/>
          <w:lang w:val="en-AU"/>
        </w:rPr>
        <w:t>p</w:t>
      </w:r>
      <w:r>
        <w:rPr>
          <w:rFonts w:cs="Times New Roman"/>
          <w:lang w:val="en-AU"/>
        </w:rPr>
        <w:t xml:space="preserve">roduct </w:t>
      </w:r>
      <w:r w:rsidR="00E02C14">
        <w:rPr>
          <w:rFonts w:cs="Times New Roman"/>
          <w:lang w:val="en-AU"/>
        </w:rPr>
        <w:t>c</w:t>
      </w:r>
      <w:r>
        <w:rPr>
          <w:rFonts w:cs="Times New Roman"/>
          <w:lang w:val="en-AU"/>
        </w:rPr>
        <w:t xml:space="preserve">ategories where the rate of change since 2012 </w:t>
      </w:r>
      <w:r w:rsidR="005646D1">
        <w:rPr>
          <w:rFonts w:cs="Times New Roman"/>
          <w:lang w:val="en-AU"/>
        </w:rPr>
        <w:t xml:space="preserve">is </w:t>
      </w:r>
      <w:r>
        <w:rPr>
          <w:rFonts w:cs="Times New Roman"/>
          <w:lang w:val="en-AU"/>
        </w:rPr>
        <w:t xml:space="preserve">noted </w:t>
      </w:r>
      <w:r w:rsidR="002127E9">
        <w:rPr>
          <w:rFonts w:cs="Times New Roman"/>
          <w:lang w:val="en-AU"/>
        </w:rPr>
        <w:t xml:space="preserve">in </w:t>
      </w:r>
      <w:r w:rsidR="00E02C14">
        <w:rPr>
          <w:rFonts w:cs="Times New Roman"/>
          <w:lang w:val="en-AU"/>
        </w:rPr>
        <w:t>the table above a</w:t>
      </w:r>
      <w:r>
        <w:rPr>
          <w:rFonts w:cs="Times New Roman"/>
          <w:lang w:val="en-AU"/>
        </w:rPr>
        <w:t xml:space="preserve">s NA, and the new </w:t>
      </w:r>
      <w:r w:rsidR="00E02C14">
        <w:rPr>
          <w:rFonts w:cs="Times New Roman"/>
          <w:lang w:val="en-AU"/>
        </w:rPr>
        <w:t>p</w:t>
      </w:r>
      <w:r>
        <w:rPr>
          <w:rFonts w:cs="Times New Roman"/>
          <w:lang w:val="en-AU"/>
        </w:rPr>
        <w:t xml:space="preserve">roduct </w:t>
      </w:r>
      <w:r w:rsidR="00E02C14">
        <w:rPr>
          <w:rFonts w:cs="Times New Roman"/>
          <w:lang w:val="en-AU"/>
        </w:rPr>
        <w:t>c</w:t>
      </w:r>
      <w:r>
        <w:rPr>
          <w:rFonts w:cs="Times New Roman"/>
          <w:lang w:val="en-AU"/>
        </w:rPr>
        <w:t xml:space="preserve">ategories </w:t>
      </w:r>
      <w:r w:rsidR="008977BE">
        <w:rPr>
          <w:rFonts w:cs="Times New Roman"/>
          <w:lang w:val="en-AU"/>
        </w:rPr>
        <w:t xml:space="preserve">(highlighted in </w:t>
      </w:r>
      <w:r w:rsidR="0094323D">
        <w:rPr>
          <w:rFonts w:cs="Times New Roman"/>
          <w:lang w:val="en-AU"/>
        </w:rPr>
        <w:t>blue</w:t>
      </w:r>
      <w:r w:rsidR="008977BE">
        <w:rPr>
          <w:rFonts w:cs="Times New Roman"/>
          <w:lang w:val="en-AU"/>
        </w:rPr>
        <w:t xml:space="preserve">) </w:t>
      </w:r>
      <w:r>
        <w:rPr>
          <w:rFonts w:cs="Times New Roman"/>
          <w:lang w:val="en-AU"/>
        </w:rPr>
        <w:t xml:space="preserve">added to this segment are mostly as a result of having improved data since 2012. Better data from the Bus Industry Council caused the downward revision of the estimated fleet in </w:t>
      </w:r>
      <w:r w:rsidRPr="00E02C14">
        <w:rPr>
          <w:rFonts w:cs="Times New Roman"/>
          <w:lang w:val="en-AU"/>
        </w:rPr>
        <w:t>MAC1-5: Commuter buses</w:t>
      </w:r>
      <w:r w:rsidR="00362AE7">
        <w:rPr>
          <w:rFonts w:cs="Times New Roman"/>
          <w:lang w:val="en-AU"/>
        </w:rPr>
        <w:t>,</w:t>
      </w:r>
      <w:r>
        <w:rPr>
          <w:rFonts w:cs="Times New Roman"/>
          <w:lang w:val="en-AU"/>
        </w:rPr>
        <w:t xml:space="preserve"> and the disaggregating of coaches into MAC2-1 and MAC2-</w:t>
      </w:r>
      <w:r>
        <w:rPr>
          <w:rFonts w:cs="Times New Roman"/>
          <w:lang w:val="en-AU"/>
        </w:rPr>
        <w:lastRenderedPageBreak/>
        <w:t xml:space="preserve">2, Small and Large </w:t>
      </w:r>
      <w:r w:rsidR="00E02C14">
        <w:rPr>
          <w:rFonts w:cs="Times New Roman"/>
          <w:lang w:val="en-AU"/>
        </w:rPr>
        <w:t>b</w:t>
      </w:r>
      <w:r>
        <w:rPr>
          <w:rFonts w:cs="Times New Roman"/>
          <w:lang w:val="en-AU"/>
        </w:rPr>
        <w:t xml:space="preserve">uses and coaches. In these last two categories, new data also caused a significant upward revision of the estimates of the fleet in these </w:t>
      </w:r>
      <w:r w:rsidR="00E02C14">
        <w:rPr>
          <w:rFonts w:cs="Times New Roman"/>
          <w:lang w:val="en-AU"/>
        </w:rPr>
        <w:t>c</w:t>
      </w:r>
      <w:r>
        <w:rPr>
          <w:rFonts w:cs="Times New Roman"/>
          <w:lang w:val="en-AU"/>
        </w:rPr>
        <w:t>ategories.</w:t>
      </w:r>
    </w:p>
    <w:p w14:paraId="523F23CC" w14:textId="01229E97" w:rsidR="001B2302" w:rsidRDefault="001B2302" w:rsidP="001B2302">
      <w:pPr>
        <w:rPr>
          <w:rFonts w:cs="Times New Roman"/>
          <w:lang w:val="en-AU"/>
        </w:rPr>
      </w:pPr>
      <w:r>
        <w:rPr>
          <w:rFonts w:cs="Times New Roman"/>
          <w:lang w:val="en-AU"/>
        </w:rPr>
        <w:t>As a result of the changes to the taxonomy</w:t>
      </w:r>
      <w:r w:rsidR="00E02C14">
        <w:rPr>
          <w:rFonts w:cs="Times New Roman"/>
          <w:lang w:val="en-AU"/>
        </w:rPr>
        <w:t xml:space="preserve">, and new data, there are </w:t>
      </w:r>
      <w:r w:rsidR="00362AE7">
        <w:rPr>
          <w:rFonts w:cs="Times New Roman"/>
          <w:lang w:val="en-AU"/>
        </w:rPr>
        <w:t>several</w:t>
      </w:r>
      <w:r w:rsidR="00E02C14">
        <w:rPr>
          <w:rFonts w:cs="Times New Roman"/>
          <w:lang w:val="en-AU"/>
        </w:rPr>
        <w:t xml:space="preserve"> p</w:t>
      </w:r>
      <w:r>
        <w:rPr>
          <w:rFonts w:cs="Times New Roman"/>
          <w:lang w:val="en-AU"/>
        </w:rPr>
        <w:t xml:space="preserve">roduct </w:t>
      </w:r>
      <w:r w:rsidR="00E02C14">
        <w:rPr>
          <w:rFonts w:cs="Times New Roman"/>
          <w:lang w:val="en-AU"/>
        </w:rPr>
        <w:t>c</w:t>
      </w:r>
      <w:r>
        <w:rPr>
          <w:rFonts w:cs="Times New Roman"/>
          <w:lang w:val="en-AU"/>
        </w:rPr>
        <w:t>ategories in which</w:t>
      </w:r>
      <w:r w:rsidR="00362AE7">
        <w:rPr>
          <w:rFonts w:cs="Times New Roman"/>
          <w:lang w:val="en-AU"/>
        </w:rPr>
        <w:t xml:space="preserve"> </w:t>
      </w:r>
      <w:r>
        <w:rPr>
          <w:rFonts w:cs="Times New Roman"/>
          <w:lang w:val="en-AU"/>
        </w:rPr>
        <w:t xml:space="preserve">there is no value in making comparisons directly between the 2012 stock and the 2016 stock. As such the change in the total stock of MAC from 2012, and 2016, noted as being </w:t>
      </w:r>
      <w:r w:rsidR="00DC5211">
        <w:rPr>
          <w:rFonts w:cs="Times New Roman"/>
          <w:lang w:val="en-AU"/>
        </w:rPr>
        <w:t>19</w:t>
      </w:r>
      <w:r>
        <w:rPr>
          <w:rFonts w:cs="Times New Roman"/>
          <w:lang w:val="en-AU"/>
        </w:rPr>
        <w:t>%</w:t>
      </w:r>
      <w:r w:rsidR="008977BE">
        <w:rPr>
          <w:rFonts w:cs="Times New Roman"/>
          <w:lang w:val="en-AU"/>
        </w:rPr>
        <w:t xml:space="preserve">, </w:t>
      </w:r>
      <w:r w:rsidR="00362AE7">
        <w:rPr>
          <w:rFonts w:cs="Times New Roman"/>
          <w:lang w:val="en-AU"/>
        </w:rPr>
        <w:t>is</w:t>
      </w:r>
      <w:r w:rsidR="008977BE">
        <w:rPr>
          <w:rFonts w:cs="Times New Roman"/>
          <w:lang w:val="en-AU"/>
        </w:rPr>
        <w:t xml:space="preserve"> inflated by inclusion of stocks of air</w:t>
      </w:r>
      <w:r w:rsidR="00E02C14">
        <w:rPr>
          <w:rFonts w:cs="Times New Roman"/>
          <w:lang w:val="en-AU"/>
        </w:rPr>
        <w:t xml:space="preserve"> </w:t>
      </w:r>
      <w:r w:rsidR="008977BE">
        <w:rPr>
          <w:rFonts w:cs="Times New Roman"/>
          <w:lang w:val="en-AU"/>
        </w:rPr>
        <w:t>conditioned caravans,</w:t>
      </w:r>
      <w:r w:rsidR="00DC78D0">
        <w:rPr>
          <w:rFonts w:cs="Times New Roman"/>
          <w:lang w:val="en-AU"/>
        </w:rPr>
        <w:t xml:space="preserve"> </w:t>
      </w:r>
      <w:r w:rsidR="00E02C14">
        <w:rPr>
          <w:rFonts w:cs="Times New Roman"/>
          <w:lang w:val="en-AU"/>
        </w:rPr>
        <w:t xml:space="preserve">and </w:t>
      </w:r>
      <w:r>
        <w:rPr>
          <w:rFonts w:cs="Times New Roman"/>
          <w:lang w:val="en-AU"/>
        </w:rPr>
        <w:t>should be regarded as a</w:t>
      </w:r>
      <w:r w:rsidR="008977BE">
        <w:rPr>
          <w:rFonts w:cs="Times New Roman"/>
          <w:lang w:val="en-AU"/>
        </w:rPr>
        <w:t xml:space="preserve"> study reference only, identifying changes between CHF2 </w:t>
      </w:r>
      <w:r w:rsidR="009F5EAE">
        <w:rPr>
          <w:rFonts w:cs="Times New Roman"/>
          <w:lang w:val="en-AU"/>
        </w:rPr>
        <w:t>and</w:t>
      </w:r>
      <w:r w:rsidR="008977BE">
        <w:rPr>
          <w:rFonts w:cs="Times New Roman"/>
          <w:lang w:val="en-AU"/>
        </w:rPr>
        <w:t xml:space="preserve"> CHF3, but not being an accurate measure of growth in stocks of equipment in the economy</w:t>
      </w:r>
      <w:r>
        <w:rPr>
          <w:rFonts w:cs="Times New Roman"/>
          <w:lang w:val="en-AU"/>
        </w:rPr>
        <w:t xml:space="preserve">. </w:t>
      </w:r>
    </w:p>
    <w:p w14:paraId="5B4D1EFA" w14:textId="0B0A173E" w:rsidR="001B2302" w:rsidRPr="00B774F1" w:rsidRDefault="001B2302" w:rsidP="001B2302">
      <w:pPr>
        <w:rPr>
          <w:szCs w:val="22"/>
        </w:rPr>
      </w:pPr>
      <w:r>
        <w:rPr>
          <w:rFonts w:cs="Times New Roman"/>
          <w:lang w:val="en-AU"/>
        </w:rPr>
        <w:t xml:space="preserve">However, stock numbers in </w:t>
      </w:r>
      <w:r w:rsidR="00E02C14">
        <w:rPr>
          <w:rFonts w:cs="Times New Roman"/>
          <w:lang w:val="en-AU"/>
        </w:rPr>
        <w:t>p</w:t>
      </w:r>
      <w:r>
        <w:rPr>
          <w:rFonts w:cs="Times New Roman"/>
          <w:lang w:val="en-AU"/>
        </w:rPr>
        <w:t xml:space="preserve">roduct </w:t>
      </w:r>
      <w:r w:rsidR="00E02C14">
        <w:rPr>
          <w:rFonts w:cs="Times New Roman"/>
          <w:lang w:val="en-AU"/>
        </w:rPr>
        <w:t>c</w:t>
      </w:r>
      <w:r w:rsidR="00F52DB5">
        <w:rPr>
          <w:rFonts w:cs="Times New Roman"/>
          <w:lang w:val="en-AU"/>
        </w:rPr>
        <w:t>ategories MAC1-1 to MAC1-5</w:t>
      </w:r>
      <w:r>
        <w:rPr>
          <w:rFonts w:cs="Times New Roman"/>
          <w:lang w:val="en-AU"/>
        </w:rPr>
        <w:t xml:space="preserve"> are very reliable, based on registration data. </w:t>
      </w:r>
      <w:r w:rsidRPr="00B774F1">
        <w:rPr>
          <w:rFonts w:cs="Times New Roman"/>
          <w:lang w:val="en-AU"/>
        </w:rPr>
        <w:t xml:space="preserve">The </w:t>
      </w:r>
      <w:r w:rsidR="00C45435">
        <w:rPr>
          <w:rFonts w:cs="Times New Roman"/>
          <w:lang w:val="en-AU"/>
        </w:rPr>
        <w:t>RAC Stock model</w:t>
      </w:r>
      <w:r w:rsidRPr="00B774F1">
        <w:rPr>
          <w:rFonts w:cs="Times New Roman"/>
          <w:lang w:val="en-AU"/>
        </w:rPr>
        <w:t xml:space="preserve"> uses both sales (ABS 9314.0 2017) and registration data (ABS 93090.0 2017) from the Australian Bureau of Statistics to calculate the current fleet of </w:t>
      </w:r>
      <w:r w:rsidR="00E02C14">
        <w:rPr>
          <w:rFonts w:cs="Times New Roman"/>
          <w:lang w:val="en-AU"/>
        </w:rPr>
        <w:t>s</w:t>
      </w:r>
      <w:r w:rsidRPr="00B774F1">
        <w:rPr>
          <w:rFonts w:cs="Times New Roman"/>
          <w:lang w:val="en-AU"/>
        </w:rPr>
        <w:t xml:space="preserve">mall MAC </w:t>
      </w:r>
      <w:r w:rsidR="00362AE7">
        <w:rPr>
          <w:rFonts w:cs="Times New Roman"/>
          <w:lang w:val="en-AU"/>
        </w:rPr>
        <w:t>in</w:t>
      </w:r>
      <w:r w:rsidR="00F43119">
        <w:rPr>
          <w:rFonts w:cs="Times New Roman"/>
          <w:lang w:val="en-AU"/>
        </w:rPr>
        <w:t xml:space="preserve"> </w:t>
      </w:r>
      <w:r w:rsidR="006E05BC">
        <w:rPr>
          <w:rFonts w:cs="Times New Roman"/>
          <w:lang w:val="en-AU"/>
        </w:rPr>
        <w:t>p</w:t>
      </w:r>
      <w:r w:rsidRPr="00B774F1">
        <w:rPr>
          <w:rFonts w:cs="Times New Roman"/>
          <w:lang w:val="en-AU"/>
        </w:rPr>
        <w:t>assenger and</w:t>
      </w:r>
      <w:r w:rsidRPr="00B774F1">
        <w:rPr>
          <w:szCs w:val="22"/>
        </w:rPr>
        <w:t xml:space="preserve"> </w:t>
      </w:r>
      <w:r w:rsidR="006E05BC">
        <w:rPr>
          <w:szCs w:val="22"/>
        </w:rPr>
        <w:t>l</w:t>
      </w:r>
      <w:r w:rsidRPr="00B774F1">
        <w:rPr>
          <w:szCs w:val="22"/>
        </w:rPr>
        <w:t>ight commercial vehicles; rigid trucks; articulated trucks; non-freight trucks; and small buses with a GVM less than 4.5 tonnes</w:t>
      </w:r>
      <w:r w:rsidR="008977BE">
        <w:rPr>
          <w:szCs w:val="22"/>
        </w:rPr>
        <w:t>.</w:t>
      </w:r>
      <w:r w:rsidRPr="00B774F1">
        <w:rPr>
          <w:szCs w:val="22"/>
        </w:rPr>
        <w:t xml:space="preserve"> </w:t>
      </w:r>
      <w:r w:rsidR="008977BE">
        <w:rPr>
          <w:szCs w:val="22"/>
        </w:rPr>
        <w:t xml:space="preserve">In these categories CHF3 </w:t>
      </w:r>
      <w:r w:rsidRPr="00B774F1">
        <w:rPr>
          <w:szCs w:val="22"/>
        </w:rPr>
        <w:t>assumes 100% of vehicles manufactured after 2000 contain air conditioning.</w:t>
      </w:r>
    </w:p>
    <w:p w14:paraId="75EB7875" w14:textId="49FE4991" w:rsidR="001B2302" w:rsidRDefault="00E02C14" w:rsidP="001B2302">
      <w:pPr>
        <w:rPr>
          <w:rFonts w:cs="Times New Roman"/>
          <w:lang w:val="en-AU"/>
        </w:rPr>
      </w:pPr>
      <w:r>
        <w:rPr>
          <w:rFonts w:cs="Times New Roman"/>
          <w:lang w:val="en-AU"/>
        </w:rPr>
        <w:t>As those c</w:t>
      </w:r>
      <w:r w:rsidR="001B2302">
        <w:rPr>
          <w:rFonts w:cs="Times New Roman"/>
          <w:lang w:val="en-AU"/>
        </w:rPr>
        <w:t>ategories make up the bulk of all stock it should be noted that the increase in total stock in those four categories between 2012 and 2016 was a sizeable gain from a total of 15.1 million vehicles with MAC to more than 17.6 million vehicles with MAC, or a nearly 17% increase in the period.</w:t>
      </w:r>
    </w:p>
    <w:p w14:paraId="65792799" w14:textId="7F84B5C5" w:rsidR="001B2302" w:rsidRDefault="008977BE" w:rsidP="001B2302">
      <w:pPr>
        <w:rPr>
          <w:szCs w:val="22"/>
        </w:rPr>
      </w:pPr>
      <w:r>
        <w:rPr>
          <w:rFonts w:cs="Times New Roman"/>
          <w:lang w:val="en-AU"/>
        </w:rPr>
        <w:t>New v</w:t>
      </w:r>
      <w:r w:rsidR="001B2302">
        <w:rPr>
          <w:rFonts w:cs="Times New Roman"/>
          <w:lang w:val="en-AU"/>
        </w:rPr>
        <w:t xml:space="preserve">ehicle sales in the </w:t>
      </w:r>
      <w:r w:rsidR="00F52DB5">
        <w:rPr>
          <w:rFonts w:cs="Times New Roman"/>
          <w:lang w:val="en-AU"/>
        </w:rPr>
        <w:t>s</w:t>
      </w:r>
      <w:r w:rsidR="001B2302">
        <w:rPr>
          <w:rFonts w:cs="Times New Roman"/>
          <w:lang w:val="en-AU"/>
        </w:rPr>
        <w:t xml:space="preserve">mall MAC segment have grown at 2.8% per annum for the past 20 years from around 650,000 </w:t>
      </w:r>
      <w:r w:rsidR="00362AE7">
        <w:rPr>
          <w:rFonts w:cs="Times New Roman"/>
          <w:lang w:val="en-AU"/>
        </w:rPr>
        <w:t xml:space="preserve">per annum </w:t>
      </w:r>
      <w:r w:rsidR="001B2302">
        <w:rPr>
          <w:rFonts w:cs="Times New Roman"/>
          <w:lang w:val="en-AU"/>
        </w:rPr>
        <w:t>in 1996 to 1,178,100 in 2016 (</w:t>
      </w:r>
      <w:r w:rsidR="001B2302" w:rsidRPr="002106DF">
        <w:rPr>
          <w:rFonts w:cs="Times New Roman"/>
          <w:lang w:val="en-AU"/>
        </w:rPr>
        <w:t>ABS 9314.0 2017</w:t>
      </w:r>
      <w:r w:rsidR="001B2302">
        <w:rPr>
          <w:rFonts w:cs="Times New Roman"/>
          <w:lang w:val="en-AU"/>
        </w:rPr>
        <w:t>).</w:t>
      </w:r>
    </w:p>
    <w:p w14:paraId="73F1059A" w14:textId="7FD41201" w:rsidR="001B2302" w:rsidRDefault="001B2302" w:rsidP="001B2302">
      <w:pPr>
        <w:rPr>
          <w:szCs w:val="22"/>
        </w:rPr>
      </w:pPr>
      <w:r>
        <w:rPr>
          <w:szCs w:val="22"/>
        </w:rPr>
        <w:t xml:space="preserve">The vast majority of MAC enters the stock of equipment pre-charged with HFC-134a in imported vehicles. While individual charges are small, with more than 1.1 million new vehicles fitted with MAC systems entering the economy annually for the past five years, the addition to the total bank of </w:t>
      </w:r>
      <w:r w:rsidR="005735A5">
        <w:rPr>
          <w:szCs w:val="22"/>
        </w:rPr>
        <w:t>refrigerant f</w:t>
      </w:r>
      <w:r>
        <w:rPr>
          <w:szCs w:val="22"/>
        </w:rPr>
        <w:t>rom MAC is quite substantial</w:t>
      </w:r>
      <w:r w:rsidR="006E05BC">
        <w:rPr>
          <w:szCs w:val="22"/>
        </w:rPr>
        <w:t xml:space="preserve">, even after subtracting the </w:t>
      </w:r>
      <w:r w:rsidR="009F5EAE">
        <w:rPr>
          <w:szCs w:val="22"/>
        </w:rPr>
        <w:t>number</w:t>
      </w:r>
      <w:r w:rsidR="006E05BC">
        <w:rPr>
          <w:szCs w:val="22"/>
        </w:rPr>
        <w:t xml:space="preserve"> of </w:t>
      </w:r>
      <w:r w:rsidR="009F5EAE">
        <w:rPr>
          <w:szCs w:val="22"/>
        </w:rPr>
        <w:t>vehicles</w:t>
      </w:r>
      <w:r w:rsidR="006E05BC">
        <w:rPr>
          <w:szCs w:val="22"/>
        </w:rPr>
        <w:t xml:space="preserve"> reaching</w:t>
      </w:r>
      <w:r w:rsidR="008522F4">
        <w:rPr>
          <w:szCs w:val="22"/>
        </w:rPr>
        <w:t xml:space="preserve"> </w:t>
      </w:r>
      <w:r w:rsidR="006E05BC">
        <w:rPr>
          <w:szCs w:val="22"/>
        </w:rPr>
        <w:t>end</w:t>
      </w:r>
      <w:r w:rsidR="00FC5FC6">
        <w:rPr>
          <w:szCs w:val="22"/>
        </w:rPr>
        <w:t>-</w:t>
      </w:r>
      <w:r w:rsidR="006E05BC">
        <w:rPr>
          <w:szCs w:val="22"/>
        </w:rPr>
        <w:t>of</w:t>
      </w:r>
      <w:r w:rsidR="00FC5FC6">
        <w:rPr>
          <w:szCs w:val="22"/>
        </w:rPr>
        <w:t>-</w:t>
      </w:r>
      <w:r w:rsidR="006E05BC">
        <w:rPr>
          <w:szCs w:val="22"/>
        </w:rPr>
        <w:t>life each year</w:t>
      </w:r>
      <w:r>
        <w:rPr>
          <w:szCs w:val="22"/>
        </w:rPr>
        <w:t xml:space="preserve">. </w:t>
      </w:r>
      <w:r w:rsidRPr="000D601A">
        <w:rPr>
          <w:i/>
          <w:szCs w:val="22"/>
        </w:rPr>
        <w:t xml:space="preserve">Table </w:t>
      </w:r>
      <w:r w:rsidR="00311821">
        <w:rPr>
          <w:i/>
          <w:szCs w:val="22"/>
        </w:rPr>
        <w:t>9</w:t>
      </w:r>
      <w:r>
        <w:rPr>
          <w:szCs w:val="22"/>
        </w:rPr>
        <w:t xml:space="preserve"> below shows total new vehicle sales in Australia annually from 2010, and the number of vehicles manufactured in Australia. </w:t>
      </w:r>
    </w:p>
    <w:p w14:paraId="191338D4" w14:textId="77777777" w:rsidR="005735A5" w:rsidRDefault="005735A5" w:rsidP="001B2302">
      <w:pPr>
        <w:rPr>
          <w:szCs w:val="22"/>
        </w:rPr>
      </w:pPr>
    </w:p>
    <w:p w14:paraId="0070C9CE" w14:textId="314F5F95" w:rsidR="001B2302" w:rsidRPr="00311821" w:rsidRDefault="00311821" w:rsidP="00311821">
      <w:pPr>
        <w:pStyle w:val="Caption"/>
        <w:rPr>
          <w:szCs w:val="22"/>
        </w:rPr>
      </w:pPr>
      <w:bookmarkStart w:id="28" w:name="_Toc525141398"/>
      <w:r w:rsidRPr="00311821">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9</w:t>
      </w:r>
      <w:r w:rsidR="009D6843">
        <w:rPr>
          <w:noProof/>
        </w:rPr>
        <w:fldChar w:fldCharType="end"/>
      </w:r>
      <w:r w:rsidRPr="00311821">
        <w:t xml:space="preserve">: </w:t>
      </w:r>
      <w:r w:rsidR="001B2302" w:rsidRPr="00311821">
        <w:rPr>
          <w:szCs w:val="22"/>
        </w:rPr>
        <w:t>New vehicles sales and local manufacture from 2010 to 2016.</w:t>
      </w:r>
      <w:bookmarkEnd w:id="28"/>
    </w:p>
    <w:tbl>
      <w:tblPr>
        <w:tblStyle w:val="TableGrid"/>
        <w:tblW w:w="9759" w:type="dxa"/>
        <w:tblInd w:w="-5" w:type="dxa"/>
        <w:tblLook w:val="04A0" w:firstRow="1" w:lastRow="0" w:firstColumn="1" w:lastColumn="0" w:noHBand="0" w:noVBand="1"/>
      </w:tblPr>
      <w:tblGrid>
        <w:gridCol w:w="1821"/>
        <w:gridCol w:w="1134"/>
        <w:gridCol w:w="1134"/>
        <w:gridCol w:w="1134"/>
        <w:gridCol w:w="1134"/>
        <w:gridCol w:w="1134"/>
        <w:gridCol w:w="1134"/>
        <w:gridCol w:w="1134"/>
      </w:tblGrid>
      <w:tr w:rsidR="00765EAD" w14:paraId="6EC02B78" w14:textId="77777777" w:rsidTr="00CD73A6">
        <w:trPr>
          <w:trHeight w:val="567"/>
        </w:trPr>
        <w:tc>
          <w:tcPr>
            <w:tcW w:w="1821" w:type="dxa"/>
            <w:shd w:val="clear" w:color="auto" w:fill="B6DDE8" w:themeFill="accent5" w:themeFillTint="66"/>
            <w:vAlign w:val="center"/>
          </w:tcPr>
          <w:p w14:paraId="01FA83D6" w14:textId="77777777" w:rsidR="001B2302" w:rsidRPr="00BB444B" w:rsidRDefault="001B2302" w:rsidP="00014D67">
            <w:pPr>
              <w:spacing w:after="120"/>
              <w:jc w:val="left"/>
              <w:rPr>
                <w:color w:val="000000" w:themeColor="text1"/>
              </w:rPr>
            </w:pPr>
            <w:r w:rsidRPr="00BB444B">
              <w:rPr>
                <w:color w:val="000000" w:themeColor="text1"/>
              </w:rPr>
              <w:t> </w:t>
            </w:r>
          </w:p>
        </w:tc>
        <w:tc>
          <w:tcPr>
            <w:tcW w:w="1134" w:type="dxa"/>
            <w:shd w:val="clear" w:color="auto" w:fill="B6DDE8" w:themeFill="accent5" w:themeFillTint="66"/>
            <w:vAlign w:val="center"/>
          </w:tcPr>
          <w:p w14:paraId="02A04B5D" w14:textId="77777777" w:rsidR="001B2302" w:rsidRPr="00BB444B" w:rsidRDefault="001B2302" w:rsidP="00014D67">
            <w:pPr>
              <w:spacing w:after="120"/>
              <w:jc w:val="center"/>
              <w:rPr>
                <w:color w:val="000000" w:themeColor="text1"/>
              </w:rPr>
            </w:pPr>
            <w:r w:rsidRPr="00BB444B">
              <w:rPr>
                <w:color w:val="000000" w:themeColor="text1"/>
              </w:rPr>
              <w:t>2010</w:t>
            </w:r>
          </w:p>
        </w:tc>
        <w:tc>
          <w:tcPr>
            <w:tcW w:w="1134" w:type="dxa"/>
            <w:shd w:val="clear" w:color="auto" w:fill="B6DDE8" w:themeFill="accent5" w:themeFillTint="66"/>
            <w:vAlign w:val="center"/>
          </w:tcPr>
          <w:p w14:paraId="5A77EA9D" w14:textId="77777777" w:rsidR="001B2302" w:rsidRPr="00BB444B" w:rsidRDefault="001B2302" w:rsidP="00014D67">
            <w:pPr>
              <w:spacing w:after="120"/>
              <w:jc w:val="center"/>
              <w:rPr>
                <w:color w:val="000000" w:themeColor="text1"/>
              </w:rPr>
            </w:pPr>
            <w:r w:rsidRPr="00BB444B">
              <w:rPr>
                <w:color w:val="000000" w:themeColor="text1"/>
              </w:rPr>
              <w:t>2011</w:t>
            </w:r>
          </w:p>
        </w:tc>
        <w:tc>
          <w:tcPr>
            <w:tcW w:w="1134" w:type="dxa"/>
            <w:shd w:val="clear" w:color="auto" w:fill="B6DDE8" w:themeFill="accent5" w:themeFillTint="66"/>
            <w:vAlign w:val="center"/>
          </w:tcPr>
          <w:p w14:paraId="45706099" w14:textId="77777777" w:rsidR="001B2302" w:rsidRPr="00BB444B" w:rsidRDefault="001B2302" w:rsidP="00014D67">
            <w:pPr>
              <w:spacing w:after="120"/>
              <w:jc w:val="center"/>
              <w:rPr>
                <w:color w:val="000000" w:themeColor="text1"/>
              </w:rPr>
            </w:pPr>
            <w:r w:rsidRPr="00BB444B">
              <w:rPr>
                <w:color w:val="000000" w:themeColor="text1"/>
              </w:rPr>
              <w:t>2012</w:t>
            </w:r>
          </w:p>
        </w:tc>
        <w:tc>
          <w:tcPr>
            <w:tcW w:w="1134" w:type="dxa"/>
            <w:shd w:val="clear" w:color="auto" w:fill="B6DDE8" w:themeFill="accent5" w:themeFillTint="66"/>
            <w:vAlign w:val="center"/>
          </w:tcPr>
          <w:p w14:paraId="0336ACF8" w14:textId="77777777" w:rsidR="001B2302" w:rsidRPr="00BB444B" w:rsidRDefault="001B2302" w:rsidP="00014D67">
            <w:pPr>
              <w:spacing w:after="120"/>
              <w:jc w:val="center"/>
              <w:rPr>
                <w:color w:val="000000" w:themeColor="text1"/>
              </w:rPr>
            </w:pPr>
            <w:r w:rsidRPr="00BB444B">
              <w:rPr>
                <w:color w:val="000000" w:themeColor="text1"/>
              </w:rPr>
              <w:t>2013</w:t>
            </w:r>
          </w:p>
        </w:tc>
        <w:tc>
          <w:tcPr>
            <w:tcW w:w="1134" w:type="dxa"/>
            <w:shd w:val="clear" w:color="auto" w:fill="B6DDE8" w:themeFill="accent5" w:themeFillTint="66"/>
            <w:vAlign w:val="center"/>
          </w:tcPr>
          <w:p w14:paraId="63966256" w14:textId="77777777" w:rsidR="001B2302" w:rsidRPr="00BB444B" w:rsidRDefault="001B2302" w:rsidP="00014D67">
            <w:pPr>
              <w:spacing w:after="120"/>
              <w:jc w:val="center"/>
              <w:rPr>
                <w:color w:val="000000" w:themeColor="text1"/>
              </w:rPr>
            </w:pPr>
            <w:r w:rsidRPr="00BB444B">
              <w:rPr>
                <w:color w:val="000000" w:themeColor="text1"/>
              </w:rPr>
              <w:t>2014</w:t>
            </w:r>
          </w:p>
        </w:tc>
        <w:tc>
          <w:tcPr>
            <w:tcW w:w="1134" w:type="dxa"/>
            <w:shd w:val="clear" w:color="auto" w:fill="B6DDE8" w:themeFill="accent5" w:themeFillTint="66"/>
            <w:vAlign w:val="center"/>
          </w:tcPr>
          <w:p w14:paraId="1B475896" w14:textId="77777777" w:rsidR="001B2302" w:rsidRPr="00BB444B" w:rsidRDefault="001B2302" w:rsidP="00014D67">
            <w:pPr>
              <w:spacing w:after="120"/>
              <w:jc w:val="center"/>
              <w:rPr>
                <w:color w:val="000000" w:themeColor="text1"/>
              </w:rPr>
            </w:pPr>
            <w:r w:rsidRPr="00BB444B">
              <w:rPr>
                <w:color w:val="000000" w:themeColor="text1"/>
              </w:rPr>
              <w:t>2015</w:t>
            </w:r>
          </w:p>
        </w:tc>
        <w:tc>
          <w:tcPr>
            <w:tcW w:w="1134" w:type="dxa"/>
            <w:shd w:val="clear" w:color="auto" w:fill="B6DDE8" w:themeFill="accent5" w:themeFillTint="66"/>
            <w:vAlign w:val="center"/>
          </w:tcPr>
          <w:p w14:paraId="1B1E26B8" w14:textId="77777777" w:rsidR="001B2302" w:rsidRPr="00BB444B" w:rsidRDefault="001B2302" w:rsidP="00014D67">
            <w:pPr>
              <w:spacing w:after="120"/>
              <w:jc w:val="center"/>
              <w:rPr>
                <w:color w:val="000000" w:themeColor="text1"/>
              </w:rPr>
            </w:pPr>
            <w:r w:rsidRPr="00BB444B">
              <w:rPr>
                <w:color w:val="000000" w:themeColor="text1"/>
              </w:rPr>
              <w:t>2016</w:t>
            </w:r>
          </w:p>
        </w:tc>
      </w:tr>
      <w:tr w:rsidR="00765EAD" w14:paraId="3F6F5C3E" w14:textId="77777777" w:rsidTr="00D8549E">
        <w:trPr>
          <w:trHeight w:val="567"/>
        </w:trPr>
        <w:tc>
          <w:tcPr>
            <w:tcW w:w="1821" w:type="dxa"/>
            <w:vAlign w:val="center"/>
          </w:tcPr>
          <w:p w14:paraId="5D50977F" w14:textId="77777777" w:rsidR="001B2302" w:rsidRPr="00BB444B" w:rsidRDefault="001B2302" w:rsidP="00014D67">
            <w:pPr>
              <w:spacing w:after="120"/>
              <w:jc w:val="left"/>
              <w:rPr>
                <w:color w:val="000000" w:themeColor="text1"/>
              </w:rPr>
            </w:pPr>
            <w:r w:rsidRPr="00BB444B">
              <w:rPr>
                <w:color w:val="000000" w:themeColor="text1"/>
              </w:rPr>
              <w:t>Vehicle sales</w:t>
            </w:r>
          </w:p>
        </w:tc>
        <w:tc>
          <w:tcPr>
            <w:tcW w:w="1134" w:type="dxa"/>
            <w:vAlign w:val="center"/>
          </w:tcPr>
          <w:p w14:paraId="77D0DB8B" w14:textId="77777777" w:rsidR="001B2302" w:rsidRPr="00BB444B" w:rsidRDefault="001B2302" w:rsidP="00014D67">
            <w:pPr>
              <w:spacing w:after="120"/>
              <w:jc w:val="center"/>
              <w:rPr>
                <w:color w:val="000000" w:themeColor="text1"/>
              </w:rPr>
            </w:pPr>
            <w:r w:rsidRPr="00BB444B">
              <w:rPr>
                <w:color w:val="000000" w:themeColor="text1"/>
              </w:rPr>
              <w:t>1,035,574</w:t>
            </w:r>
          </w:p>
        </w:tc>
        <w:tc>
          <w:tcPr>
            <w:tcW w:w="1134" w:type="dxa"/>
            <w:vAlign w:val="center"/>
          </w:tcPr>
          <w:p w14:paraId="22835FBB" w14:textId="77777777" w:rsidR="001B2302" w:rsidRPr="00BB444B" w:rsidRDefault="001B2302" w:rsidP="00014D67">
            <w:pPr>
              <w:spacing w:after="120"/>
              <w:jc w:val="center"/>
              <w:rPr>
                <w:color w:val="000000" w:themeColor="text1"/>
              </w:rPr>
            </w:pPr>
            <w:r w:rsidRPr="00BB444B">
              <w:rPr>
                <w:color w:val="000000" w:themeColor="text1"/>
              </w:rPr>
              <w:t>1,008,437</w:t>
            </w:r>
          </w:p>
        </w:tc>
        <w:tc>
          <w:tcPr>
            <w:tcW w:w="1134" w:type="dxa"/>
            <w:vAlign w:val="center"/>
          </w:tcPr>
          <w:p w14:paraId="24FC42B5" w14:textId="77777777" w:rsidR="001B2302" w:rsidRPr="00BB444B" w:rsidRDefault="001B2302" w:rsidP="00014D67">
            <w:pPr>
              <w:spacing w:after="120"/>
              <w:jc w:val="center"/>
              <w:rPr>
                <w:color w:val="000000" w:themeColor="text1"/>
              </w:rPr>
            </w:pPr>
            <w:r w:rsidRPr="00BB444B">
              <w:rPr>
                <w:color w:val="000000" w:themeColor="text1"/>
              </w:rPr>
              <w:t>1,112,032</w:t>
            </w:r>
          </w:p>
        </w:tc>
        <w:tc>
          <w:tcPr>
            <w:tcW w:w="1134" w:type="dxa"/>
            <w:vAlign w:val="center"/>
          </w:tcPr>
          <w:p w14:paraId="7C97CEF3" w14:textId="77777777" w:rsidR="001B2302" w:rsidRPr="00BB444B" w:rsidRDefault="001B2302" w:rsidP="00014D67">
            <w:pPr>
              <w:spacing w:after="120"/>
              <w:jc w:val="center"/>
              <w:rPr>
                <w:color w:val="000000" w:themeColor="text1"/>
              </w:rPr>
            </w:pPr>
            <w:r w:rsidRPr="00BB444B">
              <w:rPr>
                <w:color w:val="000000" w:themeColor="text1"/>
              </w:rPr>
              <w:t>1,136,227</w:t>
            </w:r>
          </w:p>
        </w:tc>
        <w:tc>
          <w:tcPr>
            <w:tcW w:w="1134" w:type="dxa"/>
            <w:vAlign w:val="center"/>
          </w:tcPr>
          <w:p w14:paraId="66EB3F21" w14:textId="77777777" w:rsidR="001B2302" w:rsidRPr="00BB444B" w:rsidRDefault="001B2302" w:rsidP="00014D67">
            <w:pPr>
              <w:spacing w:after="120"/>
              <w:jc w:val="center"/>
              <w:rPr>
                <w:color w:val="000000" w:themeColor="text1"/>
              </w:rPr>
            </w:pPr>
            <w:r w:rsidRPr="00BB444B">
              <w:rPr>
                <w:color w:val="000000" w:themeColor="text1"/>
              </w:rPr>
              <w:t>1,113,230</w:t>
            </w:r>
          </w:p>
        </w:tc>
        <w:tc>
          <w:tcPr>
            <w:tcW w:w="1134" w:type="dxa"/>
            <w:vAlign w:val="center"/>
          </w:tcPr>
          <w:p w14:paraId="69E1C2C2" w14:textId="77777777" w:rsidR="001B2302" w:rsidRPr="00BB444B" w:rsidRDefault="001B2302" w:rsidP="00014D67">
            <w:pPr>
              <w:spacing w:after="120"/>
              <w:jc w:val="center"/>
              <w:rPr>
                <w:color w:val="000000" w:themeColor="text1"/>
              </w:rPr>
            </w:pPr>
            <w:r w:rsidRPr="00BB444B">
              <w:rPr>
                <w:color w:val="000000" w:themeColor="text1"/>
              </w:rPr>
              <w:t>1,155,408</w:t>
            </w:r>
          </w:p>
        </w:tc>
        <w:tc>
          <w:tcPr>
            <w:tcW w:w="1134" w:type="dxa"/>
            <w:vAlign w:val="center"/>
          </w:tcPr>
          <w:p w14:paraId="14F96A4A" w14:textId="77777777" w:rsidR="001B2302" w:rsidRPr="00BB444B" w:rsidRDefault="001B2302" w:rsidP="00014D67">
            <w:pPr>
              <w:spacing w:after="120"/>
              <w:jc w:val="center"/>
              <w:rPr>
                <w:color w:val="000000" w:themeColor="text1"/>
              </w:rPr>
            </w:pPr>
            <w:r w:rsidRPr="00BB444B">
              <w:rPr>
                <w:color w:val="000000" w:themeColor="text1"/>
              </w:rPr>
              <w:t>1,178,133</w:t>
            </w:r>
          </w:p>
        </w:tc>
      </w:tr>
      <w:tr w:rsidR="00765EAD" w14:paraId="1BE192AC" w14:textId="77777777" w:rsidTr="00D8549E">
        <w:trPr>
          <w:trHeight w:val="567"/>
        </w:trPr>
        <w:tc>
          <w:tcPr>
            <w:tcW w:w="1821" w:type="dxa"/>
            <w:vAlign w:val="center"/>
          </w:tcPr>
          <w:p w14:paraId="2E329BAE" w14:textId="5565E949" w:rsidR="001B2302" w:rsidRPr="00BB444B" w:rsidRDefault="001B2302" w:rsidP="00765EAD">
            <w:pPr>
              <w:spacing w:after="120"/>
              <w:jc w:val="left"/>
              <w:rPr>
                <w:color w:val="000000" w:themeColor="text1"/>
              </w:rPr>
            </w:pPr>
            <w:r w:rsidRPr="00BB444B">
              <w:rPr>
                <w:color w:val="000000" w:themeColor="text1"/>
              </w:rPr>
              <w:t>Vehicle</w:t>
            </w:r>
            <w:r w:rsidR="00765EAD" w:rsidRPr="00BB444B">
              <w:rPr>
                <w:color w:val="000000" w:themeColor="text1"/>
              </w:rPr>
              <w:t xml:space="preserve">s locally </w:t>
            </w:r>
            <w:r w:rsidRPr="00BB444B">
              <w:rPr>
                <w:color w:val="000000" w:themeColor="text1"/>
              </w:rPr>
              <w:t xml:space="preserve"> </w:t>
            </w:r>
            <w:r w:rsidR="009F5EAE" w:rsidRPr="00BB444B">
              <w:rPr>
                <w:color w:val="000000" w:themeColor="text1"/>
              </w:rPr>
              <w:t>manufactured</w:t>
            </w:r>
          </w:p>
        </w:tc>
        <w:tc>
          <w:tcPr>
            <w:tcW w:w="1134" w:type="dxa"/>
            <w:vAlign w:val="center"/>
          </w:tcPr>
          <w:p w14:paraId="668B1DED" w14:textId="77777777" w:rsidR="001B2302" w:rsidRPr="00BB444B" w:rsidRDefault="001B2302" w:rsidP="00014D67">
            <w:pPr>
              <w:spacing w:after="120"/>
              <w:jc w:val="center"/>
              <w:rPr>
                <w:color w:val="000000" w:themeColor="text1"/>
              </w:rPr>
            </w:pPr>
            <w:r w:rsidRPr="00BB444B">
              <w:rPr>
                <w:color w:val="000000" w:themeColor="text1"/>
              </w:rPr>
              <w:t>243,031</w:t>
            </w:r>
          </w:p>
        </w:tc>
        <w:tc>
          <w:tcPr>
            <w:tcW w:w="1134" w:type="dxa"/>
            <w:vAlign w:val="center"/>
          </w:tcPr>
          <w:p w14:paraId="02080463" w14:textId="77777777" w:rsidR="001B2302" w:rsidRPr="00BB444B" w:rsidRDefault="001B2302" w:rsidP="00014D67">
            <w:pPr>
              <w:spacing w:after="120"/>
              <w:jc w:val="center"/>
              <w:rPr>
                <w:color w:val="000000" w:themeColor="text1"/>
              </w:rPr>
            </w:pPr>
            <w:r w:rsidRPr="00BB444B">
              <w:rPr>
                <w:color w:val="000000" w:themeColor="text1"/>
              </w:rPr>
              <w:t>146,176</w:t>
            </w:r>
          </w:p>
        </w:tc>
        <w:tc>
          <w:tcPr>
            <w:tcW w:w="1134" w:type="dxa"/>
            <w:vAlign w:val="center"/>
          </w:tcPr>
          <w:p w14:paraId="089D040A" w14:textId="77777777" w:rsidR="001B2302" w:rsidRPr="00BB444B" w:rsidRDefault="001B2302" w:rsidP="00014D67">
            <w:pPr>
              <w:spacing w:after="120"/>
              <w:jc w:val="center"/>
              <w:rPr>
                <w:color w:val="000000" w:themeColor="text1"/>
              </w:rPr>
            </w:pPr>
            <w:r w:rsidRPr="00BB444B">
              <w:rPr>
                <w:color w:val="000000" w:themeColor="text1"/>
              </w:rPr>
              <w:t>221,073</w:t>
            </w:r>
          </w:p>
        </w:tc>
        <w:tc>
          <w:tcPr>
            <w:tcW w:w="1134" w:type="dxa"/>
            <w:vAlign w:val="center"/>
          </w:tcPr>
          <w:p w14:paraId="0AB09E59" w14:textId="77777777" w:rsidR="001B2302" w:rsidRPr="00BB444B" w:rsidRDefault="001B2302" w:rsidP="00014D67">
            <w:pPr>
              <w:spacing w:after="120"/>
              <w:jc w:val="center"/>
              <w:rPr>
                <w:color w:val="000000" w:themeColor="text1"/>
              </w:rPr>
            </w:pPr>
            <w:r w:rsidRPr="00BB444B">
              <w:rPr>
                <w:color w:val="000000" w:themeColor="text1"/>
              </w:rPr>
              <w:t>210,538</w:t>
            </w:r>
          </w:p>
        </w:tc>
        <w:tc>
          <w:tcPr>
            <w:tcW w:w="1134" w:type="dxa"/>
            <w:vAlign w:val="center"/>
          </w:tcPr>
          <w:p w14:paraId="34B774F8" w14:textId="77777777" w:rsidR="001B2302" w:rsidRPr="00BB444B" w:rsidRDefault="001B2302" w:rsidP="00014D67">
            <w:pPr>
              <w:spacing w:after="120"/>
              <w:jc w:val="center"/>
              <w:rPr>
                <w:color w:val="000000" w:themeColor="text1"/>
              </w:rPr>
            </w:pPr>
            <w:r w:rsidRPr="00BB444B">
              <w:rPr>
                <w:color w:val="000000" w:themeColor="text1"/>
              </w:rPr>
              <w:t>174,986</w:t>
            </w:r>
          </w:p>
        </w:tc>
        <w:tc>
          <w:tcPr>
            <w:tcW w:w="1134" w:type="dxa"/>
            <w:vAlign w:val="center"/>
          </w:tcPr>
          <w:p w14:paraId="7D0F24F6" w14:textId="77777777" w:rsidR="001B2302" w:rsidRPr="00BB444B" w:rsidRDefault="001B2302" w:rsidP="00014D67">
            <w:pPr>
              <w:spacing w:after="120"/>
              <w:jc w:val="center"/>
              <w:rPr>
                <w:color w:val="000000" w:themeColor="text1"/>
              </w:rPr>
            </w:pPr>
            <w:r w:rsidRPr="00BB444B">
              <w:rPr>
                <w:color w:val="000000" w:themeColor="text1"/>
              </w:rPr>
              <w:t>167,538</w:t>
            </w:r>
          </w:p>
        </w:tc>
        <w:tc>
          <w:tcPr>
            <w:tcW w:w="1134" w:type="dxa"/>
            <w:vAlign w:val="center"/>
          </w:tcPr>
          <w:p w14:paraId="4909E6A1" w14:textId="77777777" w:rsidR="001B2302" w:rsidRPr="00BB444B" w:rsidRDefault="001B2302" w:rsidP="00014D67">
            <w:pPr>
              <w:spacing w:after="120"/>
              <w:jc w:val="center"/>
              <w:rPr>
                <w:color w:val="000000" w:themeColor="text1"/>
              </w:rPr>
            </w:pPr>
            <w:r w:rsidRPr="00BB444B">
              <w:rPr>
                <w:color w:val="000000" w:themeColor="text1"/>
              </w:rPr>
              <w:t>155,000</w:t>
            </w:r>
            <w:r w:rsidRPr="00BB444B">
              <w:rPr>
                <w:color w:val="000000" w:themeColor="text1"/>
                <w:vertAlign w:val="superscript"/>
              </w:rPr>
              <w:t>(1)</w:t>
            </w:r>
          </w:p>
        </w:tc>
      </w:tr>
    </w:tbl>
    <w:p w14:paraId="37C47E57" w14:textId="77777777" w:rsidR="001B2302" w:rsidRPr="00E6364D" w:rsidRDefault="001B2302" w:rsidP="001B2302">
      <w:pPr>
        <w:rPr>
          <w:sz w:val="20"/>
          <w:szCs w:val="20"/>
        </w:rPr>
      </w:pPr>
      <w:r w:rsidRPr="00E6364D">
        <w:rPr>
          <w:sz w:val="20"/>
          <w:szCs w:val="20"/>
        </w:rPr>
        <w:t>Notes:</w:t>
      </w:r>
    </w:p>
    <w:p w14:paraId="082FAFBE" w14:textId="77777777" w:rsidR="001B2302" w:rsidRPr="00E6364D" w:rsidRDefault="001B2302" w:rsidP="00FC735C">
      <w:pPr>
        <w:pStyle w:val="ListParagraph"/>
        <w:numPr>
          <w:ilvl w:val="0"/>
          <w:numId w:val="19"/>
        </w:numPr>
        <w:spacing w:before="60" w:after="60" w:line="240" w:lineRule="auto"/>
        <w:ind w:left="357" w:hanging="357"/>
        <w:contextualSpacing w:val="0"/>
        <w:rPr>
          <w:rFonts w:ascii="Times New Roman" w:hAnsi="Times New Roman"/>
          <w:sz w:val="20"/>
          <w:szCs w:val="20"/>
        </w:rPr>
      </w:pPr>
      <w:r w:rsidRPr="00E6364D">
        <w:rPr>
          <w:rFonts w:ascii="Times New Roman" w:hAnsi="Times New Roman"/>
          <w:sz w:val="20"/>
          <w:szCs w:val="20"/>
        </w:rPr>
        <w:t xml:space="preserve">Calculated estimate from </w:t>
      </w:r>
      <w:r>
        <w:rPr>
          <w:rFonts w:ascii="Times New Roman" w:hAnsi="Times New Roman"/>
          <w:sz w:val="20"/>
          <w:szCs w:val="20"/>
        </w:rPr>
        <w:t>VFACT 2017 data</w:t>
      </w:r>
      <w:r w:rsidRPr="00E6364D">
        <w:rPr>
          <w:rFonts w:ascii="Times New Roman" w:hAnsi="Times New Roman"/>
          <w:sz w:val="20"/>
          <w:szCs w:val="20"/>
        </w:rPr>
        <w:t>.</w:t>
      </w:r>
    </w:p>
    <w:p w14:paraId="2875C139" w14:textId="77777777" w:rsidR="001B2302" w:rsidRDefault="001B2302" w:rsidP="001B2302">
      <w:pPr>
        <w:rPr>
          <w:szCs w:val="22"/>
        </w:rPr>
      </w:pPr>
    </w:p>
    <w:p w14:paraId="48828032" w14:textId="3F8BCA32" w:rsidR="001B2302" w:rsidRDefault="001B2302" w:rsidP="001B2302">
      <w:r>
        <w:t>Imported vehicles fitted with MAC that contain a</w:t>
      </w:r>
      <w:r w:rsidR="00653AED">
        <w:t xml:space="preserve"> HFC </w:t>
      </w:r>
      <w:r>
        <w:t>refrigerant are reported as pre-charged equipment at point of entry</w:t>
      </w:r>
      <w:r w:rsidR="005735A5">
        <w:t xml:space="preserve"> into Australia</w:t>
      </w:r>
      <w:r>
        <w:t>. The chart below illustrates the scale of this source of input to the bank, an average of nearly 600 tonnes per annum between 2012 and 2016.</w:t>
      </w:r>
    </w:p>
    <w:p w14:paraId="517CEBDC" w14:textId="2909B3A8" w:rsidR="000F5291" w:rsidRDefault="000F5291">
      <w:pPr>
        <w:spacing w:before="0"/>
        <w:jc w:val="left"/>
        <w:rPr>
          <w:rFonts w:cs="Times New Roman"/>
          <w:lang w:val="en-AU"/>
        </w:rPr>
      </w:pPr>
      <w:r>
        <w:rPr>
          <w:rFonts w:cs="Times New Roman"/>
          <w:lang w:val="en-AU"/>
        </w:rPr>
        <w:br w:type="page"/>
      </w:r>
    </w:p>
    <w:p w14:paraId="743DFE5B" w14:textId="77777777" w:rsidR="001B2302" w:rsidRDefault="001B2302" w:rsidP="001B2302">
      <w:pPr>
        <w:rPr>
          <w:rFonts w:cs="Times New Roman"/>
          <w:lang w:val="en-AU"/>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1B2302" w:rsidRPr="00613398" w14:paraId="50F57FAF" w14:textId="77777777" w:rsidTr="00D8549E">
        <w:tc>
          <w:tcPr>
            <w:tcW w:w="9759" w:type="dxa"/>
            <w:vAlign w:val="center"/>
          </w:tcPr>
          <w:p w14:paraId="40712DC4" w14:textId="77777777" w:rsidR="001B2302" w:rsidRPr="00613398" w:rsidRDefault="001B2302" w:rsidP="00014D67">
            <w:pPr>
              <w:spacing w:after="120"/>
              <w:jc w:val="center"/>
              <w:rPr>
                <w:rFonts w:cs="Times New Roman"/>
                <w:b/>
              </w:rPr>
            </w:pPr>
            <w:r w:rsidRPr="00613398">
              <w:rPr>
                <w:rFonts w:cs="Times New Roman"/>
                <w:b/>
              </w:rPr>
              <w:br w:type="page"/>
            </w:r>
            <w:r>
              <w:rPr>
                <w:rFonts w:cs="Times New Roman"/>
                <w:b/>
              </w:rPr>
              <w:t>PCE imports of Mobile AC from 2012 to 2016 (Tonnes)</w:t>
            </w:r>
          </w:p>
        </w:tc>
      </w:tr>
      <w:tr w:rsidR="001B2302" w:rsidRPr="000F7FAE" w14:paraId="7D84D945" w14:textId="77777777" w:rsidTr="00D8549E">
        <w:tc>
          <w:tcPr>
            <w:tcW w:w="9759" w:type="dxa"/>
            <w:vAlign w:val="center"/>
          </w:tcPr>
          <w:p w14:paraId="7530415A" w14:textId="77777777" w:rsidR="001B2302" w:rsidRPr="000F7FAE" w:rsidRDefault="001B2302" w:rsidP="00014D67">
            <w:pPr>
              <w:spacing w:before="60" w:after="60"/>
              <w:jc w:val="center"/>
              <w:rPr>
                <w:sz w:val="16"/>
                <w:szCs w:val="16"/>
              </w:rPr>
            </w:pPr>
          </w:p>
          <w:p w14:paraId="5747FF4C" w14:textId="77777777" w:rsidR="001B2302" w:rsidRPr="000F7FAE" w:rsidRDefault="001B2302" w:rsidP="00014D67">
            <w:pPr>
              <w:spacing w:before="60" w:after="60"/>
              <w:jc w:val="center"/>
              <w:rPr>
                <w:sz w:val="16"/>
                <w:szCs w:val="16"/>
              </w:rPr>
            </w:pPr>
            <w:r>
              <w:rPr>
                <w:noProof/>
                <w:lang w:val="en-AU" w:eastAsia="en-AU"/>
              </w:rPr>
              <w:drawing>
                <wp:inline distT="0" distB="0" distL="0" distR="0" wp14:anchorId="21F077CF" wp14:editId="21311518">
                  <wp:extent cx="5943600" cy="3141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41345"/>
                          </a:xfrm>
                          <a:prstGeom prst="rect">
                            <a:avLst/>
                          </a:prstGeom>
                        </pic:spPr>
                      </pic:pic>
                    </a:graphicData>
                  </a:graphic>
                </wp:inline>
              </w:drawing>
            </w:r>
          </w:p>
          <w:p w14:paraId="0019EC24" w14:textId="77777777" w:rsidR="001B2302" w:rsidRPr="000F7FAE" w:rsidRDefault="001B2302" w:rsidP="00014D67">
            <w:pPr>
              <w:spacing w:before="60" w:after="60"/>
              <w:jc w:val="center"/>
              <w:rPr>
                <w:sz w:val="16"/>
                <w:szCs w:val="16"/>
              </w:rPr>
            </w:pPr>
          </w:p>
        </w:tc>
      </w:tr>
      <w:tr w:rsidR="001B2302" w:rsidRPr="00923150" w14:paraId="73526330" w14:textId="77777777" w:rsidTr="00D8549E">
        <w:tc>
          <w:tcPr>
            <w:tcW w:w="9759" w:type="dxa"/>
            <w:vAlign w:val="center"/>
          </w:tcPr>
          <w:p w14:paraId="6C90351C" w14:textId="7598816B" w:rsidR="001B2302" w:rsidRPr="00EE7692" w:rsidRDefault="00EE7692" w:rsidP="00EE7692">
            <w:pPr>
              <w:pStyle w:val="Caption"/>
            </w:pPr>
            <w:bookmarkStart w:id="29" w:name="_Toc525141332"/>
            <w:r w:rsidRPr="00EE769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1</w:t>
            </w:r>
            <w:r w:rsidR="009D6843">
              <w:rPr>
                <w:noProof/>
              </w:rPr>
              <w:fldChar w:fldCharType="end"/>
            </w:r>
            <w:r w:rsidRPr="00EE7692">
              <w:t>: P</w:t>
            </w:r>
            <w:r w:rsidR="001B2302" w:rsidRPr="00EE7692">
              <w:t xml:space="preserve">re-charged equipment imports of </w:t>
            </w:r>
            <w:r w:rsidR="005735A5" w:rsidRPr="00EE7692">
              <w:t>m</w:t>
            </w:r>
            <w:r w:rsidR="001B2302" w:rsidRPr="00EE7692">
              <w:t>obile AC from 2012 to 2016 in tonnes.</w:t>
            </w:r>
            <w:bookmarkEnd w:id="29"/>
          </w:p>
        </w:tc>
      </w:tr>
    </w:tbl>
    <w:p w14:paraId="3AB4178F" w14:textId="77777777" w:rsidR="001B2302" w:rsidRDefault="001B2302" w:rsidP="001B2302">
      <w:pPr>
        <w:spacing w:before="0"/>
        <w:rPr>
          <w:rFonts w:cs="Times New Roman"/>
          <w:szCs w:val="22"/>
          <w:lang w:val="en-US"/>
        </w:rPr>
      </w:pPr>
      <w:r>
        <w:rPr>
          <w:rFonts w:cs="Times New Roman"/>
          <w:szCs w:val="22"/>
          <w:lang w:val="en-US"/>
        </w:rPr>
        <w:t>(Sources: DoEE 2017)</w:t>
      </w:r>
    </w:p>
    <w:p w14:paraId="3EF21A70" w14:textId="77777777" w:rsidR="001B2302" w:rsidRDefault="001B2302" w:rsidP="001B2302">
      <w:pPr>
        <w:rPr>
          <w:szCs w:val="22"/>
        </w:rPr>
      </w:pPr>
    </w:p>
    <w:p w14:paraId="68ED2276" w14:textId="5EE32B8D" w:rsidR="001B2302" w:rsidRPr="00E6364D" w:rsidRDefault="001B2302" w:rsidP="001B2302">
      <w:pPr>
        <w:spacing w:before="240"/>
        <w:rPr>
          <w:b/>
          <w:szCs w:val="22"/>
        </w:rPr>
      </w:pPr>
      <w:r w:rsidRPr="00E6364D">
        <w:rPr>
          <w:b/>
          <w:szCs w:val="22"/>
        </w:rPr>
        <w:t xml:space="preserve">Changes to the MAC </w:t>
      </w:r>
      <w:r w:rsidR="00A7009B">
        <w:rPr>
          <w:b/>
          <w:szCs w:val="22"/>
        </w:rPr>
        <w:t>b</w:t>
      </w:r>
      <w:r w:rsidRPr="00E6364D">
        <w:rPr>
          <w:b/>
          <w:szCs w:val="22"/>
        </w:rPr>
        <w:t xml:space="preserve">ank and </w:t>
      </w:r>
      <w:r w:rsidR="00A7009B">
        <w:rPr>
          <w:b/>
          <w:szCs w:val="22"/>
        </w:rPr>
        <w:t>s</w:t>
      </w:r>
      <w:r w:rsidRPr="00E6364D">
        <w:rPr>
          <w:b/>
          <w:szCs w:val="22"/>
        </w:rPr>
        <w:t xml:space="preserve">ervice </w:t>
      </w:r>
      <w:r w:rsidR="00A7009B">
        <w:rPr>
          <w:b/>
          <w:szCs w:val="22"/>
        </w:rPr>
        <w:t>r</w:t>
      </w:r>
      <w:r w:rsidRPr="00E6364D">
        <w:rPr>
          <w:b/>
          <w:szCs w:val="22"/>
        </w:rPr>
        <w:t xml:space="preserve">ates </w:t>
      </w:r>
    </w:p>
    <w:p w14:paraId="2D6396FD" w14:textId="38884FBF" w:rsidR="00A579C3" w:rsidRDefault="001B2302" w:rsidP="001B2302">
      <w:pPr>
        <w:rPr>
          <w:szCs w:val="22"/>
        </w:rPr>
      </w:pPr>
      <w:r>
        <w:rPr>
          <w:szCs w:val="22"/>
        </w:rPr>
        <w:t>An important result of th</w:t>
      </w:r>
      <w:r w:rsidR="00C8227A">
        <w:rPr>
          <w:szCs w:val="22"/>
        </w:rPr>
        <w:t>e</w:t>
      </w:r>
      <w:r>
        <w:rPr>
          <w:szCs w:val="22"/>
        </w:rPr>
        <w:t xml:space="preserve"> new data and </w:t>
      </w:r>
      <w:r w:rsidR="00A579C3">
        <w:rPr>
          <w:szCs w:val="22"/>
        </w:rPr>
        <w:t xml:space="preserve">changes to the </w:t>
      </w:r>
      <w:r>
        <w:rPr>
          <w:szCs w:val="22"/>
        </w:rPr>
        <w:t>method</w:t>
      </w:r>
      <w:r w:rsidR="00A579C3">
        <w:rPr>
          <w:szCs w:val="22"/>
        </w:rPr>
        <w:t>ology underlying the model</w:t>
      </w:r>
      <w:r>
        <w:rPr>
          <w:szCs w:val="22"/>
        </w:rPr>
        <w:t xml:space="preserve"> (as com</w:t>
      </w:r>
      <w:r w:rsidR="00E84C41">
        <w:rPr>
          <w:szCs w:val="22"/>
        </w:rPr>
        <w:t>pared to that employed in CHF2)</w:t>
      </w:r>
      <w:r>
        <w:rPr>
          <w:szCs w:val="22"/>
        </w:rPr>
        <w:t xml:space="preserve"> has been a significant upward revision of the estimate of the 2012 MAC </w:t>
      </w:r>
      <w:r w:rsidR="00A579C3">
        <w:rPr>
          <w:szCs w:val="22"/>
        </w:rPr>
        <w:t>b</w:t>
      </w:r>
      <w:r w:rsidRPr="00A579C3">
        <w:rPr>
          <w:szCs w:val="22"/>
        </w:rPr>
        <w:t>ank</w:t>
      </w:r>
      <w:r>
        <w:rPr>
          <w:szCs w:val="22"/>
        </w:rPr>
        <w:t xml:space="preserve">. </w:t>
      </w:r>
    </w:p>
    <w:p w14:paraId="6C4FF8A8" w14:textId="0DB1801F" w:rsidR="001B2302" w:rsidRDefault="00A579C3" w:rsidP="001B2302">
      <w:pPr>
        <w:rPr>
          <w:szCs w:val="22"/>
        </w:rPr>
      </w:pPr>
      <w:r>
        <w:rPr>
          <w:szCs w:val="22"/>
        </w:rPr>
        <w:t xml:space="preserve">CHF3 </w:t>
      </w:r>
      <w:r w:rsidR="00E553D6">
        <w:rPr>
          <w:szCs w:val="22"/>
        </w:rPr>
        <w:t xml:space="preserve">now </w:t>
      </w:r>
      <w:r w:rsidR="001B2302">
        <w:rPr>
          <w:szCs w:val="22"/>
        </w:rPr>
        <w:t xml:space="preserve">calculates </w:t>
      </w:r>
      <w:r w:rsidR="00CD7090">
        <w:rPr>
          <w:szCs w:val="22"/>
        </w:rPr>
        <w:t xml:space="preserve">that </w:t>
      </w:r>
      <w:r w:rsidR="001B2302">
        <w:rPr>
          <w:szCs w:val="22"/>
        </w:rPr>
        <w:t xml:space="preserve">the </w:t>
      </w:r>
      <w:r>
        <w:rPr>
          <w:szCs w:val="22"/>
        </w:rPr>
        <w:t xml:space="preserve">bank </w:t>
      </w:r>
      <w:r w:rsidR="001B2302">
        <w:rPr>
          <w:szCs w:val="22"/>
        </w:rPr>
        <w:t xml:space="preserve">of refrigerant in MAC in 2012 </w:t>
      </w:r>
      <w:r w:rsidR="001B2302" w:rsidRPr="00A15B94">
        <w:rPr>
          <w:szCs w:val="22"/>
        </w:rPr>
        <w:t>was 1</w:t>
      </w:r>
      <w:r w:rsidR="00A15B94" w:rsidRPr="00A15B94">
        <w:rPr>
          <w:szCs w:val="22"/>
        </w:rPr>
        <w:t>0</w:t>
      </w:r>
      <w:r w:rsidR="001B2302" w:rsidRPr="00A15B94">
        <w:rPr>
          <w:szCs w:val="22"/>
        </w:rPr>
        <w:t>,</w:t>
      </w:r>
      <w:r w:rsidR="00A15B94" w:rsidRPr="00A15B94">
        <w:rPr>
          <w:szCs w:val="22"/>
        </w:rPr>
        <w:t>600</w:t>
      </w:r>
      <w:r w:rsidR="001B2302" w:rsidRPr="00A15B94">
        <w:rPr>
          <w:szCs w:val="22"/>
        </w:rPr>
        <w:t xml:space="preserve"> tonnes</w:t>
      </w:r>
      <w:r w:rsidR="001B2302">
        <w:rPr>
          <w:szCs w:val="22"/>
        </w:rPr>
        <w:t xml:space="preserve">, as opposed to the original estimate of the bank </w:t>
      </w:r>
      <w:r w:rsidR="00E553D6">
        <w:rPr>
          <w:szCs w:val="22"/>
        </w:rPr>
        <w:t xml:space="preserve">in 2012 </w:t>
      </w:r>
      <w:r w:rsidR="001B2302">
        <w:rPr>
          <w:szCs w:val="22"/>
        </w:rPr>
        <w:t xml:space="preserve">of 9,100 tonnes. This is a </w:t>
      </w:r>
      <w:r w:rsidR="00CD7090">
        <w:rPr>
          <w:szCs w:val="22"/>
        </w:rPr>
        <w:t>16</w:t>
      </w:r>
      <w:r w:rsidR="001B2302" w:rsidRPr="00FD71FA">
        <w:rPr>
          <w:szCs w:val="22"/>
        </w:rPr>
        <w:t>%</w:t>
      </w:r>
      <w:r w:rsidR="001B2302">
        <w:rPr>
          <w:szCs w:val="22"/>
        </w:rPr>
        <w:t xml:space="preserve"> upward revision of the estimated MAC bank in 2012, with increases in volumes of both HCFCs and HFCs. </w:t>
      </w:r>
      <w:r>
        <w:rPr>
          <w:szCs w:val="22"/>
        </w:rPr>
        <w:t xml:space="preserve">The reason </w:t>
      </w:r>
      <w:r w:rsidR="00FD71FA">
        <w:rPr>
          <w:szCs w:val="22"/>
        </w:rPr>
        <w:t xml:space="preserve">for this significant revision of the small MAC bank flows from an improvement to the </w:t>
      </w:r>
      <w:r w:rsidR="0069765B">
        <w:rPr>
          <w:szCs w:val="22"/>
        </w:rPr>
        <w:t xml:space="preserve">RAC </w:t>
      </w:r>
      <w:r w:rsidR="00FD71FA">
        <w:rPr>
          <w:szCs w:val="22"/>
        </w:rPr>
        <w:t xml:space="preserve">Stock </w:t>
      </w:r>
      <w:r w:rsidR="0069765B">
        <w:rPr>
          <w:szCs w:val="22"/>
        </w:rPr>
        <w:t>m</w:t>
      </w:r>
      <w:r w:rsidR="00FD71FA">
        <w:rPr>
          <w:szCs w:val="22"/>
        </w:rPr>
        <w:t>odel, whereby equipment can be modelled in cohorts based on year of manufacture, resulting in the ability to adjust MAC charge sizes for every year of vehicle production going back to the 1960s. As earlier model vehicles had larger charge sizes, the changes in aggregate produced the larger estimate of the 2012 bank</w:t>
      </w:r>
      <w:r w:rsidR="001B2302">
        <w:rPr>
          <w:szCs w:val="22"/>
        </w:rPr>
        <w:t>.</w:t>
      </w:r>
    </w:p>
    <w:p w14:paraId="53034588" w14:textId="59C41897" w:rsidR="001B2302" w:rsidRDefault="001B2302" w:rsidP="001B2302">
      <w:pPr>
        <w:rPr>
          <w:szCs w:val="22"/>
        </w:rPr>
      </w:pPr>
      <w:r>
        <w:rPr>
          <w:szCs w:val="22"/>
        </w:rPr>
        <w:t>M</w:t>
      </w:r>
      <w:r w:rsidRPr="004055B6">
        <w:rPr>
          <w:szCs w:val="22"/>
        </w:rPr>
        <w:t>arket intelligence, data on sale</w:t>
      </w:r>
      <w:r>
        <w:rPr>
          <w:szCs w:val="22"/>
        </w:rPr>
        <w:t>s</w:t>
      </w:r>
      <w:r w:rsidRPr="004055B6">
        <w:rPr>
          <w:szCs w:val="22"/>
        </w:rPr>
        <w:t xml:space="preserve"> of bulk </w:t>
      </w:r>
      <w:r w:rsidR="00653AED">
        <w:rPr>
          <w:szCs w:val="22"/>
        </w:rPr>
        <w:t>refrigerant</w:t>
      </w:r>
      <w:r w:rsidR="00653AED" w:rsidRPr="004055B6">
        <w:rPr>
          <w:szCs w:val="22"/>
        </w:rPr>
        <w:t xml:space="preserve"> </w:t>
      </w:r>
      <w:r w:rsidRPr="004055B6">
        <w:rPr>
          <w:szCs w:val="22"/>
        </w:rPr>
        <w:t xml:space="preserve">and </w:t>
      </w:r>
      <w:r>
        <w:rPr>
          <w:szCs w:val="22"/>
        </w:rPr>
        <w:t xml:space="preserve">sales of MAC </w:t>
      </w:r>
      <w:r w:rsidRPr="004055B6">
        <w:rPr>
          <w:szCs w:val="22"/>
        </w:rPr>
        <w:t>components into th</w:t>
      </w:r>
      <w:r>
        <w:rPr>
          <w:szCs w:val="22"/>
        </w:rPr>
        <w:t>is</w:t>
      </w:r>
      <w:r w:rsidRPr="004055B6">
        <w:rPr>
          <w:szCs w:val="22"/>
        </w:rPr>
        <w:t xml:space="preserve"> segment suggests that, at least in private vehicles, there is a </w:t>
      </w:r>
      <w:r w:rsidR="001238E1">
        <w:rPr>
          <w:szCs w:val="22"/>
        </w:rPr>
        <w:t xml:space="preserve">considerable </w:t>
      </w:r>
      <w:r w:rsidRPr="004055B6">
        <w:rPr>
          <w:szCs w:val="22"/>
        </w:rPr>
        <w:t xml:space="preserve">degree of underservicing of </w:t>
      </w:r>
      <w:r w:rsidR="00BE6979">
        <w:rPr>
          <w:szCs w:val="22"/>
        </w:rPr>
        <w:t>s</w:t>
      </w:r>
      <w:r w:rsidRPr="004055B6">
        <w:rPr>
          <w:szCs w:val="22"/>
        </w:rPr>
        <w:t xml:space="preserve">mall MAC, with possibly </w:t>
      </w:r>
      <w:r>
        <w:rPr>
          <w:szCs w:val="22"/>
        </w:rPr>
        <w:t>less than</w:t>
      </w:r>
      <w:r w:rsidRPr="004055B6">
        <w:rPr>
          <w:szCs w:val="22"/>
        </w:rPr>
        <w:t xml:space="preserve"> half of the refrigerant lost to air being replaced in any one year.</w:t>
      </w:r>
      <w:r>
        <w:rPr>
          <w:szCs w:val="22"/>
        </w:rPr>
        <w:t xml:space="preserve"> </w:t>
      </w:r>
      <w:r w:rsidR="001238E1">
        <w:rPr>
          <w:szCs w:val="22"/>
        </w:rPr>
        <w:t xml:space="preserve">As a </w:t>
      </w:r>
      <w:r w:rsidR="009F5EAE">
        <w:rPr>
          <w:szCs w:val="22"/>
        </w:rPr>
        <w:t>result,</w:t>
      </w:r>
      <w:r w:rsidR="001238E1">
        <w:rPr>
          <w:szCs w:val="22"/>
        </w:rPr>
        <w:t xml:space="preserve"> t</w:t>
      </w:r>
      <w:r>
        <w:rPr>
          <w:szCs w:val="22"/>
        </w:rPr>
        <w:t xml:space="preserve">he </w:t>
      </w:r>
      <w:r w:rsidR="00BE6979">
        <w:rPr>
          <w:szCs w:val="22"/>
        </w:rPr>
        <w:t xml:space="preserve">RAC </w:t>
      </w:r>
      <w:r>
        <w:rPr>
          <w:szCs w:val="22"/>
        </w:rPr>
        <w:t xml:space="preserve">Stock </w:t>
      </w:r>
      <w:r w:rsidR="00BE6979">
        <w:rPr>
          <w:szCs w:val="22"/>
        </w:rPr>
        <w:t>m</w:t>
      </w:r>
      <w:r>
        <w:rPr>
          <w:szCs w:val="22"/>
        </w:rPr>
        <w:t xml:space="preserve">odel now calculates a significant reduction in </w:t>
      </w:r>
      <w:r w:rsidR="0055519E">
        <w:rPr>
          <w:szCs w:val="22"/>
        </w:rPr>
        <w:t xml:space="preserve">refrigerant </w:t>
      </w:r>
      <w:r>
        <w:rPr>
          <w:szCs w:val="22"/>
        </w:rPr>
        <w:t>used for servic</w:t>
      </w:r>
      <w:r w:rsidR="003220F2">
        <w:rPr>
          <w:szCs w:val="22"/>
        </w:rPr>
        <w:t>ing</w:t>
      </w:r>
      <w:r>
        <w:rPr>
          <w:szCs w:val="22"/>
        </w:rPr>
        <w:t xml:space="preserve"> in MAC in 2016, as compared to the estimates in CHF2.  </w:t>
      </w:r>
    </w:p>
    <w:p w14:paraId="3F8F6007" w14:textId="52F04F9E" w:rsidR="001B2302" w:rsidRDefault="00CF45A3" w:rsidP="001B2302">
      <w:pPr>
        <w:rPr>
          <w:szCs w:val="22"/>
        </w:rPr>
      </w:pPr>
      <w:r>
        <w:rPr>
          <w:szCs w:val="22"/>
        </w:rPr>
        <w:t>E</w:t>
      </w:r>
      <w:r w:rsidR="001B2302">
        <w:rPr>
          <w:szCs w:val="22"/>
        </w:rPr>
        <w:t xml:space="preserve">stimates of bulk </w:t>
      </w:r>
      <w:r w:rsidR="00D170D1">
        <w:rPr>
          <w:szCs w:val="22"/>
        </w:rPr>
        <w:t xml:space="preserve">refrigerant </w:t>
      </w:r>
      <w:r w:rsidR="001B2302">
        <w:rPr>
          <w:szCs w:val="22"/>
        </w:rPr>
        <w:t>use by vehicle manufacturers and for servicing t</w:t>
      </w:r>
      <w:r w:rsidR="001B2302" w:rsidRPr="00F71269">
        <w:rPr>
          <w:szCs w:val="22"/>
        </w:rPr>
        <w:t>he vehicle fleet</w:t>
      </w:r>
      <w:r w:rsidR="001B2302">
        <w:rPr>
          <w:szCs w:val="22"/>
        </w:rPr>
        <w:t xml:space="preserve"> in 2016 is 668 tonnes, or </w:t>
      </w:r>
      <w:r w:rsidR="001B2302" w:rsidRPr="00F71269">
        <w:rPr>
          <w:szCs w:val="22"/>
        </w:rPr>
        <w:t xml:space="preserve">an estimated </w:t>
      </w:r>
      <w:r w:rsidR="00BE6979" w:rsidRPr="00BE6979">
        <w:rPr>
          <w:szCs w:val="22"/>
        </w:rPr>
        <w:t>19</w:t>
      </w:r>
      <w:r w:rsidR="00C9319D" w:rsidRPr="00BE6979">
        <w:rPr>
          <w:szCs w:val="22"/>
        </w:rPr>
        <w:t>%</w:t>
      </w:r>
      <w:r w:rsidR="001B2302" w:rsidRPr="00BE6979">
        <w:rPr>
          <w:szCs w:val="22"/>
        </w:rPr>
        <w:t xml:space="preserve"> of all</w:t>
      </w:r>
      <w:r w:rsidR="001B2302" w:rsidRPr="004055B6">
        <w:rPr>
          <w:szCs w:val="22"/>
        </w:rPr>
        <w:t xml:space="preserve"> bulk </w:t>
      </w:r>
      <w:r w:rsidR="00BE6979">
        <w:rPr>
          <w:szCs w:val="22"/>
        </w:rPr>
        <w:t xml:space="preserve">HCFCs and </w:t>
      </w:r>
      <w:r w:rsidR="001B2302" w:rsidRPr="004055B6">
        <w:rPr>
          <w:szCs w:val="22"/>
        </w:rPr>
        <w:t xml:space="preserve">HFCs </w:t>
      </w:r>
      <w:r w:rsidR="00BE6979">
        <w:rPr>
          <w:szCs w:val="22"/>
        </w:rPr>
        <w:t>used in</w:t>
      </w:r>
      <w:r w:rsidR="001B2302" w:rsidRPr="004055B6">
        <w:rPr>
          <w:szCs w:val="22"/>
        </w:rPr>
        <w:t xml:space="preserve"> Australia in 2016. This </w:t>
      </w:r>
      <w:r w:rsidR="00D170D1">
        <w:rPr>
          <w:szCs w:val="22"/>
        </w:rPr>
        <w:t>refrigerant</w:t>
      </w:r>
      <w:r w:rsidR="001B2302" w:rsidRPr="004055B6">
        <w:rPr>
          <w:szCs w:val="22"/>
        </w:rPr>
        <w:t xml:space="preserve"> was used to either replace leaked </w:t>
      </w:r>
      <w:r w:rsidR="00D170D1">
        <w:rPr>
          <w:szCs w:val="22"/>
        </w:rPr>
        <w:t>refrigerant</w:t>
      </w:r>
      <w:r w:rsidR="00D170D1" w:rsidRPr="004055B6">
        <w:rPr>
          <w:szCs w:val="22"/>
        </w:rPr>
        <w:t xml:space="preserve"> </w:t>
      </w:r>
      <w:r w:rsidR="001B2302" w:rsidRPr="004055B6">
        <w:rPr>
          <w:szCs w:val="22"/>
        </w:rPr>
        <w:t xml:space="preserve">in that year, or in the manufacture of new vehicles produced by car makers who were still in operation at that time. CHF2 </w:t>
      </w:r>
      <w:r>
        <w:rPr>
          <w:szCs w:val="22"/>
        </w:rPr>
        <w:t>estimated</w:t>
      </w:r>
      <w:r w:rsidR="001B2302">
        <w:rPr>
          <w:szCs w:val="22"/>
        </w:rPr>
        <w:t xml:space="preserve"> </w:t>
      </w:r>
      <w:r w:rsidR="001B2302" w:rsidRPr="004055B6">
        <w:rPr>
          <w:szCs w:val="22"/>
        </w:rPr>
        <w:t xml:space="preserve">total </w:t>
      </w:r>
      <w:r>
        <w:rPr>
          <w:szCs w:val="22"/>
        </w:rPr>
        <w:t xml:space="preserve">vehicle </w:t>
      </w:r>
      <w:r w:rsidR="001B2302">
        <w:rPr>
          <w:szCs w:val="22"/>
        </w:rPr>
        <w:t xml:space="preserve">manufacturer and </w:t>
      </w:r>
      <w:r w:rsidR="001B2302" w:rsidRPr="004055B6">
        <w:rPr>
          <w:szCs w:val="22"/>
        </w:rPr>
        <w:t xml:space="preserve">service </w:t>
      </w:r>
      <w:r w:rsidR="003220F2">
        <w:rPr>
          <w:szCs w:val="22"/>
        </w:rPr>
        <w:t>use</w:t>
      </w:r>
      <w:r w:rsidR="003220F2" w:rsidRPr="004055B6">
        <w:rPr>
          <w:szCs w:val="22"/>
        </w:rPr>
        <w:t xml:space="preserve"> </w:t>
      </w:r>
      <w:r w:rsidR="001B2302" w:rsidRPr="004055B6">
        <w:rPr>
          <w:szCs w:val="22"/>
        </w:rPr>
        <w:t>to be</w:t>
      </w:r>
      <w:r w:rsidR="001B2302">
        <w:rPr>
          <w:szCs w:val="22"/>
        </w:rPr>
        <w:t xml:space="preserve"> ~1,048 tonnes</w:t>
      </w:r>
      <w:r w:rsidR="001B2302" w:rsidRPr="004055B6">
        <w:rPr>
          <w:szCs w:val="22"/>
        </w:rPr>
        <w:t>,</w:t>
      </w:r>
      <w:r w:rsidR="001B2302">
        <w:rPr>
          <w:szCs w:val="22"/>
        </w:rPr>
        <w:t xml:space="preserve"> or 33% of all bulk imports in </w:t>
      </w:r>
      <w:r>
        <w:rPr>
          <w:szCs w:val="22"/>
        </w:rPr>
        <w:t>2012</w:t>
      </w:r>
      <w:r w:rsidR="001B2302">
        <w:rPr>
          <w:szCs w:val="22"/>
        </w:rPr>
        <w:t>.</w:t>
      </w:r>
    </w:p>
    <w:p w14:paraId="7A63BC6A" w14:textId="2C39DBE7" w:rsidR="001B2302" w:rsidRDefault="001B2302" w:rsidP="001B2302">
      <w:pPr>
        <w:rPr>
          <w:szCs w:val="22"/>
        </w:rPr>
      </w:pPr>
      <w:r w:rsidRPr="005C3266">
        <w:rPr>
          <w:szCs w:val="22"/>
        </w:rPr>
        <w:lastRenderedPageBreak/>
        <w:t xml:space="preserve">The large majority of </w:t>
      </w:r>
      <w:r>
        <w:rPr>
          <w:szCs w:val="22"/>
        </w:rPr>
        <w:t xml:space="preserve">the 2016 bulk </w:t>
      </w:r>
      <w:r w:rsidR="00D170D1">
        <w:rPr>
          <w:szCs w:val="22"/>
        </w:rPr>
        <w:t xml:space="preserve">refrigerant </w:t>
      </w:r>
      <w:r>
        <w:rPr>
          <w:szCs w:val="22"/>
        </w:rPr>
        <w:t xml:space="preserve">sold into this segment, </w:t>
      </w:r>
      <w:r w:rsidRPr="0069765B">
        <w:rPr>
          <w:szCs w:val="22"/>
        </w:rPr>
        <w:t>570</w:t>
      </w:r>
      <w:r>
        <w:rPr>
          <w:szCs w:val="22"/>
        </w:rPr>
        <w:t xml:space="preserve"> tonnes, </w:t>
      </w:r>
      <w:r w:rsidRPr="005C3266">
        <w:rPr>
          <w:szCs w:val="22"/>
        </w:rPr>
        <w:t xml:space="preserve">was </w:t>
      </w:r>
      <w:r w:rsidR="00D170D1">
        <w:rPr>
          <w:szCs w:val="22"/>
        </w:rPr>
        <w:t>used</w:t>
      </w:r>
      <w:r w:rsidR="00D170D1" w:rsidRPr="005C3266">
        <w:rPr>
          <w:szCs w:val="22"/>
        </w:rPr>
        <w:t xml:space="preserve"> </w:t>
      </w:r>
      <w:r w:rsidRPr="005C3266">
        <w:rPr>
          <w:szCs w:val="22"/>
        </w:rPr>
        <w:t>servicing air conditioning systems in existing vehicles</w:t>
      </w:r>
      <w:r>
        <w:rPr>
          <w:szCs w:val="22"/>
        </w:rPr>
        <w:t xml:space="preserve">. This estimate of 2016 service </w:t>
      </w:r>
      <w:r w:rsidR="00D170D1">
        <w:rPr>
          <w:szCs w:val="22"/>
        </w:rPr>
        <w:t xml:space="preserve">refrigerant </w:t>
      </w:r>
      <w:r>
        <w:rPr>
          <w:szCs w:val="22"/>
        </w:rPr>
        <w:t xml:space="preserve">is a very robust value and is based on three consecutive years of surveying of market participants who supply more than </w:t>
      </w:r>
      <w:r w:rsidRPr="00FC4A96">
        <w:rPr>
          <w:szCs w:val="22"/>
        </w:rPr>
        <w:t xml:space="preserve">95% </w:t>
      </w:r>
      <w:r>
        <w:rPr>
          <w:szCs w:val="22"/>
        </w:rPr>
        <w:t>of this market. The survey results ar</w:t>
      </w:r>
      <w:r w:rsidR="00BE6979">
        <w:rPr>
          <w:szCs w:val="22"/>
        </w:rPr>
        <w:t>e summarised in the table below which do not take into account any aftermarket recovery and reuse.</w:t>
      </w:r>
    </w:p>
    <w:p w14:paraId="5F402079" w14:textId="77777777" w:rsidR="001B2302" w:rsidRPr="003659F5" w:rsidRDefault="001B2302" w:rsidP="001B2302">
      <w:pPr>
        <w:rPr>
          <w:szCs w:val="22"/>
        </w:rPr>
      </w:pPr>
    </w:p>
    <w:p w14:paraId="3A2AA670" w14:textId="2546943E" w:rsidR="001B2302" w:rsidRPr="00311821" w:rsidRDefault="00311821" w:rsidP="00311821">
      <w:pPr>
        <w:pStyle w:val="Caption"/>
        <w:keepNext/>
        <w:rPr>
          <w:lang w:val="en-AU"/>
        </w:rPr>
      </w:pPr>
      <w:bookmarkStart w:id="30" w:name="_Toc525141399"/>
      <w:r w:rsidRPr="00311821">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10</w:t>
      </w:r>
      <w:r w:rsidR="009D6843">
        <w:rPr>
          <w:noProof/>
        </w:rPr>
        <w:fldChar w:fldCharType="end"/>
      </w:r>
      <w:r w:rsidRPr="00311821">
        <w:t xml:space="preserve">: </w:t>
      </w:r>
      <w:r w:rsidR="001B2302" w:rsidRPr="00311821">
        <w:rPr>
          <w:lang w:val="en-AU"/>
        </w:rPr>
        <w:t>Volumes of HFC-134a sold by calendar year (</w:t>
      </w:r>
      <w:r w:rsidR="00FE74F2" w:rsidRPr="00311821">
        <w:rPr>
          <w:lang w:val="en-AU"/>
        </w:rPr>
        <w:t>k</w:t>
      </w:r>
      <w:r w:rsidR="00FE74F2">
        <w:rPr>
          <w:lang w:val="en-AU"/>
        </w:rPr>
        <w:t>ilogram</w:t>
      </w:r>
      <w:r w:rsidR="00FE74F2" w:rsidRPr="00311821">
        <w:rPr>
          <w:lang w:val="en-AU"/>
        </w:rPr>
        <w:t>s</w:t>
      </w:r>
      <w:r w:rsidR="001B2302" w:rsidRPr="00311821">
        <w:rPr>
          <w:lang w:val="en-AU"/>
        </w:rPr>
        <w:t xml:space="preserve">) based on </w:t>
      </w:r>
      <w:r w:rsidR="00107B8B" w:rsidRPr="00311821">
        <w:rPr>
          <w:lang w:val="en-AU"/>
        </w:rPr>
        <w:t>a</w:t>
      </w:r>
      <w:r w:rsidR="001B2302" w:rsidRPr="00311821">
        <w:rPr>
          <w:lang w:val="en-AU"/>
        </w:rPr>
        <w:t>ftermarket supplier survey.</w:t>
      </w:r>
      <w:bookmarkEnd w:id="30"/>
    </w:p>
    <w:tbl>
      <w:tblPr>
        <w:tblStyle w:val="TableGrid"/>
        <w:tblW w:w="9759" w:type="dxa"/>
        <w:tblInd w:w="-5" w:type="dxa"/>
        <w:tblLook w:val="04A0" w:firstRow="1" w:lastRow="0" w:firstColumn="1" w:lastColumn="0" w:noHBand="0" w:noVBand="1"/>
      </w:tblPr>
      <w:tblGrid>
        <w:gridCol w:w="3333"/>
        <w:gridCol w:w="3213"/>
        <w:gridCol w:w="3213"/>
      </w:tblGrid>
      <w:tr w:rsidR="00CD73A6" w:rsidRPr="00CD73A6" w14:paraId="6E840AA4" w14:textId="77777777" w:rsidTr="00CD73A6">
        <w:tc>
          <w:tcPr>
            <w:tcW w:w="3333" w:type="dxa"/>
            <w:tcBorders>
              <w:right w:val="single" w:sz="4" w:space="0" w:color="000000"/>
            </w:tcBorders>
            <w:shd w:val="clear" w:color="auto" w:fill="B6DDE8" w:themeFill="accent5" w:themeFillTint="66"/>
            <w:vAlign w:val="center"/>
          </w:tcPr>
          <w:p w14:paraId="113FE06C" w14:textId="77777777" w:rsidR="001B2302" w:rsidRPr="00CD73A6" w:rsidRDefault="001B2302" w:rsidP="00014D67">
            <w:pPr>
              <w:spacing w:after="120"/>
              <w:jc w:val="center"/>
              <w:rPr>
                <w:color w:val="000000" w:themeColor="text1"/>
                <w:szCs w:val="22"/>
                <w:lang w:val="en-AU"/>
              </w:rPr>
            </w:pPr>
            <w:r w:rsidRPr="00CD73A6">
              <w:rPr>
                <w:color w:val="000000" w:themeColor="text1"/>
                <w:szCs w:val="22"/>
                <w:lang w:val="en-AU"/>
              </w:rPr>
              <w:t>2014</w:t>
            </w:r>
          </w:p>
        </w:tc>
        <w:tc>
          <w:tcPr>
            <w:tcW w:w="3213" w:type="dxa"/>
            <w:tcBorders>
              <w:left w:val="single" w:sz="4" w:space="0" w:color="000000"/>
              <w:right w:val="single" w:sz="4" w:space="0" w:color="000000"/>
            </w:tcBorders>
            <w:shd w:val="clear" w:color="auto" w:fill="B6DDE8" w:themeFill="accent5" w:themeFillTint="66"/>
            <w:vAlign w:val="center"/>
          </w:tcPr>
          <w:p w14:paraId="5A913885" w14:textId="77777777" w:rsidR="001B2302" w:rsidRPr="00CD73A6" w:rsidRDefault="001B2302" w:rsidP="00014D67">
            <w:pPr>
              <w:spacing w:after="120"/>
              <w:jc w:val="center"/>
              <w:rPr>
                <w:color w:val="000000" w:themeColor="text1"/>
                <w:szCs w:val="22"/>
                <w:lang w:val="en-AU"/>
              </w:rPr>
            </w:pPr>
            <w:r w:rsidRPr="00CD73A6">
              <w:rPr>
                <w:color w:val="000000" w:themeColor="text1"/>
                <w:szCs w:val="22"/>
                <w:lang w:val="en-AU"/>
              </w:rPr>
              <w:t>2015</w:t>
            </w:r>
          </w:p>
        </w:tc>
        <w:tc>
          <w:tcPr>
            <w:tcW w:w="3213" w:type="dxa"/>
            <w:tcBorders>
              <w:left w:val="single" w:sz="4" w:space="0" w:color="000000"/>
            </w:tcBorders>
            <w:shd w:val="clear" w:color="auto" w:fill="B6DDE8" w:themeFill="accent5" w:themeFillTint="66"/>
            <w:vAlign w:val="center"/>
          </w:tcPr>
          <w:p w14:paraId="10322361" w14:textId="77777777" w:rsidR="001B2302" w:rsidRPr="00CD73A6" w:rsidRDefault="001B2302" w:rsidP="00014D67">
            <w:pPr>
              <w:spacing w:after="120"/>
              <w:jc w:val="center"/>
              <w:rPr>
                <w:color w:val="000000" w:themeColor="text1"/>
                <w:szCs w:val="22"/>
                <w:lang w:val="en-AU"/>
              </w:rPr>
            </w:pPr>
            <w:r w:rsidRPr="00CD73A6">
              <w:rPr>
                <w:color w:val="000000" w:themeColor="text1"/>
                <w:szCs w:val="22"/>
                <w:lang w:val="en-AU"/>
              </w:rPr>
              <w:t>2016</w:t>
            </w:r>
          </w:p>
        </w:tc>
      </w:tr>
      <w:tr w:rsidR="00526939" w:rsidRPr="00B92454" w14:paraId="57BE5703" w14:textId="77777777" w:rsidTr="00D8549E">
        <w:tc>
          <w:tcPr>
            <w:tcW w:w="3333" w:type="dxa"/>
            <w:vAlign w:val="center"/>
          </w:tcPr>
          <w:p w14:paraId="5A991D94" w14:textId="77777777" w:rsidR="001B2302" w:rsidRPr="00A1466F" w:rsidRDefault="001B2302" w:rsidP="00014D67">
            <w:pPr>
              <w:spacing w:after="120"/>
              <w:jc w:val="center"/>
              <w:rPr>
                <w:szCs w:val="22"/>
                <w:lang w:val="en-AU"/>
              </w:rPr>
            </w:pPr>
            <w:r w:rsidRPr="00A1466F">
              <w:rPr>
                <w:szCs w:val="22"/>
              </w:rPr>
              <w:t>557,429</w:t>
            </w:r>
          </w:p>
        </w:tc>
        <w:tc>
          <w:tcPr>
            <w:tcW w:w="3213" w:type="dxa"/>
            <w:vAlign w:val="center"/>
          </w:tcPr>
          <w:p w14:paraId="3F10951A" w14:textId="77777777" w:rsidR="001B2302" w:rsidRPr="00A1466F" w:rsidRDefault="001B2302" w:rsidP="00014D67">
            <w:pPr>
              <w:spacing w:after="120"/>
              <w:jc w:val="center"/>
              <w:rPr>
                <w:szCs w:val="22"/>
                <w:lang w:val="en-AU"/>
              </w:rPr>
            </w:pPr>
            <w:r w:rsidRPr="00A1466F">
              <w:rPr>
                <w:szCs w:val="22"/>
              </w:rPr>
              <w:t>563,655</w:t>
            </w:r>
          </w:p>
        </w:tc>
        <w:tc>
          <w:tcPr>
            <w:tcW w:w="3213" w:type="dxa"/>
            <w:vAlign w:val="center"/>
          </w:tcPr>
          <w:p w14:paraId="7A34D438" w14:textId="77777777" w:rsidR="001B2302" w:rsidRPr="00A1466F" w:rsidRDefault="001B2302" w:rsidP="00014D67">
            <w:pPr>
              <w:spacing w:after="120"/>
              <w:jc w:val="center"/>
              <w:rPr>
                <w:szCs w:val="22"/>
                <w:lang w:val="en-AU"/>
              </w:rPr>
            </w:pPr>
            <w:r w:rsidRPr="00A1466F">
              <w:rPr>
                <w:szCs w:val="22"/>
              </w:rPr>
              <w:t>569,996</w:t>
            </w:r>
          </w:p>
        </w:tc>
      </w:tr>
    </w:tbl>
    <w:p w14:paraId="3C1CF2DE" w14:textId="77777777" w:rsidR="001B2302" w:rsidRPr="007F3900" w:rsidRDefault="001B2302" w:rsidP="001B2302">
      <w:pPr>
        <w:spacing w:before="60" w:after="60"/>
        <w:rPr>
          <w:rFonts w:cs="Times New Roman"/>
          <w:sz w:val="20"/>
          <w:szCs w:val="20"/>
          <w:lang w:val="en-AU"/>
        </w:rPr>
      </w:pPr>
      <w:r w:rsidRPr="007F3900">
        <w:rPr>
          <w:rFonts w:cs="Times New Roman"/>
          <w:sz w:val="20"/>
          <w:szCs w:val="20"/>
          <w:lang w:val="en-AU"/>
        </w:rPr>
        <w:t>Notes:</w:t>
      </w:r>
    </w:p>
    <w:p w14:paraId="3D9E1440" w14:textId="77777777" w:rsidR="001B2302" w:rsidRPr="007F3900" w:rsidRDefault="001B2302" w:rsidP="00FC735C">
      <w:pPr>
        <w:pStyle w:val="ListParagraph"/>
        <w:numPr>
          <w:ilvl w:val="0"/>
          <w:numId w:val="16"/>
        </w:numPr>
        <w:spacing w:before="60" w:after="60" w:line="240" w:lineRule="auto"/>
        <w:contextualSpacing w:val="0"/>
        <w:jc w:val="both"/>
        <w:rPr>
          <w:rFonts w:ascii="Times New Roman" w:hAnsi="Times New Roman"/>
          <w:sz w:val="20"/>
          <w:szCs w:val="20"/>
          <w:lang w:val="en-AU"/>
        </w:rPr>
      </w:pPr>
      <w:r w:rsidRPr="007F3900">
        <w:rPr>
          <w:rFonts w:ascii="Times New Roman" w:hAnsi="Times New Roman"/>
          <w:sz w:val="20"/>
          <w:szCs w:val="20"/>
          <w:lang w:val="en-AU"/>
        </w:rPr>
        <w:t>Excludes volumes supplied to major OEMs (i.e. Toyota, Holden, Ford) for the manufacture of vehicles.</w:t>
      </w:r>
    </w:p>
    <w:p w14:paraId="747BC0C6" w14:textId="77777777" w:rsidR="001B2302" w:rsidRPr="007F3900" w:rsidRDefault="001B2302" w:rsidP="00FC735C">
      <w:pPr>
        <w:pStyle w:val="ListParagraph"/>
        <w:numPr>
          <w:ilvl w:val="0"/>
          <w:numId w:val="16"/>
        </w:numPr>
        <w:spacing w:before="60" w:after="60" w:line="240" w:lineRule="auto"/>
        <w:contextualSpacing w:val="0"/>
        <w:jc w:val="both"/>
        <w:rPr>
          <w:rFonts w:ascii="Times New Roman" w:hAnsi="Times New Roman"/>
          <w:sz w:val="20"/>
          <w:szCs w:val="20"/>
          <w:lang w:val="en-AU"/>
        </w:rPr>
      </w:pPr>
      <w:r w:rsidRPr="007F3900">
        <w:rPr>
          <w:rFonts w:ascii="Times New Roman" w:hAnsi="Times New Roman"/>
          <w:sz w:val="20"/>
          <w:szCs w:val="20"/>
          <w:lang w:val="en-AU"/>
        </w:rPr>
        <w:t>HFC-134a including all variants such as R134a UV plus.</w:t>
      </w:r>
    </w:p>
    <w:p w14:paraId="4A9F70DA" w14:textId="4629E4C7" w:rsidR="001B2302" w:rsidRDefault="001B2302" w:rsidP="00FC735C">
      <w:pPr>
        <w:pStyle w:val="ListParagraph"/>
        <w:numPr>
          <w:ilvl w:val="0"/>
          <w:numId w:val="16"/>
        </w:numPr>
        <w:spacing w:before="60" w:after="60" w:line="240" w:lineRule="auto"/>
        <w:contextualSpacing w:val="0"/>
        <w:jc w:val="both"/>
        <w:rPr>
          <w:rFonts w:ascii="Times New Roman" w:hAnsi="Times New Roman"/>
          <w:sz w:val="20"/>
          <w:szCs w:val="20"/>
          <w:lang w:val="en-AU"/>
        </w:rPr>
      </w:pPr>
      <w:r w:rsidRPr="007F3900">
        <w:rPr>
          <w:rFonts w:ascii="Times New Roman" w:hAnsi="Times New Roman"/>
          <w:sz w:val="20"/>
          <w:szCs w:val="20"/>
          <w:lang w:val="en-AU"/>
        </w:rPr>
        <w:t>Survey participants includes Ashdown-Ingram, Cooldrive, Burson, Repco, JAS Oceania, Highgate, BOC, Heatcraft, Actrol and an allowance of 10 tonnes for Ready Gas, and miscellaneous independent wholesalers.</w:t>
      </w:r>
    </w:p>
    <w:p w14:paraId="503A8141" w14:textId="0C2B499C" w:rsidR="009702EF" w:rsidRPr="007F3900" w:rsidRDefault="009702EF" w:rsidP="00FC735C">
      <w:pPr>
        <w:pStyle w:val="ListParagraph"/>
        <w:numPr>
          <w:ilvl w:val="0"/>
          <w:numId w:val="16"/>
        </w:numPr>
        <w:spacing w:before="60" w:after="60" w:line="240" w:lineRule="auto"/>
        <w:contextualSpacing w:val="0"/>
        <w:jc w:val="both"/>
        <w:rPr>
          <w:rFonts w:ascii="Times New Roman" w:hAnsi="Times New Roman"/>
          <w:sz w:val="20"/>
          <w:szCs w:val="20"/>
          <w:lang w:val="en-AU"/>
        </w:rPr>
      </w:pPr>
      <w:r>
        <w:rPr>
          <w:rFonts w:ascii="Times New Roman" w:hAnsi="Times New Roman"/>
          <w:sz w:val="20"/>
          <w:szCs w:val="20"/>
          <w:lang w:val="en-AU"/>
        </w:rPr>
        <w:t>The above volumes do not account for refrigerant recovery and re-use that may occur in workshops.</w:t>
      </w:r>
    </w:p>
    <w:p w14:paraId="61B93E06" w14:textId="77777777" w:rsidR="001B2302" w:rsidRDefault="001B2302" w:rsidP="001B2302">
      <w:pPr>
        <w:rPr>
          <w:szCs w:val="22"/>
        </w:rPr>
      </w:pPr>
    </w:p>
    <w:p w14:paraId="1A8D5C6D" w14:textId="26A11681" w:rsidR="001B2302" w:rsidRPr="009702EF" w:rsidRDefault="001B2302" w:rsidP="009702EF">
      <w:pPr>
        <w:pStyle w:val="CommentText"/>
        <w:jc w:val="both"/>
        <w:rPr>
          <w:rFonts w:eastAsiaTheme="minorEastAsia" w:cstheme="minorBidi"/>
          <w:sz w:val="22"/>
          <w:szCs w:val="22"/>
          <w:lang w:val="en-GB"/>
        </w:rPr>
      </w:pPr>
      <w:r w:rsidRPr="009702EF">
        <w:rPr>
          <w:rFonts w:eastAsiaTheme="minorEastAsia" w:cstheme="minorBidi"/>
          <w:sz w:val="22"/>
          <w:szCs w:val="22"/>
          <w:lang w:val="en-GB"/>
        </w:rPr>
        <w:t>CHF2 reported ‘leak rates’ of 11.8% for MAC across the entire fleet</w:t>
      </w:r>
      <w:r w:rsidR="004755E9" w:rsidRPr="009702EF">
        <w:rPr>
          <w:rFonts w:eastAsiaTheme="minorEastAsia" w:cstheme="minorBidi"/>
          <w:sz w:val="22"/>
          <w:szCs w:val="22"/>
          <w:lang w:val="en-GB"/>
        </w:rPr>
        <w:t xml:space="preserve"> compared to th</w:t>
      </w:r>
      <w:r w:rsidR="00A26E83" w:rsidRPr="009702EF">
        <w:rPr>
          <w:rFonts w:eastAsiaTheme="minorEastAsia" w:cstheme="minorBidi"/>
          <w:sz w:val="22"/>
          <w:szCs w:val="22"/>
          <w:lang w:val="en-GB"/>
        </w:rPr>
        <w:t>e</w:t>
      </w:r>
      <w:r w:rsidRPr="009702EF">
        <w:rPr>
          <w:rFonts w:eastAsiaTheme="minorEastAsia" w:cstheme="minorBidi"/>
          <w:sz w:val="22"/>
          <w:szCs w:val="22"/>
          <w:lang w:val="en-GB"/>
        </w:rPr>
        <w:t xml:space="preserve"> globally accepted </w:t>
      </w:r>
      <w:r w:rsidR="00A26E83" w:rsidRPr="009702EF">
        <w:rPr>
          <w:rFonts w:eastAsiaTheme="minorEastAsia" w:cstheme="minorBidi"/>
          <w:sz w:val="22"/>
          <w:szCs w:val="22"/>
          <w:lang w:val="en-GB"/>
        </w:rPr>
        <w:t xml:space="preserve">default </w:t>
      </w:r>
      <w:r w:rsidR="004755E9" w:rsidRPr="009702EF">
        <w:rPr>
          <w:rFonts w:eastAsiaTheme="minorEastAsia" w:cstheme="minorBidi"/>
          <w:sz w:val="22"/>
          <w:szCs w:val="22"/>
          <w:lang w:val="en-GB"/>
        </w:rPr>
        <w:t xml:space="preserve">rate of </w:t>
      </w:r>
      <w:r w:rsidR="00A26E83" w:rsidRPr="009702EF">
        <w:rPr>
          <w:rFonts w:eastAsiaTheme="minorEastAsia" w:cstheme="minorBidi"/>
          <w:sz w:val="22"/>
          <w:szCs w:val="22"/>
          <w:lang w:val="en-GB"/>
        </w:rPr>
        <w:t>15% per annum (IPCC 2006 Vol 3 Table 7.9)</w:t>
      </w:r>
      <w:r w:rsidRPr="009702EF">
        <w:rPr>
          <w:rFonts w:eastAsiaTheme="minorEastAsia" w:cstheme="minorBidi"/>
          <w:sz w:val="22"/>
          <w:szCs w:val="22"/>
          <w:lang w:val="en-GB"/>
        </w:rPr>
        <w:t xml:space="preserve">. ‘Leaks’ from MAC include an allowance for handling losses in the refrigerant supply line, </w:t>
      </w:r>
      <w:r w:rsidR="001238E1" w:rsidRPr="009702EF">
        <w:rPr>
          <w:rFonts w:eastAsiaTheme="minorEastAsia" w:cstheme="minorBidi"/>
          <w:sz w:val="22"/>
          <w:szCs w:val="22"/>
          <w:lang w:val="en-GB"/>
        </w:rPr>
        <w:t xml:space="preserve">losses </w:t>
      </w:r>
      <w:r w:rsidRPr="009702EF">
        <w:rPr>
          <w:rFonts w:eastAsiaTheme="minorEastAsia" w:cstheme="minorBidi"/>
          <w:sz w:val="22"/>
          <w:szCs w:val="22"/>
          <w:lang w:val="en-GB"/>
        </w:rPr>
        <w:t>while servicing</w:t>
      </w:r>
      <w:r w:rsidR="001238E1" w:rsidRPr="009702EF">
        <w:rPr>
          <w:rFonts w:eastAsiaTheme="minorEastAsia" w:cstheme="minorBidi"/>
          <w:sz w:val="22"/>
          <w:szCs w:val="22"/>
          <w:lang w:val="en-GB"/>
        </w:rPr>
        <w:t xml:space="preserve"> vehicles</w:t>
      </w:r>
      <w:r w:rsidRPr="009702EF">
        <w:rPr>
          <w:rFonts w:eastAsiaTheme="minorEastAsia" w:cstheme="minorBidi"/>
          <w:sz w:val="22"/>
          <w:szCs w:val="22"/>
          <w:lang w:val="en-GB"/>
        </w:rPr>
        <w:t xml:space="preserve">, losses during operation of the vehicles, catastrophic losses from equipment failure, and a 1.5% annual allowance for losses as the result of collisions. </w:t>
      </w:r>
    </w:p>
    <w:p w14:paraId="3C1F78D2" w14:textId="55782AE3" w:rsidR="001B2302" w:rsidRDefault="001B2302" w:rsidP="001B2302">
      <w:pPr>
        <w:rPr>
          <w:szCs w:val="22"/>
        </w:rPr>
      </w:pPr>
      <w:r>
        <w:rPr>
          <w:szCs w:val="22"/>
        </w:rPr>
        <w:t xml:space="preserve">Applying that ‘leak rate’ to the </w:t>
      </w:r>
      <w:r w:rsidRPr="004055B6">
        <w:rPr>
          <w:szCs w:val="22"/>
        </w:rPr>
        <w:t xml:space="preserve">estimated MAC bank </w:t>
      </w:r>
      <w:r w:rsidR="00CF45A3">
        <w:rPr>
          <w:szCs w:val="22"/>
        </w:rPr>
        <w:t xml:space="preserve">in 2012 </w:t>
      </w:r>
      <w:r>
        <w:rPr>
          <w:szCs w:val="22"/>
        </w:rPr>
        <w:t xml:space="preserve">(9,100 tonnes) indicated annual fleet wide losses at 1,073 tonnes. This reconciled quite closely with the proportion of bulk imports that were thought to be sold into the MAC supply lines in Australia in 2012, even allowing for the 140 tonnes </w:t>
      </w:r>
      <w:r w:rsidR="00E046A1">
        <w:rPr>
          <w:szCs w:val="22"/>
        </w:rPr>
        <w:t xml:space="preserve">used </w:t>
      </w:r>
      <w:r>
        <w:rPr>
          <w:szCs w:val="22"/>
        </w:rPr>
        <w:t xml:space="preserve">in manufacturing in that year. </w:t>
      </w:r>
    </w:p>
    <w:p w14:paraId="1E6AE51C" w14:textId="739A36B3" w:rsidR="001B2302" w:rsidRDefault="001B2302" w:rsidP="001B2302">
      <w:pPr>
        <w:rPr>
          <w:szCs w:val="22"/>
        </w:rPr>
      </w:pPr>
      <w:r>
        <w:rPr>
          <w:szCs w:val="22"/>
        </w:rPr>
        <w:t xml:space="preserve">On the basis of 933 tonnes of bulk imports in 2012 having been </w:t>
      </w:r>
      <w:r w:rsidR="00E046A1">
        <w:rPr>
          <w:szCs w:val="22"/>
        </w:rPr>
        <w:t>used</w:t>
      </w:r>
      <w:r>
        <w:rPr>
          <w:szCs w:val="22"/>
        </w:rPr>
        <w:t xml:space="preserve"> in servicing existing vehicles, that implied a service rate of more than 85% (i.e. more than 85% of </w:t>
      </w:r>
      <w:r w:rsidR="00BE6979">
        <w:rPr>
          <w:szCs w:val="22"/>
        </w:rPr>
        <w:t xml:space="preserve">refrigerant </w:t>
      </w:r>
      <w:r>
        <w:rPr>
          <w:szCs w:val="22"/>
        </w:rPr>
        <w:t>lost to leaks in the year were replaced).</w:t>
      </w:r>
      <w:r w:rsidRPr="004055B6">
        <w:rPr>
          <w:szCs w:val="22"/>
        </w:rPr>
        <w:t xml:space="preserve"> </w:t>
      </w:r>
    </w:p>
    <w:p w14:paraId="05E42E54" w14:textId="2A364F77" w:rsidR="001B2302" w:rsidRDefault="001B2302" w:rsidP="001B2302">
      <w:pPr>
        <w:rPr>
          <w:szCs w:val="22"/>
        </w:rPr>
      </w:pPr>
      <w:r>
        <w:rPr>
          <w:szCs w:val="22"/>
        </w:rPr>
        <w:t xml:space="preserve">With the now increased MAC bank estimated for 2012 to have been </w:t>
      </w:r>
      <w:r w:rsidR="00FD71FA">
        <w:rPr>
          <w:szCs w:val="22"/>
        </w:rPr>
        <w:t>10,600</w:t>
      </w:r>
      <w:r>
        <w:rPr>
          <w:szCs w:val="22"/>
        </w:rPr>
        <w:t xml:space="preserve"> tonnes, applying the leak rate of 11.8% suggests losses to air of approximately 1,</w:t>
      </w:r>
      <w:r w:rsidR="00FD71FA">
        <w:rPr>
          <w:szCs w:val="22"/>
        </w:rPr>
        <w:t>250 tonnes for that year. T</w:t>
      </w:r>
      <w:r>
        <w:rPr>
          <w:szCs w:val="22"/>
        </w:rPr>
        <w:t>he volume of bulk imports at the time</w:t>
      </w:r>
      <w:r w:rsidR="00FD71FA">
        <w:rPr>
          <w:szCs w:val="22"/>
        </w:rPr>
        <w:t xml:space="preserve"> that were identified as</w:t>
      </w:r>
      <w:r>
        <w:rPr>
          <w:szCs w:val="22"/>
        </w:rPr>
        <w:t xml:space="preserve"> servicing </w:t>
      </w:r>
      <w:r w:rsidR="00FD71FA">
        <w:rPr>
          <w:szCs w:val="22"/>
        </w:rPr>
        <w:t xml:space="preserve">the MAC fleet </w:t>
      </w:r>
      <w:r>
        <w:rPr>
          <w:szCs w:val="22"/>
        </w:rPr>
        <w:t>(933 tonnes)</w:t>
      </w:r>
      <w:r w:rsidR="00FD71FA">
        <w:rPr>
          <w:szCs w:val="22"/>
        </w:rPr>
        <w:t>,</w:t>
      </w:r>
      <w:r>
        <w:rPr>
          <w:szCs w:val="22"/>
        </w:rPr>
        <w:t xml:space="preserve"> suggests that the ‘service rate’ of MAC in 2012 </w:t>
      </w:r>
      <w:r w:rsidRPr="00FD71FA">
        <w:rPr>
          <w:szCs w:val="22"/>
        </w:rPr>
        <w:t xml:space="preserve">was actually closer to </w:t>
      </w:r>
      <w:r w:rsidR="0056477D">
        <w:rPr>
          <w:szCs w:val="22"/>
        </w:rPr>
        <w:t>74% (</w:t>
      </w:r>
      <w:r w:rsidR="009F5EAE">
        <w:rPr>
          <w:szCs w:val="22"/>
        </w:rPr>
        <w:t>i.e.</w:t>
      </w:r>
      <w:r w:rsidR="0056477D">
        <w:rPr>
          <w:szCs w:val="22"/>
        </w:rPr>
        <w:t xml:space="preserve"> 74</w:t>
      </w:r>
      <w:r w:rsidR="00FD71FA">
        <w:rPr>
          <w:szCs w:val="22"/>
        </w:rPr>
        <w:t>% of refrigerant lost from MAC in that year was replaced). Which means s</w:t>
      </w:r>
      <w:r>
        <w:rPr>
          <w:szCs w:val="22"/>
        </w:rPr>
        <w:t>omething lik</w:t>
      </w:r>
      <w:r w:rsidR="0056477D">
        <w:rPr>
          <w:szCs w:val="22"/>
        </w:rPr>
        <w:t>e 317</w:t>
      </w:r>
      <w:r w:rsidR="00FD71FA">
        <w:rPr>
          <w:szCs w:val="22"/>
        </w:rPr>
        <w:t xml:space="preserve"> tonnes of refrigerant</w:t>
      </w:r>
      <w:r>
        <w:rPr>
          <w:szCs w:val="22"/>
        </w:rPr>
        <w:t xml:space="preserve">s lost </w:t>
      </w:r>
      <w:r w:rsidR="0056477D">
        <w:rPr>
          <w:szCs w:val="22"/>
        </w:rPr>
        <w:t>from MAC in that year (around</w:t>
      </w:r>
      <w:r>
        <w:rPr>
          <w:szCs w:val="22"/>
        </w:rPr>
        <w:t xml:space="preserve"> 3% of the MAC bank in 2012) was not replaced. </w:t>
      </w:r>
      <w:r w:rsidR="00E36067">
        <w:rPr>
          <w:szCs w:val="22"/>
        </w:rPr>
        <w:t>It is also possible that the leak rate applied to MAC in 2012 was simply too high. This possibility is explored further below.</w:t>
      </w:r>
    </w:p>
    <w:p w14:paraId="1DD2071D" w14:textId="7A283A3D" w:rsidR="001B2302" w:rsidRDefault="001B2302" w:rsidP="001B2302">
      <w:pPr>
        <w:rPr>
          <w:szCs w:val="22"/>
        </w:rPr>
      </w:pPr>
      <w:r w:rsidRPr="007729DA">
        <w:rPr>
          <w:szCs w:val="22"/>
        </w:rPr>
        <w:t>There is other</w:t>
      </w:r>
      <w:r>
        <w:rPr>
          <w:szCs w:val="22"/>
        </w:rPr>
        <w:t xml:space="preserve"> evidence to suggest that </w:t>
      </w:r>
      <w:r w:rsidR="001238E1">
        <w:rPr>
          <w:szCs w:val="22"/>
        </w:rPr>
        <w:t xml:space="preserve">underservicing of a MAC fleet </w:t>
      </w:r>
      <w:r>
        <w:rPr>
          <w:szCs w:val="22"/>
        </w:rPr>
        <w:t>is not uncommon. A 2017 study of the HFC economy conducted in New Zealand (MfE 2017)</w:t>
      </w:r>
      <w:r w:rsidR="00CF45A3">
        <w:rPr>
          <w:szCs w:val="22"/>
        </w:rPr>
        <w:t>,</w:t>
      </w:r>
      <w:r>
        <w:rPr>
          <w:szCs w:val="22"/>
        </w:rPr>
        <w:t xml:space="preserve"> </w:t>
      </w:r>
      <w:r w:rsidR="00CF45A3">
        <w:rPr>
          <w:szCs w:val="22"/>
        </w:rPr>
        <w:t xml:space="preserve">where most of the population live in a mild to cool climate, and most of the vehicles are imported second hand, </w:t>
      </w:r>
      <w:r w:rsidR="001238E1">
        <w:rPr>
          <w:szCs w:val="22"/>
        </w:rPr>
        <w:t>found evidence</w:t>
      </w:r>
      <w:r>
        <w:rPr>
          <w:szCs w:val="22"/>
        </w:rPr>
        <w:t xml:space="preserve"> that underservicing of MAC was</w:t>
      </w:r>
      <w:r w:rsidR="001238E1">
        <w:rPr>
          <w:szCs w:val="22"/>
        </w:rPr>
        <w:t xml:space="preserve"> </w:t>
      </w:r>
      <w:r>
        <w:rPr>
          <w:szCs w:val="22"/>
        </w:rPr>
        <w:t>widespread.</w:t>
      </w:r>
    </w:p>
    <w:p w14:paraId="1D6798A9" w14:textId="744F35D6" w:rsidR="001B2302" w:rsidRDefault="001B2302" w:rsidP="001B2302">
      <w:pPr>
        <w:rPr>
          <w:szCs w:val="22"/>
        </w:rPr>
      </w:pPr>
      <w:r>
        <w:rPr>
          <w:szCs w:val="22"/>
        </w:rPr>
        <w:t>A</w:t>
      </w:r>
      <w:r w:rsidRPr="00401ED5">
        <w:rPr>
          <w:szCs w:val="22"/>
        </w:rPr>
        <w:t>ssuming th</w:t>
      </w:r>
      <w:r w:rsidR="001238E1">
        <w:rPr>
          <w:szCs w:val="22"/>
        </w:rPr>
        <w:t>at</w:t>
      </w:r>
      <w:r w:rsidRPr="00401ED5">
        <w:rPr>
          <w:szCs w:val="22"/>
        </w:rPr>
        <w:t xml:space="preserve"> servicing of the </w:t>
      </w:r>
      <w:r>
        <w:rPr>
          <w:szCs w:val="22"/>
        </w:rPr>
        <w:t>Australian fleet of</w:t>
      </w:r>
      <w:r w:rsidRPr="00401ED5">
        <w:rPr>
          <w:szCs w:val="22"/>
        </w:rPr>
        <w:t xml:space="preserve"> MAC is consistently </w:t>
      </w:r>
      <w:r w:rsidR="00CF45A3">
        <w:rPr>
          <w:szCs w:val="22"/>
        </w:rPr>
        <w:t xml:space="preserve">replacing </w:t>
      </w:r>
      <w:r w:rsidRPr="00F45A5E">
        <w:rPr>
          <w:szCs w:val="22"/>
        </w:rPr>
        <w:t xml:space="preserve">around </w:t>
      </w:r>
      <w:r w:rsidR="0056477D">
        <w:rPr>
          <w:szCs w:val="22"/>
        </w:rPr>
        <w:t>75</w:t>
      </w:r>
      <w:r w:rsidRPr="00F45A5E">
        <w:rPr>
          <w:szCs w:val="22"/>
        </w:rPr>
        <w:t>%</w:t>
      </w:r>
      <w:r w:rsidRPr="00401ED5">
        <w:rPr>
          <w:szCs w:val="22"/>
        </w:rPr>
        <w:t xml:space="preserve"> of the annual losses, then the act</w:t>
      </w:r>
      <w:r w:rsidR="0056477D">
        <w:rPr>
          <w:szCs w:val="22"/>
        </w:rPr>
        <w:t>ual bank of working gases across the entire</w:t>
      </w:r>
      <w:r w:rsidRPr="00401ED5">
        <w:rPr>
          <w:szCs w:val="22"/>
        </w:rPr>
        <w:t xml:space="preserve"> stock of MAC is about </w:t>
      </w:r>
      <w:r w:rsidRPr="00FD71FA">
        <w:rPr>
          <w:szCs w:val="22"/>
        </w:rPr>
        <w:t>93</w:t>
      </w:r>
      <w:r w:rsidRPr="00401ED5">
        <w:rPr>
          <w:szCs w:val="22"/>
        </w:rPr>
        <w:t xml:space="preserve">% of the </w:t>
      </w:r>
      <w:r w:rsidR="00FD71FA">
        <w:rPr>
          <w:szCs w:val="22"/>
        </w:rPr>
        <w:t xml:space="preserve">fully charged </w:t>
      </w:r>
      <w:r w:rsidRPr="00401ED5">
        <w:rPr>
          <w:szCs w:val="22"/>
        </w:rPr>
        <w:t xml:space="preserve">capacity of that stock </w:t>
      </w:r>
      <w:r w:rsidR="001238E1">
        <w:rPr>
          <w:szCs w:val="22"/>
        </w:rPr>
        <w:t>of equipment</w:t>
      </w:r>
      <w:r w:rsidRPr="00401ED5">
        <w:rPr>
          <w:szCs w:val="22"/>
        </w:rPr>
        <w:t xml:space="preserve">. </w:t>
      </w:r>
    </w:p>
    <w:p w14:paraId="2A585CEB" w14:textId="43A85166" w:rsidR="001B2302" w:rsidRDefault="001B2302" w:rsidP="001B2302">
      <w:pPr>
        <w:rPr>
          <w:szCs w:val="22"/>
        </w:rPr>
      </w:pPr>
      <w:r>
        <w:rPr>
          <w:szCs w:val="22"/>
        </w:rPr>
        <w:t>Since completing CHF2 the authors were also involved in conducting a study that involved assessing the volu</w:t>
      </w:r>
      <w:r w:rsidR="00107B8B">
        <w:rPr>
          <w:szCs w:val="22"/>
        </w:rPr>
        <w:t>me of refrigerant gas found in s</w:t>
      </w:r>
      <w:r>
        <w:rPr>
          <w:szCs w:val="22"/>
        </w:rPr>
        <w:t>mall MAC in Australia at the point of vehicle retirement (</w:t>
      </w:r>
      <w:r w:rsidRPr="003F1E86">
        <w:rPr>
          <w:szCs w:val="22"/>
        </w:rPr>
        <w:t>DoEE 2015b</w:t>
      </w:r>
      <w:r>
        <w:rPr>
          <w:szCs w:val="22"/>
        </w:rPr>
        <w:t xml:space="preserve">). It concluded that, on average, MAC in retiring vehicles was likely to have around 67% of the original charge. </w:t>
      </w:r>
      <w:r>
        <w:rPr>
          <w:szCs w:val="22"/>
        </w:rPr>
        <w:lastRenderedPageBreak/>
        <w:t xml:space="preserve">This study was not just measuring reduced charges in MAC in very old cars. </w:t>
      </w:r>
      <w:r w:rsidR="00107B8B">
        <w:rPr>
          <w:szCs w:val="22"/>
        </w:rPr>
        <w:t xml:space="preserve">Some </w:t>
      </w:r>
      <w:r>
        <w:rPr>
          <w:szCs w:val="22"/>
        </w:rPr>
        <w:t xml:space="preserve">of the </w:t>
      </w:r>
      <w:r w:rsidR="00107B8B">
        <w:rPr>
          <w:szCs w:val="22"/>
        </w:rPr>
        <w:t>e</w:t>
      </w:r>
      <w:r>
        <w:rPr>
          <w:szCs w:val="22"/>
        </w:rPr>
        <w:t>nd</w:t>
      </w:r>
      <w:r w:rsidR="00107B8B">
        <w:rPr>
          <w:szCs w:val="22"/>
        </w:rPr>
        <w:t>-</w:t>
      </w:r>
      <w:r>
        <w:rPr>
          <w:szCs w:val="22"/>
        </w:rPr>
        <w:t>of</w:t>
      </w:r>
      <w:r w:rsidR="00107B8B">
        <w:rPr>
          <w:szCs w:val="22"/>
        </w:rPr>
        <w:t>-l</w:t>
      </w:r>
      <w:r>
        <w:rPr>
          <w:szCs w:val="22"/>
        </w:rPr>
        <w:t xml:space="preserve">ife </w:t>
      </w:r>
      <w:r w:rsidR="00107B8B">
        <w:rPr>
          <w:szCs w:val="22"/>
        </w:rPr>
        <w:t>v</w:t>
      </w:r>
      <w:r>
        <w:rPr>
          <w:szCs w:val="22"/>
        </w:rPr>
        <w:t xml:space="preserve">ehicles (ELVs) assessed were new or relatively new vehicles as there are a great many relatively new vehicles taken off the road as the result of collisions that do not destroy the MAC. </w:t>
      </w:r>
    </w:p>
    <w:p w14:paraId="1AF16ED4" w14:textId="713D36C0" w:rsidR="001B2302" w:rsidRDefault="001B2302" w:rsidP="001B2302">
      <w:pPr>
        <w:rPr>
          <w:szCs w:val="22"/>
        </w:rPr>
      </w:pPr>
      <w:r>
        <w:rPr>
          <w:szCs w:val="22"/>
        </w:rPr>
        <w:t xml:space="preserve">The partial charge </w:t>
      </w:r>
      <w:r w:rsidR="00CF45A3">
        <w:rPr>
          <w:szCs w:val="22"/>
        </w:rPr>
        <w:t xml:space="preserve">found in MAC </w:t>
      </w:r>
      <w:r>
        <w:rPr>
          <w:szCs w:val="22"/>
        </w:rPr>
        <w:t xml:space="preserve">in ELVs does suggest widespread underservicing of the fleet. However, the residual gas charge in ELVs, combined </w:t>
      </w:r>
      <w:r w:rsidR="00107B8B">
        <w:rPr>
          <w:szCs w:val="22"/>
        </w:rPr>
        <w:t>with aftermarket usage volumes</w:t>
      </w:r>
      <w:r>
        <w:rPr>
          <w:szCs w:val="22"/>
        </w:rPr>
        <w:t>, also suggested that the leak rate used in CHF2 was too high.</w:t>
      </w:r>
    </w:p>
    <w:p w14:paraId="3B356B1F" w14:textId="682B366A" w:rsidR="001B2302" w:rsidRDefault="001B2302" w:rsidP="001B2302">
      <w:pPr>
        <w:rPr>
          <w:szCs w:val="22"/>
        </w:rPr>
      </w:pPr>
      <w:r w:rsidRPr="0056477D">
        <w:rPr>
          <w:szCs w:val="22"/>
        </w:rPr>
        <w:t xml:space="preserve">The </w:t>
      </w:r>
      <w:r w:rsidR="00107B8B">
        <w:rPr>
          <w:szCs w:val="22"/>
        </w:rPr>
        <w:t>m</w:t>
      </w:r>
      <w:r w:rsidRPr="0056477D">
        <w:rPr>
          <w:szCs w:val="22"/>
        </w:rPr>
        <w:t xml:space="preserve">obile </w:t>
      </w:r>
      <w:r w:rsidR="00107B8B">
        <w:rPr>
          <w:szCs w:val="22"/>
        </w:rPr>
        <w:t>AC</w:t>
      </w:r>
      <w:r w:rsidRPr="0056477D">
        <w:rPr>
          <w:szCs w:val="22"/>
        </w:rPr>
        <w:t xml:space="preserve"> </w:t>
      </w:r>
      <w:r w:rsidR="00107B8B">
        <w:rPr>
          <w:szCs w:val="22"/>
        </w:rPr>
        <w:t>a</w:t>
      </w:r>
      <w:r w:rsidRPr="0056477D">
        <w:rPr>
          <w:szCs w:val="22"/>
        </w:rPr>
        <w:t>ftermarket study that collected data for the last three years indicates that, with a</w:t>
      </w:r>
      <w:r w:rsidR="0056477D" w:rsidRPr="0056477D">
        <w:rPr>
          <w:szCs w:val="22"/>
        </w:rPr>
        <w:t xml:space="preserve"> 2016 </w:t>
      </w:r>
      <w:r w:rsidR="009F4CB3">
        <w:rPr>
          <w:szCs w:val="22"/>
        </w:rPr>
        <w:t xml:space="preserve">refrigerant </w:t>
      </w:r>
      <w:r w:rsidR="0056477D" w:rsidRPr="0056477D">
        <w:rPr>
          <w:szCs w:val="22"/>
        </w:rPr>
        <w:t>bank of 10,800</w:t>
      </w:r>
      <w:r w:rsidRPr="0056477D">
        <w:rPr>
          <w:szCs w:val="22"/>
        </w:rPr>
        <w:t xml:space="preserve"> tonnes, the </w:t>
      </w:r>
      <w:r w:rsidR="0056477D">
        <w:rPr>
          <w:szCs w:val="22"/>
        </w:rPr>
        <w:t>refrigerant used for servicing MAC in 2016 was equivalent to</w:t>
      </w:r>
      <w:r w:rsidRPr="0056477D">
        <w:rPr>
          <w:szCs w:val="22"/>
        </w:rPr>
        <w:t xml:space="preserve"> </w:t>
      </w:r>
      <w:r w:rsidR="0056477D">
        <w:rPr>
          <w:szCs w:val="22"/>
        </w:rPr>
        <w:t xml:space="preserve">just </w:t>
      </w:r>
      <w:r w:rsidRPr="0056477D">
        <w:rPr>
          <w:szCs w:val="22"/>
        </w:rPr>
        <w:t xml:space="preserve">5% of the bank. However, if leak rates on average were 11.8%, </w:t>
      </w:r>
      <w:r w:rsidR="0056477D">
        <w:rPr>
          <w:szCs w:val="22"/>
        </w:rPr>
        <w:t xml:space="preserve">service </w:t>
      </w:r>
      <w:r w:rsidR="003B795E">
        <w:rPr>
          <w:szCs w:val="22"/>
        </w:rPr>
        <w:t>us</w:t>
      </w:r>
      <w:r w:rsidR="00AC10A1">
        <w:rPr>
          <w:szCs w:val="22"/>
        </w:rPr>
        <w:t>age</w:t>
      </w:r>
      <w:r w:rsidR="003B795E">
        <w:rPr>
          <w:szCs w:val="22"/>
        </w:rPr>
        <w:t xml:space="preserve"> </w:t>
      </w:r>
      <w:r w:rsidR="0056477D">
        <w:rPr>
          <w:szCs w:val="22"/>
        </w:rPr>
        <w:t>equal to 5% of the bank implies less than 50% of annual losses are being replaced. W</w:t>
      </w:r>
      <w:r w:rsidRPr="0056477D">
        <w:rPr>
          <w:szCs w:val="22"/>
        </w:rPr>
        <w:t>ith an average life of 18 years, and</w:t>
      </w:r>
      <w:r w:rsidR="0056477D">
        <w:rPr>
          <w:szCs w:val="22"/>
        </w:rPr>
        <w:t xml:space="preserve"> a service rate replacing less than </w:t>
      </w:r>
      <w:r w:rsidR="0056477D" w:rsidRPr="00107B8B">
        <w:rPr>
          <w:szCs w:val="22"/>
        </w:rPr>
        <w:t>50% of annual losses, then vehicles at the end of their service life</w:t>
      </w:r>
      <w:r w:rsidRPr="00107B8B">
        <w:rPr>
          <w:szCs w:val="22"/>
        </w:rPr>
        <w:t xml:space="preserve"> should have none of the original </w:t>
      </w:r>
      <w:r w:rsidR="00493AC5" w:rsidRPr="00107B8B">
        <w:rPr>
          <w:szCs w:val="22"/>
        </w:rPr>
        <w:t>refrigerant</w:t>
      </w:r>
      <w:r w:rsidRPr="00107B8B">
        <w:rPr>
          <w:szCs w:val="22"/>
        </w:rPr>
        <w:t xml:space="preserve"> charge left.</w:t>
      </w:r>
      <w:r>
        <w:rPr>
          <w:szCs w:val="22"/>
        </w:rPr>
        <w:t xml:space="preserve"> </w:t>
      </w:r>
    </w:p>
    <w:p w14:paraId="0B5B4F45" w14:textId="32ABB37F" w:rsidR="001B2302" w:rsidRPr="00703C5F" w:rsidRDefault="001B2302" w:rsidP="001B2302">
      <w:pPr>
        <w:rPr>
          <w:szCs w:val="22"/>
        </w:rPr>
      </w:pPr>
      <w:r>
        <w:rPr>
          <w:szCs w:val="22"/>
        </w:rPr>
        <w:t>There is evidence from service compani</w:t>
      </w:r>
      <w:r w:rsidR="0056477D">
        <w:rPr>
          <w:szCs w:val="22"/>
        </w:rPr>
        <w:t xml:space="preserve">es to suggest that refrigerant leak rates have improved in newer car models. And noting average charges </w:t>
      </w:r>
      <w:r w:rsidR="00CF45A3">
        <w:rPr>
          <w:szCs w:val="22"/>
        </w:rPr>
        <w:t xml:space="preserve">in ELVs </w:t>
      </w:r>
      <w:r w:rsidR="0056477D">
        <w:rPr>
          <w:szCs w:val="22"/>
        </w:rPr>
        <w:t>of 67%,</w:t>
      </w:r>
      <w:r>
        <w:rPr>
          <w:szCs w:val="22"/>
        </w:rPr>
        <w:t xml:space="preserve"> </w:t>
      </w:r>
      <w:r w:rsidR="0056477D">
        <w:rPr>
          <w:szCs w:val="22"/>
        </w:rPr>
        <w:t>then it appears that the generally held</w:t>
      </w:r>
      <w:r>
        <w:rPr>
          <w:szCs w:val="22"/>
        </w:rPr>
        <w:t xml:space="preserve"> assumption of an 11.8% </w:t>
      </w:r>
      <w:r w:rsidR="0056477D">
        <w:rPr>
          <w:szCs w:val="22"/>
        </w:rPr>
        <w:t xml:space="preserve">annual </w:t>
      </w:r>
      <w:r>
        <w:rPr>
          <w:szCs w:val="22"/>
        </w:rPr>
        <w:t xml:space="preserve">leak rate </w:t>
      </w:r>
      <w:r w:rsidR="00CF45A3">
        <w:rPr>
          <w:szCs w:val="22"/>
        </w:rPr>
        <w:t xml:space="preserve">from MAC </w:t>
      </w:r>
      <w:r>
        <w:rPr>
          <w:szCs w:val="22"/>
        </w:rPr>
        <w:t xml:space="preserve">in 2012 was too high. </w:t>
      </w:r>
    </w:p>
    <w:p w14:paraId="48FCB6B9" w14:textId="472CB2A2" w:rsidR="001B2302" w:rsidRDefault="00103A4A" w:rsidP="001B2302">
      <w:pPr>
        <w:rPr>
          <w:szCs w:val="22"/>
        </w:rPr>
      </w:pPr>
      <w:r>
        <w:rPr>
          <w:szCs w:val="22"/>
        </w:rPr>
        <w:t>A</w:t>
      </w:r>
      <w:r w:rsidR="001B2302" w:rsidRPr="0056477D">
        <w:rPr>
          <w:szCs w:val="22"/>
        </w:rPr>
        <w:t>ssuming an avera</w:t>
      </w:r>
      <w:r w:rsidR="0056477D">
        <w:rPr>
          <w:szCs w:val="22"/>
        </w:rPr>
        <w:t xml:space="preserve">ge vehicle life of 18.6 years, </w:t>
      </w:r>
      <w:r w:rsidR="00CF45A3">
        <w:rPr>
          <w:szCs w:val="22"/>
        </w:rPr>
        <w:t xml:space="preserve">and </w:t>
      </w:r>
      <w:r w:rsidR="001B2302" w:rsidRPr="0056477D">
        <w:rPr>
          <w:szCs w:val="22"/>
        </w:rPr>
        <w:t>a service rate replacing about 70% of the annual losses achieve</w:t>
      </w:r>
      <w:r>
        <w:rPr>
          <w:szCs w:val="22"/>
        </w:rPr>
        <w:t>s</w:t>
      </w:r>
      <w:r w:rsidR="001B2302" w:rsidRPr="0056477D">
        <w:rPr>
          <w:szCs w:val="22"/>
        </w:rPr>
        <w:t xml:space="preserve"> an average of a 67% residual charge in </w:t>
      </w:r>
      <w:r w:rsidR="00FC5FC6">
        <w:rPr>
          <w:szCs w:val="22"/>
        </w:rPr>
        <w:t>end-of-life</w:t>
      </w:r>
      <w:r w:rsidR="001B2302" w:rsidRPr="0056477D">
        <w:rPr>
          <w:szCs w:val="22"/>
        </w:rPr>
        <w:t xml:space="preserve"> vehicles</w:t>
      </w:r>
      <w:r w:rsidR="0056477D">
        <w:rPr>
          <w:szCs w:val="22"/>
        </w:rPr>
        <w:t>. This</w:t>
      </w:r>
      <w:r w:rsidR="001B2302" w:rsidRPr="0056477D">
        <w:rPr>
          <w:szCs w:val="22"/>
        </w:rPr>
        <w:t xml:space="preserve"> implies a leak rate across the fleet of MAC of just 6.8%, significantly lower than the rate used in 2012</w:t>
      </w:r>
      <w:r w:rsidR="002E1422" w:rsidRPr="0056477D">
        <w:rPr>
          <w:szCs w:val="22"/>
        </w:rPr>
        <w:t xml:space="preserve"> of 11.8%, a value that at the time was an internationally accepted average leak rate</w:t>
      </w:r>
      <w:r w:rsidR="00E36067" w:rsidRPr="0056477D">
        <w:rPr>
          <w:szCs w:val="22"/>
        </w:rPr>
        <w:t xml:space="preserve"> for MAC</w:t>
      </w:r>
      <w:r>
        <w:rPr>
          <w:szCs w:val="22"/>
        </w:rPr>
        <w:t>. In the absence of any better data on residual charges in MAC in ELVs, this study has applied an average leak rate across the MAC fleet of 6.8%.</w:t>
      </w:r>
    </w:p>
    <w:p w14:paraId="21FABAF0" w14:textId="18CDD808" w:rsidR="001B2302" w:rsidRDefault="001B2302" w:rsidP="001B2302">
      <w:pPr>
        <w:rPr>
          <w:szCs w:val="22"/>
        </w:rPr>
      </w:pPr>
      <w:r>
        <w:rPr>
          <w:szCs w:val="22"/>
        </w:rPr>
        <w:t xml:space="preserve">This new understanding about </w:t>
      </w:r>
      <w:r w:rsidR="00E36067">
        <w:rPr>
          <w:szCs w:val="22"/>
        </w:rPr>
        <w:t>MAC leak rates in Australia</w:t>
      </w:r>
      <w:r w:rsidR="00103A4A">
        <w:rPr>
          <w:szCs w:val="22"/>
        </w:rPr>
        <w:t>,</w:t>
      </w:r>
      <w:r w:rsidR="00E36067">
        <w:rPr>
          <w:szCs w:val="22"/>
        </w:rPr>
        <w:t xml:space="preserve"> </w:t>
      </w:r>
      <w:r>
        <w:rPr>
          <w:szCs w:val="22"/>
        </w:rPr>
        <w:t xml:space="preserve">the degree of underservicing of the fleet, and new data sets revealing previously hidden product categories, has resulted in far higher resolution of the mass flows </w:t>
      </w:r>
      <w:r w:rsidR="00493AC5">
        <w:rPr>
          <w:szCs w:val="22"/>
        </w:rPr>
        <w:t xml:space="preserve">of refrigerant </w:t>
      </w:r>
      <w:r>
        <w:rPr>
          <w:szCs w:val="22"/>
        </w:rPr>
        <w:t>into this major end use segment.</w:t>
      </w:r>
    </w:p>
    <w:p w14:paraId="2AE259F6" w14:textId="5CD36E6D" w:rsidR="001B2302" w:rsidRPr="00FF726E" w:rsidRDefault="001B2302" w:rsidP="001B2302">
      <w:pPr>
        <w:spacing w:before="240"/>
        <w:rPr>
          <w:b/>
          <w:szCs w:val="22"/>
        </w:rPr>
      </w:pPr>
      <w:r w:rsidRPr="00FF726E">
        <w:rPr>
          <w:b/>
          <w:szCs w:val="22"/>
        </w:rPr>
        <w:t>V</w:t>
      </w:r>
      <w:r>
        <w:rPr>
          <w:b/>
          <w:szCs w:val="22"/>
        </w:rPr>
        <w:t xml:space="preserve">ehicle manufacturing </w:t>
      </w:r>
      <w:r w:rsidR="003B795E">
        <w:rPr>
          <w:b/>
          <w:szCs w:val="22"/>
        </w:rPr>
        <w:t>us</w:t>
      </w:r>
      <w:r w:rsidR="00AC10A1">
        <w:rPr>
          <w:b/>
          <w:szCs w:val="22"/>
        </w:rPr>
        <w:t>age</w:t>
      </w:r>
    </w:p>
    <w:p w14:paraId="48A204DD" w14:textId="5C904AE8" w:rsidR="001B2302" w:rsidRDefault="001B2302" w:rsidP="001B2302">
      <w:pPr>
        <w:rPr>
          <w:szCs w:val="22"/>
        </w:rPr>
      </w:pPr>
      <w:r>
        <w:rPr>
          <w:szCs w:val="22"/>
        </w:rPr>
        <w:t>P</w:t>
      </w:r>
      <w:r w:rsidRPr="00267851">
        <w:rPr>
          <w:szCs w:val="22"/>
        </w:rPr>
        <w:t>assenger vehicle man</w:t>
      </w:r>
      <w:r>
        <w:rPr>
          <w:szCs w:val="22"/>
        </w:rPr>
        <w:t>ufacturing declined from 221,073</w:t>
      </w:r>
      <w:r w:rsidRPr="00267851">
        <w:rPr>
          <w:szCs w:val="22"/>
        </w:rPr>
        <w:t xml:space="preserve"> </w:t>
      </w:r>
      <w:r w:rsidR="00103A4A">
        <w:rPr>
          <w:szCs w:val="22"/>
        </w:rPr>
        <w:t xml:space="preserve">vehicles in 2012 </w:t>
      </w:r>
      <w:r w:rsidRPr="00267851">
        <w:rPr>
          <w:szCs w:val="22"/>
        </w:rPr>
        <w:t>(including li</w:t>
      </w:r>
      <w:r>
        <w:rPr>
          <w:szCs w:val="22"/>
        </w:rPr>
        <w:t xml:space="preserve">ght commercial vehicles) to </w:t>
      </w:r>
      <w:r w:rsidRPr="0037201F">
        <w:rPr>
          <w:szCs w:val="22"/>
        </w:rPr>
        <w:t>155,691</w:t>
      </w:r>
      <w:r>
        <w:rPr>
          <w:szCs w:val="22"/>
        </w:rPr>
        <w:t xml:space="preserve"> (FCAI 2017) in 2016. All significant passenger vehicle manufacturing in Australia ceased on October 20, 2017 with the closure of the Holden manufacturing plant in Adelaide after nearly 100 years of operation in that city. Toyota’s Altona factory in Melbourne, which in its nearly 55 years of operation produced more than 3.3 million vehicles, closed only days prior on October 3</w:t>
      </w:r>
      <w:r w:rsidR="00103A4A">
        <w:rPr>
          <w:szCs w:val="22"/>
        </w:rPr>
        <w:t>, 2017</w:t>
      </w:r>
      <w:r>
        <w:rPr>
          <w:szCs w:val="22"/>
        </w:rPr>
        <w:t>.</w:t>
      </w:r>
    </w:p>
    <w:p w14:paraId="0AA16B9A" w14:textId="22D354A8" w:rsidR="001B2302" w:rsidRDefault="001B2302" w:rsidP="001B2302">
      <w:pPr>
        <w:rPr>
          <w:szCs w:val="22"/>
        </w:rPr>
      </w:pPr>
      <w:r>
        <w:rPr>
          <w:szCs w:val="22"/>
        </w:rPr>
        <w:t>The</w:t>
      </w:r>
      <w:r w:rsidRPr="00267851">
        <w:rPr>
          <w:szCs w:val="22"/>
        </w:rPr>
        <w:t xml:space="preserve"> decline </w:t>
      </w:r>
      <w:r>
        <w:rPr>
          <w:szCs w:val="22"/>
        </w:rPr>
        <w:t xml:space="preserve">in vehicle production reduced demand for </w:t>
      </w:r>
      <w:r w:rsidRPr="00267851">
        <w:rPr>
          <w:szCs w:val="22"/>
        </w:rPr>
        <w:t xml:space="preserve">HFC-134a </w:t>
      </w:r>
      <w:r w:rsidR="00103A4A">
        <w:rPr>
          <w:szCs w:val="22"/>
        </w:rPr>
        <w:t xml:space="preserve">for vehicle manufacturing </w:t>
      </w:r>
      <w:r>
        <w:rPr>
          <w:szCs w:val="22"/>
        </w:rPr>
        <w:t>from around 140 tonnes in 2012 to around 97 tonnes in 2016</w:t>
      </w:r>
      <w:r w:rsidRPr="00267851">
        <w:rPr>
          <w:szCs w:val="22"/>
        </w:rPr>
        <w:t>.</w:t>
      </w:r>
      <w:r>
        <w:rPr>
          <w:szCs w:val="22"/>
        </w:rPr>
        <w:t xml:space="preserve"> The effect of the end of all significant vehicle manufacturing in 2017</w:t>
      </w:r>
      <w:r w:rsidR="00103A4A">
        <w:rPr>
          <w:szCs w:val="22"/>
        </w:rPr>
        <w:t xml:space="preserve"> </w:t>
      </w:r>
      <w:r>
        <w:rPr>
          <w:szCs w:val="22"/>
        </w:rPr>
        <w:t>mean</w:t>
      </w:r>
      <w:r w:rsidR="00467234">
        <w:rPr>
          <w:szCs w:val="22"/>
        </w:rPr>
        <w:t>s</w:t>
      </w:r>
      <w:r>
        <w:rPr>
          <w:szCs w:val="22"/>
        </w:rPr>
        <w:t xml:space="preserve"> that since </w:t>
      </w:r>
      <w:r w:rsidR="00107B8B">
        <w:rPr>
          <w:szCs w:val="22"/>
        </w:rPr>
        <w:t xml:space="preserve">the year </w:t>
      </w:r>
      <w:r>
        <w:rPr>
          <w:szCs w:val="22"/>
        </w:rPr>
        <w:t xml:space="preserve">2000 more than 300 tonnes of annual </w:t>
      </w:r>
      <w:r w:rsidR="00F9253D">
        <w:rPr>
          <w:szCs w:val="22"/>
        </w:rPr>
        <w:t xml:space="preserve">bulk </w:t>
      </w:r>
      <w:r>
        <w:rPr>
          <w:szCs w:val="22"/>
        </w:rPr>
        <w:t>HFC demand has been removed from the Australian economy.</w:t>
      </w:r>
    </w:p>
    <w:p w14:paraId="6DA9BA33" w14:textId="1C1D27DA" w:rsidR="001B2302" w:rsidRDefault="001B2302" w:rsidP="001B2302">
      <w:pPr>
        <w:rPr>
          <w:szCs w:val="22"/>
        </w:rPr>
      </w:pPr>
      <w:r>
        <w:rPr>
          <w:szCs w:val="22"/>
        </w:rPr>
        <w:t xml:space="preserve">Along with this decline </w:t>
      </w:r>
      <w:r w:rsidR="00103A4A">
        <w:rPr>
          <w:szCs w:val="22"/>
        </w:rPr>
        <w:t>in</w:t>
      </w:r>
      <w:r>
        <w:rPr>
          <w:szCs w:val="22"/>
        </w:rPr>
        <w:t xml:space="preserve"> manufacturing, the </w:t>
      </w:r>
      <w:r w:rsidR="009E6F76">
        <w:rPr>
          <w:szCs w:val="22"/>
        </w:rPr>
        <w:t xml:space="preserve">amount </w:t>
      </w:r>
      <w:r>
        <w:rPr>
          <w:szCs w:val="22"/>
        </w:rPr>
        <w:t xml:space="preserve">of </w:t>
      </w:r>
      <w:r w:rsidR="00493AC5">
        <w:rPr>
          <w:szCs w:val="22"/>
        </w:rPr>
        <w:t>refrigerant</w:t>
      </w:r>
      <w:r>
        <w:rPr>
          <w:szCs w:val="22"/>
        </w:rPr>
        <w:t xml:space="preserve"> imported in MAC in passenger vehicles continues to rise as HFC charged vehicle imports replace lost local manufacturing. </w:t>
      </w:r>
    </w:p>
    <w:p w14:paraId="23592CC4" w14:textId="3D063A50" w:rsidR="001B2302" w:rsidRPr="00221B7B" w:rsidRDefault="001B2302" w:rsidP="001B2302">
      <w:pPr>
        <w:rPr>
          <w:szCs w:val="22"/>
        </w:rPr>
      </w:pPr>
      <w:r>
        <w:rPr>
          <w:szCs w:val="22"/>
        </w:rPr>
        <w:t xml:space="preserve">While there is evidence of some vehicles charged with HFOs being imported, the great majority of vehicles imported since 2012 were charged with HFC 134a. </w:t>
      </w:r>
    </w:p>
    <w:p w14:paraId="2F1726F5" w14:textId="77777777" w:rsidR="001B2302" w:rsidRPr="00221B7B" w:rsidRDefault="001B2302" w:rsidP="001B2302">
      <w:pPr>
        <w:spacing w:before="240"/>
        <w:rPr>
          <w:rFonts w:cs="Times New Roman"/>
          <w:b/>
          <w:szCs w:val="22"/>
        </w:rPr>
      </w:pPr>
      <w:r w:rsidRPr="00221B7B">
        <w:rPr>
          <w:rFonts w:cs="Times New Roman"/>
          <w:b/>
          <w:szCs w:val="22"/>
        </w:rPr>
        <w:t>HFO</w:t>
      </w:r>
      <w:r>
        <w:rPr>
          <w:rFonts w:cs="Times New Roman"/>
          <w:b/>
          <w:szCs w:val="22"/>
        </w:rPr>
        <w:t>s</w:t>
      </w:r>
    </w:p>
    <w:p w14:paraId="6EB1D2FF" w14:textId="0EE1B1FE" w:rsidR="006C07F5" w:rsidRDefault="001B2302" w:rsidP="001B2302">
      <w:pPr>
        <w:rPr>
          <w:rFonts w:cs="Times New Roman"/>
          <w:szCs w:val="22"/>
        </w:rPr>
      </w:pPr>
      <w:r>
        <w:rPr>
          <w:rFonts w:cs="Times New Roman"/>
          <w:szCs w:val="22"/>
        </w:rPr>
        <w:t xml:space="preserve">The new generation of low GWP </w:t>
      </w:r>
      <w:r w:rsidR="00A3036C">
        <w:rPr>
          <w:rFonts w:cs="Times New Roman"/>
          <w:szCs w:val="22"/>
        </w:rPr>
        <w:t xml:space="preserve">refrigerants, hydro-olefins, </w:t>
      </w:r>
      <w:r>
        <w:rPr>
          <w:rFonts w:cs="Times New Roman"/>
          <w:szCs w:val="22"/>
        </w:rPr>
        <w:t xml:space="preserve">known as HFOs </w:t>
      </w:r>
      <w:r w:rsidR="00A3036C">
        <w:rPr>
          <w:rFonts w:cs="Times New Roman"/>
          <w:szCs w:val="22"/>
        </w:rPr>
        <w:t xml:space="preserve">, developed with MAC in mind, </w:t>
      </w:r>
      <w:r>
        <w:rPr>
          <w:rFonts w:cs="Times New Roman"/>
          <w:szCs w:val="22"/>
        </w:rPr>
        <w:t xml:space="preserve">(HFO-1234yf AR5-100 GWP of 1), have been entering use in international vehicle markets since 2013, initially in Europe despite some initial resistance from a number of European manufacturers. EU regulations required all new car model releases, or ‘new platforms’ manufactured with MAC to have a refrigerant with a GWP </w:t>
      </w:r>
      <w:r w:rsidR="00103A4A">
        <w:rPr>
          <w:rFonts w:cs="Times New Roman"/>
          <w:szCs w:val="22"/>
        </w:rPr>
        <w:t xml:space="preserve">of </w:t>
      </w:r>
      <w:r>
        <w:rPr>
          <w:rFonts w:cs="Times New Roman"/>
          <w:szCs w:val="22"/>
        </w:rPr>
        <w:t>less than 150 from January 2011, and all new vehicles with MAC were to meet the</w:t>
      </w:r>
      <w:r w:rsidR="00A3036C">
        <w:rPr>
          <w:rFonts w:cs="Times New Roman"/>
          <w:szCs w:val="22"/>
        </w:rPr>
        <w:t>se</w:t>
      </w:r>
      <w:r>
        <w:rPr>
          <w:rFonts w:cs="Times New Roman"/>
          <w:szCs w:val="22"/>
        </w:rPr>
        <w:t xml:space="preserve"> requirements by January 2017. </w:t>
      </w:r>
    </w:p>
    <w:p w14:paraId="3FB58E11" w14:textId="2D016DEF" w:rsidR="001B2302" w:rsidRDefault="001B2302" w:rsidP="001B2302">
      <w:pPr>
        <w:rPr>
          <w:rFonts w:cs="Times New Roman"/>
          <w:szCs w:val="22"/>
        </w:rPr>
      </w:pPr>
      <w:r>
        <w:rPr>
          <w:rFonts w:cs="Times New Roman"/>
          <w:szCs w:val="22"/>
        </w:rPr>
        <w:t>Several leading manufacturers in 2012 refused to agree to change over their production lines on the basis of perceived safety risks of the mildly flammable HFO</w:t>
      </w:r>
      <w:r w:rsidR="00A3036C">
        <w:rPr>
          <w:rFonts w:cs="Times New Roman"/>
          <w:szCs w:val="22"/>
        </w:rPr>
        <w:t>-1234yf</w:t>
      </w:r>
      <w:r>
        <w:rPr>
          <w:rFonts w:cs="Times New Roman"/>
          <w:szCs w:val="22"/>
        </w:rPr>
        <w:t xml:space="preserve">. By the end of 2013 with leading international </w:t>
      </w:r>
      <w:r>
        <w:rPr>
          <w:rFonts w:cs="Times New Roman"/>
          <w:szCs w:val="22"/>
        </w:rPr>
        <w:lastRenderedPageBreak/>
        <w:t>car makers such as Toyota deciding to charge cars bound for the EU market with HFOs, resistance from European car makers eased. As a result of the initial opposition, in 2017, Mercedes has been ordered to recall more than 160,000 cars manufactured in the first 6 months of 2013 with MAC charged with HFC-</w:t>
      </w:r>
      <w:r w:rsidR="009F5EAE">
        <w:rPr>
          <w:rFonts w:cs="Times New Roman"/>
          <w:szCs w:val="22"/>
        </w:rPr>
        <w:t>134a and</w:t>
      </w:r>
      <w:r>
        <w:rPr>
          <w:rFonts w:cs="Times New Roman"/>
          <w:szCs w:val="22"/>
        </w:rPr>
        <w:t xml:space="preserve"> rebuild their air conditioning systems charged with a refrigerant with a GWP&lt;150.</w:t>
      </w:r>
    </w:p>
    <w:p w14:paraId="3317F6B2" w14:textId="258E8541" w:rsidR="001B2302" w:rsidRDefault="001B2302" w:rsidP="001B2302">
      <w:pPr>
        <w:rPr>
          <w:rFonts w:cs="Times New Roman"/>
          <w:szCs w:val="22"/>
        </w:rPr>
      </w:pPr>
      <w:r>
        <w:rPr>
          <w:rFonts w:cs="Times New Roman"/>
          <w:szCs w:val="22"/>
        </w:rPr>
        <w:t xml:space="preserve">With the </w:t>
      </w:r>
      <w:r w:rsidR="00A3036C">
        <w:rPr>
          <w:rFonts w:cs="Times New Roman"/>
          <w:szCs w:val="22"/>
        </w:rPr>
        <w:t xml:space="preserve">international </w:t>
      </w:r>
      <w:r>
        <w:rPr>
          <w:rFonts w:cs="Times New Roman"/>
          <w:szCs w:val="22"/>
        </w:rPr>
        <w:t xml:space="preserve">agreement </w:t>
      </w:r>
      <w:r w:rsidR="00103A4A">
        <w:rPr>
          <w:rFonts w:cs="Times New Roman"/>
          <w:szCs w:val="22"/>
        </w:rPr>
        <w:t>to</w:t>
      </w:r>
      <w:r>
        <w:rPr>
          <w:rFonts w:cs="Times New Roman"/>
          <w:szCs w:val="22"/>
        </w:rPr>
        <w:t xml:space="preserve"> the Kigali Amendment </w:t>
      </w:r>
      <w:r w:rsidR="00A3036C">
        <w:rPr>
          <w:rFonts w:cs="Times New Roman"/>
          <w:szCs w:val="22"/>
        </w:rPr>
        <w:t>to the Montreal Protocol</w:t>
      </w:r>
      <w:r w:rsidR="00103A4A">
        <w:rPr>
          <w:rFonts w:cs="Times New Roman"/>
          <w:szCs w:val="22"/>
        </w:rPr>
        <w:t>,</w:t>
      </w:r>
      <w:r w:rsidR="00A3036C">
        <w:rPr>
          <w:rFonts w:cs="Times New Roman"/>
          <w:szCs w:val="22"/>
        </w:rPr>
        <w:t xml:space="preserve"> </w:t>
      </w:r>
      <w:r>
        <w:rPr>
          <w:rFonts w:cs="Times New Roman"/>
          <w:szCs w:val="22"/>
        </w:rPr>
        <w:t>and a clear timeline for an international HFC phase down, it is expected that new vehicles from most leading manufacturers will be charged with HFO-1234yf by the mid-2020s</w:t>
      </w:r>
      <w:r w:rsidR="00CB640B">
        <w:rPr>
          <w:rFonts w:cs="Times New Roman"/>
          <w:szCs w:val="22"/>
        </w:rPr>
        <w:t>, and only a small portion (&lt;0.</w:t>
      </w:r>
      <w:r w:rsidR="003C6465">
        <w:rPr>
          <w:rFonts w:cs="Times New Roman"/>
          <w:szCs w:val="22"/>
        </w:rPr>
        <w:t>5</w:t>
      </w:r>
      <w:r w:rsidR="00CB640B">
        <w:rPr>
          <w:rFonts w:cs="Times New Roman"/>
          <w:szCs w:val="22"/>
        </w:rPr>
        <w:t>%) charged with CO</w:t>
      </w:r>
      <w:r w:rsidR="00CB640B" w:rsidRPr="00CB640B">
        <w:rPr>
          <w:rFonts w:cs="Times New Roman"/>
          <w:szCs w:val="22"/>
          <w:vertAlign w:val="subscript"/>
        </w:rPr>
        <w:t>2</w:t>
      </w:r>
      <w:r w:rsidR="00CB640B">
        <w:rPr>
          <w:rFonts w:cs="Times New Roman"/>
          <w:szCs w:val="22"/>
        </w:rPr>
        <w:t>.</w:t>
      </w:r>
    </w:p>
    <w:p w14:paraId="395FE04F" w14:textId="7E61CE75" w:rsidR="001B2302" w:rsidRDefault="001B2302" w:rsidP="001B2302">
      <w:pPr>
        <w:rPr>
          <w:rFonts w:cs="Times New Roman"/>
        </w:rPr>
      </w:pPr>
      <w:r>
        <w:rPr>
          <w:rFonts w:cs="Times New Roman"/>
        </w:rPr>
        <w:t xml:space="preserve">HFO use is now supported by regulations in the majority of major economies. </w:t>
      </w:r>
      <w:r w:rsidRPr="00F039EF">
        <w:rPr>
          <w:rFonts w:cs="Times New Roman"/>
        </w:rPr>
        <w:t>Japan’s Act on the Rational Use and</w:t>
      </w:r>
      <w:r>
        <w:rPr>
          <w:rFonts w:cs="Times New Roman"/>
        </w:rPr>
        <w:t xml:space="preserve"> </w:t>
      </w:r>
      <w:r w:rsidRPr="00F039EF">
        <w:rPr>
          <w:rFonts w:cs="Times New Roman"/>
        </w:rPr>
        <w:t>Proper Management of Fluorocarbons</w:t>
      </w:r>
      <w:r>
        <w:rPr>
          <w:rFonts w:cs="Times New Roman"/>
        </w:rPr>
        <w:t>, for instance,</w:t>
      </w:r>
      <w:r w:rsidRPr="00F039EF">
        <w:rPr>
          <w:rFonts w:cs="Times New Roman"/>
        </w:rPr>
        <w:t xml:space="preserve"> mandates a</w:t>
      </w:r>
      <w:r>
        <w:rPr>
          <w:rFonts w:cs="Times New Roman"/>
        </w:rPr>
        <w:t xml:space="preserve"> </w:t>
      </w:r>
      <w:r w:rsidRPr="00F039EF">
        <w:rPr>
          <w:rFonts w:cs="Times New Roman"/>
        </w:rPr>
        <w:t xml:space="preserve">maximum </w:t>
      </w:r>
      <w:r>
        <w:rPr>
          <w:rFonts w:cs="Times New Roman"/>
        </w:rPr>
        <w:t>GWP</w:t>
      </w:r>
      <w:r w:rsidRPr="00F039EF">
        <w:rPr>
          <w:rFonts w:cs="Times New Roman"/>
        </w:rPr>
        <w:t xml:space="preserve"> of 150 for refrigerants in air conditioners</w:t>
      </w:r>
      <w:r>
        <w:rPr>
          <w:rFonts w:cs="Times New Roman"/>
        </w:rPr>
        <w:t xml:space="preserve"> of all new </w:t>
      </w:r>
      <w:r w:rsidRPr="00F039EF">
        <w:rPr>
          <w:rFonts w:cs="Times New Roman"/>
        </w:rPr>
        <w:t xml:space="preserve">passenger cars, effective from </w:t>
      </w:r>
      <w:r>
        <w:rPr>
          <w:rFonts w:cs="Times New Roman"/>
        </w:rPr>
        <w:t xml:space="preserve">1 January </w:t>
      </w:r>
      <w:r w:rsidRPr="00F039EF">
        <w:rPr>
          <w:rFonts w:cs="Times New Roman"/>
        </w:rPr>
        <w:t>2023.</w:t>
      </w:r>
      <w:r>
        <w:rPr>
          <w:rFonts w:cs="Times New Roman"/>
        </w:rPr>
        <w:t xml:space="preserve"> The Expert Group model assumes that 90% of vehicles manufactured in Japan from this point will contain HFO-1234yf, and 100% in 2030. Japanese industry sources suggest there are no plans to manufacture vehicles with air conditioners charged with CO</w:t>
      </w:r>
      <w:r w:rsidRPr="00787EC3">
        <w:rPr>
          <w:rFonts w:cs="Times New Roman"/>
          <w:vertAlign w:val="subscript"/>
        </w:rPr>
        <w:t>2</w:t>
      </w:r>
      <w:r>
        <w:rPr>
          <w:rFonts w:cs="Times New Roman"/>
        </w:rPr>
        <w:t xml:space="preserve">. </w:t>
      </w:r>
    </w:p>
    <w:p w14:paraId="2E2D01C7" w14:textId="77777777" w:rsidR="001B2302" w:rsidRDefault="001B2302" w:rsidP="001B2302">
      <w:pPr>
        <w:rPr>
          <w:rFonts w:cs="Times New Roman"/>
        </w:rPr>
      </w:pPr>
      <w:r w:rsidRPr="00803208">
        <w:rPr>
          <w:rFonts w:cs="Times New Roman"/>
        </w:rPr>
        <w:t>The US Environmental Protection Agency (EPA) and the Department of Transportation’s National Highway Traffic Safety Administration (NHTSA)</w:t>
      </w:r>
      <w:r>
        <w:rPr>
          <w:rFonts w:cs="Times New Roman"/>
        </w:rPr>
        <w:t xml:space="preserve"> have s</w:t>
      </w:r>
      <w:r w:rsidRPr="00854DC5">
        <w:rPr>
          <w:rFonts w:cs="Times New Roman"/>
        </w:rPr>
        <w:t xml:space="preserve">et </w:t>
      </w:r>
      <w:r>
        <w:rPr>
          <w:rFonts w:cs="Times New Roman"/>
        </w:rPr>
        <w:t>s</w:t>
      </w:r>
      <w:r w:rsidRPr="00854DC5">
        <w:rPr>
          <w:rFonts w:cs="Times New Roman"/>
        </w:rPr>
        <w:t xml:space="preserve">tandards to </w:t>
      </w:r>
      <w:r>
        <w:rPr>
          <w:rFonts w:cs="Times New Roman"/>
        </w:rPr>
        <w:t>r</w:t>
      </w:r>
      <w:r w:rsidRPr="00854DC5">
        <w:rPr>
          <w:rFonts w:cs="Times New Roman"/>
        </w:rPr>
        <w:t>educe Greenhouse Gases and Improve Fuel Economy for Cars and Light Trucks</w:t>
      </w:r>
      <w:r>
        <w:rPr>
          <w:rFonts w:cs="Times New Roman"/>
        </w:rPr>
        <w:t xml:space="preserve"> manufactured in </w:t>
      </w:r>
      <w:r w:rsidRPr="00854DC5">
        <w:rPr>
          <w:rFonts w:cs="Times New Roman"/>
        </w:rPr>
        <w:t>2017</w:t>
      </w:r>
      <w:r>
        <w:rPr>
          <w:rFonts w:cs="Times New Roman"/>
        </w:rPr>
        <w:t xml:space="preserve"> to 2</w:t>
      </w:r>
      <w:r w:rsidRPr="00854DC5">
        <w:rPr>
          <w:rFonts w:cs="Times New Roman"/>
        </w:rPr>
        <w:t>025</w:t>
      </w:r>
      <w:r w:rsidRPr="006138F6">
        <w:rPr>
          <w:rFonts w:cs="Times New Roman"/>
        </w:rPr>
        <w:t>. These emission standards are driving a rapid transition of mobile air conditioning technology to HFO-1234yf in</w:t>
      </w:r>
      <w:r>
        <w:rPr>
          <w:rFonts w:cs="Times New Roman"/>
        </w:rPr>
        <w:t xml:space="preserve"> new vehicles sold in the US. </w:t>
      </w:r>
    </w:p>
    <w:p w14:paraId="0FAA0949" w14:textId="65EDDFC6" w:rsidR="001B2302" w:rsidRDefault="001B2302" w:rsidP="001B2302">
      <w:pPr>
        <w:rPr>
          <w:rFonts w:cs="Times New Roman"/>
          <w:szCs w:val="22"/>
        </w:rPr>
      </w:pPr>
      <w:r>
        <w:rPr>
          <w:rFonts w:cs="Times New Roman"/>
          <w:szCs w:val="22"/>
        </w:rPr>
        <w:t>Despite the international momentum</w:t>
      </w:r>
      <w:r w:rsidR="00A3036C">
        <w:rPr>
          <w:rFonts w:cs="Times New Roman"/>
          <w:szCs w:val="22"/>
        </w:rPr>
        <w:t>,</w:t>
      </w:r>
      <w:r>
        <w:rPr>
          <w:rFonts w:cs="Times New Roman"/>
          <w:szCs w:val="22"/>
        </w:rPr>
        <w:t xml:space="preserve"> HFOs and other alternatives are yet to make any significant impact on the MAC bank in Australia. Vehicle manufacturing in Australia ceased in 2017 without any move to </w:t>
      </w:r>
      <w:r w:rsidR="009E6F76">
        <w:rPr>
          <w:rFonts w:cs="Times New Roman"/>
          <w:szCs w:val="22"/>
        </w:rPr>
        <w:t xml:space="preserve">different </w:t>
      </w:r>
      <w:r>
        <w:rPr>
          <w:rFonts w:cs="Times New Roman"/>
          <w:szCs w:val="22"/>
        </w:rPr>
        <w:t xml:space="preserve">refrigerant types. As such the last 150,000 vehicles manufactured in </w:t>
      </w:r>
      <w:r w:rsidR="00A3036C">
        <w:rPr>
          <w:rFonts w:cs="Times New Roman"/>
          <w:szCs w:val="22"/>
        </w:rPr>
        <w:t xml:space="preserve">Australia in </w:t>
      </w:r>
      <w:r>
        <w:rPr>
          <w:rFonts w:cs="Times New Roman"/>
          <w:szCs w:val="22"/>
        </w:rPr>
        <w:t xml:space="preserve">2016 and 2017 were all charged with HFC-134a. </w:t>
      </w:r>
      <w:r w:rsidR="009B64EE">
        <w:rPr>
          <w:rFonts w:cs="Times New Roman"/>
          <w:szCs w:val="22"/>
        </w:rPr>
        <w:t>I</w:t>
      </w:r>
      <w:r>
        <w:rPr>
          <w:rFonts w:cs="Times New Roman"/>
          <w:szCs w:val="22"/>
        </w:rPr>
        <w:t xml:space="preserve">nterviews </w:t>
      </w:r>
      <w:r w:rsidR="009B64EE">
        <w:rPr>
          <w:rFonts w:cs="Times New Roman"/>
          <w:szCs w:val="22"/>
        </w:rPr>
        <w:t>with industry repre</w:t>
      </w:r>
      <w:r w:rsidR="00A3036C">
        <w:rPr>
          <w:rFonts w:cs="Times New Roman"/>
          <w:szCs w:val="22"/>
        </w:rPr>
        <w:t>s</w:t>
      </w:r>
      <w:r w:rsidR="009B64EE">
        <w:rPr>
          <w:rFonts w:cs="Times New Roman"/>
          <w:szCs w:val="22"/>
        </w:rPr>
        <w:t>e</w:t>
      </w:r>
      <w:r w:rsidR="00A3036C">
        <w:rPr>
          <w:rFonts w:cs="Times New Roman"/>
          <w:szCs w:val="22"/>
        </w:rPr>
        <w:t>n</w:t>
      </w:r>
      <w:r w:rsidR="009B64EE">
        <w:rPr>
          <w:rFonts w:cs="Times New Roman"/>
          <w:szCs w:val="22"/>
        </w:rPr>
        <w:t>tatives</w:t>
      </w:r>
      <w:r>
        <w:rPr>
          <w:rFonts w:cs="Times New Roman"/>
          <w:szCs w:val="22"/>
        </w:rPr>
        <w:t xml:space="preserve"> indicate that in 2016 and in 2017 Australia saw an insignificant number of vehicles charged with HFOs</w:t>
      </w:r>
      <w:r w:rsidR="003C6465">
        <w:rPr>
          <w:rFonts w:cs="Times New Roman"/>
          <w:szCs w:val="22"/>
        </w:rPr>
        <w:t xml:space="preserve"> being imported</w:t>
      </w:r>
      <w:r w:rsidR="00A3036C">
        <w:rPr>
          <w:rFonts w:cs="Times New Roman"/>
          <w:szCs w:val="22"/>
        </w:rPr>
        <w:t>,</w:t>
      </w:r>
      <w:r w:rsidR="003C6465">
        <w:rPr>
          <w:rFonts w:cs="Times New Roman"/>
          <w:szCs w:val="22"/>
        </w:rPr>
        <w:t xml:space="preserve"> and none containing CO</w:t>
      </w:r>
      <w:r w:rsidR="003C6465" w:rsidRPr="003C6465">
        <w:rPr>
          <w:rFonts w:cs="Times New Roman"/>
          <w:szCs w:val="22"/>
          <w:vertAlign w:val="subscript"/>
        </w:rPr>
        <w:t>2</w:t>
      </w:r>
      <w:r w:rsidR="003C6465">
        <w:rPr>
          <w:rFonts w:cs="Times New Roman"/>
          <w:szCs w:val="22"/>
        </w:rPr>
        <w:t>.</w:t>
      </w:r>
    </w:p>
    <w:p w14:paraId="0932EEC5" w14:textId="73ECE436" w:rsidR="001B2302" w:rsidRDefault="001B2302" w:rsidP="001B2302">
      <w:pPr>
        <w:rPr>
          <w:rFonts w:cs="Times New Roman"/>
          <w:szCs w:val="22"/>
          <w:lang w:val="en-US"/>
        </w:rPr>
      </w:pPr>
      <w:r>
        <w:rPr>
          <w:rFonts w:cs="Times New Roman"/>
          <w:szCs w:val="22"/>
          <w:lang w:val="en-US"/>
        </w:rPr>
        <w:t xml:space="preserve">A comparison between </w:t>
      </w:r>
      <w:r w:rsidRPr="008E10D6">
        <w:rPr>
          <w:rFonts w:cs="Times New Roman"/>
          <w:szCs w:val="22"/>
          <w:lang w:val="en-US"/>
        </w:rPr>
        <w:t xml:space="preserve">PCE </w:t>
      </w:r>
      <w:r>
        <w:rPr>
          <w:rFonts w:cs="Times New Roman"/>
          <w:szCs w:val="22"/>
          <w:lang w:val="en-US"/>
        </w:rPr>
        <w:t>i</w:t>
      </w:r>
      <w:r w:rsidRPr="008E10D6">
        <w:rPr>
          <w:rFonts w:cs="Times New Roman"/>
          <w:szCs w:val="22"/>
          <w:lang w:val="en-US"/>
        </w:rPr>
        <w:t>mports</w:t>
      </w:r>
      <w:r>
        <w:rPr>
          <w:rFonts w:cs="Times New Roman"/>
          <w:szCs w:val="22"/>
          <w:lang w:val="en-US"/>
        </w:rPr>
        <w:t xml:space="preserve">, </w:t>
      </w:r>
      <w:r w:rsidRPr="008E10D6">
        <w:rPr>
          <w:rFonts w:cs="Times New Roman"/>
          <w:szCs w:val="22"/>
          <w:lang w:val="en-US"/>
        </w:rPr>
        <w:t xml:space="preserve">plus local </w:t>
      </w:r>
      <w:r>
        <w:rPr>
          <w:rFonts w:cs="Times New Roman"/>
          <w:szCs w:val="22"/>
          <w:lang w:val="en-US"/>
        </w:rPr>
        <w:t xml:space="preserve">manufacturing less exports, versus </w:t>
      </w:r>
      <w:r w:rsidR="00103A4A">
        <w:rPr>
          <w:rFonts w:cs="Times New Roman"/>
          <w:szCs w:val="22"/>
          <w:lang w:val="en-US"/>
        </w:rPr>
        <w:t xml:space="preserve">new vehicle </w:t>
      </w:r>
      <w:r>
        <w:rPr>
          <w:rFonts w:cs="Times New Roman"/>
          <w:szCs w:val="22"/>
          <w:lang w:val="en-US"/>
        </w:rPr>
        <w:t>sales, found a statistical difference of around 2% over the last 5 years to be unchanged and confirmed reports from industry that there is no statistically significant decline in reported PCE charged with HFCs</w:t>
      </w:r>
      <w:r w:rsidR="00A3036C">
        <w:rPr>
          <w:rFonts w:cs="Times New Roman"/>
          <w:szCs w:val="22"/>
          <w:lang w:val="en-US"/>
        </w:rPr>
        <w:t>,</w:t>
      </w:r>
      <w:r>
        <w:rPr>
          <w:rFonts w:cs="Times New Roman"/>
          <w:szCs w:val="22"/>
          <w:lang w:val="en-US"/>
        </w:rPr>
        <w:t xml:space="preserve"> as a result of substitution of HFC</w:t>
      </w:r>
      <w:r w:rsidR="009E6F76">
        <w:rPr>
          <w:rFonts w:cs="Times New Roman"/>
          <w:szCs w:val="22"/>
          <w:lang w:val="en-US"/>
        </w:rPr>
        <w:noBreakHyphen/>
      </w:r>
      <w:r>
        <w:rPr>
          <w:rFonts w:cs="Times New Roman"/>
          <w:szCs w:val="22"/>
          <w:lang w:val="en-US"/>
        </w:rPr>
        <w:t>134a with alternatives.</w:t>
      </w:r>
    </w:p>
    <w:p w14:paraId="01FEA65B" w14:textId="741DD161" w:rsidR="00612476" w:rsidRDefault="00612476">
      <w:pPr>
        <w:spacing w:before="0"/>
        <w:jc w:val="left"/>
        <w:rPr>
          <w:rFonts w:cs="Times New Roman"/>
          <w:lang w:val="en-AU"/>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1B2302" w:rsidRPr="00613398" w14:paraId="46542032" w14:textId="77777777" w:rsidTr="00D8549E">
        <w:tc>
          <w:tcPr>
            <w:tcW w:w="9759" w:type="dxa"/>
            <w:vAlign w:val="center"/>
          </w:tcPr>
          <w:p w14:paraId="214099AC" w14:textId="77777777" w:rsidR="001B2302" w:rsidRPr="00613398" w:rsidRDefault="001B2302" w:rsidP="00014D67">
            <w:pPr>
              <w:spacing w:after="120"/>
              <w:jc w:val="center"/>
              <w:rPr>
                <w:rFonts w:cs="Times New Roman"/>
                <w:b/>
              </w:rPr>
            </w:pPr>
            <w:r w:rsidRPr="00613398">
              <w:rPr>
                <w:rFonts w:cs="Times New Roman"/>
                <w:b/>
              </w:rPr>
              <w:br w:type="page"/>
            </w:r>
            <w:r>
              <w:rPr>
                <w:rFonts w:cs="Times New Roman"/>
                <w:b/>
              </w:rPr>
              <w:t>Sales and local manufacturing of P&amp;</w:t>
            </w:r>
            <w:bookmarkStart w:id="31" w:name="_GoBack"/>
            <w:bookmarkEnd w:id="31"/>
            <w:r>
              <w:rPr>
                <w:rFonts w:cs="Times New Roman"/>
                <w:b/>
              </w:rPr>
              <w:t>LC vehicles</w:t>
            </w:r>
          </w:p>
        </w:tc>
      </w:tr>
      <w:tr w:rsidR="001B2302" w:rsidRPr="000F7FAE" w14:paraId="2FBF2CA7" w14:textId="77777777" w:rsidTr="00D8549E">
        <w:tc>
          <w:tcPr>
            <w:tcW w:w="9759" w:type="dxa"/>
            <w:vAlign w:val="center"/>
          </w:tcPr>
          <w:p w14:paraId="2463FE4D" w14:textId="77777777" w:rsidR="001B2302" w:rsidRPr="000F7FAE" w:rsidRDefault="001B2302" w:rsidP="00014D67">
            <w:pPr>
              <w:spacing w:before="60" w:after="60"/>
              <w:jc w:val="center"/>
              <w:rPr>
                <w:sz w:val="16"/>
                <w:szCs w:val="16"/>
              </w:rPr>
            </w:pPr>
          </w:p>
          <w:p w14:paraId="2B1F852C" w14:textId="77777777" w:rsidR="001B2302" w:rsidRPr="000F7FAE" w:rsidRDefault="001B2302" w:rsidP="00014D67">
            <w:pPr>
              <w:spacing w:before="60" w:after="60"/>
              <w:jc w:val="center"/>
              <w:rPr>
                <w:sz w:val="16"/>
                <w:szCs w:val="16"/>
              </w:rPr>
            </w:pPr>
            <w:r>
              <w:rPr>
                <w:noProof/>
                <w:lang w:val="en-AU" w:eastAsia="en-AU"/>
              </w:rPr>
              <w:drawing>
                <wp:inline distT="0" distB="0" distL="0" distR="0" wp14:anchorId="73030BD6" wp14:editId="56EA13F1">
                  <wp:extent cx="5943600" cy="2248535"/>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48535"/>
                          </a:xfrm>
                          <a:prstGeom prst="rect">
                            <a:avLst/>
                          </a:prstGeom>
                        </pic:spPr>
                      </pic:pic>
                    </a:graphicData>
                  </a:graphic>
                </wp:inline>
              </w:drawing>
            </w:r>
          </w:p>
          <w:p w14:paraId="7344C179" w14:textId="77777777" w:rsidR="001B2302" w:rsidRPr="000F7FAE" w:rsidRDefault="001B2302" w:rsidP="00014D67">
            <w:pPr>
              <w:spacing w:before="60" w:after="60"/>
              <w:jc w:val="center"/>
              <w:rPr>
                <w:sz w:val="16"/>
                <w:szCs w:val="16"/>
              </w:rPr>
            </w:pPr>
          </w:p>
        </w:tc>
      </w:tr>
      <w:tr w:rsidR="001B2302" w:rsidRPr="00923150" w14:paraId="0B453E13" w14:textId="77777777" w:rsidTr="00D8549E">
        <w:tc>
          <w:tcPr>
            <w:tcW w:w="9759" w:type="dxa"/>
            <w:vAlign w:val="center"/>
          </w:tcPr>
          <w:p w14:paraId="5420D982" w14:textId="7C76103C" w:rsidR="001B2302" w:rsidRPr="00E81F20" w:rsidRDefault="00EE7692" w:rsidP="00EE7692">
            <w:pPr>
              <w:keepNext/>
              <w:spacing w:before="60" w:after="60"/>
              <w:rPr>
                <w:i/>
              </w:rPr>
            </w:pPr>
            <w:bookmarkStart w:id="32" w:name="_Toc525141333"/>
            <w:r w:rsidRPr="00E81F20">
              <w:rPr>
                <w:i/>
              </w:rPr>
              <w:t xml:space="preserve">Figure </w:t>
            </w:r>
            <w:r w:rsidRPr="00E81F20">
              <w:rPr>
                <w:i/>
              </w:rPr>
              <w:fldChar w:fldCharType="begin"/>
            </w:r>
            <w:r w:rsidRPr="00E81F20">
              <w:rPr>
                <w:i/>
              </w:rPr>
              <w:instrText xml:space="preserve"> SEQ Figure \* ARABIC </w:instrText>
            </w:r>
            <w:r w:rsidRPr="00E81F20">
              <w:rPr>
                <w:i/>
              </w:rPr>
              <w:fldChar w:fldCharType="separate"/>
            </w:r>
            <w:r w:rsidR="00715E05">
              <w:rPr>
                <w:i/>
                <w:noProof/>
              </w:rPr>
              <w:t>2</w:t>
            </w:r>
            <w:r w:rsidRPr="00E81F20">
              <w:rPr>
                <w:i/>
              </w:rPr>
              <w:fldChar w:fldCharType="end"/>
            </w:r>
            <w:r w:rsidRPr="00E81F20">
              <w:rPr>
                <w:i/>
              </w:rPr>
              <w:t>: S</w:t>
            </w:r>
            <w:r w:rsidR="001B2302" w:rsidRPr="00E81F20">
              <w:rPr>
                <w:bCs/>
                <w:i/>
              </w:rPr>
              <w:t>ales and local manufacturing of passenger and light commercial vehicles in Australia from 2010 to 2016.</w:t>
            </w:r>
            <w:bookmarkEnd w:id="32"/>
          </w:p>
        </w:tc>
      </w:tr>
    </w:tbl>
    <w:p w14:paraId="7A6B1D50" w14:textId="77777777" w:rsidR="001B2302" w:rsidRPr="002F42EF" w:rsidRDefault="001B2302" w:rsidP="001B2302">
      <w:pPr>
        <w:spacing w:before="0"/>
        <w:rPr>
          <w:rFonts w:cs="Times New Roman"/>
          <w:sz w:val="20"/>
          <w:szCs w:val="20"/>
          <w:lang w:val="en-US"/>
        </w:rPr>
      </w:pPr>
      <w:r w:rsidRPr="002F42EF">
        <w:rPr>
          <w:rFonts w:cs="Times New Roman"/>
          <w:sz w:val="20"/>
          <w:szCs w:val="20"/>
          <w:lang w:val="en-US"/>
        </w:rPr>
        <w:t>(Sources: ABS 9314.0 2017, FCAI 2017, FAPM 2014)</w:t>
      </w:r>
    </w:p>
    <w:p w14:paraId="7A509206" w14:textId="77777777" w:rsidR="001B2302" w:rsidRDefault="001B2302" w:rsidP="001B2302">
      <w:pPr>
        <w:spacing w:before="0"/>
        <w:rPr>
          <w:rFonts w:cs="Times New Roman"/>
          <w:szCs w:val="22"/>
          <w:lang w:val="en-US"/>
        </w:rPr>
      </w:pPr>
    </w:p>
    <w:p w14:paraId="74191D2C" w14:textId="378A937E" w:rsidR="001B2302" w:rsidRDefault="001B2302" w:rsidP="001B2302">
      <w:pPr>
        <w:rPr>
          <w:rFonts w:cs="Times New Roman"/>
          <w:szCs w:val="22"/>
        </w:rPr>
      </w:pPr>
      <w:r>
        <w:rPr>
          <w:rFonts w:cs="Times New Roman"/>
          <w:szCs w:val="22"/>
        </w:rPr>
        <w:lastRenderedPageBreak/>
        <w:t xml:space="preserve">Suppliers are however gearing up for HFOs with at least one vehicle distributor securing the specialised HFO </w:t>
      </w:r>
      <w:r w:rsidR="005646D1">
        <w:rPr>
          <w:rFonts w:cs="Times New Roman"/>
          <w:szCs w:val="22"/>
        </w:rPr>
        <w:t xml:space="preserve">servicing </w:t>
      </w:r>
      <w:r>
        <w:rPr>
          <w:rFonts w:cs="Times New Roman"/>
          <w:szCs w:val="22"/>
        </w:rPr>
        <w:t xml:space="preserve">equipment and a supply of </w:t>
      </w:r>
      <w:r w:rsidR="00493AC5">
        <w:rPr>
          <w:rFonts w:cs="Times New Roman"/>
          <w:szCs w:val="22"/>
        </w:rPr>
        <w:t>refrigerant</w:t>
      </w:r>
      <w:r>
        <w:rPr>
          <w:rFonts w:cs="Times New Roman"/>
          <w:szCs w:val="22"/>
        </w:rPr>
        <w:t xml:space="preserve"> for every one of its Australia wide service centres.</w:t>
      </w:r>
    </w:p>
    <w:p w14:paraId="02810AB6" w14:textId="03D5FD20" w:rsidR="001B2302" w:rsidRPr="000D20B5" w:rsidRDefault="001B2302" w:rsidP="001B2302">
      <w:pPr>
        <w:rPr>
          <w:rFonts w:cs="Times New Roman"/>
          <w:szCs w:val="22"/>
        </w:rPr>
      </w:pPr>
      <w:r>
        <w:rPr>
          <w:rFonts w:cs="Times New Roman"/>
          <w:szCs w:val="22"/>
        </w:rPr>
        <w:t xml:space="preserve">While the </w:t>
      </w:r>
      <w:r w:rsidR="00C45435">
        <w:rPr>
          <w:rFonts w:cs="Times New Roman"/>
          <w:szCs w:val="22"/>
        </w:rPr>
        <w:t>RAC Stock model</w:t>
      </w:r>
      <w:r>
        <w:rPr>
          <w:rFonts w:cs="Times New Roman"/>
          <w:szCs w:val="22"/>
        </w:rPr>
        <w:t xml:space="preserve"> predicts that there may be around 23.7 million vehicles </w:t>
      </w:r>
      <w:r w:rsidR="00107B8B">
        <w:rPr>
          <w:rFonts w:cs="Times New Roman"/>
          <w:szCs w:val="22"/>
        </w:rPr>
        <w:t xml:space="preserve">with small MAC </w:t>
      </w:r>
      <w:r>
        <w:rPr>
          <w:rFonts w:cs="Times New Roman"/>
          <w:szCs w:val="22"/>
        </w:rPr>
        <w:t xml:space="preserve">on Australian roads </w:t>
      </w:r>
      <w:r w:rsidRPr="00664C8A">
        <w:rPr>
          <w:rFonts w:cs="Times New Roman"/>
          <w:szCs w:val="22"/>
        </w:rPr>
        <w:t>in 2030, it is expected that around 41%</w:t>
      </w:r>
      <w:r>
        <w:rPr>
          <w:rFonts w:cs="Times New Roman"/>
          <w:szCs w:val="22"/>
        </w:rPr>
        <w:t xml:space="preserve"> of those vehicles, or around 9.8 million vehicles will, by that time, be charged with a refrigerant with a GWP less than 10, with the large majority of those (~99%) containing </w:t>
      </w:r>
      <w:r w:rsidRPr="00664C8A">
        <w:rPr>
          <w:rFonts w:cs="Times New Roman"/>
          <w:szCs w:val="22"/>
        </w:rPr>
        <w:t>HFO-1234yf</w:t>
      </w:r>
      <w:r>
        <w:rPr>
          <w:rFonts w:cs="Times New Roman"/>
          <w:szCs w:val="22"/>
        </w:rPr>
        <w:t xml:space="preserve">. Refer to </w:t>
      </w:r>
      <w:r w:rsidR="00D12068">
        <w:rPr>
          <w:rFonts w:cs="Times New Roman"/>
          <w:i/>
          <w:szCs w:val="22"/>
        </w:rPr>
        <w:t>Appendix B2</w:t>
      </w:r>
      <w:r w:rsidR="00FF2B50" w:rsidRPr="00FF2B50">
        <w:rPr>
          <w:rFonts w:cs="Times New Roman"/>
          <w:i/>
          <w:szCs w:val="22"/>
        </w:rPr>
        <w:t xml:space="preserve">: </w:t>
      </w:r>
      <w:r w:rsidR="00D12068" w:rsidRPr="00D12068">
        <w:rPr>
          <w:rFonts w:cs="Times New Roman"/>
          <w:i/>
          <w:szCs w:val="22"/>
        </w:rPr>
        <w:t>New equipment sales mix by segment</w:t>
      </w:r>
      <w:r w:rsidR="00FF2B50">
        <w:rPr>
          <w:rFonts w:cs="Times New Roman"/>
          <w:i/>
          <w:szCs w:val="22"/>
        </w:rPr>
        <w:t xml:space="preserve">, </w:t>
      </w:r>
      <w:r>
        <w:rPr>
          <w:rFonts w:cs="Times New Roman"/>
          <w:szCs w:val="22"/>
        </w:rPr>
        <w:t xml:space="preserve">for </w:t>
      </w:r>
      <w:r w:rsidR="00107B8B">
        <w:rPr>
          <w:rFonts w:cs="Times New Roman"/>
          <w:szCs w:val="22"/>
        </w:rPr>
        <w:t>n</w:t>
      </w:r>
      <w:r>
        <w:rPr>
          <w:rFonts w:cs="Times New Roman"/>
          <w:szCs w:val="22"/>
        </w:rPr>
        <w:t xml:space="preserve">ew </w:t>
      </w:r>
      <w:r w:rsidR="00107B8B">
        <w:rPr>
          <w:rFonts w:cs="Times New Roman"/>
          <w:szCs w:val="22"/>
        </w:rPr>
        <w:t>s</w:t>
      </w:r>
      <w:r>
        <w:rPr>
          <w:rFonts w:cs="Times New Roman"/>
          <w:szCs w:val="22"/>
        </w:rPr>
        <w:t xml:space="preserve">ales </w:t>
      </w:r>
      <w:r w:rsidR="00107B8B">
        <w:rPr>
          <w:rFonts w:cs="Times New Roman"/>
          <w:szCs w:val="22"/>
        </w:rPr>
        <w:t>m</w:t>
      </w:r>
      <w:r>
        <w:rPr>
          <w:rFonts w:cs="Times New Roman"/>
          <w:szCs w:val="22"/>
        </w:rPr>
        <w:t>ix predictions to 2030.</w:t>
      </w:r>
    </w:p>
    <w:p w14:paraId="2B84A6FC" w14:textId="77777777" w:rsidR="001B2302" w:rsidRPr="0037201F" w:rsidRDefault="001B2302" w:rsidP="001B2302">
      <w:pPr>
        <w:spacing w:before="240"/>
        <w:rPr>
          <w:b/>
          <w:szCs w:val="22"/>
        </w:rPr>
      </w:pPr>
      <w:r w:rsidRPr="0037201F">
        <w:rPr>
          <w:b/>
          <w:szCs w:val="22"/>
        </w:rPr>
        <w:t>H</w:t>
      </w:r>
      <w:r>
        <w:rPr>
          <w:b/>
          <w:szCs w:val="22"/>
        </w:rPr>
        <w:t>ydrocarbons in MAC</w:t>
      </w:r>
    </w:p>
    <w:p w14:paraId="1B06D43D" w14:textId="1A89DD4D" w:rsidR="001B2302" w:rsidRPr="005D4B7C" w:rsidRDefault="00E70BC2" w:rsidP="001B2302">
      <w:pPr>
        <w:rPr>
          <w:szCs w:val="22"/>
        </w:rPr>
      </w:pPr>
      <w:r w:rsidRPr="00E70BC2">
        <w:rPr>
          <w:szCs w:val="22"/>
        </w:rPr>
        <w:t xml:space="preserve">Hydrocarbon use in the MAC market is exclusively in aftermarket servicing of second-hand vehicles and is estimated to account for </w:t>
      </w:r>
      <w:r w:rsidR="001B2302" w:rsidRPr="00107B8B">
        <w:rPr>
          <w:szCs w:val="22"/>
        </w:rPr>
        <w:t>around 4.2% of the passenger and light commercial vehicle fleet (</w:t>
      </w:r>
      <w:r w:rsidR="001B2302" w:rsidRPr="00107B8B">
        <w:rPr>
          <w:i/>
          <w:szCs w:val="22"/>
        </w:rPr>
        <w:t>CHF2 8%</w:t>
      </w:r>
      <w:r w:rsidR="001B2302" w:rsidRPr="00107B8B">
        <w:rPr>
          <w:szCs w:val="22"/>
        </w:rPr>
        <w:t>).</w:t>
      </w:r>
      <w:r w:rsidR="001B2302" w:rsidRPr="005D4B7C">
        <w:rPr>
          <w:szCs w:val="22"/>
        </w:rPr>
        <w:t xml:space="preserve"> </w:t>
      </w:r>
    </w:p>
    <w:p w14:paraId="7008E599" w14:textId="6982A6A1" w:rsidR="001B2302" w:rsidRDefault="001B2302" w:rsidP="001B2302">
      <w:pPr>
        <w:rPr>
          <w:lang w:val="en-AU"/>
        </w:rPr>
      </w:pPr>
      <w:r>
        <w:rPr>
          <w:lang w:val="en-AU"/>
        </w:rPr>
        <w:t>This estimate is clearly much smaller than the 2012 estimate published in CHF2. However greater insight into the supply lines for hydrocarbons provided by the aftermarket surveys that have been conducted for the past three years</w:t>
      </w:r>
      <w:r w:rsidR="00295ECC">
        <w:rPr>
          <w:lang w:val="en-AU"/>
        </w:rPr>
        <w:t xml:space="preserve"> and</w:t>
      </w:r>
      <w:r>
        <w:rPr>
          <w:lang w:val="en-AU"/>
        </w:rPr>
        <w:t xml:space="preserve"> including an audit of the books of one of the largest aftermarket suppliers of hydrocarbon services in Australia</w:t>
      </w:r>
      <w:r w:rsidR="00295ECC">
        <w:rPr>
          <w:lang w:val="en-AU"/>
        </w:rPr>
        <w:t>,</w:t>
      </w:r>
      <w:r>
        <w:rPr>
          <w:lang w:val="en-AU"/>
        </w:rPr>
        <w:t xml:space="preserve"> has led to a better understanding of the volumes of hydrocarbons being traded in this market, and the number of retrofits</w:t>
      </w:r>
      <w:r>
        <w:rPr>
          <w:rStyle w:val="FootnoteReference"/>
          <w:lang w:val="en-AU"/>
        </w:rPr>
        <w:footnoteReference w:id="19"/>
      </w:r>
      <w:r>
        <w:rPr>
          <w:lang w:val="en-AU"/>
        </w:rPr>
        <w:t xml:space="preserve"> being completed.  </w:t>
      </w:r>
    </w:p>
    <w:p w14:paraId="205D1CB0" w14:textId="7858BC0F" w:rsidR="001B2302" w:rsidRDefault="001B2302" w:rsidP="001B2302">
      <w:pPr>
        <w:rPr>
          <w:lang w:val="en-AU"/>
        </w:rPr>
      </w:pPr>
      <w:r>
        <w:rPr>
          <w:lang w:val="en-AU"/>
        </w:rPr>
        <w:t xml:space="preserve">As a result, the </w:t>
      </w:r>
      <w:r w:rsidR="00295ECC">
        <w:rPr>
          <w:lang w:val="en-AU"/>
        </w:rPr>
        <w:t xml:space="preserve">original </w:t>
      </w:r>
      <w:r>
        <w:rPr>
          <w:lang w:val="en-AU"/>
        </w:rPr>
        <w:t>estimate</w:t>
      </w:r>
      <w:r w:rsidR="00295ECC">
        <w:rPr>
          <w:lang w:val="en-AU"/>
        </w:rPr>
        <w:t xml:space="preserve"> of the</w:t>
      </w:r>
      <w:r>
        <w:rPr>
          <w:lang w:val="en-AU"/>
        </w:rPr>
        <w:t xml:space="preserve"> portion of the fleet containing hydrocarbon</w:t>
      </w:r>
      <w:r w:rsidR="00295ECC">
        <w:rPr>
          <w:lang w:val="en-AU"/>
        </w:rPr>
        <w:t>s</w:t>
      </w:r>
      <w:r>
        <w:rPr>
          <w:lang w:val="en-AU"/>
        </w:rPr>
        <w:t xml:space="preserve"> in 2012 has been revised down to 3.8%. The 2016 estimate of 4.2% of the </w:t>
      </w:r>
      <w:r w:rsidR="00BB426B">
        <w:rPr>
          <w:lang w:val="en-AU"/>
        </w:rPr>
        <w:t xml:space="preserve">small </w:t>
      </w:r>
      <w:r>
        <w:rPr>
          <w:lang w:val="en-AU"/>
        </w:rPr>
        <w:t>MAC fleet being charged with hydrocarbons equates to around 743,000 vehicles. This is significantly lower than the CHF2 estimate of there being nearly 1.2 million hydrocarbon charged MAC in vehicles in Australia. H</w:t>
      </w:r>
      <w:r w:rsidR="00DA3E22">
        <w:rPr>
          <w:lang w:val="en-AU"/>
        </w:rPr>
        <w:t>C charged MAC</w:t>
      </w:r>
      <w:r>
        <w:rPr>
          <w:lang w:val="en-AU"/>
        </w:rPr>
        <w:t xml:space="preserve"> is expected to remain at around 4% of the fleet. Refer to </w:t>
      </w:r>
      <w:r w:rsidRPr="007E42A1">
        <w:rPr>
          <w:i/>
          <w:lang w:val="en-AU"/>
        </w:rPr>
        <w:t xml:space="preserve">Appendix </w:t>
      </w:r>
      <w:r w:rsidR="00D12068">
        <w:rPr>
          <w:i/>
          <w:lang w:val="en-AU"/>
        </w:rPr>
        <w:t xml:space="preserve">A: </w:t>
      </w:r>
      <w:r w:rsidR="00C1021A">
        <w:rPr>
          <w:i/>
          <w:lang w:val="en-AU"/>
        </w:rPr>
        <w:t xml:space="preserve">Section 11.2.5: </w:t>
      </w:r>
      <w:r w:rsidR="00C1021A" w:rsidRPr="00C1021A">
        <w:rPr>
          <w:i/>
          <w:lang w:val="en-AU"/>
        </w:rPr>
        <w:t>Proportion of hydrocarbon in small MAC</w:t>
      </w:r>
      <w:r>
        <w:rPr>
          <w:lang w:val="en-AU"/>
        </w:rPr>
        <w:t xml:space="preserve"> for details on the calculation methodology and assumptions.</w:t>
      </w:r>
    </w:p>
    <w:p w14:paraId="5A492B61" w14:textId="77777777" w:rsidR="005646D1" w:rsidRDefault="005646D1" w:rsidP="001B2302">
      <w:pPr>
        <w:rPr>
          <w:lang w:val="en-AU"/>
        </w:rPr>
      </w:pPr>
    </w:p>
    <w:p w14:paraId="2F225A64" w14:textId="77777777" w:rsidR="001B2302" w:rsidRDefault="001B2302" w:rsidP="001B2302">
      <w:pPr>
        <w:spacing w:before="240"/>
        <w:rPr>
          <w:rFonts w:cs="Times New Roman"/>
          <w:b/>
          <w:lang w:val="en-AU"/>
        </w:rPr>
      </w:pPr>
      <w:r w:rsidRPr="002106DF">
        <w:rPr>
          <w:rFonts w:cs="Times New Roman"/>
          <w:b/>
          <w:lang w:val="en-AU"/>
        </w:rPr>
        <w:t>Truck</w:t>
      </w:r>
      <w:r>
        <w:rPr>
          <w:rFonts w:cs="Times New Roman"/>
          <w:b/>
          <w:lang w:val="en-AU"/>
        </w:rPr>
        <w:t>s</w:t>
      </w:r>
    </w:p>
    <w:p w14:paraId="53F2689F" w14:textId="50916EC1" w:rsidR="001B2302" w:rsidRPr="004B7BB2" w:rsidRDefault="001B2302" w:rsidP="001B2302">
      <w:pPr>
        <w:rPr>
          <w:rFonts w:cs="Times New Roman"/>
          <w:szCs w:val="22"/>
          <w:lang w:val="en-AU"/>
        </w:rPr>
      </w:pPr>
      <w:r w:rsidRPr="004B7BB2">
        <w:rPr>
          <w:rFonts w:cs="Times New Roman"/>
          <w:szCs w:val="22"/>
          <w:lang w:val="en-AU"/>
        </w:rPr>
        <w:t xml:space="preserve">A fleet of more than </w:t>
      </w:r>
      <w:r w:rsidR="00CC42A5">
        <w:rPr>
          <w:rFonts w:cs="Times New Roman"/>
          <w:szCs w:val="22"/>
          <w:lang w:val="en-AU"/>
        </w:rPr>
        <w:t>587</w:t>
      </w:r>
      <w:r w:rsidRPr="004B7BB2">
        <w:rPr>
          <w:rFonts w:cs="Times New Roman"/>
          <w:szCs w:val="22"/>
          <w:lang w:val="en-AU"/>
        </w:rPr>
        <w:t xml:space="preserve">,000 registered rigid body and articulated trucks on the road in Australia in 2016 </w:t>
      </w:r>
      <w:r w:rsidR="005646D1">
        <w:rPr>
          <w:rFonts w:cs="Times New Roman"/>
          <w:szCs w:val="22"/>
          <w:lang w:val="en-AU"/>
        </w:rPr>
        <w:t>is</w:t>
      </w:r>
      <w:r w:rsidR="00F60758">
        <w:rPr>
          <w:rFonts w:cs="Times New Roman"/>
          <w:szCs w:val="22"/>
          <w:lang w:val="en-AU"/>
        </w:rPr>
        <w:t xml:space="preserve"> </w:t>
      </w:r>
      <w:r w:rsidRPr="004B7BB2">
        <w:rPr>
          <w:rFonts w:cs="Times New Roman"/>
          <w:szCs w:val="22"/>
          <w:lang w:val="en-AU"/>
        </w:rPr>
        <w:t xml:space="preserve">estimated to have air conditioning installed. The </w:t>
      </w:r>
      <w:r w:rsidR="00CC42A5">
        <w:rPr>
          <w:rFonts w:cs="Times New Roman"/>
          <w:szCs w:val="22"/>
          <w:lang w:val="en-AU"/>
        </w:rPr>
        <w:t xml:space="preserve">RAC </w:t>
      </w:r>
      <w:r w:rsidRPr="004B7BB2">
        <w:rPr>
          <w:rFonts w:cs="Times New Roman"/>
          <w:szCs w:val="22"/>
          <w:lang w:val="en-AU"/>
        </w:rPr>
        <w:t xml:space="preserve">Stock </w:t>
      </w:r>
      <w:r w:rsidR="00CC42A5">
        <w:rPr>
          <w:rFonts w:cs="Times New Roman"/>
          <w:szCs w:val="22"/>
          <w:lang w:val="en-AU"/>
        </w:rPr>
        <w:t>m</w:t>
      </w:r>
      <w:r w:rsidRPr="001649EB">
        <w:rPr>
          <w:rFonts w:cs="Times New Roman"/>
          <w:szCs w:val="22"/>
          <w:lang w:val="en-AU"/>
        </w:rPr>
        <w:t xml:space="preserve">odel assumes </w:t>
      </w:r>
      <w:r>
        <w:rPr>
          <w:rFonts w:cs="Times New Roman"/>
          <w:szCs w:val="22"/>
          <w:lang w:val="en-AU"/>
        </w:rPr>
        <w:t>5</w:t>
      </w:r>
      <w:r w:rsidRPr="001649EB">
        <w:rPr>
          <w:rFonts w:cs="Times New Roman"/>
          <w:szCs w:val="22"/>
          <w:lang w:val="en-AU"/>
        </w:rPr>
        <w:t xml:space="preserve">% of the smaller rigid body and </w:t>
      </w:r>
      <w:r w:rsidR="009F5EAE" w:rsidRPr="001649EB">
        <w:rPr>
          <w:rFonts w:cs="Times New Roman"/>
          <w:szCs w:val="22"/>
          <w:lang w:val="en-AU"/>
        </w:rPr>
        <w:t>non-freight</w:t>
      </w:r>
      <w:r w:rsidRPr="001649EB">
        <w:rPr>
          <w:rFonts w:cs="Times New Roman"/>
          <w:szCs w:val="22"/>
          <w:lang w:val="en-AU"/>
        </w:rPr>
        <w:t xml:space="preserve"> vehicles do not have MAC installed.</w:t>
      </w:r>
      <w:r w:rsidRPr="004B7BB2">
        <w:rPr>
          <w:rFonts w:cs="Times New Roman"/>
          <w:szCs w:val="22"/>
          <w:lang w:val="en-AU"/>
        </w:rPr>
        <w:t xml:space="preserve"> These are likely to be older </w:t>
      </w:r>
      <w:r>
        <w:rPr>
          <w:rFonts w:cs="Times New Roman"/>
          <w:szCs w:val="22"/>
          <w:lang w:val="en-AU"/>
        </w:rPr>
        <w:t>vehicles</w:t>
      </w:r>
      <w:r w:rsidRPr="004B7BB2">
        <w:rPr>
          <w:rFonts w:cs="Times New Roman"/>
          <w:szCs w:val="22"/>
          <w:lang w:val="en-AU"/>
        </w:rPr>
        <w:t>, tipper trucks and flat beds used for short hauls on farms, in other rural environments and possibly only in part time use.</w:t>
      </w:r>
    </w:p>
    <w:p w14:paraId="15A481BE" w14:textId="5BC32B94" w:rsidR="001B2302" w:rsidRPr="004B7BB2" w:rsidRDefault="001B2302" w:rsidP="001B2302">
      <w:pPr>
        <w:rPr>
          <w:rFonts w:cs="Times New Roman"/>
          <w:szCs w:val="22"/>
          <w:lang w:val="en-AU"/>
        </w:rPr>
      </w:pPr>
      <w:r w:rsidRPr="004B7BB2">
        <w:rPr>
          <w:rFonts w:cs="Times New Roman"/>
          <w:szCs w:val="22"/>
          <w:lang w:val="en-AU"/>
        </w:rPr>
        <w:t>Most new truck prime movers sold in Australia are imported, and in most instances</w:t>
      </w:r>
      <w:r w:rsidR="00295ECC">
        <w:rPr>
          <w:rFonts w:cs="Times New Roman"/>
          <w:szCs w:val="22"/>
          <w:lang w:val="en-AU"/>
        </w:rPr>
        <w:t>, if they have</w:t>
      </w:r>
      <w:r w:rsidRPr="004B7BB2">
        <w:rPr>
          <w:rFonts w:cs="Times New Roman"/>
          <w:szCs w:val="22"/>
          <w:lang w:val="en-AU"/>
        </w:rPr>
        <w:t xml:space="preserve"> MAC on board</w:t>
      </w:r>
      <w:r w:rsidR="00295ECC">
        <w:rPr>
          <w:rFonts w:cs="Times New Roman"/>
          <w:szCs w:val="22"/>
          <w:lang w:val="en-AU"/>
        </w:rPr>
        <w:t>, they</w:t>
      </w:r>
      <w:r w:rsidRPr="004B7BB2">
        <w:rPr>
          <w:rFonts w:cs="Times New Roman"/>
          <w:szCs w:val="22"/>
          <w:lang w:val="en-AU"/>
        </w:rPr>
        <w:t xml:space="preserve"> will come pre-charged. </w:t>
      </w:r>
      <w:r>
        <w:rPr>
          <w:rFonts w:cs="Times New Roman"/>
          <w:szCs w:val="22"/>
          <w:lang w:val="en-AU"/>
        </w:rPr>
        <w:t>M</w:t>
      </w:r>
      <w:r w:rsidRPr="004B7BB2">
        <w:rPr>
          <w:rFonts w:cs="Times New Roman"/>
          <w:szCs w:val="22"/>
          <w:lang w:val="en-AU"/>
        </w:rPr>
        <w:t xml:space="preserve">ore than 30,000 new trucks </w:t>
      </w:r>
      <w:r>
        <w:rPr>
          <w:rFonts w:cs="Times New Roman"/>
          <w:szCs w:val="22"/>
          <w:lang w:val="en-AU"/>
        </w:rPr>
        <w:t xml:space="preserve">are </w:t>
      </w:r>
      <w:r w:rsidRPr="004B7BB2">
        <w:rPr>
          <w:rFonts w:cs="Times New Roman"/>
          <w:szCs w:val="22"/>
          <w:lang w:val="en-AU"/>
        </w:rPr>
        <w:t>sold every year in Australia</w:t>
      </w:r>
      <w:r>
        <w:rPr>
          <w:rFonts w:cs="Times New Roman"/>
          <w:szCs w:val="22"/>
          <w:lang w:val="en-AU"/>
        </w:rPr>
        <w:t xml:space="preserve"> and </w:t>
      </w:r>
      <w:r w:rsidRPr="004B7BB2">
        <w:rPr>
          <w:rFonts w:cs="Times New Roman"/>
          <w:szCs w:val="22"/>
          <w:lang w:val="en-AU"/>
        </w:rPr>
        <w:t xml:space="preserve">the majority have had some kind of final customising or work completed in Australia, including the incorporation of locally manufactured components, to make them finally fit for purpose. There are also a number of truck manufacturers operating in Australia </w:t>
      </w:r>
      <w:r w:rsidR="002A04A3">
        <w:rPr>
          <w:rFonts w:cs="Times New Roman"/>
          <w:szCs w:val="22"/>
          <w:lang w:val="en-AU"/>
        </w:rPr>
        <w:t xml:space="preserve">that assemble </w:t>
      </w:r>
      <w:r w:rsidRPr="004B7BB2">
        <w:rPr>
          <w:rFonts w:cs="Times New Roman"/>
          <w:szCs w:val="22"/>
          <w:lang w:val="en-AU"/>
        </w:rPr>
        <w:t xml:space="preserve">almost the entire prime mover and truck body in Australia </w:t>
      </w:r>
      <w:r>
        <w:rPr>
          <w:rFonts w:cs="Times New Roman"/>
          <w:szCs w:val="22"/>
          <w:lang w:val="en-AU"/>
        </w:rPr>
        <w:t>including:</w:t>
      </w:r>
    </w:p>
    <w:p w14:paraId="631211AA" w14:textId="77777777" w:rsidR="001B2302" w:rsidRPr="004B7BB2" w:rsidRDefault="001B2302" w:rsidP="00FC735C">
      <w:pPr>
        <w:pStyle w:val="ListParagraph"/>
        <w:numPr>
          <w:ilvl w:val="0"/>
          <w:numId w:val="17"/>
        </w:numPr>
        <w:spacing w:before="120" w:after="0" w:line="240" w:lineRule="auto"/>
        <w:contextualSpacing w:val="0"/>
        <w:jc w:val="both"/>
        <w:rPr>
          <w:rFonts w:ascii="Times New Roman" w:hAnsi="Times New Roman"/>
          <w:lang w:val="en-AU"/>
        </w:rPr>
      </w:pPr>
      <w:r w:rsidRPr="004B7BB2">
        <w:rPr>
          <w:rFonts w:ascii="Times New Roman" w:hAnsi="Times New Roman"/>
          <w:lang w:val="en-AU"/>
        </w:rPr>
        <w:t>Volvo Group Australia manufacturing Volvo and Mack brand trucks at Wacol, Queensland;</w:t>
      </w:r>
    </w:p>
    <w:p w14:paraId="473C9713" w14:textId="77777777" w:rsidR="001B2302" w:rsidRPr="004B7BB2" w:rsidRDefault="001B2302" w:rsidP="00FC735C">
      <w:pPr>
        <w:pStyle w:val="ListParagraph"/>
        <w:numPr>
          <w:ilvl w:val="0"/>
          <w:numId w:val="17"/>
        </w:numPr>
        <w:spacing w:before="120" w:after="0" w:line="240" w:lineRule="auto"/>
        <w:contextualSpacing w:val="0"/>
        <w:jc w:val="both"/>
        <w:rPr>
          <w:rFonts w:ascii="Times New Roman" w:hAnsi="Times New Roman"/>
          <w:lang w:val="en-AU"/>
        </w:rPr>
      </w:pPr>
      <w:r w:rsidRPr="004B7BB2">
        <w:rPr>
          <w:rFonts w:ascii="Times New Roman" w:hAnsi="Times New Roman"/>
          <w:lang w:val="en-AU"/>
        </w:rPr>
        <w:t>PACCAR Australia manufacturing Kenworth trucks at Bayswater, Victoria; and,</w:t>
      </w:r>
    </w:p>
    <w:p w14:paraId="7A7C9874" w14:textId="77777777" w:rsidR="001B2302" w:rsidRPr="004B7BB2" w:rsidRDefault="001B2302" w:rsidP="00FC735C">
      <w:pPr>
        <w:pStyle w:val="ListParagraph"/>
        <w:numPr>
          <w:ilvl w:val="0"/>
          <w:numId w:val="17"/>
        </w:numPr>
        <w:spacing w:before="120" w:after="0" w:line="240" w:lineRule="auto"/>
        <w:contextualSpacing w:val="0"/>
        <w:jc w:val="both"/>
        <w:rPr>
          <w:rFonts w:ascii="Times New Roman" w:hAnsi="Times New Roman"/>
          <w:lang w:val="en-AU"/>
        </w:rPr>
      </w:pPr>
      <w:r w:rsidRPr="004B7BB2">
        <w:rPr>
          <w:rFonts w:ascii="Times New Roman" w:hAnsi="Times New Roman"/>
          <w:lang w:val="en-AU"/>
        </w:rPr>
        <w:t>IVECO Trucks Australia manufacturing IVECO trucks at Dandenong, Victoria.</w:t>
      </w:r>
    </w:p>
    <w:p w14:paraId="18F19134" w14:textId="7AB2665E" w:rsidR="001B2302" w:rsidRPr="004B7BB2" w:rsidRDefault="001B2302" w:rsidP="001B2302">
      <w:pPr>
        <w:rPr>
          <w:rFonts w:cs="Times New Roman"/>
          <w:szCs w:val="22"/>
          <w:lang w:val="en-AU"/>
        </w:rPr>
      </w:pPr>
      <w:r w:rsidRPr="004B7BB2">
        <w:rPr>
          <w:rFonts w:cs="Times New Roman"/>
          <w:szCs w:val="22"/>
          <w:lang w:val="en-AU"/>
        </w:rPr>
        <w:t>Market intelligence from MAC component suppliers suggest that in total these manufacturers between them are purchasing components for about 2</w:t>
      </w:r>
      <w:r>
        <w:rPr>
          <w:rFonts w:cs="Times New Roman"/>
          <w:szCs w:val="22"/>
          <w:lang w:val="en-AU"/>
        </w:rPr>
        <w:t>,</w:t>
      </w:r>
      <w:r w:rsidRPr="004B7BB2">
        <w:rPr>
          <w:rFonts w:cs="Times New Roman"/>
          <w:szCs w:val="22"/>
          <w:lang w:val="en-AU"/>
        </w:rPr>
        <w:t>600 new MAC systems a year</w:t>
      </w:r>
      <w:r w:rsidR="00CC42A5">
        <w:rPr>
          <w:rFonts w:cs="Times New Roman"/>
          <w:szCs w:val="22"/>
          <w:lang w:val="en-AU"/>
        </w:rPr>
        <w:t>.</w:t>
      </w:r>
    </w:p>
    <w:p w14:paraId="065C437F" w14:textId="77777777" w:rsidR="001B2302" w:rsidRDefault="001B2302" w:rsidP="001B2302">
      <w:pPr>
        <w:rPr>
          <w:lang w:val="en-AU"/>
        </w:rPr>
      </w:pPr>
    </w:p>
    <w:p w14:paraId="1C961D2E" w14:textId="5B031914" w:rsidR="001B2302" w:rsidRPr="00212B9E" w:rsidRDefault="001B2302" w:rsidP="001B2302">
      <w:pPr>
        <w:rPr>
          <w:rFonts w:cs="Times New Roman"/>
          <w:b/>
          <w:u w:val="single"/>
          <w:lang w:val="en-AU"/>
        </w:rPr>
      </w:pPr>
      <w:r>
        <w:rPr>
          <w:rFonts w:cs="Times New Roman"/>
          <w:b/>
          <w:u w:val="single"/>
          <w:lang w:val="en-AU"/>
        </w:rPr>
        <w:t>L</w:t>
      </w:r>
      <w:r w:rsidR="00A7009B">
        <w:rPr>
          <w:rFonts w:cs="Times New Roman"/>
          <w:b/>
          <w:u w:val="single"/>
          <w:lang w:val="en-AU"/>
        </w:rPr>
        <w:t xml:space="preserve">arge </w:t>
      </w:r>
      <w:r>
        <w:rPr>
          <w:rFonts w:cs="Times New Roman"/>
          <w:b/>
          <w:u w:val="single"/>
          <w:lang w:val="en-AU"/>
        </w:rPr>
        <w:t>MAC</w:t>
      </w:r>
    </w:p>
    <w:p w14:paraId="45EA3079" w14:textId="4A41EE50" w:rsidR="001B2302" w:rsidRDefault="001B2302" w:rsidP="001B2302">
      <w:pPr>
        <w:rPr>
          <w:rFonts w:cs="Times New Roman"/>
          <w:lang w:val="en-AU"/>
        </w:rPr>
      </w:pPr>
      <w:r>
        <w:rPr>
          <w:rFonts w:cs="Times New Roman"/>
          <w:lang w:val="en-AU"/>
        </w:rPr>
        <w:t xml:space="preserve">This segment comprises large buses and coaches dissected into two sizes, &gt;12t GVM and </w:t>
      </w:r>
      <w:r w:rsidRPr="00F86A6D">
        <w:rPr>
          <w:rFonts w:cs="Times New Roman"/>
          <w:lang w:val="en-AU"/>
        </w:rPr>
        <w:t>&gt;4.5</w:t>
      </w:r>
      <w:r>
        <w:rPr>
          <w:rFonts w:cs="Times New Roman"/>
          <w:lang w:val="en-AU"/>
        </w:rPr>
        <w:t>t</w:t>
      </w:r>
      <w:r w:rsidRPr="00F86A6D">
        <w:rPr>
          <w:rFonts w:cs="Times New Roman"/>
          <w:lang w:val="en-AU"/>
        </w:rPr>
        <w:t xml:space="preserve"> </w:t>
      </w:r>
      <w:r>
        <w:rPr>
          <w:rFonts w:cs="Times New Roman"/>
          <w:lang w:val="en-AU"/>
        </w:rPr>
        <w:t>and &lt;12t GVM; P</w:t>
      </w:r>
      <w:r w:rsidRPr="00F86A6D">
        <w:rPr>
          <w:rFonts w:cs="Times New Roman"/>
          <w:lang w:val="en-AU"/>
        </w:rPr>
        <w:t>assenger rail</w:t>
      </w:r>
      <w:r>
        <w:rPr>
          <w:rFonts w:cs="Times New Roman"/>
          <w:lang w:val="en-AU"/>
        </w:rPr>
        <w:t xml:space="preserve">; </w:t>
      </w:r>
      <w:r w:rsidRPr="00F86A6D">
        <w:rPr>
          <w:rFonts w:cs="Times New Roman"/>
          <w:lang w:val="en-AU"/>
        </w:rPr>
        <w:t>Locomotive</w:t>
      </w:r>
      <w:r>
        <w:rPr>
          <w:rFonts w:cs="Times New Roman"/>
          <w:lang w:val="en-AU"/>
        </w:rPr>
        <w:t>; U</w:t>
      </w:r>
      <w:r w:rsidRPr="00F86A6D">
        <w:rPr>
          <w:rFonts w:cs="Times New Roman"/>
          <w:lang w:val="en-AU"/>
        </w:rPr>
        <w:t xml:space="preserve">n-registered </w:t>
      </w:r>
      <w:r>
        <w:rPr>
          <w:rFonts w:cs="Times New Roman"/>
          <w:lang w:val="en-AU"/>
        </w:rPr>
        <w:t xml:space="preserve">vehicles including </w:t>
      </w:r>
      <w:r w:rsidRPr="00F86A6D">
        <w:rPr>
          <w:rFonts w:cs="Times New Roman"/>
          <w:lang w:val="en-AU"/>
        </w:rPr>
        <w:t>off-road, defence and other (</w:t>
      </w:r>
      <w:r>
        <w:rPr>
          <w:rFonts w:cs="Times New Roman"/>
          <w:lang w:val="en-AU"/>
        </w:rPr>
        <w:t>marine</w:t>
      </w:r>
      <w:r w:rsidRPr="00F86A6D">
        <w:rPr>
          <w:rFonts w:cs="Times New Roman"/>
          <w:lang w:val="en-AU"/>
        </w:rPr>
        <w:t xml:space="preserve">, </w:t>
      </w:r>
      <w:r w:rsidRPr="00F86A6D">
        <w:rPr>
          <w:rFonts w:cs="Times New Roman"/>
          <w:lang w:val="en-AU"/>
        </w:rPr>
        <w:lastRenderedPageBreak/>
        <w:t>etc.)</w:t>
      </w:r>
      <w:r>
        <w:rPr>
          <w:rFonts w:cs="Times New Roman"/>
          <w:lang w:val="en-AU"/>
        </w:rPr>
        <w:t xml:space="preserve">, and the rapidly growing category </w:t>
      </w:r>
      <w:r w:rsidR="00CC42A5">
        <w:rPr>
          <w:rFonts w:cs="Times New Roman"/>
          <w:lang w:val="en-AU"/>
        </w:rPr>
        <w:t>r</w:t>
      </w:r>
      <w:r>
        <w:rPr>
          <w:rFonts w:cs="Times New Roman"/>
          <w:lang w:val="en-AU"/>
        </w:rPr>
        <w:t xml:space="preserve">ecreational </w:t>
      </w:r>
      <w:r w:rsidR="00CC42A5">
        <w:rPr>
          <w:rFonts w:cs="Times New Roman"/>
          <w:lang w:val="en-AU"/>
        </w:rPr>
        <w:t>v</w:t>
      </w:r>
      <w:r>
        <w:rPr>
          <w:rFonts w:cs="Times New Roman"/>
          <w:lang w:val="en-AU"/>
        </w:rPr>
        <w:t xml:space="preserve">ehicles (RVs) and </w:t>
      </w:r>
      <w:r w:rsidR="00CC42A5">
        <w:rPr>
          <w:rFonts w:cs="Times New Roman"/>
          <w:lang w:val="en-AU"/>
        </w:rPr>
        <w:t>c</w:t>
      </w:r>
      <w:r>
        <w:rPr>
          <w:rFonts w:cs="Times New Roman"/>
          <w:lang w:val="en-AU"/>
        </w:rPr>
        <w:t>aravans. RVs are defined by the ABS as s</w:t>
      </w:r>
      <w:r w:rsidRPr="00F86A6D">
        <w:rPr>
          <w:rFonts w:cs="Times New Roman"/>
          <w:lang w:val="en-AU"/>
        </w:rPr>
        <w:t>elf-propelled motor vehicles containing an area primarily used for accommodation</w:t>
      </w:r>
      <w:r>
        <w:rPr>
          <w:rFonts w:cs="Times New Roman"/>
          <w:lang w:val="en-AU"/>
        </w:rPr>
        <w:t xml:space="preserve">, which </w:t>
      </w:r>
      <w:r w:rsidRPr="00F86A6D">
        <w:rPr>
          <w:rFonts w:cs="Times New Roman"/>
          <w:lang w:val="en-AU"/>
        </w:rPr>
        <w:t>includes motor homes and powered caravans.</w:t>
      </w:r>
    </w:p>
    <w:p w14:paraId="445265BA" w14:textId="17AC416E" w:rsidR="001B2302" w:rsidRPr="00B92454" w:rsidRDefault="001B2302" w:rsidP="001B2302">
      <w:pPr>
        <w:spacing w:before="240"/>
        <w:rPr>
          <w:rFonts w:cs="Times New Roman"/>
          <w:b/>
          <w:lang w:val="en-AU"/>
        </w:rPr>
      </w:pPr>
      <w:r w:rsidRPr="00B92454">
        <w:rPr>
          <w:rFonts w:cs="Times New Roman"/>
          <w:b/>
          <w:lang w:val="en-AU"/>
        </w:rPr>
        <w:t xml:space="preserve">Bus </w:t>
      </w:r>
      <w:r w:rsidR="00A7009B">
        <w:rPr>
          <w:rFonts w:cs="Times New Roman"/>
          <w:b/>
          <w:lang w:val="en-AU"/>
        </w:rPr>
        <w:t>a</w:t>
      </w:r>
      <w:r w:rsidRPr="00B92454">
        <w:rPr>
          <w:rFonts w:cs="Times New Roman"/>
          <w:b/>
          <w:lang w:val="en-AU"/>
        </w:rPr>
        <w:t xml:space="preserve">ir </w:t>
      </w:r>
      <w:r w:rsidR="00A7009B">
        <w:rPr>
          <w:rFonts w:cs="Times New Roman"/>
          <w:b/>
          <w:lang w:val="en-AU"/>
        </w:rPr>
        <w:t>c</w:t>
      </w:r>
      <w:r w:rsidRPr="00B92454">
        <w:rPr>
          <w:rFonts w:cs="Times New Roman"/>
          <w:b/>
          <w:lang w:val="en-AU"/>
        </w:rPr>
        <w:t>onditioning</w:t>
      </w:r>
    </w:p>
    <w:p w14:paraId="28156D42" w14:textId="5D57E474" w:rsidR="001B2302" w:rsidRPr="00B92454" w:rsidRDefault="001B2302" w:rsidP="001B2302">
      <w:pPr>
        <w:rPr>
          <w:rFonts w:cs="Times New Roman"/>
          <w:lang w:val="en-AU"/>
        </w:rPr>
      </w:pPr>
      <w:r>
        <w:rPr>
          <w:rFonts w:cs="Times New Roman"/>
          <w:lang w:val="en-AU"/>
        </w:rPr>
        <w:t xml:space="preserve">The fleet of </w:t>
      </w:r>
      <w:r w:rsidRPr="00B51A35">
        <w:rPr>
          <w:rFonts w:cs="Times New Roman"/>
          <w:lang w:val="en-AU"/>
        </w:rPr>
        <w:t>bus</w:t>
      </w:r>
      <w:r>
        <w:rPr>
          <w:rFonts w:cs="Times New Roman"/>
          <w:lang w:val="en-AU"/>
        </w:rPr>
        <w:t>es</w:t>
      </w:r>
      <w:r w:rsidRPr="00B51A35">
        <w:rPr>
          <w:rFonts w:cs="Times New Roman"/>
          <w:lang w:val="en-AU"/>
        </w:rPr>
        <w:t xml:space="preserve"> and coach</w:t>
      </w:r>
      <w:r>
        <w:rPr>
          <w:rFonts w:cs="Times New Roman"/>
          <w:lang w:val="en-AU"/>
        </w:rPr>
        <w:t xml:space="preserve">es with air conditioning is more than 41,000 with </w:t>
      </w:r>
      <w:r w:rsidRPr="008E3727">
        <w:rPr>
          <w:rFonts w:cs="Times New Roman"/>
          <w:lang w:val="en-AU"/>
        </w:rPr>
        <w:t>24,870</w:t>
      </w:r>
      <w:r>
        <w:rPr>
          <w:rFonts w:cs="Times New Roman"/>
          <w:lang w:val="en-AU"/>
        </w:rPr>
        <w:t xml:space="preserve"> </w:t>
      </w:r>
      <w:r w:rsidRPr="008E3727">
        <w:rPr>
          <w:rFonts w:cs="Times New Roman"/>
          <w:lang w:val="en-AU"/>
        </w:rPr>
        <w:t xml:space="preserve">buses </w:t>
      </w:r>
      <w:r>
        <w:rPr>
          <w:rFonts w:cs="Times New Roman"/>
          <w:lang w:val="en-AU"/>
        </w:rPr>
        <w:t>with a GVM greater than 1</w:t>
      </w:r>
      <w:r w:rsidRPr="008E3727">
        <w:rPr>
          <w:rFonts w:cs="Times New Roman"/>
          <w:lang w:val="en-AU"/>
        </w:rPr>
        <w:t>2</w:t>
      </w:r>
      <w:r>
        <w:rPr>
          <w:rFonts w:cs="Times New Roman"/>
          <w:lang w:val="en-AU"/>
        </w:rPr>
        <w:t xml:space="preserve"> tonnes, and </w:t>
      </w:r>
      <w:r w:rsidRPr="008E3727">
        <w:rPr>
          <w:rFonts w:cs="Times New Roman"/>
          <w:lang w:val="en-AU"/>
        </w:rPr>
        <w:t>17,000</w:t>
      </w:r>
      <w:r>
        <w:rPr>
          <w:rFonts w:cs="Times New Roman"/>
          <w:lang w:val="en-AU"/>
        </w:rPr>
        <w:t xml:space="preserve"> buses greater than 4.5 tonnes GVM and less than 12 tonnes GVM. The </w:t>
      </w:r>
      <w:r w:rsidR="000951E5">
        <w:rPr>
          <w:rFonts w:cs="Times New Roman"/>
          <w:lang w:val="en-AU"/>
        </w:rPr>
        <w:t>RAC Stock model</w:t>
      </w:r>
      <w:r>
        <w:rPr>
          <w:rFonts w:cs="Times New Roman"/>
          <w:lang w:val="en-AU"/>
        </w:rPr>
        <w:t xml:space="preserve"> assumes bus air conditioning systems have an average lifespan of 20 years as most contracts </w:t>
      </w:r>
      <w:r w:rsidR="000F69E0">
        <w:rPr>
          <w:rFonts w:cs="Times New Roman"/>
          <w:lang w:val="en-AU"/>
        </w:rPr>
        <w:t xml:space="preserve">for purchasing new buses </w:t>
      </w:r>
      <w:r w:rsidRPr="000F69E0">
        <w:rPr>
          <w:rFonts w:cs="Times New Roman"/>
          <w:lang w:val="en-AU"/>
        </w:rPr>
        <w:t>set a maximum</w:t>
      </w:r>
      <w:r>
        <w:rPr>
          <w:rFonts w:cs="Times New Roman"/>
          <w:lang w:val="en-AU"/>
        </w:rPr>
        <w:t xml:space="preserve"> lifespan of 25 years (</w:t>
      </w:r>
      <w:r w:rsidRPr="00690637">
        <w:rPr>
          <w:rFonts w:cs="Times New Roman"/>
          <w:lang w:val="en-AU"/>
        </w:rPr>
        <w:t>BITRE 2016</w:t>
      </w:r>
      <w:r>
        <w:rPr>
          <w:rFonts w:cs="Times New Roman"/>
          <w:lang w:val="en-AU"/>
        </w:rPr>
        <w:t>a). Given the longevity of a passenger bus</w:t>
      </w:r>
      <w:r w:rsidR="005646D1">
        <w:rPr>
          <w:rFonts w:cs="Times New Roman"/>
          <w:lang w:val="en-AU"/>
        </w:rPr>
        <w:t xml:space="preserve"> </w:t>
      </w:r>
      <w:r>
        <w:rPr>
          <w:rFonts w:cs="Times New Roman"/>
          <w:lang w:val="en-AU"/>
        </w:rPr>
        <w:t>working life it would be fair to expect the air conditioning system in a bus would be completely refurbished at least once during its typical lifespan.</w:t>
      </w:r>
    </w:p>
    <w:p w14:paraId="590D4AE7" w14:textId="3A384DE0" w:rsidR="001B2302" w:rsidRDefault="001B2302" w:rsidP="001B2302">
      <w:pPr>
        <w:rPr>
          <w:rFonts w:cs="Times New Roman"/>
          <w:lang w:val="en-AU"/>
        </w:rPr>
      </w:pPr>
      <w:r w:rsidRPr="00B92454">
        <w:rPr>
          <w:rFonts w:cs="Times New Roman"/>
          <w:lang w:val="en-AU"/>
        </w:rPr>
        <w:t>The main bus manufacturers are Iveco, S</w:t>
      </w:r>
      <w:r>
        <w:rPr>
          <w:rFonts w:cs="Times New Roman"/>
          <w:lang w:val="en-AU"/>
        </w:rPr>
        <w:t>c</w:t>
      </w:r>
      <w:r w:rsidRPr="00B92454">
        <w:rPr>
          <w:rFonts w:cs="Times New Roman"/>
          <w:lang w:val="en-AU"/>
        </w:rPr>
        <w:t>ania and Volvo.</w:t>
      </w:r>
      <w:r>
        <w:rPr>
          <w:rFonts w:cs="Times New Roman"/>
          <w:lang w:val="en-AU"/>
        </w:rPr>
        <w:t xml:space="preserve"> </w:t>
      </w:r>
      <w:r w:rsidRPr="00B51A35">
        <w:rPr>
          <w:rFonts w:cs="Times New Roman"/>
          <w:lang w:val="en-AU"/>
        </w:rPr>
        <w:t>Australasian Bus &amp; Coach (AB</w:t>
      </w:r>
      <w:r>
        <w:rPr>
          <w:rFonts w:cs="Times New Roman"/>
          <w:lang w:val="en-AU"/>
        </w:rPr>
        <w:t>&amp;</w:t>
      </w:r>
      <w:r w:rsidRPr="00B51A35">
        <w:rPr>
          <w:rFonts w:cs="Times New Roman"/>
          <w:lang w:val="en-AU"/>
        </w:rPr>
        <w:t xml:space="preserve">C) publishes a comprehensive analysis of bus and coach </w:t>
      </w:r>
      <w:r>
        <w:rPr>
          <w:rFonts w:cs="Times New Roman"/>
          <w:lang w:val="en-AU"/>
        </w:rPr>
        <w:t xml:space="preserve">deliveries nation-wide from 1998 to </w:t>
      </w:r>
      <w:r w:rsidR="00295ECC">
        <w:rPr>
          <w:rFonts w:cs="Times New Roman"/>
          <w:lang w:val="en-AU"/>
        </w:rPr>
        <w:t>the present day</w:t>
      </w:r>
      <w:r>
        <w:rPr>
          <w:rFonts w:cs="Times New Roman"/>
          <w:lang w:val="en-AU"/>
        </w:rPr>
        <w:t xml:space="preserve"> that includes detailed specifications down to the supplier of the air conditioner. Bus and coach air conditioning OEM sales have grown from 466 in 1998 to an average of 1,345 </w:t>
      </w:r>
      <w:r w:rsidR="00693BC7">
        <w:rPr>
          <w:rFonts w:cs="Times New Roman"/>
          <w:lang w:val="en-AU"/>
        </w:rPr>
        <w:t xml:space="preserve">per annum </w:t>
      </w:r>
      <w:r>
        <w:rPr>
          <w:rFonts w:cs="Times New Roman"/>
          <w:lang w:val="en-AU"/>
        </w:rPr>
        <w:t xml:space="preserve">from 2012 to 2016 (AB&amp;C 2017). </w:t>
      </w:r>
    </w:p>
    <w:p w14:paraId="6DFF5628" w14:textId="55C44483" w:rsidR="001B2302" w:rsidRPr="00B92454" w:rsidRDefault="001B2302" w:rsidP="001B2302">
      <w:pPr>
        <w:rPr>
          <w:rFonts w:cs="Times New Roman"/>
          <w:lang w:val="en-AU"/>
        </w:rPr>
      </w:pPr>
      <w:r w:rsidRPr="00B92454">
        <w:rPr>
          <w:rFonts w:cs="Times New Roman"/>
          <w:lang w:val="en-AU"/>
        </w:rPr>
        <w:t xml:space="preserve">The main bus air conditioning suppliers are Thermo King, CoachAir, Denso and Carrier, however over the last decade there have been many new suppliers </w:t>
      </w:r>
      <w:r w:rsidR="00295ECC">
        <w:rPr>
          <w:rFonts w:cs="Times New Roman"/>
          <w:lang w:val="en-AU"/>
        </w:rPr>
        <w:t xml:space="preserve">enter the market </w:t>
      </w:r>
      <w:r w:rsidRPr="00B92454">
        <w:rPr>
          <w:rFonts w:cs="Times New Roman"/>
          <w:lang w:val="en-AU"/>
        </w:rPr>
        <w:t>including Cooltek</w:t>
      </w:r>
      <w:r w:rsidR="005646D1">
        <w:rPr>
          <w:rFonts w:cs="Times New Roman"/>
          <w:lang w:val="en-AU"/>
        </w:rPr>
        <w:t>,</w:t>
      </w:r>
      <w:r w:rsidRPr="00B92454">
        <w:rPr>
          <w:rFonts w:cs="Times New Roman"/>
          <w:lang w:val="en-AU"/>
        </w:rPr>
        <w:t xml:space="preserve"> Daewoo</w:t>
      </w:r>
      <w:r w:rsidR="005646D1">
        <w:rPr>
          <w:rFonts w:cs="Times New Roman"/>
          <w:lang w:val="en-AU"/>
        </w:rPr>
        <w:t>,</w:t>
      </w:r>
      <w:r w:rsidRPr="00B92454">
        <w:rPr>
          <w:rFonts w:cs="Times New Roman"/>
          <w:lang w:val="en-AU"/>
        </w:rPr>
        <w:t xml:space="preserve"> Fainsa</w:t>
      </w:r>
      <w:r w:rsidR="005646D1">
        <w:rPr>
          <w:rFonts w:cs="Times New Roman"/>
          <w:lang w:val="en-AU"/>
        </w:rPr>
        <w:t>,</w:t>
      </w:r>
      <w:r w:rsidRPr="00B92454">
        <w:rPr>
          <w:rFonts w:cs="Times New Roman"/>
          <w:lang w:val="en-AU"/>
        </w:rPr>
        <w:t xml:space="preserve"> Hig</w:t>
      </w:r>
      <w:r w:rsidR="002A3697">
        <w:rPr>
          <w:rFonts w:cs="Times New Roman"/>
          <w:lang w:val="en-AU"/>
        </w:rPr>
        <w:t>h</w:t>
      </w:r>
      <w:r w:rsidRPr="00B92454">
        <w:rPr>
          <w:rFonts w:cs="Times New Roman"/>
          <w:lang w:val="en-AU"/>
        </w:rPr>
        <w:t>er Air</w:t>
      </w:r>
      <w:r w:rsidR="005646D1">
        <w:rPr>
          <w:rFonts w:cs="Times New Roman"/>
          <w:lang w:val="en-AU"/>
        </w:rPr>
        <w:t>,</w:t>
      </w:r>
      <w:r w:rsidRPr="00B92454">
        <w:rPr>
          <w:rFonts w:cs="Times New Roman"/>
          <w:lang w:val="en-AU"/>
        </w:rPr>
        <w:t xml:space="preserve"> Hispacold</w:t>
      </w:r>
      <w:r w:rsidR="00F60758">
        <w:rPr>
          <w:rFonts w:cs="Times New Roman"/>
          <w:lang w:val="en-AU"/>
        </w:rPr>
        <w:t xml:space="preserve">, </w:t>
      </w:r>
      <w:r w:rsidRPr="00B92454">
        <w:rPr>
          <w:rFonts w:cs="Times New Roman"/>
          <w:lang w:val="en-AU"/>
        </w:rPr>
        <w:t>Kingtech</w:t>
      </w:r>
      <w:r w:rsidR="005646D1">
        <w:rPr>
          <w:rFonts w:cs="Times New Roman"/>
          <w:lang w:val="en-AU"/>
        </w:rPr>
        <w:t>,</w:t>
      </w:r>
      <w:r w:rsidRPr="00B92454">
        <w:rPr>
          <w:rFonts w:cs="Times New Roman"/>
          <w:lang w:val="en-AU"/>
        </w:rPr>
        <w:t xml:space="preserve"> Konvekta; KT</w:t>
      </w:r>
      <w:r w:rsidR="005646D1">
        <w:rPr>
          <w:rFonts w:cs="Times New Roman"/>
          <w:lang w:val="en-AU"/>
        </w:rPr>
        <w:t>,</w:t>
      </w:r>
      <w:r w:rsidRPr="00B92454">
        <w:rPr>
          <w:rFonts w:cs="Times New Roman"/>
          <w:lang w:val="en-AU"/>
        </w:rPr>
        <w:t xml:space="preserve"> Lou Air</w:t>
      </w:r>
      <w:r w:rsidR="005646D1">
        <w:rPr>
          <w:rFonts w:cs="Times New Roman"/>
          <w:lang w:val="en-AU"/>
        </w:rPr>
        <w:t xml:space="preserve">, </w:t>
      </w:r>
      <w:r w:rsidRPr="00B92454">
        <w:rPr>
          <w:rFonts w:cs="Times New Roman"/>
          <w:lang w:val="en-AU"/>
        </w:rPr>
        <w:t>MCC</w:t>
      </w:r>
      <w:r w:rsidR="005646D1">
        <w:rPr>
          <w:rFonts w:cs="Times New Roman"/>
          <w:lang w:val="en-AU"/>
        </w:rPr>
        <w:t>,</w:t>
      </w:r>
      <w:r w:rsidRPr="00B92454">
        <w:rPr>
          <w:rFonts w:cs="Times New Roman"/>
          <w:lang w:val="en-AU"/>
        </w:rPr>
        <w:t xml:space="preserve"> Spheros</w:t>
      </w:r>
      <w:r w:rsidR="005646D1">
        <w:rPr>
          <w:rFonts w:cs="Times New Roman"/>
          <w:lang w:val="en-AU"/>
        </w:rPr>
        <w:t>,</w:t>
      </w:r>
      <w:r w:rsidRPr="00B92454">
        <w:rPr>
          <w:rFonts w:cs="Times New Roman"/>
          <w:lang w:val="en-AU"/>
        </w:rPr>
        <w:t xml:space="preserve"> Sutrak</w:t>
      </w:r>
      <w:r w:rsidR="005646D1">
        <w:rPr>
          <w:rFonts w:cs="Times New Roman"/>
          <w:lang w:val="en-AU"/>
        </w:rPr>
        <w:t>,</w:t>
      </w:r>
      <w:r w:rsidRPr="00B92454">
        <w:rPr>
          <w:rFonts w:cs="Times New Roman"/>
          <w:lang w:val="en-AU"/>
        </w:rPr>
        <w:t xml:space="preserve"> Tracs</w:t>
      </w:r>
      <w:r w:rsidR="005646D1">
        <w:rPr>
          <w:rFonts w:cs="Times New Roman"/>
          <w:lang w:val="en-AU"/>
        </w:rPr>
        <w:t>,</w:t>
      </w:r>
      <w:r w:rsidRPr="00B92454">
        <w:rPr>
          <w:rFonts w:cs="Times New Roman"/>
          <w:lang w:val="en-AU"/>
        </w:rPr>
        <w:t xml:space="preserve"> and Yutong.</w:t>
      </w:r>
    </w:p>
    <w:p w14:paraId="77993F5A" w14:textId="77777777" w:rsidR="001B2302" w:rsidRDefault="001B2302" w:rsidP="001B2302">
      <w:pPr>
        <w:rPr>
          <w:rFonts w:cs="Times New Roman"/>
          <w:lang w:val="en-AU"/>
        </w:rPr>
      </w:pPr>
      <w:r w:rsidRPr="00CA4462">
        <w:rPr>
          <w:rFonts w:cs="Times New Roman"/>
          <w:lang w:val="en-AU"/>
        </w:rPr>
        <w:t>Bus and coach air conditioning</w:t>
      </w:r>
      <w:r>
        <w:rPr>
          <w:rFonts w:cs="Times New Roman"/>
          <w:lang w:val="en-AU"/>
        </w:rPr>
        <w:t xml:space="preserve"> systems are generally charged in Australia with around 65% containing HFC-134a and the balance HFC-407C. </w:t>
      </w:r>
    </w:p>
    <w:p w14:paraId="4D206597" w14:textId="078183EC" w:rsidR="001B2302" w:rsidRDefault="001B2302" w:rsidP="001B2302">
      <w:pPr>
        <w:rPr>
          <w:rFonts w:cs="Times New Roman"/>
          <w:lang w:val="en-AU"/>
        </w:rPr>
      </w:pPr>
      <w:r>
        <w:rPr>
          <w:rFonts w:cs="Times New Roman"/>
          <w:lang w:val="en-AU"/>
        </w:rPr>
        <w:t xml:space="preserve">Better data on bus manufacturing and the air conditioning systems employed has resulted in the average charge employed in the </w:t>
      </w:r>
      <w:r w:rsidR="00CC42A5">
        <w:rPr>
          <w:rFonts w:cs="Times New Roman"/>
          <w:lang w:val="en-AU"/>
        </w:rPr>
        <w:t xml:space="preserve">RAC </w:t>
      </w:r>
      <w:r>
        <w:rPr>
          <w:rFonts w:cs="Times New Roman"/>
          <w:lang w:val="en-AU"/>
        </w:rPr>
        <w:t xml:space="preserve">Stock </w:t>
      </w:r>
      <w:r w:rsidR="00CC42A5">
        <w:rPr>
          <w:rFonts w:cs="Times New Roman"/>
          <w:lang w:val="en-AU"/>
        </w:rPr>
        <w:t>m</w:t>
      </w:r>
      <w:r>
        <w:rPr>
          <w:rFonts w:cs="Times New Roman"/>
          <w:lang w:val="en-AU"/>
        </w:rPr>
        <w:t xml:space="preserve">odel being revised down from 9.0 kg in 2012 to 5.5 kg in 2016. </w:t>
      </w:r>
    </w:p>
    <w:p w14:paraId="614ED43D" w14:textId="5675B9A3" w:rsidR="005646D1" w:rsidRDefault="005646D1" w:rsidP="001B2302">
      <w:pPr>
        <w:rPr>
          <w:rFonts w:cs="Times New Roman"/>
          <w:lang w:val="en-AU"/>
        </w:rPr>
      </w:pPr>
    </w:p>
    <w:p w14:paraId="6EE64278" w14:textId="6FFB5BDA" w:rsidR="001B2302" w:rsidRPr="00857E6A" w:rsidRDefault="001B2302" w:rsidP="001B2302">
      <w:pPr>
        <w:spacing w:before="240"/>
        <w:rPr>
          <w:rFonts w:cs="Times New Roman"/>
          <w:b/>
          <w:lang w:val="en-AU"/>
        </w:rPr>
      </w:pPr>
      <w:r w:rsidRPr="00B92454">
        <w:rPr>
          <w:rFonts w:cs="Times New Roman"/>
          <w:b/>
          <w:lang w:val="en-AU"/>
        </w:rPr>
        <w:t xml:space="preserve">Rail </w:t>
      </w:r>
      <w:r w:rsidR="00A7009B">
        <w:rPr>
          <w:rFonts w:cs="Times New Roman"/>
          <w:b/>
          <w:lang w:val="en-AU"/>
        </w:rPr>
        <w:t>a</w:t>
      </w:r>
      <w:r w:rsidRPr="00B92454">
        <w:rPr>
          <w:rFonts w:cs="Times New Roman"/>
          <w:b/>
          <w:lang w:val="en-AU"/>
        </w:rPr>
        <w:t xml:space="preserve">ir </w:t>
      </w:r>
      <w:r w:rsidR="00A7009B">
        <w:rPr>
          <w:rFonts w:cs="Times New Roman"/>
          <w:b/>
          <w:lang w:val="en-AU"/>
        </w:rPr>
        <w:t>c</w:t>
      </w:r>
      <w:r w:rsidRPr="00B92454">
        <w:rPr>
          <w:rFonts w:cs="Times New Roman"/>
          <w:b/>
          <w:lang w:val="en-AU"/>
        </w:rPr>
        <w:t>onditioning</w:t>
      </w:r>
    </w:p>
    <w:p w14:paraId="1290F606" w14:textId="156D100D" w:rsidR="001B2302" w:rsidRPr="00B92454" w:rsidRDefault="001B2302" w:rsidP="001B2302">
      <w:pPr>
        <w:rPr>
          <w:rFonts w:cs="Times New Roman"/>
          <w:lang w:val="en-AU"/>
        </w:rPr>
      </w:pPr>
      <w:r w:rsidRPr="00B92454">
        <w:rPr>
          <w:rFonts w:cs="Times New Roman"/>
          <w:lang w:val="en-AU"/>
        </w:rPr>
        <w:t>The air conditioned rail fleet</w:t>
      </w:r>
      <w:r>
        <w:rPr>
          <w:rFonts w:cs="Times New Roman"/>
          <w:lang w:val="en-AU"/>
        </w:rPr>
        <w:t xml:space="preserve"> in Australia</w:t>
      </w:r>
      <w:r w:rsidRPr="00B92454">
        <w:rPr>
          <w:rFonts w:cs="Times New Roman"/>
          <w:lang w:val="en-AU"/>
        </w:rPr>
        <w:t xml:space="preserve"> comprises 2,050 locomotive</w:t>
      </w:r>
      <w:r>
        <w:rPr>
          <w:rFonts w:cs="Times New Roman"/>
          <w:lang w:val="en-AU"/>
        </w:rPr>
        <w:t>s and 5,430 passenger rail cars</w:t>
      </w:r>
      <w:r w:rsidRPr="00B92454">
        <w:rPr>
          <w:rFonts w:cs="Times New Roman"/>
          <w:lang w:val="en-AU"/>
        </w:rPr>
        <w:t>.</w:t>
      </w:r>
      <w:r>
        <w:rPr>
          <w:rFonts w:cs="Times New Roman"/>
          <w:lang w:val="en-AU"/>
        </w:rPr>
        <w:t xml:space="preserve"> Not all passenger rail cars are air conditioned, for instance in 2016 there were </w:t>
      </w:r>
      <w:r w:rsidRPr="00B92454">
        <w:rPr>
          <w:rFonts w:cs="Times New Roman"/>
          <w:lang w:val="en-AU"/>
        </w:rPr>
        <w:t>1</w:t>
      </w:r>
      <w:r>
        <w:rPr>
          <w:rFonts w:cs="Times New Roman"/>
          <w:lang w:val="en-AU"/>
        </w:rPr>
        <w:t>,619 passenger rail cars</w:t>
      </w:r>
      <w:r w:rsidRPr="00B92454">
        <w:rPr>
          <w:rFonts w:cs="Times New Roman"/>
          <w:lang w:val="en-AU"/>
        </w:rPr>
        <w:t xml:space="preserve"> in Sydney of which 1</w:t>
      </w:r>
      <w:r>
        <w:rPr>
          <w:rFonts w:cs="Times New Roman"/>
          <w:lang w:val="en-AU"/>
        </w:rPr>
        <w:t>,</w:t>
      </w:r>
      <w:r w:rsidRPr="00B92454">
        <w:rPr>
          <w:rFonts w:cs="Times New Roman"/>
          <w:lang w:val="en-AU"/>
        </w:rPr>
        <w:t xml:space="preserve">427 </w:t>
      </w:r>
      <w:r>
        <w:rPr>
          <w:rFonts w:cs="Times New Roman"/>
          <w:lang w:val="en-AU"/>
        </w:rPr>
        <w:t xml:space="preserve">were </w:t>
      </w:r>
      <w:r w:rsidRPr="00B92454">
        <w:rPr>
          <w:rFonts w:cs="Times New Roman"/>
          <w:lang w:val="en-AU"/>
        </w:rPr>
        <w:t>air conditioned.</w:t>
      </w:r>
    </w:p>
    <w:p w14:paraId="5E3B048B" w14:textId="1D105335" w:rsidR="001B2302" w:rsidRPr="00B92454" w:rsidRDefault="001B2302" w:rsidP="001B2302">
      <w:pPr>
        <w:rPr>
          <w:rFonts w:cs="Times New Roman"/>
          <w:lang w:val="en-AU"/>
        </w:rPr>
      </w:pPr>
      <w:r w:rsidRPr="00B92454">
        <w:rPr>
          <w:rFonts w:cs="Times New Roman"/>
          <w:lang w:val="en-AU"/>
        </w:rPr>
        <w:t xml:space="preserve">All locomotives </w:t>
      </w:r>
      <w:r>
        <w:rPr>
          <w:rFonts w:cs="Times New Roman"/>
          <w:lang w:val="en-AU"/>
        </w:rPr>
        <w:t xml:space="preserve">on Australian railway networks </w:t>
      </w:r>
      <w:r w:rsidRPr="00B92454">
        <w:rPr>
          <w:rFonts w:cs="Times New Roman"/>
          <w:lang w:val="en-AU"/>
        </w:rPr>
        <w:t>are air conditioned</w:t>
      </w:r>
      <w:r>
        <w:rPr>
          <w:rFonts w:cs="Times New Roman"/>
          <w:lang w:val="en-AU"/>
        </w:rPr>
        <w:t xml:space="preserve"> for the comfort and security of drivers,</w:t>
      </w:r>
      <w:r w:rsidRPr="00B92454">
        <w:rPr>
          <w:rFonts w:cs="Times New Roman"/>
          <w:lang w:val="en-AU"/>
        </w:rPr>
        <w:t xml:space="preserve"> and typically contain 3 to 4 kg of HFC-134a. Locomotive </w:t>
      </w:r>
      <w:r>
        <w:rPr>
          <w:rFonts w:cs="Times New Roman"/>
          <w:lang w:val="en-AU"/>
        </w:rPr>
        <w:t xml:space="preserve">air conditioning systems </w:t>
      </w:r>
      <w:r w:rsidRPr="00B92454">
        <w:rPr>
          <w:rFonts w:cs="Times New Roman"/>
          <w:lang w:val="en-AU"/>
        </w:rPr>
        <w:t xml:space="preserve">use HFC-134a </w:t>
      </w:r>
      <w:r>
        <w:rPr>
          <w:rFonts w:cs="Times New Roman"/>
          <w:lang w:val="en-AU"/>
        </w:rPr>
        <w:t>and are generally specified to cope with higher ambient temperatures</w:t>
      </w:r>
      <w:r w:rsidRPr="00B92454">
        <w:rPr>
          <w:rFonts w:cs="Times New Roman"/>
          <w:lang w:val="en-AU"/>
        </w:rPr>
        <w:t xml:space="preserve"> as they may have to endure temperatures up to 50</w:t>
      </w:r>
      <w:r w:rsidRPr="00B92454">
        <w:rPr>
          <w:rFonts w:cs="Times New Roman"/>
          <w:vertAlign w:val="superscript"/>
          <w:lang w:val="en-AU"/>
        </w:rPr>
        <w:t>o</w:t>
      </w:r>
      <w:r w:rsidRPr="00B92454">
        <w:rPr>
          <w:rFonts w:cs="Times New Roman"/>
          <w:lang w:val="en-AU"/>
        </w:rPr>
        <w:t xml:space="preserve">C </w:t>
      </w:r>
      <w:r>
        <w:rPr>
          <w:rFonts w:cs="Times New Roman"/>
          <w:lang w:val="en-AU"/>
        </w:rPr>
        <w:t>on various sections of the trans-</w:t>
      </w:r>
      <w:r w:rsidRPr="00B92454">
        <w:rPr>
          <w:rFonts w:cs="Times New Roman"/>
          <w:lang w:val="en-AU"/>
        </w:rPr>
        <w:t>Australia</w:t>
      </w:r>
      <w:r>
        <w:rPr>
          <w:rFonts w:cs="Times New Roman"/>
          <w:lang w:val="en-AU"/>
        </w:rPr>
        <w:t xml:space="preserve"> network</w:t>
      </w:r>
      <w:r w:rsidRPr="00B92454">
        <w:rPr>
          <w:rFonts w:cs="Times New Roman"/>
          <w:lang w:val="en-AU"/>
        </w:rPr>
        <w:t xml:space="preserve">.  </w:t>
      </w:r>
    </w:p>
    <w:p w14:paraId="192A2376" w14:textId="75805C61" w:rsidR="001B2302" w:rsidRDefault="001B2302" w:rsidP="001B2302">
      <w:pPr>
        <w:rPr>
          <w:rFonts w:cs="Times New Roman"/>
          <w:lang w:val="en-AU"/>
        </w:rPr>
      </w:pPr>
      <w:r w:rsidRPr="00B92454">
        <w:rPr>
          <w:rFonts w:cs="Times New Roman"/>
          <w:lang w:val="en-AU"/>
        </w:rPr>
        <w:t>Passenger rail</w:t>
      </w:r>
      <w:r>
        <w:rPr>
          <w:rFonts w:cs="Times New Roman"/>
          <w:lang w:val="en-AU"/>
        </w:rPr>
        <w:t>car</w:t>
      </w:r>
      <w:r w:rsidRPr="00B92454">
        <w:rPr>
          <w:rFonts w:cs="Times New Roman"/>
          <w:lang w:val="en-AU"/>
        </w:rPr>
        <w:t xml:space="preserve"> air conditioning units </w:t>
      </w:r>
      <w:r>
        <w:rPr>
          <w:rFonts w:cs="Times New Roman"/>
          <w:lang w:val="en-AU"/>
        </w:rPr>
        <w:t xml:space="preserve">are generally much larger than those required for locomotive </w:t>
      </w:r>
      <w:r w:rsidR="009F5EAE">
        <w:rPr>
          <w:rFonts w:cs="Times New Roman"/>
          <w:lang w:val="en-AU"/>
        </w:rPr>
        <w:t>drivers’</w:t>
      </w:r>
      <w:r>
        <w:rPr>
          <w:rFonts w:cs="Times New Roman"/>
          <w:lang w:val="en-AU"/>
        </w:rPr>
        <w:t xml:space="preserve"> cabins and at 40 kWr capacity will </w:t>
      </w:r>
      <w:r w:rsidRPr="00B92454">
        <w:rPr>
          <w:rFonts w:cs="Times New Roman"/>
          <w:lang w:val="en-AU"/>
        </w:rPr>
        <w:t>typically contain much larger char</w:t>
      </w:r>
      <w:r>
        <w:rPr>
          <w:rFonts w:cs="Times New Roman"/>
          <w:lang w:val="en-AU"/>
        </w:rPr>
        <w:t>ges of around 15 kg of HFC-407C</w:t>
      </w:r>
      <w:r w:rsidRPr="00B92454">
        <w:rPr>
          <w:rFonts w:cs="Times New Roman"/>
          <w:lang w:val="en-AU"/>
        </w:rPr>
        <w:t>.</w:t>
      </w:r>
    </w:p>
    <w:p w14:paraId="009F2CFA" w14:textId="77777777" w:rsidR="001B2302" w:rsidRPr="00B92454" w:rsidRDefault="001B2302" w:rsidP="001B2302">
      <w:pPr>
        <w:rPr>
          <w:rFonts w:cs="Times New Roman"/>
          <w:lang w:val="en-AU"/>
        </w:rPr>
      </w:pPr>
      <w:r>
        <w:rPr>
          <w:rFonts w:cs="Times New Roman"/>
          <w:lang w:val="en-AU"/>
        </w:rPr>
        <w:t>Rail air conditioning units are imported to Australia as pre-charged equipment typically as part of a complete train set. Replacement MAC units are imported separately.</w:t>
      </w:r>
    </w:p>
    <w:p w14:paraId="758D34C1" w14:textId="161CD656" w:rsidR="001B2302" w:rsidRPr="00B92454" w:rsidRDefault="001B2302" w:rsidP="001B2302">
      <w:pPr>
        <w:rPr>
          <w:rFonts w:cs="Times New Roman"/>
          <w:lang w:val="en-AU"/>
        </w:rPr>
      </w:pPr>
      <w:r>
        <w:rPr>
          <w:rFonts w:cs="Times New Roman"/>
          <w:lang w:val="en-AU"/>
        </w:rPr>
        <w:t xml:space="preserve">While Adelaide has introduced a new light rail/tram network to the city in the last decade, of all the State capitals only Melbourne has a significant tram network. </w:t>
      </w:r>
      <w:r w:rsidRPr="00B92454">
        <w:rPr>
          <w:rFonts w:cs="Times New Roman"/>
          <w:lang w:val="en-AU"/>
        </w:rPr>
        <w:t xml:space="preserve">There are 216 trams </w:t>
      </w:r>
      <w:r>
        <w:rPr>
          <w:rFonts w:cs="Times New Roman"/>
          <w:lang w:val="en-AU"/>
        </w:rPr>
        <w:t xml:space="preserve">in Melbourne </w:t>
      </w:r>
      <w:r w:rsidRPr="00B92454">
        <w:rPr>
          <w:rFonts w:cs="Times New Roman"/>
          <w:lang w:val="en-AU"/>
        </w:rPr>
        <w:t>t</w:t>
      </w:r>
      <w:r>
        <w:rPr>
          <w:rFonts w:cs="Times New Roman"/>
          <w:lang w:val="en-AU"/>
        </w:rPr>
        <w:t xml:space="preserve">hat have no air conditioning other than in the driver’s cabin. Many of the operating trams are now decades old </w:t>
      </w:r>
      <w:r w:rsidR="006A2C7C">
        <w:rPr>
          <w:rFonts w:cs="Times New Roman"/>
          <w:lang w:val="en-AU"/>
        </w:rPr>
        <w:t xml:space="preserve">and </w:t>
      </w:r>
      <w:r>
        <w:rPr>
          <w:rFonts w:cs="Times New Roman"/>
          <w:lang w:val="en-AU"/>
        </w:rPr>
        <w:t xml:space="preserve">will not be </w:t>
      </w:r>
      <w:r w:rsidRPr="00B92454">
        <w:rPr>
          <w:rFonts w:cs="Times New Roman"/>
          <w:lang w:val="en-AU"/>
        </w:rPr>
        <w:t xml:space="preserve">retrofitted </w:t>
      </w:r>
      <w:r>
        <w:rPr>
          <w:rFonts w:cs="Times New Roman"/>
          <w:lang w:val="en-AU"/>
        </w:rPr>
        <w:t xml:space="preserve">with MAC </w:t>
      </w:r>
      <w:r w:rsidRPr="00B92454">
        <w:rPr>
          <w:rFonts w:cs="Times New Roman"/>
          <w:lang w:val="en-AU"/>
        </w:rPr>
        <w:t>be</w:t>
      </w:r>
      <w:r>
        <w:rPr>
          <w:rFonts w:cs="Times New Roman"/>
          <w:lang w:val="en-AU"/>
        </w:rPr>
        <w:t>cause of the high cost. Instead the network operator,</w:t>
      </w:r>
      <w:r w:rsidRPr="00B92454">
        <w:rPr>
          <w:rFonts w:cs="Times New Roman"/>
          <w:lang w:val="en-AU"/>
        </w:rPr>
        <w:t xml:space="preserve"> Yarra Trams </w:t>
      </w:r>
      <w:r>
        <w:rPr>
          <w:rFonts w:cs="Times New Roman"/>
          <w:lang w:val="en-AU"/>
        </w:rPr>
        <w:t>is gradually rolling out a new supersized E-Class tram, replacing</w:t>
      </w:r>
      <w:r w:rsidRPr="00B92454">
        <w:rPr>
          <w:rFonts w:cs="Times New Roman"/>
          <w:lang w:val="en-AU"/>
        </w:rPr>
        <w:t xml:space="preserve"> the old</w:t>
      </w:r>
      <w:r>
        <w:rPr>
          <w:rFonts w:cs="Times New Roman"/>
          <w:lang w:val="en-AU"/>
        </w:rPr>
        <w:t>est</w:t>
      </w:r>
      <w:r w:rsidRPr="00B92454">
        <w:rPr>
          <w:rFonts w:cs="Times New Roman"/>
          <w:lang w:val="en-AU"/>
        </w:rPr>
        <w:t xml:space="preserve"> </w:t>
      </w:r>
      <w:r>
        <w:rPr>
          <w:rFonts w:cs="Times New Roman"/>
          <w:lang w:val="en-AU"/>
        </w:rPr>
        <w:t xml:space="preserve">trams in its fleet as it does, </w:t>
      </w:r>
      <w:r w:rsidRPr="00B92454">
        <w:rPr>
          <w:rFonts w:cs="Times New Roman"/>
          <w:lang w:val="en-AU"/>
        </w:rPr>
        <w:t>and redeploy</w:t>
      </w:r>
      <w:r>
        <w:rPr>
          <w:rFonts w:cs="Times New Roman"/>
          <w:lang w:val="en-AU"/>
        </w:rPr>
        <w:t>ing</w:t>
      </w:r>
      <w:r w:rsidRPr="00B92454">
        <w:rPr>
          <w:rFonts w:cs="Times New Roman"/>
          <w:lang w:val="en-AU"/>
        </w:rPr>
        <w:t xml:space="preserve"> air conditioned trams across the </w:t>
      </w:r>
      <w:r>
        <w:rPr>
          <w:rFonts w:cs="Times New Roman"/>
          <w:lang w:val="en-AU"/>
        </w:rPr>
        <w:t xml:space="preserve">longer routes on its </w:t>
      </w:r>
      <w:r w:rsidRPr="00B92454">
        <w:rPr>
          <w:rFonts w:cs="Times New Roman"/>
          <w:lang w:val="en-AU"/>
        </w:rPr>
        <w:t>network.</w:t>
      </w:r>
    </w:p>
    <w:p w14:paraId="08B79B10" w14:textId="77777777" w:rsidR="001B2302" w:rsidRPr="00B92454" w:rsidRDefault="001B2302" w:rsidP="001B2302">
      <w:pPr>
        <w:rPr>
          <w:rFonts w:cs="Times New Roman"/>
          <w:lang w:val="en-AU"/>
        </w:rPr>
      </w:pPr>
      <w:r w:rsidRPr="00B92454">
        <w:rPr>
          <w:rFonts w:cs="Times New Roman"/>
          <w:lang w:val="en-AU"/>
        </w:rPr>
        <w:t xml:space="preserve">The key market participants </w:t>
      </w:r>
      <w:r>
        <w:rPr>
          <w:rFonts w:cs="Times New Roman"/>
          <w:lang w:val="en-AU"/>
        </w:rPr>
        <w:t xml:space="preserve">in the service of MAC in locomotives, rail and trams </w:t>
      </w:r>
      <w:r w:rsidRPr="00B92454">
        <w:rPr>
          <w:rFonts w:cs="Times New Roman"/>
          <w:lang w:val="en-AU"/>
        </w:rPr>
        <w:t>include Sigma Coachair Group (subsidiary of Knorr Bramsse); Mitsubishi Electric (Transportation &amp; Heavy Engineering Division); Faiveley Transport, and to a lesser extent Noska Kieser.</w:t>
      </w:r>
    </w:p>
    <w:p w14:paraId="76901628" w14:textId="77777777" w:rsidR="000F5291" w:rsidRDefault="000F5291">
      <w:pPr>
        <w:spacing w:before="0"/>
        <w:jc w:val="left"/>
        <w:rPr>
          <w:rFonts w:cs="Times New Roman"/>
          <w:b/>
          <w:lang w:val="en-AU"/>
        </w:rPr>
      </w:pPr>
      <w:r>
        <w:rPr>
          <w:rFonts w:cs="Times New Roman"/>
          <w:b/>
          <w:lang w:val="en-AU"/>
        </w:rPr>
        <w:br w:type="page"/>
      </w:r>
    </w:p>
    <w:p w14:paraId="365DA204" w14:textId="44511B46" w:rsidR="001B2302" w:rsidRPr="00731996" w:rsidRDefault="001B2302" w:rsidP="002A3697">
      <w:pPr>
        <w:spacing w:before="240"/>
        <w:rPr>
          <w:rFonts w:cs="Times New Roman"/>
          <w:b/>
          <w:lang w:val="en-AU"/>
        </w:rPr>
      </w:pPr>
      <w:r w:rsidRPr="00731996">
        <w:rPr>
          <w:rFonts w:cs="Times New Roman"/>
          <w:b/>
          <w:lang w:val="en-AU"/>
        </w:rPr>
        <w:lastRenderedPageBreak/>
        <w:t xml:space="preserve">Recreational </w:t>
      </w:r>
      <w:r w:rsidR="00A7009B">
        <w:rPr>
          <w:rFonts w:cs="Times New Roman"/>
          <w:b/>
          <w:lang w:val="en-AU"/>
        </w:rPr>
        <w:t>v</w:t>
      </w:r>
      <w:r w:rsidRPr="00731996">
        <w:rPr>
          <w:rFonts w:cs="Times New Roman"/>
          <w:b/>
          <w:lang w:val="en-AU"/>
        </w:rPr>
        <w:t xml:space="preserve">ehicles and </w:t>
      </w:r>
      <w:r w:rsidR="00A7009B">
        <w:rPr>
          <w:rFonts w:cs="Times New Roman"/>
          <w:b/>
          <w:lang w:val="en-AU"/>
        </w:rPr>
        <w:t>c</w:t>
      </w:r>
      <w:r w:rsidRPr="00731996">
        <w:rPr>
          <w:rFonts w:cs="Times New Roman"/>
          <w:b/>
          <w:lang w:val="en-AU"/>
        </w:rPr>
        <w:t>aravans</w:t>
      </w:r>
    </w:p>
    <w:p w14:paraId="414481BF" w14:textId="77777777" w:rsidR="00295ECC" w:rsidRDefault="001B2302" w:rsidP="001B2302">
      <w:pPr>
        <w:rPr>
          <w:szCs w:val="22"/>
        </w:rPr>
      </w:pPr>
      <w:r>
        <w:rPr>
          <w:szCs w:val="22"/>
        </w:rPr>
        <w:t>Since 2012 the rapid growth in caravan manufacturers in Australia has received a great deal of press, although in 2012 it had not yet been widely noted</w:t>
      </w:r>
      <w:r w:rsidR="00295ECC">
        <w:rPr>
          <w:szCs w:val="22"/>
        </w:rPr>
        <w:t>,</w:t>
      </w:r>
      <w:r>
        <w:rPr>
          <w:szCs w:val="22"/>
        </w:rPr>
        <w:t xml:space="preserve"> and research for CHF2 missed this growing product category and active market. </w:t>
      </w:r>
    </w:p>
    <w:p w14:paraId="411D39BC" w14:textId="743A9F52" w:rsidR="001B2302" w:rsidRDefault="001B2302" w:rsidP="001B2302">
      <w:pPr>
        <w:rPr>
          <w:rFonts w:cs="Times New Roman"/>
          <w:lang w:val="en-AU"/>
        </w:rPr>
      </w:pPr>
      <w:r>
        <w:rPr>
          <w:szCs w:val="22"/>
        </w:rPr>
        <w:t>New investment has flowed into this now significant Australian manufacturing sector with the Caravan Industry Association of Australia</w:t>
      </w:r>
      <w:r w:rsidR="00460B1E">
        <w:rPr>
          <w:szCs w:val="22"/>
        </w:rPr>
        <w:t>,</w:t>
      </w:r>
      <w:r>
        <w:rPr>
          <w:szCs w:val="22"/>
        </w:rPr>
        <w:t xml:space="preserve"> and Tourism Australia</w:t>
      </w:r>
      <w:r w:rsidR="00460B1E">
        <w:rPr>
          <w:szCs w:val="22"/>
        </w:rPr>
        <w:t>,</w:t>
      </w:r>
      <w:r>
        <w:rPr>
          <w:szCs w:val="22"/>
        </w:rPr>
        <w:t xml:space="preserve"> reporting the fastest rise in caravan and camping trips in 2016 since data began to be collected</w:t>
      </w:r>
      <w:r w:rsidR="00295ECC">
        <w:rPr>
          <w:szCs w:val="22"/>
        </w:rPr>
        <w:t>,</w:t>
      </w:r>
      <w:r>
        <w:rPr>
          <w:szCs w:val="22"/>
        </w:rPr>
        <w:t xml:space="preserve"> with sales</w:t>
      </w:r>
      <w:r w:rsidR="00295ECC">
        <w:rPr>
          <w:szCs w:val="22"/>
        </w:rPr>
        <w:t xml:space="preserve"> value</w:t>
      </w:r>
      <w:r>
        <w:rPr>
          <w:szCs w:val="22"/>
        </w:rPr>
        <w:t xml:space="preserve"> of Australian made caravans and RVs topping $1.8 billion in 2016. </w:t>
      </w:r>
    </w:p>
    <w:p w14:paraId="4C11A64C" w14:textId="7F3395FD" w:rsidR="001B2302" w:rsidRDefault="001B2302" w:rsidP="001B2302">
      <w:pPr>
        <w:rPr>
          <w:szCs w:val="22"/>
        </w:rPr>
      </w:pPr>
      <w:r>
        <w:rPr>
          <w:szCs w:val="22"/>
        </w:rPr>
        <w:t xml:space="preserve">As a </w:t>
      </w:r>
      <w:r w:rsidR="009F5EAE">
        <w:rPr>
          <w:szCs w:val="22"/>
        </w:rPr>
        <w:t>result,</w:t>
      </w:r>
      <w:r>
        <w:rPr>
          <w:szCs w:val="22"/>
        </w:rPr>
        <w:t xml:space="preserve"> a new product category, ‘MAC2-4: RV and caravan’ has been added to the MAC class in the </w:t>
      </w:r>
      <w:r w:rsidR="000951E5">
        <w:rPr>
          <w:szCs w:val="22"/>
        </w:rPr>
        <w:t>RAC Stock model</w:t>
      </w:r>
      <w:r>
        <w:rPr>
          <w:szCs w:val="22"/>
        </w:rPr>
        <w:t xml:space="preserve">. Caravan manufacturing in Australia has been one of the rapid growth manufacturing businesses driven by innovation in manufacturing, and economic and demographic changes that has seen larger numbers of Australians and international visitors caravanning around the country, some for long periods of the year. </w:t>
      </w:r>
    </w:p>
    <w:p w14:paraId="5C259124" w14:textId="29F872DB" w:rsidR="001B2302" w:rsidRDefault="001B2302" w:rsidP="001B2302">
      <w:pPr>
        <w:rPr>
          <w:szCs w:val="22"/>
        </w:rPr>
      </w:pPr>
      <w:r>
        <w:rPr>
          <w:szCs w:val="22"/>
        </w:rPr>
        <w:t>The Caravan Industry Association of Australia</w:t>
      </w:r>
      <w:r>
        <w:rPr>
          <w:rStyle w:val="FootnoteReference"/>
          <w:szCs w:val="22"/>
        </w:rPr>
        <w:footnoteReference w:id="20"/>
      </w:r>
      <w:r>
        <w:rPr>
          <w:szCs w:val="22"/>
        </w:rPr>
        <w:t xml:space="preserve"> reports that caravan registrations have soared by more than 30% since 2011 to more than 554,000</w:t>
      </w:r>
      <w:r w:rsidR="00DC2117">
        <w:rPr>
          <w:szCs w:val="22"/>
        </w:rPr>
        <w:t>.</w:t>
      </w:r>
      <w:r>
        <w:rPr>
          <w:szCs w:val="22"/>
        </w:rPr>
        <w:t xml:space="preserve"> </w:t>
      </w:r>
      <w:r w:rsidR="00DC2117">
        <w:rPr>
          <w:szCs w:val="22"/>
        </w:rPr>
        <w:t>C</w:t>
      </w:r>
      <w:r>
        <w:rPr>
          <w:szCs w:val="22"/>
        </w:rPr>
        <w:t xml:space="preserve">ampervan registrations climbed 20% in the same period reaching nearly 61,000 by January 2016. Of the more than 30,000 new registrations of both caravans and campervans in the previous year, more than 21,000 were manufactured in Australia. Anecdotal reports from manufacturers </w:t>
      </w:r>
      <w:r w:rsidR="00FE74F2">
        <w:rPr>
          <w:szCs w:val="22"/>
        </w:rPr>
        <w:t>point</w:t>
      </w:r>
      <w:r>
        <w:rPr>
          <w:szCs w:val="22"/>
        </w:rPr>
        <w:t xml:space="preserve"> to new caravan </w:t>
      </w:r>
      <w:r w:rsidR="00295ECC">
        <w:rPr>
          <w:szCs w:val="22"/>
        </w:rPr>
        <w:t>buyers</w:t>
      </w:r>
      <w:r>
        <w:rPr>
          <w:szCs w:val="22"/>
        </w:rPr>
        <w:t xml:space="preserve"> generally being older, and having a preference for higher end vehicles, which will include air conditioning.</w:t>
      </w:r>
    </w:p>
    <w:p w14:paraId="283E029F" w14:textId="65853FB0" w:rsidR="001B2302" w:rsidRDefault="001B2302" w:rsidP="001B2302">
      <w:pPr>
        <w:rPr>
          <w:rFonts w:cs="Times New Roman"/>
          <w:lang w:val="en-AU"/>
        </w:rPr>
      </w:pPr>
      <w:r>
        <w:rPr>
          <w:rFonts w:cs="Times New Roman"/>
          <w:lang w:val="en-AU"/>
        </w:rPr>
        <w:t xml:space="preserve">The </w:t>
      </w:r>
      <w:r w:rsidR="000951E5">
        <w:rPr>
          <w:rFonts w:cs="Times New Roman"/>
          <w:lang w:val="en-AU"/>
        </w:rPr>
        <w:t>RAC Stock model</w:t>
      </w:r>
      <w:r>
        <w:rPr>
          <w:rFonts w:cs="Times New Roman"/>
          <w:lang w:val="en-AU"/>
        </w:rPr>
        <w:t xml:space="preserve"> assumes that 100% of RVs and two thirds of caravans have air conditioning equating to a fleet of some 452,000 RVs and caravans </w:t>
      </w:r>
      <w:r w:rsidRPr="009D04AE">
        <w:rPr>
          <w:rFonts w:cs="Times New Roman"/>
          <w:lang w:val="en-AU"/>
        </w:rPr>
        <w:t>with an average charge of 750 grams</w:t>
      </w:r>
      <w:r>
        <w:rPr>
          <w:rFonts w:cs="Times New Roman"/>
          <w:lang w:val="en-AU"/>
        </w:rPr>
        <w:t xml:space="preserve">. The assumptions on the proportion of air conditioning was based on a survey conducted on the Hume </w:t>
      </w:r>
      <w:r w:rsidR="005759B7">
        <w:rPr>
          <w:rFonts w:cs="Times New Roman"/>
          <w:lang w:val="en-AU"/>
        </w:rPr>
        <w:t>H</w:t>
      </w:r>
      <w:r>
        <w:rPr>
          <w:rFonts w:cs="Times New Roman"/>
          <w:lang w:val="en-AU"/>
        </w:rPr>
        <w:t>ighway in Victoria over a 5 hour period that counted 12 RVs and 53 caravans followed by a review of second hand vehicles for sale.</w:t>
      </w:r>
    </w:p>
    <w:p w14:paraId="464B9C42" w14:textId="32AF6B2D" w:rsidR="001B2302" w:rsidRDefault="001B2302" w:rsidP="002A04A3">
      <w:pPr>
        <w:rPr>
          <w:szCs w:val="22"/>
        </w:rPr>
      </w:pPr>
      <w:r>
        <w:rPr>
          <w:rFonts w:cs="Times New Roman"/>
          <w:lang w:val="en-AU"/>
        </w:rPr>
        <w:t xml:space="preserve">Analysis of pre-charged imports of sealed units destined for caravan manufacturers in Australia </w:t>
      </w:r>
      <w:r w:rsidR="004E3300">
        <w:rPr>
          <w:rFonts w:cs="Times New Roman"/>
          <w:lang w:val="en-AU"/>
        </w:rPr>
        <w:t>shows</w:t>
      </w:r>
      <w:r>
        <w:rPr>
          <w:rFonts w:cs="Times New Roman"/>
          <w:lang w:val="en-AU"/>
        </w:rPr>
        <w:t xml:space="preserve"> the main refrigerant employed is HFC-407C (~90%) and some HFC-410A (</w:t>
      </w:r>
      <w:r w:rsidRPr="003C4E29">
        <w:rPr>
          <w:rFonts w:cs="Times New Roman"/>
          <w:lang w:val="en-AU"/>
        </w:rPr>
        <w:t>DoEE 2017</w:t>
      </w:r>
      <w:r>
        <w:rPr>
          <w:rFonts w:cs="Times New Roman"/>
          <w:lang w:val="en-AU"/>
        </w:rPr>
        <w:t>).</w:t>
      </w:r>
    </w:p>
    <w:p w14:paraId="5DB65CA0" w14:textId="77777777" w:rsidR="001B2302" w:rsidRDefault="001B2302" w:rsidP="001B2302">
      <w:pPr>
        <w:rPr>
          <w:rFonts w:cs="Times New Roman"/>
          <w:lang w:val="en-AU"/>
        </w:rPr>
      </w:pPr>
      <w:bookmarkStart w:id="33" w:name="_Hlk508550897"/>
    </w:p>
    <w:p w14:paraId="32B80772" w14:textId="3B4EDBD1" w:rsidR="00D374E7" w:rsidRPr="00311821" w:rsidRDefault="00311821" w:rsidP="00311821">
      <w:pPr>
        <w:pStyle w:val="Caption"/>
        <w:keepNext/>
        <w:rPr>
          <w:szCs w:val="22"/>
        </w:rPr>
      </w:pPr>
      <w:bookmarkStart w:id="34" w:name="_Toc525141400"/>
      <w:r w:rsidRPr="00311821">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11</w:t>
      </w:r>
      <w:r w:rsidR="009D6843">
        <w:rPr>
          <w:noProof/>
        </w:rPr>
        <w:fldChar w:fldCharType="end"/>
      </w:r>
      <w:r w:rsidRPr="00311821">
        <w:t xml:space="preserve">: </w:t>
      </w:r>
      <w:r w:rsidR="00D374E7" w:rsidRPr="00311821">
        <w:rPr>
          <w:szCs w:val="22"/>
        </w:rPr>
        <w:t>Mobile air conditioning main metrics: 2012 versus 2016.</w:t>
      </w:r>
      <w:bookmarkEnd w:id="34"/>
    </w:p>
    <w:tbl>
      <w:tblPr>
        <w:tblStyle w:val="TableGrid"/>
        <w:tblW w:w="0" w:type="auto"/>
        <w:tblInd w:w="-5" w:type="dxa"/>
        <w:tblLook w:val="04A0" w:firstRow="1" w:lastRow="0" w:firstColumn="1" w:lastColumn="0" w:noHBand="0" w:noVBand="1"/>
      </w:tblPr>
      <w:tblGrid>
        <w:gridCol w:w="3300"/>
        <w:gridCol w:w="2079"/>
        <w:gridCol w:w="2051"/>
        <w:gridCol w:w="2062"/>
      </w:tblGrid>
      <w:tr w:rsidR="00D374E7" w14:paraId="7B2F60EE" w14:textId="77777777" w:rsidTr="000F5291">
        <w:trPr>
          <w:trHeight w:val="567"/>
          <w:tblHeader/>
        </w:trPr>
        <w:tc>
          <w:tcPr>
            <w:tcW w:w="3300" w:type="dxa"/>
            <w:shd w:val="clear" w:color="auto" w:fill="B6DDE8" w:themeFill="accent5" w:themeFillTint="66"/>
            <w:vAlign w:val="center"/>
          </w:tcPr>
          <w:p w14:paraId="59027502" w14:textId="77777777" w:rsidR="00D374E7" w:rsidRPr="00EC0FE7" w:rsidRDefault="00D374E7" w:rsidP="00CD73A6">
            <w:pPr>
              <w:tabs>
                <w:tab w:val="left" w:pos="513"/>
              </w:tabs>
              <w:spacing w:after="120"/>
              <w:jc w:val="left"/>
              <w:rPr>
                <w:szCs w:val="22"/>
              </w:rPr>
            </w:pPr>
            <w:r w:rsidRPr="00EC0FE7">
              <w:rPr>
                <w:szCs w:val="22"/>
              </w:rPr>
              <w:t>Metric</w:t>
            </w:r>
          </w:p>
        </w:tc>
        <w:tc>
          <w:tcPr>
            <w:tcW w:w="2079" w:type="dxa"/>
            <w:shd w:val="clear" w:color="auto" w:fill="B6DDE8" w:themeFill="accent5" w:themeFillTint="66"/>
            <w:vAlign w:val="center"/>
          </w:tcPr>
          <w:p w14:paraId="4E4FAA56" w14:textId="77777777" w:rsidR="00D374E7" w:rsidRPr="00EC0FE7" w:rsidRDefault="00D374E7" w:rsidP="00CD73A6">
            <w:pPr>
              <w:spacing w:after="120"/>
              <w:jc w:val="center"/>
              <w:rPr>
                <w:szCs w:val="22"/>
              </w:rPr>
            </w:pPr>
            <w:r w:rsidRPr="00EC0FE7">
              <w:rPr>
                <w:szCs w:val="22"/>
              </w:rPr>
              <w:t>2012</w:t>
            </w:r>
          </w:p>
        </w:tc>
        <w:tc>
          <w:tcPr>
            <w:tcW w:w="2051" w:type="dxa"/>
            <w:shd w:val="clear" w:color="auto" w:fill="B6DDE8" w:themeFill="accent5" w:themeFillTint="66"/>
            <w:vAlign w:val="center"/>
          </w:tcPr>
          <w:p w14:paraId="61469290" w14:textId="77777777" w:rsidR="00D374E7" w:rsidRPr="00EC0FE7" w:rsidRDefault="00D374E7" w:rsidP="00CD73A6">
            <w:pPr>
              <w:spacing w:after="120"/>
              <w:jc w:val="center"/>
              <w:rPr>
                <w:szCs w:val="22"/>
              </w:rPr>
            </w:pPr>
            <w:r w:rsidRPr="00EC0FE7">
              <w:rPr>
                <w:szCs w:val="22"/>
              </w:rPr>
              <w:t>2016</w:t>
            </w:r>
          </w:p>
        </w:tc>
        <w:tc>
          <w:tcPr>
            <w:tcW w:w="2062" w:type="dxa"/>
            <w:shd w:val="clear" w:color="auto" w:fill="B6DDE8" w:themeFill="accent5" w:themeFillTint="66"/>
            <w:vAlign w:val="center"/>
          </w:tcPr>
          <w:p w14:paraId="6B7178AC" w14:textId="77777777" w:rsidR="00D374E7" w:rsidRPr="00EC0FE7" w:rsidRDefault="00D374E7" w:rsidP="00CD73A6">
            <w:pPr>
              <w:spacing w:after="120"/>
              <w:jc w:val="center"/>
              <w:rPr>
                <w:szCs w:val="22"/>
              </w:rPr>
            </w:pPr>
            <w:r w:rsidRPr="00EC0FE7">
              <w:rPr>
                <w:szCs w:val="22"/>
              </w:rPr>
              <w:t>Change</w:t>
            </w:r>
          </w:p>
        </w:tc>
      </w:tr>
      <w:tr w:rsidR="00480500" w14:paraId="4348DCB5" w14:textId="77777777" w:rsidTr="00E957D0">
        <w:trPr>
          <w:trHeight w:val="567"/>
        </w:trPr>
        <w:tc>
          <w:tcPr>
            <w:tcW w:w="3300" w:type="dxa"/>
            <w:vAlign w:val="center"/>
          </w:tcPr>
          <w:p w14:paraId="63A693CD" w14:textId="07C07850" w:rsidR="00480500" w:rsidRPr="00EC0FE7" w:rsidRDefault="00480500" w:rsidP="00E957D0">
            <w:pPr>
              <w:spacing w:before="60" w:after="60"/>
              <w:jc w:val="left"/>
              <w:rPr>
                <w:szCs w:val="22"/>
              </w:rPr>
            </w:pPr>
            <w:r w:rsidRPr="00EC0FE7">
              <w:rPr>
                <w:color w:val="000000"/>
                <w:szCs w:val="22"/>
              </w:rPr>
              <w:t>Share of refrigerant bank</w:t>
            </w:r>
          </w:p>
        </w:tc>
        <w:tc>
          <w:tcPr>
            <w:tcW w:w="2079" w:type="dxa"/>
            <w:vAlign w:val="center"/>
          </w:tcPr>
          <w:p w14:paraId="08811DBB" w14:textId="0110C35C" w:rsidR="00480500" w:rsidRPr="00EC0FE7" w:rsidRDefault="00480500" w:rsidP="00E957D0">
            <w:pPr>
              <w:spacing w:before="60" w:after="60"/>
              <w:jc w:val="center"/>
              <w:rPr>
                <w:szCs w:val="22"/>
              </w:rPr>
            </w:pPr>
            <w:r w:rsidRPr="00EC0FE7">
              <w:rPr>
                <w:color w:val="000000"/>
                <w:szCs w:val="22"/>
              </w:rPr>
              <w:t>21%</w:t>
            </w:r>
          </w:p>
        </w:tc>
        <w:tc>
          <w:tcPr>
            <w:tcW w:w="2051" w:type="dxa"/>
            <w:vAlign w:val="center"/>
          </w:tcPr>
          <w:p w14:paraId="5C5E44E1" w14:textId="55C9D60A" w:rsidR="00480500" w:rsidRPr="00EC0FE7" w:rsidRDefault="003356A0" w:rsidP="00E957D0">
            <w:pPr>
              <w:spacing w:before="60" w:after="60"/>
              <w:jc w:val="center"/>
              <w:rPr>
                <w:szCs w:val="22"/>
              </w:rPr>
            </w:pPr>
            <w:r w:rsidRPr="00EC0FE7">
              <w:rPr>
                <w:szCs w:val="22"/>
              </w:rPr>
              <w:t>21%</w:t>
            </w:r>
          </w:p>
        </w:tc>
        <w:tc>
          <w:tcPr>
            <w:tcW w:w="2062" w:type="dxa"/>
            <w:vAlign w:val="center"/>
          </w:tcPr>
          <w:p w14:paraId="2785638D" w14:textId="1CFBE0DA" w:rsidR="00480500" w:rsidRPr="00EC0FE7" w:rsidRDefault="003356A0" w:rsidP="00E957D0">
            <w:pPr>
              <w:spacing w:before="60" w:after="60"/>
              <w:jc w:val="center"/>
              <w:rPr>
                <w:szCs w:val="22"/>
              </w:rPr>
            </w:pPr>
            <w:r w:rsidRPr="00EC0FE7">
              <w:rPr>
                <w:szCs w:val="22"/>
              </w:rPr>
              <w:t>0%</w:t>
            </w:r>
          </w:p>
        </w:tc>
      </w:tr>
      <w:tr w:rsidR="00480500" w14:paraId="36AF517B" w14:textId="77777777" w:rsidTr="00E957D0">
        <w:trPr>
          <w:trHeight w:val="567"/>
        </w:trPr>
        <w:tc>
          <w:tcPr>
            <w:tcW w:w="3300" w:type="dxa"/>
            <w:vAlign w:val="center"/>
          </w:tcPr>
          <w:p w14:paraId="5D47E657" w14:textId="2574AA92" w:rsidR="00480500" w:rsidRPr="00EC0FE7" w:rsidRDefault="00480500" w:rsidP="00E957D0">
            <w:pPr>
              <w:spacing w:before="60" w:after="60"/>
              <w:jc w:val="left"/>
              <w:rPr>
                <w:szCs w:val="22"/>
              </w:rPr>
            </w:pPr>
            <w:r w:rsidRPr="00EC0FE7">
              <w:rPr>
                <w:color w:val="000000"/>
                <w:szCs w:val="22"/>
              </w:rPr>
              <w:t>Size of refrigerant bank</w:t>
            </w:r>
          </w:p>
        </w:tc>
        <w:tc>
          <w:tcPr>
            <w:tcW w:w="2079" w:type="dxa"/>
            <w:vAlign w:val="center"/>
          </w:tcPr>
          <w:p w14:paraId="2A5C8899" w14:textId="65C497B0" w:rsidR="00480500" w:rsidRPr="00EC0FE7" w:rsidRDefault="00EC0FE7" w:rsidP="00E957D0">
            <w:pPr>
              <w:spacing w:before="60" w:after="60"/>
              <w:jc w:val="center"/>
              <w:rPr>
                <w:szCs w:val="22"/>
              </w:rPr>
            </w:pPr>
            <w:r>
              <w:rPr>
                <w:color w:val="000000"/>
                <w:szCs w:val="22"/>
              </w:rPr>
              <w:t xml:space="preserve">9,100 </w:t>
            </w:r>
            <w:r w:rsidR="00480500" w:rsidRPr="00EC0FE7">
              <w:rPr>
                <w:color w:val="000000"/>
                <w:szCs w:val="22"/>
              </w:rPr>
              <w:t>tonnes</w:t>
            </w:r>
          </w:p>
        </w:tc>
        <w:tc>
          <w:tcPr>
            <w:tcW w:w="2051" w:type="dxa"/>
            <w:vAlign w:val="center"/>
          </w:tcPr>
          <w:p w14:paraId="3AF12C20" w14:textId="74BF7175" w:rsidR="00480500" w:rsidRPr="00EC0FE7" w:rsidRDefault="003356A0" w:rsidP="00E957D0">
            <w:pPr>
              <w:spacing w:before="60" w:after="60"/>
              <w:jc w:val="center"/>
              <w:rPr>
                <w:szCs w:val="22"/>
              </w:rPr>
            </w:pPr>
            <w:r w:rsidRPr="00EC0FE7">
              <w:rPr>
                <w:color w:val="000000"/>
                <w:szCs w:val="22"/>
              </w:rPr>
              <w:t>10,800 tonnes</w:t>
            </w:r>
          </w:p>
        </w:tc>
        <w:tc>
          <w:tcPr>
            <w:tcW w:w="2062" w:type="dxa"/>
            <w:vAlign w:val="center"/>
          </w:tcPr>
          <w:p w14:paraId="51369999" w14:textId="623FFEC4" w:rsidR="00480500" w:rsidRPr="00EC0FE7" w:rsidRDefault="003356A0" w:rsidP="00E957D0">
            <w:pPr>
              <w:spacing w:before="60" w:after="60"/>
              <w:jc w:val="center"/>
              <w:rPr>
                <w:szCs w:val="22"/>
              </w:rPr>
            </w:pPr>
            <w:r w:rsidRPr="00EC0FE7">
              <w:rPr>
                <w:szCs w:val="22"/>
              </w:rPr>
              <w:t>+</w:t>
            </w:r>
            <w:r w:rsidR="00EC0FE7">
              <w:rPr>
                <w:szCs w:val="22"/>
              </w:rPr>
              <w:t>19</w:t>
            </w:r>
            <w:r w:rsidRPr="00EC0FE7">
              <w:rPr>
                <w:szCs w:val="22"/>
              </w:rPr>
              <w:t>%</w:t>
            </w:r>
          </w:p>
        </w:tc>
      </w:tr>
      <w:tr w:rsidR="00480500" w14:paraId="26F0168B" w14:textId="77777777" w:rsidTr="00E957D0">
        <w:trPr>
          <w:trHeight w:val="567"/>
        </w:trPr>
        <w:tc>
          <w:tcPr>
            <w:tcW w:w="3300" w:type="dxa"/>
            <w:vAlign w:val="center"/>
          </w:tcPr>
          <w:p w14:paraId="7ED5BFC9" w14:textId="3F03B740" w:rsidR="00480500" w:rsidRPr="00EC0FE7" w:rsidRDefault="00480500" w:rsidP="00E957D0">
            <w:pPr>
              <w:spacing w:before="60" w:after="60"/>
              <w:jc w:val="left"/>
              <w:rPr>
                <w:szCs w:val="22"/>
              </w:rPr>
            </w:pPr>
            <w:r w:rsidRPr="00EC0FE7">
              <w:rPr>
                <w:color w:val="000000"/>
                <w:szCs w:val="22"/>
              </w:rPr>
              <w:t xml:space="preserve">Annual </w:t>
            </w:r>
            <w:r w:rsidR="00EA2C32">
              <w:rPr>
                <w:color w:val="000000"/>
                <w:szCs w:val="22"/>
              </w:rPr>
              <w:t>usage</w:t>
            </w:r>
            <w:r w:rsidRPr="00EC0FE7">
              <w:rPr>
                <w:color w:val="000000"/>
                <w:szCs w:val="22"/>
              </w:rPr>
              <w:t xml:space="preserve"> to replace leaks (excl. OEM)</w:t>
            </w:r>
          </w:p>
        </w:tc>
        <w:tc>
          <w:tcPr>
            <w:tcW w:w="2079" w:type="dxa"/>
            <w:vAlign w:val="center"/>
          </w:tcPr>
          <w:p w14:paraId="692B75A2" w14:textId="5BAB550E" w:rsidR="00480500" w:rsidRPr="00EC0FE7" w:rsidRDefault="00480500" w:rsidP="00E957D0">
            <w:pPr>
              <w:spacing w:before="60" w:after="60"/>
              <w:jc w:val="center"/>
              <w:rPr>
                <w:szCs w:val="22"/>
              </w:rPr>
            </w:pPr>
            <w:r w:rsidRPr="00EC0FE7">
              <w:rPr>
                <w:color w:val="000000"/>
                <w:szCs w:val="22"/>
              </w:rPr>
              <w:t>1,048 tonnes</w:t>
            </w:r>
          </w:p>
        </w:tc>
        <w:tc>
          <w:tcPr>
            <w:tcW w:w="2051" w:type="dxa"/>
            <w:vAlign w:val="center"/>
          </w:tcPr>
          <w:p w14:paraId="434CAC2E" w14:textId="3CB0858C" w:rsidR="00480500" w:rsidRPr="00EC0FE7" w:rsidRDefault="003356A0" w:rsidP="00E957D0">
            <w:pPr>
              <w:spacing w:before="60" w:after="60"/>
              <w:jc w:val="center"/>
              <w:rPr>
                <w:szCs w:val="22"/>
              </w:rPr>
            </w:pPr>
            <w:r w:rsidRPr="00EC0FE7">
              <w:rPr>
                <w:color w:val="000000"/>
                <w:szCs w:val="22"/>
              </w:rPr>
              <w:t>636 tonnes</w:t>
            </w:r>
          </w:p>
        </w:tc>
        <w:tc>
          <w:tcPr>
            <w:tcW w:w="2062" w:type="dxa"/>
            <w:vAlign w:val="center"/>
          </w:tcPr>
          <w:p w14:paraId="6F7642DD" w14:textId="3E5C10E8" w:rsidR="00480500" w:rsidRPr="00EC0FE7" w:rsidRDefault="003356A0" w:rsidP="00E957D0">
            <w:pPr>
              <w:spacing w:before="60" w:after="60"/>
              <w:jc w:val="center"/>
              <w:rPr>
                <w:szCs w:val="22"/>
              </w:rPr>
            </w:pPr>
            <w:r w:rsidRPr="00EC0FE7">
              <w:rPr>
                <w:szCs w:val="22"/>
              </w:rPr>
              <w:t>-39%</w:t>
            </w:r>
          </w:p>
        </w:tc>
      </w:tr>
      <w:tr w:rsidR="00480500" w14:paraId="4A38BF7F" w14:textId="77777777" w:rsidTr="00E957D0">
        <w:trPr>
          <w:trHeight w:val="567"/>
        </w:trPr>
        <w:tc>
          <w:tcPr>
            <w:tcW w:w="3300" w:type="dxa"/>
            <w:vAlign w:val="center"/>
          </w:tcPr>
          <w:p w14:paraId="2A66BB58" w14:textId="0169EEAE" w:rsidR="00480500" w:rsidRPr="00EC0FE7" w:rsidRDefault="00493AC5" w:rsidP="00E957D0">
            <w:pPr>
              <w:spacing w:before="60" w:after="60"/>
              <w:jc w:val="left"/>
              <w:rPr>
                <w:szCs w:val="22"/>
              </w:rPr>
            </w:pPr>
            <w:r w:rsidRPr="00EC0FE7">
              <w:rPr>
                <w:color w:val="000000"/>
                <w:szCs w:val="22"/>
              </w:rPr>
              <w:t>Refrigerant</w:t>
            </w:r>
            <w:r w:rsidR="00480500" w:rsidRPr="00EC0FE7">
              <w:rPr>
                <w:color w:val="000000"/>
                <w:szCs w:val="22"/>
              </w:rPr>
              <w:t xml:space="preserve"> in pre-charged equipment imports over previous </w:t>
            </w:r>
            <w:r w:rsidR="00521F58">
              <w:rPr>
                <w:color w:val="000000"/>
                <w:szCs w:val="22"/>
              </w:rPr>
              <w:t xml:space="preserve">four </w:t>
            </w:r>
            <w:r w:rsidR="00480500" w:rsidRPr="00EC0FE7">
              <w:rPr>
                <w:color w:val="000000"/>
                <w:szCs w:val="22"/>
              </w:rPr>
              <w:t>years (excl. 2012)</w:t>
            </w:r>
          </w:p>
        </w:tc>
        <w:tc>
          <w:tcPr>
            <w:tcW w:w="2079" w:type="dxa"/>
            <w:vAlign w:val="center"/>
          </w:tcPr>
          <w:p w14:paraId="422DF2D0" w14:textId="390E630E" w:rsidR="00480500" w:rsidRPr="00EC0FE7" w:rsidRDefault="00480500" w:rsidP="00E957D0">
            <w:pPr>
              <w:spacing w:before="60" w:after="60"/>
              <w:jc w:val="center"/>
              <w:rPr>
                <w:szCs w:val="22"/>
              </w:rPr>
            </w:pPr>
            <w:r w:rsidRPr="00EC0FE7">
              <w:rPr>
                <w:color w:val="000000"/>
                <w:szCs w:val="22"/>
              </w:rPr>
              <w:t>Vehicles with gross vehicle mass (GVM) &lt; 3.5 tonnes = 3</w:t>
            </w:r>
            <w:r w:rsidR="003356A0" w:rsidRPr="00EC0FE7">
              <w:rPr>
                <w:color w:val="000000"/>
                <w:szCs w:val="22"/>
              </w:rPr>
              <w:t>96</w:t>
            </w:r>
            <w:r w:rsidRPr="00EC0FE7">
              <w:rPr>
                <w:color w:val="000000"/>
                <w:szCs w:val="22"/>
              </w:rPr>
              <w:t xml:space="preserve"> to 5</w:t>
            </w:r>
            <w:r w:rsidR="003356A0" w:rsidRPr="00EC0FE7">
              <w:rPr>
                <w:color w:val="000000"/>
                <w:szCs w:val="22"/>
              </w:rPr>
              <w:t>58</w:t>
            </w:r>
            <w:r w:rsidRPr="00EC0FE7">
              <w:rPr>
                <w:color w:val="000000"/>
                <w:szCs w:val="22"/>
              </w:rPr>
              <w:t xml:space="preserve"> tonnes</w:t>
            </w:r>
          </w:p>
        </w:tc>
        <w:tc>
          <w:tcPr>
            <w:tcW w:w="2051" w:type="dxa"/>
            <w:vAlign w:val="center"/>
          </w:tcPr>
          <w:p w14:paraId="77C8F937" w14:textId="37FDC781" w:rsidR="00480500" w:rsidRPr="00EC0FE7" w:rsidRDefault="00521F58" w:rsidP="00E957D0">
            <w:pPr>
              <w:spacing w:before="60" w:after="60"/>
              <w:jc w:val="center"/>
              <w:rPr>
                <w:szCs w:val="22"/>
              </w:rPr>
            </w:pPr>
            <w:r>
              <w:rPr>
                <w:szCs w:val="22"/>
              </w:rPr>
              <w:t xml:space="preserve">All vehicles </w:t>
            </w:r>
            <w:r w:rsidRPr="00521F58">
              <w:rPr>
                <w:szCs w:val="22"/>
              </w:rPr>
              <w:t>925</w:t>
            </w:r>
            <w:r>
              <w:rPr>
                <w:szCs w:val="22"/>
              </w:rPr>
              <w:t xml:space="preserve"> to </w:t>
            </w:r>
            <w:r w:rsidRPr="00521F58">
              <w:rPr>
                <w:szCs w:val="22"/>
              </w:rPr>
              <w:t>996</w:t>
            </w:r>
            <w:r>
              <w:rPr>
                <w:szCs w:val="22"/>
              </w:rPr>
              <w:t xml:space="preserve"> tonnes with an average of </w:t>
            </w:r>
            <w:r w:rsidRPr="00521F58">
              <w:rPr>
                <w:szCs w:val="22"/>
              </w:rPr>
              <w:t>957</w:t>
            </w:r>
            <w:r>
              <w:rPr>
                <w:szCs w:val="22"/>
              </w:rPr>
              <w:t xml:space="preserve"> tonnes </w:t>
            </w:r>
            <w:r w:rsidRPr="00521F58">
              <w:rPr>
                <w:szCs w:val="22"/>
                <w:vertAlign w:val="superscript"/>
              </w:rPr>
              <w:t>(2)</w:t>
            </w:r>
          </w:p>
        </w:tc>
        <w:tc>
          <w:tcPr>
            <w:tcW w:w="2062" w:type="dxa"/>
            <w:vAlign w:val="center"/>
          </w:tcPr>
          <w:p w14:paraId="740DA325" w14:textId="3ED77A42" w:rsidR="00480500" w:rsidRPr="00EC0FE7" w:rsidRDefault="00521F58" w:rsidP="00E957D0">
            <w:pPr>
              <w:spacing w:before="60" w:after="60"/>
              <w:jc w:val="center"/>
              <w:rPr>
                <w:szCs w:val="22"/>
              </w:rPr>
            </w:pPr>
            <w:r>
              <w:rPr>
                <w:szCs w:val="22"/>
              </w:rPr>
              <w:t>+89%</w:t>
            </w:r>
          </w:p>
        </w:tc>
      </w:tr>
      <w:tr w:rsidR="00480500" w14:paraId="6914F1CD" w14:textId="77777777" w:rsidTr="00E957D0">
        <w:trPr>
          <w:trHeight w:val="567"/>
        </w:trPr>
        <w:tc>
          <w:tcPr>
            <w:tcW w:w="3300" w:type="dxa"/>
            <w:vAlign w:val="center"/>
          </w:tcPr>
          <w:p w14:paraId="3C3BD6C7" w14:textId="3B30D176" w:rsidR="00480500" w:rsidRPr="00EC0FE7" w:rsidRDefault="00480500" w:rsidP="00E957D0">
            <w:pPr>
              <w:spacing w:before="60" w:after="60"/>
              <w:jc w:val="left"/>
              <w:rPr>
                <w:szCs w:val="22"/>
              </w:rPr>
            </w:pPr>
            <w:r w:rsidRPr="00EC0FE7">
              <w:rPr>
                <w:color w:val="000000"/>
                <w:szCs w:val="22"/>
              </w:rPr>
              <w:t>Estimated stock of equipment</w:t>
            </w:r>
          </w:p>
        </w:tc>
        <w:tc>
          <w:tcPr>
            <w:tcW w:w="2079" w:type="dxa"/>
            <w:vAlign w:val="center"/>
          </w:tcPr>
          <w:p w14:paraId="5EAB7153" w14:textId="44ECF98E" w:rsidR="00480500" w:rsidRPr="00EC0FE7" w:rsidRDefault="00480500" w:rsidP="00E957D0">
            <w:pPr>
              <w:spacing w:before="60" w:after="60"/>
              <w:jc w:val="center"/>
              <w:rPr>
                <w:szCs w:val="22"/>
              </w:rPr>
            </w:pPr>
            <w:r w:rsidRPr="00EC0FE7">
              <w:rPr>
                <w:color w:val="000000"/>
                <w:szCs w:val="22"/>
              </w:rPr>
              <w:t>&gt; 16</w:t>
            </w:r>
            <w:r w:rsidR="00521F58">
              <w:rPr>
                <w:color w:val="000000"/>
                <w:szCs w:val="22"/>
              </w:rPr>
              <w:t>.0</w:t>
            </w:r>
            <w:r w:rsidRPr="00EC0FE7">
              <w:rPr>
                <w:color w:val="000000"/>
                <w:szCs w:val="22"/>
              </w:rPr>
              <w:t xml:space="preserve"> million units</w:t>
            </w:r>
          </w:p>
        </w:tc>
        <w:tc>
          <w:tcPr>
            <w:tcW w:w="2051" w:type="dxa"/>
            <w:vAlign w:val="center"/>
          </w:tcPr>
          <w:p w14:paraId="72275F9B" w14:textId="34EE365C" w:rsidR="00480500" w:rsidRPr="00EC0FE7" w:rsidRDefault="00A15B94" w:rsidP="00E957D0">
            <w:pPr>
              <w:spacing w:before="60" w:after="60"/>
              <w:jc w:val="center"/>
              <w:rPr>
                <w:szCs w:val="22"/>
              </w:rPr>
            </w:pPr>
            <w:r w:rsidRPr="00EC0FE7">
              <w:rPr>
                <w:color w:val="000000"/>
                <w:szCs w:val="22"/>
              </w:rPr>
              <w:t>&gt; 18.2 million units</w:t>
            </w:r>
          </w:p>
        </w:tc>
        <w:tc>
          <w:tcPr>
            <w:tcW w:w="2062" w:type="dxa"/>
            <w:vAlign w:val="center"/>
          </w:tcPr>
          <w:p w14:paraId="6B8BB112" w14:textId="7C27467A" w:rsidR="00480500" w:rsidRPr="00EC0FE7" w:rsidRDefault="00A15B94" w:rsidP="00E957D0">
            <w:pPr>
              <w:spacing w:before="60" w:after="60"/>
              <w:jc w:val="center"/>
              <w:rPr>
                <w:szCs w:val="22"/>
              </w:rPr>
            </w:pPr>
            <w:r w:rsidRPr="00EC0FE7">
              <w:rPr>
                <w:szCs w:val="22"/>
              </w:rPr>
              <w:t>+14%</w:t>
            </w:r>
          </w:p>
        </w:tc>
      </w:tr>
      <w:tr w:rsidR="00480500" w14:paraId="7A36709F" w14:textId="77777777" w:rsidTr="00E957D0">
        <w:trPr>
          <w:trHeight w:val="567"/>
        </w:trPr>
        <w:tc>
          <w:tcPr>
            <w:tcW w:w="3300" w:type="dxa"/>
            <w:vAlign w:val="center"/>
          </w:tcPr>
          <w:p w14:paraId="5086406A" w14:textId="36FD44C7" w:rsidR="00480500" w:rsidRPr="00EC0FE7" w:rsidRDefault="00480500" w:rsidP="00E957D0">
            <w:pPr>
              <w:spacing w:before="60" w:after="60"/>
              <w:jc w:val="left"/>
              <w:rPr>
                <w:szCs w:val="22"/>
              </w:rPr>
            </w:pPr>
            <w:r w:rsidRPr="00EC0FE7">
              <w:rPr>
                <w:color w:val="000000"/>
                <w:szCs w:val="22"/>
              </w:rPr>
              <w:t>Annual expenditure on new equipment</w:t>
            </w:r>
          </w:p>
        </w:tc>
        <w:tc>
          <w:tcPr>
            <w:tcW w:w="2079" w:type="dxa"/>
            <w:vAlign w:val="center"/>
          </w:tcPr>
          <w:p w14:paraId="496203D7" w14:textId="3B553FD4" w:rsidR="00480500" w:rsidRPr="00EC0FE7" w:rsidRDefault="00480500" w:rsidP="00E957D0">
            <w:pPr>
              <w:spacing w:before="60" w:after="60"/>
              <w:jc w:val="center"/>
              <w:rPr>
                <w:szCs w:val="22"/>
              </w:rPr>
            </w:pPr>
            <w:r w:rsidRPr="00EC0FE7">
              <w:rPr>
                <w:color w:val="000000"/>
                <w:szCs w:val="22"/>
              </w:rPr>
              <w:t>~$560 Million</w:t>
            </w:r>
          </w:p>
        </w:tc>
        <w:tc>
          <w:tcPr>
            <w:tcW w:w="2051" w:type="dxa"/>
            <w:vAlign w:val="center"/>
          </w:tcPr>
          <w:p w14:paraId="503A3575" w14:textId="41BFCEE1" w:rsidR="00480500" w:rsidRPr="00EC0FE7" w:rsidRDefault="00521F58" w:rsidP="00E957D0">
            <w:pPr>
              <w:spacing w:before="60" w:after="60"/>
              <w:jc w:val="center"/>
              <w:rPr>
                <w:szCs w:val="22"/>
              </w:rPr>
            </w:pPr>
            <w:r w:rsidRPr="00EC0FE7">
              <w:rPr>
                <w:color w:val="000000"/>
                <w:szCs w:val="22"/>
              </w:rPr>
              <w:t>~$</w:t>
            </w:r>
            <w:r>
              <w:rPr>
                <w:color w:val="000000"/>
                <w:szCs w:val="22"/>
              </w:rPr>
              <w:t>977</w:t>
            </w:r>
            <w:r w:rsidRPr="00EC0FE7">
              <w:rPr>
                <w:color w:val="000000"/>
                <w:szCs w:val="22"/>
              </w:rPr>
              <w:t xml:space="preserve"> Million</w:t>
            </w:r>
          </w:p>
        </w:tc>
        <w:tc>
          <w:tcPr>
            <w:tcW w:w="2062" w:type="dxa"/>
            <w:vAlign w:val="center"/>
          </w:tcPr>
          <w:p w14:paraId="6421A7FD" w14:textId="716C0F88" w:rsidR="00480500" w:rsidRPr="00EC0FE7" w:rsidRDefault="00521F58" w:rsidP="00E957D0">
            <w:pPr>
              <w:spacing w:before="60" w:after="60"/>
              <w:jc w:val="center"/>
              <w:rPr>
                <w:szCs w:val="22"/>
              </w:rPr>
            </w:pPr>
            <w:r>
              <w:rPr>
                <w:szCs w:val="22"/>
              </w:rPr>
              <w:t>+74%</w:t>
            </w:r>
          </w:p>
        </w:tc>
      </w:tr>
      <w:tr w:rsidR="003356A0" w14:paraId="16DE559F" w14:textId="77777777" w:rsidTr="00E957D0">
        <w:trPr>
          <w:trHeight w:val="567"/>
        </w:trPr>
        <w:tc>
          <w:tcPr>
            <w:tcW w:w="3300" w:type="dxa"/>
            <w:vAlign w:val="center"/>
          </w:tcPr>
          <w:p w14:paraId="158B6A31" w14:textId="39B02EB9" w:rsidR="003356A0" w:rsidRPr="00EC0FE7" w:rsidRDefault="003356A0" w:rsidP="00E957D0">
            <w:pPr>
              <w:spacing w:before="60" w:after="60"/>
              <w:jc w:val="left"/>
              <w:rPr>
                <w:szCs w:val="22"/>
              </w:rPr>
            </w:pPr>
            <w:r w:rsidRPr="00EC0FE7">
              <w:rPr>
                <w:color w:val="000000"/>
                <w:szCs w:val="22"/>
              </w:rPr>
              <w:lastRenderedPageBreak/>
              <w:t>Annual GHG indirect emissions</w:t>
            </w:r>
          </w:p>
        </w:tc>
        <w:tc>
          <w:tcPr>
            <w:tcW w:w="2079" w:type="dxa"/>
            <w:vAlign w:val="center"/>
          </w:tcPr>
          <w:p w14:paraId="207598F8" w14:textId="1279FEA9" w:rsidR="003356A0" w:rsidRPr="00EC0FE7" w:rsidRDefault="003356A0" w:rsidP="00E957D0">
            <w:pPr>
              <w:spacing w:before="60" w:after="60"/>
              <w:jc w:val="center"/>
              <w:rPr>
                <w:szCs w:val="22"/>
              </w:rPr>
            </w:pPr>
            <w:r w:rsidRPr="00EC0FE7">
              <w:rPr>
                <w:color w:val="000000"/>
                <w:szCs w:val="22"/>
              </w:rPr>
              <w:t>3.03 Mt CO</w:t>
            </w:r>
            <w:r w:rsidRPr="00EC0FE7">
              <w:rPr>
                <w:color w:val="000000"/>
                <w:szCs w:val="22"/>
                <w:vertAlign w:val="subscript"/>
              </w:rPr>
              <w:t>2</w:t>
            </w:r>
            <w:r w:rsidRPr="00EC0FE7">
              <w:rPr>
                <w:color w:val="000000"/>
                <w:szCs w:val="22"/>
              </w:rPr>
              <w:t>e</w:t>
            </w:r>
          </w:p>
        </w:tc>
        <w:tc>
          <w:tcPr>
            <w:tcW w:w="2051" w:type="dxa"/>
            <w:vAlign w:val="center"/>
          </w:tcPr>
          <w:p w14:paraId="5A7A1A4A" w14:textId="53B43AE0" w:rsidR="003356A0" w:rsidRPr="00EC0FE7" w:rsidRDefault="00521F58" w:rsidP="00E957D0">
            <w:pPr>
              <w:spacing w:before="60" w:after="60"/>
              <w:jc w:val="center"/>
              <w:rPr>
                <w:szCs w:val="22"/>
              </w:rPr>
            </w:pPr>
            <w:r>
              <w:rPr>
                <w:color w:val="000000"/>
                <w:szCs w:val="22"/>
              </w:rPr>
              <w:t>2.96</w:t>
            </w:r>
            <w:r w:rsidR="003356A0" w:rsidRPr="00EC0FE7">
              <w:rPr>
                <w:color w:val="000000"/>
                <w:szCs w:val="22"/>
              </w:rPr>
              <w:t xml:space="preserve"> Mt CO</w:t>
            </w:r>
            <w:r w:rsidR="003356A0" w:rsidRPr="00EC0FE7">
              <w:rPr>
                <w:color w:val="000000"/>
                <w:szCs w:val="22"/>
                <w:vertAlign w:val="subscript"/>
              </w:rPr>
              <w:t>2</w:t>
            </w:r>
            <w:r w:rsidR="003356A0" w:rsidRPr="00EC0FE7">
              <w:rPr>
                <w:color w:val="000000"/>
                <w:szCs w:val="22"/>
              </w:rPr>
              <w:t>e</w:t>
            </w:r>
          </w:p>
        </w:tc>
        <w:tc>
          <w:tcPr>
            <w:tcW w:w="2062" w:type="dxa"/>
            <w:vAlign w:val="center"/>
          </w:tcPr>
          <w:p w14:paraId="194F6B91" w14:textId="444379C4" w:rsidR="003356A0" w:rsidRPr="00EC0FE7" w:rsidRDefault="00952379" w:rsidP="00E957D0">
            <w:pPr>
              <w:spacing w:before="60" w:after="60"/>
              <w:jc w:val="center"/>
              <w:rPr>
                <w:szCs w:val="22"/>
              </w:rPr>
            </w:pPr>
            <w:r w:rsidRPr="00EC0FE7">
              <w:rPr>
                <w:szCs w:val="22"/>
              </w:rPr>
              <w:t>-2%</w:t>
            </w:r>
          </w:p>
        </w:tc>
      </w:tr>
      <w:tr w:rsidR="003356A0" w14:paraId="16778E8A" w14:textId="77777777" w:rsidTr="00E957D0">
        <w:trPr>
          <w:trHeight w:val="567"/>
        </w:trPr>
        <w:tc>
          <w:tcPr>
            <w:tcW w:w="3300" w:type="dxa"/>
            <w:vAlign w:val="center"/>
          </w:tcPr>
          <w:p w14:paraId="6A877439" w14:textId="57BE46D5" w:rsidR="003356A0" w:rsidRPr="00EC0FE7" w:rsidRDefault="003356A0" w:rsidP="00E957D0">
            <w:pPr>
              <w:spacing w:before="60" w:after="60"/>
              <w:jc w:val="left"/>
              <w:rPr>
                <w:szCs w:val="22"/>
              </w:rPr>
            </w:pPr>
            <w:r w:rsidRPr="00EC0FE7">
              <w:rPr>
                <w:color w:val="000000"/>
                <w:szCs w:val="22"/>
              </w:rPr>
              <w:t>Share of HVAC&amp;R indirect emissions</w:t>
            </w:r>
          </w:p>
        </w:tc>
        <w:tc>
          <w:tcPr>
            <w:tcW w:w="2079" w:type="dxa"/>
            <w:vAlign w:val="center"/>
          </w:tcPr>
          <w:p w14:paraId="6982A923" w14:textId="613AA9DF" w:rsidR="003356A0" w:rsidRPr="00EC0FE7" w:rsidRDefault="003356A0" w:rsidP="00E957D0">
            <w:pPr>
              <w:spacing w:before="60" w:after="60"/>
              <w:jc w:val="center"/>
              <w:rPr>
                <w:szCs w:val="22"/>
              </w:rPr>
            </w:pPr>
            <w:r w:rsidRPr="00EC0FE7">
              <w:rPr>
                <w:color w:val="000000"/>
                <w:szCs w:val="22"/>
              </w:rPr>
              <w:t>5%</w:t>
            </w:r>
          </w:p>
        </w:tc>
        <w:tc>
          <w:tcPr>
            <w:tcW w:w="2051" w:type="dxa"/>
            <w:vAlign w:val="center"/>
          </w:tcPr>
          <w:p w14:paraId="549F9C46" w14:textId="392C5314" w:rsidR="003356A0" w:rsidRPr="00EC0FE7" w:rsidRDefault="003356A0" w:rsidP="00E957D0">
            <w:pPr>
              <w:spacing w:before="60" w:after="60"/>
              <w:jc w:val="center"/>
              <w:rPr>
                <w:szCs w:val="22"/>
              </w:rPr>
            </w:pPr>
            <w:r w:rsidRPr="00EC0FE7">
              <w:rPr>
                <w:color w:val="000000"/>
                <w:szCs w:val="22"/>
              </w:rPr>
              <w:t>5%</w:t>
            </w:r>
          </w:p>
        </w:tc>
        <w:tc>
          <w:tcPr>
            <w:tcW w:w="2062" w:type="dxa"/>
            <w:vAlign w:val="center"/>
          </w:tcPr>
          <w:p w14:paraId="0A3B0D3D" w14:textId="6A8ADBA6" w:rsidR="003356A0" w:rsidRPr="00EC0FE7" w:rsidRDefault="00952379" w:rsidP="00E957D0">
            <w:pPr>
              <w:spacing w:before="60" w:after="60"/>
              <w:jc w:val="center"/>
              <w:rPr>
                <w:szCs w:val="22"/>
              </w:rPr>
            </w:pPr>
            <w:r w:rsidRPr="00EC0FE7">
              <w:rPr>
                <w:szCs w:val="22"/>
              </w:rPr>
              <w:t>0%</w:t>
            </w:r>
          </w:p>
        </w:tc>
      </w:tr>
      <w:tr w:rsidR="003356A0" w14:paraId="3EDF3E87" w14:textId="77777777" w:rsidTr="00E957D0">
        <w:trPr>
          <w:trHeight w:val="567"/>
        </w:trPr>
        <w:tc>
          <w:tcPr>
            <w:tcW w:w="3300" w:type="dxa"/>
            <w:vAlign w:val="center"/>
          </w:tcPr>
          <w:p w14:paraId="03A41283" w14:textId="2956B237" w:rsidR="003356A0" w:rsidRPr="00EC0FE7" w:rsidRDefault="003356A0" w:rsidP="00E957D0">
            <w:pPr>
              <w:spacing w:before="60" w:after="60"/>
              <w:jc w:val="left"/>
              <w:rPr>
                <w:color w:val="000000"/>
                <w:szCs w:val="22"/>
              </w:rPr>
            </w:pPr>
            <w:r w:rsidRPr="00EC0FE7">
              <w:rPr>
                <w:color w:val="000000"/>
                <w:szCs w:val="22"/>
              </w:rPr>
              <w:t>Annual GHG direct emissions (ODS)</w:t>
            </w:r>
          </w:p>
        </w:tc>
        <w:tc>
          <w:tcPr>
            <w:tcW w:w="2079" w:type="dxa"/>
            <w:vAlign w:val="center"/>
          </w:tcPr>
          <w:p w14:paraId="4866DEEA" w14:textId="6D2B59AE" w:rsidR="003356A0" w:rsidRPr="00EC0FE7" w:rsidRDefault="003356A0" w:rsidP="00E957D0">
            <w:pPr>
              <w:spacing w:before="60" w:after="60"/>
              <w:jc w:val="center"/>
              <w:rPr>
                <w:szCs w:val="22"/>
              </w:rPr>
            </w:pPr>
            <w:r w:rsidRPr="00EC0FE7">
              <w:rPr>
                <w:color w:val="000000"/>
                <w:szCs w:val="22"/>
              </w:rPr>
              <w:t>0.01 Mt CO</w:t>
            </w:r>
            <w:r w:rsidRPr="00EC0FE7">
              <w:rPr>
                <w:color w:val="000000"/>
                <w:szCs w:val="22"/>
                <w:vertAlign w:val="subscript"/>
              </w:rPr>
              <w:t>2</w:t>
            </w:r>
            <w:r w:rsidRPr="00EC0FE7">
              <w:rPr>
                <w:color w:val="000000"/>
                <w:szCs w:val="22"/>
              </w:rPr>
              <w:t>e</w:t>
            </w:r>
          </w:p>
        </w:tc>
        <w:tc>
          <w:tcPr>
            <w:tcW w:w="2051" w:type="dxa"/>
            <w:vAlign w:val="center"/>
          </w:tcPr>
          <w:p w14:paraId="2D82A11C" w14:textId="7BB20FBE" w:rsidR="003356A0" w:rsidRPr="00EC0FE7" w:rsidRDefault="003356A0" w:rsidP="00E957D0">
            <w:pPr>
              <w:spacing w:before="60" w:after="60"/>
              <w:jc w:val="center"/>
              <w:rPr>
                <w:szCs w:val="22"/>
              </w:rPr>
            </w:pPr>
            <w:r w:rsidRPr="00EC0FE7">
              <w:rPr>
                <w:color w:val="000000"/>
                <w:szCs w:val="22"/>
              </w:rPr>
              <w:t>0.01 Mt CO</w:t>
            </w:r>
            <w:r w:rsidRPr="00EC0FE7">
              <w:rPr>
                <w:color w:val="000000"/>
                <w:szCs w:val="22"/>
                <w:vertAlign w:val="subscript"/>
              </w:rPr>
              <w:t>2</w:t>
            </w:r>
            <w:r w:rsidRPr="00EC0FE7">
              <w:rPr>
                <w:color w:val="000000"/>
                <w:szCs w:val="22"/>
              </w:rPr>
              <w:t>e</w:t>
            </w:r>
          </w:p>
        </w:tc>
        <w:tc>
          <w:tcPr>
            <w:tcW w:w="2062" w:type="dxa"/>
            <w:vAlign w:val="center"/>
          </w:tcPr>
          <w:p w14:paraId="076B6A72" w14:textId="6436A895" w:rsidR="003356A0" w:rsidRPr="00EC0FE7" w:rsidRDefault="00582B65" w:rsidP="00E957D0">
            <w:pPr>
              <w:spacing w:before="60" w:after="60"/>
              <w:jc w:val="center"/>
              <w:rPr>
                <w:szCs w:val="22"/>
              </w:rPr>
            </w:pPr>
            <w:r>
              <w:rPr>
                <w:szCs w:val="22"/>
              </w:rPr>
              <w:t xml:space="preserve">NA </w:t>
            </w:r>
            <w:r w:rsidRPr="00582B65">
              <w:rPr>
                <w:szCs w:val="22"/>
                <w:vertAlign w:val="superscript"/>
              </w:rPr>
              <w:t>(3)</w:t>
            </w:r>
          </w:p>
        </w:tc>
      </w:tr>
      <w:tr w:rsidR="003356A0" w14:paraId="38EAD2B1" w14:textId="77777777" w:rsidTr="00E957D0">
        <w:trPr>
          <w:trHeight w:val="567"/>
        </w:trPr>
        <w:tc>
          <w:tcPr>
            <w:tcW w:w="3300" w:type="dxa"/>
            <w:vAlign w:val="center"/>
          </w:tcPr>
          <w:p w14:paraId="3335A7F6" w14:textId="7DFFC1E4" w:rsidR="003356A0" w:rsidRPr="00952379" w:rsidRDefault="003356A0" w:rsidP="00E957D0">
            <w:pPr>
              <w:spacing w:before="60" w:after="60"/>
              <w:jc w:val="left"/>
              <w:rPr>
                <w:color w:val="000000"/>
                <w:szCs w:val="22"/>
              </w:rPr>
            </w:pPr>
            <w:r w:rsidRPr="00952379">
              <w:rPr>
                <w:color w:val="000000"/>
                <w:szCs w:val="22"/>
              </w:rPr>
              <w:t>Annual GHG direct emissions (SGG)</w:t>
            </w:r>
          </w:p>
        </w:tc>
        <w:tc>
          <w:tcPr>
            <w:tcW w:w="2079" w:type="dxa"/>
            <w:vAlign w:val="center"/>
          </w:tcPr>
          <w:p w14:paraId="2C7963B5" w14:textId="331C6292" w:rsidR="003356A0" w:rsidRPr="00952379" w:rsidRDefault="003356A0" w:rsidP="00E957D0">
            <w:pPr>
              <w:spacing w:before="60" w:after="60"/>
              <w:jc w:val="center"/>
              <w:rPr>
                <w:color w:val="000000"/>
                <w:szCs w:val="22"/>
              </w:rPr>
            </w:pPr>
            <w:r w:rsidRPr="00952379">
              <w:rPr>
                <w:color w:val="000000"/>
                <w:szCs w:val="22"/>
              </w:rPr>
              <w:t>1.36 Mt CO</w:t>
            </w:r>
            <w:r w:rsidRPr="00952379">
              <w:rPr>
                <w:color w:val="000000"/>
                <w:szCs w:val="22"/>
                <w:vertAlign w:val="subscript"/>
              </w:rPr>
              <w:t>2</w:t>
            </w:r>
            <w:r w:rsidRPr="00952379">
              <w:rPr>
                <w:color w:val="000000"/>
                <w:szCs w:val="22"/>
              </w:rPr>
              <w:t>e</w:t>
            </w:r>
          </w:p>
        </w:tc>
        <w:tc>
          <w:tcPr>
            <w:tcW w:w="2051" w:type="dxa"/>
            <w:vAlign w:val="center"/>
          </w:tcPr>
          <w:p w14:paraId="47F2DA57" w14:textId="6A9593EF" w:rsidR="003356A0" w:rsidRPr="00952379" w:rsidRDefault="003356A0" w:rsidP="00E957D0">
            <w:pPr>
              <w:spacing w:before="60" w:after="60"/>
              <w:jc w:val="center"/>
              <w:rPr>
                <w:color w:val="000000"/>
              </w:rPr>
            </w:pPr>
            <w:r w:rsidRPr="00952379">
              <w:rPr>
                <w:color w:val="000000"/>
                <w:szCs w:val="22"/>
              </w:rPr>
              <w:t>1.</w:t>
            </w:r>
            <w:r w:rsidR="00952379" w:rsidRPr="00952379">
              <w:rPr>
                <w:color w:val="000000"/>
                <w:szCs w:val="22"/>
              </w:rPr>
              <w:t>24</w:t>
            </w:r>
            <w:r w:rsidRPr="00952379">
              <w:rPr>
                <w:color w:val="000000"/>
                <w:szCs w:val="22"/>
              </w:rPr>
              <w:t xml:space="preserve"> Mt CO</w:t>
            </w:r>
            <w:r w:rsidRPr="00952379">
              <w:rPr>
                <w:color w:val="000000"/>
                <w:szCs w:val="22"/>
                <w:vertAlign w:val="subscript"/>
              </w:rPr>
              <w:t>2</w:t>
            </w:r>
            <w:r w:rsidRPr="00952379">
              <w:rPr>
                <w:color w:val="000000"/>
                <w:szCs w:val="22"/>
              </w:rPr>
              <w:t>e</w:t>
            </w:r>
            <w:r w:rsidR="0033504C">
              <w:rPr>
                <w:color w:val="000000"/>
                <w:szCs w:val="22"/>
              </w:rPr>
              <w:t xml:space="preserve"> </w:t>
            </w:r>
            <w:r w:rsidR="0033504C" w:rsidRPr="0033504C">
              <w:rPr>
                <w:color w:val="000000"/>
                <w:szCs w:val="22"/>
                <w:vertAlign w:val="superscript"/>
              </w:rPr>
              <w:t>(3)</w:t>
            </w:r>
          </w:p>
        </w:tc>
        <w:tc>
          <w:tcPr>
            <w:tcW w:w="2062" w:type="dxa"/>
            <w:vAlign w:val="center"/>
          </w:tcPr>
          <w:p w14:paraId="4AAF0F4D" w14:textId="1FC02579" w:rsidR="003356A0" w:rsidRPr="00952379" w:rsidRDefault="00582B65" w:rsidP="00E957D0">
            <w:pPr>
              <w:spacing w:before="60" w:after="60"/>
              <w:jc w:val="center"/>
              <w:rPr>
                <w:color w:val="000000"/>
              </w:rPr>
            </w:pPr>
            <w:r>
              <w:rPr>
                <w:szCs w:val="22"/>
              </w:rPr>
              <w:t xml:space="preserve">NA </w:t>
            </w:r>
            <w:r w:rsidRPr="00582B65">
              <w:rPr>
                <w:szCs w:val="22"/>
                <w:vertAlign w:val="superscript"/>
              </w:rPr>
              <w:t>(3)</w:t>
            </w:r>
          </w:p>
        </w:tc>
      </w:tr>
      <w:tr w:rsidR="003356A0" w14:paraId="7CD1EA29" w14:textId="77777777" w:rsidTr="00E957D0">
        <w:trPr>
          <w:trHeight w:val="567"/>
        </w:trPr>
        <w:tc>
          <w:tcPr>
            <w:tcW w:w="3300" w:type="dxa"/>
            <w:vAlign w:val="center"/>
          </w:tcPr>
          <w:p w14:paraId="13B8B864" w14:textId="54DC7A8F" w:rsidR="003356A0" w:rsidRDefault="003356A0" w:rsidP="00E957D0">
            <w:pPr>
              <w:spacing w:before="60" w:after="60"/>
              <w:jc w:val="left"/>
              <w:rPr>
                <w:color w:val="000000"/>
                <w:szCs w:val="22"/>
              </w:rPr>
            </w:pPr>
            <w:r>
              <w:rPr>
                <w:color w:val="000000"/>
                <w:szCs w:val="22"/>
              </w:rPr>
              <w:t>Share of HVAC&amp;R direct emissions</w:t>
            </w:r>
          </w:p>
        </w:tc>
        <w:tc>
          <w:tcPr>
            <w:tcW w:w="2079" w:type="dxa"/>
            <w:vAlign w:val="center"/>
          </w:tcPr>
          <w:p w14:paraId="3086966B" w14:textId="5C6DFCBE" w:rsidR="003356A0" w:rsidRPr="00952379" w:rsidRDefault="003356A0" w:rsidP="00E957D0">
            <w:pPr>
              <w:spacing w:before="60" w:after="60"/>
              <w:jc w:val="center"/>
              <w:rPr>
                <w:color w:val="000000"/>
                <w:szCs w:val="22"/>
              </w:rPr>
            </w:pPr>
            <w:r w:rsidRPr="00952379">
              <w:rPr>
                <w:color w:val="000000"/>
                <w:szCs w:val="22"/>
              </w:rPr>
              <w:t>25%</w:t>
            </w:r>
          </w:p>
        </w:tc>
        <w:tc>
          <w:tcPr>
            <w:tcW w:w="2051" w:type="dxa"/>
            <w:vAlign w:val="center"/>
          </w:tcPr>
          <w:p w14:paraId="3645424A" w14:textId="3C4AD693" w:rsidR="003356A0" w:rsidRPr="00952379" w:rsidRDefault="00521F58" w:rsidP="00E957D0">
            <w:pPr>
              <w:spacing w:before="60" w:after="60"/>
              <w:jc w:val="center"/>
              <w:rPr>
                <w:color w:val="000000"/>
              </w:rPr>
            </w:pPr>
            <w:r>
              <w:rPr>
                <w:color w:val="000000"/>
                <w:szCs w:val="22"/>
              </w:rPr>
              <w:t>20</w:t>
            </w:r>
            <w:r w:rsidR="003356A0" w:rsidRPr="00952379">
              <w:rPr>
                <w:color w:val="000000"/>
                <w:szCs w:val="22"/>
              </w:rPr>
              <w:t>%</w:t>
            </w:r>
          </w:p>
        </w:tc>
        <w:tc>
          <w:tcPr>
            <w:tcW w:w="2062" w:type="dxa"/>
            <w:vAlign w:val="center"/>
          </w:tcPr>
          <w:p w14:paraId="1A0CEC4C" w14:textId="09080EF6" w:rsidR="003356A0" w:rsidRPr="00952379" w:rsidRDefault="00311821" w:rsidP="00E957D0">
            <w:pPr>
              <w:spacing w:before="60" w:after="60"/>
              <w:jc w:val="center"/>
              <w:rPr>
                <w:color w:val="000000"/>
              </w:rPr>
            </w:pPr>
            <w:r>
              <w:rPr>
                <w:szCs w:val="22"/>
              </w:rPr>
              <w:t xml:space="preserve">NA </w:t>
            </w:r>
            <w:r w:rsidRPr="00582B65">
              <w:rPr>
                <w:szCs w:val="22"/>
                <w:vertAlign w:val="superscript"/>
              </w:rPr>
              <w:t>(3)</w:t>
            </w:r>
          </w:p>
        </w:tc>
      </w:tr>
      <w:tr w:rsidR="003356A0" w14:paraId="57078B57" w14:textId="77777777" w:rsidTr="00E957D0">
        <w:trPr>
          <w:trHeight w:val="567"/>
        </w:trPr>
        <w:tc>
          <w:tcPr>
            <w:tcW w:w="3300" w:type="dxa"/>
            <w:vAlign w:val="center"/>
          </w:tcPr>
          <w:p w14:paraId="5EDA8397" w14:textId="5B1C1B5D" w:rsidR="003356A0" w:rsidRDefault="003356A0" w:rsidP="00E957D0">
            <w:pPr>
              <w:spacing w:before="60" w:after="60"/>
              <w:jc w:val="left"/>
              <w:rPr>
                <w:color w:val="000000"/>
                <w:szCs w:val="22"/>
              </w:rPr>
            </w:pPr>
            <w:r>
              <w:rPr>
                <w:color w:val="000000"/>
                <w:szCs w:val="22"/>
              </w:rPr>
              <w:t xml:space="preserve">Share of HVAC&amp;R total emissions                                          (direct and indirect, not inc. </w:t>
            </w:r>
            <w:r w:rsidR="005C5275">
              <w:rPr>
                <w:color w:val="000000"/>
                <w:szCs w:val="22"/>
              </w:rPr>
              <w:t>EOL</w:t>
            </w:r>
            <w:r>
              <w:rPr>
                <w:color w:val="000000"/>
                <w:szCs w:val="22"/>
              </w:rPr>
              <w:t>)</w:t>
            </w:r>
          </w:p>
        </w:tc>
        <w:tc>
          <w:tcPr>
            <w:tcW w:w="2079" w:type="dxa"/>
            <w:vAlign w:val="center"/>
          </w:tcPr>
          <w:p w14:paraId="7FF731FC" w14:textId="65E02927" w:rsidR="003356A0" w:rsidRPr="00952379" w:rsidRDefault="003356A0" w:rsidP="00E957D0">
            <w:pPr>
              <w:spacing w:before="60" w:after="60"/>
              <w:jc w:val="center"/>
              <w:rPr>
                <w:color w:val="000000"/>
                <w:szCs w:val="22"/>
              </w:rPr>
            </w:pPr>
            <w:r w:rsidRPr="00952379">
              <w:rPr>
                <w:color w:val="000000"/>
                <w:szCs w:val="22"/>
              </w:rPr>
              <w:t>7%</w:t>
            </w:r>
          </w:p>
        </w:tc>
        <w:tc>
          <w:tcPr>
            <w:tcW w:w="2051" w:type="dxa"/>
            <w:vAlign w:val="center"/>
          </w:tcPr>
          <w:p w14:paraId="49459399" w14:textId="0593A4CF" w:rsidR="003356A0" w:rsidRPr="00952379" w:rsidRDefault="00952379" w:rsidP="00E957D0">
            <w:pPr>
              <w:spacing w:before="60" w:after="60"/>
              <w:jc w:val="center"/>
              <w:rPr>
                <w:color w:val="000000"/>
              </w:rPr>
            </w:pPr>
            <w:r w:rsidRPr="00952379">
              <w:rPr>
                <w:color w:val="000000"/>
                <w:szCs w:val="22"/>
              </w:rPr>
              <w:t>6</w:t>
            </w:r>
            <w:r w:rsidR="003356A0" w:rsidRPr="00952379">
              <w:rPr>
                <w:color w:val="000000"/>
                <w:szCs w:val="22"/>
              </w:rPr>
              <w:t>%</w:t>
            </w:r>
          </w:p>
        </w:tc>
        <w:tc>
          <w:tcPr>
            <w:tcW w:w="2062" w:type="dxa"/>
            <w:vAlign w:val="center"/>
          </w:tcPr>
          <w:p w14:paraId="0D3C2296" w14:textId="54820F44" w:rsidR="003356A0" w:rsidRPr="00952379" w:rsidRDefault="00311821" w:rsidP="00E957D0">
            <w:pPr>
              <w:spacing w:before="60" w:after="60"/>
              <w:jc w:val="center"/>
              <w:rPr>
                <w:color w:val="000000"/>
              </w:rPr>
            </w:pPr>
            <w:r>
              <w:rPr>
                <w:szCs w:val="22"/>
              </w:rPr>
              <w:t xml:space="preserve">NA </w:t>
            </w:r>
            <w:r w:rsidRPr="00582B65">
              <w:rPr>
                <w:szCs w:val="22"/>
                <w:vertAlign w:val="superscript"/>
              </w:rPr>
              <w:t>(3)</w:t>
            </w:r>
          </w:p>
        </w:tc>
      </w:tr>
    </w:tbl>
    <w:p w14:paraId="5561154B" w14:textId="130CB115" w:rsidR="00D374E7" w:rsidRDefault="00D374E7" w:rsidP="00D374E7">
      <w:pPr>
        <w:spacing w:before="0"/>
        <w:rPr>
          <w:sz w:val="20"/>
          <w:szCs w:val="20"/>
        </w:rPr>
      </w:pPr>
      <w:r w:rsidRPr="00116557">
        <w:rPr>
          <w:sz w:val="20"/>
          <w:szCs w:val="20"/>
        </w:rPr>
        <w:t>(</w:t>
      </w:r>
      <w:r w:rsidRPr="001301E8">
        <w:rPr>
          <w:sz w:val="20"/>
          <w:szCs w:val="20"/>
        </w:rPr>
        <w:t>Sources: AB&amp;C 2017</w:t>
      </w:r>
      <w:r>
        <w:rPr>
          <w:sz w:val="20"/>
          <w:szCs w:val="20"/>
        </w:rPr>
        <w:t xml:space="preserve">, </w:t>
      </w:r>
      <w:r w:rsidRPr="001301E8">
        <w:rPr>
          <w:sz w:val="20"/>
          <w:szCs w:val="20"/>
        </w:rPr>
        <w:t>ABS 9309.0 2017</w:t>
      </w:r>
      <w:r>
        <w:rPr>
          <w:sz w:val="20"/>
          <w:szCs w:val="20"/>
        </w:rPr>
        <w:t xml:space="preserve">, </w:t>
      </w:r>
      <w:r w:rsidRPr="001301E8">
        <w:rPr>
          <w:sz w:val="20"/>
          <w:szCs w:val="20"/>
        </w:rPr>
        <w:t xml:space="preserve">ABS 9314.0 2017, </w:t>
      </w:r>
      <w:r w:rsidRPr="00FC4A96">
        <w:rPr>
          <w:sz w:val="20"/>
          <w:szCs w:val="20"/>
        </w:rPr>
        <w:t>AIP 2017, AMSA</w:t>
      </w:r>
      <w:r>
        <w:rPr>
          <w:sz w:val="20"/>
          <w:szCs w:val="20"/>
        </w:rPr>
        <w:t xml:space="preserve"> 2017, </w:t>
      </w:r>
      <w:r w:rsidRPr="009B32A1">
        <w:rPr>
          <w:sz w:val="20"/>
          <w:szCs w:val="20"/>
        </w:rPr>
        <w:t>BITRE 2016</w:t>
      </w:r>
      <w:r>
        <w:rPr>
          <w:sz w:val="20"/>
          <w:szCs w:val="20"/>
        </w:rPr>
        <w:t xml:space="preserve">, </w:t>
      </w:r>
      <w:r w:rsidRPr="009B32A1">
        <w:rPr>
          <w:sz w:val="20"/>
          <w:szCs w:val="20"/>
        </w:rPr>
        <w:t>BIC 2017</w:t>
      </w:r>
      <w:r>
        <w:rPr>
          <w:sz w:val="20"/>
          <w:szCs w:val="20"/>
        </w:rPr>
        <w:t xml:space="preserve">, </w:t>
      </w:r>
      <w:r w:rsidRPr="00140452">
        <w:rPr>
          <w:sz w:val="20"/>
          <w:szCs w:val="20"/>
        </w:rPr>
        <w:t>CVIAA 2016</w:t>
      </w:r>
      <w:r>
        <w:rPr>
          <w:sz w:val="20"/>
          <w:szCs w:val="20"/>
        </w:rPr>
        <w:t xml:space="preserve">, </w:t>
      </w:r>
      <w:r w:rsidRPr="001301E8">
        <w:rPr>
          <w:sz w:val="20"/>
          <w:szCs w:val="20"/>
        </w:rPr>
        <w:t>DoEE 2017, FCAI 2017 and industry informants)</w:t>
      </w:r>
    </w:p>
    <w:p w14:paraId="6E7DFF24" w14:textId="77777777" w:rsidR="000045FC" w:rsidRPr="00FB55D1" w:rsidRDefault="000045FC" w:rsidP="000045FC">
      <w:pPr>
        <w:snapToGrid w:val="0"/>
        <w:spacing w:before="60"/>
        <w:jc w:val="left"/>
        <w:rPr>
          <w:rFonts w:cs="Times New Roman"/>
          <w:sz w:val="20"/>
          <w:szCs w:val="20"/>
        </w:rPr>
      </w:pPr>
      <w:r w:rsidRPr="00FB55D1">
        <w:rPr>
          <w:rFonts w:cs="Times New Roman"/>
          <w:sz w:val="20"/>
          <w:szCs w:val="20"/>
        </w:rPr>
        <w:t>Notes:</w:t>
      </w:r>
    </w:p>
    <w:p w14:paraId="3295A83F" w14:textId="72661847" w:rsidR="000045FC" w:rsidRDefault="000045FC" w:rsidP="00FC735C">
      <w:pPr>
        <w:pStyle w:val="ListParagraph"/>
        <w:numPr>
          <w:ilvl w:val="0"/>
          <w:numId w:val="55"/>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Emissions of ODS </w:t>
      </w:r>
      <w:r w:rsidRPr="000045FC">
        <w:rPr>
          <w:rFonts w:ascii="Times New Roman" w:hAnsi="Times New Roman"/>
          <w:sz w:val="20"/>
          <w:szCs w:val="20"/>
        </w:rPr>
        <w:t>are not counted as part of the GHGs reported under the Kyoto Protocol or United Nations Convention on Climate Change, as they managed through the Montreal Protocol.</w:t>
      </w:r>
    </w:p>
    <w:p w14:paraId="51BE5CF8" w14:textId="4E1CFF15" w:rsidR="00521F58" w:rsidRDefault="00521F58" w:rsidP="00FC735C">
      <w:pPr>
        <w:pStyle w:val="ListParagraph"/>
        <w:numPr>
          <w:ilvl w:val="0"/>
          <w:numId w:val="55"/>
        </w:numPr>
        <w:spacing w:before="60" w:after="60" w:line="240" w:lineRule="auto"/>
        <w:contextualSpacing w:val="0"/>
        <w:jc w:val="both"/>
        <w:rPr>
          <w:rFonts w:ascii="Times New Roman" w:hAnsi="Times New Roman"/>
          <w:sz w:val="20"/>
          <w:szCs w:val="20"/>
        </w:rPr>
      </w:pPr>
      <w:r>
        <w:rPr>
          <w:rFonts w:ascii="Times New Roman" w:hAnsi="Times New Roman"/>
          <w:sz w:val="20"/>
          <w:szCs w:val="20"/>
        </w:rPr>
        <w:t>Pre-charged equipment is for all DoEE mobile AC categories including m</w:t>
      </w:r>
      <w:r w:rsidRPr="00521F58">
        <w:rPr>
          <w:rFonts w:ascii="Times New Roman" w:hAnsi="Times New Roman"/>
          <w:sz w:val="20"/>
          <w:szCs w:val="20"/>
        </w:rPr>
        <w:t>otor vehicle, watercraft or aircraft air-conditioning</w:t>
      </w:r>
      <w:r>
        <w:rPr>
          <w:rFonts w:ascii="Times New Roman" w:hAnsi="Times New Roman"/>
          <w:sz w:val="20"/>
          <w:szCs w:val="20"/>
        </w:rPr>
        <w:t xml:space="preserve">. </w:t>
      </w:r>
      <w:r w:rsidR="009F5EAE">
        <w:rPr>
          <w:rFonts w:ascii="Times New Roman" w:hAnsi="Times New Roman"/>
          <w:sz w:val="20"/>
          <w:szCs w:val="20"/>
        </w:rPr>
        <w:t>Therefore,</w:t>
      </w:r>
      <w:r>
        <w:rPr>
          <w:rFonts w:ascii="Times New Roman" w:hAnsi="Times New Roman"/>
          <w:sz w:val="20"/>
          <w:szCs w:val="20"/>
        </w:rPr>
        <w:t xml:space="preserve"> this is not an exact comparison however the very large majority of these imports are v</w:t>
      </w:r>
      <w:r w:rsidRPr="00521F58">
        <w:rPr>
          <w:rFonts w:ascii="Times New Roman" w:hAnsi="Times New Roman"/>
          <w:sz w:val="20"/>
          <w:szCs w:val="20"/>
        </w:rPr>
        <w:t>ehicles with gross vehicle mass (GVM) &lt; 3.5 tonnes</w:t>
      </w:r>
      <w:r>
        <w:rPr>
          <w:rFonts w:ascii="Times New Roman" w:hAnsi="Times New Roman"/>
          <w:sz w:val="20"/>
          <w:szCs w:val="20"/>
        </w:rPr>
        <w:t>.</w:t>
      </w:r>
    </w:p>
    <w:p w14:paraId="5A4F74B8" w14:textId="50AC7737" w:rsidR="00582B65" w:rsidRPr="00FB55D1" w:rsidRDefault="00582B65" w:rsidP="00FC735C">
      <w:pPr>
        <w:pStyle w:val="ListParagraph"/>
        <w:numPr>
          <w:ilvl w:val="0"/>
          <w:numId w:val="55"/>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The direct emissions in 2012 cannot be directly compared to 2016 as CHF2 is an assessment of a full bank and CHF3 is an assessment of a partially full bank.  </w:t>
      </w:r>
    </w:p>
    <w:p w14:paraId="4B51BC6C" w14:textId="6DFFD119" w:rsidR="00D374E7" w:rsidRDefault="00D374E7" w:rsidP="00D374E7"/>
    <w:p w14:paraId="75D28255" w14:textId="77777777" w:rsidR="0056567F" w:rsidRDefault="0056567F" w:rsidP="0056567F">
      <w:pPr>
        <w:pStyle w:val="Heading2"/>
        <w:ind w:left="567" w:hanging="567"/>
      </w:pPr>
      <w:bookmarkStart w:id="35" w:name="_Toc494190149"/>
      <w:bookmarkStart w:id="36" w:name="_Toc525141264"/>
      <w:bookmarkEnd w:id="33"/>
      <w:r w:rsidRPr="001A7965">
        <w:t>Refrigerated cold food chain</w:t>
      </w:r>
      <w:bookmarkEnd w:id="35"/>
      <w:bookmarkEnd w:id="36"/>
    </w:p>
    <w:p w14:paraId="098AB138" w14:textId="77777777" w:rsidR="00253FFD" w:rsidRDefault="002B6D25" w:rsidP="00253FFD">
      <w:pPr>
        <w:rPr>
          <w:b/>
          <w:szCs w:val="22"/>
        </w:rPr>
      </w:pPr>
      <w:r w:rsidRPr="00635E8E">
        <w:rPr>
          <w:b/>
          <w:szCs w:val="22"/>
        </w:rPr>
        <w:t>Introduction</w:t>
      </w:r>
    </w:p>
    <w:p w14:paraId="44D2C0EC" w14:textId="049260CF" w:rsidR="002B6D25" w:rsidRDefault="002B6D25" w:rsidP="00253FFD">
      <w:pPr>
        <w:rPr>
          <w:szCs w:val="22"/>
        </w:rPr>
      </w:pPr>
      <w:r>
        <w:rPr>
          <w:szCs w:val="22"/>
        </w:rPr>
        <w:t>More than any other segment of the RAC industry, the refrigerated cold food chain (RCFC) is essential to the maintenance of our modern way of life. The RCFC is an essential piece of infrastructure without which it would be impossible to supply cities with the millions of tonnes of fresh food that are needed to sustain them. Without a highly reliable and extensive cold food chain, modern cities simply could not exist.</w:t>
      </w:r>
    </w:p>
    <w:p w14:paraId="64400642" w14:textId="77777777" w:rsidR="002B6D25" w:rsidRPr="009B14B7" w:rsidRDefault="002B6D25" w:rsidP="00253FFD">
      <w:pPr>
        <w:rPr>
          <w:szCs w:val="22"/>
        </w:rPr>
      </w:pPr>
      <w:r w:rsidRPr="009B14B7">
        <w:rPr>
          <w:szCs w:val="22"/>
        </w:rPr>
        <w:t>Food production and consumption, and all the associated activity and employment, also makes up a considerable part of the Australian economy.</w:t>
      </w:r>
    </w:p>
    <w:p w14:paraId="073CFABB" w14:textId="6A2F14BF" w:rsidR="002B6D25" w:rsidRPr="009B14B7" w:rsidRDefault="002B6D25" w:rsidP="00253FFD">
      <w:pPr>
        <w:rPr>
          <w:szCs w:val="22"/>
        </w:rPr>
      </w:pPr>
      <w:r w:rsidRPr="009B14B7">
        <w:rPr>
          <w:szCs w:val="22"/>
        </w:rPr>
        <w:t>In Australia, total household food expenditure (which includes eating out) was $92 billion in 2015-16</w:t>
      </w:r>
      <w:r w:rsidR="00582B65">
        <w:rPr>
          <w:szCs w:val="22"/>
        </w:rPr>
        <w:t>.</w:t>
      </w:r>
      <w:r>
        <w:rPr>
          <w:rStyle w:val="FootnoteReference"/>
          <w:szCs w:val="22"/>
        </w:rPr>
        <w:footnoteReference w:id="21"/>
      </w:r>
      <w:r>
        <w:rPr>
          <w:rFonts w:ascii="Cambria" w:hAnsi="Cambria"/>
          <w:szCs w:val="22"/>
        </w:rPr>
        <w:t xml:space="preserve"> </w:t>
      </w:r>
      <w:r w:rsidRPr="009B14B7">
        <w:rPr>
          <w:szCs w:val="22"/>
        </w:rPr>
        <w:t>More than half of this reported household expenditure is on food that requires at least some, if not full-time refrigeration. At least 44% of average household food expenditure (not including eating out) is on food that generally has to be refrigerated including meat, fish and seafood (15</w:t>
      </w:r>
      <w:r w:rsidR="00C9319D">
        <w:rPr>
          <w:szCs w:val="22"/>
        </w:rPr>
        <w:t>%</w:t>
      </w:r>
      <w:r w:rsidRPr="009B14B7">
        <w:rPr>
          <w:szCs w:val="22"/>
        </w:rPr>
        <w:t xml:space="preserve"> of average expenditure), dairy products (7</w:t>
      </w:r>
      <w:r w:rsidR="00C9319D">
        <w:rPr>
          <w:szCs w:val="22"/>
        </w:rPr>
        <w:t>%</w:t>
      </w:r>
      <w:r w:rsidRPr="009B14B7">
        <w:rPr>
          <w:szCs w:val="22"/>
        </w:rPr>
        <w:t>), fruit and vegetables (13</w:t>
      </w:r>
      <w:r w:rsidR="00C9319D">
        <w:rPr>
          <w:szCs w:val="22"/>
        </w:rPr>
        <w:t>%</w:t>
      </w:r>
      <w:r w:rsidRPr="009B14B7">
        <w:rPr>
          <w:szCs w:val="22"/>
        </w:rPr>
        <w:t>), and non-alcoholic beverages (8</w:t>
      </w:r>
      <w:r w:rsidR="00C9319D">
        <w:rPr>
          <w:szCs w:val="22"/>
        </w:rPr>
        <w:t>%</w:t>
      </w:r>
      <w:r w:rsidRPr="009B14B7">
        <w:rPr>
          <w:szCs w:val="22"/>
        </w:rPr>
        <w:t>).</w:t>
      </w:r>
    </w:p>
    <w:p w14:paraId="496B88DD" w14:textId="4DBCBBF0" w:rsidR="002B6D25" w:rsidRPr="009B14B7" w:rsidRDefault="002B6D25" w:rsidP="00253FFD">
      <w:pPr>
        <w:rPr>
          <w:szCs w:val="22"/>
        </w:rPr>
      </w:pPr>
      <w:r w:rsidRPr="009B14B7">
        <w:rPr>
          <w:szCs w:val="22"/>
        </w:rPr>
        <w:t>The balance of household expenditure on food includes meals out and fast foods (31</w:t>
      </w:r>
      <w:r w:rsidR="00C9319D">
        <w:rPr>
          <w:szCs w:val="22"/>
        </w:rPr>
        <w:t>%</w:t>
      </w:r>
      <w:r w:rsidRPr="009B14B7">
        <w:rPr>
          <w:szCs w:val="22"/>
        </w:rPr>
        <w:t>), condiments, confectionery, food additives and prepared meals (11</w:t>
      </w:r>
      <w:r w:rsidR="00C9319D">
        <w:rPr>
          <w:szCs w:val="22"/>
        </w:rPr>
        <w:t>%</w:t>
      </w:r>
      <w:r w:rsidRPr="009B14B7">
        <w:rPr>
          <w:szCs w:val="22"/>
        </w:rPr>
        <w:t>), bakery products, flour and cereals (10</w:t>
      </w:r>
      <w:r w:rsidR="00C9319D">
        <w:rPr>
          <w:szCs w:val="22"/>
        </w:rPr>
        <w:t>%</w:t>
      </w:r>
      <w:r w:rsidRPr="009B14B7">
        <w:rPr>
          <w:szCs w:val="22"/>
        </w:rPr>
        <w:t xml:space="preserve">). It would be safe to assume that at least half of the food purchased during eating out, in fast food purchases and in prepared meals will have been refrigerated at some point. As such we can conclude that as much as 60% of </w:t>
      </w:r>
      <w:r w:rsidR="00071A33">
        <w:rPr>
          <w:szCs w:val="22"/>
        </w:rPr>
        <w:t xml:space="preserve">total </w:t>
      </w:r>
      <w:r w:rsidRPr="009B14B7">
        <w:rPr>
          <w:szCs w:val="22"/>
        </w:rPr>
        <w:t xml:space="preserve">household food expenditure is on foods that have been delivered via the cold food chain, or more than </w:t>
      </w:r>
      <w:r w:rsidRPr="009B14B7">
        <w:rPr>
          <w:szCs w:val="22"/>
        </w:rPr>
        <w:lastRenderedPageBreak/>
        <w:t>$</w:t>
      </w:r>
      <w:r w:rsidR="009D3D57" w:rsidRPr="009B14B7">
        <w:rPr>
          <w:szCs w:val="22"/>
        </w:rPr>
        <w:t>55</w:t>
      </w:r>
      <w:r w:rsidR="009D3D57">
        <w:rPr>
          <w:szCs w:val="22"/>
        </w:rPr>
        <w:t> </w:t>
      </w:r>
      <w:r w:rsidRPr="009B14B7">
        <w:rPr>
          <w:szCs w:val="22"/>
        </w:rPr>
        <w:t>billion worth of annual food expenditures. This is a figure that will grow closely aligned to population growth.</w:t>
      </w:r>
    </w:p>
    <w:p w14:paraId="3D6E5137" w14:textId="77777777" w:rsidR="002B6D25" w:rsidRPr="009B14B7" w:rsidRDefault="002B6D25" w:rsidP="00253FFD">
      <w:pPr>
        <w:rPr>
          <w:szCs w:val="22"/>
        </w:rPr>
      </w:pPr>
      <w:r w:rsidRPr="009B14B7">
        <w:rPr>
          <w:szCs w:val="22"/>
        </w:rPr>
        <w:t xml:space="preserve">With perishable refrigerated food exports now delivering a significant and growing proportion of national export income, Australia’s reliance on the cold food chain extends to its national economic well-being. In March 2017 UBS reported that farm production contributed more to GDP in the previous 12 months than the housing sector did. </w:t>
      </w:r>
    </w:p>
    <w:p w14:paraId="4C2E7708" w14:textId="3F0DEB03" w:rsidR="002B6D25" w:rsidRPr="009B14B7" w:rsidRDefault="002B6D25" w:rsidP="00253FFD">
      <w:pPr>
        <w:rPr>
          <w:szCs w:val="22"/>
        </w:rPr>
      </w:pPr>
      <w:r w:rsidRPr="009B14B7">
        <w:rPr>
          <w:szCs w:val="22"/>
        </w:rPr>
        <w:t>Delivering the keynote address to the Global Food Forum</w:t>
      </w:r>
      <w:r w:rsidRPr="009B14B7">
        <w:rPr>
          <w:rFonts w:ascii="Cambria" w:hAnsi="Cambria"/>
          <w:vertAlign w:val="superscript"/>
        </w:rPr>
        <w:footnoteReference w:id="22"/>
      </w:r>
      <w:r w:rsidRPr="000D5531">
        <w:rPr>
          <w:rFonts w:ascii="Cambria" w:hAnsi="Cambria"/>
        </w:rPr>
        <w:t xml:space="preserve"> </w:t>
      </w:r>
      <w:r w:rsidRPr="009B14B7">
        <w:rPr>
          <w:szCs w:val="22"/>
        </w:rPr>
        <w:t>only a week after the UBS analysis was released, Anthony Pratt, the US-based billionaire Australian and owner of global packaging giant, Visy, told the audience that Australian food exports had risen 60% between 2012 and 2016 to be worth more than $</w:t>
      </w:r>
      <w:r w:rsidR="00A27581" w:rsidRPr="009B14B7">
        <w:rPr>
          <w:szCs w:val="22"/>
        </w:rPr>
        <w:t>44</w:t>
      </w:r>
      <w:r w:rsidR="00A27581">
        <w:rPr>
          <w:szCs w:val="22"/>
        </w:rPr>
        <w:t> </w:t>
      </w:r>
      <w:r w:rsidRPr="009B14B7">
        <w:rPr>
          <w:szCs w:val="22"/>
        </w:rPr>
        <w:t>billion. The Global Food Forum, that was started in Australia in 2013, has declared a target of $100 billion in annual food exports from Australia.</w:t>
      </w:r>
    </w:p>
    <w:p w14:paraId="2D9955C2" w14:textId="77777777" w:rsidR="002B6D25" w:rsidRPr="009B14B7" w:rsidRDefault="002B6D25" w:rsidP="00253FFD">
      <w:pPr>
        <w:rPr>
          <w:szCs w:val="22"/>
        </w:rPr>
      </w:pPr>
      <w:r w:rsidRPr="009B14B7">
        <w:rPr>
          <w:szCs w:val="22"/>
        </w:rPr>
        <w:t xml:space="preserve">For a lot of perishable produce, such as soft berries, most fruits and a large proportion of vegetable crops, the cold food chain starts inside the farm gate with refrigeration commencing as soon as possible after picking. Similarly, with fish and crustaceans immediate refrigeration at the correct temperatures corresponds directly to shelf life and thus economic viability of the wild or farmed harvest. </w:t>
      </w:r>
    </w:p>
    <w:p w14:paraId="6E7BC3DF" w14:textId="3B5AF3AE" w:rsidR="002B6D25" w:rsidRPr="009B14B7" w:rsidRDefault="002B6D25" w:rsidP="00253FFD">
      <w:pPr>
        <w:rPr>
          <w:szCs w:val="22"/>
        </w:rPr>
      </w:pPr>
      <w:r w:rsidRPr="009B14B7">
        <w:rPr>
          <w:szCs w:val="22"/>
        </w:rPr>
        <w:t>In recent years ‘climate control’ systems using permanent structures and, at this point, primarily passive ventilation, has extended right over the field with advanced farming mega-structures being installed over vegetable and fruit production in Queensland and Tasmania</w:t>
      </w:r>
      <w:r>
        <w:rPr>
          <w:rStyle w:val="FootnoteReference"/>
          <w:szCs w:val="22"/>
        </w:rPr>
        <w:footnoteReference w:id="23"/>
      </w:r>
      <w:r>
        <w:rPr>
          <w:szCs w:val="22"/>
        </w:rPr>
        <w:t xml:space="preserve">. </w:t>
      </w:r>
      <w:r w:rsidRPr="009B14B7">
        <w:rPr>
          <w:szCs w:val="22"/>
        </w:rPr>
        <w:t xml:space="preserve">It is unlikely to be long before these examples of intensive agriculture bring some forms of refrigeration right into the growing process to manage </w:t>
      </w:r>
      <w:r>
        <w:rPr>
          <w:szCs w:val="22"/>
        </w:rPr>
        <w:t xml:space="preserve">the </w:t>
      </w:r>
      <w:r w:rsidRPr="009B14B7">
        <w:rPr>
          <w:szCs w:val="22"/>
        </w:rPr>
        <w:t xml:space="preserve">risk of damaging higher temperatures and control humidity. Given the pace at which these systems for ‘farming under cover’ are proliferating and proving to be highly </w:t>
      </w:r>
      <w:r w:rsidR="00F3555C">
        <w:rPr>
          <w:szCs w:val="22"/>
        </w:rPr>
        <w:t>economicall</w:t>
      </w:r>
      <w:r w:rsidR="00A27581">
        <w:rPr>
          <w:szCs w:val="22"/>
        </w:rPr>
        <w:t>y</w:t>
      </w:r>
      <w:r w:rsidR="00F3555C">
        <w:rPr>
          <w:szCs w:val="22"/>
        </w:rPr>
        <w:t xml:space="preserve"> </w:t>
      </w:r>
      <w:r w:rsidR="002A04A3">
        <w:rPr>
          <w:szCs w:val="22"/>
        </w:rPr>
        <w:t xml:space="preserve">viable </w:t>
      </w:r>
      <w:r w:rsidRPr="009B14B7">
        <w:rPr>
          <w:szCs w:val="22"/>
        </w:rPr>
        <w:t>at certain scales, it is almost inevitable that this will lead to controlled climate</w:t>
      </w:r>
      <w:r w:rsidR="00F3555C">
        <w:rPr>
          <w:szCs w:val="22"/>
        </w:rPr>
        <w:t>,</w:t>
      </w:r>
      <w:r w:rsidRPr="009B14B7">
        <w:rPr>
          <w:szCs w:val="22"/>
        </w:rPr>
        <w:t xml:space="preserve"> and</w:t>
      </w:r>
      <w:r>
        <w:rPr>
          <w:rFonts w:ascii="Cambria" w:hAnsi="Cambria"/>
        </w:rPr>
        <w:t xml:space="preserve"> </w:t>
      </w:r>
      <w:r w:rsidRPr="009B14B7">
        <w:rPr>
          <w:szCs w:val="22"/>
        </w:rPr>
        <w:t>controlled atmosphere</w:t>
      </w:r>
      <w:r w:rsidR="00F3555C">
        <w:rPr>
          <w:szCs w:val="22"/>
        </w:rPr>
        <w:t>,</w:t>
      </w:r>
      <w:r w:rsidRPr="009B14B7">
        <w:rPr>
          <w:szCs w:val="22"/>
        </w:rPr>
        <w:t xml:space="preserve"> </w:t>
      </w:r>
      <w:r w:rsidR="00F3555C">
        <w:rPr>
          <w:szCs w:val="22"/>
        </w:rPr>
        <w:t>horticulture</w:t>
      </w:r>
      <w:r w:rsidRPr="009B14B7">
        <w:rPr>
          <w:szCs w:val="22"/>
        </w:rPr>
        <w:t xml:space="preserve"> for optimal yields, pest and fungal controls and management of pollination and ripening processes and timing. </w:t>
      </w:r>
    </w:p>
    <w:p w14:paraId="7964703F" w14:textId="5896055C" w:rsidR="002B6D25" w:rsidRPr="0045088E" w:rsidRDefault="002B6D25" w:rsidP="002B6D25">
      <w:pPr>
        <w:rPr>
          <w:szCs w:val="22"/>
        </w:rPr>
      </w:pPr>
      <w:bookmarkStart w:id="37" w:name="_Hlk508551306"/>
      <w:r w:rsidRPr="0045088E">
        <w:rPr>
          <w:szCs w:val="22"/>
        </w:rPr>
        <w:t>Total farm gate production of food in Australia w</w:t>
      </w:r>
      <w:r w:rsidR="00A379C3" w:rsidRPr="0045088E">
        <w:rPr>
          <w:szCs w:val="22"/>
        </w:rPr>
        <w:t>as</w:t>
      </w:r>
      <w:r w:rsidRPr="0045088E">
        <w:rPr>
          <w:szCs w:val="22"/>
        </w:rPr>
        <w:t xml:space="preserve"> estimated to be worth some $</w:t>
      </w:r>
      <w:r w:rsidR="00BB201E" w:rsidRPr="0045088E">
        <w:rPr>
          <w:szCs w:val="22"/>
        </w:rPr>
        <w:t>63</w:t>
      </w:r>
      <w:r w:rsidRPr="0045088E">
        <w:rPr>
          <w:szCs w:val="22"/>
        </w:rPr>
        <w:t xml:space="preserve"> billion in 2016 (</w:t>
      </w:r>
      <w:r w:rsidRPr="0045088E">
        <w:rPr>
          <w:i/>
          <w:szCs w:val="22"/>
        </w:rPr>
        <w:t>CHF2 $</w:t>
      </w:r>
      <w:r w:rsidR="00BB201E" w:rsidRPr="0045088E">
        <w:rPr>
          <w:i/>
          <w:szCs w:val="22"/>
        </w:rPr>
        <w:t>49</w:t>
      </w:r>
      <w:r w:rsidRPr="0045088E">
        <w:rPr>
          <w:i/>
          <w:szCs w:val="22"/>
        </w:rPr>
        <w:t xml:space="preserve"> billion</w:t>
      </w:r>
      <w:r w:rsidRPr="0045088E">
        <w:rPr>
          <w:szCs w:val="22"/>
        </w:rPr>
        <w:t xml:space="preserve">) more than </w:t>
      </w:r>
      <w:r w:rsidR="00BB201E" w:rsidRPr="0045088E">
        <w:rPr>
          <w:szCs w:val="22"/>
        </w:rPr>
        <w:t>75</w:t>
      </w:r>
      <w:r w:rsidRPr="0045088E">
        <w:rPr>
          <w:szCs w:val="22"/>
        </w:rPr>
        <w:t>% of that, worth more than $</w:t>
      </w:r>
      <w:r w:rsidR="00BB201E" w:rsidRPr="0045088E">
        <w:rPr>
          <w:szCs w:val="22"/>
        </w:rPr>
        <w:t>48</w:t>
      </w:r>
      <w:r w:rsidRPr="0045088E">
        <w:rPr>
          <w:szCs w:val="22"/>
        </w:rPr>
        <w:t xml:space="preserve"> billion (</w:t>
      </w:r>
      <w:r w:rsidRPr="0045088E">
        <w:rPr>
          <w:i/>
          <w:szCs w:val="22"/>
        </w:rPr>
        <w:t xml:space="preserve">CHF2 </w:t>
      </w:r>
      <w:r w:rsidR="00BB201E" w:rsidRPr="0045088E">
        <w:rPr>
          <w:i/>
          <w:szCs w:val="22"/>
        </w:rPr>
        <w:t>75</w:t>
      </w:r>
      <w:r w:rsidRPr="0045088E">
        <w:rPr>
          <w:i/>
          <w:szCs w:val="22"/>
        </w:rPr>
        <w:t>% and $3</w:t>
      </w:r>
      <w:r w:rsidR="00BB201E" w:rsidRPr="0045088E">
        <w:rPr>
          <w:i/>
          <w:szCs w:val="22"/>
        </w:rPr>
        <w:t>8</w:t>
      </w:r>
      <w:r w:rsidRPr="0045088E">
        <w:rPr>
          <w:i/>
          <w:szCs w:val="22"/>
        </w:rPr>
        <w:t xml:space="preserve"> billion</w:t>
      </w:r>
      <w:r w:rsidRPr="0045088E">
        <w:rPr>
          <w:szCs w:val="22"/>
        </w:rPr>
        <w:t xml:space="preserve">) was exported, contributing directly to the diets and </w:t>
      </w:r>
      <w:r w:rsidR="009F5EAE" w:rsidRPr="0045088E">
        <w:rPr>
          <w:szCs w:val="22"/>
        </w:rPr>
        <w:t>wellbeing</w:t>
      </w:r>
      <w:r w:rsidRPr="0045088E">
        <w:rPr>
          <w:szCs w:val="22"/>
        </w:rPr>
        <w:t xml:space="preserve"> of </w:t>
      </w:r>
      <w:r w:rsidR="00C4192D" w:rsidRPr="0045088E">
        <w:rPr>
          <w:szCs w:val="22"/>
        </w:rPr>
        <w:t>tens of</w:t>
      </w:r>
      <w:r w:rsidRPr="0045088E">
        <w:rPr>
          <w:szCs w:val="22"/>
        </w:rPr>
        <w:t xml:space="preserve"> </w:t>
      </w:r>
      <w:r w:rsidR="0045088E" w:rsidRPr="0045088E">
        <w:rPr>
          <w:szCs w:val="22"/>
        </w:rPr>
        <w:t>millions of</w:t>
      </w:r>
      <w:r w:rsidRPr="0045088E">
        <w:rPr>
          <w:szCs w:val="22"/>
        </w:rPr>
        <w:t xml:space="preserve"> people over and above the Australian population of 2</w:t>
      </w:r>
      <w:r w:rsidR="005646D1">
        <w:rPr>
          <w:szCs w:val="22"/>
        </w:rPr>
        <w:t>5</w:t>
      </w:r>
      <w:r w:rsidRPr="0045088E">
        <w:rPr>
          <w:szCs w:val="22"/>
        </w:rPr>
        <w:t xml:space="preserve"> million</w:t>
      </w:r>
      <w:r w:rsidR="00BB1FFD">
        <w:rPr>
          <w:szCs w:val="22"/>
        </w:rPr>
        <w:t xml:space="preserve"> (ABS August 20</w:t>
      </w:r>
      <w:r w:rsidR="00091697">
        <w:rPr>
          <w:szCs w:val="22"/>
        </w:rPr>
        <w:t>18)</w:t>
      </w:r>
      <w:r w:rsidRPr="0045088E">
        <w:rPr>
          <w:szCs w:val="22"/>
        </w:rPr>
        <w:t xml:space="preserve">. </w:t>
      </w:r>
    </w:p>
    <w:p w14:paraId="1D330CA3" w14:textId="2FE43BB8" w:rsidR="002B6D25" w:rsidRPr="0027449B" w:rsidRDefault="002B6D25" w:rsidP="002B6D25">
      <w:pPr>
        <w:rPr>
          <w:szCs w:val="22"/>
        </w:rPr>
      </w:pPr>
      <w:r w:rsidRPr="0045088E">
        <w:rPr>
          <w:szCs w:val="22"/>
        </w:rPr>
        <w:t>Total production of perishable foods that require an unbroken chain of refrigeration from the point of production to the point of consumption</w:t>
      </w:r>
      <w:r w:rsidR="001A62F0" w:rsidRPr="0045088E">
        <w:rPr>
          <w:szCs w:val="22"/>
        </w:rPr>
        <w:t>, such as dairy products, seafood, meat and much fruit and vegetable production,</w:t>
      </w:r>
      <w:r w:rsidRPr="0045088E">
        <w:rPr>
          <w:szCs w:val="22"/>
        </w:rPr>
        <w:t xml:space="preserve"> was worth more than an estimated $</w:t>
      </w:r>
      <w:r w:rsidR="008913BA" w:rsidRPr="0045088E">
        <w:rPr>
          <w:szCs w:val="22"/>
        </w:rPr>
        <w:t>3</w:t>
      </w:r>
      <w:r w:rsidR="001A62F0" w:rsidRPr="0045088E">
        <w:rPr>
          <w:szCs w:val="22"/>
        </w:rPr>
        <w:t>8</w:t>
      </w:r>
      <w:r w:rsidRPr="0045088E">
        <w:rPr>
          <w:szCs w:val="22"/>
        </w:rPr>
        <w:t xml:space="preserve"> billion at the farm gate (</w:t>
      </w:r>
      <w:r w:rsidRPr="0045088E">
        <w:rPr>
          <w:i/>
          <w:szCs w:val="22"/>
        </w:rPr>
        <w:t>CHF2 $28 billion</w:t>
      </w:r>
      <w:r w:rsidRPr="0045088E">
        <w:rPr>
          <w:szCs w:val="22"/>
        </w:rPr>
        <w:t>). Approximately $</w:t>
      </w:r>
      <w:r w:rsidR="00BB201E" w:rsidRPr="0045088E">
        <w:rPr>
          <w:szCs w:val="22"/>
        </w:rPr>
        <w:t>1</w:t>
      </w:r>
      <w:r w:rsidR="00FC7A8F" w:rsidRPr="0045088E">
        <w:rPr>
          <w:szCs w:val="22"/>
        </w:rPr>
        <w:t>8.8</w:t>
      </w:r>
      <w:r w:rsidRPr="0045088E">
        <w:rPr>
          <w:szCs w:val="22"/>
        </w:rPr>
        <w:t xml:space="preserve"> billion was earned from export of perishable foods in 2016 (CHF2 $11 billion). At the same time Australian’s dined out on more than $</w:t>
      </w:r>
      <w:r w:rsidR="005D17E6" w:rsidRPr="0045088E">
        <w:rPr>
          <w:szCs w:val="22"/>
        </w:rPr>
        <w:t>17</w:t>
      </w:r>
      <w:r w:rsidRPr="0045088E">
        <w:rPr>
          <w:szCs w:val="22"/>
        </w:rPr>
        <w:t xml:space="preserve"> billion worth of </w:t>
      </w:r>
      <w:r w:rsidR="001B112A" w:rsidRPr="0045088E">
        <w:rPr>
          <w:szCs w:val="22"/>
        </w:rPr>
        <w:t xml:space="preserve">total </w:t>
      </w:r>
      <w:r w:rsidRPr="0045088E">
        <w:rPr>
          <w:szCs w:val="22"/>
        </w:rPr>
        <w:t>food imports in 2016, (</w:t>
      </w:r>
      <w:r w:rsidRPr="0045088E">
        <w:rPr>
          <w:i/>
          <w:szCs w:val="22"/>
        </w:rPr>
        <w:t>CHF2 $1</w:t>
      </w:r>
      <w:r w:rsidR="00BB201E" w:rsidRPr="0045088E">
        <w:rPr>
          <w:i/>
          <w:szCs w:val="22"/>
        </w:rPr>
        <w:t>1</w:t>
      </w:r>
      <w:r w:rsidRPr="0045088E">
        <w:rPr>
          <w:i/>
          <w:szCs w:val="22"/>
        </w:rPr>
        <w:t xml:space="preserve"> billion</w:t>
      </w:r>
      <w:r w:rsidRPr="0045088E">
        <w:rPr>
          <w:szCs w:val="22"/>
        </w:rPr>
        <w:t>) at least 40% of which was likely to be refrigerated.</w:t>
      </w:r>
    </w:p>
    <w:bookmarkEnd w:id="37"/>
    <w:p w14:paraId="4A78847C" w14:textId="159A3187" w:rsidR="002B6D25" w:rsidRPr="009B14B7" w:rsidRDefault="002B6D25" w:rsidP="002B6D25">
      <w:pPr>
        <w:rPr>
          <w:szCs w:val="22"/>
        </w:rPr>
      </w:pPr>
      <w:r w:rsidRPr="009B14B7">
        <w:rPr>
          <w:szCs w:val="22"/>
        </w:rPr>
        <w:t xml:space="preserve">While being one of the smaller classes in terms of the portion of the bank </w:t>
      </w:r>
      <w:r w:rsidR="009F5EAE" w:rsidRPr="009B14B7">
        <w:rPr>
          <w:szCs w:val="22"/>
        </w:rPr>
        <w:t>employed and</w:t>
      </w:r>
      <w:r w:rsidRPr="009B14B7">
        <w:rPr>
          <w:szCs w:val="22"/>
        </w:rPr>
        <w:t xml:space="preserve"> being the smallest in terms of the individual pieces of stock of equipment, the refrigerated cold food chain is thought to be the largest </w:t>
      </w:r>
      <w:r w:rsidR="00C4192D">
        <w:rPr>
          <w:szCs w:val="22"/>
        </w:rPr>
        <w:t>generator</w:t>
      </w:r>
      <w:r w:rsidRPr="009B14B7">
        <w:rPr>
          <w:szCs w:val="22"/>
        </w:rPr>
        <w:t xml:space="preserve"> of </w:t>
      </w:r>
      <w:r w:rsidR="00114CA6">
        <w:rPr>
          <w:szCs w:val="22"/>
        </w:rPr>
        <w:t xml:space="preserve">direct </w:t>
      </w:r>
      <w:r w:rsidR="00C4192D">
        <w:rPr>
          <w:szCs w:val="22"/>
        </w:rPr>
        <w:t xml:space="preserve">and indirect </w:t>
      </w:r>
      <w:r w:rsidRPr="009B14B7">
        <w:rPr>
          <w:szCs w:val="22"/>
        </w:rPr>
        <w:t xml:space="preserve">employment </w:t>
      </w:r>
      <w:r w:rsidR="00C4192D">
        <w:rPr>
          <w:szCs w:val="22"/>
        </w:rPr>
        <w:t>associated with</w:t>
      </w:r>
      <w:r w:rsidRPr="009B14B7">
        <w:rPr>
          <w:szCs w:val="22"/>
        </w:rPr>
        <w:t xml:space="preserve"> the </w:t>
      </w:r>
      <w:r w:rsidR="00701343">
        <w:rPr>
          <w:szCs w:val="22"/>
        </w:rPr>
        <w:t xml:space="preserve">RAC </w:t>
      </w:r>
      <w:r w:rsidRPr="009B14B7">
        <w:rPr>
          <w:szCs w:val="22"/>
        </w:rPr>
        <w:t xml:space="preserve">industry, including the people employed in the refrigerated transport task. </w:t>
      </w:r>
    </w:p>
    <w:p w14:paraId="0C7F5687" w14:textId="77777777" w:rsidR="002B6D25" w:rsidRPr="009B14B7" w:rsidRDefault="002B6D25" w:rsidP="002B6D25">
      <w:pPr>
        <w:rPr>
          <w:szCs w:val="22"/>
        </w:rPr>
      </w:pPr>
      <w:r w:rsidRPr="009B14B7">
        <w:rPr>
          <w:szCs w:val="22"/>
        </w:rPr>
        <w:t>Refriger</w:t>
      </w:r>
      <w:r>
        <w:rPr>
          <w:szCs w:val="22"/>
        </w:rPr>
        <w:t>ated preservation of food</w:t>
      </w:r>
      <w:r w:rsidRPr="009B14B7">
        <w:rPr>
          <w:szCs w:val="22"/>
        </w:rPr>
        <w:t xml:space="preserve"> is the original purpose for which the underlying technology of vapour compression refrigeration was developed and, as a result, refrigerating systems for maintaining food have been in constant technological development for more than 150 years. </w:t>
      </w:r>
    </w:p>
    <w:p w14:paraId="0C27257B" w14:textId="48DCC53C" w:rsidR="002B6D25" w:rsidRPr="009B14B7" w:rsidRDefault="002B6D25" w:rsidP="002B6D25">
      <w:pPr>
        <w:rPr>
          <w:szCs w:val="22"/>
        </w:rPr>
      </w:pPr>
      <w:r w:rsidRPr="009B14B7">
        <w:rPr>
          <w:szCs w:val="22"/>
        </w:rPr>
        <w:t>As such it is no surprise that, while the refrigerated co</w:t>
      </w:r>
      <w:r>
        <w:rPr>
          <w:szCs w:val="22"/>
        </w:rPr>
        <w:t xml:space="preserve">ld food chain </w:t>
      </w:r>
      <w:r w:rsidRPr="009B14B7">
        <w:rPr>
          <w:szCs w:val="22"/>
        </w:rPr>
        <w:t xml:space="preserve">is not numerically the largest class of equipment employed, it is characterised by having more variety of formats and mechanical styles for delivery of cooling services than any of the other classes. </w:t>
      </w:r>
    </w:p>
    <w:p w14:paraId="54D58825" w14:textId="77777777" w:rsidR="002B6D25" w:rsidRDefault="002B6D25" w:rsidP="002B6D25">
      <w:pPr>
        <w:rPr>
          <w:szCs w:val="22"/>
        </w:rPr>
      </w:pPr>
      <w:r>
        <w:rPr>
          <w:szCs w:val="22"/>
        </w:rPr>
        <w:lastRenderedPageBreak/>
        <w:t>Starting inside the ‘farm gate’ and extending into every aspect of food retail and hospitality, the cold food chain is built on several distinct technology segments including:</w:t>
      </w:r>
    </w:p>
    <w:p w14:paraId="1ED4D094" w14:textId="3657F692"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Cool rooms alongside the packing sheds in egg, meat</w:t>
      </w:r>
      <w:r w:rsidR="00C338D6">
        <w:rPr>
          <w:rFonts w:ascii="Times New Roman" w:hAnsi="Times New Roman"/>
        </w:rPr>
        <w:t>,</w:t>
      </w:r>
      <w:r w:rsidRPr="00253FFD">
        <w:rPr>
          <w:rFonts w:ascii="Times New Roman" w:hAnsi="Times New Roman"/>
        </w:rPr>
        <w:t xml:space="preserve"> fruit and vegetable production;</w:t>
      </w:r>
    </w:p>
    <w:p w14:paraId="65528F23" w14:textId="77777777"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Dairy refrigeration including milk vats, jacketed tanks and processing systems;</w:t>
      </w:r>
    </w:p>
    <w:p w14:paraId="2B4A1599" w14:textId="77777777"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Blast freezers and chillers in the fishing fleet and dockside in fishing ports;</w:t>
      </w:r>
    </w:p>
    <w:p w14:paraId="542B46ED" w14:textId="77777777"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Large cold storage facilities at distribution centres, including at port facilities and rail heads;</w:t>
      </w:r>
    </w:p>
    <w:p w14:paraId="1B4CE2B8" w14:textId="77777777"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Refrigerated display cabinets (RDCs) in retail outlets and refrigerated storage cabinets (RSCs) behind the scenes in commercial kitchens, hotels, restaurants and takeaway outlets;</w:t>
      </w:r>
    </w:p>
    <w:p w14:paraId="6FA2608B" w14:textId="77777777"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Large centralised supermarket refrigeration systems; and,</w:t>
      </w:r>
    </w:p>
    <w:p w14:paraId="435E9B13" w14:textId="77777777"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Refrigerated transport involving vehicle engine driven refrigeration systems on trucks and vans of many sizes plus refrigerated shipping containers (‘reefers’) and some refrigerated rail cars that connect every step in the food production and delivery process with the final point of retail sale or processing.</w:t>
      </w:r>
    </w:p>
    <w:p w14:paraId="1F6FF502" w14:textId="34DFDD38" w:rsidR="002B6D25" w:rsidRDefault="002B6D25" w:rsidP="002B6D25">
      <w:r w:rsidRPr="004571CF">
        <w:t>Part of the reason for this diversity is the wide range of application temperatures</w:t>
      </w:r>
      <w:r>
        <w:t xml:space="preserve"> required,</w:t>
      </w:r>
      <w:r w:rsidRPr="004571CF">
        <w:t xml:space="preserve"> ranging from water coolers dispensing water at around 10</w:t>
      </w:r>
      <w:r w:rsidRPr="004571CF">
        <w:rPr>
          <w:vertAlign w:val="superscript"/>
        </w:rPr>
        <w:t>o</w:t>
      </w:r>
      <w:r w:rsidRPr="004571CF">
        <w:t>C</w:t>
      </w:r>
      <w:r>
        <w:t>,</w:t>
      </w:r>
      <w:r w:rsidRPr="004571CF">
        <w:t xml:space="preserve"> to blast freezers operating below -35</w:t>
      </w:r>
      <w:r w:rsidRPr="004571CF">
        <w:rPr>
          <w:vertAlign w:val="superscript"/>
        </w:rPr>
        <w:t>o</w:t>
      </w:r>
      <w:r w:rsidRPr="004571CF">
        <w:t>C. However, the wide variety of tasks performed</w:t>
      </w:r>
      <w:r w:rsidR="009F5EAE">
        <w:t>,</w:t>
      </w:r>
      <w:r w:rsidRPr="004571CF">
        <w:t xml:space="preserve"> and products moved along the cold food chain has also shaped the divers</w:t>
      </w:r>
      <w:r>
        <w:t xml:space="preserve">e formats employed, from small cool rooms </w:t>
      </w:r>
      <w:r w:rsidRPr="004571CF">
        <w:t>and freezers in farm sheds and</w:t>
      </w:r>
      <w:r>
        <w:t xml:space="preserve"> on fishing boats</w:t>
      </w:r>
      <w:r w:rsidR="00C338D6">
        <w:t>,</w:t>
      </w:r>
      <w:r>
        <w:t xml:space="preserve"> </w:t>
      </w:r>
      <w:r w:rsidR="00701343">
        <w:t xml:space="preserve">to </w:t>
      </w:r>
      <w:r>
        <w:t xml:space="preserve">the </w:t>
      </w:r>
      <w:r w:rsidRPr="004571CF">
        <w:t xml:space="preserve">dozens of types of refrigerated retail </w:t>
      </w:r>
      <w:r>
        <w:t>merchandisers</w:t>
      </w:r>
      <w:r w:rsidRPr="004571CF">
        <w:t xml:space="preserve"> used in retail outlets, restaurants and food halls.</w:t>
      </w:r>
    </w:p>
    <w:p w14:paraId="2516FDAF" w14:textId="780DE45D" w:rsidR="002B6D25" w:rsidRDefault="002B6D25" w:rsidP="002B6D25">
      <w:r>
        <w:t xml:space="preserve">End user requirements have also shaped both formats and sizes. While some formats have ‘standardised’ to an extent over the years, for instance beer cooling systems for </w:t>
      </w:r>
      <w:r w:rsidR="002F2966">
        <w:t xml:space="preserve">hotels </w:t>
      </w:r>
      <w:r>
        <w:t xml:space="preserve">selling beer on tap from a keg, the majority of larger equipment formats in retail and hospitality are often able to be customised to some extent to suit the demands of the physical site, the unique aspects of the business and the budgets of equipment buyers. </w:t>
      </w:r>
    </w:p>
    <w:p w14:paraId="7E0EDFA3" w14:textId="5AE10405" w:rsidR="002B6D25" w:rsidRDefault="002B6D25" w:rsidP="002B6D25">
      <w:r>
        <w:t xml:space="preserve">This requirement for a large degree of flexibility in design </w:t>
      </w:r>
      <w:r w:rsidR="00701343">
        <w:t xml:space="preserve">and installation </w:t>
      </w:r>
      <w:r>
        <w:t>has meant that building and supplying larger</w:t>
      </w:r>
      <w:r w:rsidR="00701343">
        <w:t xml:space="preserve"> commercial refrigeration</w:t>
      </w:r>
      <w:r>
        <w:t xml:space="preserve"> equipment supports a significant domestic industry. This flexibility is exemplified by the local manufacturers of refrigerated cabinets who invite enquiries from potential customers, asking them on their websites to ‘design your own product’, selecting from</w:t>
      </w:r>
      <w:r w:rsidR="00D04839">
        <w:t xml:space="preserve"> a</w:t>
      </w:r>
      <w:r>
        <w:t xml:space="preserve"> palette of options for size, capacity, temperature range</w:t>
      </w:r>
      <w:r w:rsidR="00D04839">
        <w:t>,</w:t>
      </w:r>
      <w:r>
        <w:t xml:space="preserve"> and physical format.</w:t>
      </w:r>
    </w:p>
    <w:p w14:paraId="1BA671D8" w14:textId="252CEDDA" w:rsidR="002B6D25" w:rsidRDefault="002B6D25" w:rsidP="00A379C3">
      <w:r>
        <w:t>While local manufacturers continue to report tough trading conditions</w:t>
      </w:r>
      <w:r w:rsidR="00CC3ED4">
        <w:t>,</w:t>
      </w:r>
      <w:r>
        <w:t xml:space="preserve"> and many standard components such as compressors are imported, as </w:t>
      </w:r>
      <w:r w:rsidR="00D04839">
        <w:t xml:space="preserve">is </w:t>
      </w:r>
      <w:r w:rsidR="00AA4016">
        <w:t xml:space="preserve">some </w:t>
      </w:r>
      <w:r>
        <w:t>partially assembled equipment</w:t>
      </w:r>
      <w:r w:rsidR="00F84AC9">
        <w:t xml:space="preserve"> (e.g. refrigeration circuit sub-assemblies)</w:t>
      </w:r>
      <w:r>
        <w:t>, some equipment in the RCFC is still manufactured in Australia</w:t>
      </w:r>
      <w:r>
        <w:rPr>
          <w:rStyle w:val="FootnoteReference"/>
        </w:rPr>
        <w:footnoteReference w:id="24"/>
      </w:r>
      <w:r w:rsidR="00D04839">
        <w:t>,</w:t>
      </w:r>
      <w:r>
        <w:t xml:space="preserve"> making this supply chain one of the few sectors in Australia in which manufacturing has been maintained during the last two decades. Even where equipment is imported largely ready to install, m</w:t>
      </w:r>
      <w:r w:rsidR="00701343">
        <w:t>ost</w:t>
      </w:r>
      <w:r>
        <w:t xml:space="preserve"> still require</w:t>
      </w:r>
      <w:r w:rsidR="00D04839">
        <w:t>s</w:t>
      </w:r>
      <w:r>
        <w:t xml:space="preserve"> custom installation, charging with refrigerant and commissioning by skilled local technicians.</w:t>
      </w:r>
    </w:p>
    <w:p w14:paraId="5B6A283C" w14:textId="31251551" w:rsidR="002B6D25" w:rsidRDefault="002B6D25" w:rsidP="002B6D25">
      <w:r>
        <w:t xml:space="preserve">Using the product category codes in </w:t>
      </w:r>
      <w:r w:rsidRPr="00253FFD">
        <w:rPr>
          <w:i/>
        </w:rPr>
        <w:t xml:space="preserve">Table </w:t>
      </w:r>
      <w:r w:rsidR="00311821">
        <w:rPr>
          <w:i/>
        </w:rPr>
        <w:t>12</w:t>
      </w:r>
      <w:r>
        <w:t xml:space="preserve"> below it is estimated that:</w:t>
      </w:r>
    </w:p>
    <w:p w14:paraId="12966B8D" w14:textId="7E2A448D" w:rsidR="002B6D25" w:rsidRPr="00253FFD" w:rsidRDefault="00D71B1A" w:rsidP="00FC735C">
      <w:pPr>
        <w:pStyle w:val="ListParagraph"/>
        <w:numPr>
          <w:ilvl w:val="0"/>
          <w:numId w:val="24"/>
        </w:numPr>
        <w:spacing w:before="120" w:after="0" w:line="240" w:lineRule="auto"/>
        <w:ind w:left="357" w:hanging="357"/>
        <w:contextualSpacing w:val="0"/>
        <w:jc w:val="both"/>
        <w:rPr>
          <w:rFonts w:ascii="Times New Roman" w:hAnsi="Times New Roman"/>
        </w:rPr>
      </w:pPr>
      <w:r>
        <w:rPr>
          <w:rFonts w:ascii="Times New Roman" w:hAnsi="Times New Roman"/>
        </w:rPr>
        <w:t>Less than 15%</w:t>
      </w:r>
      <w:r w:rsidR="002B6D25" w:rsidRPr="00253FFD">
        <w:rPr>
          <w:rFonts w:ascii="Times New Roman" w:hAnsi="Times New Roman"/>
        </w:rPr>
        <w:t xml:space="preserve"> of equipment in RCFC1-1 is manufactured, or assembled and charged with refrigerant in Australia, the balance being imported as pre-charged equipment;</w:t>
      </w:r>
    </w:p>
    <w:p w14:paraId="2FA8CD53" w14:textId="73861E8C" w:rsidR="002B6D25" w:rsidRPr="00253FFD" w:rsidRDefault="00D71B1A" w:rsidP="00FC735C">
      <w:pPr>
        <w:pStyle w:val="ListParagraph"/>
        <w:numPr>
          <w:ilvl w:val="0"/>
          <w:numId w:val="24"/>
        </w:numPr>
        <w:spacing w:before="120" w:after="0" w:line="240" w:lineRule="auto"/>
        <w:ind w:left="357" w:hanging="357"/>
        <w:contextualSpacing w:val="0"/>
        <w:jc w:val="both"/>
        <w:rPr>
          <w:rFonts w:ascii="Times New Roman" w:hAnsi="Times New Roman"/>
        </w:rPr>
      </w:pPr>
      <w:r>
        <w:rPr>
          <w:rFonts w:ascii="Times New Roman" w:hAnsi="Times New Roman"/>
        </w:rPr>
        <w:t xml:space="preserve">Less than 15% </w:t>
      </w:r>
      <w:r w:rsidR="002B6D25" w:rsidRPr="00253FFD">
        <w:rPr>
          <w:rFonts w:ascii="Times New Roman" w:hAnsi="Times New Roman"/>
        </w:rPr>
        <w:t>of equipment in RCFC1-5 is manufactured, or assembled and charged with refrigerant in Australia;</w:t>
      </w:r>
    </w:p>
    <w:p w14:paraId="79D9BF77" w14:textId="7B0E9A9C"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All equipment in categories RCFC</w:t>
      </w:r>
      <w:r w:rsidR="000045FC">
        <w:rPr>
          <w:rFonts w:ascii="Times New Roman" w:hAnsi="Times New Roman"/>
        </w:rPr>
        <w:t>1-8 and RCFC2-1</w:t>
      </w:r>
      <w:r w:rsidRPr="00253FFD">
        <w:rPr>
          <w:rFonts w:ascii="Times New Roman" w:hAnsi="Times New Roman"/>
        </w:rPr>
        <w:t xml:space="preserve"> to RCFC2</w:t>
      </w:r>
      <w:r w:rsidR="000045FC">
        <w:rPr>
          <w:rFonts w:ascii="Times New Roman" w:hAnsi="Times New Roman"/>
        </w:rPr>
        <w:t>-8</w:t>
      </w:r>
      <w:r w:rsidRPr="00253FFD">
        <w:rPr>
          <w:rFonts w:ascii="Times New Roman" w:hAnsi="Times New Roman"/>
        </w:rPr>
        <w:t xml:space="preserve"> is charged with refrigerant in Australia;</w:t>
      </w:r>
    </w:p>
    <w:p w14:paraId="31934206" w14:textId="7250EA4A"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 xml:space="preserve">While supermarkets employ a range of equipment including some smaller pieces that are likely imported </w:t>
      </w:r>
      <w:r w:rsidR="006F7C78">
        <w:rPr>
          <w:rFonts w:ascii="Times New Roman" w:hAnsi="Times New Roman"/>
        </w:rPr>
        <w:t xml:space="preserve">as </w:t>
      </w:r>
      <w:r w:rsidRPr="00253FFD">
        <w:rPr>
          <w:rFonts w:ascii="Times New Roman" w:hAnsi="Times New Roman"/>
        </w:rPr>
        <w:t>PCE, the great majority of equipment in categories in RCFC3-1 to RCFC3-3 is manufactured, or assembled and charged with refrigerant</w:t>
      </w:r>
      <w:r w:rsidR="00D04839">
        <w:rPr>
          <w:rFonts w:ascii="Times New Roman" w:hAnsi="Times New Roman"/>
        </w:rPr>
        <w:t>,</w:t>
      </w:r>
      <w:r w:rsidRPr="00253FFD">
        <w:rPr>
          <w:rFonts w:ascii="Times New Roman" w:hAnsi="Times New Roman"/>
        </w:rPr>
        <w:t xml:space="preserve"> in Australia;</w:t>
      </w:r>
    </w:p>
    <w:p w14:paraId="5C1EA0E6" w14:textId="2FD38385" w:rsidR="002B6D25" w:rsidRPr="00253FFD" w:rsidRDefault="0026204D" w:rsidP="00FC735C">
      <w:pPr>
        <w:pStyle w:val="ListParagraph"/>
        <w:numPr>
          <w:ilvl w:val="0"/>
          <w:numId w:val="24"/>
        </w:numPr>
        <w:spacing w:before="120" w:after="0" w:line="240" w:lineRule="auto"/>
        <w:ind w:left="357" w:hanging="357"/>
        <w:contextualSpacing w:val="0"/>
        <w:jc w:val="both"/>
        <w:rPr>
          <w:rFonts w:ascii="Times New Roman" w:hAnsi="Times New Roman"/>
        </w:rPr>
      </w:pPr>
      <w:r>
        <w:rPr>
          <w:rFonts w:ascii="Times New Roman" w:hAnsi="Times New Roman"/>
        </w:rPr>
        <w:lastRenderedPageBreak/>
        <w:t xml:space="preserve">Around one third of </w:t>
      </w:r>
      <w:r w:rsidR="002B6D25" w:rsidRPr="00253FFD">
        <w:rPr>
          <w:rFonts w:ascii="Times New Roman" w:hAnsi="Times New Roman"/>
        </w:rPr>
        <w:t>equipment in categories RCFC4-</w:t>
      </w:r>
      <w:r w:rsidR="001E4F19">
        <w:rPr>
          <w:rFonts w:ascii="Times New Roman" w:hAnsi="Times New Roman"/>
        </w:rPr>
        <w:t>1</w:t>
      </w:r>
      <w:r w:rsidR="002B6D25" w:rsidRPr="00253FFD">
        <w:rPr>
          <w:rFonts w:ascii="Times New Roman" w:hAnsi="Times New Roman"/>
        </w:rPr>
        <w:t xml:space="preserve"> and RCFC4-</w:t>
      </w:r>
      <w:r>
        <w:rPr>
          <w:rFonts w:ascii="Times New Roman" w:hAnsi="Times New Roman"/>
        </w:rPr>
        <w:t>3</w:t>
      </w:r>
      <w:r w:rsidR="002B6D25" w:rsidRPr="00253FFD">
        <w:rPr>
          <w:rFonts w:ascii="Times New Roman" w:hAnsi="Times New Roman"/>
        </w:rPr>
        <w:t xml:space="preserve"> is manufactured, or assembled and charged </w:t>
      </w:r>
      <w:r>
        <w:rPr>
          <w:rFonts w:ascii="Times New Roman" w:hAnsi="Times New Roman"/>
        </w:rPr>
        <w:t xml:space="preserve">in the field </w:t>
      </w:r>
      <w:r w:rsidR="002B6D25" w:rsidRPr="00253FFD">
        <w:rPr>
          <w:rFonts w:ascii="Times New Roman" w:hAnsi="Times New Roman"/>
        </w:rPr>
        <w:t>with refrigerant in Australia; and</w:t>
      </w:r>
    </w:p>
    <w:p w14:paraId="1E0F91C4" w14:textId="0CC19443" w:rsidR="002B6D25" w:rsidRPr="00253FFD" w:rsidRDefault="002B6D25" w:rsidP="00FC735C">
      <w:pPr>
        <w:pStyle w:val="ListParagraph"/>
        <w:numPr>
          <w:ilvl w:val="0"/>
          <w:numId w:val="24"/>
        </w:numPr>
        <w:spacing w:before="120" w:after="0" w:line="240" w:lineRule="auto"/>
        <w:ind w:left="357" w:hanging="357"/>
        <w:contextualSpacing w:val="0"/>
        <w:jc w:val="both"/>
        <w:rPr>
          <w:rFonts w:ascii="Times New Roman" w:hAnsi="Times New Roman"/>
        </w:rPr>
      </w:pPr>
      <w:r w:rsidRPr="00253FFD">
        <w:rPr>
          <w:rFonts w:ascii="Times New Roman" w:hAnsi="Times New Roman"/>
        </w:rPr>
        <w:t xml:space="preserve">All of the equipment in categories </w:t>
      </w:r>
      <w:r w:rsidR="0026204D" w:rsidRPr="00253FFD">
        <w:rPr>
          <w:rFonts w:ascii="Times New Roman" w:hAnsi="Times New Roman"/>
        </w:rPr>
        <w:t>RCFC4-</w:t>
      </w:r>
      <w:r w:rsidR="0026204D">
        <w:rPr>
          <w:rFonts w:ascii="Times New Roman" w:hAnsi="Times New Roman"/>
        </w:rPr>
        <w:t>4,</w:t>
      </w:r>
      <w:r w:rsidR="0026204D" w:rsidRPr="00253FFD">
        <w:rPr>
          <w:rFonts w:ascii="Times New Roman" w:hAnsi="Times New Roman"/>
        </w:rPr>
        <w:t xml:space="preserve"> </w:t>
      </w:r>
      <w:r w:rsidRPr="00253FFD">
        <w:rPr>
          <w:rFonts w:ascii="Times New Roman" w:hAnsi="Times New Roman"/>
        </w:rPr>
        <w:t>RCFC5-1 and RCFC5-2 is manufactured, or assembled and charged with refrigerant in Australia.</w:t>
      </w:r>
    </w:p>
    <w:p w14:paraId="5657C97E" w14:textId="6D73ECA3" w:rsidR="002B6D25" w:rsidRDefault="002B6D25" w:rsidP="002B6D25">
      <w:r>
        <w:t xml:space="preserve">The direct employment in manufacturing, installing, </w:t>
      </w:r>
      <w:r w:rsidR="00493AC5">
        <w:t>charging</w:t>
      </w:r>
      <w:r>
        <w:t xml:space="preserve"> and commissioning this large stock of complex electro-mechanical equipment is discussed further </w:t>
      </w:r>
      <w:r w:rsidRPr="00311821">
        <w:t xml:space="preserve">in </w:t>
      </w:r>
      <w:r w:rsidRPr="00311821">
        <w:rPr>
          <w:i/>
        </w:rPr>
        <w:t xml:space="preserve">Section </w:t>
      </w:r>
      <w:r w:rsidR="00311821" w:rsidRPr="00311821">
        <w:rPr>
          <w:i/>
        </w:rPr>
        <w:t>10</w:t>
      </w:r>
      <w:r w:rsidR="00253FFD" w:rsidRPr="00311821">
        <w:rPr>
          <w:i/>
        </w:rPr>
        <w:t xml:space="preserve">: </w:t>
      </w:r>
      <w:r w:rsidR="00592712" w:rsidRPr="00311821">
        <w:rPr>
          <w:i/>
        </w:rPr>
        <w:t xml:space="preserve">Economics and </w:t>
      </w:r>
      <w:r w:rsidR="00FD34EF" w:rsidRPr="00311821">
        <w:rPr>
          <w:i/>
        </w:rPr>
        <w:t>e</w:t>
      </w:r>
      <w:r w:rsidRPr="00311821">
        <w:rPr>
          <w:i/>
        </w:rPr>
        <w:t>mployment</w:t>
      </w:r>
      <w:r w:rsidRPr="00311821">
        <w:t>.</w:t>
      </w:r>
    </w:p>
    <w:p w14:paraId="00D9D6F2" w14:textId="0F064254" w:rsidR="002B6D25" w:rsidRDefault="002B6D25" w:rsidP="002B6D25">
      <w:r>
        <w:t xml:space="preserve">Improved visibility into the complex equipment supply chain in this class of equipment has led to some changes in the equipment taxonomy. Product categories that have changed since 2012 are highlighted in </w:t>
      </w:r>
      <w:r w:rsidRPr="00253FFD">
        <w:rPr>
          <w:i/>
        </w:rPr>
        <w:t xml:space="preserve">Table </w:t>
      </w:r>
      <w:r w:rsidR="00311821">
        <w:rPr>
          <w:i/>
        </w:rPr>
        <w:t>12</w:t>
      </w:r>
      <w:r>
        <w:t xml:space="preserve"> below.</w:t>
      </w:r>
    </w:p>
    <w:p w14:paraId="24A7D193" w14:textId="77777777" w:rsidR="00790158" w:rsidRDefault="00790158">
      <w:pPr>
        <w:spacing w:before="0"/>
        <w:jc w:val="left"/>
        <w:rPr>
          <w:szCs w:val="22"/>
        </w:rPr>
      </w:pPr>
    </w:p>
    <w:p w14:paraId="3960439D" w14:textId="2A7C1A7B" w:rsidR="00253FFD" w:rsidRPr="00311821" w:rsidRDefault="00311821" w:rsidP="00311821">
      <w:pPr>
        <w:pStyle w:val="Caption"/>
        <w:rPr>
          <w:szCs w:val="22"/>
        </w:rPr>
      </w:pPr>
      <w:bookmarkStart w:id="38" w:name="_Toc525141401"/>
      <w:r w:rsidRPr="00311821">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12</w:t>
      </w:r>
      <w:r w:rsidR="009D6843">
        <w:rPr>
          <w:noProof/>
        </w:rPr>
        <w:fldChar w:fldCharType="end"/>
      </w:r>
      <w:r w:rsidRPr="00311821">
        <w:t xml:space="preserve">: </w:t>
      </w:r>
      <w:r w:rsidR="00790158" w:rsidRPr="00311821">
        <w:rPr>
          <w:szCs w:val="22"/>
        </w:rPr>
        <w:t>Refrigerated cold food chain</w:t>
      </w:r>
      <w:r w:rsidR="00253FFD" w:rsidRPr="00311821">
        <w:rPr>
          <w:szCs w:val="22"/>
        </w:rPr>
        <w:t xml:space="preserve"> taxonomy.</w:t>
      </w:r>
      <w:bookmarkEnd w:id="38"/>
    </w:p>
    <w:tbl>
      <w:tblPr>
        <w:tblStyle w:val="TableGrid"/>
        <w:tblW w:w="0" w:type="auto"/>
        <w:tblInd w:w="-5" w:type="dxa"/>
        <w:tblLook w:val="04A0" w:firstRow="1" w:lastRow="0" w:firstColumn="1" w:lastColumn="0" w:noHBand="0" w:noVBand="1"/>
      </w:tblPr>
      <w:tblGrid>
        <w:gridCol w:w="973"/>
        <w:gridCol w:w="1407"/>
        <w:gridCol w:w="1926"/>
        <w:gridCol w:w="1596"/>
        <w:gridCol w:w="3590"/>
      </w:tblGrid>
      <w:tr w:rsidR="00253FFD" w14:paraId="76805743" w14:textId="77777777" w:rsidTr="00CD73A6">
        <w:trPr>
          <w:trHeight w:val="680"/>
          <w:tblHeader/>
        </w:trPr>
        <w:tc>
          <w:tcPr>
            <w:tcW w:w="9492" w:type="dxa"/>
            <w:gridSpan w:val="5"/>
            <w:shd w:val="clear" w:color="auto" w:fill="B6DDE8" w:themeFill="accent5" w:themeFillTint="66"/>
            <w:vAlign w:val="center"/>
          </w:tcPr>
          <w:p w14:paraId="3D0EA943" w14:textId="2134A4E2" w:rsidR="00253FFD" w:rsidRPr="00B137CC" w:rsidRDefault="00FC3831" w:rsidP="0079115B">
            <w:pPr>
              <w:spacing w:after="120"/>
              <w:jc w:val="center"/>
              <w:rPr>
                <w:color w:val="000000" w:themeColor="text1"/>
              </w:rPr>
            </w:pPr>
            <w:r w:rsidRPr="00BC2272">
              <w:rPr>
                <w:color w:val="000000" w:themeColor="text1"/>
              </w:rPr>
              <w:t>REFRIGERATED COLD FOOD CHAIN</w:t>
            </w:r>
          </w:p>
        </w:tc>
      </w:tr>
      <w:tr w:rsidR="0079115B" w14:paraId="17345984" w14:textId="77777777" w:rsidTr="00CD73A6">
        <w:trPr>
          <w:tblHeader/>
        </w:trPr>
        <w:tc>
          <w:tcPr>
            <w:tcW w:w="973" w:type="dxa"/>
            <w:shd w:val="clear" w:color="auto" w:fill="B6DDE8" w:themeFill="accent5" w:themeFillTint="66"/>
            <w:vAlign w:val="center"/>
          </w:tcPr>
          <w:p w14:paraId="34A0A312" w14:textId="77777777" w:rsidR="00253FFD" w:rsidRPr="00B137CC" w:rsidRDefault="00253FFD" w:rsidP="0079115B">
            <w:pPr>
              <w:spacing w:before="60" w:after="60"/>
              <w:jc w:val="center"/>
              <w:rPr>
                <w:color w:val="000000" w:themeColor="text1"/>
              </w:rPr>
            </w:pPr>
            <w:r w:rsidRPr="00B137CC">
              <w:rPr>
                <w:color w:val="000000" w:themeColor="text1"/>
              </w:rPr>
              <w:t>Item no</w:t>
            </w:r>
          </w:p>
        </w:tc>
        <w:tc>
          <w:tcPr>
            <w:tcW w:w="1407" w:type="dxa"/>
            <w:shd w:val="clear" w:color="auto" w:fill="B6DDE8" w:themeFill="accent5" w:themeFillTint="66"/>
            <w:vAlign w:val="center"/>
          </w:tcPr>
          <w:p w14:paraId="119CBB97" w14:textId="77777777" w:rsidR="00253FFD" w:rsidRPr="00B137CC" w:rsidRDefault="00253FFD" w:rsidP="0079115B">
            <w:pPr>
              <w:spacing w:before="60" w:after="60"/>
              <w:jc w:val="center"/>
              <w:rPr>
                <w:color w:val="000000" w:themeColor="text1"/>
              </w:rPr>
            </w:pPr>
            <w:r w:rsidRPr="00B137CC">
              <w:rPr>
                <w:color w:val="000000" w:themeColor="text1"/>
              </w:rPr>
              <w:t>Segment</w:t>
            </w:r>
          </w:p>
        </w:tc>
        <w:tc>
          <w:tcPr>
            <w:tcW w:w="1926" w:type="dxa"/>
            <w:shd w:val="clear" w:color="auto" w:fill="B6DDE8" w:themeFill="accent5" w:themeFillTint="66"/>
            <w:vAlign w:val="center"/>
          </w:tcPr>
          <w:p w14:paraId="44D53F5C" w14:textId="77777777" w:rsidR="00253FFD" w:rsidRPr="00B137CC" w:rsidRDefault="00253FFD" w:rsidP="0079115B">
            <w:pPr>
              <w:spacing w:before="60" w:after="60"/>
              <w:rPr>
                <w:color w:val="000000" w:themeColor="text1"/>
              </w:rPr>
            </w:pPr>
            <w:r w:rsidRPr="00B137CC">
              <w:rPr>
                <w:color w:val="000000" w:themeColor="text1"/>
              </w:rPr>
              <w:t>Application</w:t>
            </w:r>
          </w:p>
        </w:tc>
        <w:tc>
          <w:tcPr>
            <w:tcW w:w="1596" w:type="dxa"/>
            <w:shd w:val="clear" w:color="auto" w:fill="B6DDE8" w:themeFill="accent5" w:themeFillTint="66"/>
            <w:vAlign w:val="center"/>
          </w:tcPr>
          <w:p w14:paraId="43EC8C68" w14:textId="480064EB" w:rsidR="00253FFD" w:rsidRPr="00B137CC" w:rsidRDefault="00253FFD" w:rsidP="0079115B">
            <w:pPr>
              <w:spacing w:before="60" w:after="60"/>
              <w:jc w:val="center"/>
              <w:rPr>
                <w:color w:val="000000" w:themeColor="text1"/>
              </w:rPr>
            </w:pPr>
            <w:r w:rsidRPr="00B137CC">
              <w:rPr>
                <w:color w:val="000000" w:themeColor="text1"/>
              </w:rPr>
              <w:t xml:space="preserve">Category </w:t>
            </w:r>
            <w:r w:rsidR="00F863A5">
              <w:rPr>
                <w:color w:val="000000" w:themeColor="text1"/>
              </w:rPr>
              <w:t>c</w:t>
            </w:r>
            <w:r w:rsidRPr="00B137CC">
              <w:rPr>
                <w:color w:val="000000" w:themeColor="text1"/>
              </w:rPr>
              <w:t>ode</w:t>
            </w:r>
          </w:p>
        </w:tc>
        <w:tc>
          <w:tcPr>
            <w:tcW w:w="3590" w:type="dxa"/>
            <w:shd w:val="clear" w:color="auto" w:fill="B6DDE8" w:themeFill="accent5" w:themeFillTint="66"/>
            <w:vAlign w:val="center"/>
          </w:tcPr>
          <w:p w14:paraId="64D33F68" w14:textId="77777777" w:rsidR="00253FFD" w:rsidRPr="00B137CC" w:rsidRDefault="00253FFD" w:rsidP="0079115B">
            <w:pPr>
              <w:spacing w:before="60" w:after="60"/>
              <w:rPr>
                <w:color w:val="000000" w:themeColor="text1"/>
              </w:rPr>
            </w:pPr>
            <w:r w:rsidRPr="00B137CC">
              <w:rPr>
                <w:color w:val="000000" w:themeColor="text1"/>
              </w:rPr>
              <w:t>Product category</w:t>
            </w:r>
          </w:p>
        </w:tc>
      </w:tr>
      <w:tr w:rsidR="003D3336" w14:paraId="4F2057FB" w14:textId="77777777" w:rsidTr="00D8549E">
        <w:trPr>
          <w:cantSplit/>
          <w:trHeight w:val="624"/>
        </w:trPr>
        <w:tc>
          <w:tcPr>
            <w:tcW w:w="973" w:type="dxa"/>
            <w:vAlign w:val="center"/>
          </w:tcPr>
          <w:p w14:paraId="4E5AE389" w14:textId="35A202A5" w:rsidR="003D3336" w:rsidRPr="00B137CC" w:rsidRDefault="003D3336" w:rsidP="003D3336">
            <w:pPr>
              <w:spacing w:before="0"/>
              <w:jc w:val="center"/>
            </w:pPr>
            <w:r>
              <w:rPr>
                <w:color w:val="000000"/>
                <w:szCs w:val="22"/>
              </w:rPr>
              <w:t>31</w:t>
            </w:r>
          </w:p>
        </w:tc>
        <w:tc>
          <w:tcPr>
            <w:tcW w:w="1407" w:type="dxa"/>
            <w:vMerge w:val="restart"/>
            <w:textDirection w:val="btLr"/>
            <w:vAlign w:val="center"/>
          </w:tcPr>
          <w:p w14:paraId="0FD7DCA8" w14:textId="234CC4B3" w:rsidR="003D3336" w:rsidRPr="00B137CC" w:rsidRDefault="003D3336" w:rsidP="003D3336">
            <w:pPr>
              <w:spacing w:before="60" w:after="60"/>
              <w:jc w:val="center"/>
            </w:pPr>
            <w:r>
              <w:rPr>
                <w:color w:val="000000"/>
                <w:szCs w:val="22"/>
              </w:rPr>
              <w:t>RCFC1: Small Commercial Refrigeration</w:t>
            </w:r>
          </w:p>
        </w:tc>
        <w:tc>
          <w:tcPr>
            <w:tcW w:w="1926" w:type="dxa"/>
            <w:vAlign w:val="center"/>
          </w:tcPr>
          <w:p w14:paraId="6738E35C" w14:textId="562E6C6F" w:rsidR="003D3336" w:rsidRPr="00B137CC" w:rsidRDefault="003D3336" w:rsidP="003D3336">
            <w:pPr>
              <w:spacing w:before="60" w:after="60"/>
            </w:pPr>
            <w:r>
              <w:rPr>
                <w:color w:val="000000"/>
                <w:szCs w:val="22"/>
              </w:rPr>
              <w:t>Self-contained</w:t>
            </w:r>
          </w:p>
        </w:tc>
        <w:tc>
          <w:tcPr>
            <w:tcW w:w="1596" w:type="dxa"/>
            <w:vAlign w:val="center"/>
          </w:tcPr>
          <w:p w14:paraId="0C772175" w14:textId="1C28D2CD" w:rsidR="003D3336" w:rsidRPr="00B137CC" w:rsidRDefault="003D3336" w:rsidP="003D3336">
            <w:pPr>
              <w:spacing w:before="60" w:after="60"/>
              <w:jc w:val="center"/>
            </w:pPr>
            <w:r>
              <w:rPr>
                <w:color w:val="000000"/>
                <w:szCs w:val="22"/>
              </w:rPr>
              <w:t>RCFC1-1</w:t>
            </w:r>
          </w:p>
        </w:tc>
        <w:tc>
          <w:tcPr>
            <w:tcW w:w="3590" w:type="dxa"/>
            <w:vAlign w:val="center"/>
          </w:tcPr>
          <w:p w14:paraId="514B4198" w14:textId="652BD305" w:rsidR="003D3336" w:rsidRPr="00B137CC" w:rsidRDefault="003D3336" w:rsidP="003D3336">
            <w:pPr>
              <w:spacing w:before="60" w:after="60"/>
              <w:jc w:val="left"/>
            </w:pPr>
            <w:r>
              <w:rPr>
                <w:color w:val="000000"/>
                <w:szCs w:val="22"/>
              </w:rPr>
              <w:t>Refrigeration cabinets: self-contained</w:t>
            </w:r>
          </w:p>
        </w:tc>
      </w:tr>
      <w:tr w:rsidR="003D3336" w14:paraId="10F8E0AB" w14:textId="77777777" w:rsidTr="00D8549E">
        <w:trPr>
          <w:cantSplit/>
          <w:trHeight w:val="624"/>
        </w:trPr>
        <w:tc>
          <w:tcPr>
            <w:tcW w:w="973" w:type="dxa"/>
            <w:vAlign w:val="center"/>
          </w:tcPr>
          <w:p w14:paraId="1DDE7F02" w14:textId="3E2BE78A" w:rsidR="003D3336" w:rsidRPr="00B137CC" w:rsidRDefault="003D3336" w:rsidP="003D3336">
            <w:pPr>
              <w:spacing w:before="0"/>
              <w:jc w:val="center"/>
              <w:rPr>
                <w:color w:val="000000"/>
              </w:rPr>
            </w:pPr>
            <w:r>
              <w:rPr>
                <w:color w:val="000000"/>
                <w:szCs w:val="22"/>
              </w:rPr>
              <w:t>32</w:t>
            </w:r>
          </w:p>
        </w:tc>
        <w:tc>
          <w:tcPr>
            <w:tcW w:w="1407" w:type="dxa"/>
            <w:vMerge/>
            <w:vAlign w:val="center"/>
          </w:tcPr>
          <w:p w14:paraId="7BBB2FB6" w14:textId="77777777" w:rsidR="003D3336" w:rsidRPr="00B137CC" w:rsidRDefault="003D3336" w:rsidP="003D3336">
            <w:pPr>
              <w:spacing w:before="60" w:after="60"/>
              <w:jc w:val="center"/>
            </w:pPr>
          </w:p>
        </w:tc>
        <w:tc>
          <w:tcPr>
            <w:tcW w:w="1926" w:type="dxa"/>
            <w:vAlign w:val="center"/>
          </w:tcPr>
          <w:p w14:paraId="57225DF7" w14:textId="4E02B8C3" w:rsidR="003D3336" w:rsidRPr="00B137CC" w:rsidRDefault="003D3336" w:rsidP="003D3336">
            <w:pPr>
              <w:spacing w:before="60" w:after="60"/>
              <w:rPr>
                <w:color w:val="000000"/>
              </w:rPr>
            </w:pPr>
            <w:r>
              <w:rPr>
                <w:color w:val="000000"/>
                <w:szCs w:val="22"/>
              </w:rPr>
              <w:t>Self-contained</w:t>
            </w:r>
          </w:p>
        </w:tc>
        <w:tc>
          <w:tcPr>
            <w:tcW w:w="1596" w:type="dxa"/>
            <w:tcBorders>
              <w:bottom w:val="single" w:sz="4" w:space="0" w:color="000000"/>
            </w:tcBorders>
            <w:vAlign w:val="center"/>
          </w:tcPr>
          <w:p w14:paraId="5C7BA884" w14:textId="5D4B4AC5" w:rsidR="003D3336" w:rsidRPr="00B137CC" w:rsidRDefault="003D3336" w:rsidP="003D3336">
            <w:pPr>
              <w:spacing w:before="60" w:after="60"/>
              <w:jc w:val="center"/>
              <w:rPr>
                <w:color w:val="000000"/>
              </w:rPr>
            </w:pPr>
            <w:r>
              <w:rPr>
                <w:color w:val="000000"/>
                <w:szCs w:val="22"/>
              </w:rPr>
              <w:t>RCFC1-2</w:t>
            </w:r>
          </w:p>
        </w:tc>
        <w:tc>
          <w:tcPr>
            <w:tcW w:w="3590" w:type="dxa"/>
            <w:vAlign w:val="center"/>
          </w:tcPr>
          <w:p w14:paraId="0EFCBD5A" w14:textId="2C804D3F" w:rsidR="003D3336" w:rsidRPr="00B137CC" w:rsidRDefault="003D3336" w:rsidP="003D3336">
            <w:pPr>
              <w:spacing w:before="60" w:after="60"/>
              <w:jc w:val="left"/>
              <w:rPr>
                <w:color w:val="000000"/>
              </w:rPr>
            </w:pPr>
            <w:r>
              <w:rPr>
                <w:color w:val="000000"/>
                <w:szCs w:val="22"/>
              </w:rPr>
              <w:t>Refrigeration beverage vending machines</w:t>
            </w:r>
          </w:p>
        </w:tc>
      </w:tr>
      <w:tr w:rsidR="003D3336" w14:paraId="1767DA3A" w14:textId="77777777" w:rsidTr="00D8549E">
        <w:trPr>
          <w:cantSplit/>
          <w:trHeight w:val="624"/>
        </w:trPr>
        <w:tc>
          <w:tcPr>
            <w:tcW w:w="973" w:type="dxa"/>
            <w:vAlign w:val="center"/>
          </w:tcPr>
          <w:p w14:paraId="665CD0A1" w14:textId="03CF47BC" w:rsidR="003D3336" w:rsidRPr="00B137CC" w:rsidRDefault="003D3336" w:rsidP="003D3336">
            <w:pPr>
              <w:spacing w:before="0"/>
              <w:jc w:val="center"/>
              <w:rPr>
                <w:color w:val="000000"/>
              </w:rPr>
            </w:pPr>
            <w:r>
              <w:rPr>
                <w:color w:val="000000"/>
                <w:szCs w:val="22"/>
              </w:rPr>
              <w:t>33</w:t>
            </w:r>
          </w:p>
        </w:tc>
        <w:tc>
          <w:tcPr>
            <w:tcW w:w="1407" w:type="dxa"/>
            <w:vMerge/>
            <w:vAlign w:val="center"/>
          </w:tcPr>
          <w:p w14:paraId="11BCA993" w14:textId="77777777" w:rsidR="003D3336" w:rsidRPr="00B137CC" w:rsidRDefault="003D3336" w:rsidP="003D3336">
            <w:pPr>
              <w:spacing w:before="60" w:after="60"/>
              <w:jc w:val="center"/>
            </w:pPr>
          </w:p>
        </w:tc>
        <w:tc>
          <w:tcPr>
            <w:tcW w:w="1926" w:type="dxa"/>
            <w:vAlign w:val="center"/>
          </w:tcPr>
          <w:p w14:paraId="0DC23443" w14:textId="5976F3E5" w:rsidR="003D3336" w:rsidRPr="00B137CC" w:rsidRDefault="003D3336" w:rsidP="003D3336">
            <w:pPr>
              <w:spacing w:before="60" w:after="60"/>
              <w:rPr>
                <w:color w:val="000000"/>
              </w:rPr>
            </w:pPr>
            <w:r>
              <w:rPr>
                <w:color w:val="000000"/>
                <w:szCs w:val="22"/>
              </w:rPr>
              <w:t>Self-contained</w:t>
            </w:r>
          </w:p>
        </w:tc>
        <w:tc>
          <w:tcPr>
            <w:tcW w:w="1596" w:type="dxa"/>
            <w:shd w:val="clear" w:color="auto" w:fill="FFFD78"/>
            <w:vAlign w:val="center"/>
          </w:tcPr>
          <w:p w14:paraId="6E5BA93B" w14:textId="51203005" w:rsidR="003D3336" w:rsidRPr="00B137CC" w:rsidRDefault="003D3336" w:rsidP="003D3336">
            <w:pPr>
              <w:spacing w:before="60" w:after="60"/>
              <w:jc w:val="center"/>
              <w:rPr>
                <w:color w:val="000000"/>
              </w:rPr>
            </w:pPr>
            <w:r>
              <w:rPr>
                <w:color w:val="000000"/>
                <w:szCs w:val="22"/>
              </w:rPr>
              <w:t>RCFC1-3</w:t>
            </w:r>
          </w:p>
        </w:tc>
        <w:tc>
          <w:tcPr>
            <w:tcW w:w="3590" w:type="dxa"/>
            <w:vAlign w:val="center"/>
          </w:tcPr>
          <w:p w14:paraId="4D7833CB" w14:textId="5ADF0A41" w:rsidR="003D3336" w:rsidRPr="00B137CC" w:rsidRDefault="003D3336" w:rsidP="003D3336">
            <w:pPr>
              <w:spacing w:before="60" w:after="60"/>
              <w:jc w:val="left"/>
              <w:rPr>
                <w:color w:val="000000"/>
              </w:rPr>
            </w:pPr>
            <w:r>
              <w:rPr>
                <w:color w:val="000000"/>
                <w:szCs w:val="22"/>
              </w:rPr>
              <w:t>Beverage cooling (post mix)</w:t>
            </w:r>
          </w:p>
        </w:tc>
      </w:tr>
      <w:tr w:rsidR="003D3336" w14:paraId="6FD45294" w14:textId="77777777" w:rsidTr="00D8549E">
        <w:trPr>
          <w:cantSplit/>
          <w:trHeight w:val="624"/>
        </w:trPr>
        <w:tc>
          <w:tcPr>
            <w:tcW w:w="973" w:type="dxa"/>
            <w:vAlign w:val="center"/>
          </w:tcPr>
          <w:p w14:paraId="4681B9F5" w14:textId="0A35A95C" w:rsidR="003D3336" w:rsidRPr="00B137CC" w:rsidRDefault="003D3336" w:rsidP="003D3336">
            <w:pPr>
              <w:spacing w:before="0"/>
              <w:jc w:val="center"/>
              <w:rPr>
                <w:color w:val="000000"/>
              </w:rPr>
            </w:pPr>
            <w:r>
              <w:rPr>
                <w:color w:val="000000"/>
                <w:szCs w:val="22"/>
              </w:rPr>
              <w:t>34</w:t>
            </w:r>
          </w:p>
        </w:tc>
        <w:tc>
          <w:tcPr>
            <w:tcW w:w="1407" w:type="dxa"/>
            <w:vMerge/>
            <w:vAlign w:val="center"/>
          </w:tcPr>
          <w:p w14:paraId="79C7BDAC" w14:textId="77777777" w:rsidR="003D3336" w:rsidRPr="00B137CC" w:rsidRDefault="003D3336" w:rsidP="003D3336">
            <w:pPr>
              <w:spacing w:before="60" w:after="60"/>
              <w:jc w:val="center"/>
            </w:pPr>
          </w:p>
        </w:tc>
        <w:tc>
          <w:tcPr>
            <w:tcW w:w="1926" w:type="dxa"/>
            <w:vAlign w:val="center"/>
          </w:tcPr>
          <w:p w14:paraId="7EC46F3C" w14:textId="437776FA" w:rsidR="003D3336" w:rsidRPr="00B137CC" w:rsidRDefault="003D3336" w:rsidP="003D3336">
            <w:pPr>
              <w:spacing w:before="60" w:after="60"/>
              <w:rPr>
                <w:color w:val="000000"/>
              </w:rPr>
            </w:pPr>
            <w:r>
              <w:rPr>
                <w:color w:val="000000"/>
                <w:szCs w:val="22"/>
              </w:rPr>
              <w:t>Self-contained</w:t>
            </w:r>
          </w:p>
        </w:tc>
        <w:tc>
          <w:tcPr>
            <w:tcW w:w="1596" w:type="dxa"/>
            <w:shd w:val="clear" w:color="auto" w:fill="FFFD78"/>
            <w:vAlign w:val="center"/>
          </w:tcPr>
          <w:p w14:paraId="50EC4576" w14:textId="399942AB" w:rsidR="003D3336" w:rsidRPr="00B137CC" w:rsidRDefault="003D3336" w:rsidP="003D3336">
            <w:pPr>
              <w:spacing w:before="60" w:after="60"/>
              <w:jc w:val="center"/>
              <w:rPr>
                <w:color w:val="000000"/>
              </w:rPr>
            </w:pPr>
            <w:r>
              <w:rPr>
                <w:color w:val="000000"/>
                <w:szCs w:val="22"/>
              </w:rPr>
              <w:t>RCFC1-4</w:t>
            </w:r>
          </w:p>
        </w:tc>
        <w:tc>
          <w:tcPr>
            <w:tcW w:w="3590" w:type="dxa"/>
            <w:vAlign w:val="center"/>
          </w:tcPr>
          <w:p w14:paraId="133192AA" w14:textId="479F78E8" w:rsidR="003D3336" w:rsidRPr="00B137CC" w:rsidRDefault="003D3336" w:rsidP="003D3336">
            <w:pPr>
              <w:spacing w:before="60" w:after="60"/>
              <w:jc w:val="left"/>
              <w:rPr>
                <w:color w:val="000000"/>
              </w:rPr>
            </w:pPr>
            <w:r>
              <w:rPr>
                <w:color w:val="000000"/>
                <w:szCs w:val="22"/>
              </w:rPr>
              <w:t>Ice makers</w:t>
            </w:r>
          </w:p>
        </w:tc>
      </w:tr>
      <w:tr w:rsidR="003D3336" w14:paraId="1AAD87BF" w14:textId="77777777" w:rsidTr="0094323D">
        <w:trPr>
          <w:cantSplit/>
          <w:trHeight w:val="624"/>
        </w:trPr>
        <w:tc>
          <w:tcPr>
            <w:tcW w:w="973" w:type="dxa"/>
            <w:vAlign w:val="center"/>
          </w:tcPr>
          <w:p w14:paraId="28D7CE25" w14:textId="1E0E2458" w:rsidR="003D3336" w:rsidRPr="00B137CC" w:rsidRDefault="003D3336" w:rsidP="003D3336">
            <w:pPr>
              <w:spacing w:before="0"/>
              <w:jc w:val="center"/>
              <w:rPr>
                <w:color w:val="000000"/>
              </w:rPr>
            </w:pPr>
            <w:r>
              <w:rPr>
                <w:color w:val="000000"/>
                <w:szCs w:val="22"/>
              </w:rPr>
              <w:t>35</w:t>
            </w:r>
          </w:p>
        </w:tc>
        <w:tc>
          <w:tcPr>
            <w:tcW w:w="1407" w:type="dxa"/>
            <w:vMerge/>
            <w:vAlign w:val="center"/>
          </w:tcPr>
          <w:p w14:paraId="7A0C2EFD" w14:textId="77777777" w:rsidR="003D3336" w:rsidRPr="00B137CC" w:rsidRDefault="003D3336" w:rsidP="003D3336">
            <w:pPr>
              <w:spacing w:before="60" w:after="60"/>
              <w:jc w:val="center"/>
            </w:pPr>
          </w:p>
        </w:tc>
        <w:tc>
          <w:tcPr>
            <w:tcW w:w="1926" w:type="dxa"/>
            <w:tcBorders>
              <w:bottom w:val="single" w:sz="4" w:space="0" w:color="000000"/>
            </w:tcBorders>
            <w:vAlign w:val="center"/>
          </w:tcPr>
          <w:p w14:paraId="4073A00A" w14:textId="591C260B" w:rsidR="003D3336" w:rsidRPr="00B137CC" w:rsidRDefault="003D3336" w:rsidP="003D3336">
            <w:pPr>
              <w:spacing w:before="60" w:after="60"/>
              <w:rPr>
                <w:color w:val="000000"/>
              </w:rPr>
            </w:pPr>
            <w:r>
              <w:rPr>
                <w:color w:val="000000"/>
                <w:szCs w:val="22"/>
              </w:rPr>
              <w:t>Self-contained</w:t>
            </w:r>
          </w:p>
        </w:tc>
        <w:tc>
          <w:tcPr>
            <w:tcW w:w="1596" w:type="dxa"/>
            <w:tcBorders>
              <w:bottom w:val="single" w:sz="4" w:space="0" w:color="000000"/>
            </w:tcBorders>
            <w:shd w:val="clear" w:color="auto" w:fill="FFFD78"/>
            <w:vAlign w:val="center"/>
          </w:tcPr>
          <w:p w14:paraId="2ECF6A7D" w14:textId="4BEE2D81" w:rsidR="003D3336" w:rsidRPr="00B137CC" w:rsidRDefault="003D3336" w:rsidP="003D3336">
            <w:pPr>
              <w:spacing w:before="60" w:after="60"/>
              <w:jc w:val="center"/>
              <w:rPr>
                <w:color w:val="000000"/>
              </w:rPr>
            </w:pPr>
            <w:r>
              <w:rPr>
                <w:color w:val="000000"/>
                <w:szCs w:val="22"/>
              </w:rPr>
              <w:t>RCFC1-5</w:t>
            </w:r>
          </w:p>
        </w:tc>
        <w:tc>
          <w:tcPr>
            <w:tcW w:w="3590" w:type="dxa"/>
            <w:tcBorders>
              <w:bottom w:val="single" w:sz="4" w:space="0" w:color="000000"/>
            </w:tcBorders>
            <w:vAlign w:val="center"/>
          </w:tcPr>
          <w:p w14:paraId="6635027E" w14:textId="0B5483CF" w:rsidR="003D3336" w:rsidRPr="00B137CC" w:rsidRDefault="003D3336" w:rsidP="003D3336">
            <w:pPr>
              <w:spacing w:before="60" w:after="60"/>
              <w:jc w:val="left"/>
              <w:rPr>
                <w:color w:val="000000"/>
              </w:rPr>
            </w:pPr>
            <w:r>
              <w:rPr>
                <w:color w:val="000000"/>
                <w:szCs w:val="22"/>
              </w:rPr>
              <w:t>Water dispensers (incl. bottle)</w:t>
            </w:r>
          </w:p>
        </w:tc>
      </w:tr>
      <w:tr w:rsidR="003D3336" w14:paraId="45C1B660" w14:textId="77777777" w:rsidTr="0094323D">
        <w:trPr>
          <w:cantSplit/>
          <w:trHeight w:val="624"/>
        </w:trPr>
        <w:tc>
          <w:tcPr>
            <w:tcW w:w="973" w:type="dxa"/>
            <w:vAlign w:val="center"/>
          </w:tcPr>
          <w:p w14:paraId="2EBE421F" w14:textId="3647A483" w:rsidR="003D3336" w:rsidRPr="00B137CC" w:rsidRDefault="003D3336" w:rsidP="003D3336">
            <w:pPr>
              <w:spacing w:before="60" w:after="60"/>
              <w:jc w:val="center"/>
              <w:rPr>
                <w:color w:val="000000"/>
              </w:rPr>
            </w:pPr>
            <w:r>
              <w:rPr>
                <w:color w:val="000000"/>
                <w:szCs w:val="22"/>
              </w:rPr>
              <w:t>36</w:t>
            </w:r>
          </w:p>
        </w:tc>
        <w:tc>
          <w:tcPr>
            <w:tcW w:w="1407" w:type="dxa"/>
            <w:vMerge/>
            <w:vAlign w:val="center"/>
          </w:tcPr>
          <w:p w14:paraId="53FB688A" w14:textId="77777777" w:rsidR="003D3336" w:rsidRPr="00B137CC" w:rsidRDefault="003D3336" w:rsidP="003D3336">
            <w:pPr>
              <w:spacing w:before="60" w:after="60"/>
              <w:jc w:val="center"/>
            </w:pPr>
          </w:p>
        </w:tc>
        <w:tc>
          <w:tcPr>
            <w:tcW w:w="1926" w:type="dxa"/>
            <w:tcBorders>
              <w:bottom w:val="single" w:sz="4" w:space="0" w:color="000000"/>
            </w:tcBorders>
            <w:shd w:val="clear" w:color="auto" w:fill="C6D9F1" w:themeFill="text2" w:themeFillTint="33"/>
            <w:vAlign w:val="center"/>
          </w:tcPr>
          <w:p w14:paraId="6EE668B2" w14:textId="27EC49F1" w:rsidR="003D3336" w:rsidRPr="00B137CC" w:rsidRDefault="003D3336" w:rsidP="003D3336">
            <w:pPr>
              <w:spacing w:before="60" w:after="60"/>
              <w:rPr>
                <w:color w:val="000000"/>
              </w:rPr>
            </w:pPr>
            <w:r>
              <w:rPr>
                <w:color w:val="000000"/>
                <w:szCs w:val="22"/>
              </w:rPr>
              <w:t>Self-contained</w:t>
            </w:r>
          </w:p>
        </w:tc>
        <w:tc>
          <w:tcPr>
            <w:tcW w:w="1596" w:type="dxa"/>
            <w:tcBorders>
              <w:bottom w:val="single" w:sz="4" w:space="0" w:color="000000"/>
            </w:tcBorders>
            <w:shd w:val="clear" w:color="auto" w:fill="C6D9F1" w:themeFill="text2" w:themeFillTint="33"/>
            <w:vAlign w:val="center"/>
          </w:tcPr>
          <w:p w14:paraId="184B6A74" w14:textId="44515CCA" w:rsidR="003D3336" w:rsidRPr="00B137CC" w:rsidRDefault="003D3336" w:rsidP="003D3336">
            <w:pPr>
              <w:spacing w:before="60" w:after="60"/>
              <w:jc w:val="center"/>
              <w:rPr>
                <w:color w:val="000000"/>
              </w:rPr>
            </w:pPr>
            <w:r>
              <w:rPr>
                <w:color w:val="000000"/>
                <w:szCs w:val="22"/>
              </w:rPr>
              <w:t>RCFC1-6</w:t>
            </w:r>
          </w:p>
        </w:tc>
        <w:tc>
          <w:tcPr>
            <w:tcW w:w="3590" w:type="dxa"/>
            <w:tcBorders>
              <w:bottom w:val="single" w:sz="4" w:space="0" w:color="000000"/>
            </w:tcBorders>
            <w:shd w:val="clear" w:color="auto" w:fill="C6D9F1" w:themeFill="text2" w:themeFillTint="33"/>
            <w:vAlign w:val="center"/>
          </w:tcPr>
          <w:p w14:paraId="203FAC4D" w14:textId="4E7E403A" w:rsidR="003D3336" w:rsidRPr="00B137CC" w:rsidRDefault="003D3336" w:rsidP="003D3336">
            <w:pPr>
              <w:spacing w:before="60" w:after="60"/>
              <w:jc w:val="left"/>
              <w:rPr>
                <w:color w:val="000000"/>
              </w:rPr>
            </w:pPr>
            <w:r>
              <w:rPr>
                <w:color w:val="000000"/>
                <w:szCs w:val="22"/>
              </w:rPr>
              <w:t xml:space="preserve">Other </w:t>
            </w:r>
            <w:r w:rsidR="009F5EAE">
              <w:rPr>
                <w:color w:val="000000"/>
                <w:szCs w:val="22"/>
              </w:rPr>
              <w:t>self-contained</w:t>
            </w:r>
            <w:r>
              <w:rPr>
                <w:color w:val="000000"/>
                <w:szCs w:val="22"/>
              </w:rPr>
              <w:t xml:space="preserve"> refrigeration equipment</w:t>
            </w:r>
          </w:p>
        </w:tc>
      </w:tr>
      <w:tr w:rsidR="003D3336" w14:paraId="3BD6254F" w14:textId="77777777" w:rsidTr="0094323D">
        <w:trPr>
          <w:cantSplit/>
          <w:trHeight w:val="624"/>
        </w:trPr>
        <w:tc>
          <w:tcPr>
            <w:tcW w:w="973" w:type="dxa"/>
            <w:vAlign w:val="center"/>
          </w:tcPr>
          <w:p w14:paraId="3D237EE7" w14:textId="22D98AAA" w:rsidR="003D3336" w:rsidRPr="00B137CC" w:rsidRDefault="003D3336" w:rsidP="003D3336">
            <w:pPr>
              <w:spacing w:before="60" w:after="60"/>
              <w:jc w:val="center"/>
              <w:rPr>
                <w:color w:val="000000"/>
              </w:rPr>
            </w:pPr>
            <w:r>
              <w:rPr>
                <w:color w:val="000000"/>
                <w:szCs w:val="22"/>
              </w:rPr>
              <w:t>37</w:t>
            </w:r>
          </w:p>
        </w:tc>
        <w:tc>
          <w:tcPr>
            <w:tcW w:w="1407" w:type="dxa"/>
            <w:vMerge/>
            <w:vAlign w:val="center"/>
          </w:tcPr>
          <w:p w14:paraId="15C83957" w14:textId="77777777" w:rsidR="003D3336" w:rsidRPr="00B137CC" w:rsidRDefault="003D3336" w:rsidP="003D3336">
            <w:pPr>
              <w:spacing w:before="60" w:after="60"/>
              <w:jc w:val="center"/>
            </w:pPr>
          </w:p>
        </w:tc>
        <w:tc>
          <w:tcPr>
            <w:tcW w:w="1926" w:type="dxa"/>
            <w:shd w:val="clear" w:color="auto" w:fill="C6D9F1" w:themeFill="text2" w:themeFillTint="33"/>
            <w:vAlign w:val="center"/>
          </w:tcPr>
          <w:p w14:paraId="3D4C74C7" w14:textId="2EDD6324" w:rsidR="003D3336" w:rsidRPr="00B137CC" w:rsidRDefault="003D3336" w:rsidP="003D3336">
            <w:pPr>
              <w:spacing w:before="60" w:after="60"/>
              <w:rPr>
                <w:color w:val="000000"/>
              </w:rPr>
            </w:pPr>
            <w:r>
              <w:rPr>
                <w:color w:val="000000"/>
                <w:szCs w:val="22"/>
              </w:rPr>
              <w:t>Self-contained</w:t>
            </w:r>
          </w:p>
        </w:tc>
        <w:tc>
          <w:tcPr>
            <w:tcW w:w="1596" w:type="dxa"/>
            <w:shd w:val="clear" w:color="auto" w:fill="C6D9F1" w:themeFill="text2" w:themeFillTint="33"/>
            <w:vAlign w:val="center"/>
          </w:tcPr>
          <w:p w14:paraId="3928DCA5" w14:textId="36B43793" w:rsidR="003D3336" w:rsidRPr="00B137CC" w:rsidRDefault="003D3336" w:rsidP="003D3336">
            <w:pPr>
              <w:spacing w:before="60" w:after="60"/>
              <w:jc w:val="center"/>
              <w:rPr>
                <w:color w:val="000000"/>
              </w:rPr>
            </w:pPr>
            <w:r>
              <w:rPr>
                <w:color w:val="000000"/>
                <w:szCs w:val="22"/>
              </w:rPr>
              <w:t>RCFC1-7</w:t>
            </w:r>
          </w:p>
        </w:tc>
        <w:tc>
          <w:tcPr>
            <w:tcW w:w="3590" w:type="dxa"/>
            <w:shd w:val="clear" w:color="auto" w:fill="C6D9F1" w:themeFill="text2" w:themeFillTint="33"/>
            <w:vAlign w:val="center"/>
          </w:tcPr>
          <w:p w14:paraId="6FA5846C" w14:textId="09EC5697" w:rsidR="003D3336" w:rsidRPr="00B137CC" w:rsidRDefault="003D3336" w:rsidP="003D3336">
            <w:pPr>
              <w:spacing w:before="60" w:after="60"/>
              <w:jc w:val="left"/>
              <w:rPr>
                <w:color w:val="000000"/>
              </w:rPr>
            </w:pPr>
            <w:r>
              <w:rPr>
                <w:color w:val="000000"/>
                <w:szCs w:val="22"/>
              </w:rPr>
              <w:t>Walk-in cool</w:t>
            </w:r>
            <w:r w:rsidR="001E68A3">
              <w:rPr>
                <w:color w:val="000000"/>
                <w:szCs w:val="22"/>
              </w:rPr>
              <w:t xml:space="preserve"> </w:t>
            </w:r>
            <w:r>
              <w:rPr>
                <w:color w:val="000000"/>
                <w:szCs w:val="22"/>
              </w:rPr>
              <w:t>rooms: small: Slid-in/Drop-in</w:t>
            </w:r>
          </w:p>
        </w:tc>
      </w:tr>
      <w:tr w:rsidR="003D3336" w14:paraId="2C6B9D08" w14:textId="77777777" w:rsidTr="0094323D">
        <w:trPr>
          <w:cantSplit/>
          <w:trHeight w:val="624"/>
        </w:trPr>
        <w:tc>
          <w:tcPr>
            <w:tcW w:w="973" w:type="dxa"/>
            <w:vAlign w:val="center"/>
          </w:tcPr>
          <w:p w14:paraId="26DC2A60" w14:textId="158186B9" w:rsidR="003D3336" w:rsidRPr="00B137CC" w:rsidRDefault="003D3336" w:rsidP="003D3336">
            <w:pPr>
              <w:spacing w:before="60" w:after="60"/>
              <w:jc w:val="center"/>
            </w:pPr>
            <w:r>
              <w:rPr>
                <w:color w:val="000000"/>
                <w:szCs w:val="22"/>
              </w:rPr>
              <w:t>38</w:t>
            </w:r>
          </w:p>
        </w:tc>
        <w:tc>
          <w:tcPr>
            <w:tcW w:w="1407" w:type="dxa"/>
            <w:vMerge/>
            <w:vAlign w:val="center"/>
          </w:tcPr>
          <w:p w14:paraId="675277D2" w14:textId="77777777" w:rsidR="003D3336" w:rsidRPr="00B137CC" w:rsidRDefault="003D3336" w:rsidP="003D3336">
            <w:pPr>
              <w:spacing w:before="60" w:after="60"/>
              <w:jc w:val="center"/>
            </w:pPr>
          </w:p>
        </w:tc>
        <w:tc>
          <w:tcPr>
            <w:tcW w:w="1926" w:type="dxa"/>
            <w:shd w:val="clear" w:color="auto" w:fill="C6D9F1" w:themeFill="text2" w:themeFillTint="33"/>
            <w:vAlign w:val="center"/>
          </w:tcPr>
          <w:p w14:paraId="61CB900C" w14:textId="7E312594" w:rsidR="003D3336" w:rsidRPr="00B137CC" w:rsidRDefault="003D3336" w:rsidP="003D3336">
            <w:pPr>
              <w:spacing w:before="60" w:after="60"/>
            </w:pPr>
            <w:r>
              <w:rPr>
                <w:color w:val="000000"/>
                <w:szCs w:val="22"/>
              </w:rPr>
              <w:t>Remote</w:t>
            </w:r>
          </w:p>
        </w:tc>
        <w:tc>
          <w:tcPr>
            <w:tcW w:w="1596" w:type="dxa"/>
            <w:tcBorders>
              <w:bottom w:val="single" w:sz="4" w:space="0" w:color="000000"/>
            </w:tcBorders>
            <w:shd w:val="clear" w:color="auto" w:fill="C6D9F1" w:themeFill="text2" w:themeFillTint="33"/>
            <w:vAlign w:val="center"/>
          </w:tcPr>
          <w:p w14:paraId="5962179D" w14:textId="29D83DE6" w:rsidR="003D3336" w:rsidRPr="00B137CC" w:rsidRDefault="003D3336" w:rsidP="003D3336">
            <w:pPr>
              <w:spacing w:before="60" w:after="60"/>
              <w:jc w:val="center"/>
            </w:pPr>
            <w:r>
              <w:rPr>
                <w:color w:val="000000"/>
                <w:szCs w:val="22"/>
              </w:rPr>
              <w:t>RCFC1-8</w:t>
            </w:r>
          </w:p>
        </w:tc>
        <w:tc>
          <w:tcPr>
            <w:tcW w:w="3590" w:type="dxa"/>
            <w:shd w:val="clear" w:color="auto" w:fill="C6D9F1" w:themeFill="text2" w:themeFillTint="33"/>
            <w:vAlign w:val="center"/>
          </w:tcPr>
          <w:p w14:paraId="243BFD28" w14:textId="12BAC662" w:rsidR="003D3336" w:rsidRPr="00B137CC" w:rsidRDefault="003D3336" w:rsidP="003D3336">
            <w:pPr>
              <w:spacing w:before="60" w:after="60"/>
              <w:jc w:val="left"/>
            </w:pPr>
            <w:r>
              <w:rPr>
                <w:color w:val="000000"/>
                <w:szCs w:val="22"/>
              </w:rPr>
              <w:t>Walk-in cool</w:t>
            </w:r>
            <w:r w:rsidR="001E68A3">
              <w:rPr>
                <w:color w:val="000000"/>
                <w:szCs w:val="22"/>
              </w:rPr>
              <w:t xml:space="preserve"> </w:t>
            </w:r>
            <w:r>
              <w:rPr>
                <w:color w:val="000000"/>
                <w:szCs w:val="22"/>
              </w:rPr>
              <w:t>rooms: small: remote</w:t>
            </w:r>
          </w:p>
        </w:tc>
      </w:tr>
      <w:tr w:rsidR="003D3336" w14:paraId="79CA5972" w14:textId="77777777" w:rsidTr="00D8549E">
        <w:trPr>
          <w:cantSplit/>
          <w:trHeight w:val="624"/>
        </w:trPr>
        <w:tc>
          <w:tcPr>
            <w:tcW w:w="973" w:type="dxa"/>
            <w:vAlign w:val="center"/>
          </w:tcPr>
          <w:p w14:paraId="377409E8" w14:textId="778F6572" w:rsidR="003D3336" w:rsidRPr="00B137CC" w:rsidRDefault="003D3336" w:rsidP="003D3336">
            <w:pPr>
              <w:spacing w:before="60" w:after="60"/>
              <w:jc w:val="center"/>
            </w:pPr>
            <w:r>
              <w:rPr>
                <w:color w:val="000000"/>
                <w:szCs w:val="22"/>
              </w:rPr>
              <w:t>39</w:t>
            </w:r>
          </w:p>
        </w:tc>
        <w:tc>
          <w:tcPr>
            <w:tcW w:w="1407" w:type="dxa"/>
            <w:vMerge w:val="restart"/>
            <w:textDirection w:val="btLr"/>
            <w:vAlign w:val="center"/>
          </w:tcPr>
          <w:p w14:paraId="79ACE67D" w14:textId="5322C032" w:rsidR="003D3336" w:rsidRPr="00B137CC" w:rsidRDefault="003D3336" w:rsidP="003D3336">
            <w:pPr>
              <w:spacing w:before="60" w:after="60"/>
              <w:jc w:val="center"/>
            </w:pPr>
            <w:r>
              <w:rPr>
                <w:color w:val="000000"/>
                <w:szCs w:val="22"/>
              </w:rPr>
              <w:t>RCFC2: Medium Commercial Refrigeration</w:t>
            </w:r>
          </w:p>
        </w:tc>
        <w:tc>
          <w:tcPr>
            <w:tcW w:w="1926" w:type="dxa"/>
            <w:vAlign w:val="center"/>
          </w:tcPr>
          <w:p w14:paraId="7913481C" w14:textId="3E7BA63D" w:rsidR="003D3336" w:rsidRPr="00B137CC" w:rsidRDefault="003D3336" w:rsidP="003D3336">
            <w:pPr>
              <w:spacing w:before="60" w:after="60"/>
            </w:pPr>
            <w:r>
              <w:rPr>
                <w:color w:val="000000"/>
                <w:szCs w:val="22"/>
              </w:rPr>
              <w:t>Remote</w:t>
            </w:r>
          </w:p>
        </w:tc>
        <w:tc>
          <w:tcPr>
            <w:tcW w:w="1596" w:type="dxa"/>
            <w:shd w:val="clear" w:color="auto" w:fill="FFFD78"/>
            <w:vAlign w:val="center"/>
          </w:tcPr>
          <w:p w14:paraId="73C2605E" w14:textId="0160262E" w:rsidR="003D3336" w:rsidRPr="00B137CC" w:rsidRDefault="003D3336" w:rsidP="003D3336">
            <w:pPr>
              <w:spacing w:before="60" w:after="60"/>
              <w:jc w:val="center"/>
            </w:pPr>
            <w:r>
              <w:rPr>
                <w:color w:val="000000"/>
                <w:szCs w:val="22"/>
              </w:rPr>
              <w:t>RCFC2-1</w:t>
            </w:r>
          </w:p>
        </w:tc>
        <w:tc>
          <w:tcPr>
            <w:tcW w:w="3590" w:type="dxa"/>
            <w:vAlign w:val="center"/>
          </w:tcPr>
          <w:p w14:paraId="02F7DC48" w14:textId="207EBF5E" w:rsidR="003D3336" w:rsidRPr="00B137CC" w:rsidRDefault="003D3336" w:rsidP="003D3336">
            <w:pPr>
              <w:spacing w:before="60" w:after="60"/>
              <w:jc w:val="left"/>
            </w:pPr>
            <w:r>
              <w:rPr>
                <w:color w:val="000000"/>
                <w:szCs w:val="22"/>
              </w:rPr>
              <w:t>Walk-in cool</w:t>
            </w:r>
            <w:r w:rsidR="001E68A3">
              <w:rPr>
                <w:color w:val="000000"/>
                <w:szCs w:val="22"/>
              </w:rPr>
              <w:t xml:space="preserve"> </w:t>
            </w:r>
            <w:r>
              <w:rPr>
                <w:color w:val="000000"/>
                <w:szCs w:val="22"/>
              </w:rPr>
              <w:t>rooms: medium</w:t>
            </w:r>
          </w:p>
        </w:tc>
      </w:tr>
      <w:tr w:rsidR="003D3336" w14:paraId="01C52DEE" w14:textId="77777777" w:rsidTr="0094323D">
        <w:trPr>
          <w:cantSplit/>
          <w:trHeight w:val="624"/>
        </w:trPr>
        <w:tc>
          <w:tcPr>
            <w:tcW w:w="973" w:type="dxa"/>
            <w:vAlign w:val="center"/>
          </w:tcPr>
          <w:p w14:paraId="73164217" w14:textId="059F1E68" w:rsidR="003D3336" w:rsidRPr="00B137CC" w:rsidRDefault="003D3336" w:rsidP="003D3336">
            <w:pPr>
              <w:spacing w:before="60" w:after="60"/>
              <w:jc w:val="center"/>
              <w:rPr>
                <w:color w:val="000000"/>
              </w:rPr>
            </w:pPr>
            <w:r>
              <w:rPr>
                <w:color w:val="000000"/>
                <w:szCs w:val="22"/>
              </w:rPr>
              <w:t>40</w:t>
            </w:r>
          </w:p>
        </w:tc>
        <w:tc>
          <w:tcPr>
            <w:tcW w:w="1407" w:type="dxa"/>
            <w:vMerge/>
            <w:vAlign w:val="center"/>
          </w:tcPr>
          <w:p w14:paraId="37F25242" w14:textId="77777777" w:rsidR="003D3336" w:rsidRPr="00B137CC" w:rsidRDefault="003D3336" w:rsidP="003D3336">
            <w:pPr>
              <w:spacing w:before="60" w:after="60"/>
              <w:jc w:val="center"/>
            </w:pPr>
          </w:p>
        </w:tc>
        <w:tc>
          <w:tcPr>
            <w:tcW w:w="1926" w:type="dxa"/>
            <w:tcBorders>
              <w:bottom w:val="single" w:sz="4" w:space="0" w:color="000000"/>
            </w:tcBorders>
            <w:vAlign w:val="center"/>
          </w:tcPr>
          <w:p w14:paraId="664A8903" w14:textId="28A53539" w:rsidR="003D3336" w:rsidRPr="00B137CC" w:rsidRDefault="003D3336" w:rsidP="003D3336">
            <w:pPr>
              <w:spacing w:before="60" w:after="60"/>
              <w:rPr>
                <w:color w:val="000000"/>
              </w:rPr>
            </w:pPr>
            <w:r>
              <w:rPr>
                <w:color w:val="000000"/>
                <w:szCs w:val="22"/>
              </w:rPr>
              <w:t>Remote</w:t>
            </w:r>
          </w:p>
        </w:tc>
        <w:tc>
          <w:tcPr>
            <w:tcW w:w="1596" w:type="dxa"/>
            <w:tcBorders>
              <w:bottom w:val="single" w:sz="4" w:space="0" w:color="000000"/>
            </w:tcBorders>
            <w:shd w:val="clear" w:color="auto" w:fill="FFFD78"/>
            <w:vAlign w:val="center"/>
          </w:tcPr>
          <w:p w14:paraId="54772C87" w14:textId="46AF75B1" w:rsidR="003D3336" w:rsidRPr="00B137CC" w:rsidRDefault="003D3336" w:rsidP="003D3336">
            <w:pPr>
              <w:spacing w:before="60" w:after="60"/>
              <w:jc w:val="center"/>
              <w:rPr>
                <w:color w:val="000000"/>
              </w:rPr>
            </w:pPr>
            <w:r>
              <w:rPr>
                <w:color w:val="000000"/>
                <w:szCs w:val="22"/>
              </w:rPr>
              <w:t>RCFC2-2</w:t>
            </w:r>
          </w:p>
        </w:tc>
        <w:tc>
          <w:tcPr>
            <w:tcW w:w="3590" w:type="dxa"/>
            <w:tcBorders>
              <w:bottom w:val="single" w:sz="4" w:space="0" w:color="000000"/>
            </w:tcBorders>
            <w:vAlign w:val="center"/>
          </w:tcPr>
          <w:p w14:paraId="7AF41B38" w14:textId="351CAE5C" w:rsidR="003D3336" w:rsidRPr="00B137CC" w:rsidRDefault="003D3336" w:rsidP="003D3336">
            <w:pPr>
              <w:spacing w:before="60" w:after="60"/>
              <w:jc w:val="left"/>
              <w:rPr>
                <w:color w:val="000000"/>
              </w:rPr>
            </w:pPr>
            <w:r>
              <w:rPr>
                <w:color w:val="000000"/>
                <w:szCs w:val="22"/>
              </w:rPr>
              <w:t>Walk-in cool</w:t>
            </w:r>
            <w:r w:rsidR="001E68A3">
              <w:rPr>
                <w:color w:val="000000"/>
                <w:szCs w:val="22"/>
              </w:rPr>
              <w:t xml:space="preserve"> </w:t>
            </w:r>
            <w:r>
              <w:rPr>
                <w:color w:val="000000"/>
                <w:szCs w:val="22"/>
              </w:rPr>
              <w:t>rooms: large</w:t>
            </w:r>
          </w:p>
        </w:tc>
      </w:tr>
      <w:tr w:rsidR="003D3336" w14:paraId="18AE44C2" w14:textId="77777777" w:rsidTr="0094323D">
        <w:trPr>
          <w:cantSplit/>
          <w:trHeight w:val="624"/>
        </w:trPr>
        <w:tc>
          <w:tcPr>
            <w:tcW w:w="973" w:type="dxa"/>
            <w:vAlign w:val="center"/>
          </w:tcPr>
          <w:p w14:paraId="49F5A8BD" w14:textId="6BD7ADB1" w:rsidR="003D3336" w:rsidRPr="00B137CC" w:rsidRDefault="003D3336" w:rsidP="003D3336">
            <w:pPr>
              <w:spacing w:before="60" w:after="60"/>
              <w:jc w:val="center"/>
              <w:rPr>
                <w:color w:val="000000"/>
              </w:rPr>
            </w:pPr>
            <w:r>
              <w:rPr>
                <w:color w:val="000000"/>
                <w:szCs w:val="22"/>
              </w:rPr>
              <w:t>41</w:t>
            </w:r>
          </w:p>
        </w:tc>
        <w:tc>
          <w:tcPr>
            <w:tcW w:w="1407" w:type="dxa"/>
            <w:vMerge/>
            <w:vAlign w:val="center"/>
          </w:tcPr>
          <w:p w14:paraId="7057242A" w14:textId="77777777" w:rsidR="003D3336" w:rsidRPr="00B137CC" w:rsidRDefault="003D3336" w:rsidP="003D3336">
            <w:pPr>
              <w:spacing w:before="60" w:after="60"/>
              <w:jc w:val="center"/>
            </w:pPr>
          </w:p>
        </w:tc>
        <w:tc>
          <w:tcPr>
            <w:tcW w:w="1926" w:type="dxa"/>
            <w:shd w:val="clear" w:color="auto" w:fill="C6D9F1" w:themeFill="text2" w:themeFillTint="33"/>
            <w:vAlign w:val="center"/>
          </w:tcPr>
          <w:p w14:paraId="5A13405D" w14:textId="64F794FC" w:rsidR="003D3336" w:rsidRPr="00B137CC" w:rsidRDefault="003D3336" w:rsidP="003D3336">
            <w:pPr>
              <w:spacing w:before="60" w:after="60"/>
              <w:rPr>
                <w:color w:val="000000"/>
              </w:rPr>
            </w:pPr>
            <w:r>
              <w:rPr>
                <w:color w:val="000000"/>
                <w:szCs w:val="22"/>
              </w:rPr>
              <w:t>Remote</w:t>
            </w:r>
          </w:p>
        </w:tc>
        <w:tc>
          <w:tcPr>
            <w:tcW w:w="1596" w:type="dxa"/>
            <w:tcBorders>
              <w:bottom w:val="single" w:sz="4" w:space="0" w:color="000000"/>
            </w:tcBorders>
            <w:shd w:val="clear" w:color="auto" w:fill="C6D9F1" w:themeFill="text2" w:themeFillTint="33"/>
            <w:vAlign w:val="center"/>
          </w:tcPr>
          <w:p w14:paraId="2F991936" w14:textId="27B7F1BD" w:rsidR="003D3336" w:rsidRPr="00B137CC" w:rsidRDefault="003D3336" w:rsidP="003D3336">
            <w:pPr>
              <w:spacing w:before="60" w:after="60"/>
              <w:jc w:val="center"/>
              <w:rPr>
                <w:color w:val="000000"/>
              </w:rPr>
            </w:pPr>
            <w:r>
              <w:rPr>
                <w:color w:val="000000"/>
                <w:szCs w:val="22"/>
              </w:rPr>
              <w:t>RCFC2-3</w:t>
            </w:r>
          </w:p>
        </w:tc>
        <w:tc>
          <w:tcPr>
            <w:tcW w:w="3590" w:type="dxa"/>
            <w:shd w:val="clear" w:color="auto" w:fill="C6D9F1" w:themeFill="text2" w:themeFillTint="33"/>
            <w:vAlign w:val="center"/>
          </w:tcPr>
          <w:p w14:paraId="1F68F5E6" w14:textId="56C1AF62" w:rsidR="003D3336" w:rsidRPr="00B137CC" w:rsidRDefault="003D3336" w:rsidP="003D3336">
            <w:pPr>
              <w:spacing w:before="60" w:after="60"/>
              <w:jc w:val="left"/>
              <w:rPr>
                <w:color w:val="000000"/>
              </w:rPr>
            </w:pPr>
            <w:r>
              <w:rPr>
                <w:color w:val="000000"/>
                <w:szCs w:val="22"/>
              </w:rPr>
              <w:t>Refrigeration cabinets: remote</w:t>
            </w:r>
          </w:p>
        </w:tc>
      </w:tr>
      <w:tr w:rsidR="003D3336" w14:paraId="69E53DEF" w14:textId="77777777" w:rsidTr="00D8549E">
        <w:trPr>
          <w:cantSplit/>
          <w:trHeight w:val="624"/>
        </w:trPr>
        <w:tc>
          <w:tcPr>
            <w:tcW w:w="973" w:type="dxa"/>
            <w:vAlign w:val="center"/>
          </w:tcPr>
          <w:p w14:paraId="5DD0D5C2" w14:textId="4BB58021" w:rsidR="003D3336" w:rsidRPr="00B137CC" w:rsidRDefault="003D3336" w:rsidP="003D3336">
            <w:pPr>
              <w:spacing w:before="60" w:after="60"/>
              <w:jc w:val="center"/>
              <w:rPr>
                <w:color w:val="000000"/>
              </w:rPr>
            </w:pPr>
            <w:r>
              <w:rPr>
                <w:color w:val="000000"/>
                <w:szCs w:val="22"/>
              </w:rPr>
              <w:t>42</w:t>
            </w:r>
          </w:p>
        </w:tc>
        <w:tc>
          <w:tcPr>
            <w:tcW w:w="1407" w:type="dxa"/>
            <w:vMerge/>
            <w:vAlign w:val="center"/>
          </w:tcPr>
          <w:p w14:paraId="2FA54A52" w14:textId="77777777" w:rsidR="003D3336" w:rsidRPr="00B137CC" w:rsidRDefault="003D3336" w:rsidP="003D3336">
            <w:pPr>
              <w:spacing w:before="60" w:after="60"/>
              <w:jc w:val="center"/>
            </w:pPr>
          </w:p>
        </w:tc>
        <w:tc>
          <w:tcPr>
            <w:tcW w:w="1926" w:type="dxa"/>
            <w:vAlign w:val="center"/>
          </w:tcPr>
          <w:p w14:paraId="7320F345" w14:textId="091B7A1E" w:rsidR="003D3336" w:rsidRPr="00B137CC" w:rsidRDefault="003D3336" w:rsidP="003D3336">
            <w:pPr>
              <w:spacing w:before="60" w:after="60"/>
              <w:rPr>
                <w:color w:val="000000"/>
              </w:rPr>
            </w:pPr>
            <w:r>
              <w:rPr>
                <w:color w:val="000000"/>
                <w:szCs w:val="22"/>
              </w:rPr>
              <w:t>Remote</w:t>
            </w:r>
          </w:p>
        </w:tc>
        <w:tc>
          <w:tcPr>
            <w:tcW w:w="1596" w:type="dxa"/>
            <w:shd w:val="clear" w:color="auto" w:fill="FFFD78"/>
            <w:vAlign w:val="center"/>
          </w:tcPr>
          <w:p w14:paraId="522182D8" w14:textId="5F7226A1" w:rsidR="003D3336" w:rsidRPr="00B137CC" w:rsidRDefault="003D3336" w:rsidP="003D3336">
            <w:pPr>
              <w:spacing w:before="60" w:after="60"/>
              <w:jc w:val="center"/>
              <w:rPr>
                <w:color w:val="000000"/>
              </w:rPr>
            </w:pPr>
            <w:r>
              <w:rPr>
                <w:color w:val="000000"/>
                <w:szCs w:val="22"/>
              </w:rPr>
              <w:t>RCFC2-4</w:t>
            </w:r>
          </w:p>
        </w:tc>
        <w:tc>
          <w:tcPr>
            <w:tcW w:w="3590" w:type="dxa"/>
            <w:vAlign w:val="center"/>
          </w:tcPr>
          <w:p w14:paraId="6AA57E25" w14:textId="3940DB23" w:rsidR="003D3336" w:rsidRPr="00B137CC" w:rsidRDefault="003D3336" w:rsidP="003D3336">
            <w:pPr>
              <w:spacing w:before="60" w:after="60"/>
              <w:jc w:val="left"/>
              <w:rPr>
                <w:color w:val="000000"/>
              </w:rPr>
            </w:pPr>
            <w:r>
              <w:rPr>
                <w:color w:val="000000"/>
                <w:szCs w:val="22"/>
              </w:rPr>
              <w:t>Beverage cooling (beer)</w:t>
            </w:r>
          </w:p>
        </w:tc>
      </w:tr>
      <w:tr w:rsidR="003D3336" w14:paraId="2D75098B" w14:textId="77777777" w:rsidTr="00D8549E">
        <w:trPr>
          <w:cantSplit/>
          <w:trHeight w:val="624"/>
        </w:trPr>
        <w:tc>
          <w:tcPr>
            <w:tcW w:w="973" w:type="dxa"/>
            <w:vAlign w:val="center"/>
          </w:tcPr>
          <w:p w14:paraId="47765F37" w14:textId="0916CF8A" w:rsidR="003D3336" w:rsidRPr="00B137CC" w:rsidRDefault="003D3336" w:rsidP="003D3336">
            <w:pPr>
              <w:spacing w:before="60" w:after="60"/>
              <w:jc w:val="center"/>
              <w:rPr>
                <w:color w:val="000000"/>
              </w:rPr>
            </w:pPr>
            <w:r>
              <w:rPr>
                <w:color w:val="000000"/>
                <w:szCs w:val="22"/>
              </w:rPr>
              <w:t>43</w:t>
            </w:r>
          </w:p>
        </w:tc>
        <w:tc>
          <w:tcPr>
            <w:tcW w:w="1407" w:type="dxa"/>
            <w:vMerge/>
            <w:vAlign w:val="center"/>
          </w:tcPr>
          <w:p w14:paraId="232F943A" w14:textId="77777777" w:rsidR="003D3336" w:rsidRPr="00B137CC" w:rsidRDefault="003D3336" w:rsidP="003D3336">
            <w:pPr>
              <w:spacing w:before="60" w:after="60"/>
              <w:jc w:val="center"/>
            </w:pPr>
          </w:p>
        </w:tc>
        <w:tc>
          <w:tcPr>
            <w:tcW w:w="1926" w:type="dxa"/>
            <w:vAlign w:val="center"/>
          </w:tcPr>
          <w:p w14:paraId="73564757" w14:textId="7E2879F5" w:rsidR="003D3336" w:rsidRPr="00B137CC" w:rsidRDefault="003D3336" w:rsidP="003D3336">
            <w:pPr>
              <w:spacing w:before="60" w:after="60"/>
              <w:rPr>
                <w:color w:val="000000"/>
              </w:rPr>
            </w:pPr>
            <w:r>
              <w:rPr>
                <w:color w:val="000000"/>
                <w:szCs w:val="22"/>
              </w:rPr>
              <w:t>Remote</w:t>
            </w:r>
          </w:p>
        </w:tc>
        <w:tc>
          <w:tcPr>
            <w:tcW w:w="1596" w:type="dxa"/>
            <w:tcBorders>
              <w:bottom w:val="single" w:sz="4" w:space="0" w:color="000000"/>
            </w:tcBorders>
            <w:shd w:val="clear" w:color="auto" w:fill="FFFD78"/>
            <w:vAlign w:val="center"/>
          </w:tcPr>
          <w:p w14:paraId="4FFBBF61" w14:textId="08238FBB" w:rsidR="003D3336" w:rsidRPr="00B137CC" w:rsidRDefault="003D3336" w:rsidP="003D3336">
            <w:pPr>
              <w:spacing w:before="60" w:after="60"/>
              <w:jc w:val="center"/>
              <w:rPr>
                <w:color w:val="000000"/>
              </w:rPr>
            </w:pPr>
            <w:r>
              <w:rPr>
                <w:color w:val="000000"/>
                <w:szCs w:val="22"/>
              </w:rPr>
              <w:t>RCFC2-5</w:t>
            </w:r>
          </w:p>
        </w:tc>
        <w:tc>
          <w:tcPr>
            <w:tcW w:w="3590" w:type="dxa"/>
            <w:vAlign w:val="center"/>
          </w:tcPr>
          <w:p w14:paraId="07E9BFF0" w14:textId="574DAD62" w:rsidR="003D3336" w:rsidRPr="00B137CC" w:rsidRDefault="003D3336" w:rsidP="003D3336">
            <w:pPr>
              <w:spacing w:before="60" w:after="60"/>
              <w:jc w:val="left"/>
              <w:rPr>
                <w:color w:val="000000"/>
              </w:rPr>
            </w:pPr>
            <w:r>
              <w:rPr>
                <w:color w:val="000000"/>
                <w:szCs w:val="22"/>
              </w:rPr>
              <w:t>Milk vat refrigeration (direct expansion)</w:t>
            </w:r>
          </w:p>
        </w:tc>
      </w:tr>
      <w:tr w:rsidR="003D3336" w14:paraId="10ADB711" w14:textId="77777777" w:rsidTr="0094323D">
        <w:trPr>
          <w:cantSplit/>
          <w:trHeight w:val="624"/>
        </w:trPr>
        <w:tc>
          <w:tcPr>
            <w:tcW w:w="973" w:type="dxa"/>
            <w:vAlign w:val="center"/>
          </w:tcPr>
          <w:p w14:paraId="660A2DA2" w14:textId="571DC28E" w:rsidR="003D3336" w:rsidRPr="00B137CC" w:rsidRDefault="003D3336" w:rsidP="003D3336">
            <w:pPr>
              <w:spacing w:before="60" w:after="60"/>
              <w:jc w:val="center"/>
              <w:rPr>
                <w:color w:val="000000"/>
              </w:rPr>
            </w:pPr>
            <w:r>
              <w:rPr>
                <w:color w:val="000000"/>
                <w:szCs w:val="22"/>
              </w:rPr>
              <w:t>44</w:t>
            </w:r>
          </w:p>
        </w:tc>
        <w:tc>
          <w:tcPr>
            <w:tcW w:w="1407" w:type="dxa"/>
            <w:vMerge/>
            <w:vAlign w:val="center"/>
          </w:tcPr>
          <w:p w14:paraId="2F858335" w14:textId="77777777" w:rsidR="003D3336" w:rsidRPr="00B137CC" w:rsidRDefault="003D3336" w:rsidP="003D3336">
            <w:pPr>
              <w:spacing w:before="60" w:after="60"/>
              <w:jc w:val="center"/>
            </w:pPr>
          </w:p>
        </w:tc>
        <w:tc>
          <w:tcPr>
            <w:tcW w:w="1926" w:type="dxa"/>
            <w:tcBorders>
              <w:bottom w:val="single" w:sz="4" w:space="0" w:color="000000"/>
            </w:tcBorders>
            <w:vAlign w:val="center"/>
          </w:tcPr>
          <w:p w14:paraId="30075C8D" w14:textId="71DB9A85" w:rsidR="003D3336" w:rsidRPr="00B137CC" w:rsidRDefault="003D3336" w:rsidP="003D3336">
            <w:pPr>
              <w:spacing w:before="60" w:after="60"/>
              <w:rPr>
                <w:color w:val="000000"/>
              </w:rPr>
            </w:pPr>
            <w:r>
              <w:rPr>
                <w:color w:val="000000"/>
                <w:szCs w:val="22"/>
              </w:rPr>
              <w:t>Remote</w:t>
            </w:r>
          </w:p>
        </w:tc>
        <w:tc>
          <w:tcPr>
            <w:tcW w:w="1596" w:type="dxa"/>
            <w:tcBorders>
              <w:bottom w:val="single" w:sz="4" w:space="0" w:color="000000"/>
            </w:tcBorders>
            <w:shd w:val="clear" w:color="auto" w:fill="FFFD78"/>
            <w:vAlign w:val="center"/>
          </w:tcPr>
          <w:p w14:paraId="25764DF6" w14:textId="5A016822" w:rsidR="003D3336" w:rsidRPr="00B137CC" w:rsidRDefault="003D3336" w:rsidP="003D3336">
            <w:pPr>
              <w:spacing w:before="60" w:after="60"/>
              <w:jc w:val="center"/>
              <w:rPr>
                <w:color w:val="000000"/>
              </w:rPr>
            </w:pPr>
            <w:r>
              <w:rPr>
                <w:color w:val="000000"/>
                <w:szCs w:val="22"/>
              </w:rPr>
              <w:t>RCFC2-6</w:t>
            </w:r>
          </w:p>
        </w:tc>
        <w:tc>
          <w:tcPr>
            <w:tcW w:w="3590" w:type="dxa"/>
            <w:tcBorders>
              <w:bottom w:val="single" w:sz="4" w:space="0" w:color="000000"/>
            </w:tcBorders>
            <w:vAlign w:val="center"/>
          </w:tcPr>
          <w:p w14:paraId="4699ADCF" w14:textId="0304D0E6" w:rsidR="003D3336" w:rsidRPr="00B137CC" w:rsidRDefault="003D3336" w:rsidP="003D3336">
            <w:pPr>
              <w:spacing w:before="60" w:after="60"/>
              <w:jc w:val="left"/>
              <w:rPr>
                <w:color w:val="000000"/>
              </w:rPr>
            </w:pPr>
            <w:r>
              <w:rPr>
                <w:color w:val="000000"/>
                <w:szCs w:val="22"/>
              </w:rPr>
              <w:t>Packaged liquid chillers (incl. milk vat)</w:t>
            </w:r>
          </w:p>
        </w:tc>
      </w:tr>
      <w:tr w:rsidR="003D3336" w14:paraId="19CCD88F" w14:textId="77777777" w:rsidTr="0094323D">
        <w:trPr>
          <w:cantSplit/>
          <w:trHeight w:val="624"/>
        </w:trPr>
        <w:tc>
          <w:tcPr>
            <w:tcW w:w="973" w:type="dxa"/>
            <w:vAlign w:val="center"/>
          </w:tcPr>
          <w:p w14:paraId="7C8DECDB" w14:textId="272DF1AC" w:rsidR="003D3336" w:rsidRPr="00B137CC" w:rsidRDefault="003D3336" w:rsidP="003D3336">
            <w:pPr>
              <w:spacing w:before="60" w:after="60"/>
              <w:jc w:val="center"/>
              <w:rPr>
                <w:color w:val="000000"/>
              </w:rPr>
            </w:pPr>
            <w:r>
              <w:rPr>
                <w:color w:val="000000"/>
                <w:szCs w:val="22"/>
              </w:rPr>
              <w:lastRenderedPageBreak/>
              <w:t>45</w:t>
            </w:r>
          </w:p>
        </w:tc>
        <w:tc>
          <w:tcPr>
            <w:tcW w:w="1407" w:type="dxa"/>
            <w:vMerge/>
            <w:vAlign w:val="center"/>
          </w:tcPr>
          <w:p w14:paraId="6BC48837" w14:textId="77777777" w:rsidR="003D3336" w:rsidRPr="00B137CC" w:rsidRDefault="003D3336" w:rsidP="003D3336">
            <w:pPr>
              <w:spacing w:before="60" w:after="60"/>
              <w:jc w:val="center"/>
            </w:pPr>
          </w:p>
        </w:tc>
        <w:tc>
          <w:tcPr>
            <w:tcW w:w="1926" w:type="dxa"/>
            <w:tcBorders>
              <w:bottom w:val="single" w:sz="4" w:space="0" w:color="000000"/>
            </w:tcBorders>
            <w:shd w:val="clear" w:color="auto" w:fill="C6D9F1" w:themeFill="text2" w:themeFillTint="33"/>
            <w:vAlign w:val="center"/>
          </w:tcPr>
          <w:p w14:paraId="6DAA8D27" w14:textId="10C3DD86" w:rsidR="003D3336" w:rsidRPr="00B137CC" w:rsidRDefault="003D3336" w:rsidP="003D3336">
            <w:pPr>
              <w:spacing w:before="60" w:after="60"/>
              <w:rPr>
                <w:color w:val="000000"/>
              </w:rPr>
            </w:pPr>
            <w:r>
              <w:rPr>
                <w:color w:val="000000"/>
                <w:szCs w:val="22"/>
              </w:rPr>
              <w:t>Remote</w:t>
            </w:r>
          </w:p>
        </w:tc>
        <w:tc>
          <w:tcPr>
            <w:tcW w:w="1596" w:type="dxa"/>
            <w:tcBorders>
              <w:bottom w:val="single" w:sz="4" w:space="0" w:color="000000"/>
            </w:tcBorders>
            <w:shd w:val="clear" w:color="auto" w:fill="C6D9F1" w:themeFill="text2" w:themeFillTint="33"/>
            <w:vAlign w:val="center"/>
          </w:tcPr>
          <w:p w14:paraId="42F61604" w14:textId="6ACEB449" w:rsidR="003D3336" w:rsidRPr="00B137CC" w:rsidRDefault="003D3336" w:rsidP="003D3336">
            <w:pPr>
              <w:spacing w:before="60" w:after="60"/>
              <w:jc w:val="center"/>
              <w:rPr>
                <w:color w:val="000000"/>
              </w:rPr>
            </w:pPr>
            <w:r>
              <w:rPr>
                <w:color w:val="000000"/>
                <w:szCs w:val="22"/>
              </w:rPr>
              <w:t>RCFC2-7</w:t>
            </w:r>
          </w:p>
        </w:tc>
        <w:tc>
          <w:tcPr>
            <w:tcW w:w="3590" w:type="dxa"/>
            <w:tcBorders>
              <w:bottom w:val="single" w:sz="4" w:space="0" w:color="000000"/>
            </w:tcBorders>
            <w:shd w:val="clear" w:color="auto" w:fill="C6D9F1" w:themeFill="text2" w:themeFillTint="33"/>
            <w:vAlign w:val="center"/>
          </w:tcPr>
          <w:p w14:paraId="75B7733D" w14:textId="16E73F39" w:rsidR="003D3336" w:rsidRPr="00B137CC" w:rsidRDefault="003D3336" w:rsidP="003D3336">
            <w:pPr>
              <w:spacing w:before="60" w:after="60"/>
              <w:jc w:val="left"/>
              <w:rPr>
                <w:color w:val="000000"/>
              </w:rPr>
            </w:pPr>
            <w:r>
              <w:rPr>
                <w:color w:val="000000"/>
                <w:szCs w:val="22"/>
              </w:rPr>
              <w:t>Process, and mfg. refrigeration (&lt;40 kWr)</w:t>
            </w:r>
          </w:p>
        </w:tc>
      </w:tr>
      <w:tr w:rsidR="003D3336" w14:paraId="1F95F55B" w14:textId="77777777" w:rsidTr="0094323D">
        <w:trPr>
          <w:cantSplit/>
          <w:trHeight w:val="624"/>
        </w:trPr>
        <w:tc>
          <w:tcPr>
            <w:tcW w:w="973" w:type="dxa"/>
            <w:vAlign w:val="center"/>
          </w:tcPr>
          <w:p w14:paraId="62D65975" w14:textId="2E82161D" w:rsidR="003D3336" w:rsidRPr="00B137CC" w:rsidRDefault="003D3336" w:rsidP="003D3336">
            <w:pPr>
              <w:spacing w:before="60" w:after="60"/>
              <w:jc w:val="center"/>
            </w:pPr>
            <w:r>
              <w:rPr>
                <w:color w:val="000000"/>
                <w:szCs w:val="22"/>
              </w:rPr>
              <w:t>46</w:t>
            </w:r>
          </w:p>
        </w:tc>
        <w:tc>
          <w:tcPr>
            <w:tcW w:w="1407" w:type="dxa"/>
            <w:vMerge/>
            <w:vAlign w:val="center"/>
          </w:tcPr>
          <w:p w14:paraId="5432D5C3" w14:textId="77777777" w:rsidR="003D3336" w:rsidRPr="00B137CC" w:rsidRDefault="003D3336" w:rsidP="003D3336">
            <w:pPr>
              <w:spacing w:before="60" w:after="60"/>
              <w:jc w:val="center"/>
            </w:pPr>
          </w:p>
        </w:tc>
        <w:tc>
          <w:tcPr>
            <w:tcW w:w="1926" w:type="dxa"/>
            <w:shd w:val="clear" w:color="auto" w:fill="C6D9F1" w:themeFill="text2" w:themeFillTint="33"/>
            <w:vAlign w:val="center"/>
          </w:tcPr>
          <w:p w14:paraId="3D3F8823" w14:textId="4516253C" w:rsidR="003D3336" w:rsidRPr="00B137CC" w:rsidRDefault="003D3336" w:rsidP="003D3336">
            <w:pPr>
              <w:spacing w:before="60" w:after="60"/>
            </w:pPr>
            <w:r>
              <w:rPr>
                <w:color w:val="000000"/>
                <w:szCs w:val="22"/>
              </w:rPr>
              <w:t>Remote</w:t>
            </w:r>
          </w:p>
        </w:tc>
        <w:tc>
          <w:tcPr>
            <w:tcW w:w="1596" w:type="dxa"/>
            <w:tcBorders>
              <w:bottom w:val="single" w:sz="4" w:space="0" w:color="000000"/>
            </w:tcBorders>
            <w:shd w:val="clear" w:color="auto" w:fill="C6D9F1" w:themeFill="text2" w:themeFillTint="33"/>
            <w:vAlign w:val="center"/>
          </w:tcPr>
          <w:p w14:paraId="49566894" w14:textId="40712B13" w:rsidR="003D3336" w:rsidRPr="00B137CC" w:rsidRDefault="003D3336" w:rsidP="003D3336">
            <w:pPr>
              <w:spacing w:before="60" w:after="60"/>
              <w:jc w:val="center"/>
            </w:pPr>
            <w:r>
              <w:rPr>
                <w:color w:val="000000"/>
                <w:szCs w:val="22"/>
              </w:rPr>
              <w:t>RCFC2-8</w:t>
            </w:r>
          </w:p>
        </w:tc>
        <w:tc>
          <w:tcPr>
            <w:tcW w:w="3590" w:type="dxa"/>
            <w:shd w:val="clear" w:color="auto" w:fill="C6D9F1" w:themeFill="text2" w:themeFillTint="33"/>
            <w:vAlign w:val="center"/>
          </w:tcPr>
          <w:p w14:paraId="12F6C2A5" w14:textId="508E48AD" w:rsidR="003D3336" w:rsidRPr="00B137CC" w:rsidRDefault="003D3336" w:rsidP="003D3336">
            <w:pPr>
              <w:spacing w:before="60" w:after="60"/>
              <w:jc w:val="left"/>
            </w:pPr>
            <w:r>
              <w:rPr>
                <w:color w:val="000000"/>
                <w:szCs w:val="22"/>
              </w:rPr>
              <w:t>Other remote equipment</w:t>
            </w:r>
          </w:p>
        </w:tc>
      </w:tr>
      <w:tr w:rsidR="003D3336" w14:paraId="79282E6C" w14:textId="77777777" w:rsidTr="00D8549E">
        <w:trPr>
          <w:cantSplit/>
          <w:trHeight w:val="624"/>
        </w:trPr>
        <w:tc>
          <w:tcPr>
            <w:tcW w:w="973" w:type="dxa"/>
            <w:vAlign w:val="center"/>
          </w:tcPr>
          <w:p w14:paraId="56F26D7D" w14:textId="742ADB6F" w:rsidR="003D3336" w:rsidRPr="00B137CC" w:rsidRDefault="003D3336" w:rsidP="003D3336">
            <w:pPr>
              <w:spacing w:before="60" w:after="60"/>
              <w:jc w:val="center"/>
            </w:pPr>
            <w:r>
              <w:rPr>
                <w:color w:val="000000"/>
                <w:szCs w:val="22"/>
              </w:rPr>
              <w:t>47</w:t>
            </w:r>
          </w:p>
        </w:tc>
        <w:tc>
          <w:tcPr>
            <w:tcW w:w="1407" w:type="dxa"/>
            <w:vMerge w:val="restart"/>
            <w:textDirection w:val="btLr"/>
            <w:vAlign w:val="center"/>
          </w:tcPr>
          <w:p w14:paraId="2D5F2E8D" w14:textId="77342EB4" w:rsidR="003D3336" w:rsidRPr="00B137CC" w:rsidRDefault="003D3336" w:rsidP="003D3336">
            <w:pPr>
              <w:spacing w:before="60" w:after="60"/>
              <w:jc w:val="center"/>
            </w:pPr>
            <w:r>
              <w:rPr>
                <w:color w:val="000000"/>
                <w:szCs w:val="22"/>
              </w:rPr>
              <w:t>RCFC3: Supermarket</w:t>
            </w:r>
          </w:p>
        </w:tc>
        <w:tc>
          <w:tcPr>
            <w:tcW w:w="1926" w:type="dxa"/>
            <w:vAlign w:val="center"/>
          </w:tcPr>
          <w:p w14:paraId="37899E68" w14:textId="7D9F5A8A" w:rsidR="003D3336" w:rsidRPr="00B137CC" w:rsidRDefault="003D3336" w:rsidP="003D3336">
            <w:pPr>
              <w:spacing w:before="60" w:after="60"/>
            </w:pPr>
            <w:r>
              <w:rPr>
                <w:color w:val="000000"/>
                <w:szCs w:val="22"/>
              </w:rPr>
              <w:t>Supermarkets</w:t>
            </w:r>
          </w:p>
        </w:tc>
        <w:tc>
          <w:tcPr>
            <w:tcW w:w="1596" w:type="dxa"/>
            <w:shd w:val="clear" w:color="auto" w:fill="FFFD78"/>
            <w:vAlign w:val="center"/>
          </w:tcPr>
          <w:p w14:paraId="358EC4B0" w14:textId="7D86E757" w:rsidR="003D3336" w:rsidRPr="00B137CC" w:rsidRDefault="003D3336" w:rsidP="003D3336">
            <w:pPr>
              <w:spacing w:before="60" w:after="60"/>
              <w:jc w:val="center"/>
            </w:pPr>
            <w:r>
              <w:rPr>
                <w:color w:val="000000"/>
                <w:szCs w:val="22"/>
              </w:rPr>
              <w:t>RCFC3-1</w:t>
            </w:r>
          </w:p>
        </w:tc>
        <w:tc>
          <w:tcPr>
            <w:tcW w:w="3590" w:type="dxa"/>
            <w:vAlign w:val="center"/>
          </w:tcPr>
          <w:p w14:paraId="411C63A9" w14:textId="3B65F449" w:rsidR="003D3336" w:rsidRPr="00B137CC" w:rsidRDefault="003D3336" w:rsidP="003D3336">
            <w:pPr>
              <w:spacing w:before="60" w:after="60"/>
              <w:jc w:val="left"/>
            </w:pPr>
            <w:r>
              <w:rPr>
                <w:color w:val="000000"/>
                <w:szCs w:val="22"/>
              </w:rPr>
              <w:t>Supermarket refrigeration: small</w:t>
            </w:r>
          </w:p>
        </w:tc>
      </w:tr>
      <w:tr w:rsidR="003D3336" w14:paraId="31A5F5B9" w14:textId="77777777" w:rsidTr="00D8549E">
        <w:trPr>
          <w:cantSplit/>
          <w:trHeight w:val="624"/>
        </w:trPr>
        <w:tc>
          <w:tcPr>
            <w:tcW w:w="973" w:type="dxa"/>
            <w:vAlign w:val="center"/>
          </w:tcPr>
          <w:p w14:paraId="1589D1E2" w14:textId="1948B997" w:rsidR="003D3336" w:rsidRPr="00B137CC" w:rsidRDefault="003D3336" w:rsidP="003D3336">
            <w:pPr>
              <w:spacing w:before="60" w:after="60"/>
              <w:jc w:val="center"/>
            </w:pPr>
            <w:r>
              <w:rPr>
                <w:color w:val="000000"/>
                <w:szCs w:val="22"/>
              </w:rPr>
              <w:t>48</w:t>
            </w:r>
          </w:p>
        </w:tc>
        <w:tc>
          <w:tcPr>
            <w:tcW w:w="1407" w:type="dxa"/>
            <w:vMerge/>
            <w:vAlign w:val="center"/>
          </w:tcPr>
          <w:p w14:paraId="63458D43" w14:textId="77777777" w:rsidR="003D3336" w:rsidRPr="00B137CC" w:rsidRDefault="003D3336" w:rsidP="003D3336">
            <w:pPr>
              <w:spacing w:before="60" w:after="60"/>
              <w:jc w:val="center"/>
            </w:pPr>
          </w:p>
        </w:tc>
        <w:tc>
          <w:tcPr>
            <w:tcW w:w="1926" w:type="dxa"/>
            <w:vAlign w:val="center"/>
          </w:tcPr>
          <w:p w14:paraId="7E492C16" w14:textId="656167FA" w:rsidR="003D3336" w:rsidRPr="00B137CC" w:rsidRDefault="003D3336" w:rsidP="003D3336">
            <w:pPr>
              <w:spacing w:before="60" w:after="60"/>
            </w:pPr>
            <w:r>
              <w:rPr>
                <w:color w:val="000000"/>
                <w:szCs w:val="22"/>
              </w:rPr>
              <w:t>Supermarkets</w:t>
            </w:r>
          </w:p>
        </w:tc>
        <w:tc>
          <w:tcPr>
            <w:tcW w:w="1596" w:type="dxa"/>
            <w:shd w:val="clear" w:color="auto" w:fill="FFFD78"/>
            <w:vAlign w:val="center"/>
          </w:tcPr>
          <w:p w14:paraId="582D45A5" w14:textId="51595BC7" w:rsidR="003D3336" w:rsidRPr="00B137CC" w:rsidRDefault="003D3336" w:rsidP="003D3336">
            <w:pPr>
              <w:spacing w:before="60" w:after="60"/>
              <w:jc w:val="center"/>
            </w:pPr>
            <w:r>
              <w:rPr>
                <w:color w:val="000000"/>
                <w:szCs w:val="22"/>
              </w:rPr>
              <w:t>RCFC3-2</w:t>
            </w:r>
          </w:p>
        </w:tc>
        <w:tc>
          <w:tcPr>
            <w:tcW w:w="3590" w:type="dxa"/>
            <w:vAlign w:val="center"/>
          </w:tcPr>
          <w:p w14:paraId="5BD5BC4E" w14:textId="6C22B12A" w:rsidR="003D3336" w:rsidRPr="00B137CC" w:rsidRDefault="003D3336" w:rsidP="003D3336">
            <w:pPr>
              <w:spacing w:before="60" w:after="60"/>
              <w:jc w:val="left"/>
            </w:pPr>
            <w:r>
              <w:rPr>
                <w:color w:val="000000"/>
                <w:szCs w:val="22"/>
              </w:rPr>
              <w:t>Supermarket refrigeration: medium</w:t>
            </w:r>
          </w:p>
        </w:tc>
      </w:tr>
      <w:tr w:rsidR="003D3336" w14:paraId="4D8A83AB" w14:textId="77777777" w:rsidTr="00D8549E">
        <w:trPr>
          <w:cantSplit/>
          <w:trHeight w:val="624"/>
        </w:trPr>
        <w:tc>
          <w:tcPr>
            <w:tcW w:w="973" w:type="dxa"/>
            <w:vAlign w:val="center"/>
          </w:tcPr>
          <w:p w14:paraId="46D07793" w14:textId="4665FB71" w:rsidR="003D3336" w:rsidRPr="00B137CC" w:rsidRDefault="003D3336" w:rsidP="003D3336">
            <w:pPr>
              <w:spacing w:before="60" w:after="60"/>
              <w:jc w:val="center"/>
            </w:pPr>
            <w:r>
              <w:rPr>
                <w:color w:val="000000"/>
                <w:szCs w:val="22"/>
              </w:rPr>
              <w:t>49</w:t>
            </w:r>
          </w:p>
        </w:tc>
        <w:tc>
          <w:tcPr>
            <w:tcW w:w="1407" w:type="dxa"/>
            <w:vMerge/>
            <w:vAlign w:val="center"/>
          </w:tcPr>
          <w:p w14:paraId="4688132D" w14:textId="77777777" w:rsidR="003D3336" w:rsidRPr="00B137CC" w:rsidRDefault="003D3336" w:rsidP="003D3336">
            <w:pPr>
              <w:spacing w:before="60" w:after="60"/>
              <w:jc w:val="center"/>
            </w:pPr>
          </w:p>
        </w:tc>
        <w:tc>
          <w:tcPr>
            <w:tcW w:w="1926" w:type="dxa"/>
            <w:vAlign w:val="center"/>
          </w:tcPr>
          <w:p w14:paraId="6D5477D7" w14:textId="64DEC7CC" w:rsidR="003D3336" w:rsidRPr="00B137CC" w:rsidRDefault="003D3336" w:rsidP="003D3336">
            <w:pPr>
              <w:spacing w:before="60" w:after="60"/>
            </w:pPr>
            <w:r>
              <w:rPr>
                <w:color w:val="000000"/>
                <w:szCs w:val="22"/>
              </w:rPr>
              <w:t>Supermarkets</w:t>
            </w:r>
          </w:p>
        </w:tc>
        <w:tc>
          <w:tcPr>
            <w:tcW w:w="1596" w:type="dxa"/>
            <w:tcBorders>
              <w:bottom w:val="single" w:sz="4" w:space="0" w:color="000000"/>
            </w:tcBorders>
            <w:shd w:val="clear" w:color="auto" w:fill="FFFD78"/>
            <w:vAlign w:val="center"/>
          </w:tcPr>
          <w:p w14:paraId="5C8672C8" w14:textId="09F38A3A" w:rsidR="003D3336" w:rsidRPr="00B137CC" w:rsidRDefault="003D3336" w:rsidP="003D3336">
            <w:pPr>
              <w:spacing w:before="60" w:after="60"/>
              <w:jc w:val="center"/>
            </w:pPr>
            <w:r>
              <w:rPr>
                <w:color w:val="000000"/>
                <w:szCs w:val="22"/>
              </w:rPr>
              <w:t>RCFC3-3</w:t>
            </w:r>
          </w:p>
        </w:tc>
        <w:tc>
          <w:tcPr>
            <w:tcW w:w="3590" w:type="dxa"/>
            <w:vAlign w:val="center"/>
          </w:tcPr>
          <w:p w14:paraId="2CEE5047" w14:textId="5F0A912F" w:rsidR="003D3336" w:rsidRPr="00B137CC" w:rsidRDefault="003D3336" w:rsidP="003D3336">
            <w:pPr>
              <w:spacing w:before="60" w:after="60"/>
              <w:jc w:val="left"/>
            </w:pPr>
            <w:r>
              <w:rPr>
                <w:color w:val="000000"/>
                <w:szCs w:val="22"/>
              </w:rPr>
              <w:t>Supermarket refrigeration: large</w:t>
            </w:r>
          </w:p>
        </w:tc>
      </w:tr>
      <w:tr w:rsidR="003D3336" w14:paraId="503D40A8" w14:textId="77777777" w:rsidTr="00D8549E">
        <w:trPr>
          <w:cantSplit/>
          <w:trHeight w:val="624"/>
        </w:trPr>
        <w:tc>
          <w:tcPr>
            <w:tcW w:w="973" w:type="dxa"/>
            <w:vAlign w:val="center"/>
          </w:tcPr>
          <w:p w14:paraId="582D1D0C" w14:textId="336E35E5" w:rsidR="003D3336" w:rsidRPr="00B137CC" w:rsidRDefault="003D3336" w:rsidP="003D3336">
            <w:pPr>
              <w:spacing w:before="60" w:after="60"/>
              <w:jc w:val="center"/>
            </w:pPr>
            <w:r>
              <w:rPr>
                <w:color w:val="000000"/>
                <w:szCs w:val="22"/>
              </w:rPr>
              <w:t>50</w:t>
            </w:r>
          </w:p>
        </w:tc>
        <w:tc>
          <w:tcPr>
            <w:tcW w:w="1407" w:type="dxa"/>
            <w:vMerge w:val="restart"/>
            <w:textDirection w:val="btLr"/>
            <w:vAlign w:val="center"/>
          </w:tcPr>
          <w:p w14:paraId="55C03DE2" w14:textId="27F0A8DA" w:rsidR="003D3336" w:rsidRPr="00B137CC" w:rsidRDefault="003D3336" w:rsidP="003D3336">
            <w:pPr>
              <w:spacing w:before="60" w:after="60"/>
              <w:jc w:val="center"/>
            </w:pPr>
            <w:r>
              <w:rPr>
                <w:color w:val="000000"/>
                <w:szCs w:val="22"/>
              </w:rPr>
              <w:t>RCFC4: Transport refrigeration</w:t>
            </w:r>
          </w:p>
        </w:tc>
        <w:tc>
          <w:tcPr>
            <w:tcW w:w="1926" w:type="dxa"/>
            <w:vAlign w:val="center"/>
          </w:tcPr>
          <w:p w14:paraId="4B12EFDA" w14:textId="51A3BF1D" w:rsidR="003D3336" w:rsidRPr="00B137CC" w:rsidRDefault="003D3336" w:rsidP="003D3336">
            <w:pPr>
              <w:spacing w:before="60" w:after="60"/>
            </w:pPr>
            <w:r>
              <w:rPr>
                <w:color w:val="000000"/>
                <w:szCs w:val="22"/>
              </w:rPr>
              <w:t>Transport refrigeration</w:t>
            </w:r>
          </w:p>
        </w:tc>
        <w:tc>
          <w:tcPr>
            <w:tcW w:w="1596" w:type="dxa"/>
            <w:shd w:val="clear" w:color="auto" w:fill="FFFD78"/>
            <w:vAlign w:val="center"/>
          </w:tcPr>
          <w:p w14:paraId="3088557D" w14:textId="3370A82B" w:rsidR="003D3336" w:rsidRPr="00B137CC" w:rsidRDefault="003D3336" w:rsidP="003D3336">
            <w:pPr>
              <w:spacing w:before="60" w:after="60"/>
              <w:jc w:val="center"/>
            </w:pPr>
            <w:r>
              <w:rPr>
                <w:color w:val="000000"/>
                <w:szCs w:val="22"/>
              </w:rPr>
              <w:t>RCFC4-1</w:t>
            </w:r>
          </w:p>
        </w:tc>
        <w:tc>
          <w:tcPr>
            <w:tcW w:w="3590" w:type="dxa"/>
            <w:vAlign w:val="center"/>
          </w:tcPr>
          <w:p w14:paraId="79446756" w14:textId="03F04946" w:rsidR="003D3336" w:rsidRPr="00B137CC" w:rsidRDefault="003D3336" w:rsidP="003D3336">
            <w:pPr>
              <w:spacing w:before="60" w:after="60"/>
              <w:jc w:val="left"/>
            </w:pPr>
            <w:r>
              <w:rPr>
                <w:color w:val="000000"/>
                <w:szCs w:val="22"/>
              </w:rPr>
              <w:t>Mobile refrigeration: road: trailer - inter-modal</w:t>
            </w:r>
          </w:p>
        </w:tc>
      </w:tr>
      <w:tr w:rsidR="003D3336" w14:paraId="3C4277DE" w14:textId="77777777" w:rsidTr="00D8549E">
        <w:trPr>
          <w:cantSplit/>
          <w:trHeight w:val="624"/>
        </w:trPr>
        <w:tc>
          <w:tcPr>
            <w:tcW w:w="973" w:type="dxa"/>
            <w:vAlign w:val="center"/>
          </w:tcPr>
          <w:p w14:paraId="58E654F5" w14:textId="40D19367" w:rsidR="003D3336" w:rsidRPr="00B137CC" w:rsidRDefault="003D3336" w:rsidP="003D3336">
            <w:pPr>
              <w:spacing w:before="60" w:after="60"/>
              <w:jc w:val="center"/>
            </w:pPr>
            <w:r>
              <w:rPr>
                <w:color w:val="000000"/>
                <w:szCs w:val="22"/>
              </w:rPr>
              <w:t>51</w:t>
            </w:r>
          </w:p>
        </w:tc>
        <w:tc>
          <w:tcPr>
            <w:tcW w:w="1407" w:type="dxa"/>
            <w:vMerge/>
            <w:vAlign w:val="center"/>
          </w:tcPr>
          <w:p w14:paraId="17561260" w14:textId="77777777" w:rsidR="003D3336" w:rsidRPr="00B137CC" w:rsidRDefault="003D3336" w:rsidP="003D3336">
            <w:pPr>
              <w:spacing w:before="60" w:after="60"/>
              <w:jc w:val="center"/>
            </w:pPr>
          </w:p>
        </w:tc>
        <w:tc>
          <w:tcPr>
            <w:tcW w:w="1926" w:type="dxa"/>
            <w:vAlign w:val="center"/>
          </w:tcPr>
          <w:p w14:paraId="5C0B9868" w14:textId="11E7ABDB" w:rsidR="003D3336" w:rsidRPr="00B137CC" w:rsidRDefault="003D3336" w:rsidP="003D3336">
            <w:pPr>
              <w:spacing w:before="60" w:after="60"/>
            </w:pPr>
            <w:r>
              <w:rPr>
                <w:color w:val="000000"/>
                <w:szCs w:val="22"/>
              </w:rPr>
              <w:t>Transport refrigeration</w:t>
            </w:r>
          </w:p>
        </w:tc>
        <w:tc>
          <w:tcPr>
            <w:tcW w:w="1596" w:type="dxa"/>
            <w:shd w:val="clear" w:color="auto" w:fill="FFFD78"/>
            <w:vAlign w:val="center"/>
          </w:tcPr>
          <w:p w14:paraId="43E2BC13" w14:textId="3437B921" w:rsidR="003D3336" w:rsidRPr="00B137CC" w:rsidRDefault="003D3336" w:rsidP="003D3336">
            <w:pPr>
              <w:spacing w:before="60" w:after="60"/>
              <w:jc w:val="center"/>
            </w:pPr>
            <w:r>
              <w:rPr>
                <w:color w:val="000000"/>
                <w:szCs w:val="22"/>
              </w:rPr>
              <w:t>RCFC4-2</w:t>
            </w:r>
          </w:p>
        </w:tc>
        <w:tc>
          <w:tcPr>
            <w:tcW w:w="3590" w:type="dxa"/>
            <w:vAlign w:val="center"/>
          </w:tcPr>
          <w:p w14:paraId="6C560D20" w14:textId="58C5F164" w:rsidR="003D3336" w:rsidRPr="00B137CC" w:rsidRDefault="003D3336" w:rsidP="003D3336">
            <w:pPr>
              <w:spacing w:before="60" w:after="60"/>
              <w:jc w:val="left"/>
            </w:pPr>
            <w:r>
              <w:rPr>
                <w:color w:val="000000"/>
                <w:szCs w:val="22"/>
              </w:rPr>
              <w:t>Mobile refrigeration: road: diesel drive</w:t>
            </w:r>
          </w:p>
        </w:tc>
      </w:tr>
      <w:tr w:rsidR="003D3336" w14:paraId="5E6F55EE" w14:textId="77777777" w:rsidTr="00D8549E">
        <w:trPr>
          <w:cantSplit/>
          <w:trHeight w:val="624"/>
        </w:trPr>
        <w:tc>
          <w:tcPr>
            <w:tcW w:w="973" w:type="dxa"/>
            <w:vAlign w:val="center"/>
          </w:tcPr>
          <w:p w14:paraId="5CFD4136" w14:textId="73747811" w:rsidR="003D3336" w:rsidRPr="00B137CC" w:rsidRDefault="003D3336" w:rsidP="003D3336">
            <w:pPr>
              <w:spacing w:before="60" w:after="60"/>
              <w:jc w:val="center"/>
            </w:pPr>
            <w:r>
              <w:rPr>
                <w:color w:val="000000"/>
                <w:szCs w:val="22"/>
              </w:rPr>
              <w:t>52</w:t>
            </w:r>
          </w:p>
        </w:tc>
        <w:tc>
          <w:tcPr>
            <w:tcW w:w="1407" w:type="dxa"/>
            <w:vMerge/>
            <w:vAlign w:val="center"/>
          </w:tcPr>
          <w:p w14:paraId="7ABB8BFB" w14:textId="77777777" w:rsidR="003D3336" w:rsidRPr="00B137CC" w:rsidRDefault="003D3336" w:rsidP="003D3336">
            <w:pPr>
              <w:spacing w:before="60" w:after="60"/>
              <w:jc w:val="center"/>
            </w:pPr>
          </w:p>
        </w:tc>
        <w:tc>
          <w:tcPr>
            <w:tcW w:w="1926" w:type="dxa"/>
            <w:vAlign w:val="center"/>
          </w:tcPr>
          <w:p w14:paraId="07F61472" w14:textId="7FB8AEBF" w:rsidR="003D3336" w:rsidRPr="00B137CC" w:rsidRDefault="003D3336" w:rsidP="003D3336">
            <w:pPr>
              <w:spacing w:before="60" w:after="60"/>
            </w:pPr>
            <w:r>
              <w:rPr>
                <w:color w:val="000000"/>
                <w:szCs w:val="22"/>
              </w:rPr>
              <w:t>Transport refrigeration</w:t>
            </w:r>
          </w:p>
        </w:tc>
        <w:tc>
          <w:tcPr>
            <w:tcW w:w="1596" w:type="dxa"/>
            <w:shd w:val="clear" w:color="auto" w:fill="FFFD78"/>
            <w:vAlign w:val="center"/>
          </w:tcPr>
          <w:p w14:paraId="067B216D" w14:textId="3CCA7154" w:rsidR="003D3336" w:rsidRPr="00B137CC" w:rsidRDefault="003D3336" w:rsidP="003D3336">
            <w:pPr>
              <w:spacing w:before="60" w:after="60"/>
              <w:jc w:val="center"/>
            </w:pPr>
            <w:r>
              <w:rPr>
                <w:color w:val="000000"/>
                <w:szCs w:val="22"/>
              </w:rPr>
              <w:t>RCFC4-3</w:t>
            </w:r>
          </w:p>
        </w:tc>
        <w:tc>
          <w:tcPr>
            <w:tcW w:w="3590" w:type="dxa"/>
            <w:vAlign w:val="center"/>
          </w:tcPr>
          <w:p w14:paraId="3CBDF511" w14:textId="3D6A81DA" w:rsidR="003D3336" w:rsidRPr="00B137CC" w:rsidRDefault="003D3336" w:rsidP="003D3336">
            <w:pPr>
              <w:spacing w:before="60" w:after="60"/>
              <w:jc w:val="left"/>
            </w:pPr>
            <w:r>
              <w:rPr>
                <w:color w:val="000000"/>
                <w:szCs w:val="22"/>
              </w:rPr>
              <w:t>Mobile refrigeration: road: off engine</w:t>
            </w:r>
          </w:p>
        </w:tc>
      </w:tr>
      <w:tr w:rsidR="003D3336" w14:paraId="7092EE83" w14:textId="77777777" w:rsidTr="00D8549E">
        <w:trPr>
          <w:cantSplit/>
          <w:trHeight w:val="624"/>
        </w:trPr>
        <w:tc>
          <w:tcPr>
            <w:tcW w:w="973" w:type="dxa"/>
            <w:vAlign w:val="center"/>
          </w:tcPr>
          <w:p w14:paraId="7040739C" w14:textId="67E72254" w:rsidR="003D3336" w:rsidRPr="00B137CC" w:rsidRDefault="003D3336" w:rsidP="003D3336">
            <w:pPr>
              <w:spacing w:before="60" w:after="60"/>
              <w:jc w:val="center"/>
            </w:pPr>
            <w:r>
              <w:rPr>
                <w:color w:val="000000"/>
                <w:szCs w:val="22"/>
              </w:rPr>
              <w:t>53</w:t>
            </w:r>
          </w:p>
        </w:tc>
        <w:tc>
          <w:tcPr>
            <w:tcW w:w="1407" w:type="dxa"/>
            <w:vMerge/>
            <w:vAlign w:val="center"/>
          </w:tcPr>
          <w:p w14:paraId="73A013F1" w14:textId="77777777" w:rsidR="003D3336" w:rsidRPr="00B137CC" w:rsidRDefault="003D3336" w:rsidP="003D3336">
            <w:pPr>
              <w:spacing w:before="60" w:after="60"/>
              <w:jc w:val="center"/>
            </w:pPr>
          </w:p>
        </w:tc>
        <w:tc>
          <w:tcPr>
            <w:tcW w:w="1926" w:type="dxa"/>
            <w:vAlign w:val="center"/>
          </w:tcPr>
          <w:p w14:paraId="5F29F085" w14:textId="6B14CC72" w:rsidR="003D3336" w:rsidRPr="00B137CC" w:rsidRDefault="003D3336" w:rsidP="003D3336">
            <w:pPr>
              <w:spacing w:before="60" w:after="60"/>
            </w:pPr>
            <w:r>
              <w:rPr>
                <w:color w:val="000000"/>
                <w:szCs w:val="22"/>
              </w:rPr>
              <w:t>Transport refrigeration</w:t>
            </w:r>
          </w:p>
        </w:tc>
        <w:tc>
          <w:tcPr>
            <w:tcW w:w="1596" w:type="dxa"/>
            <w:shd w:val="clear" w:color="auto" w:fill="FFFD78"/>
            <w:vAlign w:val="center"/>
          </w:tcPr>
          <w:p w14:paraId="66FD14C7" w14:textId="3A0455F9" w:rsidR="003D3336" w:rsidRPr="00B137CC" w:rsidRDefault="003D3336" w:rsidP="003D3336">
            <w:pPr>
              <w:spacing w:before="60" w:after="60"/>
              <w:jc w:val="center"/>
            </w:pPr>
            <w:r>
              <w:rPr>
                <w:color w:val="000000"/>
                <w:szCs w:val="22"/>
              </w:rPr>
              <w:t>RCFC4-4</w:t>
            </w:r>
          </w:p>
        </w:tc>
        <w:tc>
          <w:tcPr>
            <w:tcW w:w="3590" w:type="dxa"/>
            <w:vAlign w:val="center"/>
          </w:tcPr>
          <w:p w14:paraId="1612F6CE" w14:textId="5362F9C3" w:rsidR="003D3336" w:rsidRPr="00B137CC" w:rsidRDefault="003D3336" w:rsidP="003D3336">
            <w:pPr>
              <w:spacing w:before="60" w:after="60"/>
              <w:jc w:val="left"/>
            </w:pPr>
            <w:r>
              <w:rPr>
                <w:color w:val="000000"/>
                <w:szCs w:val="22"/>
              </w:rPr>
              <w:t>Mobile refrigeration: marine</w:t>
            </w:r>
          </w:p>
        </w:tc>
      </w:tr>
      <w:tr w:rsidR="003D3336" w14:paraId="2A4D2B17" w14:textId="77777777" w:rsidTr="0094323D">
        <w:trPr>
          <w:cantSplit/>
          <w:trHeight w:val="624"/>
        </w:trPr>
        <w:tc>
          <w:tcPr>
            <w:tcW w:w="973" w:type="dxa"/>
            <w:vAlign w:val="center"/>
          </w:tcPr>
          <w:p w14:paraId="4FD501D6" w14:textId="5299DF10" w:rsidR="003D3336" w:rsidRPr="00B137CC" w:rsidRDefault="003D3336" w:rsidP="003D3336">
            <w:pPr>
              <w:spacing w:before="60" w:after="60"/>
              <w:jc w:val="center"/>
            </w:pPr>
            <w:r>
              <w:rPr>
                <w:color w:val="000000"/>
                <w:szCs w:val="22"/>
              </w:rPr>
              <w:t>54</w:t>
            </w:r>
          </w:p>
        </w:tc>
        <w:tc>
          <w:tcPr>
            <w:tcW w:w="1407" w:type="dxa"/>
            <w:vMerge w:val="restart"/>
            <w:textDirection w:val="btLr"/>
            <w:vAlign w:val="center"/>
          </w:tcPr>
          <w:p w14:paraId="39B45E76" w14:textId="568A779B" w:rsidR="003D3336" w:rsidRPr="00B137CC" w:rsidRDefault="003D3336" w:rsidP="003D3336">
            <w:pPr>
              <w:spacing w:before="60" w:after="60"/>
              <w:jc w:val="center"/>
            </w:pPr>
            <w:r>
              <w:rPr>
                <w:color w:val="000000"/>
                <w:szCs w:val="22"/>
              </w:rPr>
              <w:t>RCFC5: Process and industrial refrigeration</w:t>
            </w:r>
          </w:p>
        </w:tc>
        <w:tc>
          <w:tcPr>
            <w:tcW w:w="1926" w:type="dxa"/>
            <w:tcBorders>
              <w:bottom w:val="single" w:sz="4" w:space="0" w:color="000000"/>
            </w:tcBorders>
            <w:vAlign w:val="center"/>
          </w:tcPr>
          <w:p w14:paraId="5798A809" w14:textId="17F42362" w:rsidR="003D3336" w:rsidRPr="00B137CC" w:rsidRDefault="003D3336" w:rsidP="003D3336">
            <w:pPr>
              <w:spacing w:before="60" w:after="60"/>
            </w:pPr>
            <w:r>
              <w:rPr>
                <w:color w:val="000000"/>
                <w:szCs w:val="22"/>
              </w:rPr>
              <w:t>Industrial refrigeration</w:t>
            </w:r>
          </w:p>
        </w:tc>
        <w:tc>
          <w:tcPr>
            <w:tcW w:w="1596" w:type="dxa"/>
            <w:tcBorders>
              <w:bottom w:val="single" w:sz="4" w:space="0" w:color="000000"/>
            </w:tcBorders>
            <w:vAlign w:val="center"/>
          </w:tcPr>
          <w:p w14:paraId="167352F0" w14:textId="1714928C" w:rsidR="003D3336" w:rsidRPr="00B137CC" w:rsidRDefault="003D3336" w:rsidP="003D3336">
            <w:pPr>
              <w:spacing w:before="60" w:after="60"/>
              <w:jc w:val="center"/>
            </w:pPr>
            <w:r>
              <w:rPr>
                <w:color w:val="000000"/>
                <w:szCs w:val="22"/>
              </w:rPr>
              <w:t>RCFC5-1</w:t>
            </w:r>
          </w:p>
        </w:tc>
        <w:tc>
          <w:tcPr>
            <w:tcW w:w="3590" w:type="dxa"/>
            <w:tcBorders>
              <w:bottom w:val="single" w:sz="4" w:space="0" w:color="000000"/>
            </w:tcBorders>
            <w:vAlign w:val="center"/>
          </w:tcPr>
          <w:p w14:paraId="614189B7" w14:textId="0B46BD22" w:rsidR="003D3336" w:rsidRPr="00B137CC" w:rsidRDefault="003D3336" w:rsidP="003D3336">
            <w:pPr>
              <w:spacing w:before="60" w:after="60"/>
              <w:jc w:val="left"/>
            </w:pPr>
            <w:r>
              <w:rPr>
                <w:color w:val="000000"/>
                <w:szCs w:val="22"/>
              </w:rPr>
              <w:t>Cold storage and distribution</w:t>
            </w:r>
          </w:p>
        </w:tc>
      </w:tr>
      <w:tr w:rsidR="003D3336" w14:paraId="7DD054F1" w14:textId="77777777" w:rsidTr="0094323D">
        <w:trPr>
          <w:cantSplit/>
          <w:trHeight w:val="624"/>
        </w:trPr>
        <w:tc>
          <w:tcPr>
            <w:tcW w:w="973" w:type="dxa"/>
            <w:vAlign w:val="center"/>
          </w:tcPr>
          <w:p w14:paraId="6D7AE3A0" w14:textId="0A629C7D" w:rsidR="003D3336" w:rsidRPr="00B137CC" w:rsidRDefault="003D3336" w:rsidP="003D3336">
            <w:pPr>
              <w:spacing w:before="60" w:after="60"/>
              <w:jc w:val="center"/>
            </w:pPr>
            <w:r>
              <w:rPr>
                <w:color w:val="000000"/>
                <w:szCs w:val="22"/>
              </w:rPr>
              <w:t>55</w:t>
            </w:r>
          </w:p>
        </w:tc>
        <w:tc>
          <w:tcPr>
            <w:tcW w:w="1407" w:type="dxa"/>
            <w:vMerge/>
          </w:tcPr>
          <w:p w14:paraId="1E7B5BE6" w14:textId="77777777" w:rsidR="003D3336" w:rsidRPr="00B137CC" w:rsidRDefault="003D3336" w:rsidP="003D3336"/>
        </w:tc>
        <w:tc>
          <w:tcPr>
            <w:tcW w:w="1926" w:type="dxa"/>
            <w:shd w:val="clear" w:color="auto" w:fill="C6D9F1" w:themeFill="text2" w:themeFillTint="33"/>
            <w:vAlign w:val="center"/>
          </w:tcPr>
          <w:p w14:paraId="7D815A3F" w14:textId="0BFE24B8" w:rsidR="003D3336" w:rsidRPr="00B137CC" w:rsidRDefault="003D3336" w:rsidP="003D3336">
            <w:pPr>
              <w:spacing w:before="60" w:after="60"/>
            </w:pPr>
            <w:r>
              <w:rPr>
                <w:color w:val="000000"/>
                <w:szCs w:val="22"/>
              </w:rPr>
              <w:t>Industrial refrigeration</w:t>
            </w:r>
          </w:p>
        </w:tc>
        <w:tc>
          <w:tcPr>
            <w:tcW w:w="1596" w:type="dxa"/>
            <w:shd w:val="clear" w:color="auto" w:fill="C6D9F1" w:themeFill="text2" w:themeFillTint="33"/>
            <w:vAlign w:val="center"/>
          </w:tcPr>
          <w:p w14:paraId="66701EF7" w14:textId="5B77E1BC" w:rsidR="003D3336" w:rsidRPr="00B137CC" w:rsidRDefault="003D3336" w:rsidP="003D3336">
            <w:pPr>
              <w:spacing w:before="60" w:after="60"/>
              <w:jc w:val="center"/>
            </w:pPr>
            <w:r>
              <w:rPr>
                <w:color w:val="000000"/>
                <w:szCs w:val="22"/>
              </w:rPr>
              <w:t>RCFC5-2</w:t>
            </w:r>
          </w:p>
        </w:tc>
        <w:tc>
          <w:tcPr>
            <w:tcW w:w="3590" w:type="dxa"/>
            <w:shd w:val="clear" w:color="auto" w:fill="C6D9F1" w:themeFill="text2" w:themeFillTint="33"/>
            <w:vAlign w:val="center"/>
          </w:tcPr>
          <w:p w14:paraId="7660E223" w14:textId="2E373F67" w:rsidR="003D3336" w:rsidRPr="00B137CC" w:rsidRDefault="003D3336" w:rsidP="003D3336">
            <w:pPr>
              <w:spacing w:before="60" w:after="60"/>
              <w:jc w:val="left"/>
            </w:pPr>
            <w:r>
              <w:rPr>
                <w:color w:val="000000"/>
                <w:szCs w:val="22"/>
              </w:rPr>
              <w:t>Process and mfg. (&gt;=40 kWr)</w:t>
            </w:r>
          </w:p>
        </w:tc>
      </w:tr>
    </w:tbl>
    <w:p w14:paraId="55A07CD6" w14:textId="77777777" w:rsidR="004B359A" w:rsidRPr="007F3900" w:rsidRDefault="004B359A" w:rsidP="004B359A">
      <w:pPr>
        <w:spacing w:before="60" w:after="60"/>
        <w:rPr>
          <w:rFonts w:cs="Times New Roman"/>
          <w:sz w:val="20"/>
          <w:szCs w:val="20"/>
          <w:lang w:val="en-AU"/>
        </w:rPr>
      </w:pPr>
      <w:r w:rsidRPr="007F3900">
        <w:rPr>
          <w:rFonts w:cs="Times New Roman"/>
          <w:sz w:val="20"/>
          <w:szCs w:val="20"/>
          <w:lang w:val="en-AU"/>
        </w:rPr>
        <w:t>Notes:</w:t>
      </w:r>
    </w:p>
    <w:p w14:paraId="08E1F616" w14:textId="4EC4230D" w:rsidR="004B359A" w:rsidRDefault="004B359A" w:rsidP="00FC735C">
      <w:pPr>
        <w:pStyle w:val="ListParagraph"/>
        <w:numPr>
          <w:ilvl w:val="0"/>
          <w:numId w:val="25"/>
        </w:numPr>
        <w:spacing w:before="60" w:after="60" w:line="240" w:lineRule="auto"/>
        <w:contextualSpacing w:val="0"/>
        <w:jc w:val="both"/>
        <w:rPr>
          <w:rFonts w:ascii="Times New Roman" w:hAnsi="Times New Roman"/>
          <w:sz w:val="20"/>
          <w:szCs w:val="20"/>
          <w:lang w:val="en-AU"/>
        </w:rPr>
      </w:pPr>
      <w:r w:rsidRPr="004B359A">
        <w:rPr>
          <w:rFonts w:ascii="Times New Roman" w:hAnsi="Times New Roman"/>
          <w:sz w:val="20"/>
          <w:szCs w:val="20"/>
          <w:lang w:val="en-AU"/>
        </w:rPr>
        <w:t xml:space="preserve">Differences between CHF2 </w:t>
      </w:r>
      <w:r w:rsidR="00C45C37">
        <w:rPr>
          <w:rFonts w:ascii="Times New Roman" w:hAnsi="Times New Roman"/>
          <w:sz w:val="20"/>
          <w:szCs w:val="20"/>
          <w:lang w:val="en-AU"/>
        </w:rPr>
        <w:t>t</w:t>
      </w:r>
      <w:r w:rsidRPr="004B359A">
        <w:rPr>
          <w:rFonts w:ascii="Times New Roman" w:hAnsi="Times New Roman"/>
          <w:sz w:val="20"/>
          <w:szCs w:val="20"/>
          <w:lang w:val="en-AU"/>
        </w:rPr>
        <w:t xml:space="preserve">axonomy and CHF3 </w:t>
      </w:r>
      <w:r w:rsidR="00C45C37">
        <w:rPr>
          <w:rFonts w:ascii="Times New Roman" w:hAnsi="Times New Roman"/>
          <w:sz w:val="20"/>
          <w:szCs w:val="20"/>
          <w:lang w:val="en-AU"/>
        </w:rPr>
        <w:t>t</w:t>
      </w:r>
      <w:r w:rsidRPr="004B359A">
        <w:rPr>
          <w:rFonts w:ascii="Times New Roman" w:hAnsi="Times New Roman"/>
          <w:sz w:val="20"/>
          <w:szCs w:val="20"/>
          <w:lang w:val="en-AU"/>
        </w:rPr>
        <w:t xml:space="preserve">axonomy in this class are highlighted. Product </w:t>
      </w:r>
      <w:r w:rsidR="009F5EAE">
        <w:rPr>
          <w:rFonts w:ascii="Times New Roman" w:hAnsi="Times New Roman"/>
          <w:sz w:val="20"/>
          <w:szCs w:val="20"/>
          <w:lang w:val="en-AU"/>
        </w:rPr>
        <w:t xml:space="preserve">categories </w:t>
      </w:r>
      <w:r w:rsidR="009F5EAE" w:rsidRPr="004B359A">
        <w:rPr>
          <w:rFonts w:ascii="Times New Roman" w:hAnsi="Times New Roman"/>
          <w:sz w:val="20"/>
          <w:szCs w:val="20"/>
          <w:lang w:val="en-AU"/>
        </w:rPr>
        <w:t>highlighted</w:t>
      </w:r>
      <w:r w:rsidRPr="004B359A">
        <w:rPr>
          <w:rFonts w:ascii="Times New Roman" w:hAnsi="Times New Roman"/>
          <w:sz w:val="20"/>
          <w:szCs w:val="20"/>
          <w:lang w:val="en-AU"/>
        </w:rPr>
        <w:t xml:space="preserve"> in </w:t>
      </w:r>
      <w:r w:rsidR="005B66A4">
        <w:rPr>
          <w:rFonts w:ascii="Times New Roman" w:hAnsi="Times New Roman"/>
          <w:sz w:val="20"/>
          <w:szCs w:val="20"/>
          <w:lang w:val="en-AU"/>
        </w:rPr>
        <w:t>yellow</w:t>
      </w:r>
      <w:r w:rsidRPr="004B359A">
        <w:rPr>
          <w:rFonts w:ascii="Times New Roman" w:hAnsi="Times New Roman"/>
          <w:sz w:val="20"/>
          <w:szCs w:val="20"/>
          <w:lang w:val="en-AU"/>
        </w:rPr>
        <w:t xml:space="preserve"> indicate that the </w:t>
      </w:r>
      <w:r w:rsidR="00C45C37">
        <w:rPr>
          <w:rFonts w:ascii="Times New Roman" w:hAnsi="Times New Roman"/>
          <w:sz w:val="20"/>
          <w:szCs w:val="20"/>
          <w:lang w:val="en-AU"/>
        </w:rPr>
        <w:t>p</w:t>
      </w:r>
      <w:r w:rsidRPr="004B359A">
        <w:rPr>
          <w:rFonts w:ascii="Times New Roman" w:hAnsi="Times New Roman"/>
          <w:sz w:val="20"/>
          <w:szCs w:val="20"/>
          <w:lang w:val="en-AU"/>
        </w:rPr>
        <w:t xml:space="preserve">roduct has been renumbered since CHF2. Product </w:t>
      </w:r>
      <w:r w:rsidR="00C45C37">
        <w:rPr>
          <w:rFonts w:ascii="Times New Roman" w:hAnsi="Times New Roman"/>
          <w:sz w:val="20"/>
          <w:szCs w:val="20"/>
          <w:lang w:val="en-AU"/>
        </w:rPr>
        <w:t>c</w:t>
      </w:r>
      <w:r w:rsidRPr="004B359A">
        <w:rPr>
          <w:rFonts w:ascii="Times New Roman" w:hAnsi="Times New Roman"/>
          <w:sz w:val="20"/>
          <w:szCs w:val="20"/>
          <w:lang w:val="en-AU"/>
        </w:rPr>
        <w:t xml:space="preserve">ategories that are highlighted in </w:t>
      </w:r>
      <w:r w:rsidR="0094323D">
        <w:rPr>
          <w:rFonts w:ascii="Times New Roman" w:hAnsi="Times New Roman"/>
          <w:sz w:val="20"/>
          <w:szCs w:val="20"/>
          <w:lang w:val="en-AU"/>
        </w:rPr>
        <w:t>blue</w:t>
      </w:r>
      <w:r w:rsidR="005B66A4">
        <w:rPr>
          <w:rFonts w:ascii="Times New Roman" w:hAnsi="Times New Roman"/>
          <w:sz w:val="20"/>
          <w:szCs w:val="20"/>
          <w:lang w:val="en-AU"/>
        </w:rPr>
        <w:t xml:space="preserve"> </w:t>
      </w:r>
      <w:r w:rsidRPr="004B359A">
        <w:rPr>
          <w:rFonts w:ascii="Times New Roman" w:hAnsi="Times New Roman"/>
          <w:sz w:val="20"/>
          <w:szCs w:val="20"/>
          <w:lang w:val="en-AU"/>
        </w:rPr>
        <w:t xml:space="preserve">are either new additions to the list or have some definitional change to the </w:t>
      </w:r>
      <w:r w:rsidR="00C45C37">
        <w:rPr>
          <w:rFonts w:ascii="Times New Roman" w:hAnsi="Times New Roman"/>
          <w:sz w:val="20"/>
          <w:szCs w:val="20"/>
          <w:lang w:val="en-AU"/>
        </w:rPr>
        <w:t>c</w:t>
      </w:r>
      <w:r w:rsidRPr="004B359A">
        <w:rPr>
          <w:rFonts w:ascii="Times New Roman" w:hAnsi="Times New Roman"/>
          <w:sz w:val="20"/>
          <w:szCs w:val="20"/>
          <w:lang w:val="en-AU"/>
        </w:rPr>
        <w:t>ategory.</w:t>
      </w:r>
    </w:p>
    <w:p w14:paraId="647B26FA" w14:textId="77777777" w:rsidR="006E677F" w:rsidRDefault="006E677F" w:rsidP="00861EE6">
      <w:pPr>
        <w:rPr>
          <w:szCs w:val="22"/>
        </w:rPr>
      </w:pPr>
    </w:p>
    <w:p w14:paraId="6907B610" w14:textId="3FD83522" w:rsidR="002B6D25" w:rsidRDefault="002B6D25" w:rsidP="00861EE6">
      <w:pPr>
        <w:rPr>
          <w:szCs w:val="22"/>
        </w:rPr>
      </w:pPr>
      <w:r>
        <w:rPr>
          <w:szCs w:val="22"/>
        </w:rPr>
        <w:t xml:space="preserve">Overall confidence in the data relating to this broad class of equipment has improved substantially for a number of reasons. Insight into activity in each of the five equipment segments, </w:t>
      </w:r>
      <w:r w:rsidR="00066E49">
        <w:rPr>
          <w:szCs w:val="22"/>
        </w:rPr>
        <w:t>s</w:t>
      </w:r>
      <w:r>
        <w:rPr>
          <w:szCs w:val="22"/>
        </w:rPr>
        <w:t xml:space="preserve">mall </w:t>
      </w:r>
      <w:r w:rsidR="00066E49">
        <w:rPr>
          <w:szCs w:val="22"/>
        </w:rPr>
        <w:t>c</w:t>
      </w:r>
      <w:r>
        <w:rPr>
          <w:szCs w:val="22"/>
        </w:rPr>
        <w:t xml:space="preserve">ommercial </w:t>
      </w:r>
      <w:r w:rsidR="00066E49">
        <w:rPr>
          <w:szCs w:val="22"/>
        </w:rPr>
        <w:t>r</w:t>
      </w:r>
      <w:r>
        <w:rPr>
          <w:szCs w:val="22"/>
        </w:rPr>
        <w:t xml:space="preserve">efrigeration; </w:t>
      </w:r>
      <w:r w:rsidR="00066E49">
        <w:rPr>
          <w:szCs w:val="22"/>
        </w:rPr>
        <w:t>m</w:t>
      </w:r>
      <w:r>
        <w:rPr>
          <w:szCs w:val="22"/>
        </w:rPr>
        <w:t xml:space="preserve">edium </w:t>
      </w:r>
      <w:r w:rsidR="00066E49">
        <w:rPr>
          <w:szCs w:val="22"/>
        </w:rPr>
        <w:t>c</w:t>
      </w:r>
      <w:r>
        <w:rPr>
          <w:szCs w:val="22"/>
        </w:rPr>
        <w:t xml:space="preserve">ommercial </w:t>
      </w:r>
      <w:r w:rsidR="00066E49">
        <w:rPr>
          <w:szCs w:val="22"/>
        </w:rPr>
        <w:t>r</w:t>
      </w:r>
      <w:r>
        <w:rPr>
          <w:szCs w:val="22"/>
        </w:rPr>
        <w:t xml:space="preserve">efrigeration; </w:t>
      </w:r>
      <w:r w:rsidR="00066E49">
        <w:rPr>
          <w:szCs w:val="22"/>
        </w:rPr>
        <w:t>s</w:t>
      </w:r>
      <w:r>
        <w:rPr>
          <w:szCs w:val="22"/>
        </w:rPr>
        <w:t xml:space="preserve">upermarkets; </w:t>
      </w:r>
      <w:r w:rsidR="00066E49">
        <w:rPr>
          <w:szCs w:val="22"/>
        </w:rPr>
        <w:t>t</w:t>
      </w:r>
      <w:r>
        <w:rPr>
          <w:szCs w:val="22"/>
        </w:rPr>
        <w:t xml:space="preserve">ransport </w:t>
      </w:r>
      <w:r w:rsidR="00066E49">
        <w:rPr>
          <w:szCs w:val="22"/>
        </w:rPr>
        <w:t>r</w:t>
      </w:r>
      <w:r>
        <w:rPr>
          <w:szCs w:val="22"/>
        </w:rPr>
        <w:t xml:space="preserve">efrigeration; and, </w:t>
      </w:r>
      <w:r w:rsidR="00066E49">
        <w:rPr>
          <w:szCs w:val="22"/>
        </w:rPr>
        <w:t>p</w:t>
      </w:r>
      <w:r>
        <w:rPr>
          <w:szCs w:val="22"/>
        </w:rPr>
        <w:t xml:space="preserve">rocess and </w:t>
      </w:r>
      <w:r w:rsidR="00066E49">
        <w:rPr>
          <w:szCs w:val="22"/>
        </w:rPr>
        <w:t>i</w:t>
      </w:r>
      <w:r>
        <w:rPr>
          <w:szCs w:val="22"/>
        </w:rPr>
        <w:t xml:space="preserve">ndustrial </w:t>
      </w:r>
      <w:r w:rsidR="00066E49">
        <w:rPr>
          <w:szCs w:val="22"/>
        </w:rPr>
        <w:t>r</w:t>
      </w:r>
      <w:r>
        <w:rPr>
          <w:szCs w:val="22"/>
        </w:rPr>
        <w:t>efrigeration has improved through a mix of new research plus greater supply line transparency.</w:t>
      </w:r>
    </w:p>
    <w:p w14:paraId="67E066F1" w14:textId="6B01B658" w:rsidR="002B6D25" w:rsidRDefault="002B6D25" w:rsidP="00861EE6">
      <w:pPr>
        <w:rPr>
          <w:szCs w:val="22"/>
        </w:rPr>
      </w:pPr>
      <w:r>
        <w:rPr>
          <w:szCs w:val="22"/>
        </w:rPr>
        <w:t>Partly as a result of conducting the research for CHF2, and undertaking subsequent research tasks, the authors have been involved in the routine quarterly production of a confidential market intelligence report for sections of the wholesale equipment supply line. The process involves a commercial-in-confidence arrangement among suppliers of various components who provide sales data on a quarterly basis, and in return, receive an aggregated report of the entire market on which they are providing data, with all identifying information stri</w:t>
      </w:r>
      <w:r w:rsidR="00D04839">
        <w:rPr>
          <w:szCs w:val="22"/>
        </w:rPr>
        <w:t>p</w:t>
      </w:r>
      <w:r>
        <w:rPr>
          <w:szCs w:val="22"/>
        </w:rPr>
        <w:t xml:space="preserve">ped out. </w:t>
      </w:r>
    </w:p>
    <w:p w14:paraId="26DA114E" w14:textId="77777777" w:rsidR="002B6D25" w:rsidRDefault="002B6D25" w:rsidP="00861EE6">
      <w:pPr>
        <w:rPr>
          <w:szCs w:val="22"/>
        </w:rPr>
      </w:pPr>
      <w:r>
        <w:rPr>
          <w:szCs w:val="22"/>
        </w:rPr>
        <w:t>This market intelligence gathering process is reasonably common in a number of industries and is very useful to all participants who can compare and track their own company’s activity against the total market activity. The market intelligence reports managed by the authors of this report collect information from participants who in aggregate supply more than 90% of the markets being analysed.</w:t>
      </w:r>
    </w:p>
    <w:p w14:paraId="16D6AA71" w14:textId="77777777" w:rsidR="002B6D25" w:rsidRDefault="002B6D25" w:rsidP="00861EE6">
      <w:pPr>
        <w:rPr>
          <w:szCs w:val="22"/>
        </w:rPr>
      </w:pPr>
      <w:r>
        <w:rPr>
          <w:szCs w:val="22"/>
        </w:rPr>
        <w:lastRenderedPageBreak/>
        <w:t>From the point of view of CHF3 this process has greatly improved confidence in the majority of stock numbers reported, improved field data on leak rates in most categories, and revealed some parts of the market that were effectively hidden from the researchers in 2012.</w:t>
      </w:r>
    </w:p>
    <w:p w14:paraId="44556101" w14:textId="207BCE9D" w:rsidR="002B6D25" w:rsidRDefault="002B6D25" w:rsidP="00861EE6">
      <w:pPr>
        <w:rPr>
          <w:szCs w:val="22"/>
        </w:rPr>
      </w:pPr>
      <w:r>
        <w:rPr>
          <w:szCs w:val="22"/>
        </w:rPr>
        <w:t xml:space="preserve">Since CHF 2 was </w:t>
      </w:r>
      <w:r w:rsidR="006F7C78">
        <w:rPr>
          <w:szCs w:val="22"/>
        </w:rPr>
        <w:t>published</w:t>
      </w:r>
      <w:r>
        <w:rPr>
          <w:szCs w:val="22"/>
        </w:rPr>
        <w:t xml:space="preserve"> there has also been a detailed Regulatory Impact Statement on Refrigerated Display and Storage Cabinets, formats that make up the majority of the extensive stock of the Small Commercial Refrigeration segment.</w:t>
      </w:r>
    </w:p>
    <w:p w14:paraId="1A7746CC" w14:textId="0C762A59" w:rsidR="002B6D25" w:rsidRDefault="002B6D25" w:rsidP="00861EE6">
      <w:pPr>
        <w:rPr>
          <w:szCs w:val="22"/>
        </w:rPr>
      </w:pPr>
      <w:r w:rsidRPr="00232FD5">
        <w:rPr>
          <w:szCs w:val="22"/>
        </w:rPr>
        <w:t>Stocks of the various produ</w:t>
      </w:r>
      <w:r>
        <w:rPr>
          <w:szCs w:val="22"/>
        </w:rPr>
        <w:t xml:space="preserve">ct categories in this </w:t>
      </w:r>
      <w:r w:rsidRPr="00232FD5">
        <w:rPr>
          <w:szCs w:val="22"/>
        </w:rPr>
        <w:t xml:space="preserve">class of equipment are listed in </w:t>
      </w:r>
      <w:r>
        <w:rPr>
          <w:i/>
          <w:szCs w:val="22"/>
        </w:rPr>
        <w:t xml:space="preserve">Table </w:t>
      </w:r>
      <w:r w:rsidR="00311821">
        <w:rPr>
          <w:i/>
          <w:szCs w:val="22"/>
        </w:rPr>
        <w:t>13</w:t>
      </w:r>
      <w:r>
        <w:rPr>
          <w:szCs w:val="22"/>
        </w:rPr>
        <w:t xml:space="preserve">. It should be noted that the 2016 </w:t>
      </w:r>
      <w:r w:rsidR="000951E5">
        <w:rPr>
          <w:szCs w:val="22"/>
        </w:rPr>
        <w:t>RAC Stock model</w:t>
      </w:r>
      <w:r>
        <w:rPr>
          <w:szCs w:val="22"/>
        </w:rPr>
        <w:t xml:space="preserve"> has been significantly revised and updated during the intervening years, and as a result some of the 2012 stock numbers in the current </w:t>
      </w:r>
      <w:r w:rsidR="0042423E">
        <w:rPr>
          <w:szCs w:val="22"/>
        </w:rPr>
        <w:t>s</w:t>
      </w:r>
      <w:r>
        <w:rPr>
          <w:szCs w:val="22"/>
        </w:rPr>
        <w:t xml:space="preserve">tock </w:t>
      </w:r>
      <w:r w:rsidR="0042423E">
        <w:rPr>
          <w:szCs w:val="22"/>
        </w:rPr>
        <w:t>m</w:t>
      </w:r>
      <w:r>
        <w:rPr>
          <w:szCs w:val="22"/>
        </w:rPr>
        <w:t xml:space="preserve">odel have been revised to reflect new data. Any 2012 values in the </w:t>
      </w:r>
      <w:r w:rsidR="000951E5">
        <w:rPr>
          <w:szCs w:val="22"/>
        </w:rPr>
        <w:t>RAC Stock model</w:t>
      </w:r>
      <w:r>
        <w:rPr>
          <w:szCs w:val="22"/>
        </w:rPr>
        <w:t xml:space="preserve"> that have changed since the publication of CHF2 are noted in the table and discussed in notes below the table.</w:t>
      </w:r>
    </w:p>
    <w:p w14:paraId="4E96D67B" w14:textId="77777777" w:rsidR="00ED3D96" w:rsidRPr="00232FD5" w:rsidRDefault="00ED3D96" w:rsidP="002B6D25">
      <w:pPr>
        <w:rPr>
          <w:szCs w:val="22"/>
        </w:rPr>
      </w:pPr>
    </w:p>
    <w:p w14:paraId="7B92F2B3" w14:textId="77777777" w:rsidR="00061116" w:rsidRDefault="00061116">
      <w:pPr>
        <w:spacing w:before="0"/>
        <w:jc w:val="left"/>
        <w:rPr>
          <w:i/>
          <w:szCs w:val="22"/>
          <w:highlight w:val="yellow"/>
        </w:rPr>
      </w:pPr>
      <w:r>
        <w:rPr>
          <w:i/>
          <w:szCs w:val="22"/>
          <w:highlight w:val="yellow"/>
        </w:rPr>
        <w:br w:type="page"/>
      </w:r>
    </w:p>
    <w:p w14:paraId="76A1DDE7" w14:textId="7EDBCD44" w:rsidR="00ED3D96" w:rsidRPr="00311821" w:rsidRDefault="00311821" w:rsidP="00311821">
      <w:pPr>
        <w:pStyle w:val="Caption"/>
        <w:rPr>
          <w:szCs w:val="22"/>
        </w:rPr>
      </w:pPr>
      <w:bookmarkStart w:id="39" w:name="_Toc525141402"/>
      <w:r w:rsidRPr="00311821">
        <w:lastRenderedPageBreak/>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13</w:t>
      </w:r>
      <w:r w:rsidR="009D6843">
        <w:rPr>
          <w:noProof/>
        </w:rPr>
        <w:fldChar w:fldCharType="end"/>
      </w:r>
      <w:r w:rsidRPr="00311821">
        <w:t>:</w:t>
      </w:r>
      <w:r w:rsidR="00ED3D96" w:rsidRPr="00311821">
        <w:rPr>
          <w:szCs w:val="22"/>
        </w:rPr>
        <w:t xml:space="preserve"> Refrigerated cold food chain by category and stock numbers: 2012 versus 2016.</w:t>
      </w:r>
      <w:bookmarkEnd w:id="39"/>
    </w:p>
    <w:tbl>
      <w:tblPr>
        <w:tblStyle w:val="TableGrid"/>
        <w:tblW w:w="0" w:type="auto"/>
        <w:tblInd w:w="-5" w:type="dxa"/>
        <w:tblLook w:val="04A0" w:firstRow="1" w:lastRow="0" w:firstColumn="1" w:lastColumn="0" w:noHBand="0" w:noVBand="1"/>
      </w:tblPr>
      <w:tblGrid>
        <w:gridCol w:w="1186"/>
        <w:gridCol w:w="1466"/>
        <w:gridCol w:w="2101"/>
        <w:gridCol w:w="1233"/>
        <w:gridCol w:w="1177"/>
        <w:gridCol w:w="1176"/>
        <w:gridCol w:w="1153"/>
      </w:tblGrid>
      <w:tr w:rsidR="00390656" w14:paraId="1376546E" w14:textId="77777777" w:rsidTr="00AA45F7">
        <w:trPr>
          <w:trHeight w:val="567"/>
          <w:tblHeader/>
        </w:trPr>
        <w:tc>
          <w:tcPr>
            <w:tcW w:w="9492" w:type="dxa"/>
            <w:gridSpan w:val="7"/>
            <w:shd w:val="clear" w:color="auto" w:fill="B6DDE8" w:themeFill="accent5" w:themeFillTint="66"/>
          </w:tcPr>
          <w:p w14:paraId="3ACADC68" w14:textId="039AF6AD" w:rsidR="00390656" w:rsidRPr="00BC2272" w:rsidRDefault="00390656" w:rsidP="003356A0">
            <w:pPr>
              <w:snapToGrid w:val="0"/>
              <w:spacing w:after="120"/>
              <w:jc w:val="center"/>
            </w:pPr>
            <w:r w:rsidRPr="00BC2272">
              <w:rPr>
                <w:color w:val="000000" w:themeColor="text1"/>
              </w:rPr>
              <w:t>REFRIGERATED COLD FOOD CHAIN</w:t>
            </w:r>
          </w:p>
        </w:tc>
      </w:tr>
      <w:tr w:rsidR="00290B13" w14:paraId="198AE9D5" w14:textId="77777777" w:rsidTr="00AA45F7">
        <w:trPr>
          <w:trHeight w:val="57"/>
          <w:tblHeader/>
        </w:trPr>
        <w:tc>
          <w:tcPr>
            <w:tcW w:w="1186" w:type="dxa"/>
            <w:vMerge w:val="restart"/>
            <w:shd w:val="clear" w:color="auto" w:fill="B6DDE8" w:themeFill="accent5" w:themeFillTint="66"/>
            <w:vAlign w:val="center"/>
          </w:tcPr>
          <w:p w14:paraId="3D91C0D9" w14:textId="0A50B005" w:rsidR="00A5542A" w:rsidRPr="00BC2272" w:rsidRDefault="00A5542A" w:rsidP="003356A0">
            <w:pPr>
              <w:spacing w:before="60" w:after="60"/>
              <w:jc w:val="center"/>
            </w:pPr>
            <w:r w:rsidRPr="00BC2272">
              <w:rPr>
                <w:color w:val="000000" w:themeColor="text1"/>
              </w:rPr>
              <w:t xml:space="preserve">Category </w:t>
            </w:r>
            <w:r w:rsidR="00F863A5" w:rsidRPr="00BC2272">
              <w:rPr>
                <w:color w:val="000000" w:themeColor="text1"/>
              </w:rPr>
              <w:t>c</w:t>
            </w:r>
            <w:r w:rsidRPr="00BC2272">
              <w:rPr>
                <w:color w:val="000000" w:themeColor="text1"/>
              </w:rPr>
              <w:t>ode</w:t>
            </w:r>
          </w:p>
        </w:tc>
        <w:tc>
          <w:tcPr>
            <w:tcW w:w="1466" w:type="dxa"/>
            <w:vMerge w:val="restart"/>
            <w:shd w:val="clear" w:color="auto" w:fill="B6DDE8" w:themeFill="accent5" w:themeFillTint="66"/>
            <w:vAlign w:val="center"/>
          </w:tcPr>
          <w:p w14:paraId="1BA02A36" w14:textId="77777777" w:rsidR="00A5542A" w:rsidRPr="00BC2272" w:rsidRDefault="00A5542A" w:rsidP="003356A0">
            <w:pPr>
              <w:spacing w:before="60" w:after="60"/>
              <w:jc w:val="left"/>
            </w:pPr>
            <w:r w:rsidRPr="00BC2272">
              <w:rPr>
                <w:color w:val="000000" w:themeColor="text1"/>
              </w:rPr>
              <w:t>Application</w:t>
            </w:r>
          </w:p>
        </w:tc>
        <w:tc>
          <w:tcPr>
            <w:tcW w:w="2101" w:type="dxa"/>
            <w:vMerge w:val="restart"/>
            <w:shd w:val="clear" w:color="auto" w:fill="B6DDE8" w:themeFill="accent5" w:themeFillTint="66"/>
            <w:vAlign w:val="center"/>
          </w:tcPr>
          <w:p w14:paraId="6A802A3D" w14:textId="77777777" w:rsidR="00A5542A" w:rsidRPr="00BC2272" w:rsidRDefault="00A5542A" w:rsidP="003356A0">
            <w:pPr>
              <w:spacing w:before="60" w:after="60"/>
            </w:pPr>
            <w:r w:rsidRPr="00BC2272">
              <w:rPr>
                <w:color w:val="000000" w:themeColor="text1"/>
              </w:rPr>
              <w:t>Product category</w:t>
            </w:r>
          </w:p>
        </w:tc>
        <w:tc>
          <w:tcPr>
            <w:tcW w:w="2410" w:type="dxa"/>
            <w:gridSpan w:val="2"/>
            <w:tcBorders>
              <w:bottom w:val="single" w:sz="4" w:space="0" w:color="000000"/>
            </w:tcBorders>
            <w:shd w:val="clear" w:color="auto" w:fill="B6DDE8" w:themeFill="accent5" w:themeFillTint="66"/>
            <w:vAlign w:val="center"/>
          </w:tcPr>
          <w:p w14:paraId="05A40D94" w14:textId="2CB7FF92" w:rsidR="00A5542A" w:rsidRPr="00BC2272" w:rsidRDefault="00A5542A" w:rsidP="003356A0">
            <w:pPr>
              <w:spacing w:before="60" w:after="60"/>
              <w:jc w:val="center"/>
              <w:rPr>
                <w:color w:val="000000" w:themeColor="text1"/>
              </w:rPr>
            </w:pPr>
            <w:r w:rsidRPr="00BC2272">
              <w:rPr>
                <w:color w:val="000000" w:themeColor="text1"/>
              </w:rPr>
              <w:t>Total (Units) 2012</w:t>
            </w:r>
          </w:p>
        </w:tc>
        <w:tc>
          <w:tcPr>
            <w:tcW w:w="1176" w:type="dxa"/>
            <w:vMerge w:val="restart"/>
            <w:shd w:val="clear" w:color="auto" w:fill="B6DDE8" w:themeFill="accent5" w:themeFillTint="66"/>
            <w:vAlign w:val="center"/>
          </w:tcPr>
          <w:p w14:paraId="4BF0742F" w14:textId="7AF0DEE6" w:rsidR="00A5542A" w:rsidRPr="00BC2272" w:rsidRDefault="00A5542A" w:rsidP="003356A0">
            <w:pPr>
              <w:spacing w:before="60" w:after="60"/>
              <w:jc w:val="center"/>
              <w:rPr>
                <w:color w:val="000000" w:themeColor="text1"/>
              </w:rPr>
            </w:pPr>
            <w:r w:rsidRPr="00BC2272">
              <w:rPr>
                <w:color w:val="000000" w:themeColor="text1"/>
              </w:rPr>
              <w:t>Total (Units) 2016</w:t>
            </w:r>
          </w:p>
        </w:tc>
        <w:tc>
          <w:tcPr>
            <w:tcW w:w="1153" w:type="dxa"/>
            <w:vMerge w:val="restart"/>
            <w:shd w:val="clear" w:color="auto" w:fill="B6DDE8" w:themeFill="accent5" w:themeFillTint="66"/>
            <w:vAlign w:val="center"/>
          </w:tcPr>
          <w:p w14:paraId="62A61BF1" w14:textId="77777777" w:rsidR="00A5542A" w:rsidRPr="00BC2272" w:rsidRDefault="00A5542A" w:rsidP="003356A0">
            <w:pPr>
              <w:spacing w:before="60" w:after="60"/>
              <w:jc w:val="center"/>
              <w:rPr>
                <w:color w:val="000000" w:themeColor="text1"/>
              </w:rPr>
            </w:pPr>
            <w:r w:rsidRPr="00BC2272">
              <w:rPr>
                <w:color w:val="000000" w:themeColor="text1"/>
              </w:rPr>
              <w:t>Change        (%)</w:t>
            </w:r>
          </w:p>
        </w:tc>
      </w:tr>
      <w:tr w:rsidR="00290B13" w14:paraId="16F81E2C" w14:textId="77777777" w:rsidTr="00AA45F7">
        <w:trPr>
          <w:trHeight w:val="57"/>
          <w:tblHeader/>
        </w:trPr>
        <w:tc>
          <w:tcPr>
            <w:tcW w:w="1186" w:type="dxa"/>
            <w:vMerge/>
            <w:shd w:val="clear" w:color="auto" w:fill="auto"/>
            <w:vAlign w:val="center"/>
          </w:tcPr>
          <w:p w14:paraId="2FE2238E" w14:textId="77777777" w:rsidR="00A5542A" w:rsidRPr="00BC2272" w:rsidRDefault="00A5542A" w:rsidP="003356A0">
            <w:pPr>
              <w:spacing w:before="60" w:after="60"/>
              <w:jc w:val="center"/>
              <w:rPr>
                <w:color w:val="000000"/>
              </w:rPr>
            </w:pPr>
          </w:p>
        </w:tc>
        <w:tc>
          <w:tcPr>
            <w:tcW w:w="1466" w:type="dxa"/>
            <w:vMerge/>
            <w:shd w:val="clear" w:color="auto" w:fill="auto"/>
            <w:vAlign w:val="center"/>
          </w:tcPr>
          <w:p w14:paraId="117ACC5D" w14:textId="77777777" w:rsidR="00A5542A" w:rsidRPr="00BC2272" w:rsidRDefault="00A5542A" w:rsidP="003356A0">
            <w:pPr>
              <w:spacing w:before="60" w:after="60"/>
              <w:jc w:val="left"/>
              <w:rPr>
                <w:color w:val="000000"/>
              </w:rPr>
            </w:pPr>
          </w:p>
        </w:tc>
        <w:tc>
          <w:tcPr>
            <w:tcW w:w="2101" w:type="dxa"/>
            <w:vMerge/>
            <w:shd w:val="clear" w:color="auto" w:fill="auto"/>
            <w:vAlign w:val="center"/>
          </w:tcPr>
          <w:p w14:paraId="2EFED418" w14:textId="77777777" w:rsidR="00A5542A" w:rsidRPr="00BC2272" w:rsidRDefault="00A5542A" w:rsidP="003356A0">
            <w:pPr>
              <w:spacing w:before="60" w:after="60"/>
              <w:jc w:val="left"/>
              <w:rPr>
                <w:color w:val="000000"/>
              </w:rPr>
            </w:pPr>
          </w:p>
        </w:tc>
        <w:tc>
          <w:tcPr>
            <w:tcW w:w="1233" w:type="dxa"/>
            <w:shd w:val="clear" w:color="auto" w:fill="B6DDE8" w:themeFill="accent5" w:themeFillTint="66"/>
            <w:vAlign w:val="center"/>
          </w:tcPr>
          <w:p w14:paraId="011B5B10" w14:textId="2956E37A" w:rsidR="00A5542A" w:rsidRPr="00BC2272" w:rsidRDefault="00A5542A" w:rsidP="003356A0">
            <w:pPr>
              <w:spacing w:before="60" w:after="60"/>
              <w:jc w:val="center"/>
              <w:rPr>
                <w:color w:val="000000"/>
                <w:lang w:val="en-US"/>
              </w:rPr>
            </w:pPr>
            <w:r w:rsidRPr="00BC2272">
              <w:rPr>
                <w:color w:val="000000"/>
                <w:lang w:val="en-US"/>
              </w:rPr>
              <w:t>CHF2 Published</w:t>
            </w:r>
          </w:p>
        </w:tc>
        <w:tc>
          <w:tcPr>
            <w:tcW w:w="1177" w:type="dxa"/>
            <w:shd w:val="clear" w:color="auto" w:fill="B6DDE8" w:themeFill="accent5" w:themeFillTint="66"/>
          </w:tcPr>
          <w:p w14:paraId="11812D16" w14:textId="709DDFF9" w:rsidR="00A5542A" w:rsidRPr="00BC2272" w:rsidRDefault="00A5542A" w:rsidP="003356A0">
            <w:pPr>
              <w:spacing w:before="60" w:after="60"/>
              <w:jc w:val="center"/>
              <w:rPr>
                <w:color w:val="000000"/>
                <w:lang w:val="en-US"/>
              </w:rPr>
            </w:pPr>
            <w:r w:rsidRPr="00BC2272">
              <w:rPr>
                <w:color w:val="000000"/>
                <w:lang w:val="en-US"/>
              </w:rPr>
              <w:t>CHF3</w:t>
            </w:r>
            <w:r w:rsidR="0094323D" w:rsidRPr="00BC2272">
              <w:rPr>
                <w:color w:val="000000"/>
                <w:lang w:val="en-US"/>
              </w:rPr>
              <w:t xml:space="preserve"> </w:t>
            </w:r>
            <w:r w:rsidR="0078159F" w:rsidRPr="00BC2272">
              <w:rPr>
                <w:color w:val="000000"/>
                <w:vertAlign w:val="superscript"/>
                <w:lang w:val="en-US"/>
              </w:rPr>
              <w:t xml:space="preserve">(2) </w:t>
            </w:r>
            <w:r w:rsidRPr="00BC2272">
              <w:rPr>
                <w:color w:val="000000"/>
                <w:lang w:val="en-US"/>
              </w:rPr>
              <w:t>Updated</w:t>
            </w:r>
          </w:p>
        </w:tc>
        <w:tc>
          <w:tcPr>
            <w:tcW w:w="1176" w:type="dxa"/>
            <w:vMerge/>
            <w:shd w:val="clear" w:color="auto" w:fill="auto"/>
            <w:vAlign w:val="center"/>
          </w:tcPr>
          <w:p w14:paraId="23AB6848" w14:textId="77777777" w:rsidR="00A5542A" w:rsidRPr="00BC2272" w:rsidRDefault="00A5542A" w:rsidP="003356A0">
            <w:pPr>
              <w:spacing w:before="60" w:after="60"/>
              <w:jc w:val="center"/>
              <w:rPr>
                <w:color w:val="000000"/>
                <w:lang w:val="en-US"/>
              </w:rPr>
            </w:pPr>
          </w:p>
        </w:tc>
        <w:tc>
          <w:tcPr>
            <w:tcW w:w="1153" w:type="dxa"/>
            <w:vMerge/>
            <w:shd w:val="clear" w:color="auto" w:fill="auto"/>
            <w:vAlign w:val="center"/>
          </w:tcPr>
          <w:p w14:paraId="01CC557C" w14:textId="77777777" w:rsidR="00A5542A" w:rsidRPr="00BC2272" w:rsidRDefault="00A5542A" w:rsidP="003356A0">
            <w:pPr>
              <w:spacing w:before="60" w:after="60"/>
              <w:jc w:val="center"/>
              <w:rPr>
                <w:color w:val="000000"/>
                <w:lang w:val="en-US"/>
              </w:rPr>
            </w:pPr>
          </w:p>
        </w:tc>
      </w:tr>
      <w:tr w:rsidR="00290B13" w14:paraId="65C8373E" w14:textId="77777777" w:rsidTr="00D8549E">
        <w:trPr>
          <w:trHeight w:val="567"/>
        </w:trPr>
        <w:tc>
          <w:tcPr>
            <w:tcW w:w="1186" w:type="dxa"/>
            <w:shd w:val="clear" w:color="auto" w:fill="auto"/>
            <w:vAlign w:val="center"/>
          </w:tcPr>
          <w:p w14:paraId="01395ED5" w14:textId="6B9FAF81" w:rsidR="00A5542A" w:rsidRPr="00BC2272" w:rsidRDefault="00A5542A" w:rsidP="003356A0">
            <w:pPr>
              <w:snapToGrid w:val="0"/>
              <w:spacing w:before="60" w:after="60"/>
              <w:jc w:val="center"/>
            </w:pPr>
            <w:r w:rsidRPr="00BC2272">
              <w:rPr>
                <w:color w:val="000000"/>
              </w:rPr>
              <w:t>RCFC1-1</w:t>
            </w:r>
          </w:p>
        </w:tc>
        <w:tc>
          <w:tcPr>
            <w:tcW w:w="1466" w:type="dxa"/>
            <w:shd w:val="clear" w:color="auto" w:fill="auto"/>
            <w:vAlign w:val="center"/>
          </w:tcPr>
          <w:p w14:paraId="10F7CBAD" w14:textId="5728B846" w:rsidR="00A5542A" w:rsidRPr="00BC2272" w:rsidRDefault="00A5542A" w:rsidP="003356A0">
            <w:pPr>
              <w:snapToGrid w:val="0"/>
              <w:spacing w:before="60" w:after="60"/>
              <w:jc w:val="left"/>
            </w:pPr>
            <w:r w:rsidRPr="00BC2272">
              <w:rPr>
                <w:color w:val="000000"/>
              </w:rPr>
              <w:t>Self-contained</w:t>
            </w:r>
          </w:p>
        </w:tc>
        <w:tc>
          <w:tcPr>
            <w:tcW w:w="2101" w:type="dxa"/>
            <w:shd w:val="clear" w:color="auto" w:fill="auto"/>
            <w:vAlign w:val="center"/>
          </w:tcPr>
          <w:p w14:paraId="0D4D6B77" w14:textId="797BF3D7" w:rsidR="00A5542A" w:rsidRPr="00BC2272" w:rsidRDefault="00A5542A" w:rsidP="003356A0">
            <w:pPr>
              <w:snapToGrid w:val="0"/>
              <w:spacing w:before="60" w:after="60"/>
              <w:jc w:val="left"/>
            </w:pPr>
            <w:r w:rsidRPr="00BC2272">
              <w:rPr>
                <w:color w:val="000000"/>
              </w:rPr>
              <w:t>Refrigeration cabinets: self-contained</w:t>
            </w:r>
          </w:p>
        </w:tc>
        <w:tc>
          <w:tcPr>
            <w:tcW w:w="1233" w:type="dxa"/>
            <w:shd w:val="clear" w:color="auto" w:fill="auto"/>
            <w:vAlign w:val="center"/>
          </w:tcPr>
          <w:p w14:paraId="6E207B5F" w14:textId="5C368831" w:rsidR="00A5542A" w:rsidRPr="00BC2272" w:rsidRDefault="00A5542A" w:rsidP="003356A0">
            <w:pPr>
              <w:snapToGrid w:val="0"/>
              <w:spacing w:before="60" w:after="60"/>
              <w:jc w:val="center"/>
            </w:pPr>
            <w:r w:rsidRPr="00BC2272">
              <w:rPr>
                <w:color w:val="000000"/>
                <w:lang w:val="en-US"/>
              </w:rPr>
              <w:t>447,000</w:t>
            </w:r>
          </w:p>
        </w:tc>
        <w:tc>
          <w:tcPr>
            <w:tcW w:w="1177" w:type="dxa"/>
            <w:vAlign w:val="center"/>
          </w:tcPr>
          <w:p w14:paraId="5FFFABAE" w14:textId="7FD58C26" w:rsidR="00A5542A" w:rsidRPr="00BC2272" w:rsidRDefault="00A5542A" w:rsidP="003356A0">
            <w:pPr>
              <w:snapToGrid w:val="0"/>
              <w:spacing w:before="60" w:after="60"/>
              <w:jc w:val="center"/>
              <w:rPr>
                <w:color w:val="000000"/>
                <w:lang w:val="en-US"/>
              </w:rPr>
            </w:pPr>
            <w:r w:rsidRPr="00BC2272">
              <w:rPr>
                <w:color w:val="000000"/>
                <w:lang w:val="en-US"/>
              </w:rPr>
              <w:t>578,000</w:t>
            </w:r>
          </w:p>
        </w:tc>
        <w:tc>
          <w:tcPr>
            <w:tcW w:w="1176" w:type="dxa"/>
            <w:shd w:val="clear" w:color="auto" w:fill="auto"/>
            <w:vAlign w:val="center"/>
          </w:tcPr>
          <w:p w14:paraId="6F29EA7A" w14:textId="5FD77625" w:rsidR="00A5542A" w:rsidRPr="00BC2272" w:rsidRDefault="00A5542A" w:rsidP="003356A0">
            <w:pPr>
              <w:snapToGrid w:val="0"/>
              <w:spacing w:before="60" w:after="60"/>
              <w:jc w:val="center"/>
            </w:pPr>
            <w:r w:rsidRPr="00BC2272">
              <w:rPr>
                <w:color w:val="000000"/>
                <w:lang w:val="en-US"/>
              </w:rPr>
              <w:t>670,</w:t>
            </w:r>
            <w:r w:rsidR="00A260B4" w:rsidRPr="00BC2272">
              <w:rPr>
                <w:color w:val="000000"/>
                <w:lang w:val="en-US"/>
              </w:rPr>
              <w:t>000</w:t>
            </w:r>
          </w:p>
        </w:tc>
        <w:tc>
          <w:tcPr>
            <w:tcW w:w="1153" w:type="dxa"/>
            <w:shd w:val="clear" w:color="auto" w:fill="auto"/>
            <w:vAlign w:val="center"/>
          </w:tcPr>
          <w:p w14:paraId="36152F66" w14:textId="0D9AD682" w:rsidR="00A5542A" w:rsidRPr="00BC2272" w:rsidRDefault="006338AA" w:rsidP="003356A0">
            <w:pPr>
              <w:snapToGrid w:val="0"/>
              <w:spacing w:before="60" w:after="60"/>
              <w:jc w:val="center"/>
            </w:pPr>
            <w:r w:rsidRPr="00BC2272">
              <w:rPr>
                <w:color w:val="000000"/>
                <w:lang w:val="en-US"/>
              </w:rPr>
              <w:t>+</w:t>
            </w:r>
            <w:r w:rsidR="00A5542A" w:rsidRPr="00BC2272">
              <w:rPr>
                <w:color w:val="000000"/>
                <w:lang w:val="en-US"/>
              </w:rPr>
              <w:t>16%</w:t>
            </w:r>
          </w:p>
        </w:tc>
      </w:tr>
      <w:tr w:rsidR="00290B13" w14:paraId="69310D49" w14:textId="77777777" w:rsidTr="00D8549E">
        <w:trPr>
          <w:trHeight w:val="567"/>
        </w:trPr>
        <w:tc>
          <w:tcPr>
            <w:tcW w:w="1186" w:type="dxa"/>
            <w:shd w:val="clear" w:color="auto" w:fill="auto"/>
            <w:vAlign w:val="center"/>
          </w:tcPr>
          <w:p w14:paraId="4CFC2189" w14:textId="681CDEB3" w:rsidR="00A5542A" w:rsidRPr="00BC2272" w:rsidRDefault="00A5542A" w:rsidP="003356A0">
            <w:pPr>
              <w:snapToGrid w:val="0"/>
              <w:spacing w:before="60" w:after="60"/>
              <w:jc w:val="center"/>
            </w:pPr>
            <w:r w:rsidRPr="00BC2272">
              <w:rPr>
                <w:color w:val="000000"/>
              </w:rPr>
              <w:t>RCFC1-2</w:t>
            </w:r>
          </w:p>
        </w:tc>
        <w:tc>
          <w:tcPr>
            <w:tcW w:w="1466" w:type="dxa"/>
            <w:shd w:val="clear" w:color="auto" w:fill="auto"/>
            <w:vAlign w:val="center"/>
          </w:tcPr>
          <w:p w14:paraId="7F9F60B4" w14:textId="5032467F" w:rsidR="00A5542A" w:rsidRPr="00BC2272" w:rsidRDefault="00A5542A" w:rsidP="003356A0">
            <w:pPr>
              <w:snapToGrid w:val="0"/>
              <w:spacing w:before="60" w:after="60"/>
              <w:jc w:val="left"/>
            </w:pPr>
            <w:r w:rsidRPr="00BC2272">
              <w:rPr>
                <w:color w:val="000000"/>
              </w:rPr>
              <w:t>Self-contained</w:t>
            </w:r>
          </w:p>
        </w:tc>
        <w:tc>
          <w:tcPr>
            <w:tcW w:w="2101" w:type="dxa"/>
            <w:shd w:val="clear" w:color="auto" w:fill="auto"/>
            <w:vAlign w:val="center"/>
          </w:tcPr>
          <w:p w14:paraId="204DD4BA" w14:textId="23468873" w:rsidR="00A5542A" w:rsidRPr="00BC2272" w:rsidRDefault="00A5542A" w:rsidP="003356A0">
            <w:pPr>
              <w:snapToGrid w:val="0"/>
              <w:spacing w:before="60" w:after="60"/>
              <w:jc w:val="left"/>
            </w:pPr>
            <w:r w:rsidRPr="00BC2272">
              <w:rPr>
                <w:color w:val="000000"/>
              </w:rPr>
              <w:t>Refrigeration beverage vending machines</w:t>
            </w:r>
          </w:p>
        </w:tc>
        <w:tc>
          <w:tcPr>
            <w:tcW w:w="1233" w:type="dxa"/>
            <w:shd w:val="clear" w:color="auto" w:fill="auto"/>
            <w:vAlign w:val="center"/>
          </w:tcPr>
          <w:p w14:paraId="64E69672" w14:textId="1DEB3C28" w:rsidR="00A5542A" w:rsidRPr="00BC2272" w:rsidRDefault="00A5542A" w:rsidP="003356A0">
            <w:pPr>
              <w:snapToGrid w:val="0"/>
              <w:spacing w:before="60" w:after="60"/>
              <w:jc w:val="center"/>
            </w:pPr>
            <w:r w:rsidRPr="00BC2272">
              <w:rPr>
                <w:color w:val="000000"/>
                <w:lang w:val="en-US"/>
              </w:rPr>
              <w:t>134,000</w:t>
            </w:r>
          </w:p>
        </w:tc>
        <w:tc>
          <w:tcPr>
            <w:tcW w:w="1177" w:type="dxa"/>
            <w:vAlign w:val="center"/>
          </w:tcPr>
          <w:p w14:paraId="78204C0B" w14:textId="4D7DE0F4" w:rsidR="00A5542A" w:rsidRPr="00BC2272" w:rsidRDefault="00A260B4" w:rsidP="003356A0">
            <w:pPr>
              <w:snapToGrid w:val="0"/>
              <w:spacing w:before="60" w:after="60"/>
              <w:jc w:val="center"/>
              <w:rPr>
                <w:color w:val="000000"/>
                <w:lang w:val="en-US"/>
              </w:rPr>
            </w:pPr>
            <w:r w:rsidRPr="00BC2272">
              <w:rPr>
                <w:color w:val="000000"/>
                <w:lang w:val="en-US"/>
              </w:rPr>
              <w:t>134,000</w:t>
            </w:r>
          </w:p>
        </w:tc>
        <w:tc>
          <w:tcPr>
            <w:tcW w:w="1176" w:type="dxa"/>
            <w:shd w:val="clear" w:color="auto" w:fill="auto"/>
            <w:vAlign w:val="center"/>
          </w:tcPr>
          <w:p w14:paraId="7D267A10" w14:textId="2677F696" w:rsidR="00A5542A" w:rsidRPr="00BC2272" w:rsidRDefault="00A5542A" w:rsidP="003356A0">
            <w:pPr>
              <w:snapToGrid w:val="0"/>
              <w:spacing w:before="60" w:after="60"/>
              <w:jc w:val="center"/>
            </w:pPr>
            <w:r w:rsidRPr="00BC2272">
              <w:rPr>
                <w:color w:val="000000"/>
                <w:lang w:val="en-US"/>
              </w:rPr>
              <w:t>136,000</w:t>
            </w:r>
          </w:p>
        </w:tc>
        <w:tc>
          <w:tcPr>
            <w:tcW w:w="1153" w:type="dxa"/>
            <w:shd w:val="clear" w:color="auto" w:fill="auto"/>
            <w:vAlign w:val="center"/>
          </w:tcPr>
          <w:p w14:paraId="4825B22C" w14:textId="0823EFA1" w:rsidR="00A5542A" w:rsidRPr="00BC2272" w:rsidRDefault="006338AA" w:rsidP="003356A0">
            <w:pPr>
              <w:snapToGrid w:val="0"/>
              <w:spacing w:before="60" w:after="60"/>
              <w:jc w:val="center"/>
            </w:pPr>
            <w:r w:rsidRPr="00BC2272">
              <w:rPr>
                <w:color w:val="000000"/>
                <w:lang w:val="en-US"/>
              </w:rPr>
              <w:t>+</w:t>
            </w:r>
            <w:r w:rsidR="00A5542A" w:rsidRPr="00BC2272">
              <w:rPr>
                <w:color w:val="000000"/>
                <w:lang w:val="en-US"/>
              </w:rPr>
              <w:t>1.5%</w:t>
            </w:r>
          </w:p>
        </w:tc>
      </w:tr>
      <w:tr w:rsidR="00290B13" w14:paraId="7BC5281C" w14:textId="77777777" w:rsidTr="00D8549E">
        <w:trPr>
          <w:trHeight w:val="567"/>
        </w:trPr>
        <w:tc>
          <w:tcPr>
            <w:tcW w:w="1186" w:type="dxa"/>
            <w:shd w:val="clear" w:color="auto" w:fill="auto"/>
            <w:vAlign w:val="center"/>
          </w:tcPr>
          <w:p w14:paraId="19D7986B" w14:textId="3698562A" w:rsidR="00A5542A" w:rsidRPr="00BC2272" w:rsidRDefault="00A5542A" w:rsidP="003356A0">
            <w:pPr>
              <w:snapToGrid w:val="0"/>
              <w:spacing w:before="60" w:after="60"/>
              <w:jc w:val="center"/>
            </w:pPr>
            <w:r w:rsidRPr="00BC2272">
              <w:rPr>
                <w:color w:val="000000"/>
              </w:rPr>
              <w:t>RCFC1-3</w:t>
            </w:r>
          </w:p>
        </w:tc>
        <w:tc>
          <w:tcPr>
            <w:tcW w:w="1466" w:type="dxa"/>
            <w:shd w:val="clear" w:color="auto" w:fill="auto"/>
            <w:vAlign w:val="center"/>
          </w:tcPr>
          <w:p w14:paraId="7EFEEDC0" w14:textId="33C753A6" w:rsidR="00A5542A" w:rsidRPr="00BC2272" w:rsidRDefault="00A5542A" w:rsidP="003356A0">
            <w:pPr>
              <w:snapToGrid w:val="0"/>
              <w:spacing w:before="60" w:after="60"/>
              <w:jc w:val="left"/>
            </w:pPr>
            <w:r w:rsidRPr="00BC2272">
              <w:rPr>
                <w:color w:val="000000"/>
              </w:rPr>
              <w:t>Self-contained</w:t>
            </w:r>
          </w:p>
        </w:tc>
        <w:tc>
          <w:tcPr>
            <w:tcW w:w="2101" w:type="dxa"/>
            <w:shd w:val="clear" w:color="auto" w:fill="auto"/>
            <w:vAlign w:val="center"/>
          </w:tcPr>
          <w:p w14:paraId="14F3D763" w14:textId="63ED7BAB" w:rsidR="00A5542A" w:rsidRPr="00BC2272" w:rsidRDefault="00A5542A" w:rsidP="003356A0">
            <w:pPr>
              <w:snapToGrid w:val="0"/>
              <w:spacing w:before="60" w:after="60"/>
              <w:jc w:val="left"/>
            </w:pPr>
            <w:r w:rsidRPr="00BC2272">
              <w:rPr>
                <w:color w:val="000000"/>
              </w:rPr>
              <w:t>Beverage cooling (post mix)</w:t>
            </w:r>
          </w:p>
        </w:tc>
        <w:tc>
          <w:tcPr>
            <w:tcW w:w="1233" w:type="dxa"/>
            <w:shd w:val="clear" w:color="auto" w:fill="auto"/>
            <w:vAlign w:val="center"/>
          </w:tcPr>
          <w:p w14:paraId="699AB586" w14:textId="5B7EFB12" w:rsidR="00A5542A" w:rsidRPr="00BC2272" w:rsidRDefault="00A5542A" w:rsidP="003356A0">
            <w:pPr>
              <w:snapToGrid w:val="0"/>
              <w:spacing w:before="60" w:after="60"/>
              <w:jc w:val="center"/>
            </w:pPr>
            <w:r w:rsidRPr="00BC2272">
              <w:rPr>
                <w:color w:val="000000"/>
                <w:lang w:val="en-US"/>
              </w:rPr>
              <w:t>37,000</w:t>
            </w:r>
          </w:p>
        </w:tc>
        <w:tc>
          <w:tcPr>
            <w:tcW w:w="1177" w:type="dxa"/>
            <w:vAlign w:val="center"/>
          </w:tcPr>
          <w:p w14:paraId="75CDDAF3" w14:textId="516A2EDD" w:rsidR="00A5542A" w:rsidRPr="00BC2272" w:rsidRDefault="00E208DA" w:rsidP="003356A0">
            <w:pPr>
              <w:snapToGrid w:val="0"/>
              <w:spacing w:before="60" w:after="60"/>
              <w:jc w:val="center"/>
              <w:rPr>
                <w:color w:val="000000"/>
                <w:lang w:val="en-US"/>
              </w:rPr>
            </w:pPr>
            <w:r w:rsidRPr="00BC2272">
              <w:rPr>
                <w:color w:val="000000"/>
                <w:lang w:val="en-US"/>
              </w:rPr>
              <w:t>37,000</w:t>
            </w:r>
          </w:p>
        </w:tc>
        <w:tc>
          <w:tcPr>
            <w:tcW w:w="1176" w:type="dxa"/>
            <w:shd w:val="clear" w:color="auto" w:fill="auto"/>
            <w:vAlign w:val="center"/>
          </w:tcPr>
          <w:p w14:paraId="6F32B73C" w14:textId="7A561ADB" w:rsidR="00A5542A" w:rsidRPr="00BC2272" w:rsidRDefault="00E208DA" w:rsidP="003356A0">
            <w:pPr>
              <w:snapToGrid w:val="0"/>
              <w:spacing w:before="60" w:after="60"/>
              <w:jc w:val="center"/>
            </w:pPr>
            <w:r w:rsidRPr="00BC2272">
              <w:rPr>
                <w:color w:val="000000"/>
                <w:lang w:val="en-US"/>
              </w:rPr>
              <w:t>50</w:t>
            </w:r>
            <w:r w:rsidR="00A5542A" w:rsidRPr="00BC2272">
              <w:rPr>
                <w:color w:val="000000"/>
                <w:lang w:val="en-US"/>
              </w:rPr>
              <w:t>,</w:t>
            </w:r>
            <w:r w:rsidRPr="00BC2272">
              <w:rPr>
                <w:color w:val="000000"/>
                <w:lang w:val="en-US"/>
              </w:rPr>
              <w:t>0</w:t>
            </w:r>
            <w:r w:rsidR="00A5542A" w:rsidRPr="00BC2272">
              <w:rPr>
                <w:color w:val="000000"/>
                <w:lang w:val="en-US"/>
              </w:rPr>
              <w:t>00</w:t>
            </w:r>
          </w:p>
        </w:tc>
        <w:tc>
          <w:tcPr>
            <w:tcW w:w="1153" w:type="dxa"/>
            <w:shd w:val="clear" w:color="auto" w:fill="auto"/>
            <w:vAlign w:val="center"/>
          </w:tcPr>
          <w:p w14:paraId="07AC65AC" w14:textId="65ACA204" w:rsidR="00A5542A" w:rsidRPr="00BC2272" w:rsidRDefault="006338AA" w:rsidP="003356A0">
            <w:pPr>
              <w:snapToGrid w:val="0"/>
              <w:spacing w:before="60" w:after="60"/>
              <w:jc w:val="center"/>
            </w:pPr>
            <w:r w:rsidRPr="00BC2272">
              <w:rPr>
                <w:color w:val="000000"/>
                <w:lang w:val="en-US"/>
              </w:rPr>
              <w:t>+</w:t>
            </w:r>
            <w:r w:rsidR="00A5542A" w:rsidRPr="00BC2272">
              <w:rPr>
                <w:color w:val="000000"/>
                <w:lang w:val="en-US"/>
              </w:rPr>
              <w:t>3</w:t>
            </w:r>
            <w:r w:rsidR="00E208DA" w:rsidRPr="00BC2272">
              <w:rPr>
                <w:color w:val="000000"/>
                <w:lang w:val="en-US"/>
              </w:rPr>
              <w:t>5</w:t>
            </w:r>
            <w:r w:rsidR="00A5542A" w:rsidRPr="00BC2272">
              <w:rPr>
                <w:color w:val="000000"/>
                <w:lang w:val="en-US"/>
              </w:rPr>
              <w:t>%</w:t>
            </w:r>
          </w:p>
        </w:tc>
      </w:tr>
      <w:tr w:rsidR="00290B13" w14:paraId="160AF283" w14:textId="77777777" w:rsidTr="00D8549E">
        <w:trPr>
          <w:trHeight w:val="567"/>
        </w:trPr>
        <w:tc>
          <w:tcPr>
            <w:tcW w:w="1186" w:type="dxa"/>
            <w:shd w:val="clear" w:color="auto" w:fill="auto"/>
            <w:vAlign w:val="center"/>
          </w:tcPr>
          <w:p w14:paraId="55A0B5F4" w14:textId="0D2E5AA2" w:rsidR="00A5542A" w:rsidRPr="00BC2272" w:rsidRDefault="00A5542A" w:rsidP="003356A0">
            <w:pPr>
              <w:snapToGrid w:val="0"/>
              <w:spacing w:before="60" w:after="60"/>
              <w:jc w:val="center"/>
            </w:pPr>
            <w:r w:rsidRPr="00BC2272">
              <w:rPr>
                <w:color w:val="000000"/>
              </w:rPr>
              <w:t>RCFC1-4</w:t>
            </w:r>
          </w:p>
        </w:tc>
        <w:tc>
          <w:tcPr>
            <w:tcW w:w="1466" w:type="dxa"/>
            <w:shd w:val="clear" w:color="auto" w:fill="auto"/>
            <w:vAlign w:val="center"/>
          </w:tcPr>
          <w:p w14:paraId="11712E2E" w14:textId="00E0D529" w:rsidR="00A5542A" w:rsidRPr="00BC2272" w:rsidRDefault="00A5542A" w:rsidP="003356A0">
            <w:pPr>
              <w:snapToGrid w:val="0"/>
              <w:spacing w:before="60" w:after="60"/>
              <w:jc w:val="left"/>
            </w:pPr>
            <w:r w:rsidRPr="00BC2272">
              <w:rPr>
                <w:color w:val="000000"/>
              </w:rPr>
              <w:t>Self-contained</w:t>
            </w:r>
          </w:p>
        </w:tc>
        <w:tc>
          <w:tcPr>
            <w:tcW w:w="2101" w:type="dxa"/>
            <w:shd w:val="clear" w:color="auto" w:fill="auto"/>
            <w:vAlign w:val="center"/>
          </w:tcPr>
          <w:p w14:paraId="3E055AB3" w14:textId="28AE2B6F" w:rsidR="00A5542A" w:rsidRPr="00BC2272" w:rsidRDefault="00A5542A" w:rsidP="003356A0">
            <w:pPr>
              <w:snapToGrid w:val="0"/>
              <w:spacing w:before="60" w:after="60"/>
              <w:jc w:val="left"/>
            </w:pPr>
            <w:r w:rsidRPr="00BC2272">
              <w:rPr>
                <w:color w:val="000000"/>
              </w:rPr>
              <w:t>Ice makers</w:t>
            </w:r>
          </w:p>
        </w:tc>
        <w:tc>
          <w:tcPr>
            <w:tcW w:w="1233" w:type="dxa"/>
            <w:shd w:val="clear" w:color="auto" w:fill="auto"/>
            <w:vAlign w:val="center"/>
          </w:tcPr>
          <w:p w14:paraId="6E756382" w14:textId="4A044320" w:rsidR="00A5542A" w:rsidRPr="00BC2272" w:rsidRDefault="00A5542A" w:rsidP="003356A0">
            <w:pPr>
              <w:snapToGrid w:val="0"/>
              <w:spacing w:before="60" w:after="60"/>
              <w:jc w:val="center"/>
            </w:pPr>
            <w:r w:rsidRPr="00BC2272">
              <w:rPr>
                <w:color w:val="000000"/>
                <w:lang w:val="en-US"/>
              </w:rPr>
              <w:t>66,000</w:t>
            </w:r>
          </w:p>
        </w:tc>
        <w:tc>
          <w:tcPr>
            <w:tcW w:w="1177" w:type="dxa"/>
            <w:vAlign w:val="center"/>
          </w:tcPr>
          <w:p w14:paraId="6E306592" w14:textId="354212ED" w:rsidR="00A5542A" w:rsidRPr="00BC2272" w:rsidRDefault="00E208DA" w:rsidP="003356A0">
            <w:pPr>
              <w:snapToGrid w:val="0"/>
              <w:spacing w:before="60" w:after="60"/>
              <w:jc w:val="center"/>
              <w:rPr>
                <w:color w:val="000000"/>
                <w:lang w:val="en-US"/>
              </w:rPr>
            </w:pPr>
            <w:r w:rsidRPr="00BC2272">
              <w:rPr>
                <w:color w:val="000000"/>
                <w:lang w:val="en-US"/>
              </w:rPr>
              <w:t>66,000</w:t>
            </w:r>
          </w:p>
        </w:tc>
        <w:tc>
          <w:tcPr>
            <w:tcW w:w="1176" w:type="dxa"/>
            <w:shd w:val="clear" w:color="auto" w:fill="auto"/>
            <w:vAlign w:val="center"/>
          </w:tcPr>
          <w:p w14:paraId="2877744E" w14:textId="355F3F91" w:rsidR="00A5542A" w:rsidRPr="00BC2272" w:rsidRDefault="00A5542A" w:rsidP="003356A0">
            <w:pPr>
              <w:snapToGrid w:val="0"/>
              <w:spacing w:before="60" w:after="60"/>
              <w:jc w:val="center"/>
            </w:pPr>
            <w:r w:rsidRPr="00BC2272">
              <w:rPr>
                <w:color w:val="000000"/>
                <w:lang w:val="en-US"/>
              </w:rPr>
              <w:t>71,000</w:t>
            </w:r>
          </w:p>
        </w:tc>
        <w:tc>
          <w:tcPr>
            <w:tcW w:w="1153" w:type="dxa"/>
            <w:shd w:val="clear" w:color="auto" w:fill="auto"/>
            <w:vAlign w:val="center"/>
          </w:tcPr>
          <w:p w14:paraId="09B59467" w14:textId="2AD06BF0" w:rsidR="00A5542A" w:rsidRPr="00BC2272" w:rsidRDefault="006338AA" w:rsidP="003356A0">
            <w:pPr>
              <w:snapToGrid w:val="0"/>
              <w:spacing w:before="60" w:after="60"/>
              <w:jc w:val="center"/>
            </w:pPr>
            <w:r w:rsidRPr="00BC2272">
              <w:rPr>
                <w:color w:val="000000"/>
                <w:lang w:val="en-US"/>
              </w:rPr>
              <w:t>+</w:t>
            </w:r>
            <w:r w:rsidR="00E208DA" w:rsidRPr="00BC2272">
              <w:rPr>
                <w:color w:val="000000"/>
                <w:lang w:val="en-US"/>
              </w:rPr>
              <w:t>8</w:t>
            </w:r>
            <w:r w:rsidR="00A5542A" w:rsidRPr="00BC2272">
              <w:rPr>
                <w:color w:val="000000"/>
                <w:lang w:val="en-US"/>
              </w:rPr>
              <w:t>%</w:t>
            </w:r>
          </w:p>
        </w:tc>
      </w:tr>
      <w:tr w:rsidR="00290B13" w14:paraId="18137C46" w14:textId="77777777" w:rsidTr="00CD73A6">
        <w:trPr>
          <w:trHeight w:val="567"/>
        </w:trPr>
        <w:tc>
          <w:tcPr>
            <w:tcW w:w="1186" w:type="dxa"/>
            <w:tcBorders>
              <w:bottom w:val="single" w:sz="4" w:space="0" w:color="000000"/>
            </w:tcBorders>
            <w:shd w:val="clear" w:color="auto" w:fill="auto"/>
            <w:vAlign w:val="center"/>
          </w:tcPr>
          <w:p w14:paraId="3D063CD1" w14:textId="4657B65E" w:rsidR="00E208DA" w:rsidRPr="00BC2272" w:rsidRDefault="00E208DA" w:rsidP="00E208DA">
            <w:pPr>
              <w:snapToGrid w:val="0"/>
              <w:spacing w:before="60" w:after="60"/>
              <w:jc w:val="center"/>
            </w:pPr>
            <w:r w:rsidRPr="00BC2272">
              <w:rPr>
                <w:color w:val="000000"/>
              </w:rPr>
              <w:t>RCFC1-5</w:t>
            </w:r>
          </w:p>
        </w:tc>
        <w:tc>
          <w:tcPr>
            <w:tcW w:w="1466" w:type="dxa"/>
            <w:tcBorders>
              <w:bottom w:val="single" w:sz="4" w:space="0" w:color="000000"/>
            </w:tcBorders>
            <w:shd w:val="clear" w:color="auto" w:fill="auto"/>
            <w:vAlign w:val="center"/>
          </w:tcPr>
          <w:p w14:paraId="335804BA" w14:textId="4C5E2ECE" w:rsidR="00E208DA" w:rsidRPr="00BC2272" w:rsidRDefault="00E208DA" w:rsidP="00E208DA">
            <w:pPr>
              <w:snapToGrid w:val="0"/>
              <w:spacing w:before="60" w:after="60"/>
              <w:jc w:val="left"/>
            </w:pPr>
            <w:r w:rsidRPr="00BC2272">
              <w:rPr>
                <w:color w:val="000000"/>
              </w:rPr>
              <w:t>Self-contained</w:t>
            </w:r>
          </w:p>
        </w:tc>
        <w:tc>
          <w:tcPr>
            <w:tcW w:w="2101" w:type="dxa"/>
            <w:tcBorders>
              <w:bottom w:val="single" w:sz="4" w:space="0" w:color="000000"/>
            </w:tcBorders>
            <w:shd w:val="clear" w:color="auto" w:fill="auto"/>
            <w:vAlign w:val="center"/>
          </w:tcPr>
          <w:p w14:paraId="52BA3580" w14:textId="3CC512C6" w:rsidR="00E208DA" w:rsidRPr="00BC2272" w:rsidRDefault="00E208DA" w:rsidP="00E208DA">
            <w:pPr>
              <w:snapToGrid w:val="0"/>
              <w:spacing w:before="60" w:after="60"/>
              <w:jc w:val="left"/>
            </w:pPr>
            <w:r w:rsidRPr="00BC2272">
              <w:rPr>
                <w:color w:val="000000"/>
              </w:rPr>
              <w:t>Water dispensers (incl. bottle)</w:t>
            </w:r>
          </w:p>
        </w:tc>
        <w:tc>
          <w:tcPr>
            <w:tcW w:w="1233" w:type="dxa"/>
            <w:tcBorders>
              <w:bottom w:val="single" w:sz="4" w:space="0" w:color="000000"/>
            </w:tcBorders>
            <w:shd w:val="clear" w:color="auto" w:fill="auto"/>
            <w:vAlign w:val="center"/>
          </w:tcPr>
          <w:p w14:paraId="4CA358D9" w14:textId="1CEA0EA9" w:rsidR="00E208DA" w:rsidRPr="00BC2272" w:rsidRDefault="00E208DA" w:rsidP="00E208DA">
            <w:pPr>
              <w:snapToGrid w:val="0"/>
              <w:spacing w:before="60" w:after="60"/>
              <w:jc w:val="center"/>
            </w:pPr>
            <w:r w:rsidRPr="00BC2272">
              <w:rPr>
                <w:color w:val="000000"/>
                <w:lang w:val="en-US"/>
              </w:rPr>
              <w:t>235,000</w:t>
            </w:r>
          </w:p>
        </w:tc>
        <w:tc>
          <w:tcPr>
            <w:tcW w:w="1177" w:type="dxa"/>
            <w:tcBorders>
              <w:bottom w:val="single" w:sz="4" w:space="0" w:color="000000"/>
            </w:tcBorders>
            <w:vAlign w:val="center"/>
          </w:tcPr>
          <w:p w14:paraId="3D5C2A69" w14:textId="59133E23" w:rsidR="00E208DA" w:rsidRPr="00BC2272" w:rsidRDefault="00E208DA" w:rsidP="00E208DA">
            <w:pPr>
              <w:snapToGrid w:val="0"/>
              <w:spacing w:before="60" w:after="60"/>
              <w:jc w:val="center"/>
              <w:rPr>
                <w:color w:val="000000"/>
                <w:lang w:val="en-US"/>
              </w:rPr>
            </w:pPr>
            <w:r w:rsidRPr="00BC2272">
              <w:rPr>
                <w:color w:val="000000"/>
                <w:lang w:val="en-US"/>
              </w:rPr>
              <w:t>235,000</w:t>
            </w:r>
          </w:p>
        </w:tc>
        <w:tc>
          <w:tcPr>
            <w:tcW w:w="1176" w:type="dxa"/>
            <w:tcBorders>
              <w:bottom w:val="single" w:sz="4" w:space="0" w:color="000000"/>
            </w:tcBorders>
            <w:shd w:val="clear" w:color="auto" w:fill="auto"/>
            <w:vAlign w:val="center"/>
          </w:tcPr>
          <w:p w14:paraId="31946582" w14:textId="1858AFED" w:rsidR="00E208DA" w:rsidRPr="00BC2272" w:rsidRDefault="00E208DA" w:rsidP="00E208DA">
            <w:pPr>
              <w:snapToGrid w:val="0"/>
              <w:spacing w:before="60" w:after="60"/>
              <w:jc w:val="center"/>
            </w:pPr>
            <w:r w:rsidRPr="00BC2272">
              <w:rPr>
                <w:color w:val="000000"/>
                <w:lang w:val="en-US"/>
              </w:rPr>
              <w:t>239,000</w:t>
            </w:r>
          </w:p>
        </w:tc>
        <w:tc>
          <w:tcPr>
            <w:tcW w:w="1153" w:type="dxa"/>
            <w:tcBorders>
              <w:bottom w:val="single" w:sz="4" w:space="0" w:color="000000"/>
            </w:tcBorders>
            <w:shd w:val="clear" w:color="auto" w:fill="auto"/>
            <w:vAlign w:val="center"/>
          </w:tcPr>
          <w:p w14:paraId="2506FC8D" w14:textId="18C9B307" w:rsidR="00E208DA" w:rsidRPr="00BC2272" w:rsidRDefault="006338AA" w:rsidP="00E208DA">
            <w:pPr>
              <w:snapToGrid w:val="0"/>
              <w:spacing w:before="60" w:after="60"/>
              <w:jc w:val="center"/>
            </w:pPr>
            <w:r w:rsidRPr="00BC2272">
              <w:rPr>
                <w:color w:val="000000"/>
                <w:lang w:val="en-US"/>
              </w:rPr>
              <w:t>+</w:t>
            </w:r>
            <w:r w:rsidR="00E208DA" w:rsidRPr="00BC2272">
              <w:rPr>
                <w:color w:val="000000"/>
                <w:lang w:val="en-US"/>
              </w:rPr>
              <w:t>2%</w:t>
            </w:r>
          </w:p>
        </w:tc>
      </w:tr>
      <w:tr w:rsidR="00290B13" w14:paraId="3966ECCB" w14:textId="77777777" w:rsidTr="00CD73A6">
        <w:trPr>
          <w:trHeight w:val="567"/>
        </w:trPr>
        <w:tc>
          <w:tcPr>
            <w:tcW w:w="1186" w:type="dxa"/>
            <w:shd w:val="clear" w:color="auto" w:fill="C6D9F1" w:themeFill="text2" w:themeFillTint="33"/>
            <w:vAlign w:val="center"/>
          </w:tcPr>
          <w:p w14:paraId="3E93551C" w14:textId="2DFC12DC" w:rsidR="00E208DA" w:rsidRPr="00BC2272" w:rsidRDefault="00E208DA" w:rsidP="00E208DA">
            <w:pPr>
              <w:snapToGrid w:val="0"/>
              <w:spacing w:before="60" w:after="60"/>
              <w:jc w:val="center"/>
            </w:pPr>
            <w:r w:rsidRPr="00BC2272">
              <w:rPr>
                <w:color w:val="000000"/>
              </w:rPr>
              <w:t>RCFC1-6</w:t>
            </w:r>
          </w:p>
        </w:tc>
        <w:tc>
          <w:tcPr>
            <w:tcW w:w="1466" w:type="dxa"/>
            <w:shd w:val="clear" w:color="auto" w:fill="C6D9F1" w:themeFill="text2" w:themeFillTint="33"/>
            <w:vAlign w:val="center"/>
          </w:tcPr>
          <w:p w14:paraId="3534D82F" w14:textId="5436756B" w:rsidR="00E208DA" w:rsidRPr="00BC2272" w:rsidRDefault="00E208DA" w:rsidP="00E208DA">
            <w:pPr>
              <w:snapToGrid w:val="0"/>
              <w:spacing w:before="60" w:after="60"/>
              <w:jc w:val="left"/>
            </w:pPr>
            <w:r w:rsidRPr="00BC2272">
              <w:rPr>
                <w:color w:val="000000"/>
              </w:rPr>
              <w:t>Self-contained</w:t>
            </w:r>
          </w:p>
        </w:tc>
        <w:tc>
          <w:tcPr>
            <w:tcW w:w="2101" w:type="dxa"/>
            <w:shd w:val="clear" w:color="auto" w:fill="C6D9F1" w:themeFill="text2" w:themeFillTint="33"/>
            <w:vAlign w:val="center"/>
          </w:tcPr>
          <w:p w14:paraId="475641B7" w14:textId="1E772868" w:rsidR="00E208DA" w:rsidRPr="00BC2272" w:rsidRDefault="00E208DA" w:rsidP="00E208DA">
            <w:pPr>
              <w:snapToGrid w:val="0"/>
              <w:spacing w:before="60" w:after="60"/>
              <w:jc w:val="left"/>
            </w:pPr>
            <w:r w:rsidRPr="00BC2272">
              <w:rPr>
                <w:color w:val="000000"/>
              </w:rPr>
              <w:t xml:space="preserve">Other </w:t>
            </w:r>
            <w:r w:rsidR="009F5EAE" w:rsidRPr="00BC2272">
              <w:rPr>
                <w:color w:val="000000"/>
              </w:rPr>
              <w:t>self-contained</w:t>
            </w:r>
            <w:r w:rsidRPr="00BC2272">
              <w:rPr>
                <w:color w:val="000000"/>
              </w:rPr>
              <w:t xml:space="preserve"> refrigeration equipment</w:t>
            </w:r>
          </w:p>
        </w:tc>
        <w:tc>
          <w:tcPr>
            <w:tcW w:w="1233" w:type="dxa"/>
            <w:shd w:val="clear" w:color="auto" w:fill="C6D9F1" w:themeFill="text2" w:themeFillTint="33"/>
            <w:vAlign w:val="center"/>
          </w:tcPr>
          <w:p w14:paraId="5323DDA0" w14:textId="22EC9776" w:rsidR="00E208DA" w:rsidRPr="00BC2272" w:rsidRDefault="00E208DA" w:rsidP="00E208DA">
            <w:pPr>
              <w:snapToGrid w:val="0"/>
              <w:spacing w:before="60" w:after="60"/>
              <w:jc w:val="center"/>
            </w:pPr>
            <w:r w:rsidRPr="00BC2272">
              <w:rPr>
                <w:color w:val="000000"/>
                <w:lang w:val="en-US"/>
              </w:rPr>
              <w:t>5,000</w:t>
            </w:r>
          </w:p>
        </w:tc>
        <w:tc>
          <w:tcPr>
            <w:tcW w:w="1177" w:type="dxa"/>
            <w:shd w:val="clear" w:color="auto" w:fill="C6D9F1" w:themeFill="text2" w:themeFillTint="33"/>
            <w:vAlign w:val="center"/>
          </w:tcPr>
          <w:p w14:paraId="3ECFEA37" w14:textId="3515087D" w:rsidR="00E208DA" w:rsidRPr="00BC2272" w:rsidRDefault="00E208DA" w:rsidP="00E208DA">
            <w:pPr>
              <w:snapToGrid w:val="0"/>
              <w:spacing w:before="60" w:after="60"/>
              <w:jc w:val="center"/>
              <w:rPr>
                <w:color w:val="000000"/>
                <w:lang w:val="en-US"/>
              </w:rPr>
            </w:pPr>
            <w:r w:rsidRPr="00BC2272">
              <w:rPr>
                <w:color w:val="000000"/>
                <w:lang w:val="en-US"/>
              </w:rPr>
              <w:t> 74,000</w:t>
            </w:r>
          </w:p>
        </w:tc>
        <w:tc>
          <w:tcPr>
            <w:tcW w:w="1176" w:type="dxa"/>
            <w:shd w:val="clear" w:color="auto" w:fill="C6D9F1" w:themeFill="text2" w:themeFillTint="33"/>
            <w:vAlign w:val="center"/>
          </w:tcPr>
          <w:p w14:paraId="21FA1C4B" w14:textId="47A6D9F5" w:rsidR="00E208DA" w:rsidRPr="00BC2272" w:rsidRDefault="00E208DA" w:rsidP="00E208DA">
            <w:pPr>
              <w:snapToGrid w:val="0"/>
              <w:spacing w:before="60" w:after="60"/>
              <w:jc w:val="center"/>
            </w:pPr>
            <w:r w:rsidRPr="00BC2272">
              <w:rPr>
                <w:color w:val="000000"/>
                <w:lang w:val="en-US"/>
              </w:rPr>
              <w:t>99,000</w:t>
            </w:r>
          </w:p>
        </w:tc>
        <w:tc>
          <w:tcPr>
            <w:tcW w:w="1153" w:type="dxa"/>
            <w:shd w:val="clear" w:color="auto" w:fill="C6D9F1" w:themeFill="text2" w:themeFillTint="33"/>
            <w:vAlign w:val="center"/>
          </w:tcPr>
          <w:p w14:paraId="131C2292" w14:textId="5E7D5085" w:rsidR="00E208DA" w:rsidRPr="00BC2272" w:rsidRDefault="006338AA" w:rsidP="00E208DA">
            <w:pPr>
              <w:snapToGrid w:val="0"/>
              <w:spacing w:before="60" w:after="60"/>
              <w:jc w:val="center"/>
            </w:pPr>
            <w:r w:rsidRPr="00BC2272">
              <w:rPr>
                <w:color w:val="000000"/>
                <w:lang w:val="en-US"/>
              </w:rPr>
              <w:t>+</w:t>
            </w:r>
            <w:r w:rsidR="0022162B" w:rsidRPr="00BC2272">
              <w:rPr>
                <w:color w:val="000000"/>
                <w:lang w:val="en-US"/>
              </w:rPr>
              <w:t>34</w:t>
            </w:r>
            <w:r w:rsidR="00E208DA" w:rsidRPr="00BC2272">
              <w:rPr>
                <w:color w:val="000000"/>
                <w:lang w:val="en-US"/>
              </w:rPr>
              <w:t>%</w:t>
            </w:r>
          </w:p>
        </w:tc>
      </w:tr>
      <w:tr w:rsidR="00290B13" w14:paraId="7A93F100" w14:textId="77777777" w:rsidTr="00CD73A6">
        <w:trPr>
          <w:trHeight w:val="567"/>
        </w:trPr>
        <w:tc>
          <w:tcPr>
            <w:tcW w:w="1186" w:type="dxa"/>
            <w:shd w:val="clear" w:color="auto" w:fill="C6D9F1" w:themeFill="text2" w:themeFillTint="33"/>
            <w:vAlign w:val="center"/>
          </w:tcPr>
          <w:p w14:paraId="3C96F29A" w14:textId="3A6C4C2D" w:rsidR="00E208DA" w:rsidRPr="00BC2272" w:rsidRDefault="00E208DA" w:rsidP="00E208DA">
            <w:pPr>
              <w:snapToGrid w:val="0"/>
              <w:spacing w:before="60" w:after="60"/>
              <w:jc w:val="center"/>
            </w:pPr>
            <w:r w:rsidRPr="00BC2272">
              <w:rPr>
                <w:color w:val="000000"/>
              </w:rPr>
              <w:t>RCFC1-7</w:t>
            </w:r>
          </w:p>
        </w:tc>
        <w:tc>
          <w:tcPr>
            <w:tcW w:w="1466" w:type="dxa"/>
            <w:shd w:val="clear" w:color="auto" w:fill="C6D9F1" w:themeFill="text2" w:themeFillTint="33"/>
            <w:vAlign w:val="center"/>
          </w:tcPr>
          <w:p w14:paraId="05E5C308" w14:textId="48437458" w:rsidR="00E208DA" w:rsidRPr="00BC2272" w:rsidRDefault="00E208DA" w:rsidP="00E208DA">
            <w:pPr>
              <w:snapToGrid w:val="0"/>
              <w:spacing w:before="60" w:after="60"/>
              <w:jc w:val="left"/>
            </w:pPr>
            <w:r w:rsidRPr="00BC2272">
              <w:rPr>
                <w:color w:val="000000"/>
              </w:rPr>
              <w:t>Self-contained</w:t>
            </w:r>
          </w:p>
        </w:tc>
        <w:tc>
          <w:tcPr>
            <w:tcW w:w="2101" w:type="dxa"/>
            <w:shd w:val="clear" w:color="auto" w:fill="C6D9F1" w:themeFill="text2" w:themeFillTint="33"/>
            <w:vAlign w:val="center"/>
          </w:tcPr>
          <w:p w14:paraId="5A77CF83" w14:textId="5FC053B8" w:rsidR="00E208DA" w:rsidRPr="00BC2272" w:rsidRDefault="00E208DA" w:rsidP="00E208DA">
            <w:pPr>
              <w:snapToGrid w:val="0"/>
              <w:spacing w:before="60" w:after="60"/>
              <w:jc w:val="left"/>
            </w:pPr>
            <w:r w:rsidRPr="00BC2272">
              <w:rPr>
                <w:color w:val="000000"/>
              </w:rPr>
              <w:t>Walk-in cool</w:t>
            </w:r>
            <w:r w:rsidR="001E68A3">
              <w:rPr>
                <w:color w:val="000000"/>
              </w:rPr>
              <w:t xml:space="preserve"> </w:t>
            </w:r>
            <w:r w:rsidRPr="00BC2272">
              <w:rPr>
                <w:color w:val="000000"/>
              </w:rPr>
              <w:t>rooms: small: Slid-in/Drop-in</w:t>
            </w:r>
          </w:p>
        </w:tc>
        <w:tc>
          <w:tcPr>
            <w:tcW w:w="1233" w:type="dxa"/>
            <w:vMerge w:val="restart"/>
            <w:shd w:val="clear" w:color="auto" w:fill="C6D9F1" w:themeFill="text2" w:themeFillTint="33"/>
            <w:vAlign w:val="center"/>
          </w:tcPr>
          <w:p w14:paraId="4160CAFA" w14:textId="6F5493F0" w:rsidR="00E208DA" w:rsidRPr="00BC2272" w:rsidRDefault="00E208DA" w:rsidP="00E208DA">
            <w:pPr>
              <w:snapToGrid w:val="0"/>
              <w:spacing w:before="60" w:after="60"/>
              <w:jc w:val="center"/>
            </w:pPr>
            <w:r w:rsidRPr="00BC2272">
              <w:rPr>
                <w:color w:val="000000"/>
                <w:lang w:val="en-US"/>
              </w:rPr>
              <w:t>65,700</w:t>
            </w:r>
          </w:p>
        </w:tc>
        <w:tc>
          <w:tcPr>
            <w:tcW w:w="1177" w:type="dxa"/>
            <w:shd w:val="clear" w:color="auto" w:fill="C6D9F1" w:themeFill="text2" w:themeFillTint="33"/>
            <w:vAlign w:val="center"/>
          </w:tcPr>
          <w:p w14:paraId="77D65AC3" w14:textId="79905624" w:rsidR="00E208DA" w:rsidRPr="00BC2272" w:rsidRDefault="00E208DA" w:rsidP="00E208DA">
            <w:pPr>
              <w:snapToGrid w:val="0"/>
              <w:spacing w:before="60" w:after="60"/>
              <w:jc w:val="center"/>
              <w:rPr>
                <w:color w:val="000000"/>
                <w:lang w:val="en-US"/>
              </w:rPr>
            </w:pPr>
            <w:r w:rsidRPr="00BC2272">
              <w:rPr>
                <w:color w:val="000000"/>
                <w:lang w:val="en-US"/>
              </w:rPr>
              <w:t>8,300</w:t>
            </w:r>
          </w:p>
        </w:tc>
        <w:tc>
          <w:tcPr>
            <w:tcW w:w="1176" w:type="dxa"/>
            <w:shd w:val="clear" w:color="auto" w:fill="C6D9F1" w:themeFill="text2" w:themeFillTint="33"/>
            <w:vAlign w:val="center"/>
          </w:tcPr>
          <w:p w14:paraId="3957B25C" w14:textId="725E7528" w:rsidR="00E208DA" w:rsidRPr="00BC2272" w:rsidRDefault="00E208DA" w:rsidP="00E208DA">
            <w:pPr>
              <w:snapToGrid w:val="0"/>
              <w:spacing w:before="60" w:after="60"/>
              <w:jc w:val="center"/>
            </w:pPr>
            <w:r w:rsidRPr="00BC2272">
              <w:rPr>
                <w:color w:val="000000"/>
                <w:lang w:val="en-US"/>
              </w:rPr>
              <w:t>9,000</w:t>
            </w:r>
          </w:p>
        </w:tc>
        <w:tc>
          <w:tcPr>
            <w:tcW w:w="1153" w:type="dxa"/>
            <w:shd w:val="clear" w:color="auto" w:fill="C6D9F1" w:themeFill="text2" w:themeFillTint="33"/>
            <w:vAlign w:val="center"/>
          </w:tcPr>
          <w:p w14:paraId="74624F95" w14:textId="665E78FF" w:rsidR="00E208DA" w:rsidRPr="00BC2272" w:rsidRDefault="006338AA" w:rsidP="00E208DA">
            <w:pPr>
              <w:snapToGrid w:val="0"/>
              <w:spacing w:before="60" w:after="60"/>
              <w:jc w:val="center"/>
            </w:pPr>
            <w:r w:rsidRPr="00BC2272">
              <w:rPr>
                <w:color w:val="000000"/>
                <w:lang w:val="en-US"/>
              </w:rPr>
              <w:t>+</w:t>
            </w:r>
            <w:r w:rsidR="00E208DA" w:rsidRPr="00BC2272">
              <w:rPr>
                <w:color w:val="000000"/>
                <w:lang w:val="en-US"/>
              </w:rPr>
              <w:t>7%</w:t>
            </w:r>
          </w:p>
        </w:tc>
      </w:tr>
      <w:tr w:rsidR="00290B13" w14:paraId="2F5A243F" w14:textId="77777777" w:rsidTr="00CD73A6">
        <w:trPr>
          <w:trHeight w:val="567"/>
        </w:trPr>
        <w:tc>
          <w:tcPr>
            <w:tcW w:w="1186" w:type="dxa"/>
            <w:shd w:val="clear" w:color="auto" w:fill="C6D9F1" w:themeFill="text2" w:themeFillTint="33"/>
            <w:vAlign w:val="center"/>
          </w:tcPr>
          <w:p w14:paraId="1891802B" w14:textId="67B33469" w:rsidR="00E208DA" w:rsidRPr="00BC2272" w:rsidRDefault="00E208DA" w:rsidP="00E208DA">
            <w:pPr>
              <w:snapToGrid w:val="0"/>
              <w:spacing w:before="60" w:after="60"/>
              <w:jc w:val="center"/>
            </w:pPr>
            <w:r w:rsidRPr="00BC2272">
              <w:rPr>
                <w:color w:val="000000"/>
              </w:rPr>
              <w:t>RCFC1-8</w:t>
            </w:r>
          </w:p>
        </w:tc>
        <w:tc>
          <w:tcPr>
            <w:tcW w:w="1466" w:type="dxa"/>
            <w:shd w:val="clear" w:color="auto" w:fill="C6D9F1" w:themeFill="text2" w:themeFillTint="33"/>
            <w:vAlign w:val="center"/>
          </w:tcPr>
          <w:p w14:paraId="20EEAC24" w14:textId="5ED33214" w:rsidR="00E208DA" w:rsidRPr="00BC2272" w:rsidRDefault="00E208DA" w:rsidP="00E208DA">
            <w:pPr>
              <w:snapToGrid w:val="0"/>
              <w:spacing w:before="60" w:after="60"/>
              <w:jc w:val="left"/>
            </w:pPr>
            <w:r w:rsidRPr="00BC2272">
              <w:rPr>
                <w:color w:val="000000"/>
              </w:rPr>
              <w:t>Remote</w:t>
            </w:r>
          </w:p>
        </w:tc>
        <w:tc>
          <w:tcPr>
            <w:tcW w:w="2101" w:type="dxa"/>
            <w:shd w:val="clear" w:color="auto" w:fill="C6D9F1" w:themeFill="text2" w:themeFillTint="33"/>
            <w:vAlign w:val="center"/>
          </w:tcPr>
          <w:p w14:paraId="7F4EB598" w14:textId="02C29291" w:rsidR="00E208DA" w:rsidRPr="00BC2272" w:rsidRDefault="00E208DA" w:rsidP="00E208DA">
            <w:pPr>
              <w:snapToGrid w:val="0"/>
              <w:spacing w:before="60" w:after="60"/>
              <w:jc w:val="left"/>
            </w:pPr>
            <w:r w:rsidRPr="00BC2272">
              <w:rPr>
                <w:color w:val="000000"/>
              </w:rPr>
              <w:t>Walk-in cool</w:t>
            </w:r>
            <w:r w:rsidR="001E68A3">
              <w:rPr>
                <w:color w:val="000000"/>
              </w:rPr>
              <w:t xml:space="preserve"> </w:t>
            </w:r>
            <w:r w:rsidRPr="00BC2272">
              <w:rPr>
                <w:color w:val="000000"/>
              </w:rPr>
              <w:t>rooms: small: remote</w:t>
            </w:r>
          </w:p>
        </w:tc>
        <w:tc>
          <w:tcPr>
            <w:tcW w:w="1233" w:type="dxa"/>
            <w:vMerge/>
            <w:shd w:val="clear" w:color="auto" w:fill="C6D9F1" w:themeFill="text2" w:themeFillTint="33"/>
            <w:vAlign w:val="center"/>
          </w:tcPr>
          <w:p w14:paraId="0999843B" w14:textId="476E7886" w:rsidR="00E208DA" w:rsidRPr="00BC2272" w:rsidRDefault="00E208DA" w:rsidP="00E208DA">
            <w:pPr>
              <w:snapToGrid w:val="0"/>
              <w:spacing w:before="60" w:after="60"/>
              <w:jc w:val="center"/>
            </w:pPr>
          </w:p>
        </w:tc>
        <w:tc>
          <w:tcPr>
            <w:tcW w:w="1177" w:type="dxa"/>
            <w:shd w:val="clear" w:color="auto" w:fill="C6D9F1" w:themeFill="text2" w:themeFillTint="33"/>
            <w:vAlign w:val="center"/>
          </w:tcPr>
          <w:p w14:paraId="3C157142" w14:textId="2CC17A44" w:rsidR="00E208DA" w:rsidRPr="00BC2272" w:rsidRDefault="00E208DA" w:rsidP="00E208DA">
            <w:pPr>
              <w:snapToGrid w:val="0"/>
              <w:spacing w:before="60" w:after="60"/>
              <w:jc w:val="center"/>
              <w:rPr>
                <w:color w:val="000000"/>
                <w:lang w:val="en-US"/>
              </w:rPr>
            </w:pPr>
            <w:r w:rsidRPr="00BC2272">
              <w:rPr>
                <w:color w:val="000000"/>
                <w:lang w:val="en-US"/>
              </w:rPr>
              <w:t>199,700</w:t>
            </w:r>
          </w:p>
        </w:tc>
        <w:tc>
          <w:tcPr>
            <w:tcW w:w="1176" w:type="dxa"/>
            <w:shd w:val="clear" w:color="auto" w:fill="C6D9F1" w:themeFill="text2" w:themeFillTint="33"/>
            <w:vAlign w:val="center"/>
          </w:tcPr>
          <w:p w14:paraId="61727039" w14:textId="5C453134" w:rsidR="00E208DA" w:rsidRPr="00BC2272" w:rsidRDefault="00E208DA" w:rsidP="00E208DA">
            <w:pPr>
              <w:snapToGrid w:val="0"/>
              <w:spacing w:before="60" w:after="60"/>
              <w:jc w:val="center"/>
            </w:pPr>
            <w:r w:rsidRPr="00BC2272">
              <w:rPr>
                <w:color w:val="000000"/>
                <w:lang w:val="en-US"/>
              </w:rPr>
              <w:t>210,000</w:t>
            </w:r>
          </w:p>
        </w:tc>
        <w:tc>
          <w:tcPr>
            <w:tcW w:w="1153" w:type="dxa"/>
            <w:shd w:val="clear" w:color="auto" w:fill="C6D9F1" w:themeFill="text2" w:themeFillTint="33"/>
            <w:vAlign w:val="center"/>
          </w:tcPr>
          <w:p w14:paraId="7E481BA9" w14:textId="5154ABD9" w:rsidR="00E208DA" w:rsidRPr="00BC2272" w:rsidRDefault="006338AA" w:rsidP="00E208DA">
            <w:pPr>
              <w:snapToGrid w:val="0"/>
              <w:spacing w:before="60" w:after="60"/>
              <w:jc w:val="center"/>
            </w:pPr>
            <w:r w:rsidRPr="00BC2272">
              <w:rPr>
                <w:color w:val="000000"/>
                <w:lang w:val="en-US"/>
              </w:rPr>
              <w:t>+</w:t>
            </w:r>
            <w:r w:rsidR="00E208DA" w:rsidRPr="00BC2272">
              <w:rPr>
                <w:color w:val="000000"/>
                <w:lang w:val="en-US"/>
              </w:rPr>
              <w:t>5%</w:t>
            </w:r>
          </w:p>
        </w:tc>
      </w:tr>
      <w:tr w:rsidR="00290B13" w14:paraId="578E6084" w14:textId="77777777" w:rsidTr="00D8549E">
        <w:trPr>
          <w:trHeight w:val="567"/>
        </w:trPr>
        <w:tc>
          <w:tcPr>
            <w:tcW w:w="1186" w:type="dxa"/>
            <w:shd w:val="clear" w:color="auto" w:fill="auto"/>
            <w:vAlign w:val="center"/>
          </w:tcPr>
          <w:p w14:paraId="34281696" w14:textId="66D800DE" w:rsidR="00E208DA" w:rsidRPr="00BC2272" w:rsidRDefault="00E208DA" w:rsidP="00E208DA">
            <w:pPr>
              <w:snapToGrid w:val="0"/>
              <w:spacing w:before="60" w:after="60"/>
              <w:jc w:val="center"/>
            </w:pPr>
            <w:r w:rsidRPr="00BC2272">
              <w:rPr>
                <w:color w:val="000000"/>
              </w:rPr>
              <w:t>RCFC2-1</w:t>
            </w:r>
          </w:p>
        </w:tc>
        <w:tc>
          <w:tcPr>
            <w:tcW w:w="1466" w:type="dxa"/>
            <w:shd w:val="clear" w:color="auto" w:fill="auto"/>
            <w:vAlign w:val="center"/>
          </w:tcPr>
          <w:p w14:paraId="00F755DB" w14:textId="28981384" w:rsidR="00E208DA" w:rsidRPr="00BC2272" w:rsidRDefault="00E208DA" w:rsidP="00E208DA">
            <w:pPr>
              <w:snapToGrid w:val="0"/>
              <w:spacing w:before="60" w:after="60"/>
              <w:jc w:val="left"/>
            </w:pPr>
            <w:r w:rsidRPr="00BC2272">
              <w:rPr>
                <w:color w:val="000000"/>
              </w:rPr>
              <w:t>Remote</w:t>
            </w:r>
          </w:p>
        </w:tc>
        <w:tc>
          <w:tcPr>
            <w:tcW w:w="2101" w:type="dxa"/>
            <w:shd w:val="clear" w:color="auto" w:fill="auto"/>
            <w:vAlign w:val="center"/>
          </w:tcPr>
          <w:p w14:paraId="2BA57279" w14:textId="6F5CE749" w:rsidR="00E208DA" w:rsidRPr="00BC2272" w:rsidRDefault="00E208DA" w:rsidP="00E208DA">
            <w:pPr>
              <w:snapToGrid w:val="0"/>
              <w:spacing w:before="60" w:after="60"/>
              <w:jc w:val="left"/>
            </w:pPr>
            <w:r w:rsidRPr="00BC2272">
              <w:rPr>
                <w:color w:val="000000"/>
              </w:rPr>
              <w:t>Walk-in cool</w:t>
            </w:r>
            <w:r w:rsidR="001E68A3">
              <w:rPr>
                <w:color w:val="000000"/>
              </w:rPr>
              <w:t xml:space="preserve"> </w:t>
            </w:r>
            <w:r w:rsidRPr="00BC2272">
              <w:rPr>
                <w:color w:val="000000"/>
              </w:rPr>
              <w:t>rooms: medium</w:t>
            </w:r>
          </w:p>
        </w:tc>
        <w:tc>
          <w:tcPr>
            <w:tcW w:w="1233" w:type="dxa"/>
            <w:shd w:val="clear" w:color="auto" w:fill="auto"/>
            <w:vAlign w:val="center"/>
          </w:tcPr>
          <w:p w14:paraId="0525637A" w14:textId="2C38FD91" w:rsidR="00E208DA" w:rsidRPr="00BC2272" w:rsidRDefault="00E208DA" w:rsidP="00E208DA">
            <w:pPr>
              <w:snapToGrid w:val="0"/>
              <w:spacing w:before="60" w:after="60"/>
              <w:jc w:val="center"/>
            </w:pPr>
            <w:r w:rsidRPr="00BC2272">
              <w:rPr>
                <w:color w:val="000000"/>
                <w:lang w:val="en-US"/>
              </w:rPr>
              <w:t xml:space="preserve">20,200 </w:t>
            </w:r>
            <w:r w:rsidRPr="00BC2272">
              <w:rPr>
                <w:color w:val="000000"/>
                <w:vertAlign w:val="superscript"/>
                <w:lang w:val="en-US"/>
              </w:rPr>
              <w:t>(5)</w:t>
            </w:r>
          </w:p>
        </w:tc>
        <w:tc>
          <w:tcPr>
            <w:tcW w:w="1177" w:type="dxa"/>
            <w:vAlign w:val="center"/>
          </w:tcPr>
          <w:p w14:paraId="6E9ADE1A" w14:textId="0E1F98D8" w:rsidR="00E208DA" w:rsidRPr="00BC2272" w:rsidRDefault="00E208DA" w:rsidP="00E208DA">
            <w:pPr>
              <w:snapToGrid w:val="0"/>
              <w:spacing w:before="60" w:after="60"/>
              <w:jc w:val="center"/>
              <w:rPr>
                <w:color w:val="000000"/>
                <w:lang w:val="en-US"/>
              </w:rPr>
            </w:pPr>
            <w:r w:rsidRPr="00BC2272">
              <w:rPr>
                <w:color w:val="000000"/>
                <w:lang w:val="en-US"/>
              </w:rPr>
              <w:t>17,600</w:t>
            </w:r>
          </w:p>
        </w:tc>
        <w:tc>
          <w:tcPr>
            <w:tcW w:w="1176" w:type="dxa"/>
            <w:shd w:val="clear" w:color="auto" w:fill="auto"/>
            <w:vAlign w:val="center"/>
          </w:tcPr>
          <w:p w14:paraId="0666044C" w14:textId="005B5537" w:rsidR="00E208DA" w:rsidRPr="00BC2272" w:rsidRDefault="00E208DA" w:rsidP="00E208DA">
            <w:pPr>
              <w:snapToGrid w:val="0"/>
              <w:spacing w:before="60" w:after="60"/>
              <w:jc w:val="center"/>
            </w:pPr>
            <w:r w:rsidRPr="00BC2272">
              <w:rPr>
                <w:color w:val="000000"/>
                <w:lang w:val="en-US"/>
              </w:rPr>
              <w:t>19,600</w:t>
            </w:r>
          </w:p>
        </w:tc>
        <w:tc>
          <w:tcPr>
            <w:tcW w:w="1153" w:type="dxa"/>
            <w:shd w:val="clear" w:color="auto" w:fill="auto"/>
            <w:vAlign w:val="center"/>
          </w:tcPr>
          <w:p w14:paraId="12BF7F96" w14:textId="38517C2C" w:rsidR="00E208DA" w:rsidRPr="00BC2272" w:rsidRDefault="006338AA" w:rsidP="00E208DA">
            <w:pPr>
              <w:snapToGrid w:val="0"/>
              <w:spacing w:before="60" w:after="60"/>
              <w:jc w:val="center"/>
            </w:pPr>
            <w:r w:rsidRPr="00BC2272">
              <w:rPr>
                <w:color w:val="000000"/>
                <w:lang w:val="en-US"/>
              </w:rPr>
              <w:t>+</w:t>
            </w:r>
            <w:r w:rsidR="00E208DA" w:rsidRPr="00BC2272">
              <w:rPr>
                <w:color w:val="000000"/>
                <w:lang w:val="en-US"/>
              </w:rPr>
              <w:t>11%</w:t>
            </w:r>
          </w:p>
        </w:tc>
      </w:tr>
      <w:tr w:rsidR="00290B13" w14:paraId="1B0672A4" w14:textId="77777777" w:rsidTr="00CD73A6">
        <w:trPr>
          <w:trHeight w:val="567"/>
        </w:trPr>
        <w:tc>
          <w:tcPr>
            <w:tcW w:w="1186" w:type="dxa"/>
            <w:tcBorders>
              <w:bottom w:val="single" w:sz="4" w:space="0" w:color="000000"/>
            </w:tcBorders>
            <w:vAlign w:val="center"/>
          </w:tcPr>
          <w:p w14:paraId="5B68AC4E" w14:textId="0B738D02" w:rsidR="00E208DA" w:rsidRPr="00BC2272" w:rsidRDefault="00E208DA" w:rsidP="00E208DA">
            <w:pPr>
              <w:snapToGrid w:val="0"/>
              <w:spacing w:before="60" w:after="60"/>
              <w:jc w:val="center"/>
              <w:rPr>
                <w:color w:val="000000"/>
              </w:rPr>
            </w:pPr>
            <w:r w:rsidRPr="00BC2272">
              <w:rPr>
                <w:color w:val="000000"/>
              </w:rPr>
              <w:t>RCFC2-2</w:t>
            </w:r>
          </w:p>
        </w:tc>
        <w:tc>
          <w:tcPr>
            <w:tcW w:w="1466" w:type="dxa"/>
            <w:tcBorders>
              <w:bottom w:val="single" w:sz="4" w:space="0" w:color="000000"/>
            </w:tcBorders>
            <w:vAlign w:val="center"/>
          </w:tcPr>
          <w:p w14:paraId="59A700C8" w14:textId="6D3183C5" w:rsidR="00E208DA" w:rsidRPr="00BC2272" w:rsidRDefault="00E208DA" w:rsidP="00E208DA">
            <w:pPr>
              <w:snapToGrid w:val="0"/>
              <w:spacing w:before="60" w:after="60"/>
              <w:jc w:val="left"/>
              <w:rPr>
                <w:color w:val="000000"/>
              </w:rPr>
            </w:pPr>
            <w:r w:rsidRPr="00BC2272">
              <w:rPr>
                <w:color w:val="000000"/>
              </w:rPr>
              <w:t>Remote</w:t>
            </w:r>
          </w:p>
        </w:tc>
        <w:tc>
          <w:tcPr>
            <w:tcW w:w="2101" w:type="dxa"/>
            <w:tcBorders>
              <w:bottom w:val="single" w:sz="4" w:space="0" w:color="000000"/>
            </w:tcBorders>
            <w:vAlign w:val="center"/>
          </w:tcPr>
          <w:p w14:paraId="76D5D2CB" w14:textId="047F750A" w:rsidR="00E208DA" w:rsidRPr="00BC2272" w:rsidRDefault="00E208DA" w:rsidP="00E208DA">
            <w:pPr>
              <w:snapToGrid w:val="0"/>
              <w:spacing w:before="60" w:after="60"/>
              <w:jc w:val="left"/>
              <w:rPr>
                <w:color w:val="000000"/>
              </w:rPr>
            </w:pPr>
            <w:r w:rsidRPr="00BC2272">
              <w:rPr>
                <w:color w:val="000000"/>
              </w:rPr>
              <w:t>Walk-in cool</w:t>
            </w:r>
            <w:r w:rsidR="001E68A3">
              <w:rPr>
                <w:color w:val="000000"/>
              </w:rPr>
              <w:t xml:space="preserve"> </w:t>
            </w:r>
            <w:r w:rsidRPr="00BC2272">
              <w:rPr>
                <w:color w:val="000000"/>
              </w:rPr>
              <w:t>rooms: large</w:t>
            </w:r>
            <w:r w:rsidR="001D33D8" w:rsidRPr="00BC2272">
              <w:rPr>
                <w:color w:val="000000"/>
              </w:rPr>
              <w:t xml:space="preserve"> (incl. warehouse)</w:t>
            </w:r>
          </w:p>
        </w:tc>
        <w:tc>
          <w:tcPr>
            <w:tcW w:w="1233" w:type="dxa"/>
            <w:tcBorders>
              <w:bottom w:val="single" w:sz="4" w:space="0" w:color="000000"/>
            </w:tcBorders>
            <w:vAlign w:val="center"/>
          </w:tcPr>
          <w:p w14:paraId="0404A34C" w14:textId="49B60166" w:rsidR="00E208DA" w:rsidRPr="00BC2272" w:rsidRDefault="00E208DA" w:rsidP="00E208DA">
            <w:pPr>
              <w:snapToGrid w:val="0"/>
              <w:spacing w:before="60" w:after="60"/>
              <w:jc w:val="center"/>
              <w:rPr>
                <w:color w:val="000000"/>
              </w:rPr>
            </w:pPr>
            <w:r w:rsidRPr="00BC2272">
              <w:rPr>
                <w:color w:val="000000"/>
                <w:lang w:val="en-US"/>
              </w:rPr>
              <w:t xml:space="preserve">12,200 </w:t>
            </w:r>
            <w:r w:rsidRPr="00BC2272">
              <w:rPr>
                <w:color w:val="000000"/>
                <w:vertAlign w:val="superscript"/>
                <w:lang w:val="en-US"/>
              </w:rPr>
              <w:t>(6)</w:t>
            </w:r>
          </w:p>
        </w:tc>
        <w:tc>
          <w:tcPr>
            <w:tcW w:w="1177" w:type="dxa"/>
            <w:tcBorders>
              <w:bottom w:val="single" w:sz="4" w:space="0" w:color="000000"/>
            </w:tcBorders>
            <w:vAlign w:val="center"/>
          </w:tcPr>
          <w:p w14:paraId="4271A94B" w14:textId="5C2A1FB1" w:rsidR="00E208DA" w:rsidRPr="00BC2272" w:rsidRDefault="001D33D8" w:rsidP="00E208DA">
            <w:pPr>
              <w:snapToGrid w:val="0"/>
              <w:spacing w:before="60" w:after="60"/>
              <w:jc w:val="center"/>
              <w:rPr>
                <w:color w:val="000000"/>
                <w:lang w:val="en-US"/>
              </w:rPr>
            </w:pPr>
            <w:r w:rsidRPr="00BC2272">
              <w:rPr>
                <w:color w:val="000000"/>
                <w:lang w:val="en-US"/>
              </w:rPr>
              <w:t>16,500</w:t>
            </w:r>
          </w:p>
        </w:tc>
        <w:tc>
          <w:tcPr>
            <w:tcW w:w="1176" w:type="dxa"/>
            <w:tcBorders>
              <w:bottom w:val="single" w:sz="4" w:space="0" w:color="000000"/>
            </w:tcBorders>
            <w:vAlign w:val="center"/>
          </w:tcPr>
          <w:p w14:paraId="40F93D4D" w14:textId="39B11D39" w:rsidR="00E208DA" w:rsidRPr="00BC2272" w:rsidRDefault="001D33D8" w:rsidP="00E208DA">
            <w:pPr>
              <w:snapToGrid w:val="0"/>
              <w:spacing w:before="60" w:after="60"/>
              <w:jc w:val="center"/>
              <w:rPr>
                <w:color w:val="000000"/>
              </w:rPr>
            </w:pPr>
            <w:r w:rsidRPr="00BC2272">
              <w:rPr>
                <w:color w:val="000000"/>
                <w:lang w:val="en-US"/>
              </w:rPr>
              <w:t>19,650</w:t>
            </w:r>
          </w:p>
        </w:tc>
        <w:tc>
          <w:tcPr>
            <w:tcW w:w="1153" w:type="dxa"/>
            <w:tcBorders>
              <w:bottom w:val="single" w:sz="4" w:space="0" w:color="000000"/>
            </w:tcBorders>
            <w:vAlign w:val="center"/>
          </w:tcPr>
          <w:p w14:paraId="34B190A2" w14:textId="4DC541B9" w:rsidR="00E208DA" w:rsidRPr="00BC2272" w:rsidRDefault="006338AA" w:rsidP="00E208DA">
            <w:pPr>
              <w:snapToGrid w:val="0"/>
              <w:spacing w:before="60" w:after="60"/>
              <w:jc w:val="center"/>
              <w:rPr>
                <w:color w:val="000000"/>
              </w:rPr>
            </w:pPr>
            <w:r w:rsidRPr="00BC2272">
              <w:rPr>
                <w:color w:val="000000"/>
                <w:lang w:val="en-US"/>
              </w:rPr>
              <w:t>+</w:t>
            </w:r>
            <w:r w:rsidR="00E208DA" w:rsidRPr="00BC2272">
              <w:rPr>
                <w:color w:val="000000"/>
                <w:lang w:val="en-US"/>
              </w:rPr>
              <w:t>1</w:t>
            </w:r>
            <w:r w:rsidR="001D33D8" w:rsidRPr="00BC2272">
              <w:rPr>
                <w:color w:val="000000"/>
                <w:lang w:val="en-US"/>
              </w:rPr>
              <w:t>9</w:t>
            </w:r>
            <w:r w:rsidR="00E208DA" w:rsidRPr="00BC2272">
              <w:rPr>
                <w:color w:val="000000"/>
                <w:lang w:val="en-US"/>
              </w:rPr>
              <w:t>%</w:t>
            </w:r>
          </w:p>
        </w:tc>
      </w:tr>
      <w:tr w:rsidR="00290B13" w14:paraId="65482E0B" w14:textId="77777777" w:rsidTr="00CD73A6">
        <w:trPr>
          <w:trHeight w:val="567"/>
        </w:trPr>
        <w:tc>
          <w:tcPr>
            <w:tcW w:w="1186" w:type="dxa"/>
            <w:tcBorders>
              <w:bottom w:val="single" w:sz="4" w:space="0" w:color="000000"/>
            </w:tcBorders>
            <w:shd w:val="clear" w:color="auto" w:fill="C6D9F1" w:themeFill="text2" w:themeFillTint="33"/>
            <w:vAlign w:val="center"/>
          </w:tcPr>
          <w:p w14:paraId="2B121A6B" w14:textId="5C473592" w:rsidR="00E208DA" w:rsidRPr="00BC2272" w:rsidRDefault="00E208DA" w:rsidP="00E208DA">
            <w:pPr>
              <w:snapToGrid w:val="0"/>
              <w:spacing w:before="60" w:after="60"/>
              <w:jc w:val="center"/>
              <w:rPr>
                <w:color w:val="000000"/>
              </w:rPr>
            </w:pPr>
            <w:r w:rsidRPr="00BC2272">
              <w:rPr>
                <w:color w:val="000000"/>
              </w:rPr>
              <w:t>RCFC2-3</w:t>
            </w:r>
          </w:p>
        </w:tc>
        <w:tc>
          <w:tcPr>
            <w:tcW w:w="1466" w:type="dxa"/>
            <w:tcBorders>
              <w:bottom w:val="single" w:sz="4" w:space="0" w:color="000000"/>
            </w:tcBorders>
            <w:shd w:val="clear" w:color="auto" w:fill="C6D9F1" w:themeFill="text2" w:themeFillTint="33"/>
            <w:vAlign w:val="center"/>
          </w:tcPr>
          <w:p w14:paraId="708C553B" w14:textId="1F990E16" w:rsidR="00E208DA" w:rsidRPr="00BC2272" w:rsidRDefault="00E208DA" w:rsidP="00E208DA">
            <w:pPr>
              <w:snapToGrid w:val="0"/>
              <w:spacing w:before="60" w:after="60"/>
              <w:jc w:val="left"/>
              <w:rPr>
                <w:color w:val="000000"/>
              </w:rPr>
            </w:pPr>
            <w:r w:rsidRPr="00BC2272">
              <w:rPr>
                <w:color w:val="000000"/>
              </w:rPr>
              <w:t>Remote</w:t>
            </w:r>
          </w:p>
        </w:tc>
        <w:tc>
          <w:tcPr>
            <w:tcW w:w="2101" w:type="dxa"/>
            <w:tcBorders>
              <w:bottom w:val="single" w:sz="4" w:space="0" w:color="000000"/>
            </w:tcBorders>
            <w:shd w:val="clear" w:color="auto" w:fill="C6D9F1" w:themeFill="text2" w:themeFillTint="33"/>
            <w:vAlign w:val="center"/>
          </w:tcPr>
          <w:p w14:paraId="52AEBAE2" w14:textId="0B85F406" w:rsidR="00E208DA" w:rsidRPr="00BC2272" w:rsidRDefault="00E208DA" w:rsidP="00E208DA">
            <w:pPr>
              <w:snapToGrid w:val="0"/>
              <w:spacing w:before="60" w:after="60"/>
              <w:jc w:val="left"/>
              <w:rPr>
                <w:color w:val="000000"/>
              </w:rPr>
            </w:pPr>
            <w:r w:rsidRPr="00BC2272">
              <w:rPr>
                <w:color w:val="000000"/>
              </w:rPr>
              <w:t>Refrigeration cabinets: remote</w:t>
            </w:r>
          </w:p>
        </w:tc>
        <w:tc>
          <w:tcPr>
            <w:tcW w:w="1233" w:type="dxa"/>
            <w:shd w:val="clear" w:color="auto" w:fill="C6D9F1" w:themeFill="text2" w:themeFillTint="33"/>
            <w:vAlign w:val="center"/>
          </w:tcPr>
          <w:p w14:paraId="14445316" w14:textId="52ACCD8C" w:rsidR="00E208DA" w:rsidRPr="00BC2272" w:rsidRDefault="00E208DA" w:rsidP="00E208DA">
            <w:pPr>
              <w:snapToGrid w:val="0"/>
              <w:spacing w:before="60" w:after="60"/>
              <w:jc w:val="center"/>
              <w:rPr>
                <w:color w:val="000000"/>
              </w:rPr>
            </w:pPr>
            <w:r w:rsidRPr="00BC2272">
              <w:rPr>
                <w:color w:val="000000"/>
                <w:lang w:val="en-US"/>
              </w:rPr>
              <w:t> </w:t>
            </w:r>
            <w:r w:rsidR="00A8331B" w:rsidRPr="00BC2272">
              <w:rPr>
                <w:color w:val="000000"/>
                <w:lang w:val="en-US"/>
              </w:rPr>
              <w:t>-</w:t>
            </w:r>
          </w:p>
        </w:tc>
        <w:tc>
          <w:tcPr>
            <w:tcW w:w="1177" w:type="dxa"/>
            <w:shd w:val="clear" w:color="auto" w:fill="C6D9F1" w:themeFill="text2" w:themeFillTint="33"/>
            <w:vAlign w:val="center"/>
          </w:tcPr>
          <w:p w14:paraId="30A7DBE6" w14:textId="27807F01" w:rsidR="00E208DA" w:rsidRPr="00BC2272" w:rsidRDefault="00E208DA" w:rsidP="00E208DA">
            <w:pPr>
              <w:snapToGrid w:val="0"/>
              <w:spacing w:before="60" w:after="60"/>
              <w:jc w:val="center"/>
              <w:rPr>
                <w:color w:val="000000"/>
                <w:lang w:val="en-US"/>
              </w:rPr>
            </w:pPr>
            <w:r w:rsidRPr="00BC2272">
              <w:rPr>
                <w:color w:val="000000"/>
                <w:lang w:val="en-US"/>
              </w:rPr>
              <w:t xml:space="preserve">13,600 </w:t>
            </w:r>
            <w:r w:rsidRPr="00BC2272">
              <w:rPr>
                <w:color w:val="000000"/>
                <w:vertAlign w:val="superscript"/>
                <w:lang w:val="en-US"/>
              </w:rPr>
              <w:t>(7)</w:t>
            </w:r>
          </w:p>
        </w:tc>
        <w:tc>
          <w:tcPr>
            <w:tcW w:w="1176" w:type="dxa"/>
            <w:shd w:val="clear" w:color="auto" w:fill="C6D9F1" w:themeFill="text2" w:themeFillTint="33"/>
            <w:vAlign w:val="center"/>
          </w:tcPr>
          <w:p w14:paraId="1C342473" w14:textId="189F8CE0" w:rsidR="00E208DA" w:rsidRPr="00BC2272" w:rsidRDefault="00E208DA" w:rsidP="00E208DA">
            <w:pPr>
              <w:snapToGrid w:val="0"/>
              <w:spacing w:before="60" w:after="60"/>
              <w:jc w:val="center"/>
              <w:rPr>
                <w:color w:val="000000"/>
              </w:rPr>
            </w:pPr>
            <w:r w:rsidRPr="00BC2272">
              <w:rPr>
                <w:color w:val="000000"/>
                <w:lang w:val="en-US"/>
              </w:rPr>
              <w:t>13,500</w:t>
            </w:r>
          </w:p>
        </w:tc>
        <w:tc>
          <w:tcPr>
            <w:tcW w:w="1153" w:type="dxa"/>
            <w:shd w:val="clear" w:color="auto" w:fill="C6D9F1" w:themeFill="text2" w:themeFillTint="33"/>
            <w:vAlign w:val="center"/>
          </w:tcPr>
          <w:p w14:paraId="1766FEC3" w14:textId="34CBB89D" w:rsidR="00E208DA" w:rsidRPr="00BC2272" w:rsidRDefault="00E208DA" w:rsidP="00E208DA">
            <w:pPr>
              <w:snapToGrid w:val="0"/>
              <w:spacing w:before="60" w:after="60"/>
              <w:jc w:val="center"/>
              <w:rPr>
                <w:color w:val="000000"/>
              </w:rPr>
            </w:pPr>
            <w:r w:rsidRPr="00BC2272">
              <w:rPr>
                <w:color w:val="000000"/>
                <w:lang w:val="en-US"/>
              </w:rPr>
              <w:t>-</w:t>
            </w:r>
            <w:r w:rsidR="00A8331B" w:rsidRPr="00BC2272">
              <w:rPr>
                <w:color w:val="000000"/>
                <w:lang w:val="en-US"/>
              </w:rPr>
              <w:t>1</w:t>
            </w:r>
            <w:r w:rsidRPr="00BC2272">
              <w:rPr>
                <w:color w:val="000000"/>
                <w:lang w:val="en-US"/>
              </w:rPr>
              <w:t>%</w:t>
            </w:r>
          </w:p>
        </w:tc>
      </w:tr>
      <w:tr w:rsidR="00290B13" w14:paraId="05DCA68F" w14:textId="77777777" w:rsidTr="00D8549E">
        <w:trPr>
          <w:trHeight w:val="567"/>
        </w:trPr>
        <w:tc>
          <w:tcPr>
            <w:tcW w:w="1186" w:type="dxa"/>
            <w:tcBorders>
              <w:bottom w:val="single" w:sz="4" w:space="0" w:color="000000"/>
            </w:tcBorders>
            <w:vAlign w:val="center"/>
          </w:tcPr>
          <w:p w14:paraId="5D4FEEE7" w14:textId="31492334" w:rsidR="00E208DA" w:rsidRPr="00BC2272" w:rsidRDefault="00E208DA" w:rsidP="00E208DA">
            <w:pPr>
              <w:snapToGrid w:val="0"/>
              <w:spacing w:before="60" w:after="60"/>
              <w:jc w:val="center"/>
              <w:rPr>
                <w:color w:val="000000"/>
              </w:rPr>
            </w:pPr>
            <w:r w:rsidRPr="00BC2272">
              <w:rPr>
                <w:color w:val="000000"/>
              </w:rPr>
              <w:t>RCFC2-4</w:t>
            </w:r>
          </w:p>
        </w:tc>
        <w:tc>
          <w:tcPr>
            <w:tcW w:w="1466" w:type="dxa"/>
            <w:tcBorders>
              <w:bottom w:val="single" w:sz="4" w:space="0" w:color="000000"/>
            </w:tcBorders>
            <w:vAlign w:val="center"/>
          </w:tcPr>
          <w:p w14:paraId="5E8CF1CD" w14:textId="4DBE1CA9" w:rsidR="00E208DA" w:rsidRPr="00BC2272" w:rsidRDefault="00E208DA" w:rsidP="00E208DA">
            <w:pPr>
              <w:snapToGrid w:val="0"/>
              <w:spacing w:before="60" w:after="60"/>
              <w:jc w:val="left"/>
              <w:rPr>
                <w:color w:val="000000"/>
              </w:rPr>
            </w:pPr>
            <w:r w:rsidRPr="00BC2272">
              <w:rPr>
                <w:color w:val="000000"/>
              </w:rPr>
              <w:t>Remote</w:t>
            </w:r>
          </w:p>
        </w:tc>
        <w:tc>
          <w:tcPr>
            <w:tcW w:w="2101" w:type="dxa"/>
            <w:tcBorders>
              <w:bottom w:val="single" w:sz="4" w:space="0" w:color="000000"/>
            </w:tcBorders>
            <w:vAlign w:val="center"/>
          </w:tcPr>
          <w:p w14:paraId="6025362A" w14:textId="2CEF3F75" w:rsidR="00E208DA" w:rsidRPr="00BC2272" w:rsidRDefault="00E208DA" w:rsidP="00E208DA">
            <w:pPr>
              <w:snapToGrid w:val="0"/>
              <w:spacing w:before="60" w:after="60"/>
              <w:jc w:val="left"/>
              <w:rPr>
                <w:color w:val="000000"/>
              </w:rPr>
            </w:pPr>
            <w:r w:rsidRPr="00BC2272">
              <w:rPr>
                <w:color w:val="000000"/>
              </w:rPr>
              <w:t>Beverage cooling (beer)</w:t>
            </w:r>
          </w:p>
        </w:tc>
        <w:tc>
          <w:tcPr>
            <w:tcW w:w="1233" w:type="dxa"/>
            <w:vAlign w:val="center"/>
          </w:tcPr>
          <w:p w14:paraId="0E9BCA4B" w14:textId="5C13BC86" w:rsidR="00E208DA" w:rsidRPr="00BC2272" w:rsidRDefault="00E208DA" w:rsidP="00E208DA">
            <w:pPr>
              <w:snapToGrid w:val="0"/>
              <w:spacing w:before="60" w:after="60"/>
              <w:jc w:val="center"/>
              <w:rPr>
                <w:color w:val="000000"/>
              </w:rPr>
            </w:pPr>
            <w:r w:rsidRPr="00BC2272">
              <w:rPr>
                <w:color w:val="000000"/>
                <w:lang w:val="en-US"/>
              </w:rPr>
              <w:t>12,200</w:t>
            </w:r>
          </w:p>
        </w:tc>
        <w:tc>
          <w:tcPr>
            <w:tcW w:w="1177" w:type="dxa"/>
            <w:vAlign w:val="center"/>
          </w:tcPr>
          <w:p w14:paraId="0792AB72" w14:textId="1F4F38C3" w:rsidR="00E208DA" w:rsidRPr="00BC2272" w:rsidRDefault="00E208DA" w:rsidP="00E208DA">
            <w:pPr>
              <w:snapToGrid w:val="0"/>
              <w:spacing w:before="60" w:after="60"/>
              <w:jc w:val="center"/>
              <w:rPr>
                <w:color w:val="000000"/>
                <w:lang w:val="en-US"/>
              </w:rPr>
            </w:pPr>
            <w:r w:rsidRPr="00BC2272">
              <w:rPr>
                <w:color w:val="000000"/>
                <w:lang w:val="en-US"/>
              </w:rPr>
              <w:t> </w:t>
            </w:r>
            <w:r w:rsidR="00A8331B" w:rsidRPr="00BC2272">
              <w:rPr>
                <w:color w:val="000000"/>
                <w:lang w:val="en-US"/>
              </w:rPr>
              <w:t>12,200</w:t>
            </w:r>
          </w:p>
        </w:tc>
        <w:tc>
          <w:tcPr>
            <w:tcW w:w="1176" w:type="dxa"/>
            <w:vAlign w:val="center"/>
          </w:tcPr>
          <w:p w14:paraId="09AC5B58" w14:textId="3215D353" w:rsidR="00E208DA" w:rsidRPr="00BC2272" w:rsidRDefault="00E208DA" w:rsidP="00E208DA">
            <w:pPr>
              <w:snapToGrid w:val="0"/>
              <w:spacing w:before="60" w:after="60"/>
              <w:jc w:val="center"/>
              <w:rPr>
                <w:color w:val="000000"/>
              </w:rPr>
            </w:pPr>
            <w:r w:rsidRPr="00BC2272">
              <w:rPr>
                <w:color w:val="000000"/>
                <w:lang w:val="en-US"/>
              </w:rPr>
              <w:t>10,200</w:t>
            </w:r>
          </w:p>
        </w:tc>
        <w:tc>
          <w:tcPr>
            <w:tcW w:w="1153" w:type="dxa"/>
            <w:vAlign w:val="center"/>
          </w:tcPr>
          <w:p w14:paraId="3438E602" w14:textId="737EAD7E" w:rsidR="00E208DA" w:rsidRPr="00BC2272" w:rsidRDefault="00E208DA" w:rsidP="00E208DA">
            <w:pPr>
              <w:snapToGrid w:val="0"/>
              <w:spacing w:before="60" w:after="60"/>
              <w:jc w:val="center"/>
              <w:rPr>
                <w:color w:val="000000"/>
              </w:rPr>
            </w:pPr>
            <w:r w:rsidRPr="00BC2272">
              <w:rPr>
                <w:color w:val="000000"/>
                <w:lang w:val="en-US"/>
              </w:rPr>
              <w:t>-1</w:t>
            </w:r>
            <w:r w:rsidR="00A8331B" w:rsidRPr="00BC2272">
              <w:rPr>
                <w:color w:val="000000"/>
                <w:lang w:val="en-US"/>
              </w:rPr>
              <w:t>8</w:t>
            </w:r>
            <w:r w:rsidRPr="00BC2272">
              <w:rPr>
                <w:color w:val="000000"/>
                <w:lang w:val="en-US"/>
              </w:rPr>
              <w:t>%</w:t>
            </w:r>
          </w:p>
        </w:tc>
      </w:tr>
      <w:tr w:rsidR="00290B13" w14:paraId="658FBDA5" w14:textId="77777777" w:rsidTr="00D8549E">
        <w:trPr>
          <w:trHeight w:val="567"/>
        </w:trPr>
        <w:tc>
          <w:tcPr>
            <w:tcW w:w="1186" w:type="dxa"/>
            <w:tcBorders>
              <w:bottom w:val="single" w:sz="4" w:space="0" w:color="000000"/>
            </w:tcBorders>
            <w:vAlign w:val="center"/>
          </w:tcPr>
          <w:p w14:paraId="49B2C3C2" w14:textId="4CA6503F" w:rsidR="00E208DA" w:rsidRPr="00BC2272" w:rsidRDefault="00E208DA" w:rsidP="00E208DA">
            <w:pPr>
              <w:snapToGrid w:val="0"/>
              <w:spacing w:before="60" w:after="60"/>
              <w:jc w:val="center"/>
              <w:rPr>
                <w:color w:val="000000"/>
              </w:rPr>
            </w:pPr>
            <w:r w:rsidRPr="00BC2272">
              <w:rPr>
                <w:color w:val="000000"/>
              </w:rPr>
              <w:t>RCFC2-5</w:t>
            </w:r>
          </w:p>
        </w:tc>
        <w:tc>
          <w:tcPr>
            <w:tcW w:w="1466" w:type="dxa"/>
            <w:tcBorders>
              <w:bottom w:val="single" w:sz="4" w:space="0" w:color="000000"/>
            </w:tcBorders>
            <w:vAlign w:val="center"/>
          </w:tcPr>
          <w:p w14:paraId="6A0CB5FA" w14:textId="115E61DA" w:rsidR="00E208DA" w:rsidRPr="00BC2272" w:rsidRDefault="00E208DA" w:rsidP="00E208DA">
            <w:pPr>
              <w:snapToGrid w:val="0"/>
              <w:spacing w:before="60" w:after="60"/>
              <w:jc w:val="left"/>
              <w:rPr>
                <w:color w:val="000000"/>
              </w:rPr>
            </w:pPr>
            <w:r w:rsidRPr="00BC2272">
              <w:rPr>
                <w:color w:val="000000"/>
              </w:rPr>
              <w:t>Remote</w:t>
            </w:r>
          </w:p>
        </w:tc>
        <w:tc>
          <w:tcPr>
            <w:tcW w:w="2101" w:type="dxa"/>
            <w:tcBorders>
              <w:bottom w:val="single" w:sz="4" w:space="0" w:color="000000"/>
            </w:tcBorders>
            <w:vAlign w:val="center"/>
          </w:tcPr>
          <w:p w14:paraId="04AE231F" w14:textId="71622499" w:rsidR="00E208DA" w:rsidRPr="00BC2272" w:rsidRDefault="00E208DA" w:rsidP="00E208DA">
            <w:pPr>
              <w:snapToGrid w:val="0"/>
              <w:spacing w:before="60" w:after="60"/>
              <w:jc w:val="left"/>
              <w:rPr>
                <w:color w:val="000000"/>
              </w:rPr>
            </w:pPr>
            <w:r w:rsidRPr="00BC2272">
              <w:rPr>
                <w:color w:val="000000"/>
              </w:rPr>
              <w:t>Milk vat refrigeration (direct expansion)</w:t>
            </w:r>
          </w:p>
        </w:tc>
        <w:tc>
          <w:tcPr>
            <w:tcW w:w="1233" w:type="dxa"/>
            <w:vAlign w:val="center"/>
          </w:tcPr>
          <w:p w14:paraId="278613EF" w14:textId="66AAAA77" w:rsidR="00E208DA" w:rsidRPr="00BC2272" w:rsidRDefault="00E208DA" w:rsidP="00E208DA">
            <w:pPr>
              <w:snapToGrid w:val="0"/>
              <w:spacing w:before="60" w:after="60"/>
              <w:jc w:val="center"/>
              <w:rPr>
                <w:color w:val="000000"/>
              </w:rPr>
            </w:pPr>
            <w:r w:rsidRPr="00BC2272">
              <w:rPr>
                <w:color w:val="000000"/>
                <w:lang w:val="en-US"/>
              </w:rPr>
              <w:t>6,800</w:t>
            </w:r>
          </w:p>
        </w:tc>
        <w:tc>
          <w:tcPr>
            <w:tcW w:w="1177" w:type="dxa"/>
            <w:vAlign w:val="center"/>
          </w:tcPr>
          <w:p w14:paraId="2DA82391" w14:textId="43B60BE0" w:rsidR="00E208DA" w:rsidRPr="00BC2272" w:rsidRDefault="00A8331B" w:rsidP="00E208DA">
            <w:pPr>
              <w:snapToGrid w:val="0"/>
              <w:spacing w:before="60" w:after="60"/>
              <w:jc w:val="center"/>
              <w:rPr>
                <w:color w:val="000000"/>
                <w:lang w:val="en-US"/>
              </w:rPr>
            </w:pPr>
            <w:r w:rsidRPr="00BC2272">
              <w:rPr>
                <w:color w:val="000000"/>
                <w:lang w:val="en-US"/>
              </w:rPr>
              <w:t>6,800</w:t>
            </w:r>
          </w:p>
        </w:tc>
        <w:tc>
          <w:tcPr>
            <w:tcW w:w="1176" w:type="dxa"/>
            <w:vAlign w:val="center"/>
          </w:tcPr>
          <w:p w14:paraId="5DB79017" w14:textId="12AE7D8D" w:rsidR="00E208DA" w:rsidRPr="00BC2272" w:rsidRDefault="00E208DA" w:rsidP="00E208DA">
            <w:pPr>
              <w:snapToGrid w:val="0"/>
              <w:spacing w:before="60" w:after="60"/>
              <w:jc w:val="center"/>
              <w:rPr>
                <w:color w:val="000000"/>
              </w:rPr>
            </w:pPr>
            <w:r w:rsidRPr="00BC2272">
              <w:rPr>
                <w:color w:val="000000"/>
                <w:lang w:val="en-US"/>
              </w:rPr>
              <w:t>5,600</w:t>
            </w:r>
          </w:p>
        </w:tc>
        <w:tc>
          <w:tcPr>
            <w:tcW w:w="1153" w:type="dxa"/>
            <w:vAlign w:val="center"/>
          </w:tcPr>
          <w:p w14:paraId="661F9B25" w14:textId="317F298D" w:rsidR="00E208DA" w:rsidRPr="00BC2272" w:rsidRDefault="00E208DA" w:rsidP="00E208DA">
            <w:pPr>
              <w:snapToGrid w:val="0"/>
              <w:spacing w:before="60" w:after="60"/>
              <w:jc w:val="center"/>
              <w:rPr>
                <w:color w:val="000000"/>
              </w:rPr>
            </w:pPr>
            <w:r w:rsidRPr="00BC2272">
              <w:rPr>
                <w:color w:val="000000"/>
                <w:lang w:val="en-US"/>
              </w:rPr>
              <w:t>-1</w:t>
            </w:r>
            <w:r w:rsidR="00A8331B" w:rsidRPr="00BC2272">
              <w:rPr>
                <w:color w:val="000000"/>
                <w:lang w:val="en-US"/>
              </w:rPr>
              <w:t>8</w:t>
            </w:r>
            <w:r w:rsidRPr="00BC2272">
              <w:rPr>
                <w:color w:val="000000"/>
                <w:lang w:val="en-US"/>
              </w:rPr>
              <w:t>%</w:t>
            </w:r>
          </w:p>
        </w:tc>
      </w:tr>
      <w:tr w:rsidR="00290B13" w14:paraId="4EECA819" w14:textId="77777777" w:rsidTr="00CD73A6">
        <w:trPr>
          <w:trHeight w:val="567"/>
        </w:trPr>
        <w:tc>
          <w:tcPr>
            <w:tcW w:w="1186" w:type="dxa"/>
            <w:tcBorders>
              <w:bottom w:val="single" w:sz="4" w:space="0" w:color="000000"/>
            </w:tcBorders>
            <w:vAlign w:val="center"/>
          </w:tcPr>
          <w:p w14:paraId="079BC916" w14:textId="6C353CF6" w:rsidR="00E208DA" w:rsidRPr="00BC2272" w:rsidRDefault="00E208DA" w:rsidP="00E208DA">
            <w:pPr>
              <w:snapToGrid w:val="0"/>
              <w:spacing w:before="60" w:after="60"/>
              <w:jc w:val="center"/>
              <w:rPr>
                <w:color w:val="000000"/>
              </w:rPr>
            </w:pPr>
            <w:r w:rsidRPr="00BC2272">
              <w:rPr>
                <w:color w:val="000000"/>
              </w:rPr>
              <w:t>RCFC2-6</w:t>
            </w:r>
          </w:p>
        </w:tc>
        <w:tc>
          <w:tcPr>
            <w:tcW w:w="1466" w:type="dxa"/>
            <w:tcBorders>
              <w:bottom w:val="single" w:sz="4" w:space="0" w:color="000000"/>
            </w:tcBorders>
            <w:vAlign w:val="center"/>
          </w:tcPr>
          <w:p w14:paraId="7E7E0A3C" w14:textId="6CDCB598" w:rsidR="00E208DA" w:rsidRPr="00BC2272" w:rsidRDefault="00E208DA" w:rsidP="00E208DA">
            <w:pPr>
              <w:snapToGrid w:val="0"/>
              <w:spacing w:before="60" w:after="60"/>
              <w:jc w:val="left"/>
              <w:rPr>
                <w:color w:val="000000"/>
              </w:rPr>
            </w:pPr>
            <w:r w:rsidRPr="00BC2272">
              <w:rPr>
                <w:color w:val="000000"/>
              </w:rPr>
              <w:t>Remote</w:t>
            </w:r>
          </w:p>
        </w:tc>
        <w:tc>
          <w:tcPr>
            <w:tcW w:w="2101" w:type="dxa"/>
            <w:tcBorders>
              <w:bottom w:val="single" w:sz="4" w:space="0" w:color="000000"/>
            </w:tcBorders>
            <w:vAlign w:val="center"/>
          </w:tcPr>
          <w:p w14:paraId="445B974F" w14:textId="5D22EB28" w:rsidR="00E208DA" w:rsidRPr="00BC2272" w:rsidRDefault="00E208DA" w:rsidP="00E208DA">
            <w:pPr>
              <w:snapToGrid w:val="0"/>
              <w:spacing w:before="60" w:after="60"/>
              <w:jc w:val="left"/>
              <w:rPr>
                <w:color w:val="000000"/>
              </w:rPr>
            </w:pPr>
            <w:r w:rsidRPr="00BC2272">
              <w:rPr>
                <w:color w:val="000000"/>
              </w:rPr>
              <w:t>Packaged liquid chillers (incl. milk vat)</w:t>
            </w:r>
          </w:p>
        </w:tc>
        <w:tc>
          <w:tcPr>
            <w:tcW w:w="1233" w:type="dxa"/>
            <w:tcBorders>
              <w:bottom w:val="single" w:sz="4" w:space="0" w:color="000000"/>
            </w:tcBorders>
            <w:vAlign w:val="center"/>
          </w:tcPr>
          <w:p w14:paraId="08C880C1" w14:textId="54A97AF2" w:rsidR="00E208DA" w:rsidRPr="00BC2272" w:rsidRDefault="00E208DA" w:rsidP="00E208DA">
            <w:pPr>
              <w:snapToGrid w:val="0"/>
              <w:spacing w:before="60" w:after="60"/>
              <w:jc w:val="center"/>
              <w:rPr>
                <w:color w:val="000000"/>
              </w:rPr>
            </w:pPr>
            <w:r w:rsidRPr="00BC2272">
              <w:rPr>
                <w:color w:val="000000"/>
                <w:lang w:val="en-US"/>
              </w:rPr>
              <w:t xml:space="preserve">10,000 </w:t>
            </w:r>
            <w:r w:rsidRPr="00BC2272">
              <w:rPr>
                <w:color w:val="000000"/>
                <w:vertAlign w:val="superscript"/>
                <w:lang w:val="en-US"/>
              </w:rPr>
              <w:t>(8)</w:t>
            </w:r>
          </w:p>
        </w:tc>
        <w:tc>
          <w:tcPr>
            <w:tcW w:w="1177" w:type="dxa"/>
            <w:tcBorders>
              <w:bottom w:val="single" w:sz="4" w:space="0" w:color="000000"/>
            </w:tcBorders>
            <w:vAlign w:val="center"/>
          </w:tcPr>
          <w:p w14:paraId="2C7AE70E" w14:textId="4B133CE0" w:rsidR="00E208DA" w:rsidRPr="00BC2272" w:rsidRDefault="00E208DA" w:rsidP="00E208DA">
            <w:pPr>
              <w:snapToGrid w:val="0"/>
              <w:spacing w:before="60" w:after="60"/>
              <w:jc w:val="center"/>
              <w:rPr>
                <w:color w:val="000000"/>
                <w:lang w:val="en-US"/>
              </w:rPr>
            </w:pPr>
            <w:r w:rsidRPr="00BC2272">
              <w:rPr>
                <w:color w:val="000000"/>
                <w:lang w:val="en-US"/>
              </w:rPr>
              <w:t>10,500</w:t>
            </w:r>
          </w:p>
        </w:tc>
        <w:tc>
          <w:tcPr>
            <w:tcW w:w="1176" w:type="dxa"/>
            <w:tcBorders>
              <w:bottom w:val="single" w:sz="4" w:space="0" w:color="000000"/>
            </w:tcBorders>
            <w:vAlign w:val="center"/>
          </w:tcPr>
          <w:p w14:paraId="0F00116E" w14:textId="4703989F" w:rsidR="00E208DA" w:rsidRPr="00BC2272" w:rsidRDefault="00E208DA" w:rsidP="00E208DA">
            <w:pPr>
              <w:snapToGrid w:val="0"/>
              <w:spacing w:before="60" w:after="60"/>
              <w:jc w:val="center"/>
              <w:rPr>
                <w:color w:val="000000"/>
              </w:rPr>
            </w:pPr>
            <w:r w:rsidRPr="00BC2272">
              <w:rPr>
                <w:color w:val="000000"/>
                <w:lang w:val="en-US"/>
              </w:rPr>
              <w:t>12,000</w:t>
            </w:r>
          </w:p>
        </w:tc>
        <w:tc>
          <w:tcPr>
            <w:tcW w:w="1153" w:type="dxa"/>
            <w:tcBorders>
              <w:bottom w:val="single" w:sz="4" w:space="0" w:color="000000"/>
            </w:tcBorders>
            <w:vAlign w:val="center"/>
          </w:tcPr>
          <w:p w14:paraId="10A96DF9" w14:textId="396BEF1C" w:rsidR="00E208DA" w:rsidRPr="00BC2272" w:rsidRDefault="006338AA" w:rsidP="00E208DA">
            <w:pPr>
              <w:snapToGrid w:val="0"/>
              <w:spacing w:before="60" w:after="60"/>
              <w:jc w:val="center"/>
              <w:rPr>
                <w:color w:val="000000"/>
              </w:rPr>
            </w:pPr>
            <w:r w:rsidRPr="00BC2272">
              <w:rPr>
                <w:color w:val="000000"/>
                <w:lang w:val="en-US"/>
              </w:rPr>
              <w:t>+</w:t>
            </w:r>
            <w:r w:rsidR="00E208DA" w:rsidRPr="00BC2272">
              <w:rPr>
                <w:color w:val="000000"/>
                <w:lang w:val="en-US"/>
              </w:rPr>
              <w:t>14%</w:t>
            </w:r>
          </w:p>
        </w:tc>
      </w:tr>
      <w:tr w:rsidR="00290B13" w14:paraId="7D83506D" w14:textId="77777777" w:rsidTr="00CD73A6">
        <w:trPr>
          <w:trHeight w:val="567"/>
        </w:trPr>
        <w:tc>
          <w:tcPr>
            <w:tcW w:w="1186" w:type="dxa"/>
            <w:tcBorders>
              <w:bottom w:val="single" w:sz="4" w:space="0" w:color="000000"/>
            </w:tcBorders>
            <w:shd w:val="clear" w:color="auto" w:fill="C6D9F1" w:themeFill="text2" w:themeFillTint="33"/>
            <w:vAlign w:val="center"/>
          </w:tcPr>
          <w:p w14:paraId="6B12A969" w14:textId="65800D53" w:rsidR="00E208DA" w:rsidRPr="00BC2272" w:rsidRDefault="00E208DA" w:rsidP="00E208DA">
            <w:pPr>
              <w:snapToGrid w:val="0"/>
              <w:spacing w:before="60" w:after="60"/>
              <w:jc w:val="center"/>
              <w:rPr>
                <w:color w:val="000000"/>
              </w:rPr>
            </w:pPr>
            <w:r w:rsidRPr="00BC2272">
              <w:rPr>
                <w:color w:val="000000"/>
              </w:rPr>
              <w:lastRenderedPageBreak/>
              <w:t>RCFC2-7</w:t>
            </w:r>
          </w:p>
        </w:tc>
        <w:tc>
          <w:tcPr>
            <w:tcW w:w="1466" w:type="dxa"/>
            <w:tcBorders>
              <w:bottom w:val="single" w:sz="4" w:space="0" w:color="000000"/>
            </w:tcBorders>
            <w:shd w:val="clear" w:color="auto" w:fill="C6D9F1" w:themeFill="text2" w:themeFillTint="33"/>
            <w:vAlign w:val="center"/>
          </w:tcPr>
          <w:p w14:paraId="45FA2086" w14:textId="6A2F7A68" w:rsidR="00E208DA" w:rsidRPr="00BC2272" w:rsidRDefault="00E208DA" w:rsidP="00E208DA">
            <w:pPr>
              <w:snapToGrid w:val="0"/>
              <w:spacing w:before="60" w:after="60"/>
              <w:jc w:val="left"/>
              <w:rPr>
                <w:color w:val="000000"/>
              </w:rPr>
            </w:pPr>
            <w:r w:rsidRPr="00BC2272">
              <w:rPr>
                <w:color w:val="000000"/>
              </w:rPr>
              <w:t>Remote</w:t>
            </w:r>
          </w:p>
        </w:tc>
        <w:tc>
          <w:tcPr>
            <w:tcW w:w="2101" w:type="dxa"/>
            <w:tcBorders>
              <w:bottom w:val="single" w:sz="4" w:space="0" w:color="000000"/>
            </w:tcBorders>
            <w:shd w:val="clear" w:color="auto" w:fill="C6D9F1" w:themeFill="text2" w:themeFillTint="33"/>
            <w:vAlign w:val="center"/>
          </w:tcPr>
          <w:p w14:paraId="27BE866E" w14:textId="1FA434D3" w:rsidR="00E208DA" w:rsidRPr="00BC2272" w:rsidRDefault="00E208DA" w:rsidP="00E208DA">
            <w:pPr>
              <w:snapToGrid w:val="0"/>
              <w:spacing w:before="60" w:after="60"/>
              <w:jc w:val="left"/>
              <w:rPr>
                <w:color w:val="000000"/>
              </w:rPr>
            </w:pPr>
            <w:r w:rsidRPr="00BC2272">
              <w:rPr>
                <w:color w:val="000000"/>
              </w:rPr>
              <w:t>Process, and mfg. refrigeration (&lt;40 kWr)</w:t>
            </w:r>
          </w:p>
        </w:tc>
        <w:tc>
          <w:tcPr>
            <w:tcW w:w="1233" w:type="dxa"/>
            <w:shd w:val="clear" w:color="auto" w:fill="C6D9F1" w:themeFill="text2" w:themeFillTint="33"/>
            <w:vAlign w:val="center"/>
          </w:tcPr>
          <w:p w14:paraId="5337E3F4" w14:textId="3291982C" w:rsidR="00E208DA" w:rsidRPr="00BC2272" w:rsidRDefault="00A8331B" w:rsidP="00E208DA">
            <w:pPr>
              <w:snapToGrid w:val="0"/>
              <w:spacing w:before="60" w:after="60"/>
              <w:jc w:val="center"/>
              <w:rPr>
                <w:color w:val="000000"/>
              </w:rPr>
            </w:pPr>
            <w:r w:rsidRPr="00BC2272">
              <w:rPr>
                <w:color w:val="000000"/>
                <w:lang w:val="en-US"/>
              </w:rPr>
              <w:t>-</w:t>
            </w:r>
            <w:r w:rsidR="00E208DA" w:rsidRPr="00BC2272">
              <w:rPr>
                <w:color w:val="000000"/>
                <w:lang w:val="en-US"/>
              </w:rPr>
              <w:t> </w:t>
            </w:r>
          </w:p>
        </w:tc>
        <w:tc>
          <w:tcPr>
            <w:tcW w:w="1177" w:type="dxa"/>
            <w:shd w:val="clear" w:color="auto" w:fill="C6D9F1" w:themeFill="text2" w:themeFillTint="33"/>
            <w:vAlign w:val="center"/>
          </w:tcPr>
          <w:p w14:paraId="27025C63" w14:textId="167AB574" w:rsidR="00E208DA" w:rsidRPr="00BC2272" w:rsidRDefault="00E208DA" w:rsidP="00E208DA">
            <w:pPr>
              <w:snapToGrid w:val="0"/>
              <w:spacing w:before="60" w:after="60"/>
              <w:jc w:val="center"/>
              <w:rPr>
                <w:color w:val="000000"/>
                <w:lang w:val="en-US"/>
              </w:rPr>
            </w:pPr>
            <w:r w:rsidRPr="00BC2272">
              <w:rPr>
                <w:color w:val="000000"/>
                <w:lang w:val="en-US"/>
              </w:rPr>
              <w:t>9,200</w:t>
            </w:r>
          </w:p>
        </w:tc>
        <w:tc>
          <w:tcPr>
            <w:tcW w:w="1176" w:type="dxa"/>
            <w:shd w:val="clear" w:color="auto" w:fill="C6D9F1" w:themeFill="text2" w:themeFillTint="33"/>
            <w:vAlign w:val="center"/>
          </w:tcPr>
          <w:p w14:paraId="2230F81C" w14:textId="45C0A7C0" w:rsidR="00E208DA" w:rsidRPr="00BC2272" w:rsidRDefault="00E208DA" w:rsidP="00E208DA">
            <w:pPr>
              <w:snapToGrid w:val="0"/>
              <w:spacing w:before="60" w:after="60"/>
              <w:jc w:val="center"/>
              <w:rPr>
                <w:color w:val="000000"/>
              </w:rPr>
            </w:pPr>
            <w:r w:rsidRPr="00BC2272">
              <w:rPr>
                <w:color w:val="000000"/>
                <w:lang w:val="en-US"/>
              </w:rPr>
              <w:t>10,200</w:t>
            </w:r>
          </w:p>
        </w:tc>
        <w:tc>
          <w:tcPr>
            <w:tcW w:w="1153" w:type="dxa"/>
            <w:shd w:val="clear" w:color="auto" w:fill="C6D9F1" w:themeFill="text2" w:themeFillTint="33"/>
            <w:vAlign w:val="center"/>
          </w:tcPr>
          <w:p w14:paraId="4BAB164C" w14:textId="7CC0CBE7" w:rsidR="00E208DA" w:rsidRPr="00BC2272" w:rsidRDefault="006338AA" w:rsidP="00E208DA">
            <w:pPr>
              <w:snapToGrid w:val="0"/>
              <w:spacing w:before="60" w:after="60"/>
              <w:jc w:val="center"/>
              <w:rPr>
                <w:color w:val="000000"/>
              </w:rPr>
            </w:pPr>
            <w:r w:rsidRPr="00BC2272">
              <w:rPr>
                <w:color w:val="000000"/>
                <w:lang w:val="en-US"/>
              </w:rPr>
              <w:t>+</w:t>
            </w:r>
            <w:r w:rsidR="00E208DA" w:rsidRPr="00BC2272">
              <w:rPr>
                <w:color w:val="000000"/>
                <w:lang w:val="en-US"/>
              </w:rPr>
              <w:t>1</w:t>
            </w:r>
            <w:r w:rsidR="00A8331B" w:rsidRPr="00BC2272">
              <w:rPr>
                <w:color w:val="000000"/>
                <w:lang w:val="en-US"/>
              </w:rPr>
              <w:t>1</w:t>
            </w:r>
            <w:r w:rsidR="00E208DA" w:rsidRPr="00BC2272">
              <w:rPr>
                <w:color w:val="000000"/>
                <w:lang w:val="en-US"/>
              </w:rPr>
              <w:t>%</w:t>
            </w:r>
          </w:p>
        </w:tc>
      </w:tr>
      <w:tr w:rsidR="00290B13" w14:paraId="47713206" w14:textId="77777777" w:rsidTr="00CD73A6">
        <w:trPr>
          <w:trHeight w:val="567"/>
        </w:trPr>
        <w:tc>
          <w:tcPr>
            <w:tcW w:w="1186" w:type="dxa"/>
            <w:tcBorders>
              <w:bottom w:val="single" w:sz="4" w:space="0" w:color="000000"/>
            </w:tcBorders>
            <w:shd w:val="clear" w:color="auto" w:fill="C6D9F1" w:themeFill="text2" w:themeFillTint="33"/>
            <w:vAlign w:val="center"/>
          </w:tcPr>
          <w:p w14:paraId="10F05B0B" w14:textId="260D5166" w:rsidR="00E208DA" w:rsidRPr="00BC2272" w:rsidRDefault="00E208DA" w:rsidP="00E208DA">
            <w:pPr>
              <w:snapToGrid w:val="0"/>
              <w:spacing w:before="60" w:after="60"/>
              <w:jc w:val="center"/>
              <w:rPr>
                <w:color w:val="000000"/>
              </w:rPr>
            </w:pPr>
            <w:r w:rsidRPr="00BC2272">
              <w:rPr>
                <w:color w:val="000000"/>
              </w:rPr>
              <w:t>RCFC2-8</w:t>
            </w:r>
          </w:p>
        </w:tc>
        <w:tc>
          <w:tcPr>
            <w:tcW w:w="1466" w:type="dxa"/>
            <w:tcBorders>
              <w:bottom w:val="single" w:sz="4" w:space="0" w:color="000000"/>
            </w:tcBorders>
            <w:shd w:val="clear" w:color="auto" w:fill="C6D9F1" w:themeFill="text2" w:themeFillTint="33"/>
            <w:vAlign w:val="center"/>
          </w:tcPr>
          <w:p w14:paraId="6FE162ED" w14:textId="3A77E117" w:rsidR="00E208DA" w:rsidRPr="00BC2272" w:rsidRDefault="00E208DA" w:rsidP="00E208DA">
            <w:pPr>
              <w:snapToGrid w:val="0"/>
              <w:spacing w:before="60" w:after="60"/>
              <w:jc w:val="left"/>
              <w:rPr>
                <w:color w:val="000000"/>
              </w:rPr>
            </w:pPr>
            <w:r w:rsidRPr="00BC2272">
              <w:rPr>
                <w:color w:val="000000"/>
              </w:rPr>
              <w:t>Remote</w:t>
            </w:r>
          </w:p>
        </w:tc>
        <w:tc>
          <w:tcPr>
            <w:tcW w:w="2101" w:type="dxa"/>
            <w:tcBorders>
              <w:bottom w:val="single" w:sz="4" w:space="0" w:color="000000"/>
            </w:tcBorders>
            <w:shd w:val="clear" w:color="auto" w:fill="C6D9F1" w:themeFill="text2" w:themeFillTint="33"/>
            <w:vAlign w:val="center"/>
          </w:tcPr>
          <w:p w14:paraId="349D0533" w14:textId="798B4D94" w:rsidR="00E208DA" w:rsidRPr="00BC2272" w:rsidRDefault="00E208DA" w:rsidP="00E208DA">
            <w:pPr>
              <w:snapToGrid w:val="0"/>
              <w:spacing w:before="60" w:after="60"/>
              <w:jc w:val="left"/>
              <w:rPr>
                <w:color w:val="000000"/>
              </w:rPr>
            </w:pPr>
            <w:r w:rsidRPr="00BC2272">
              <w:rPr>
                <w:color w:val="000000"/>
              </w:rPr>
              <w:t>Other remote equipment</w:t>
            </w:r>
          </w:p>
        </w:tc>
        <w:tc>
          <w:tcPr>
            <w:tcW w:w="1233" w:type="dxa"/>
            <w:shd w:val="clear" w:color="auto" w:fill="C6D9F1" w:themeFill="text2" w:themeFillTint="33"/>
            <w:vAlign w:val="center"/>
          </w:tcPr>
          <w:p w14:paraId="06DD4CF9" w14:textId="3B5F6F36" w:rsidR="00E208DA" w:rsidRPr="00BC2272" w:rsidRDefault="00A8331B" w:rsidP="00E208DA">
            <w:pPr>
              <w:snapToGrid w:val="0"/>
              <w:spacing w:before="60" w:after="60"/>
              <w:jc w:val="center"/>
              <w:rPr>
                <w:color w:val="000000"/>
              </w:rPr>
            </w:pPr>
            <w:r w:rsidRPr="00BC2272">
              <w:rPr>
                <w:color w:val="000000"/>
              </w:rPr>
              <w:t>-</w:t>
            </w:r>
          </w:p>
        </w:tc>
        <w:tc>
          <w:tcPr>
            <w:tcW w:w="1177" w:type="dxa"/>
            <w:shd w:val="clear" w:color="auto" w:fill="C6D9F1" w:themeFill="text2" w:themeFillTint="33"/>
            <w:vAlign w:val="center"/>
          </w:tcPr>
          <w:p w14:paraId="109C11CD" w14:textId="400059F6" w:rsidR="00E208DA" w:rsidRPr="00BC2272" w:rsidRDefault="00A8331B" w:rsidP="00E208DA">
            <w:pPr>
              <w:snapToGrid w:val="0"/>
              <w:spacing w:before="60" w:after="60"/>
              <w:jc w:val="center"/>
              <w:rPr>
                <w:color w:val="000000"/>
              </w:rPr>
            </w:pPr>
            <w:r w:rsidRPr="00BC2272">
              <w:rPr>
                <w:color w:val="000000"/>
              </w:rPr>
              <w:t>33,500</w:t>
            </w:r>
          </w:p>
        </w:tc>
        <w:tc>
          <w:tcPr>
            <w:tcW w:w="1176" w:type="dxa"/>
            <w:shd w:val="clear" w:color="auto" w:fill="C6D9F1" w:themeFill="text2" w:themeFillTint="33"/>
            <w:vAlign w:val="center"/>
          </w:tcPr>
          <w:p w14:paraId="72DE9EF5" w14:textId="3C3E6047" w:rsidR="00E208DA" w:rsidRPr="00BC2272" w:rsidRDefault="00A8331B" w:rsidP="00E208DA">
            <w:pPr>
              <w:snapToGrid w:val="0"/>
              <w:spacing w:before="60" w:after="60"/>
              <w:jc w:val="center"/>
              <w:rPr>
                <w:color w:val="000000"/>
              </w:rPr>
            </w:pPr>
            <w:r w:rsidRPr="00BC2272">
              <w:rPr>
                <w:color w:val="000000"/>
              </w:rPr>
              <w:t>37,500</w:t>
            </w:r>
          </w:p>
        </w:tc>
        <w:tc>
          <w:tcPr>
            <w:tcW w:w="1153" w:type="dxa"/>
            <w:shd w:val="clear" w:color="auto" w:fill="C6D9F1" w:themeFill="text2" w:themeFillTint="33"/>
            <w:vAlign w:val="center"/>
          </w:tcPr>
          <w:p w14:paraId="6185072D" w14:textId="0B5B48BE" w:rsidR="00E208DA" w:rsidRPr="00BC2272" w:rsidRDefault="006338AA" w:rsidP="00E208DA">
            <w:pPr>
              <w:snapToGrid w:val="0"/>
              <w:spacing w:before="60" w:after="60"/>
              <w:jc w:val="center"/>
              <w:rPr>
                <w:color w:val="000000"/>
              </w:rPr>
            </w:pPr>
            <w:r w:rsidRPr="00BC2272">
              <w:rPr>
                <w:color w:val="000000"/>
              </w:rPr>
              <w:t>+</w:t>
            </w:r>
            <w:r w:rsidR="00A8331B" w:rsidRPr="00BC2272">
              <w:rPr>
                <w:color w:val="000000"/>
              </w:rPr>
              <w:t>12%</w:t>
            </w:r>
          </w:p>
        </w:tc>
      </w:tr>
      <w:tr w:rsidR="00290B13" w14:paraId="0F6668C3" w14:textId="77777777" w:rsidTr="00D8549E">
        <w:trPr>
          <w:trHeight w:val="567"/>
        </w:trPr>
        <w:tc>
          <w:tcPr>
            <w:tcW w:w="1186" w:type="dxa"/>
            <w:tcBorders>
              <w:bottom w:val="single" w:sz="4" w:space="0" w:color="000000"/>
            </w:tcBorders>
            <w:vAlign w:val="center"/>
          </w:tcPr>
          <w:p w14:paraId="7F521F73" w14:textId="12C4A51C" w:rsidR="00A8331B" w:rsidRPr="00BC2272" w:rsidRDefault="00A8331B" w:rsidP="00A8331B">
            <w:pPr>
              <w:snapToGrid w:val="0"/>
              <w:spacing w:before="60" w:after="60"/>
              <w:jc w:val="center"/>
              <w:rPr>
                <w:color w:val="000000"/>
              </w:rPr>
            </w:pPr>
            <w:r w:rsidRPr="00BC2272">
              <w:rPr>
                <w:color w:val="000000"/>
              </w:rPr>
              <w:t>RCFC3-1</w:t>
            </w:r>
          </w:p>
        </w:tc>
        <w:tc>
          <w:tcPr>
            <w:tcW w:w="1466" w:type="dxa"/>
            <w:tcBorders>
              <w:bottom w:val="single" w:sz="4" w:space="0" w:color="000000"/>
            </w:tcBorders>
            <w:vAlign w:val="center"/>
          </w:tcPr>
          <w:p w14:paraId="0C8D83C7" w14:textId="3E8C2EF1" w:rsidR="00A8331B" w:rsidRPr="00BC2272" w:rsidRDefault="00A8331B" w:rsidP="00A8331B">
            <w:pPr>
              <w:snapToGrid w:val="0"/>
              <w:spacing w:before="60" w:after="60"/>
              <w:jc w:val="left"/>
              <w:rPr>
                <w:color w:val="000000"/>
              </w:rPr>
            </w:pPr>
            <w:r w:rsidRPr="00BC2272">
              <w:rPr>
                <w:color w:val="000000"/>
              </w:rPr>
              <w:t>Supermarkets</w:t>
            </w:r>
          </w:p>
        </w:tc>
        <w:tc>
          <w:tcPr>
            <w:tcW w:w="2101" w:type="dxa"/>
            <w:tcBorders>
              <w:bottom w:val="single" w:sz="4" w:space="0" w:color="000000"/>
            </w:tcBorders>
            <w:vAlign w:val="center"/>
          </w:tcPr>
          <w:p w14:paraId="2C052CA8" w14:textId="7F9EEBCB" w:rsidR="00A8331B" w:rsidRPr="00BC2272" w:rsidRDefault="00A8331B" w:rsidP="00A8331B">
            <w:pPr>
              <w:snapToGrid w:val="0"/>
              <w:spacing w:before="60" w:after="60"/>
              <w:jc w:val="left"/>
              <w:rPr>
                <w:color w:val="000000"/>
              </w:rPr>
            </w:pPr>
            <w:r w:rsidRPr="00BC2272">
              <w:rPr>
                <w:color w:val="000000"/>
              </w:rPr>
              <w:t>Supermarket refrigeration: small</w:t>
            </w:r>
          </w:p>
        </w:tc>
        <w:tc>
          <w:tcPr>
            <w:tcW w:w="1233" w:type="dxa"/>
            <w:vAlign w:val="center"/>
          </w:tcPr>
          <w:p w14:paraId="5D8EE7D2" w14:textId="35FE51A4" w:rsidR="00A8331B" w:rsidRPr="00BC2272" w:rsidRDefault="00A8331B" w:rsidP="00A8331B">
            <w:pPr>
              <w:snapToGrid w:val="0"/>
              <w:spacing w:before="60" w:after="60"/>
              <w:jc w:val="center"/>
              <w:rPr>
                <w:color w:val="000000"/>
              </w:rPr>
            </w:pPr>
            <w:r w:rsidRPr="00BC2272">
              <w:rPr>
                <w:color w:val="000000"/>
                <w:lang w:val="en-US"/>
              </w:rPr>
              <w:t>2,048</w:t>
            </w:r>
          </w:p>
        </w:tc>
        <w:tc>
          <w:tcPr>
            <w:tcW w:w="1177" w:type="dxa"/>
            <w:vAlign w:val="center"/>
          </w:tcPr>
          <w:p w14:paraId="63B11BBD" w14:textId="70FB500E" w:rsidR="00A8331B" w:rsidRPr="00BC2272" w:rsidRDefault="00A8331B" w:rsidP="00A8331B">
            <w:pPr>
              <w:snapToGrid w:val="0"/>
              <w:spacing w:before="60" w:after="60"/>
              <w:jc w:val="center"/>
              <w:rPr>
                <w:color w:val="000000"/>
                <w:lang w:val="en-US"/>
              </w:rPr>
            </w:pPr>
            <w:r w:rsidRPr="00BC2272">
              <w:rPr>
                <w:color w:val="000000"/>
                <w:lang w:val="en-US"/>
              </w:rPr>
              <w:t>2,048</w:t>
            </w:r>
          </w:p>
        </w:tc>
        <w:tc>
          <w:tcPr>
            <w:tcW w:w="1176" w:type="dxa"/>
            <w:vAlign w:val="center"/>
          </w:tcPr>
          <w:p w14:paraId="4E60455F" w14:textId="1B1BEF85" w:rsidR="00A8331B" w:rsidRPr="00BC2272" w:rsidRDefault="00A8331B" w:rsidP="00A8331B">
            <w:pPr>
              <w:snapToGrid w:val="0"/>
              <w:spacing w:before="60" w:after="60"/>
              <w:jc w:val="center"/>
              <w:rPr>
                <w:color w:val="000000"/>
              </w:rPr>
            </w:pPr>
            <w:r w:rsidRPr="00BC2272">
              <w:rPr>
                <w:color w:val="000000"/>
                <w:lang w:val="en-US"/>
              </w:rPr>
              <w:t>2,355</w:t>
            </w:r>
          </w:p>
        </w:tc>
        <w:tc>
          <w:tcPr>
            <w:tcW w:w="1153" w:type="dxa"/>
            <w:vAlign w:val="center"/>
          </w:tcPr>
          <w:p w14:paraId="5E521E6F" w14:textId="4802632F" w:rsidR="00A8331B" w:rsidRPr="00BC2272" w:rsidRDefault="006338AA" w:rsidP="00A8331B">
            <w:pPr>
              <w:snapToGrid w:val="0"/>
              <w:spacing w:before="60" w:after="60"/>
              <w:jc w:val="center"/>
              <w:rPr>
                <w:color w:val="000000"/>
              </w:rPr>
            </w:pPr>
            <w:r w:rsidRPr="00BC2272">
              <w:rPr>
                <w:color w:val="000000"/>
                <w:lang w:val="en-US"/>
              </w:rPr>
              <w:t>+</w:t>
            </w:r>
            <w:r w:rsidR="00A8331B" w:rsidRPr="00BC2272">
              <w:rPr>
                <w:color w:val="000000"/>
                <w:lang w:val="en-US"/>
              </w:rPr>
              <w:t>15%</w:t>
            </w:r>
          </w:p>
        </w:tc>
      </w:tr>
      <w:tr w:rsidR="00290B13" w14:paraId="2C88A4CA" w14:textId="77777777" w:rsidTr="00D8549E">
        <w:trPr>
          <w:trHeight w:val="567"/>
        </w:trPr>
        <w:tc>
          <w:tcPr>
            <w:tcW w:w="1186" w:type="dxa"/>
            <w:tcBorders>
              <w:bottom w:val="single" w:sz="4" w:space="0" w:color="000000"/>
            </w:tcBorders>
            <w:vAlign w:val="center"/>
          </w:tcPr>
          <w:p w14:paraId="28CD5896" w14:textId="76162024" w:rsidR="00A8331B" w:rsidRPr="00BC2272" w:rsidRDefault="00A8331B" w:rsidP="00A8331B">
            <w:pPr>
              <w:snapToGrid w:val="0"/>
              <w:spacing w:before="60" w:after="60"/>
              <w:jc w:val="center"/>
              <w:rPr>
                <w:color w:val="000000"/>
              </w:rPr>
            </w:pPr>
            <w:r w:rsidRPr="00BC2272">
              <w:rPr>
                <w:color w:val="000000"/>
              </w:rPr>
              <w:t>RCFC3-2</w:t>
            </w:r>
          </w:p>
        </w:tc>
        <w:tc>
          <w:tcPr>
            <w:tcW w:w="1466" w:type="dxa"/>
            <w:tcBorders>
              <w:bottom w:val="single" w:sz="4" w:space="0" w:color="000000"/>
            </w:tcBorders>
            <w:vAlign w:val="center"/>
          </w:tcPr>
          <w:p w14:paraId="68CC39BF" w14:textId="22F1AA65" w:rsidR="00A8331B" w:rsidRPr="00BC2272" w:rsidRDefault="00A8331B" w:rsidP="00A8331B">
            <w:pPr>
              <w:snapToGrid w:val="0"/>
              <w:spacing w:before="60" w:after="60"/>
              <w:jc w:val="left"/>
              <w:rPr>
                <w:color w:val="000000"/>
              </w:rPr>
            </w:pPr>
            <w:r w:rsidRPr="00BC2272">
              <w:rPr>
                <w:color w:val="000000"/>
              </w:rPr>
              <w:t>Supermarkets</w:t>
            </w:r>
          </w:p>
        </w:tc>
        <w:tc>
          <w:tcPr>
            <w:tcW w:w="2101" w:type="dxa"/>
            <w:tcBorders>
              <w:bottom w:val="single" w:sz="4" w:space="0" w:color="000000"/>
            </w:tcBorders>
            <w:vAlign w:val="center"/>
          </w:tcPr>
          <w:p w14:paraId="7DD04A9F" w14:textId="0EC8D2BF" w:rsidR="00A8331B" w:rsidRPr="00BC2272" w:rsidRDefault="00A8331B" w:rsidP="00A8331B">
            <w:pPr>
              <w:snapToGrid w:val="0"/>
              <w:spacing w:before="60" w:after="60"/>
              <w:jc w:val="left"/>
              <w:rPr>
                <w:color w:val="000000"/>
              </w:rPr>
            </w:pPr>
            <w:r w:rsidRPr="00BC2272">
              <w:rPr>
                <w:color w:val="000000"/>
              </w:rPr>
              <w:t>Supermarket refrigeration: medium</w:t>
            </w:r>
          </w:p>
        </w:tc>
        <w:tc>
          <w:tcPr>
            <w:tcW w:w="1233" w:type="dxa"/>
            <w:tcBorders>
              <w:bottom w:val="single" w:sz="4" w:space="0" w:color="000000"/>
            </w:tcBorders>
            <w:vAlign w:val="center"/>
          </w:tcPr>
          <w:p w14:paraId="3ACBA7BA" w14:textId="6788BD74" w:rsidR="00A8331B" w:rsidRPr="00BC2272" w:rsidRDefault="00A8331B" w:rsidP="00A8331B">
            <w:pPr>
              <w:snapToGrid w:val="0"/>
              <w:spacing w:before="60" w:after="60"/>
              <w:jc w:val="center"/>
              <w:rPr>
                <w:color w:val="000000"/>
              </w:rPr>
            </w:pPr>
            <w:r w:rsidRPr="00BC2272">
              <w:rPr>
                <w:color w:val="000000"/>
                <w:lang w:val="en-US"/>
              </w:rPr>
              <w:t>985</w:t>
            </w:r>
          </w:p>
        </w:tc>
        <w:tc>
          <w:tcPr>
            <w:tcW w:w="1177" w:type="dxa"/>
            <w:tcBorders>
              <w:bottom w:val="single" w:sz="4" w:space="0" w:color="000000"/>
            </w:tcBorders>
            <w:vAlign w:val="center"/>
          </w:tcPr>
          <w:p w14:paraId="418EAFB0" w14:textId="1B897AC5" w:rsidR="00A8331B" w:rsidRPr="00BC2272" w:rsidRDefault="00A8331B" w:rsidP="00A8331B">
            <w:pPr>
              <w:snapToGrid w:val="0"/>
              <w:spacing w:before="60" w:after="60"/>
              <w:jc w:val="center"/>
              <w:rPr>
                <w:color w:val="000000"/>
                <w:lang w:val="en-US"/>
              </w:rPr>
            </w:pPr>
            <w:r w:rsidRPr="00BC2272">
              <w:rPr>
                <w:color w:val="000000"/>
                <w:lang w:val="en-US"/>
              </w:rPr>
              <w:t>985</w:t>
            </w:r>
          </w:p>
        </w:tc>
        <w:tc>
          <w:tcPr>
            <w:tcW w:w="1176" w:type="dxa"/>
            <w:tcBorders>
              <w:bottom w:val="single" w:sz="4" w:space="0" w:color="000000"/>
            </w:tcBorders>
            <w:vAlign w:val="center"/>
          </w:tcPr>
          <w:p w14:paraId="31EE6F0D" w14:textId="3897E083" w:rsidR="00A8331B" w:rsidRPr="00BC2272" w:rsidRDefault="00A8331B" w:rsidP="00A8331B">
            <w:pPr>
              <w:snapToGrid w:val="0"/>
              <w:spacing w:before="60" w:after="60"/>
              <w:jc w:val="center"/>
              <w:rPr>
                <w:color w:val="000000"/>
              </w:rPr>
            </w:pPr>
            <w:r w:rsidRPr="00BC2272">
              <w:rPr>
                <w:color w:val="000000"/>
                <w:lang w:val="en-US"/>
              </w:rPr>
              <w:t>1278</w:t>
            </w:r>
          </w:p>
        </w:tc>
        <w:tc>
          <w:tcPr>
            <w:tcW w:w="1153" w:type="dxa"/>
            <w:tcBorders>
              <w:bottom w:val="single" w:sz="4" w:space="0" w:color="000000"/>
            </w:tcBorders>
            <w:vAlign w:val="center"/>
          </w:tcPr>
          <w:p w14:paraId="23270F74" w14:textId="1EA3EAD4" w:rsidR="00A8331B" w:rsidRPr="00BC2272" w:rsidRDefault="006338AA" w:rsidP="00A8331B">
            <w:pPr>
              <w:snapToGrid w:val="0"/>
              <w:spacing w:before="60" w:after="60"/>
              <w:jc w:val="center"/>
              <w:rPr>
                <w:color w:val="000000"/>
              </w:rPr>
            </w:pPr>
            <w:r w:rsidRPr="00BC2272">
              <w:rPr>
                <w:color w:val="000000"/>
                <w:lang w:val="en-US"/>
              </w:rPr>
              <w:t>+</w:t>
            </w:r>
            <w:r w:rsidR="00A8331B" w:rsidRPr="00BC2272">
              <w:rPr>
                <w:color w:val="000000"/>
                <w:lang w:val="en-US"/>
              </w:rPr>
              <w:t>30%</w:t>
            </w:r>
          </w:p>
        </w:tc>
      </w:tr>
      <w:tr w:rsidR="00290B13" w14:paraId="7505B646" w14:textId="77777777" w:rsidTr="00D8549E">
        <w:trPr>
          <w:trHeight w:val="567"/>
        </w:trPr>
        <w:tc>
          <w:tcPr>
            <w:tcW w:w="1186" w:type="dxa"/>
            <w:tcBorders>
              <w:bottom w:val="single" w:sz="4" w:space="0" w:color="000000"/>
            </w:tcBorders>
            <w:shd w:val="clear" w:color="auto" w:fill="auto"/>
            <w:vAlign w:val="center"/>
          </w:tcPr>
          <w:p w14:paraId="6768C418" w14:textId="1567F380" w:rsidR="00A8331B" w:rsidRPr="00BC2272" w:rsidRDefault="00A8331B" w:rsidP="00A8331B">
            <w:pPr>
              <w:snapToGrid w:val="0"/>
              <w:spacing w:before="60" w:after="60"/>
              <w:jc w:val="center"/>
              <w:rPr>
                <w:color w:val="000000"/>
              </w:rPr>
            </w:pPr>
            <w:r w:rsidRPr="00BC2272">
              <w:rPr>
                <w:color w:val="000000"/>
              </w:rPr>
              <w:t>RCFC3-3</w:t>
            </w:r>
          </w:p>
        </w:tc>
        <w:tc>
          <w:tcPr>
            <w:tcW w:w="1466" w:type="dxa"/>
            <w:tcBorders>
              <w:bottom w:val="single" w:sz="4" w:space="0" w:color="000000"/>
            </w:tcBorders>
            <w:shd w:val="clear" w:color="auto" w:fill="auto"/>
            <w:vAlign w:val="center"/>
          </w:tcPr>
          <w:p w14:paraId="3937BDF0" w14:textId="2C22AC2D" w:rsidR="00A8331B" w:rsidRPr="00BC2272" w:rsidRDefault="00A8331B" w:rsidP="00A8331B">
            <w:pPr>
              <w:snapToGrid w:val="0"/>
              <w:spacing w:before="60" w:after="60"/>
              <w:jc w:val="left"/>
              <w:rPr>
                <w:color w:val="000000"/>
              </w:rPr>
            </w:pPr>
            <w:r w:rsidRPr="00BC2272">
              <w:rPr>
                <w:color w:val="000000"/>
              </w:rPr>
              <w:t>Supermarkets</w:t>
            </w:r>
          </w:p>
        </w:tc>
        <w:tc>
          <w:tcPr>
            <w:tcW w:w="2101" w:type="dxa"/>
            <w:tcBorders>
              <w:bottom w:val="single" w:sz="4" w:space="0" w:color="000000"/>
            </w:tcBorders>
            <w:shd w:val="clear" w:color="auto" w:fill="auto"/>
            <w:vAlign w:val="center"/>
          </w:tcPr>
          <w:p w14:paraId="2A7E6546" w14:textId="49499093" w:rsidR="00A8331B" w:rsidRPr="00BC2272" w:rsidRDefault="00A8331B" w:rsidP="00A8331B">
            <w:pPr>
              <w:snapToGrid w:val="0"/>
              <w:spacing w:before="60" w:after="60"/>
              <w:jc w:val="left"/>
              <w:rPr>
                <w:color w:val="000000"/>
              </w:rPr>
            </w:pPr>
            <w:r w:rsidRPr="00BC2272">
              <w:rPr>
                <w:color w:val="000000"/>
              </w:rPr>
              <w:t>Supermarket refrigeration: large</w:t>
            </w:r>
          </w:p>
        </w:tc>
        <w:tc>
          <w:tcPr>
            <w:tcW w:w="1233" w:type="dxa"/>
            <w:shd w:val="clear" w:color="auto" w:fill="auto"/>
            <w:vAlign w:val="center"/>
          </w:tcPr>
          <w:p w14:paraId="4DFFF40A" w14:textId="75B7D0E8" w:rsidR="00A8331B" w:rsidRPr="00BC2272" w:rsidRDefault="00A8331B" w:rsidP="00A8331B">
            <w:pPr>
              <w:snapToGrid w:val="0"/>
              <w:spacing w:before="60" w:after="60"/>
              <w:jc w:val="center"/>
              <w:rPr>
                <w:color w:val="000000"/>
              </w:rPr>
            </w:pPr>
            <w:r w:rsidRPr="00BC2272">
              <w:rPr>
                <w:color w:val="000000"/>
                <w:lang w:val="en-US"/>
              </w:rPr>
              <w:t>333</w:t>
            </w:r>
          </w:p>
        </w:tc>
        <w:tc>
          <w:tcPr>
            <w:tcW w:w="1177" w:type="dxa"/>
            <w:vAlign w:val="center"/>
          </w:tcPr>
          <w:p w14:paraId="2E81E44A" w14:textId="6308E937" w:rsidR="00A8331B" w:rsidRPr="00BC2272" w:rsidRDefault="00A8331B" w:rsidP="00A8331B">
            <w:pPr>
              <w:snapToGrid w:val="0"/>
              <w:spacing w:before="60" w:after="60"/>
              <w:jc w:val="center"/>
              <w:rPr>
                <w:color w:val="000000"/>
                <w:lang w:val="en-US"/>
              </w:rPr>
            </w:pPr>
            <w:r w:rsidRPr="00BC2272">
              <w:rPr>
                <w:color w:val="000000"/>
                <w:lang w:val="en-US"/>
              </w:rPr>
              <w:t>333</w:t>
            </w:r>
          </w:p>
        </w:tc>
        <w:tc>
          <w:tcPr>
            <w:tcW w:w="1176" w:type="dxa"/>
            <w:shd w:val="clear" w:color="auto" w:fill="auto"/>
            <w:vAlign w:val="center"/>
          </w:tcPr>
          <w:p w14:paraId="6F41F3A7" w14:textId="65096411" w:rsidR="00A8331B" w:rsidRPr="00BC2272" w:rsidRDefault="00A8331B" w:rsidP="00A8331B">
            <w:pPr>
              <w:snapToGrid w:val="0"/>
              <w:spacing w:before="60" w:after="60"/>
              <w:jc w:val="center"/>
              <w:rPr>
                <w:color w:val="000000"/>
              </w:rPr>
            </w:pPr>
            <w:r w:rsidRPr="00BC2272">
              <w:rPr>
                <w:color w:val="000000"/>
                <w:lang w:val="en-US"/>
              </w:rPr>
              <w:t>460</w:t>
            </w:r>
          </w:p>
        </w:tc>
        <w:tc>
          <w:tcPr>
            <w:tcW w:w="1153" w:type="dxa"/>
            <w:shd w:val="clear" w:color="auto" w:fill="auto"/>
            <w:vAlign w:val="center"/>
          </w:tcPr>
          <w:p w14:paraId="502D4D92" w14:textId="117477F2" w:rsidR="00A8331B" w:rsidRPr="00BC2272" w:rsidRDefault="006338AA" w:rsidP="00A8331B">
            <w:pPr>
              <w:snapToGrid w:val="0"/>
              <w:spacing w:before="60" w:after="60"/>
              <w:jc w:val="center"/>
              <w:rPr>
                <w:color w:val="000000"/>
              </w:rPr>
            </w:pPr>
            <w:r w:rsidRPr="00BC2272">
              <w:rPr>
                <w:color w:val="000000"/>
                <w:lang w:val="en-US"/>
              </w:rPr>
              <w:t>+</w:t>
            </w:r>
            <w:r w:rsidR="00A8331B" w:rsidRPr="00BC2272">
              <w:rPr>
                <w:color w:val="000000"/>
                <w:lang w:val="en-US"/>
              </w:rPr>
              <w:t>38%</w:t>
            </w:r>
          </w:p>
        </w:tc>
      </w:tr>
      <w:tr w:rsidR="00290B13" w14:paraId="72E8046D" w14:textId="77777777" w:rsidTr="00D8549E">
        <w:trPr>
          <w:trHeight w:val="567"/>
        </w:trPr>
        <w:tc>
          <w:tcPr>
            <w:tcW w:w="1186" w:type="dxa"/>
            <w:tcBorders>
              <w:bottom w:val="single" w:sz="4" w:space="0" w:color="000000"/>
            </w:tcBorders>
            <w:shd w:val="clear" w:color="auto" w:fill="auto"/>
            <w:vAlign w:val="center"/>
          </w:tcPr>
          <w:p w14:paraId="46AA13E6" w14:textId="2F91FF16" w:rsidR="00A8331B" w:rsidRPr="00BC2272" w:rsidRDefault="00A8331B" w:rsidP="00A8331B">
            <w:pPr>
              <w:snapToGrid w:val="0"/>
              <w:spacing w:before="60" w:after="60"/>
              <w:jc w:val="center"/>
              <w:rPr>
                <w:color w:val="000000"/>
              </w:rPr>
            </w:pPr>
            <w:r w:rsidRPr="00BC2272">
              <w:rPr>
                <w:color w:val="000000"/>
              </w:rPr>
              <w:t>RCFC4-1</w:t>
            </w:r>
          </w:p>
        </w:tc>
        <w:tc>
          <w:tcPr>
            <w:tcW w:w="1466" w:type="dxa"/>
            <w:tcBorders>
              <w:bottom w:val="single" w:sz="4" w:space="0" w:color="000000"/>
            </w:tcBorders>
            <w:shd w:val="clear" w:color="auto" w:fill="auto"/>
            <w:vAlign w:val="center"/>
          </w:tcPr>
          <w:p w14:paraId="05CA4A15" w14:textId="26667011" w:rsidR="00A8331B" w:rsidRPr="00BC2272" w:rsidRDefault="00A8331B" w:rsidP="00A8331B">
            <w:pPr>
              <w:snapToGrid w:val="0"/>
              <w:spacing w:before="60" w:after="60"/>
              <w:jc w:val="left"/>
              <w:rPr>
                <w:color w:val="000000"/>
              </w:rPr>
            </w:pPr>
            <w:r w:rsidRPr="00BC2272">
              <w:rPr>
                <w:color w:val="000000"/>
              </w:rPr>
              <w:t>Transport refrigeration</w:t>
            </w:r>
          </w:p>
        </w:tc>
        <w:tc>
          <w:tcPr>
            <w:tcW w:w="2101" w:type="dxa"/>
            <w:tcBorders>
              <w:bottom w:val="single" w:sz="4" w:space="0" w:color="000000"/>
            </w:tcBorders>
            <w:shd w:val="clear" w:color="auto" w:fill="auto"/>
            <w:vAlign w:val="center"/>
          </w:tcPr>
          <w:p w14:paraId="3C88ADD8" w14:textId="25EE377E" w:rsidR="00A8331B" w:rsidRPr="00BC2272" w:rsidRDefault="00A8331B" w:rsidP="00A8331B">
            <w:pPr>
              <w:snapToGrid w:val="0"/>
              <w:spacing w:before="60" w:after="60"/>
              <w:jc w:val="left"/>
              <w:rPr>
                <w:color w:val="000000"/>
              </w:rPr>
            </w:pPr>
            <w:r w:rsidRPr="00BC2272">
              <w:rPr>
                <w:color w:val="000000"/>
              </w:rPr>
              <w:t>Mobile refrigeration: road: trailer - inter-modal</w:t>
            </w:r>
          </w:p>
        </w:tc>
        <w:tc>
          <w:tcPr>
            <w:tcW w:w="1233" w:type="dxa"/>
            <w:shd w:val="clear" w:color="auto" w:fill="auto"/>
            <w:vAlign w:val="center"/>
          </w:tcPr>
          <w:p w14:paraId="6282035F" w14:textId="513B7F2D" w:rsidR="00A8331B" w:rsidRPr="00BC2272" w:rsidRDefault="00A8331B" w:rsidP="00A8331B">
            <w:pPr>
              <w:snapToGrid w:val="0"/>
              <w:spacing w:before="60" w:after="60"/>
              <w:jc w:val="center"/>
              <w:rPr>
                <w:color w:val="000000"/>
              </w:rPr>
            </w:pPr>
            <w:r w:rsidRPr="00BC2272">
              <w:rPr>
                <w:color w:val="000000"/>
                <w:lang w:val="en-US"/>
              </w:rPr>
              <w:t>6,300</w:t>
            </w:r>
          </w:p>
        </w:tc>
        <w:tc>
          <w:tcPr>
            <w:tcW w:w="1177" w:type="dxa"/>
            <w:vAlign w:val="center"/>
          </w:tcPr>
          <w:p w14:paraId="60F79B36" w14:textId="44F51FE7" w:rsidR="00A8331B" w:rsidRPr="00BC2272" w:rsidRDefault="00A8331B" w:rsidP="00A8331B">
            <w:pPr>
              <w:snapToGrid w:val="0"/>
              <w:spacing w:before="60" w:after="60"/>
              <w:jc w:val="center"/>
              <w:rPr>
                <w:color w:val="000000"/>
              </w:rPr>
            </w:pPr>
            <w:r w:rsidRPr="00BC2272">
              <w:rPr>
                <w:color w:val="000000"/>
                <w:lang w:val="en-US"/>
              </w:rPr>
              <w:t>6,300</w:t>
            </w:r>
          </w:p>
        </w:tc>
        <w:tc>
          <w:tcPr>
            <w:tcW w:w="1176" w:type="dxa"/>
            <w:shd w:val="clear" w:color="auto" w:fill="auto"/>
            <w:vAlign w:val="center"/>
          </w:tcPr>
          <w:p w14:paraId="30C82D6D" w14:textId="4E085FF2" w:rsidR="00A8331B" w:rsidRPr="00BC2272" w:rsidRDefault="00A8331B" w:rsidP="00A8331B">
            <w:pPr>
              <w:snapToGrid w:val="0"/>
              <w:spacing w:before="60" w:after="60"/>
              <w:jc w:val="center"/>
              <w:rPr>
                <w:color w:val="000000"/>
              </w:rPr>
            </w:pPr>
            <w:r w:rsidRPr="00BC2272">
              <w:rPr>
                <w:color w:val="000000"/>
                <w:lang w:val="en-US"/>
              </w:rPr>
              <w:t>9,900</w:t>
            </w:r>
          </w:p>
        </w:tc>
        <w:tc>
          <w:tcPr>
            <w:tcW w:w="1153" w:type="dxa"/>
            <w:shd w:val="clear" w:color="auto" w:fill="auto"/>
            <w:vAlign w:val="center"/>
          </w:tcPr>
          <w:p w14:paraId="0A83873E" w14:textId="2F149A9D" w:rsidR="00A8331B" w:rsidRPr="00BC2272" w:rsidRDefault="0022162B" w:rsidP="00A8331B">
            <w:pPr>
              <w:snapToGrid w:val="0"/>
              <w:spacing w:before="60" w:after="60"/>
              <w:jc w:val="center"/>
              <w:rPr>
                <w:color w:val="000000"/>
              </w:rPr>
            </w:pPr>
            <w:r w:rsidRPr="00BC2272">
              <w:rPr>
                <w:color w:val="000000"/>
                <w:lang w:val="en-US"/>
              </w:rPr>
              <w:t>+</w:t>
            </w:r>
            <w:r w:rsidR="00A8331B" w:rsidRPr="00BC2272">
              <w:rPr>
                <w:color w:val="000000"/>
                <w:lang w:val="en-US"/>
              </w:rPr>
              <w:t>57%</w:t>
            </w:r>
          </w:p>
        </w:tc>
      </w:tr>
      <w:tr w:rsidR="00290B13" w14:paraId="55D79C9A" w14:textId="77777777" w:rsidTr="00D8549E">
        <w:trPr>
          <w:trHeight w:val="567"/>
        </w:trPr>
        <w:tc>
          <w:tcPr>
            <w:tcW w:w="1186" w:type="dxa"/>
            <w:tcBorders>
              <w:bottom w:val="single" w:sz="4" w:space="0" w:color="000000"/>
            </w:tcBorders>
            <w:shd w:val="clear" w:color="auto" w:fill="auto"/>
            <w:vAlign w:val="center"/>
          </w:tcPr>
          <w:p w14:paraId="0C0E4AB5" w14:textId="0E061095" w:rsidR="00A8331B" w:rsidRPr="00BC2272" w:rsidRDefault="00A8331B" w:rsidP="00A8331B">
            <w:pPr>
              <w:snapToGrid w:val="0"/>
              <w:spacing w:before="60" w:after="60"/>
              <w:jc w:val="center"/>
              <w:rPr>
                <w:color w:val="000000"/>
              </w:rPr>
            </w:pPr>
            <w:r w:rsidRPr="00BC2272">
              <w:rPr>
                <w:color w:val="000000"/>
              </w:rPr>
              <w:t>RCFC4-2</w:t>
            </w:r>
          </w:p>
        </w:tc>
        <w:tc>
          <w:tcPr>
            <w:tcW w:w="1466" w:type="dxa"/>
            <w:tcBorders>
              <w:bottom w:val="single" w:sz="4" w:space="0" w:color="000000"/>
            </w:tcBorders>
            <w:shd w:val="clear" w:color="auto" w:fill="auto"/>
            <w:vAlign w:val="center"/>
          </w:tcPr>
          <w:p w14:paraId="1B54ABA4" w14:textId="42E613D8" w:rsidR="00A8331B" w:rsidRPr="00BC2272" w:rsidRDefault="00A8331B" w:rsidP="00A8331B">
            <w:pPr>
              <w:snapToGrid w:val="0"/>
              <w:spacing w:before="60" w:after="60"/>
              <w:jc w:val="left"/>
              <w:rPr>
                <w:color w:val="000000"/>
              </w:rPr>
            </w:pPr>
            <w:r w:rsidRPr="00BC2272">
              <w:rPr>
                <w:color w:val="000000"/>
              </w:rPr>
              <w:t>Transport refrigeration</w:t>
            </w:r>
          </w:p>
        </w:tc>
        <w:tc>
          <w:tcPr>
            <w:tcW w:w="2101" w:type="dxa"/>
            <w:tcBorders>
              <w:bottom w:val="single" w:sz="4" w:space="0" w:color="000000"/>
            </w:tcBorders>
            <w:shd w:val="clear" w:color="auto" w:fill="auto"/>
            <w:vAlign w:val="center"/>
          </w:tcPr>
          <w:p w14:paraId="1A497AA9" w14:textId="3ED3A528" w:rsidR="00A8331B" w:rsidRPr="00BC2272" w:rsidRDefault="00A8331B" w:rsidP="00A8331B">
            <w:pPr>
              <w:snapToGrid w:val="0"/>
              <w:spacing w:before="60" w:after="60"/>
              <w:jc w:val="left"/>
              <w:rPr>
                <w:color w:val="000000"/>
              </w:rPr>
            </w:pPr>
            <w:r w:rsidRPr="00BC2272">
              <w:rPr>
                <w:color w:val="000000"/>
              </w:rPr>
              <w:t>Mobile refrigeration: road: diesel drive</w:t>
            </w:r>
          </w:p>
        </w:tc>
        <w:tc>
          <w:tcPr>
            <w:tcW w:w="1233" w:type="dxa"/>
            <w:shd w:val="clear" w:color="auto" w:fill="auto"/>
            <w:vAlign w:val="center"/>
          </w:tcPr>
          <w:p w14:paraId="0FF37532" w14:textId="1CCDBDB7" w:rsidR="00A8331B" w:rsidRPr="00BC2272" w:rsidRDefault="00A8331B" w:rsidP="00A8331B">
            <w:pPr>
              <w:snapToGrid w:val="0"/>
              <w:spacing w:before="60" w:after="60"/>
              <w:jc w:val="center"/>
              <w:rPr>
                <w:color w:val="000000"/>
              </w:rPr>
            </w:pPr>
            <w:r w:rsidRPr="00BC2272">
              <w:rPr>
                <w:color w:val="000000"/>
                <w:lang w:val="en-US"/>
              </w:rPr>
              <w:t>5,000</w:t>
            </w:r>
          </w:p>
        </w:tc>
        <w:tc>
          <w:tcPr>
            <w:tcW w:w="1177" w:type="dxa"/>
            <w:vAlign w:val="center"/>
          </w:tcPr>
          <w:p w14:paraId="25FAF047" w14:textId="44E8F075" w:rsidR="00A8331B" w:rsidRPr="00BC2272" w:rsidRDefault="00A8331B" w:rsidP="00A8331B">
            <w:pPr>
              <w:snapToGrid w:val="0"/>
              <w:spacing w:before="60" w:after="60"/>
              <w:jc w:val="center"/>
              <w:rPr>
                <w:color w:val="000000"/>
              </w:rPr>
            </w:pPr>
            <w:r w:rsidRPr="00BC2272">
              <w:rPr>
                <w:color w:val="000000"/>
                <w:lang w:val="en-US"/>
              </w:rPr>
              <w:t>5,000</w:t>
            </w:r>
          </w:p>
        </w:tc>
        <w:tc>
          <w:tcPr>
            <w:tcW w:w="1176" w:type="dxa"/>
            <w:shd w:val="clear" w:color="auto" w:fill="auto"/>
            <w:vAlign w:val="center"/>
          </w:tcPr>
          <w:p w14:paraId="09E3C3CD" w14:textId="7470D9A7" w:rsidR="00A8331B" w:rsidRPr="00BC2272" w:rsidRDefault="00A8331B" w:rsidP="00A8331B">
            <w:pPr>
              <w:snapToGrid w:val="0"/>
              <w:spacing w:before="60" w:after="60"/>
              <w:jc w:val="center"/>
              <w:rPr>
                <w:color w:val="000000"/>
              </w:rPr>
            </w:pPr>
            <w:r w:rsidRPr="00BC2272">
              <w:rPr>
                <w:color w:val="000000"/>
                <w:lang w:val="en-US"/>
              </w:rPr>
              <w:t>7,200</w:t>
            </w:r>
          </w:p>
        </w:tc>
        <w:tc>
          <w:tcPr>
            <w:tcW w:w="1153" w:type="dxa"/>
            <w:shd w:val="clear" w:color="auto" w:fill="auto"/>
            <w:vAlign w:val="center"/>
          </w:tcPr>
          <w:p w14:paraId="01DB51A3" w14:textId="447C4B4E" w:rsidR="00A8331B" w:rsidRPr="00BC2272" w:rsidRDefault="0022162B" w:rsidP="00A8331B">
            <w:pPr>
              <w:snapToGrid w:val="0"/>
              <w:spacing w:before="60" w:after="60"/>
              <w:jc w:val="center"/>
              <w:rPr>
                <w:color w:val="000000"/>
              </w:rPr>
            </w:pPr>
            <w:r w:rsidRPr="00BC2272">
              <w:rPr>
                <w:color w:val="000000"/>
                <w:lang w:val="en-US"/>
              </w:rPr>
              <w:t>+</w:t>
            </w:r>
            <w:r w:rsidR="00A8331B" w:rsidRPr="00BC2272">
              <w:rPr>
                <w:color w:val="000000"/>
                <w:lang w:val="en-US"/>
              </w:rPr>
              <w:t>44%</w:t>
            </w:r>
          </w:p>
        </w:tc>
      </w:tr>
      <w:tr w:rsidR="00290B13" w14:paraId="1A9AE1D8" w14:textId="77777777" w:rsidTr="00D8549E">
        <w:trPr>
          <w:trHeight w:val="567"/>
        </w:trPr>
        <w:tc>
          <w:tcPr>
            <w:tcW w:w="1186" w:type="dxa"/>
            <w:tcBorders>
              <w:bottom w:val="single" w:sz="4" w:space="0" w:color="000000"/>
            </w:tcBorders>
            <w:shd w:val="clear" w:color="auto" w:fill="auto"/>
            <w:vAlign w:val="center"/>
          </w:tcPr>
          <w:p w14:paraId="0C1980EF" w14:textId="153B1557" w:rsidR="00A8331B" w:rsidRPr="00BC2272" w:rsidRDefault="00A8331B" w:rsidP="00A8331B">
            <w:pPr>
              <w:snapToGrid w:val="0"/>
              <w:spacing w:before="60" w:after="60"/>
              <w:jc w:val="center"/>
            </w:pPr>
            <w:r w:rsidRPr="00BC2272">
              <w:rPr>
                <w:color w:val="000000"/>
              </w:rPr>
              <w:t>RCFC4-3</w:t>
            </w:r>
          </w:p>
        </w:tc>
        <w:tc>
          <w:tcPr>
            <w:tcW w:w="1466" w:type="dxa"/>
            <w:tcBorders>
              <w:bottom w:val="single" w:sz="4" w:space="0" w:color="000000"/>
            </w:tcBorders>
            <w:shd w:val="clear" w:color="auto" w:fill="auto"/>
            <w:vAlign w:val="center"/>
          </w:tcPr>
          <w:p w14:paraId="49740BDE" w14:textId="0F940CE1" w:rsidR="00A8331B" w:rsidRPr="00BC2272" w:rsidRDefault="00A8331B" w:rsidP="00A8331B">
            <w:pPr>
              <w:snapToGrid w:val="0"/>
              <w:spacing w:before="60" w:after="60"/>
              <w:jc w:val="left"/>
            </w:pPr>
            <w:r w:rsidRPr="00BC2272">
              <w:rPr>
                <w:color w:val="000000"/>
              </w:rPr>
              <w:t>Transport refrigeration</w:t>
            </w:r>
          </w:p>
        </w:tc>
        <w:tc>
          <w:tcPr>
            <w:tcW w:w="2101" w:type="dxa"/>
            <w:tcBorders>
              <w:bottom w:val="single" w:sz="4" w:space="0" w:color="000000"/>
            </w:tcBorders>
            <w:shd w:val="clear" w:color="auto" w:fill="auto"/>
            <w:vAlign w:val="center"/>
          </w:tcPr>
          <w:p w14:paraId="03F82296" w14:textId="5873B4D7" w:rsidR="00A8331B" w:rsidRPr="00BC2272" w:rsidRDefault="00A8331B" w:rsidP="00A8331B">
            <w:pPr>
              <w:snapToGrid w:val="0"/>
              <w:spacing w:before="60" w:after="60"/>
              <w:jc w:val="left"/>
            </w:pPr>
            <w:r w:rsidRPr="00BC2272">
              <w:rPr>
                <w:color w:val="000000"/>
              </w:rPr>
              <w:t>Mobile refrigeration: road: off engine</w:t>
            </w:r>
          </w:p>
        </w:tc>
        <w:tc>
          <w:tcPr>
            <w:tcW w:w="1233" w:type="dxa"/>
            <w:shd w:val="clear" w:color="auto" w:fill="auto"/>
            <w:vAlign w:val="center"/>
          </w:tcPr>
          <w:p w14:paraId="61538D49" w14:textId="3FEE548E" w:rsidR="00A8331B" w:rsidRPr="00BC2272" w:rsidRDefault="00A8331B" w:rsidP="00A8331B">
            <w:pPr>
              <w:snapToGrid w:val="0"/>
              <w:spacing w:before="60" w:after="60"/>
              <w:jc w:val="center"/>
            </w:pPr>
            <w:r w:rsidRPr="00BC2272">
              <w:rPr>
                <w:color w:val="000000"/>
                <w:lang w:val="en-US"/>
              </w:rPr>
              <w:t>17,600</w:t>
            </w:r>
          </w:p>
        </w:tc>
        <w:tc>
          <w:tcPr>
            <w:tcW w:w="1177" w:type="dxa"/>
            <w:vAlign w:val="center"/>
          </w:tcPr>
          <w:p w14:paraId="0FC06796" w14:textId="1D453A50" w:rsidR="00A8331B" w:rsidRPr="00BC2272" w:rsidRDefault="00A8331B" w:rsidP="00A8331B">
            <w:pPr>
              <w:snapToGrid w:val="0"/>
              <w:spacing w:before="60" w:after="60"/>
              <w:jc w:val="center"/>
            </w:pPr>
            <w:r w:rsidRPr="00BC2272">
              <w:rPr>
                <w:color w:val="000000"/>
                <w:lang w:val="en-US"/>
              </w:rPr>
              <w:t>17,600</w:t>
            </w:r>
          </w:p>
        </w:tc>
        <w:tc>
          <w:tcPr>
            <w:tcW w:w="1176" w:type="dxa"/>
            <w:shd w:val="clear" w:color="auto" w:fill="auto"/>
            <w:vAlign w:val="center"/>
          </w:tcPr>
          <w:p w14:paraId="5D601D95" w14:textId="5687DB0F" w:rsidR="00A8331B" w:rsidRPr="00BC2272" w:rsidRDefault="00A8331B" w:rsidP="00A8331B">
            <w:pPr>
              <w:snapToGrid w:val="0"/>
              <w:spacing w:before="60" w:after="60"/>
              <w:jc w:val="center"/>
            </w:pPr>
            <w:r w:rsidRPr="00BC2272">
              <w:rPr>
                <w:color w:val="000000"/>
                <w:lang w:val="en-US"/>
              </w:rPr>
              <w:t>20,800</w:t>
            </w:r>
          </w:p>
        </w:tc>
        <w:tc>
          <w:tcPr>
            <w:tcW w:w="1153" w:type="dxa"/>
            <w:shd w:val="clear" w:color="auto" w:fill="auto"/>
            <w:vAlign w:val="center"/>
          </w:tcPr>
          <w:p w14:paraId="4B5BC4D4" w14:textId="6F61DA1B" w:rsidR="00A8331B" w:rsidRPr="00BC2272" w:rsidRDefault="0022162B" w:rsidP="00A8331B">
            <w:pPr>
              <w:snapToGrid w:val="0"/>
              <w:spacing w:before="60" w:after="60"/>
              <w:jc w:val="center"/>
            </w:pPr>
            <w:r w:rsidRPr="00BC2272">
              <w:rPr>
                <w:color w:val="000000"/>
                <w:lang w:val="en-US"/>
              </w:rPr>
              <w:t>+</w:t>
            </w:r>
            <w:r w:rsidR="00A8331B" w:rsidRPr="00BC2272">
              <w:rPr>
                <w:color w:val="000000"/>
                <w:lang w:val="en-US"/>
              </w:rPr>
              <w:t>18%</w:t>
            </w:r>
          </w:p>
        </w:tc>
      </w:tr>
      <w:tr w:rsidR="00290B13" w14:paraId="35FB49B1" w14:textId="77777777" w:rsidTr="00D8549E">
        <w:trPr>
          <w:trHeight w:val="567"/>
        </w:trPr>
        <w:tc>
          <w:tcPr>
            <w:tcW w:w="1186" w:type="dxa"/>
            <w:shd w:val="clear" w:color="auto" w:fill="auto"/>
            <w:vAlign w:val="center"/>
          </w:tcPr>
          <w:p w14:paraId="2DFAED09" w14:textId="38800A11" w:rsidR="00A8331B" w:rsidRPr="00BC2272" w:rsidRDefault="00A8331B" w:rsidP="00A8331B">
            <w:pPr>
              <w:snapToGrid w:val="0"/>
              <w:spacing w:before="60" w:after="60"/>
              <w:jc w:val="center"/>
              <w:rPr>
                <w:color w:val="000000"/>
              </w:rPr>
            </w:pPr>
            <w:r w:rsidRPr="00BC2272">
              <w:rPr>
                <w:color w:val="000000"/>
              </w:rPr>
              <w:t>RCFC4-4</w:t>
            </w:r>
          </w:p>
        </w:tc>
        <w:tc>
          <w:tcPr>
            <w:tcW w:w="1466" w:type="dxa"/>
            <w:shd w:val="clear" w:color="auto" w:fill="auto"/>
            <w:vAlign w:val="center"/>
          </w:tcPr>
          <w:p w14:paraId="0E6445E5" w14:textId="3DBECB30" w:rsidR="00A8331B" w:rsidRPr="00BC2272" w:rsidRDefault="00A8331B" w:rsidP="00A8331B">
            <w:pPr>
              <w:snapToGrid w:val="0"/>
              <w:spacing w:before="60" w:after="60"/>
              <w:jc w:val="left"/>
              <w:rPr>
                <w:color w:val="000000"/>
              </w:rPr>
            </w:pPr>
            <w:r w:rsidRPr="00BC2272">
              <w:rPr>
                <w:color w:val="000000"/>
              </w:rPr>
              <w:t>Transport refrigeration</w:t>
            </w:r>
          </w:p>
        </w:tc>
        <w:tc>
          <w:tcPr>
            <w:tcW w:w="2101" w:type="dxa"/>
            <w:shd w:val="clear" w:color="auto" w:fill="auto"/>
            <w:vAlign w:val="center"/>
          </w:tcPr>
          <w:p w14:paraId="37DA0A94" w14:textId="69ED769E" w:rsidR="00A8331B" w:rsidRPr="00BC2272" w:rsidRDefault="00A8331B" w:rsidP="00A8331B">
            <w:pPr>
              <w:snapToGrid w:val="0"/>
              <w:spacing w:before="60" w:after="60"/>
              <w:jc w:val="left"/>
              <w:rPr>
                <w:color w:val="000000"/>
              </w:rPr>
            </w:pPr>
            <w:r w:rsidRPr="00BC2272">
              <w:rPr>
                <w:color w:val="000000"/>
              </w:rPr>
              <w:t>Mobile refrigeration: marine</w:t>
            </w:r>
          </w:p>
        </w:tc>
        <w:tc>
          <w:tcPr>
            <w:tcW w:w="1233" w:type="dxa"/>
            <w:shd w:val="clear" w:color="auto" w:fill="auto"/>
            <w:vAlign w:val="center"/>
          </w:tcPr>
          <w:p w14:paraId="42D4A5EF" w14:textId="4EFA582F" w:rsidR="00A8331B" w:rsidRPr="00BC2272" w:rsidRDefault="00A8331B" w:rsidP="00A8331B">
            <w:pPr>
              <w:snapToGrid w:val="0"/>
              <w:spacing w:before="60" w:after="60"/>
              <w:jc w:val="center"/>
              <w:rPr>
                <w:color w:val="000000"/>
              </w:rPr>
            </w:pPr>
            <w:r w:rsidRPr="00BC2272">
              <w:rPr>
                <w:color w:val="000000"/>
                <w:lang w:val="en-US"/>
              </w:rPr>
              <w:t>420</w:t>
            </w:r>
          </w:p>
        </w:tc>
        <w:tc>
          <w:tcPr>
            <w:tcW w:w="1177" w:type="dxa"/>
            <w:vAlign w:val="center"/>
          </w:tcPr>
          <w:p w14:paraId="72223B01" w14:textId="7DCFD27C" w:rsidR="00A8331B" w:rsidRPr="00BC2272" w:rsidRDefault="00A8331B" w:rsidP="00A8331B">
            <w:pPr>
              <w:snapToGrid w:val="0"/>
              <w:spacing w:before="60" w:after="60"/>
              <w:jc w:val="center"/>
              <w:rPr>
                <w:color w:val="000000"/>
              </w:rPr>
            </w:pPr>
            <w:r w:rsidRPr="00BC2272">
              <w:rPr>
                <w:color w:val="000000"/>
                <w:lang w:val="en-US"/>
              </w:rPr>
              <w:t>420</w:t>
            </w:r>
          </w:p>
        </w:tc>
        <w:tc>
          <w:tcPr>
            <w:tcW w:w="1176" w:type="dxa"/>
            <w:shd w:val="clear" w:color="auto" w:fill="auto"/>
            <w:vAlign w:val="center"/>
          </w:tcPr>
          <w:p w14:paraId="72EE9751" w14:textId="64A8D915" w:rsidR="00A8331B" w:rsidRPr="00BC2272" w:rsidRDefault="00A8331B" w:rsidP="00A8331B">
            <w:pPr>
              <w:snapToGrid w:val="0"/>
              <w:spacing w:before="60" w:after="60"/>
              <w:jc w:val="center"/>
              <w:rPr>
                <w:color w:val="000000"/>
              </w:rPr>
            </w:pPr>
            <w:r w:rsidRPr="00BC2272">
              <w:rPr>
                <w:color w:val="000000"/>
                <w:lang w:val="en-US"/>
              </w:rPr>
              <w:t>410</w:t>
            </w:r>
          </w:p>
        </w:tc>
        <w:tc>
          <w:tcPr>
            <w:tcW w:w="1153" w:type="dxa"/>
            <w:shd w:val="clear" w:color="auto" w:fill="auto"/>
            <w:vAlign w:val="center"/>
          </w:tcPr>
          <w:p w14:paraId="462FE1EE" w14:textId="0D8D3EC5" w:rsidR="00A8331B" w:rsidRPr="00BC2272" w:rsidRDefault="00A8331B" w:rsidP="00A8331B">
            <w:pPr>
              <w:snapToGrid w:val="0"/>
              <w:spacing w:before="60" w:after="60"/>
              <w:jc w:val="center"/>
              <w:rPr>
                <w:color w:val="000000"/>
              </w:rPr>
            </w:pPr>
            <w:r w:rsidRPr="00BC2272">
              <w:rPr>
                <w:color w:val="000000"/>
                <w:lang w:val="en-US"/>
              </w:rPr>
              <w:t>-2%</w:t>
            </w:r>
          </w:p>
        </w:tc>
      </w:tr>
      <w:tr w:rsidR="00290B13" w14:paraId="5CAA3724" w14:textId="77777777" w:rsidTr="00D8549E">
        <w:trPr>
          <w:trHeight w:val="567"/>
        </w:trPr>
        <w:tc>
          <w:tcPr>
            <w:tcW w:w="1186" w:type="dxa"/>
            <w:shd w:val="clear" w:color="auto" w:fill="auto"/>
            <w:vAlign w:val="center"/>
          </w:tcPr>
          <w:p w14:paraId="1791CE86" w14:textId="2BE510C0" w:rsidR="00A8331B" w:rsidRPr="00BC2272" w:rsidRDefault="00A8331B" w:rsidP="00A8331B">
            <w:pPr>
              <w:snapToGrid w:val="0"/>
              <w:spacing w:before="60" w:after="60"/>
              <w:jc w:val="center"/>
              <w:rPr>
                <w:color w:val="000000"/>
              </w:rPr>
            </w:pPr>
            <w:r w:rsidRPr="00BC2272">
              <w:rPr>
                <w:color w:val="000000"/>
              </w:rPr>
              <w:t>RCFC5-1</w:t>
            </w:r>
          </w:p>
        </w:tc>
        <w:tc>
          <w:tcPr>
            <w:tcW w:w="1466" w:type="dxa"/>
            <w:shd w:val="clear" w:color="auto" w:fill="auto"/>
            <w:vAlign w:val="center"/>
          </w:tcPr>
          <w:p w14:paraId="4FACA2E0" w14:textId="28BFA698" w:rsidR="00A8331B" w:rsidRPr="00BC2272" w:rsidRDefault="00A8331B" w:rsidP="00A8331B">
            <w:pPr>
              <w:snapToGrid w:val="0"/>
              <w:spacing w:before="60" w:after="60"/>
              <w:jc w:val="left"/>
              <w:rPr>
                <w:color w:val="000000"/>
              </w:rPr>
            </w:pPr>
            <w:r w:rsidRPr="00BC2272">
              <w:rPr>
                <w:color w:val="000000"/>
              </w:rPr>
              <w:t>Industrial refrigeration</w:t>
            </w:r>
          </w:p>
        </w:tc>
        <w:tc>
          <w:tcPr>
            <w:tcW w:w="2101" w:type="dxa"/>
            <w:tcBorders>
              <w:bottom w:val="single" w:sz="4" w:space="0" w:color="000000"/>
            </w:tcBorders>
            <w:shd w:val="clear" w:color="auto" w:fill="auto"/>
            <w:vAlign w:val="center"/>
          </w:tcPr>
          <w:p w14:paraId="2CF14E0F" w14:textId="7EC1DC5C" w:rsidR="00A8331B" w:rsidRPr="00BC2272" w:rsidRDefault="00A8331B" w:rsidP="00A8331B">
            <w:pPr>
              <w:snapToGrid w:val="0"/>
              <w:spacing w:before="60" w:after="60"/>
              <w:jc w:val="left"/>
              <w:rPr>
                <w:color w:val="000000"/>
              </w:rPr>
            </w:pPr>
            <w:r w:rsidRPr="00BC2272">
              <w:rPr>
                <w:color w:val="000000"/>
              </w:rPr>
              <w:t>Cold storage and distribution</w:t>
            </w:r>
          </w:p>
        </w:tc>
        <w:tc>
          <w:tcPr>
            <w:tcW w:w="1233" w:type="dxa"/>
            <w:tcBorders>
              <w:bottom w:val="single" w:sz="4" w:space="0" w:color="000000"/>
            </w:tcBorders>
            <w:shd w:val="clear" w:color="auto" w:fill="auto"/>
            <w:vAlign w:val="center"/>
          </w:tcPr>
          <w:p w14:paraId="404C5164" w14:textId="24D6431D" w:rsidR="00A8331B" w:rsidRPr="00BC2272" w:rsidRDefault="00A8331B" w:rsidP="00A8331B">
            <w:pPr>
              <w:snapToGrid w:val="0"/>
              <w:spacing w:before="60" w:after="60"/>
              <w:jc w:val="center"/>
              <w:rPr>
                <w:color w:val="000000"/>
              </w:rPr>
            </w:pPr>
            <w:r w:rsidRPr="00BC2272">
              <w:rPr>
                <w:color w:val="000000"/>
                <w:lang w:val="en-US"/>
              </w:rPr>
              <w:t>13.05 Million m</w:t>
            </w:r>
            <w:r w:rsidRPr="00BC2272">
              <w:rPr>
                <w:color w:val="000000"/>
                <w:vertAlign w:val="superscript"/>
                <w:lang w:val="en-US"/>
              </w:rPr>
              <w:t>3</w:t>
            </w:r>
          </w:p>
        </w:tc>
        <w:tc>
          <w:tcPr>
            <w:tcW w:w="1177" w:type="dxa"/>
            <w:tcBorders>
              <w:bottom w:val="single" w:sz="4" w:space="0" w:color="000000"/>
            </w:tcBorders>
            <w:vAlign w:val="center"/>
          </w:tcPr>
          <w:p w14:paraId="01A179BC" w14:textId="0BCC1604" w:rsidR="00A8331B" w:rsidRPr="00BC2272" w:rsidRDefault="00A8331B" w:rsidP="00A8331B">
            <w:pPr>
              <w:snapToGrid w:val="0"/>
              <w:spacing w:before="60" w:after="60"/>
              <w:jc w:val="center"/>
              <w:rPr>
                <w:color w:val="000000"/>
              </w:rPr>
            </w:pPr>
            <w:r w:rsidRPr="00BC2272">
              <w:rPr>
                <w:color w:val="000000"/>
                <w:lang w:val="en-US"/>
              </w:rPr>
              <w:t>13.05 Million m</w:t>
            </w:r>
            <w:r w:rsidRPr="00BC2272">
              <w:rPr>
                <w:color w:val="000000"/>
                <w:vertAlign w:val="superscript"/>
                <w:lang w:val="en-US"/>
              </w:rPr>
              <w:t>3</w:t>
            </w:r>
            <w:r w:rsidRPr="00BC2272">
              <w:rPr>
                <w:color w:val="000000"/>
                <w:lang w:val="en-US"/>
              </w:rPr>
              <w:t> </w:t>
            </w:r>
          </w:p>
        </w:tc>
        <w:tc>
          <w:tcPr>
            <w:tcW w:w="1176" w:type="dxa"/>
            <w:tcBorders>
              <w:bottom w:val="single" w:sz="4" w:space="0" w:color="000000"/>
            </w:tcBorders>
            <w:shd w:val="clear" w:color="auto" w:fill="auto"/>
            <w:vAlign w:val="center"/>
          </w:tcPr>
          <w:p w14:paraId="4ADB4F28" w14:textId="112B3698" w:rsidR="00A8331B" w:rsidRPr="00BC2272" w:rsidRDefault="00A8331B" w:rsidP="00A8331B">
            <w:pPr>
              <w:snapToGrid w:val="0"/>
              <w:spacing w:before="60" w:after="60"/>
              <w:jc w:val="center"/>
              <w:rPr>
                <w:color w:val="000000"/>
              </w:rPr>
            </w:pPr>
            <w:r w:rsidRPr="00BC2272">
              <w:rPr>
                <w:color w:val="000000"/>
                <w:lang w:val="en-US"/>
              </w:rPr>
              <w:t>15 Million m</w:t>
            </w:r>
            <w:r w:rsidRPr="00BC2272">
              <w:rPr>
                <w:color w:val="000000"/>
                <w:vertAlign w:val="superscript"/>
                <w:lang w:val="en-US"/>
              </w:rPr>
              <w:t>3</w:t>
            </w:r>
          </w:p>
        </w:tc>
        <w:tc>
          <w:tcPr>
            <w:tcW w:w="1153" w:type="dxa"/>
            <w:tcBorders>
              <w:bottom w:val="single" w:sz="4" w:space="0" w:color="000000"/>
            </w:tcBorders>
            <w:shd w:val="clear" w:color="auto" w:fill="auto"/>
            <w:vAlign w:val="center"/>
          </w:tcPr>
          <w:p w14:paraId="5A788599" w14:textId="17F937CB" w:rsidR="00A8331B" w:rsidRPr="00BC2272" w:rsidRDefault="0022162B" w:rsidP="00A8331B">
            <w:pPr>
              <w:snapToGrid w:val="0"/>
              <w:spacing w:before="60" w:after="60"/>
              <w:jc w:val="center"/>
              <w:rPr>
                <w:color w:val="000000"/>
              </w:rPr>
            </w:pPr>
            <w:r w:rsidRPr="00BC2272">
              <w:rPr>
                <w:color w:val="000000"/>
                <w:lang w:val="en-US"/>
              </w:rPr>
              <w:t>+</w:t>
            </w:r>
            <w:r w:rsidR="00A8331B" w:rsidRPr="00BC2272">
              <w:rPr>
                <w:color w:val="000000"/>
                <w:lang w:val="en-US"/>
              </w:rPr>
              <w:t>13%</w:t>
            </w:r>
          </w:p>
        </w:tc>
      </w:tr>
      <w:tr w:rsidR="00290B13" w14:paraId="2F57BCF8" w14:textId="77777777" w:rsidTr="00D8549E">
        <w:trPr>
          <w:trHeight w:val="567"/>
        </w:trPr>
        <w:tc>
          <w:tcPr>
            <w:tcW w:w="4753" w:type="dxa"/>
            <w:gridSpan w:val="3"/>
            <w:shd w:val="clear" w:color="auto" w:fill="auto"/>
            <w:vAlign w:val="center"/>
          </w:tcPr>
          <w:p w14:paraId="2A54FFED" w14:textId="0D603454" w:rsidR="00A8331B" w:rsidRPr="00BC2272" w:rsidRDefault="00A8331B" w:rsidP="00A8331B">
            <w:pPr>
              <w:snapToGrid w:val="0"/>
              <w:spacing w:before="60" w:after="60"/>
            </w:pPr>
            <w:r w:rsidRPr="00BC2272">
              <w:t>Total RCFC</w:t>
            </w:r>
          </w:p>
        </w:tc>
        <w:tc>
          <w:tcPr>
            <w:tcW w:w="1233" w:type="dxa"/>
            <w:shd w:val="clear" w:color="auto" w:fill="auto"/>
            <w:vAlign w:val="center"/>
          </w:tcPr>
          <w:p w14:paraId="19EAE810" w14:textId="52DCF307" w:rsidR="00A8331B" w:rsidRPr="00BC2272" w:rsidRDefault="00A8331B" w:rsidP="00A8331B">
            <w:pPr>
              <w:snapToGrid w:val="0"/>
              <w:spacing w:before="60" w:after="60"/>
              <w:jc w:val="center"/>
            </w:pPr>
            <w:r w:rsidRPr="00BC2272">
              <w:rPr>
                <w:color w:val="000000"/>
                <w:lang w:val="en-US"/>
              </w:rPr>
              <w:t>1</w:t>
            </w:r>
            <w:r w:rsidR="00290B13" w:rsidRPr="00BC2272">
              <w:rPr>
                <w:color w:val="000000"/>
                <w:lang w:val="en-US"/>
              </w:rPr>
              <w:t>.08</w:t>
            </w:r>
            <w:r w:rsidR="009F5EAE" w:rsidRPr="00BC2272">
              <w:rPr>
                <w:color w:val="000000"/>
                <w:lang w:val="en-US"/>
              </w:rPr>
              <w:t xml:space="preserve"> </w:t>
            </w:r>
            <w:r w:rsidR="009F5EAE" w:rsidRPr="00BC2272">
              <w:rPr>
                <w:color w:val="000000"/>
                <w:vertAlign w:val="superscript"/>
                <w:lang w:val="en-US"/>
              </w:rPr>
              <w:t>(10)</w:t>
            </w:r>
            <w:r w:rsidR="00290B13" w:rsidRPr="00BC2272">
              <w:rPr>
                <w:color w:val="000000"/>
                <w:lang w:val="en-US"/>
              </w:rPr>
              <w:t xml:space="preserve"> Million</w:t>
            </w:r>
          </w:p>
        </w:tc>
        <w:tc>
          <w:tcPr>
            <w:tcW w:w="1177" w:type="dxa"/>
            <w:vAlign w:val="center"/>
          </w:tcPr>
          <w:p w14:paraId="61A78769" w14:textId="3A882DAD" w:rsidR="00A8331B" w:rsidRPr="00BC2272" w:rsidRDefault="00290B13" w:rsidP="00A8331B">
            <w:pPr>
              <w:snapToGrid w:val="0"/>
              <w:spacing w:before="60" w:after="60"/>
              <w:jc w:val="center"/>
              <w:rPr>
                <w:color w:val="000000"/>
              </w:rPr>
            </w:pPr>
            <w:r w:rsidRPr="00BC2272">
              <w:rPr>
                <w:color w:val="000000"/>
                <w:lang w:val="en-US"/>
              </w:rPr>
              <w:t>1</w:t>
            </w:r>
            <w:r w:rsidR="0022162B" w:rsidRPr="00BC2272">
              <w:rPr>
                <w:color w:val="000000"/>
                <w:lang w:val="en-US"/>
              </w:rPr>
              <w:t>.4</w:t>
            </w:r>
            <w:r w:rsidR="001D33D8" w:rsidRPr="00BC2272">
              <w:rPr>
                <w:color w:val="000000"/>
                <w:lang w:val="en-US"/>
              </w:rPr>
              <w:t>9</w:t>
            </w:r>
            <w:r w:rsidRPr="00BC2272">
              <w:rPr>
                <w:color w:val="000000"/>
                <w:lang w:val="en-US"/>
              </w:rPr>
              <w:t xml:space="preserve"> Million</w:t>
            </w:r>
          </w:p>
        </w:tc>
        <w:tc>
          <w:tcPr>
            <w:tcW w:w="1176" w:type="dxa"/>
            <w:shd w:val="clear" w:color="auto" w:fill="auto"/>
            <w:vAlign w:val="center"/>
          </w:tcPr>
          <w:p w14:paraId="63D573CB" w14:textId="06E63EBA" w:rsidR="00A8331B" w:rsidRPr="00BC2272" w:rsidRDefault="0022162B" w:rsidP="00A8331B">
            <w:pPr>
              <w:snapToGrid w:val="0"/>
              <w:spacing w:before="60" w:after="60"/>
              <w:jc w:val="center"/>
            </w:pPr>
            <w:r w:rsidRPr="00BC2272">
              <w:rPr>
                <w:color w:val="000000"/>
                <w:lang w:val="en-US"/>
              </w:rPr>
              <w:t>1.</w:t>
            </w:r>
            <w:r w:rsidR="001D33D8" w:rsidRPr="00BC2272">
              <w:rPr>
                <w:color w:val="000000"/>
                <w:lang w:val="en-US"/>
              </w:rPr>
              <w:t>65</w:t>
            </w:r>
            <w:r w:rsidR="00290B13" w:rsidRPr="00BC2272">
              <w:rPr>
                <w:color w:val="000000"/>
                <w:lang w:val="en-US"/>
              </w:rPr>
              <w:t xml:space="preserve"> Million</w:t>
            </w:r>
          </w:p>
        </w:tc>
        <w:tc>
          <w:tcPr>
            <w:tcW w:w="1153" w:type="dxa"/>
            <w:shd w:val="clear" w:color="auto" w:fill="auto"/>
            <w:vAlign w:val="center"/>
          </w:tcPr>
          <w:p w14:paraId="0EC8259D" w14:textId="33041A82" w:rsidR="00A8331B" w:rsidRPr="00BC2272" w:rsidRDefault="0022162B" w:rsidP="00A8331B">
            <w:pPr>
              <w:snapToGrid w:val="0"/>
              <w:spacing w:before="60" w:after="60"/>
              <w:jc w:val="center"/>
            </w:pPr>
            <w:r w:rsidRPr="00BC2272">
              <w:rPr>
                <w:color w:val="000000"/>
                <w:lang w:val="en-US"/>
              </w:rPr>
              <w:t>+11</w:t>
            </w:r>
            <w:r w:rsidR="00A8331B" w:rsidRPr="00BC2272">
              <w:rPr>
                <w:color w:val="000000"/>
                <w:lang w:val="en-US"/>
              </w:rPr>
              <w:t>%</w:t>
            </w:r>
          </w:p>
        </w:tc>
      </w:tr>
    </w:tbl>
    <w:p w14:paraId="31E9BF2C" w14:textId="77777777" w:rsidR="00313889" w:rsidRPr="00116557" w:rsidRDefault="00313889" w:rsidP="00313889">
      <w:pPr>
        <w:spacing w:before="0"/>
        <w:rPr>
          <w:sz w:val="20"/>
          <w:szCs w:val="20"/>
        </w:rPr>
      </w:pPr>
      <w:r w:rsidRPr="00E668CC">
        <w:rPr>
          <w:sz w:val="20"/>
          <w:szCs w:val="20"/>
        </w:rPr>
        <w:t>(Sources: A2EP 2017, AACS 2015, AMSA 2017, DoEE 2017a, DoEE 2013, MC 2017, WF 2017a, WF 2017b, WOW 2017a, WOW 2017b, and industry informants)</w:t>
      </w:r>
    </w:p>
    <w:p w14:paraId="1E2C0D8E" w14:textId="77777777" w:rsidR="002B6D25" w:rsidRDefault="002B6D25" w:rsidP="002B6D25">
      <w:pPr>
        <w:spacing w:before="0"/>
        <w:rPr>
          <w:sz w:val="20"/>
          <w:szCs w:val="20"/>
        </w:rPr>
      </w:pPr>
    </w:p>
    <w:p w14:paraId="1B10B736" w14:textId="77777777" w:rsidR="002B6D25" w:rsidRDefault="002B6D25" w:rsidP="002B6D25">
      <w:pPr>
        <w:spacing w:before="0"/>
        <w:rPr>
          <w:sz w:val="20"/>
          <w:szCs w:val="20"/>
        </w:rPr>
      </w:pPr>
      <w:r>
        <w:rPr>
          <w:sz w:val="20"/>
          <w:szCs w:val="20"/>
        </w:rPr>
        <w:t>Notes</w:t>
      </w:r>
    </w:p>
    <w:p w14:paraId="3ADD47C2" w14:textId="61735ED2" w:rsidR="005A120D" w:rsidRPr="00FA6823" w:rsidRDefault="0078159F" w:rsidP="00FC735C">
      <w:pPr>
        <w:pStyle w:val="ListParagraph"/>
        <w:numPr>
          <w:ilvl w:val="0"/>
          <w:numId w:val="47"/>
        </w:numPr>
        <w:snapToGrid w:val="0"/>
        <w:spacing w:before="60" w:after="0" w:line="240" w:lineRule="auto"/>
        <w:ind w:left="357" w:hanging="357"/>
        <w:contextualSpacing w:val="0"/>
        <w:jc w:val="both"/>
        <w:rPr>
          <w:rFonts w:ascii="Times New Roman" w:hAnsi="Times New Roman"/>
          <w:sz w:val="20"/>
          <w:szCs w:val="20"/>
        </w:rPr>
      </w:pPr>
      <w:r w:rsidRPr="00FA6823">
        <w:rPr>
          <w:rFonts w:ascii="Times New Roman" w:hAnsi="Times New Roman"/>
          <w:sz w:val="20"/>
          <w:szCs w:val="20"/>
        </w:rPr>
        <w:t>Stock v</w:t>
      </w:r>
      <w:r w:rsidR="005A120D" w:rsidRPr="00FA6823">
        <w:rPr>
          <w:rFonts w:ascii="Times New Roman" w:hAnsi="Times New Roman"/>
          <w:sz w:val="20"/>
          <w:szCs w:val="20"/>
        </w:rPr>
        <w:t xml:space="preserve">alues </w:t>
      </w:r>
      <w:r w:rsidR="003356A0" w:rsidRPr="00FA6823">
        <w:rPr>
          <w:rFonts w:ascii="Times New Roman" w:hAnsi="Times New Roman"/>
          <w:sz w:val="20"/>
          <w:szCs w:val="20"/>
        </w:rPr>
        <w:t>are r</w:t>
      </w:r>
      <w:r w:rsidR="005A120D" w:rsidRPr="00FA6823">
        <w:rPr>
          <w:rFonts w:ascii="Times New Roman" w:hAnsi="Times New Roman"/>
          <w:sz w:val="20"/>
          <w:szCs w:val="20"/>
        </w:rPr>
        <w:t xml:space="preserve">ounded to the </w:t>
      </w:r>
      <w:r w:rsidR="003356A0" w:rsidRPr="00FA6823">
        <w:rPr>
          <w:rFonts w:ascii="Times New Roman" w:hAnsi="Times New Roman"/>
          <w:sz w:val="20"/>
          <w:szCs w:val="20"/>
        </w:rPr>
        <w:t>n</w:t>
      </w:r>
      <w:r w:rsidR="005A120D" w:rsidRPr="00FA6823">
        <w:rPr>
          <w:rFonts w:ascii="Times New Roman" w:hAnsi="Times New Roman"/>
          <w:sz w:val="20"/>
          <w:szCs w:val="20"/>
        </w:rPr>
        <w:t xml:space="preserve">earest </w:t>
      </w:r>
      <w:r w:rsidR="003356A0" w:rsidRPr="00FA6823">
        <w:rPr>
          <w:rFonts w:ascii="Times New Roman" w:hAnsi="Times New Roman"/>
          <w:sz w:val="20"/>
          <w:szCs w:val="20"/>
        </w:rPr>
        <w:t>h</w:t>
      </w:r>
      <w:r w:rsidR="005A120D" w:rsidRPr="00FA6823">
        <w:rPr>
          <w:rFonts w:ascii="Times New Roman" w:hAnsi="Times New Roman"/>
          <w:sz w:val="20"/>
          <w:szCs w:val="20"/>
        </w:rPr>
        <w:t>undred</w:t>
      </w:r>
      <w:r w:rsidR="00313889" w:rsidRPr="00FA6823">
        <w:rPr>
          <w:rFonts w:ascii="Times New Roman" w:hAnsi="Times New Roman"/>
          <w:sz w:val="20"/>
          <w:szCs w:val="20"/>
        </w:rPr>
        <w:t>.</w:t>
      </w:r>
    </w:p>
    <w:p w14:paraId="06727B2A" w14:textId="3B6CDE9E" w:rsidR="00FA6823" w:rsidRDefault="0078159F" w:rsidP="00FC735C">
      <w:pPr>
        <w:pStyle w:val="ListParagraph"/>
        <w:numPr>
          <w:ilvl w:val="0"/>
          <w:numId w:val="47"/>
        </w:numPr>
        <w:snapToGrid w:val="0"/>
        <w:spacing w:before="60" w:after="0" w:line="240" w:lineRule="auto"/>
        <w:ind w:left="357" w:hanging="357"/>
        <w:contextualSpacing w:val="0"/>
        <w:jc w:val="both"/>
        <w:rPr>
          <w:rFonts w:ascii="Times New Roman" w:hAnsi="Times New Roman"/>
          <w:sz w:val="20"/>
          <w:szCs w:val="20"/>
          <w:lang w:val="en-AU"/>
        </w:rPr>
      </w:pPr>
      <w:r w:rsidRPr="00FA6823">
        <w:rPr>
          <w:rFonts w:ascii="Times New Roman" w:hAnsi="Times New Roman"/>
          <w:sz w:val="20"/>
          <w:szCs w:val="20"/>
          <w:lang w:val="en-AU"/>
        </w:rPr>
        <w:t xml:space="preserve">In many instances the </w:t>
      </w:r>
      <w:r w:rsidR="00FA6823">
        <w:rPr>
          <w:rFonts w:ascii="Times New Roman" w:hAnsi="Times New Roman"/>
          <w:sz w:val="20"/>
          <w:szCs w:val="20"/>
          <w:lang w:val="en-AU"/>
        </w:rPr>
        <w:t xml:space="preserve">CHF2 </w:t>
      </w:r>
      <w:r w:rsidRPr="00FA6823">
        <w:rPr>
          <w:rFonts w:ascii="Times New Roman" w:hAnsi="Times New Roman"/>
          <w:sz w:val="20"/>
          <w:szCs w:val="20"/>
          <w:lang w:val="en-AU"/>
        </w:rPr>
        <w:t>2012 stock value has been revised based on improved information. For example, the s</w:t>
      </w:r>
      <w:r w:rsidR="002B6D25" w:rsidRPr="00FA6823">
        <w:rPr>
          <w:rFonts w:ascii="Times New Roman" w:hAnsi="Times New Roman"/>
          <w:sz w:val="20"/>
          <w:szCs w:val="20"/>
          <w:lang w:val="en-AU"/>
        </w:rPr>
        <w:t xml:space="preserve">tock of self-contained refrigeration display cabinets </w:t>
      </w:r>
      <w:r w:rsidR="00B46012" w:rsidRPr="00FA6823">
        <w:rPr>
          <w:rFonts w:ascii="Times New Roman" w:hAnsi="Times New Roman"/>
          <w:sz w:val="20"/>
          <w:szCs w:val="20"/>
          <w:lang w:val="en-AU"/>
        </w:rPr>
        <w:t xml:space="preserve">reported </w:t>
      </w:r>
      <w:r w:rsidRPr="00FA6823">
        <w:rPr>
          <w:rFonts w:ascii="Times New Roman" w:hAnsi="Times New Roman"/>
          <w:sz w:val="20"/>
          <w:szCs w:val="20"/>
          <w:lang w:val="en-AU"/>
        </w:rPr>
        <w:t xml:space="preserve">in CHF2 was estimated as </w:t>
      </w:r>
      <w:r w:rsidR="002B6D25" w:rsidRPr="00FA6823">
        <w:rPr>
          <w:rFonts w:ascii="Times New Roman" w:hAnsi="Times New Roman"/>
          <w:sz w:val="20"/>
          <w:szCs w:val="20"/>
          <w:lang w:val="en-AU"/>
        </w:rPr>
        <w:t xml:space="preserve">447,000. </w:t>
      </w:r>
      <w:r w:rsidRPr="00FA6823">
        <w:rPr>
          <w:rFonts w:ascii="Times New Roman" w:hAnsi="Times New Roman"/>
          <w:sz w:val="20"/>
          <w:szCs w:val="20"/>
          <w:lang w:val="en-AU"/>
        </w:rPr>
        <w:t>I</w:t>
      </w:r>
      <w:r w:rsidR="002B6D25" w:rsidRPr="00FA6823">
        <w:rPr>
          <w:rFonts w:ascii="Times New Roman" w:hAnsi="Times New Roman"/>
          <w:sz w:val="20"/>
          <w:szCs w:val="20"/>
          <w:lang w:val="en-AU"/>
        </w:rPr>
        <w:t xml:space="preserve">mproved data from the Regulatory Impact Statement on Refrigerated Display and Storage Cabinets </w:t>
      </w:r>
      <w:r w:rsidRPr="00FA6823">
        <w:rPr>
          <w:rFonts w:ascii="Times New Roman" w:hAnsi="Times New Roman"/>
          <w:sz w:val="20"/>
          <w:szCs w:val="20"/>
          <w:lang w:val="en-AU"/>
        </w:rPr>
        <w:t xml:space="preserve">increased the </w:t>
      </w:r>
      <w:r w:rsidR="002B6D25" w:rsidRPr="00FA6823">
        <w:rPr>
          <w:rFonts w:ascii="Times New Roman" w:hAnsi="Times New Roman"/>
          <w:sz w:val="20"/>
          <w:szCs w:val="20"/>
          <w:lang w:val="en-AU"/>
        </w:rPr>
        <w:t xml:space="preserve">stock </w:t>
      </w:r>
      <w:r w:rsidR="00313889" w:rsidRPr="00FA6823">
        <w:rPr>
          <w:rFonts w:ascii="Times New Roman" w:hAnsi="Times New Roman"/>
          <w:sz w:val="20"/>
          <w:szCs w:val="20"/>
          <w:lang w:val="en-AU"/>
        </w:rPr>
        <w:t xml:space="preserve">value </w:t>
      </w:r>
      <w:r w:rsidRPr="00FA6823">
        <w:rPr>
          <w:rFonts w:ascii="Times New Roman" w:hAnsi="Times New Roman"/>
          <w:sz w:val="20"/>
          <w:szCs w:val="20"/>
          <w:lang w:val="en-AU"/>
        </w:rPr>
        <w:t xml:space="preserve">to 578,000. This </w:t>
      </w:r>
      <w:r w:rsidR="00FA6823">
        <w:rPr>
          <w:rFonts w:ascii="Times New Roman" w:hAnsi="Times New Roman"/>
          <w:sz w:val="20"/>
          <w:szCs w:val="20"/>
          <w:lang w:val="en-AU"/>
        </w:rPr>
        <w:t xml:space="preserve">revised </w:t>
      </w:r>
      <w:r w:rsidRPr="00FA6823">
        <w:rPr>
          <w:rFonts w:ascii="Times New Roman" w:hAnsi="Times New Roman"/>
          <w:sz w:val="20"/>
          <w:szCs w:val="20"/>
          <w:lang w:val="en-AU"/>
        </w:rPr>
        <w:t xml:space="preserve">value is listed under </w:t>
      </w:r>
      <w:r w:rsidR="00FA6823">
        <w:rPr>
          <w:rFonts w:ascii="Times New Roman" w:hAnsi="Times New Roman"/>
          <w:sz w:val="20"/>
          <w:szCs w:val="20"/>
          <w:lang w:val="en-AU"/>
        </w:rPr>
        <w:t xml:space="preserve">the </w:t>
      </w:r>
      <w:r w:rsidRPr="00FA6823">
        <w:rPr>
          <w:rFonts w:ascii="Times New Roman" w:hAnsi="Times New Roman"/>
          <w:sz w:val="20"/>
          <w:szCs w:val="20"/>
          <w:lang w:val="en-AU"/>
        </w:rPr>
        <w:t xml:space="preserve">CHF3 2012 column. </w:t>
      </w:r>
    </w:p>
    <w:p w14:paraId="6B51560D" w14:textId="1324D0FF" w:rsidR="002B6D25" w:rsidRPr="00FA6823" w:rsidRDefault="0078159F" w:rsidP="00FC735C">
      <w:pPr>
        <w:pStyle w:val="ListParagraph"/>
        <w:numPr>
          <w:ilvl w:val="0"/>
          <w:numId w:val="47"/>
        </w:numPr>
        <w:snapToGrid w:val="0"/>
        <w:spacing w:before="60" w:after="0" w:line="240" w:lineRule="auto"/>
        <w:ind w:left="357" w:hanging="357"/>
        <w:contextualSpacing w:val="0"/>
        <w:jc w:val="both"/>
        <w:rPr>
          <w:rFonts w:ascii="Times New Roman" w:hAnsi="Times New Roman"/>
          <w:sz w:val="20"/>
          <w:szCs w:val="20"/>
          <w:lang w:val="en-AU"/>
        </w:rPr>
      </w:pPr>
      <w:r w:rsidRPr="00FA6823">
        <w:rPr>
          <w:rFonts w:ascii="Times New Roman" w:hAnsi="Times New Roman"/>
          <w:sz w:val="20"/>
          <w:szCs w:val="20"/>
          <w:lang w:val="en-AU"/>
        </w:rPr>
        <w:t xml:space="preserve">The change per cent compares the CHF3 2012 revised value with the CHF3 2016 estimate. </w:t>
      </w:r>
    </w:p>
    <w:p w14:paraId="1DE26882" w14:textId="47AD77AC" w:rsidR="002B6D25" w:rsidRPr="00FA6823" w:rsidRDefault="002B6D25" w:rsidP="00FC735C">
      <w:pPr>
        <w:pStyle w:val="ListParagraph"/>
        <w:numPr>
          <w:ilvl w:val="0"/>
          <w:numId w:val="47"/>
        </w:numPr>
        <w:snapToGrid w:val="0"/>
        <w:spacing w:before="60" w:after="0" w:line="240" w:lineRule="auto"/>
        <w:ind w:left="357" w:hanging="357"/>
        <w:contextualSpacing w:val="0"/>
        <w:jc w:val="both"/>
        <w:rPr>
          <w:rFonts w:ascii="Times New Roman" w:hAnsi="Times New Roman"/>
          <w:sz w:val="20"/>
          <w:szCs w:val="20"/>
          <w:lang w:val="en-AU"/>
        </w:rPr>
      </w:pPr>
      <w:r w:rsidRPr="00FA6823">
        <w:rPr>
          <w:rFonts w:ascii="Times New Roman" w:hAnsi="Times New Roman"/>
          <w:sz w:val="20"/>
          <w:szCs w:val="20"/>
          <w:lang w:val="en-AU"/>
        </w:rPr>
        <w:t>Data on walk</w:t>
      </w:r>
      <w:r w:rsidR="00D04839">
        <w:rPr>
          <w:rFonts w:ascii="Times New Roman" w:hAnsi="Times New Roman"/>
          <w:sz w:val="20"/>
          <w:szCs w:val="20"/>
          <w:lang w:val="en-AU"/>
        </w:rPr>
        <w:t>-</w:t>
      </w:r>
      <w:r w:rsidRPr="00FA6823">
        <w:rPr>
          <w:rFonts w:ascii="Times New Roman" w:hAnsi="Times New Roman"/>
          <w:sz w:val="20"/>
          <w:szCs w:val="20"/>
          <w:lang w:val="en-AU"/>
        </w:rPr>
        <w:t>in cool</w:t>
      </w:r>
      <w:r w:rsidR="001E68A3">
        <w:rPr>
          <w:rFonts w:ascii="Times New Roman" w:hAnsi="Times New Roman"/>
          <w:sz w:val="20"/>
          <w:szCs w:val="20"/>
          <w:lang w:val="en-AU"/>
        </w:rPr>
        <w:t xml:space="preserve"> </w:t>
      </w:r>
      <w:r w:rsidRPr="00FA6823">
        <w:rPr>
          <w:rFonts w:ascii="Times New Roman" w:hAnsi="Times New Roman"/>
          <w:sz w:val="20"/>
          <w:szCs w:val="20"/>
          <w:lang w:val="en-AU"/>
        </w:rPr>
        <w:t xml:space="preserve">rooms of all sizes has improved significantly since 2012 with both new self-contained mini and small formats being identified and some shifting of stock between the medium and large categories. This is further discussed in </w:t>
      </w:r>
      <w:r w:rsidR="00C46EC7">
        <w:rPr>
          <w:rFonts w:ascii="Times New Roman" w:hAnsi="Times New Roman"/>
          <w:sz w:val="20"/>
          <w:szCs w:val="20"/>
          <w:lang w:val="en-AU"/>
        </w:rPr>
        <w:t>the s</w:t>
      </w:r>
      <w:r w:rsidRPr="00FA6823">
        <w:rPr>
          <w:rFonts w:ascii="Times New Roman" w:hAnsi="Times New Roman"/>
          <w:sz w:val="20"/>
          <w:szCs w:val="20"/>
          <w:lang w:val="en-AU"/>
        </w:rPr>
        <w:t>ection below.</w:t>
      </w:r>
    </w:p>
    <w:p w14:paraId="291318DC" w14:textId="74D2F1F5" w:rsidR="002B6D25" w:rsidRPr="00FA6823" w:rsidRDefault="002B6D25" w:rsidP="00FC735C">
      <w:pPr>
        <w:pStyle w:val="ListParagraph"/>
        <w:numPr>
          <w:ilvl w:val="0"/>
          <w:numId w:val="47"/>
        </w:numPr>
        <w:snapToGrid w:val="0"/>
        <w:spacing w:before="60" w:after="0" w:line="240" w:lineRule="auto"/>
        <w:contextualSpacing w:val="0"/>
        <w:jc w:val="both"/>
        <w:rPr>
          <w:rFonts w:ascii="Times New Roman" w:hAnsi="Times New Roman"/>
          <w:sz w:val="20"/>
          <w:szCs w:val="20"/>
          <w:lang w:val="en-AU"/>
        </w:rPr>
      </w:pPr>
      <w:r w:rsidRPr="00FA6823">
        <w:rPr>
          <w:rFonts w:ascii="Times New Roman" w:hAnsi="Times New Roman"/>
          <w:sz w:val="20"/>
          <w:szCs w:val="20"/>
          <w:lang w:val="en-AU"/>
        </w:rPr>
        <w:t>Total numbers of stock in the cold food chain includ</w:t>
      </w:r>
      <w:r w:rsidR="00B46012" w:rsidRPr="00FA6823">
        <w:rPr>
          <w:rFonts w:ascii="Times New Roman" w:hAnsi="Times New Roman"/>
          <w:sz w:val="20"/>
          <w:szCs w:val="20"/>
          <w:lang w:val="en-AU"/>
        </w:rPr>
        <w:t>es</w:t>
      </w:r>
      <w:r w:rsidRPr="00FA6823">
        <w:rPr>
          <w:rFonts w:ascii="Times New Roman" w:hAnsi="Times New Roman"/>
          <w:sz w:val="20"/>
          <w:szCs w:val="20"/>
          <w:lang w:val="en-AU"/>
        </w:rPr>
        <w:t xml:space="preserve"> </w:t>
      </w:r>
      <w:r w:rsidR="00B46012" w:rsidRPr="00FA6823">
        <w:rPr>
          <w:rFonts w:ascii="Times New Roman" w:hAnsi="Times New Roman"/>
          <w:sz w:val="20"/>
          <w:szCs w:val="20"/>
          <w:lang w:val="en-AU"/>
        </w:rPr>
        <w:t xml:space="preserve">the </w:t>
      </w:r>
      <w:r w:rsidRPr="00FA6823">
        <w:rPr>
          <w:rFonts w:ascii="Times New Roman" w:hAnsi="Times New Roman"/>
          <w:sz w:val="20"/>
          <w:szCs w:val="20"/>
          <w:lang w:val="en-AU"/>
        </w:rPr>
        <w:t xml:space="preserve">count of supermarkets which </w:t>
      </w:r>
      <w:r w:rsidR="00B46012" w:rsidRPr="00FA6823">
        <w:rPr>
          <w:rFonts w:ascii="Times New Roman" w:hAnsi="Times New Roman"/>
          <w:sz w:val="20"/>
          <w:szCs w:val="20"/>
          <w:lang w:val="en-AU"/>
        </w:rPr>
        <w:t xml:space="preserve">accounts for the centralised systems and the remote display cases </w:t>
      </w:r>
      <w:r w:rsidR="00FA6823" w:rsidRPr="00FA6823">
        <w:rPr>
          <w:rFonts w:ascii="Times New Roman" w:hAnsi="Times New Roman"/>
          <w:sz w:val="20"/>
          <w:szCs w:val="20"/>
          <w:lang w:val="en-AU"/>
        </w:rPr>
        <w:t xml:space="preserve">connected to the system. </w:t>
      </w:r>
      <w:r w:rsidR="00D04839">
        <w:rPr>
          <w:rFonts w:ascii="Times New Roman" w:hAnsi="Times New Roman"/>
          <w:sz w:val="20"/>
          <w:szCs w:val="20"/>
          <w:lang w:val="en-AU"/>
        </w:rPr>
        <w:t>S</w:t>
      </w:r>
      <w:r w:rsidRPr="00FA6823">
        <w:rPr>
          <w:rFonts w:ascii="Times New Roman" w:hAnsi="Times New Roman"/>
          <w:sz w:val="20"/>
          <w:szCs w:val="20"/>
          <w:lang w:val="en-AU"/>
        </w:rPr>
        <w:t xml:space="preserve">ome of the stock of smaller classes of equipment </w:t>
      </w:r>
      <w:r w:rsidR="00FA6823" w:rsidRPr="00FA6823">
        <w:rPr>
          <w:rFonts w:ascii="Times New Roman" w:hAnsi="Times New Roman"/>
          <w:sz w:val="20"/>
          <w:szCs w:val="20"/>
          <w:lang w:val="en-AU"/>
        </w:rPr>
        <w:t xml:space="preserve">such as </w:t>
      </w:r>
      <w:r w:rsidR="009F5EAE" w:rsidRPr="00FA6823">
        <w:rPr>
          <w:rFonts w:ascii="Times New Roman" w:hAnsi="Times New Roman"/>
          <w:sz w:val="20"/>
          <w:szCs w:val="20"/>
          <w:lang w:val="en-AU"/>
        </w:rPr>
        <w:t>self-contained</w:t>
      </w:r>
      <w:r w:rsidR="00FA6823" w:rsidRPr="00FA6823">
        <w:rPr>
          <w:rFonts w:ascii="Times New Roman" w:hAnsi="Times New Roman"/>
          <w:sz w:val="20"/>
          <w:szCs w:val="20"/>
          <w:lang w:val="en-AU"/>
        </w:rPr>
        <w:t xml:space="preserve"> merchandisers are counted separately in RCFC1-1.</w:t>
      </w:r>
    </w:p>
    <w:p w14:paraId="5CAD78E7" w14:textId="77777777" w:rsidR="002B6D25" w:rsidRDefault="002B6D25" w:rsidP="002B6D25">
      <w:pPr>
        <w:ind w:left="360"/>
        <w:rPr>
          <w:b/>
        </w:rPr>
      </w:pPr>
    </w:p>
    <w:p w14:paraId="6FCF5636" w14:textId="77777777" w:rsidR="00AA45F7" w:rsidRPr="00713828" w:rsidRDefault="00AA45F7" w:rsidP="002B6D25">
      <w:pPr>
        <w:ind w:left="360"/>
        <w:rPr>
          <w:b/>
        </w:rPr>
      </w:pPr>
    </w:p>
    <w:p w14:paraId="06040C9D" w14:textId="2B91AE9A" w:rsidR="002B6D25" w:rsidRPr="00713828" w:rsidRDefault="002B6D25" w:rsidP="002B6D25">
      <w:pPr>
        <w:rPr>
          <w:b/>
        </w:rPr>
      </w:pPr>
      <w:r w:rsidRPr="00713828">
        <w:rPr>
          <w:b/>
        </w:rPr>
        <w:t xml:space="preserve">Main </w:t>
      </w:r>
      <w:r w:rsidR="00A7009B">
        <w:rPr>
          <w:b/>
        </w:rPr>
        <w:t>m</w:t>
      </w:r>
      <w:r w:rsidRPr="00713828">
        <w:rPr>
          <w:b/>
        </w:rPr>
        <w:t>etrics</w:t>
      </w:r>
    </w:p>
    <w:p w14:paraId="64649C94" w14:textId="024072A4" w:rsidR="002B6D25" w:rsidRPr="004571CF" w:rsidRDefault="002B6D25" w:rsidP="000A63B2">
      <w:bookmarkStart w:id="40" w:name="_Hlk508551792"/>
      <w:r w:rsidRPr="004571CF">
        <w:t xml:space="preserve">The five segments and </w:t>
      </w:r>
      <w:r w:rsidRPr="00AB4CD8">
        <w:t>twenty f</w:t>
      </w:r>
      <w:r w:rsidR="0042423E">
        <w:t>ive</w:t>
      </w:r>
      <w:r w:rsidRPr="00AB4CD8">
        <w:t xml:space="preserve"> product</w:t>
      </w:r>
      <w:r w:rsidRPr="004571CF">
        <w:t xml:space="preserve"> categories that make up this class contained approximately </w:t>
      </w:r>
      <w:r w:rsidR="00B46012">
        <w:t>14</w:t>
      </w:r>
      <w:r w:rsidR="00C9319D">
        <w:t>%</w:t>
      </w:r>
      <w:r w:rsidRPr="004571CF">
        <w:t xml:space="preserve"> of the bank of </w:t>
      </w:r>
      <w:r w:rsidR="00493AC5">
        <w:t>refrigerant</w:t>
      </w:r>
      <w:r w:rsidRPr="004571CF">
        <w:t xml:space="preserve"> in Australia, or around </w:t>
      </w:r>
      <w:r w:rsidR="00B46012">
        <w:t>6,900</w:t>
      </w:r>
      <w:r w:rsidRPr="004571CF">
        <w:t xml:space="preserve"> tonnes (</w:t>
      </w:r>
      <w:r w:rsidRPr="004571CF">
        <w:rPr>
          <w:i/>
        </w:rPr>
        <w:t>CHF2 11%, 5,000 tonnes</w:t>
      </w:r>
      <w:r w:rsidRPr="004571CF">
        <w:t>)</w:t>
      </w:r>
      <w:r w:rsidR="00A379C3">
        <w:t xml:space="preserve">. The refrigerated cold food chain has </w:t>
      </w:r>
      <w:r w:rsidRPr="004571CF">
        <w:t xml:space="preserve">more than </w:t>
      </w:r>
      <w:r w:rsidR="00B46012">
        <w:t>1.6</w:t>
      </w:r>
      <w:r w:rsidRPr="004571CF">
        <w:t xml:space="preserve"> million installations and pieces of equipment that </w:t>
      </w:r>
      <w:r w:rsidR="00E046A1">
        <w:t>used</w:t>
      </w:r>
      <w:r w:rsidRPr="004571CF">
        <w:t xml:space="preserve"> an estimated </w:t>
      </w:r>
      <w:r w:rsidR="000A63B2">
        <w:t>35</w:t>
      </w:r>
      <w:r w:rsidR="00C9319D">
        <w:t>%</w:t>
      </w:r>
      <w:r w:rsidRPr="004571CF">
        <w:t xml:space="preserve"> </w:t>
      </w:r>
      <w:r w:rsidRPr="000D63C3">
        <w:t>(</w:t>
      </w:r>
      <w:r w:rsidR="000D63C3" w:rsidRPr="000D63C3">
        <w:t>1,</w:t>
      </w:r>
      <w:r w:rsidR="000A63B2">
        <w:t>250</w:t>
      </w:r>
      <w:r w:rsidRPr="000D63C3">
        <w:t xml:space="preserve"> tonnes) of all</w:t>
      </w:r>
      <w:r w:rsidRPr="004571CF">
        <w:t xml:space="preserve"> </w:t>
      </w:r>
      <w:r w:rsidR="000A63B2">
        <w:t xml:space="preserve">HCFCs and </w:t>
      </w:r>
      <w:r w:rsidRPr="004571CF">
        <w:t xml:space="preserve">HFCs </w:t>
      </w:r>
      <w:r w:rsidR="00A379C3">
        <w:t>used i</w:t>
      </w:r>
      <w:r w:rsidRPr="004571CF">
        <w:t xml:space="preserve">n 2016 to </w:t>
      </w:r>
      <w:r w:rsidR="00A379C3">
        <w:t xml:space="preserve">charge new equipment and </w:t>
      </w:r>
      <w:r w:rsidRPr="004571CF">
        <w:t xml:space="preserve">replace leaked </w:t>
      </w:r>
      <w:r w:rsidR="00493AC5">
        <w:t>refrigerant</w:t>
      </w:r>
      <w:r w:rsidRPr="004571CF">
        <w:t xml:space="preserve"> (</w:t>
      </w:r>
      <w:r w:rsidRPr="004571CF">
        <w:rPr>
          <w:i/>
        </w:rPr>
        <w:t>CHF2 19%, 614 tonnes</w:t>
      </w:r>
      <w:r w:rsidRPr="004571CF">
        <w:t>).</w:t>
      </w:r>
    </w:p>
    <w:bookmarkEnd w:id="40"/>
    <w:p w14:paraId="4CD45F7B" w14:textId="77777777" w:rsidR="00D04839" w:rsidRDefault="00D04839" w:rsidP="000A63B2"/>
    <w:p w14:paraId="02D7C6CA" w14:textId="77777777" w:rsidR="002B6D25" w:rsidRDefault="002B6D25" w:rsidP="000A63B2">
      <w:r>
        <w:t>There have been several notable developments in this class since 2012 including;</w:t>
      </w:r>
    </w:p>
    <w:p w14:paraId="2AF1F1E0" w14:textId="77777777" w:rsidR="002B6D25" w:rsidRPr="007A7735" w:rsidRDefault="002B6D25" w:rsidP="000A63B2">
      <w:pPr>
        <w:pStyle w:val="ListParagraph"/>
        <w:numPr>
          <w:ilvl w:val="0"/>
          <w:numId w:val="24"/>
        </w:numPr>
        <w:spacing w:before="120" w:after="0" w:line="240" w:lineRule="auto"/>
        <w:ind w:left="357" w:hanging="357"/>
        <w:contextualSpacing w:val="0"/>
        <w:jc w:val="both"/>
        <w:rPr>
          <w:rFonts w:ascii="Times New Roman" w:hAnsi="Times New Roman"/>
        </w:rPr>
      </w:pPr>
      <w:r w:rsidRPr="007A7735">
        <w:rPr>
          <w:rFonts w:ascii="Times New Roman" w:hAnsi="Times New Roman"/>
        </w:rPr>
        <w:t>Rapid growth of HC refrigerants in smaller self-contained equipment (~20,000 devices imported in 2016) and increasing sales of CO</w:t>
      </w:r>
      <w:r w:rsidRPr="00592712">
        <w:rPr>
          <w:rFonts w:ascii="Times New Roman" w:hAnsi="Times New Roman"/>
          <w:vertAlign w:val="subscript"/>
        </w:rPr>
        <w:t>2</w:t>
      </w:r>
      <w:r w:rsidRPr="007A7735">
        <w:rPr>
          <w:rFonts w:ascii="Times New Roman" w:hAnsi="Times New Roman"/>
        </w:rPr>
        <w:t xml:space="preserve"> charged equipment in some small equipment categories (although rising from a very low base);</w:t>
      </w:r>
    </w:p>
    <w:p w14:paraId="1ED8E496" w14:textId="77777777" w:rsidR="002B6D25" w:rsidRPr="007A7735" w:rsidRDefault="002B6D25" w:rsidP="000A63B2">
      <w:pPr>
        <w:pStyle w:val="ListParagraph"/>
        <w:numPr>
          <w:ilvl w:val="0"/>
          <w:numId w:val="24"/>
        </w:numPr>
        <w:spacing w:before="120" w:after="0" w:line="240" w:lineRule="auto"/>
        <w:ind w:left="357" w:hanging="357"/>
        <w:contextualSpacing w:val="0"/>
        <w:jc w:val="both"/>
        <w:rPr>
          <w:rFonts w:ascii="Times New Roman" w:hAnsi="Times New Roman"/>
        </w:rPr>
      </w:pPr>
      <w:r w:rsidRPr="007A7735">
        <w:rPr>
          <w:rFonts w:ascii="Times New Roman" w:hAnsi="Times New Roman"/>
        </w:rPr>
        <w:t>Reductions in leak rates from larger equipment and supermarkets, and a concerted move to natural and lower GWP refrigerants among the leaders in the supermarket segments;</w:t>
      </w:r>
    </w:p>
    <w:p w14:paraId="01C6208B" w14:textId="0C77E141" w:rsidR="002B6D25" w:rsidRPr="007A7735" w:rsidRDefault="002B6D25" w:rsidP="000A63B2">
      <w:pPr>
        <w:pStyle w:val="ListParagraph"/>
        <w:numPr>
          <w:ilvl w:val="0"/>
          <w:numId w:val="24"/>
        </w:numPr>
        <w:spacing w:before="120" w:after="0" w:line="240" w:lineRule="auto"/>
        <w:ind w:left="357" w:hanging="357"/>
        <w:contextualSpacing w:val="0"/>
        <w:jc w:val="both"/>
        <w:rPr>
          <w:rFonts w:ascii="Times New Roman" w:hAnsi="Times New Roman"/>
        </w:rPr>
      </w:pPr>
      <w:r w:rsidRPr="007A7735">
        <w:rPr>
          <w:rFonts w:ascii="Times New Roman" w:hAnsi="Times New Roman"/>
        </w:rPr>
        <w:t>An increase in the number of cool</w:t>
      </w:r>
      <w:r w:rsidR="001E68A3">
        <w:rPr>
          <w:rFonts w:ascii="Times New Roman" w:hAnsi="Times New Roman"/>
        </w:rPr>
        <w:t xml:space="preserve"> </w:t>
      </w:r>
      <w:r w:rsidRPr="007A7735">
        <w:rPr>
          <w:rFonts w:ascii="Times New Roman" w:hAnsi="Times New Roman"/>
        </w:rPr>
        <w:t>rooms identified in the market place;</w:t>
      </w:r>
      <w:r w:rsidR="000A63B2">
        <w:rPr>
          <w:rFonts w:ascii="Times New Roman" w:hAnsi="Times New Roman"/>
        </w:rPr>
        <w:t xml:space="preserve"> and,</w:t>
      </w:r>
    </w:p>
    <w:p w14:paraId="28DB2401" w14:textId="48B23154" w:rsidR="002B6D25" w:rsidRDefault="002B6D25" w:rsidP="000A63B2">
      <w:pPr>
        <w:pStyle w:val="ListParagraph"/>
        <w:numPr>
          <w:ilvl w:val="0"/>
          <w:numId w:val="24"/>
        </w:numPr>
        <w:spacing w:before="120" w:after="0" w:line="240" w:lineRule="auto"/>
        <w:ind w:left="357" w:hanging="357"/>
        <w:contextualSpacing w:val="0"/>
        <w:jc w:val="both"/>
      </w:pPr>
      <w:r w:rsidRPr="007A7735">
        <w:rPr>
          <w:rFonts w:ascii="Times New Roman" w:hAnsi="Times New Roman"/>
        </w:rPr>
        <w:t xml:space="preserve">A </w:t>
      </w:r>
      <w:r w:rsidR="006F7C78">
        <w:rPr>
          <w:rFonts w:ascii="Times New Roman" w:hAnsi="Times New Roman"/>
        </w:rPr>
        <w:t xml:space="preserve">rapid </w:t>
      </w:r>
      <w:r w:rsidRPr="007A7735">
        <w:rPr>
          <w:rFonts w:ascii="Times New Roman" w:hAnsi="Times New Roman"/>
        </w:rPr>
        <w:t xml:space="preserve">increase in small refrigerated transport units in operation as home delivery of fresh foods, food services </w:t>
      </w:r>
      <w:r w:rsidR="006F7C78">
        <w:rPr>
          <w:rFonts w:ascii="Times New Roman" w:hAnsi="Times New Roman"/>
        </w:rPr>
        <w:t xml:space="preserve">and catering </w:t>
      </w:r>
      <w:r w:rsidRPr="007A7735">
        <w:rPr>
          <w:rFonts w:ascii="Times New Roman" w:hAnsi="Times New Roman"/>
        </w:rPr>
        <w:t>businesses and prepared meals delivery business expands.</w:t>
      </w:r>
    </w:p>
    <w:p w14:paraId="0AA54051" w14:textId="77777777" w:rsidR="00612476" w:rsidRDefault="00612476">
      <w:pPr>
        <w:spacing w:before="0"/>
        <w:jc w:val="left"/>
        <w:rPr>
          <w:b/>
          <w:szCs w:val="22"/>
        </w:rPr>
      </w:pPr>
      <w:r>
        <w:rPr>
          <w:b/>
          <w:szCs w:val="22"/>
        </w:rPr>
        <w:br w:type="page"/>
      </w:r>
    </w:p>
    <w:p w14:paraId="7A00F3FB" w14:textId="4A787820" w:rsidR="002B6D25" w:rsidRPr="00D3640E" w:rsidRDefault="002B6D25" w:rsidP="002B6D25">
      <w:pPr>
        <w:spacing w:before="240"/>
        <w:rPr>
          <w:b/>
          <w:szCs w:val="22"/>
        </w:rPr>
      </w:pPr>
      <w:r w:rsidRPr="00D3640E">
        <w:rPr>
          <w:b/>
          <w:szCs w:val="22"/>
        </w:rPr>
        <w:lastRenderedPageBreak/>
        <w:t xml:space="preserve">Leak </w:t>
      </w:r>
      <w:r w:rsidR="00A7009B">
        <w:rPr>
          <w:b/>
          <w:szCs w:val="22"/>
        </w:rPr>
        <w:t>r</w:t>
      </w:r>
      <w:r w:rsidRPr="00D3640E">
        <w:rPr>
          <w:b/>
          <w:szCs w:val="22"/>
        </w:rPr>
        <w:t xml:space="preserve">ates </w:t>
      </w:r>
      <w:r w:rsidR="00A7009B">
        <w:rPr>
          <w:b/>
          <w:szCs w:val="22"/>
        </w:rPr>
        <w:t>s</w:t>
      </w:r>
      <w:r w:rsidRPr="00D3640E">
        <w:rPr>
          <w:b/>
          <w:szCs w:val="22"/>
        </w:rPr>
        <w:t xml:space="preserve">lashed in </w:t>
      </w:r>
      <w:r w:rsidR="00A7009B">
        <w:rPr>
          <w:b/>
          <w:szCs w:val="22"/>
        </w:rPr>
        <w:t>s</w:t>
      </w:r>
      <w:r w:rsidRPr="00D3640E">
        <w:rPr>
          <w:b/>
          <w:szCs w:val="22"/>
        </w:rPr>
        <w:t>upermarkets</w:t>
      </w:r>
    </w:p>
    <w:p w14:paraId="119CEF2E" w14:textId="5C28DD00" w:rsidR="002B6D25" w:rsidRDefault="002B6D25" w:rsidP="000A63B2">
      <w:pPr>
        <w:rPr>
          <w:szCs w:val="22"/>
        </w:rPr>
      </w:pPr>
      <w:r w:rsidRPr="008E5EFC">
        <w:rPr>
          <w:szCs w:val="22"/>
        </w:rPr>
        <w:t>The disproportionate</w:t>
      </w:r>
      <w:r w:rsidR="002F2966">
        <w:rPr>
          <w:szCs w:val="22"/>
        </w:rPr>
        <w:t>ly high</w:t>
      </w:r>
      <w:r w:rsidRPr="008E5EFC">
        <w:rPr>
          <w:szCs w:val="22"/>
        </w:rPr>
        <w:t xml:space="preserve"> level of bulk </w:t>
      </w:r>
      <w:r w:rsidR="00493AC5">
        <w:rPr>
          <w:szCs w:val="22"/>
        </w:rPr>
        <w:t>refrigerant</w:t>
      </w:r>
      <w:r w:rsidRPr="008E5EFC">
        <w:rPr>
          <w:szCs w:val="22"/>
        </w:rPr>
        <w:t xml:space="preserve"> </w:t>
      </w:r>
      <w:r w:rsidR="002F2966">
        <w:rPr>
          <w:szCs w:val="22"/>
        </w:rPr>
        <w:t>use</w:t>
      </w:r>
      <w:r w:rsidRPr="008E5EFC">
        <w:rPr>
          <w:szCs w:val="22"/>
        </w:rPr>
        <w:t>, compared to the portion of the bank employed in this class is</w:t>
      </w:r>
      <w:r>
        <w:rPr>
          <w:szCs w:val="22"/>
        </w:rPr>
        <w:t>,</w:t>
      </w:r>
      <w:r w:rsidRPr="008E5EFC">
        <w:rPr>
          <w:szCs w:val="22"/>
        </w:rPr>
        <w:t xml:space="preserve"> to some extent</w:t>
      </w:r>
      <w:r>
        <w:rPr>
          <w:szCs w:val="22"/>
        </w:rPr>
        <w:t xml:space="preserve">, due to </w:t>
      </w:r>
      <w:r w:rsidRPr="008E5EFC">
        <w:rPr>
          <w:szCs w:val="22"/>
        </w:rPr>
        <w:t>the nature of the task. Machinery in the cold food chain</w:t>
      </w:r>
      <w:r>
        <w:rPr>
          <w:szCs w:val="22"/>
        </w:rPr>
        <w:t xml:space="preserve"> is</w:t>
      </w:r>
      <w:r w:rsidRPr="008E5EFC">
        <w:rPr>
          <w:szCs w:val="22"/>
        </w:rPr>
        <w:t xml:space="preserve"> generally very hard working and operates the majority of the day, if not 24 hours a day</w:t>
      </w:r>
      <w:r>
        <w:rPr>
          <w:szCs w:val="22"/>
        </w:rPr>
        <w:t xml:space="preserve">. </w:t>
      </w:r>
      <w:r w:rsidR="009F5EAE">
        <w:rPr>
          <w:szCs w:val="22"/>
        </w:rPr>
        <w:t>Generally,</w:t>
      </w:r>
      <w:r>
        <w:rPr>
          <w:szCs w:val="22"/>
        </w:rPr>
        <w:t xml:space="preserve"> </w:t>
      </w:r>
      <w:r w:rsidRPr="008E5EFC">
        <w:rPr>
          <w:szCs w:val="22"/>
        </w:rPr>
        <w:t xml:space="preserve">much lower temperatures need to be attained and maintained than in any air conditioning applications.  </w:t>
      </w:r>
    </w:p>
    <w:p w14:paraId="4C906917" w14:textId="69CCE634" w:rsidR="002B6D25" w:rsidRDefault="002B6D25" w:rsidP="000A63B2">
      <w:pPr>
        <w:rPr>
          <w:szCs w:val="22"/>
        </w:rPr>
      </w:pPr>
      <w:r>
        <w:rPr>
          <w:szCs w:val="22"/>
        </w:rPr>
        <w:t xml:space="preserve">At the time of CHF1 in 2006 the larger players in the industry were acknowledging that leak rates were high in this sector and some work had commenced. However by 2011 with the imminent imposition of the </w:t>
      </w:r>
      <w:r w:rsidR="004C7EB9">
        <w:rPr>
          <w:szCs w:val="22"/>
        </w:rPr>
        <w:t xml:space="preserve">equivalent </w:t>
      </w:r>
      <w:r>
        <w:rPr>
          <w:szCs w:val="22"/>
        </w:rPr>
        <w:t xml:space="preserve">carbon </w:t>
      </w:r>
      <w:r w:rsidR="002F2966">
        <w:rPr>
          <w:szCs w:val="22"/>
        </w:rPr>
        <w:t>tax</w:t>
      </w:r>
      <w:r>
        <w:rPr>
          <w:szCs w:val="22"/>
        </w:rPr>
        <w:t xml:space="preserve">, all of the large participants in the cold food chain had launched wide ranging programs </w:t>
      </w:r>
      <w:r w:rsidRPr="00232FD5">
        <w:rPr>
          <w:szCs w:val="22"/>
        </w:rPr>
        <w:t>focus</w:t>
      </w:r>
      <w:r>
        <w:rPr>
          <w:szCs w:val="22"/>
        </w:rPr>
        <w:t>sed</w:t>
      </w:r>
      <w:r w:rsidRPr="00232FD5">
        <w:rPr>
          <w:szCs w:val="22"/>
        </w:rPr>
        <w:t xml:space="preserve"> on </w:t>
      </w:r>
      <w:r w:rsidR="00F428BF">
        <w:rPr>
          <w:szCs w:val="22"/>
        </w:rPr>
        <w:t xml:space="preserve">a transition to alternative systems and refrigerants, and </w:t>
      </w:r>
      <w:r w:rsidR="00493AC5">
        <w:rPr>
          <w:szCs w:val="22"/>
        </w:rPr>
        <w:t>refrigerant</w:t>
      </w:r>
      <w:r w:rsidRPr="00232FD5">
        <w:rPr>
          <w:szCs w:val="22"/>
        </w:rPr>
        <w:t xml:space="preserve"> containment</w:t>
      </w:r>
      <w:r>
        <w:rPr>
          <w:szCs w:val="22"/>
        </w:rPr>
        <w:t>, generally</w:t>
      </w:r>
      <w:r w:rsidRPr="00232FD5">
        <w:rPr>
          <w:szCs w:val="22"/>
        </w:rPr>
        <w:t xml:space="preserve"> </w:t>
      </w:r>
      <w:r>
        <w:rPr>
          <w:szCs w:val="22"/>
        </w:rPr>
        <w:t xml:space="preserve">involving both </w:t>
      </w:r>
      <w:r w:rsidR="00D04839">
        <w:rPr>
          <w:szCs w:val="22"/>
        </w:rPr>
        <w:t>lea</w:t>
      </w:r>
      <w:r w:rsidR="000F7EFB">
        <w:rPr>
          <w:szCs w:val="22"/>
        </w:rPr>
        <w:t xml:space="preserve">k </w:t>
      </w:r>
      <w:r w:rsidRPr="00232FD5">
        <w:rPr>
          <w:szCs w:val="22"/>
        </w:rPr>
        <w:t>prevention</w:t>
      </w:r>
      <w:r>
        <w:rPr>
          <w:szCs w:val="22"/>
        </w:rPr>
        <w:t>, through proactive maintenance programs and system redesign, and installation of automatic leak detection systems.</w:t>
      </w:r>
    </w:p>
    <w:p w14:paraId="5B1C65BB" w14:textId="6BDC9A08" w:rsidR="002B6D25" w:rsidRDefault="002B6D25" w:rsidP="000A63B2">
      <w:pPr>
        <w:rPr>
          <w:szCs w:val="22"/>
        </w:rPr>
      </w:pPr>
      <w:r w:rsidRPr="00800408">
        <w:rPr>
          <w:szCs w:val="22"/>
        </w:rPr>
        <w:t xml:space="preserve">In some </w:t>
      </w:r>
      <w:r w:rsidR="00091697">
        <w:rPr>
          <w:szCs w:val="22"/>
        </w:rPr>
        <w:t>instances</w:t>
      </w:r>
      <w:r w:rsidR="009F5EAE" w:rsidRPr="00800408">
        <w:rPr>
          <w:szCs w:val="22"/>
        </w:rPr>
        <w:t>,</w:t>
      </w:r>
      <w:r w:rsidRPr="00800408">
        <w:rPr>
          <w:szCs w:val="22"/>
        </w:rPr>
        <w:t xml:space="preserve"> the results have been outstanding with </w:t>
      </w:r>
      <w:r>
        <w:rPr>
          <w:szCs w:val="22"/>
        </w:rPr>
        <w:t xml:space="preserve">annual </w:t>
      </w:r>
      <w:r w:rsidRPr="00800408">
        <w:rPr>
          <w:szCs w:val="22"/>
        </w:rPr>
        <w:t xml:space="preserve">leak rates dropping from as high as 25% </w:t>
      </w:r>
      <w:r w:rsidR="00C25A70">
        <w:rPr>
          <w:szCs w:val="22"/>
        </w:rPr>
        <w:t xml:space="preserve">a decade ago </w:t>
      </w:r>
      <w:r>
        <w:rPr>
          <w:szCs w:val="22"/>
        </w:rPr>
        <w:t xml:space="preserve">to around 6% per annum </w:t>
      </w:r>
      <w:r w:rsidR="00C25A70">
        <w:rPr>
          <w:szCs w:val="22"/>
        </w:rPr>
        <w:t xml:space="preserve">in </w:t>
      </w:r>
      <w:r>
        <w:rPr>
          <w:szCs w:val="22"/>
        </w:rPr>
        <w:t>201</w:t>
      </w:r>
      <w:r w:rsidR="00091697">
        <w:rPr>
          <w:szCs w:val="22"/>
        </w:rPr>
        <w:t>6 (e.g. Coles)</w:t>
      </w:r>
      <w:r>
        <w:rPr>
          <w:szCs w:val="22"/>
        </w:rPr>
        <w:t>.</w:t>
      </w:r>
    </w:p>
    <w:p w14:paraId="6B77909F" w14:textId="19EADC6A" w:rsidR="002B6D25" w:rsidRPr="00B46012" w:rsidRDefault="002B6D25" w:rsidP="00B46012">
      <w:pPr>
        <w:spacing w:before="240"/>
        <w:rPr>
          <w:b/>
          <w:szCs w:val="22"/>
        </w:rPr>
      </w:pPr>
      <w:r w:rsidRPr="00B46012">
        <w:rPr>
          <w:b/>
          <w:szCs w:val="22"/>
        </w:rPr>
        <w:t xml:space="preserve">Much </w:t>
      </w:r>
      <w:r w:rsidR="00A7009B">
        <w:rPr>
          <w:b/>
          <w:szCs w:val="22"/>
        </w:rPr>
        <w:t>l</w:t>
      </w:r>
      <w:r w:rsidRPr="00B46012">
        <w:rPr>
          <w:b/>
          <w:szCs w:val="22"/>
        </w:rPr>
        <w:t xml:space="preserve">arger </w:t>
      </w:r>
      <w:r w:rsidR="00A7009B">
        <w:rPr>
          <w:b/>
          <w:szCs w:val="22"/>
        </w:rPr>
        <w:t>s</w:t>
      </w:r>
      <w:r w:rsidRPr="00B46012">
        <w:rPr>
          <w:b/>
          <w:szCs w:val="22"/>
        </w:rPr>
        <w:t xml:space="preserve">tocks of </w:t>
      </w:r>
      <w:r w:rsidR="00A7009B">
        <w:rPr>
          <w:b/>
          <w:szCs w:val="22"/>
        </w:rPr>
        <w:t>c</w:t>
      </w:r>
      <w:r w:rsidRPr="00B46012">
        <w:rPr>
          <w:b/>
          <w:szCs w:val="22"/>
        </w:rPr>
        <w:t>ool</w:t>
      </w:r>
      <w:r w:rsidR="00D04839">
        <w:rPr>
          <w:b/>
          <w:szCs w:val="22"/>
        </w:rPr>
        <w:t xml:space="preserve"> </w:t>
      </w:r>
      <w:r w:rsidRPr="00B46012">
        <w:rPr>
          <w:b/>
          <w:szCs w:val="22"/>
        </w:rPr>
        <w:t xml:space="preserve">rooms </w:t>
      </w:r>
      <w:r w:rsidR="00A7009B">
        <w:rPr>
          <w:b/>
          <w:szCs w:val="22"/>
        </w:rPr>
        <w:t>i</w:t>
      </w:r>
      <w:r w:rsidRPr="00B46012">
        <w:rPr>
          <w:b/>
          <w:szCs w:val="22"/>
        </w:rPr>
        <w:t>dentified</w:t>
      </w:r>
    </w:p>
    <w:p w14:paraId="64F40DDC" w14:textId="4EA8F5B0" w:rsidR="002B6D25" w:rsidRDefault="002B6D25" w:rsidP="002B6D25">
      <w:r>
        <w:t>Greater transparency into the supply lines for components that go into construction of cool rooms has led to an increase in the stock of walk-in cool</w:t>
      </w:r>
      <w:r w:rsidR="00D04839">
        <w:t xml:space="preserve"> </w:t>
      </w:r>
      <w:r>
        <w:t>rooms and walk-in freezers</w:t>
      </w:r>
      <w:r w:rsidR="00CC3ED4">
        <w:t xml:space="preserve"> in the RAC Stock model</w:t>
      </w:r>
      <w:r>
        <w:t>.</w:t>
      </w:r>
    </w:p>
    <w:p w14:paraId="74894413" w14:textId="1014DCC1" w:rsidR="0008278E" w:rsidRDefault="0008278E" w:rsidP="0008278E">
      <w:pPr>
        <w:rPr>
          <w:szCs w:val="22"/>
        </w:rPr>
      </w:pPr>
      <w:r w:rsidRPr="00504BCC">
        <w:rPr>
          <w:szCs w:val="22"/>
        </w:rPr>
        <w:t>The term walk-in cool</w:t>
      </w:r>
      <w:r w:rsidR="00D04839">
        <w:rPr>
          <w:szCs w:val="22"/>
        </w:rPr>
        <w:t xml:space="preserve"> </w:t>
      </w:r>
      <w:r w:rsidRPr="00504BCC">
        <w:rPr>
          <w:szCs w:val="22"/>
        </w:rPr>
        <w:t xml:space="preserve">room </w:t>
      </w:r>
      <w:r>
        <w:rPr>
          <w:szCs w:val="22"/>
        </w:rPr>
        <w:t>(WIC</w:t>
      </w:r>
      <w:r w:rsidR="00C8336D">
        <w:rPr>
          <w:szCs w:val="22"/>
        </w:rPr>
        <w:t>F</w:t>
      </w:r>
      <w:r>
        <w:rPr>
          <w:szCs w:val="22"/>
        </w:rPr>
        <w:t xml:space="preserve">s) </w:t>
      </w:r>
      <w:r w:rsidRPr="00504BCC">
        <w:rPr>
          <w:szCs w:val="22"/>
        </w:rPr>
        <w:t>is used to describe an enclosed storage space that is refrigerated</w:t>
      </w:r>
      <w:r w:rsidR="000F7EFB">
        <w:rPr>
          <w:szCs w:val="22"/>
        </w:rPr>
        <w:t>, either</w:t>
      </w:r>
      <w:r w:rsidRPr="00504BCC">
        <w:rPr>
          <w:szCs w:val="22"/>
        </w:rPr>
        <w:t xml:space="preserve"> to temperatures above zero degrees Celsius </w:t>
      </w:r>
      <w:r w:rsidR="000F7EFB">
        <w:rPr>
          <w:szCs w:val="22"/>
        </w:rPr>
        <w:t>or</w:t>
      </w:r>
      <w:r w:rsidRPr="00504BCC">
        <w:rPr>
          <w:szCs w:val="22"/>
        </w:rPr>
        <w:t xml:space="preserve"> to zero degrees </w:t>
      </w:r>
      <w:r>
        <w:rPr>
          <w:szCs w:val="22"/>
        </w:rPr>
        <w:t xml:space="preserve">Celsius </w:t>
      </w:r>
      <w:r w:rsidRPr="00504BCC">
        <w:rPr>
          <w:szCs w:val="22"/>
        </w:rPr>
        <w:t>and below (</w:t>
      </w:r>
      <w:r w:rsidR="000F7EFB">
        <w:rPr>
          <w:szCs w:val="22"/>
        </w:rPr>
        <w:t xml:space="preserve">also referred to as </w:t>
      </w:r>
      <w:r w:rsidRPr="00504BCC">
        <w:rPr>
          <w:szCs w:val="22"/>
        </w:rPr>
        <w:t>walk-in freezer</w:t>
      </w:r>
      <w:r w:rsidR="000F7EFB">
        <w:rPr>
          <w:szCs w:val="22"/>
        </w:rPr>
        <w:t>s</w:t>
      </w:r>
      <w:r w:rsidRPr="00504BCC">
        <w:rPr>
          <w:szCs w:val="22"/>
        </w:rPr>
        <w:t xml:space="preserve">).  </w:t>
      </w:r>
    </w:p>
    <w:p w14:paraId="17CE672B" w14:textId="06775E20" w:rsidR="0003781F" w:rsidRDefault="0003781F" w:rsidP="000716D6">
      <w:r>
        <w:t>WIC</w:t>
      </w:r>
      <w:r w:rsidR="00C8336D">
        <w:t>F</w:t>
      </w:r>
      <w:r>
        <w:t xml:space="preserve">s comprise </w:t>
      </w:r>
      <w:r w:rsidRPr="0003781F">
        <w:rPr>
          <w:rFonts w:hint="eastAsia"/>
        </w:rPr>
        <w:t xml:space="preserve">a structure formed by an insulated enclosure of walls and ceiling, </w:t>
      </w:r>
      <w:r>
        <w:t>and refrigeration equipment to refrigerate the space</w:t>
      </w:r>
      <w:r w:rsidR="000716D6">
        <w:t xml:space="preserve">. The majority use </w:t>
      </w:r>
      <w:r>
        <w:t>remote condensing unit</w:t>
      </w:r>
      <w:r w:rsidR="000716D6">
        <w:t xml:space="preserve">s and </w:t>
      </w:r>
      <w:r>
        <w:t>smaller WIC</w:t>
      </w:r>
      <w:r w:rsidR="00C8336D">
        <w:t>F</w:t>
      </w:r>
      <w:r>
        <w:t>s can use self-contained equipment</w:t>
      </w:r>
      <w:r w:rsidR="000716D6">
        <w:t xml:space="preserve"> commonly referred to as “drop-in or slide-in” units</w:t>
      </w:r>
      <w:r>
        <w:t xml:space="preserve">. New technology is just starting to emerge in this sector </w:t>
      </w:r>
      <w:r w:rsidR="000716D6">
        <w:t xml:space="preserve">where it uses brushless DC compressor technology, monitors refrigerant superheat and optimises </w:t>
      </w:r>
      <w:r w:rsidR="000A63B2">
        <w:t xml:space="preserve">the </w:t>
      </w:r>
      <w:r w:rsidR="000716D6">
        <w:t xml:space="preserve">co-efficient of performance to achieve </w:t>
      </w:r>
      <w:r w:rsidR="000716D6" w:rsidRPr="000716D6">
        <w:t>flat line temperature control</w:t>
      </w:r>
      <w:r w:rsidR="000716D6">
        <w:t xml:space="preserve">. Best practice equipment can save </w:t>
      </w:r>
      <w:r w:rsidR="00BC2272">
        <w:t xml:space="preserve">energy consumption of </w:t>
      </w:r>
      <w:r w:rsidR="000716D6">
        <w:t xml:space="preserve">around 25% to 30% over conventional equipment and this is not taking into account the structure, operation and maintenance improvement opportunities. AIRAH in association with Expert Group </w:t>
      </w:r>
      <w:r w:rsidR="00FE74F2">
        <w:t>is</w:t>
      </w:r>
      <w:r w:rsidR="000716D6">
        <w:t xml:space="preserve"> currently drafting a </w:t>
      </w:r>
      <w:r w:rsidR="00395CB8">
        <w:t xml:space="preserve">discussion paper and potentially a </w:t>
      </w:r>
      <w:r w:rsidR="000716D6">
        <w:t xml:space="preserve">Good Practice </w:t>
      </w:r>
      <w:r w:rsidR="009F5EAE">
        <w:t>Guideline</w:t>
      </w:r>
      <w:r w:rsidR="000716D6">
        <w:t xml:space="preserve"> for </w:t>
      </w:r>
      <w:r w:rsidR="00C8336D">
        <w:t>WICF</w:t>
      </w:r>
      <w:r w:rsidR="000716D6">
        <w:t>s that is expected to be released by the end of 2018.</w:t>
      </w:r>
    </w:p>
    <w:p w14:paraId="01C4928F" w14:textId="72030110" w:rsidR="002B6D25" w:rsidRDefault="002B6D25" w:rsidP="002B6D25">
      <w:r>
        <w:t xml:space="preserve">Improved market intelligence revealed much larger sales during the last five years of </w:t>
      </w:r>
      <w:r w:rsidR="009F5EAE">
        <w:t>condensers</w:t>
      </w:r>
      <w:r>
        <w:t xml:space="preserve"> and evaporators in capacity ranges that are commonly used in </w:t>
      </w:r>
      <w:r w:rsidR="00C8336D">
        <w:t>WICF</w:t>
      </w:r>
      <w:r>
        <w:t>s, particularly in ‘small cool rooms</w:t>
      </w:r>
      <w:r w:rsidR="00D04839">
        <w:t>’</w:t>
      </w:r>
      <w:r>
        <w:t>.</w:t>
      </w:r>
    </w:p>
    <w:p w14:paraId="6D371F0F" w14:textId="275A86B7" w:rsidR="002B6D25" w:rsidRDefault="002B6D25" w:rsidP="002B6D25">
      <w:r w:rsidRPr="00DA618D">
        <w:t xml:space="preserve">Annual sales of equipment required for small cool room refrigeration </w:t>
      </w:r>
      <w:r w:rsidR="00FE74F2">
        <w:t>are</w:t>
      </w:r>
      <w:r w:rsidRPr="00DA618D">
        <w:t xml:space="preserve"> now estimated at </w:t>
      </w:r>
      <w:r w:rsidR="000A63B2" w:rsidRPr="00DA618D">
        <w:t xml:space="preserve">around </w:t>
      </w:r>
      <w:r w:rsidRPr="00DA618D">
        <w:t>17,</w:t>
      </w:r>
      <w:r w:rsidR="000A63B2" w:rsidRPr="00DA618D">
        <w:t>400</w:t>
      </w:r>
      <w:r w:rsidRPr="00DA618D">
        <w:t xml:space="preserve"> units and total stocks of small cool rooms are estimated at more than 21</w:t>
      </w:r>
      <w:r w:rsidR="00DA618D" w:rsidRPr="00DA618D">
        <w:t>9</w:t>
      </w:r>
      <w:r w:rsidRPr="00DA618D">
        <w:t>,000 in 2016 (</w:t>
      </w:r>
      <w:r w:rsidRPr="00DA618D">
        <w:rPr>
          <w:i/>
        </w:rPr>
        <w:t xml:space="preserve">CHF2 65,700 revised to </w:t>
      </w:r>
      <w:r w:rsidR="00DA618D" w:rsidRPr="00DA618D">
        <w:rPr>
          <w:i/>
        </w:rPr>
        <w:t>219</w:t>
      </w:r>
      <w:r w:rsidRPr="00DA618D">
        <w:rPr>
          <w:i/>
        </w:rPr>
        <w:t>,</w:t>
      </w:r>
      <w:r w:rsidR="00DA618D" w:rsidRPr="00DA618D">
        <w:rPr>
          <w:i/>
        </w:rPr>
        <w:t>0</w:t>
      </w:r>
      <w:r w:rsidRPr="00DA618D">
        <w:rPr>
          <w:i/>
        </w:rPr>
        <w:t>00</w:t>
      </w:r>
      <w:r w:rsidRPr="00DA618D">
        <w:t xml:space="preserve">). </w:t>
      </w:r>
      <w:r w:rsidR="00DA618D" w:rsidRPr="00DA618D">
        <w:t>There is an estimated stock of 3</w:t>
      </w:r>
      <w:r w:rsidR="001D33D8">
        <w:t>9</w:t>
      </w:r>
      <w:r w:rsidR="00DA618D" w:rsidRPr="00DA618D">
        <w:t xml:space="preserve">,000 medium and large </w:t>
      </w:r>
      <w:r w:rsidR="00C8336D">
        <w:t>WICF</w:t>
      </w:r>
      <w:r w:rsidR="00DA618D" w:rsidRPr="00DA618D">
        <w:t>s in 2016.</w:t>
      </w:r>
      <w:r w:rsidR="00DA618D">
        <w:t xml:space="preserve">  </w:t>
      </w:r>
    </w:p>
    <w:p w14:paraId="76AF7B9C" w14:textId="771B4A9D" w:rsidR="002B6D25" w:rsidRDefault="002B6D25" w:rsidP="002B6D25">
      <w:r>
        <w:t xml:space="preserve">The size of the stock of equipment in this category </w:t>
      </w:r>
      <w:r w:rsidR="006F7C78">
        <w:t xml:space="preserve">makes sense if one considers </w:t>
      </w:r>
      <w:r>
        <w:t>the number</w:t>
      </w:r>
      <w:r w:rsidR="006F7C78">
        <w:t>s</w:t>
      </w:r>
      <w:r>
        <w:t xml:space="preserve"> of food retail outlets, such as fast food franchises, small cafes and restaurants operating in Australian towns and cities, most of which are likely to have at least one small cool room.</w:t>
      </w:r>
    </w:p>
    <w:p w14:paraId="4525F580" w14:textId="54A1C8FF" w:rsidR="002B6D25" w:rsidRDefault="002B6D25" w:rsidP="002B6D25">
      <w:r>
        <w:t xml:space="preserve">The </w:t>
      </w:r>
      <w:r w:rsidR="000951E5">
        <w:t>RAC Stock model</w:t>
      </w:r>
      <w:r>
        <w:t xml:space="preserve"> estimates that almost 90% of sales </w:t>
      </w:r>
      <w:r w:rsidR="00592712">
        <w:t xml:space="preserve">of remote condensing units </w:t>
      </w:r>
      <w:r>
        <w:t xml:space="preserve">are for equipment being used in </w:t>
      </w:r>
      <w:r w:rsidR="00C8336D">
        <w:t>WICF</w:t>
      </w:r>
      <w:r>
        <w:t xml:space="preserve">s. </w:t>
      </w:r>
      <w:r w:rsidR="009F5EAE">
        <w:t>However,</w:t>
      </w:r>
      <w:r>
        <w:t xml:space="preserve"> the growth in the stock of small </w:t>
      </w:r>
      <w:r w:rsidR="00C8336D">
        <w:t>WICF</w:t>
      </w:r>
      <w:r>
        <w:t xml:space="preserve">s is considerably less than annual equipment sales might suggest. This is because this hard-working equipment has a relatively short useful life of only 12 years, and as such some of the equipment sales are being used to either replace the refrigeration equipment servicing cool rooms, or to refurbish one or more of the components, such as replacing compressors in the condensing unit, or replacing the evaporators sited inside the cool rooms. Evaporators </w:t>
      </w:r>
      <w:r w:rsidR="006F7C78">
        <w:t xml:space="preserve">particularly </w:t>
      </w:r>
      <w:r>
        <w:t xml:space="preserve">are subject to corrosion due to exposure to breakdown products from fruit and vegetables, such as ethylene, and of course in small cool rooms, they are potentially subject to impact damage from cartons and pallets of food. </w:t>
      </w:r>
    </w:p>
    <w:p w14:paraId="5C4803A5" w14:textId="44D86DA9" w:rsidR="002B6D25" w:rsidRDefault="002B6D25" w:rsidP="002B6D25">
      <w:r>
        <w:lastRenderedPageBreak/>
        <w:t>The tripling of this stock of equipment</w:t>
      </w:r>
      <w:r w:rsidR="006F7C78">
        <w:t xml:space="preserve"> in the </w:t>
      </w:r>
      <w:r w:rsidR="00787D7A">
        <w:t xml:space="preserve">RAC </w:t>
      </w:r>
      <w:r w:rsidR="006F7C78">
        <w:t xml:space="preserve">Stock </w:t>
      </w:r>
      <w:r w:rsidR="00787D7A">
        <w:t>m</w:t>
      </w:r>
      <w:r w:rsidR="006F7C78">
        <w:t>odel</w:t>
      </w:r>
      <w:r>
        <w:t xml:space="preserve"> flows through to increases in the estimates of energy used and of the size of the bank of </w:t>
      </w:r>
      <w:r w:rsidR="00493AC5">
        <w:t>refrigerant</w:t>
      </w:r>
      <w:r>
        <w:t xml:space="preserve"> in this category which are discussed in the relevant sections later in this report.</w:t>
      </w:r>
    </w:p>
    <w:p w14:paraId="51C0AA1B" w14:textId="55EE1A2B" w:rsidR="002B6D25" w:rsidRDefault="002B6D25" w:rsidP="002B6D25">
      <w:r>
        <w:t xml:space="preserve">The second realisation was the growth in what are referred to as </w:t>
      </w:r>
      <w:r w:rsidR="00787D7A">
        <w:t>“</w:t>
      </w:r>
      <w:r>
        <w:t>drop-in/slide-in</w:t>
      </w:r>
      <w:r w:rsidR="00787D7A">
        <w:t>”</w:t>
      </w:r>
      <w:r>
        <w:t xml:space="preserve"> self-contained systems that are used in the construction of very small cool</w:t>
      </w:r>
      <w:r w:rsidR="00D04839">
        <w:t xml:space="preserve"> </w:t>
      </w:r>
      <w:r>
        <w:t xml:space="preserve">rooms. While the numbers of these sales are not huge, at an estimated </w:t>
      </w:r>
      <w:r w:rsidR="00787D7A">
        <w:t>500</w:t>
      </w:r>
      <w:r>
        <w:t xml:space="preserve"> a year, the total number of units in this category is now estimated to be slightly more than 9,000. These devices are general</w:t>
      </w:r>
      <w:r w:rsidR="00C25A70">
        <w:t>ly</w:t>
      </w:r>
      <w:r>
        <w:t xml:space="preserve"> being sold into small hospitality venues, restaurants and takeaways. Changes to the taxonomy to accommodate this </w:t>
      </w:r>
      <w:r w:rsidR="00417D6E">
        <w:t>e</w:t>
      </w:r>
      <w:r>
        <w:t xml:space="preserve">quipment category are discussed in the Small </w:t>
      </w:r>
      <w:r w:rsidR="00787D7A">
        <w:t>c</w:t>
      </w:r>
      <w:r>
        <w:t xml:space="preserve">ommercial </w:t>
      </w:r>
      <w:r w:rsidR="00787D7A">
        <w:t>r</w:t>
      </w:r>
      <w:r>
        <w:t xml:space="preserve">efrigeration section below. </w:t>
      </w:r>
    </w:p>
    <w:p w14:paraId="7985FFAE" w14:textId="77777777" w:rsidR="002B6D25" w:rsidRDefault="002B6D25" w:rsidP="002B6D25">
      <w:pPr>
        <w:rPr>
          <w:szCs w:val="22"/>
        </w:rPr>
      </w:pPr>
    </w:p>
    <w:p w14:paraId="24AEA1A9" w14:textId="48EE5DBA" w:rsidR="002B6D25" w:rsidRDefault="00A7009B" w:rsidP="002B6D25">
      <w:pPr>
        <w:pStyle w:val="Heading3"/>
      </w:pPr>
      <w:bookmarkStart w:id="41" w:name="_Toc494661739"/>
      <w:bookmarkStart w:id="42" w:name="_Toc525141265"/>
      <w:r>
        <w:t>Small c</w:t>
      </w:r>
      <w:r w:rsidR="002B6D25">
        <w:t xml:space="preserve">ommercial </w:t>
      </w:r>
      <w:r>
        <w:t>r</w:t>
      </w:r>
      <w:r w:rsidR="002B6D25" w:rsidRPr="004728E2">
        <w:t>efrigeration</w:t>
      </w:r>
      <w:bookmarkEnd w:id="41"/>
      <w:bookmarkEnd w:id="42"/>
    </w:p>
    <w:p w14:paraId="5A7C9627" w14:textId="63D0E99E" w:rsidR="002B6D25" w:rsidRDefault="002B6D25" w:rsidP="002B6D25">
      <w:pPr>
        <w:rPr>
          <w:szCs w:val="22"/>
        </w:rPr>
      </w:pPr>
      <w:r>
        <w:rPr>
          <w:szCs w:val="22"/>
        </w:rPr>
        <w:t>Most</w:t>
      </w:r>
      <w:r w:rsidRPr="008E5EFC">
        <w:rPr>
          <w:szCs w:val="22"/>
        </w:rPr>
        <w:t xml:space="preserve"> of the equipment categories in </w:t>
      </w:r>
      <w:r>
        <w:rPr>
          <w:szCs w:val="22"/>
        </w:rPr>
        <w:t xml:space="preserve">the </w:t>
      </w:r>
      <w:r w:rsidR="00A7009B">
        <w:rPr>
          <w:szCs w:val="22"/>
        </w:rPr>
        <w:t>s</w:t>
      </w:r>
      <w:r>
        <w:rPr>
          <w:szCs w:val="22"/>
        </w:rPr>
        <w:t xml:space="preserve">mall </w:t>
      </w:r>
      <w:r w:rsidR="00A7009B">
        <w:rPr>
          <w:szCs w:val="22"/>
        </w:rPr>
        <w:t>c</w:t>
      </w:r>
      <w:r>
        <w:rPr>
          <w:szCs w:val="22"/>
        </w:rPr>
        <w:t xml:space="preserve">ommercial </w:t>
      </w:r>
      <w:r w:rsidR="00A7009B">
        <w:rPr>
          <w:szCs w:val="22"/>
        </w:rPr>
        <w:t>r</w:t>
      </w:r>
      <w:r>
        <w:rPr>
          <w:szCs w:val="22"/>
        </w:rPr>
        <w:t xml:space="preserve">efrigeration </w:t>
      </w:r>
      <w:r w:rsidRPr="008E5EFC">
        <w:rPr>
          <w:szCs w:val="22"/>
        </w:rPr>
        <w:t xml:space="preserve">segment are referred to in the trade as </w:t>
      </w:r>
      <w:r w:rsidR="00CC3ED4">
        <w:rPr>
          <w:szCs w:val="22"/>
        </w:rPr>
        <w:t>‘</w:t>
      </w:r>
      <w:r w:rsidRPr="008E5EFC">
        <w:rPr>
          <w:szCs w:val="22"/>
        </w:rPr>
        <w:t>self-contained refrigeration</w:t>
      </w:r>
      <w:r>
        <w:rPr>
          <w:szCs w:val="22"/>
        </w:rPr>
        <w:t>’</w:t>
      </w:r>
      <w:r w:rsidRPr="008E5EFC">
        <w:rPr>
          <w:szCs w:val="22"/>
        </w:rPr>
        <w:t xml:space="preserve">. </w:t>
      </w:r>
      <w:r>
        <w:rPr>
          <w:szCs w:val="22"/>
        </w:rPr>
        <w:t xml:space="preserve">These units are stand-alone refrigeration systems in </w:t>
      </w:r>
      <w:r w:rsidR="00C25A70">
        <w:rPr>
          <w:szCs w:val="22"/>
        </w:rPr>
        <w:t xml:space="preserve">many </w:t>
      </w:r>
      <w:r>
        <w:rPr>
          <w:szCs w:val="22"/>
        </w:rPr>
        <w:t xml:space="preserve">different formats. </w:t>
      </w:r>
    </w:p>
    <w:p w14:paraId="78993420" w14:textId="609F4EC7" w:rsidR="002B6D25" w:rsidRDefault="009310D7" w:rsidP="002B6D25">
      <w:pPr>
        <w:rPr>
          <w:szCs w:val="22"/>
        </w:rPr>
      </w:pPr>
      <w:r>
        <w:rPr>
          <w:szCs w:val="22"/>
        </w:rPr>
        <w:t>A</w:t>
      </w:r>
      <w:r w:rsidR="002B6D25">
        <w:rPr>
          <w:szCs w:val="22"/>
        </w:rPr>
        <w:t xml:space="preserve"> huge amount of engineering effort has been invested in these devices over the decades to produce the wide range of reliable equipment that consumers purchase food and beverages from.</w:t>
      </w:r>
    </w:p>
    <w:p w14:paraId="2871A74A" w14:textId="0B3F64E0" w:rsidR="002B6D25" w:rsidRPr="008E5EFC" w:rsidRDefault="002B6D25" w:rsidP="002B6D25">
      <w:pPr>
        <w:rPr>
          <w:szCs w:val="22"/>
        </w:rPr>
      </w:pPr>
      <w:r w:rsidRPr="008E5EFC">
        <w:rPr>
          <w:szCs w:val="22"/>
        </w:rPr>
        <w:t>Self-contained commercial refrigeration equipment typically contains a factory-assembled, hermetically sealed, vapour-compression refrigeration system</w:t>
      </w:r>
      <w:r>
        <w:rPr>
          <w:szCs w:val="22"/>
        </w:rPr>
        <w:t xml:space="preserve"> employing</w:t>
      </w:r>
      <w:r w:rsidRPr="008E5EFC">
        <w:rPr>
          <w:szCs w:val="22"/>
        </w:rPr>
        <w:t xml:space="preserve"> relatively small refrigerant charges</w:t>
      </w:r>
      <w:r>
        <w:rPr>
          <w:szCs w:val="22"/>
        </w:rPr>
        <w:t>,</w:t>
      </w:r>
      <w:r w:rsidRPr="008E5EFC">
        <w:rPr>
          <w:szCs w:val="22"/>
        </w:rPr>
        <w:t xml:space="preserve"> ranging from </w:t>
      </w:r>
      <w:r>
        <w:rPr>
          <w:szCs w:val="22"/>
        </w:rPr>
        <w:t xml:space="preserve">as little as </w:t>
      </w:r>
      <w:r w:rsidRPr="008E5EFC">
        <w:rPr>
          <w:szCs w:val="22"/>
        </w:rPr>
        <w:t>4</w:t>
      </w:r>
      <w:r>
        <w:rPr>
          <w:szCs w:val="22"/>
        </w:rPr>
        <w:t xml:space="preserve">0 grams in a small </w:t>
      </w:r>
      <w:r w:rsidR="00787D7A">
        <w:rPr>
          <w:szCs w:val="22"/>
        </w:rPr>
        <w:t>water cooler</w:t>
      </w:r>
      <w:r>
        <w:rPr>
          <w:szCs w:val="22"/>
        </w:rPr>
        <w:t>,</w:t>
      </w:r>
      <w:r w:rsidRPr="008E5EFC">
        <w:rPr>
          <w:szCs w:val="22"/>
        </w:rPr>
        <w:t xml:space="preserve"> to up to three kilograms in a</w:t>
      </w:r>
      <w:r>
        <w:rPr>
          <w:szCs w:val="22"/>
        </w:rPr>
        <w:t xml:space="preserve"> larger</w:t>
      </w:r>
      <w:r w:rsidRPr="008E5EFC">
        <w:rPr>
          <w:szCs w:val="22"/>
        </w:rPr>
        <w:t xml:space="preserve"> refrigerated display case.</w:t>
      </w:r>
    </w:p>
    <w:p w14:paraId="2B2B7882" w14:textId="55153B02" w:rsidR="002B6D25" w:rsidRDefault="002B6D25" w:rsidP="002B6D25">
      <w:pPr>
        <w:rPr>
          <w:szCs w:val="22"/>
        </w:rPr>
      </w:pPr>
      <w:r>
        <w:rPr>
          <w:szCs w:val="22"/>
        </w:rPr>
        <w:t>These equipment categories are employed in large numbers in both the front of store and back rooms of</w:t>
      </w:r>
      <w:r w:rsidRPr="008E5EFC">
        <w:rPr>
          <w:szCs w:val="22"/>
        </w:rPr>
        <w:t xml:space="preserve"> supermarkets</w:t>
      </w:r>
      <w:r>
        <w:rPr>
          <w:szCs w:val="22"/>
        </w:rPr>
        <w:t xml:space="preserve"> of all sizes</w:t>
      </w:r>
      <w:r w:rsidRPr="008E5EFC">
        <w:rPr>
          <w:szCs w:val="22"/>
        </w:rPr>
        <w:t>,</w:t>
      </w:r>
      <w:r>
        <w:rPr>
          <w:szCs w:val="22"/>
        </w:rPr>
        <w:t xml:space="preserve"> local</w:t>
      </w:r>
      <w:r w:rsidRPr="008E5EFC">
        <w:rPr>
          <w:szCs w:val="22"/>
        </w:rPr>
        <w:t xml:space="preserve"> grocery and butcher stores, cafes, restaurants, takeaways, </w:t>
      </w:r>
      <w:r>
        <w:rPr>
          <w:szCs w:val="22"/>
        </w:rPr>
        <w:t xml:space="preserve">hotels and clubs and </w:t>
      </w:r>
      <w:r w:rsidRPr="008E5EFC">
        <w:rPr>
          <w:szCs w:val="22"/>
        </w:rPr>
        <w:t>other food retail outlets</w:t>
      </w:r>
      <w:r>
        <w:rPr>
          <w:szCs w:val="22"/>
        </w:rPr>
        <w:t>. Generally front-of-store equipment is referred to as ‘refrigerated display cabinets’ and is fitted with either glass doors, transparent lids (in the case of tub displays) or are open (at least during trading hours) as is the case with many of the long upright fresh food, dairy and drinks display cases.</w:t>
      </w:r>
    </w:p>
    <w:p w14:paraId="3DBAD6AA" w14:textId="112E9047" w:rsidR="002B6D25" w:rsidRDefault="002B6D25" w:rsidP="002B6D25">
      <w:pPr>
        <w:rPr>
          <w:szCs w:val="22"/>
        </w:rPr>
      </w:pPr>
      <w:r>
        <w:rPr>
          <w:szCs w:val="22"/>
        </w:rPr>
        <w:t xml:space="preserve">Small commercial refrigeration formats used in the service areas of restaurants, hotels, takeaways and in the back rooms of other food retail outlets are referred to as ‘service </w:t>
      </w:r>
      <w:r w:rsidR="00787D7A">
        <w:rPr>
          <w:szCs w:val="22"/>
        </w:rPr>
        <w:t xml:space="preserve">or storage </w:t>
      </w:r>
      <w:r>
        <w:rPr>
          <w:szCs w:val="22"/>
        </w:rPr>
        <w:t>cabinets’, and are generally upright formats, often multi-door but wi</w:t>
      </w:r>
      <w:r w:rsidR="009F5952">
        <w:rPr>
          <w:szCs w:val="22"/>
        </w:rPr>
        <w:t>th</w:t>
      </w:r>
      <w:r>
        <w:rPr>
          <w:szCs w:val="22"/>
        </w:rPr>
        <w:t xml:space="preserve"> solid doors (reducing heat gain).</w:t>
      </w:r>
    </w:p>
    <w:p w14:paraId="43C9FD84" w14:textId="77777777" w:rsidR="002B6D25" w:rsidRDefault="002B6D25" w:rsidP="002B6D25">
      <w:r>
        <w:rPr>
          <w:szCs w:val="22"/>
        </w:rPr>
        <w:t>The main product categories include:</w:t>
      </w:r>
      <w:r w:rsidRPr="008E5EFC">
        <w:t xml:space="preserve"> </w:t>
      </w:r>
    </w:p>
    <w:p w14:paraId="370F8EEA" w14:textId="77777777" w:rsidR="002B6D25" w:rsidRPr="008E5EFC"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sidRPr="008E5EFC">
        <w:rPr>
          <w:rFonts w:ascii="Times New Roman" w:hAnsi="Times New Roman"/>
        </w:rPr>
        <w:t xml:space="preserve">RCFC1-1: </w:t>
      </w:r>
      <w:r>
        <w:rPr>
          <w:rFonts w:ascii="Times New Roman" w:hAnsi="Times New Roman"/>
        </w:rPr>
        <w:t>Includes both service cabinets and the more varied r</w:t>
      </w:r>
      <w:r w:rsidRPr="008E5EFC">
        <w:rPr>
          <w:rFonts w:ascii="Times New Roman" w:hAnsi="Times New Roman"/>
        </w:rPr>
        <w:t xml:space="preserve">efrigerated </w:t>
      </w:r>
      <w:r w:rsidRPr="00A5223B">
        <w:rPr>
          <w:rFonts w:ascii="Times New Roman" w:hAnsi="Times New Roman"/>
        </w:rPr>
        <w:t>display cabinets, sometimes referred to as ‘self-contained merchandisers’ covering plug-in-type food retail and supermarket cabinets, including; sandwich-pizza preparation and display counters; kitchen and service storage and preparation equipment</w:t>
      </w:r>
      <w:r>
        <w:rPr>
          <w:rFonts w:ascii="Times New Roman" w:hAnsi="Times New Roman"/>
        </w:rPr>
        <w:t xml:space="preserve"> found extensively behind the scenes in takeaways, restaurants and hotels</w:t>
      </w:r>
      <w:r w:rsidRPr="00A5223B">
        <w:rPr>
          <w:rFonts w:ascii="Times New Roman" w:hAnsi="Times New Roman"/>
        </w:rPr>
        <w:t>; glass door merchandisers and upright cabinets; chest cabinets commonly used for ice cream</w:t>
      </w:r>
      <w:r>
        <w:rPr>
          <w:rFonts w:ascii="Times New Roman" w:hAnsi="Times New Roman"/>
        </w:rPr>
        <w:t xml:space="preserve"> display</w:t>
      </w:r>
      <w:r w:rsidRPr="008E5EFC">
        <w:rPr>
          <w:rFonts w:ascii="Times New Roman" w:hAnsi="Times New Roman"/>
        </w:rPr>
        <w:t>; wine, drink and glass chilling cabinets for bars, restaurants and hotels. RCFC1-1 also picks up a small number of</w:t>
      </w:r>
      <w:r>
        <w:rPr>
          <w:rFonts w:ascii="Times New Roman" w:hAnsi="Times New Roman"/>
        </w:rPr>
        <w:t xml:space="preserve"> </w:t>
      </w:r>
      <w:r w:rsidRPr="008E5EFC">
        <w:rPr>
          <w:rFonts w:ascii="Times New Roman" w:hAnsi="Times New Roman"/>
        </w:rPr>
        <w:t>specialised cabinets for pharmaceutical applications;</w:t>
      </w:r>
    </w:p>
    <w:p w14:paraId="6AEA784D" w14:textId="77777777" w:rsidR="002B6D25" w:rsidRPr="008E5EFC"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sidRPr="008E5EFC">
        <w:rPr>
          <w:rFonts w:ascii="Times New Roman" w:hAnsi="Times New Roman"/>
        </w:rPr>
        <w:t>RCFC1-2: Refrigerated beverage vending machines often purchased by major food manufacturers such as Coca-Cola, Pepsi and Schweppes, and also independent vending suppliers located at airports, railway stations, offices, factories, warehouses, universities and schools, etc.;</w:t>
      </w:r>
    </w:p>
    <w:p w14:paraId="4016253F" w14:textId="2545393A" w:rsidR="002B6D25" w:rsidRPr="008E5EFC"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sidRPr="008E5EFC">
        <w:rPr>
          <w:rFonts w:ascii="Times New Roman" w:hAnsi="Times New Roman"/>
        </w:rPr>
        <w:t xml:space="preserve">RCFC1-3: </w:t>
      </w:r>
      <w:r w:rsidR="009F5952">
        <w:rPr>
          <w:rFonts w:ascii="Times New Roman" w:hAnsi="Times New Roman"/>
        </w:rPr>
        <w:t>(</w:t>
      </w:r>
      <w:r w:rsidR="009F5952" w:rsidRPr="007603D0">
        <w:rPr>
          <w:rFonts w:ascii="Times New Roman" w:hAnsi="Times New Roman"/>
          <w:i/>
        </w:rPr>
        <w:t>CHF2 RCFC1-7</w:t>
      </w:r>
      <w:r w:rsidR="009F5952">
        <w:rPr>
          <w:rFonts w:ascii="Times New Roman" w:hAnsi="Times New Roman"/>
        </w:rPr>
        <w:t xml:space="preserve">) </w:t>
      </w:r>
      <w:r w:rsidRPr="008E5EFC">
        <w:rPr>
          <w:rFonts w:ascii="Times New Roman" w:hAnsi="Times New Roman"/>
        </w:rPr>
        <w:t>Post-mix beverage cooling and dispensing equipment that transforms concentrated syrup, typically supplied in ‘bag-in-box’ casks, mixed with water that is circulated through an ice bank cooler to serve carbonated drinks in all sorts of hospitality venues including clubs, hotels, large restaurants with bars and entertainment venues;</w:t>
      </w:r>
    </w:p>
    <w:p w14:paraId="2C9FC4B8" w14:textId="1B8C06E0" w:rsidR="002B6D25" w:rsidRPr="007603D0"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 xml:space="preserve">RCFC1-4: </w:t>
      </w:r>
      <w:r w:rsidR="009F5952">
        <w:rPr>
          <w:rFonts w:ascii="Times New Roman" w:hAnsi="Times New Roman"/>
        </w:rPr>
        <w:t>(</w:t>
      </w:r>
      <w:r w:rsidR="009F5952" w:rsidRPr="007603D0">
        <w:rPr>
          <w:rFonts w:ascii="Times New Roman" w:hAnsi="Times New Roman"/>
          <w:i/>
        </w:rPr>
        <w:t>CHF2 RCFC 1-3</w:t>
      </w:r>
      <w:r w:rsidR="009F5952">
        <w:rPr>
          <w:rFonts w:ascii="Times New Roman" w:hAnsi="Times New Roman"/>
        </w:rPr>
        <w:t xml:space="preserve">) </w:t>
      </w:r>
      <w:r w:rsidRPr="008E5EFC">
        <w:rPr>
          <w:rFonts w:ascii="Times New Roman" w:hAnsi="Times New Roman"/>
        </w:rPr>
        <w:t>Ice makers commonly used in cafes, hotels/bars and food courts. These are generally packaged freestanding, bench-top or under-bench units, and may have a small storage basket or bin with access door, or dispense ice and beverages automatically;</w:t>
      </w:r>
    </w:p>
    <w:p w14:paraId="084A90BA" w14:textId="45DF03CF" w:rsidR="002B6D25"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sidRPr="008E5EFC">
        <w:rPr>
          <w:rFonts w:ascii="Times New Roman" w:hAnsi="Times New Roman"/>
        </w:rPr>
        <w:lastRenderedPageBreak/>
        <w:t>RCFC1-5:</w:t>
      </w:r>
      <w:r>
        <w:rPr>
          <w:rFonts w:ascii="Times New Roman" w:hAnsi="Times New Roman"/>
        </w:rPr>
        <w:t xml:space="preserve"> </w:t>
      </w:r>
      <w:r w:rsidR="009F5952">
        <w:rPr>
          <w:rFonts w:ascii="Times New Roman" w:hAnsi="Times New Roman"/>
        </w:rPr>
        <w:t>(</w:t>
      </w:r>
      <w:r w:rsidR="009F5952">
        <w:rPr>
          <w:rFonts w:ascii="Times New Roman" w:hAnsi="Times New Roman"/>
          <w:i/>
        </w:rPr>
        <w:t>CHF2 RCFC 1-9</w:t>
      </w:r>
      <w:r w:rsidR="009F5952">
        <w:rPr>
          <w:rFonts w:ascii="Times New Roman" w:hAnsi="Times New Roman"/>
        </w:rPr>
        <w:t xml:space="preserve">) </w:t>
      </w:r>
      <w:r w:rsidRPr="008E5EFC">
        <w:rPr>
          <w:rFonts w:ascii="Times New Roman" w:hAnsi="Times New Roman"/>
        </w:rPr>
        <w:t>Bottle water coolers and water dispensers found in offi</w:t>
      </w:r>
      <w:r>
        <w:rPr>
          <w:rFonts w:ascii="Times New Roman" w:hAnsi="Times New Roman"/>
        </w:rPr>
        <w:t xml:space="preserve">ces, factories, gymnasiums, </w:t>
      </w:r>
      <w:r w:rsidR="009F5EAE">
        <w:rPr>
          <w:rFonts w:ascii="Times New Roman" w:hAnsi="Times New Roman"/>
        </w:rPr>
        <w:t>etc.</w:t>
      </w:r>
      <w:r>
        <w:rPr>
          <w:rFonts w:ascii="Times New Roman" w:hAnsi="Times New Roman"/>
        </w:rPr>
        <w:t>;</w:t>
      </w:r>
    </w:p>
    <w:p w14:paraId="2F9EE6CB" w14:textId="77777777" w:rsidR="002B6D25" w:rsidRPr="008E5EFC"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RCFC 1-6: Other self-contained small commercial refrigeration including some portable refrigeration systems for commercial applications;</w:t>
      </w:r>
    </w:p>
    <w:p w14:paraId="7E08CE90" w14:textId="32C14040" w:rsidR="002B6D25"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sidRPr="008E5EFC">
        <w:rPr>
          <w:rFonts w:ascii="Times New Roman" w:hAnsi="Times New Roman"/>
        </w:rPr>
        <w:t xml:space="preserve">RCFC1-7: </w:t>
      </w:r>
      <w:r w:rsidR="009F5952">
        <w:rPr>
          <w:rFonts w:ascii="Times New Roman" w:hAnsi="Times New Roman"/>
        </w:rPr>
        <w:t>(</w:t>
      </w:r>
      <w:r w:rsidR="009F5952" w:rsidRPr="00787D7A">
        <w:rPr>
          <w:rFonts w:ascii="Times New Roman" w:hAnsi="Times New Roman"/>
          <w:i/>
        </w:rPr>
        <w:t>CHF2 RCFC 1-4</w:t>
      </w:r>
      <w:r w:rsidR="009F5952">
        <w:rPr>
          <w:rFonts w:ascii="Times New Roman" w:hAnsi="Times New Roman"/>
        </w:rPr>
        <w:t xml:space="preserve">) </w:t>
      </w:r>
      <w:r w:rsidRPr="008E5EFC">
        <w:rPr>
          <w:rFonts w:ascii="Times New Roman" w:hAnsi="Times New Roman"/>
        </w:rPr>
        <w:t>Drop-in and slide-in packaged refrigeration units used in walk-in cool</w:t>
      </w:r>
      <w:r w:rsidR="00D04839">
        <w:rPr>
          <w:rFonts w:ascii="Times New Roman" w:hAnsi="Times New Roman"/>
        </w:rPr>
        <w:t xml:space="preserve"> </w:t>
      </w:r>
      <w:r w:rsidRPr="008E5EFC">
        <w:rPr>
          <w:rFonts w:ascii="Times New Roman" w:hAnsi="Times New Roman"/>
        </w:rPr>
        <w:t>rooms and extensively used throughout the food chain to refrigerate fresh, chilled and frozen produce</w:t>
      </w:r>
      <w:r>
        <w:rPr>
          <w:rFonts w:ascii="Times New Roman" w:hAnsi="Times New Roman"/>
        </w:rPr>
        <w:t>; and</w:t>
      </w:r>
    </w:p>
    <w:p w14:paraId="32E95BD4" w14:textId="311F2204" w:rsidR="002B6D25" w:rsidRPr="00794F8B"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 xml:space="preserve">RCFC 1-8: </w:t>
      </w:r>
      <w:r w:rsidR="009F5952">
        <w:rPr>
          <w:rFonts w:ascii="Times New Roman" w:hAnsi="Times New Roman"/>
        </w:rPr>
        <w:t>(</w:t>
      </w:r>
      <w:r w:rsidR="009F5952" w:rsidRPr="00787D7A">
        <w:rPr>
          <w:rFonts w:ascii="Times New Roman" w:hAnsi="Times New Roman"/>
          <w:i/>
        </w:rPr>
        <w:t>CHF2 RCFC 1-4</w:t>
      </w:r>
      <w:r w:rsidR="009F5952">
        <w:rPr>
          <w:rFonts w:ascii="Times New Roman" w:hAnsi="Times New Roman"/>
        </w:rPr>
        <w:t xml:space="preserve">) </w:t>
      </w:r>
      <w:r>
        <w:rPr>
          <w:rFonts w:ascii="Times New Roman" w:hAnsi="Times New Roman"/>
        </w:rPr>
        <w:t>Small scale walk</w:t>
      </w:r>
      <w:r w:rsidR="00D04839">
        <w:rPr>
          <w:rFonts w:ascii="Times New Roman" w:hAnsi="Times New Roman"/>
        </w:rPr>
        <w:t>-</w:t>
      </w:r>
      <w:r>
        <w:rPr>
          <w:rFonts w:ascii="Times New Roman" w:hAnsi="Times New Roman"/>
        </w:rPr>
        <w:t>in cool</w:t>
      </w:r>
      <w:r w:rsidR="00D04839">
        <w:rPr>
          <w:rFonts w:ascii="Times New Roman" w:hAnsi="Times New Roman"/>
        </w:rPr>
        <w:t xml:space="preserve"> </w:t>
      </w:r>
      <w:r>
        <w:rPr>
          <w:rFonts w:ascii="Times New Roman" w:hAnsi="Times New Roman"/>
        </w:rPr>
        <w:t>rooms, but with a remote condensing unit. These very small walk</w:t>
      </w:r>
      <w:r w:rsidR="00D04839">
        <w:rPr>
          <w:rFonts w:ascii="Times New Roman" w:hAnsi="Times New Roman"/>
        </w:rPr>
        <w:t>-</w:t>
      </w:r>
      <w:r>
        <w:rPr>
          <w:rFonts w:ascii="Times New Roman" w:hAnsi="Times New Roman"/>
        </w:rPr>
        <w:t>in cool rooms are the only category in the RCFC1 segment that use a remote condensing unit.</w:t>
      </w:r>
    </w:p>
    <w:p w14:paraId="3D74B50C" w14:textId="2FF8AC9E" w:rsidR="002B6D25" w:rsidRDefault="002B6D25" w:rsidP="002B6D25">
      <w:pPr>
        <w:rPr>
          <w:szCs w:val="22"/>
        </w:rPr>
      </w:pPr>
      <w:r>
        <w:rPr>
          <w:szCs w:val="22"/>
        </w:rPr>
        <w:t>In CHF2, categories RCFC1-7 and RCFC1-8 listed above were treated as one category of equipment, however new market intelligence has demonstrated that not only are these small systems far more numerous than previously realised, but also that high quality data can be identified to quite accurately estimate stock numbers and changes over time. As such these two categories have been separated and r</w:t>
      </w:r>
      <w:r w:rsidR="00CE2022">
        <w:rPr>
          <w:szCs w:val="22"/>
        </w:rPr>
        <w:t xml:space="preserve">e-coded in the taxonomy of CHF3. Self-contained equipment has lower leak rates and smaller refrigerant charges than remote condensing unit systems which may provide potential for these </w:t>
      </w:r>
      <w:r w:rsidR="00C8336D">
        <w:rPr>
          <w:szCs w:val="22"/>
        </w:rPr>
        <w:t>WICF</w:t>
      </w:r>
      <w:r w:rsidR="00CE2022">
        <w:rPr>
          <w:szCs w:val="22"/>
        </w:rPr>
        <w:t xml:space="preserve">s to transition to HC charges depending on future charge restrictions defined by technical standards. </w:t>
      </w:r>
    </w:p>
    <w:p w14:paraId="41526FD1" w14:textId="0E0F4685" w:rsidR="002B6D25" w:rsidRPr="008E5EFC" w:rsidRDefault="002B6D25" w:rsidP="002B6D25">
      <w:pPr>
        <w:rPr>
          <w:szCs w:val="22"/>
        </w:rPr>
      </w:pPr>
      <w:r>
        <w:rPr>
          <w:szCs w:val="22"/>
        </w:rPr>
        <w:t>The r</w:t>
      </w:r>
      <w:r w:rsidRPr="008E5EFC">
        <w:rPr>
          <w:szCs w:val="22"/>
        </w:rPr>
        <w:t xml:space="preserve">efrigerant </w:t>
      </w:r>
      <w:r>
        <w:rPr>
          <w:szCs w:val="22"/>
        </w:rPr>
        <w:t>employed in commercial</w:t>
      </w:r>
      <w:r w:rsidRPr="008E5EFC">
        <w:rPr>
          <w:szCs w:val="22"/>
        </w:rPr>
        <w:t xml:space="preserve"> refrigeration </w:t>
      </w:r>
      <w:r>
        <w:rPr>
          <w:szCs w:val="22"/>
        </w:rPr>
        <w:t>is</w:t>
      </w:r>
      <w:r w:rsidRPr="008E5EFC">
        <w:rPr>
          <w:szCs w:val="22"/>
        </w:rPr>
        <w:t xml:space="preserve"> often </w:t>
      </w:r>
      <w:r>
        <w:rPr>
          <w:szCs w:val="22"/>
        </w:rPr>
        <w:t>selected based on</w:t>
      </w:r>
      <w:r w:rsidRPr="008E5EFC">
        <w:rPr>
          <w:szCs w:val="22"/>
        </w:rPr>
        <w:t xml:space="preserve"> the two main temperature</w:t>
      </w:r>
      <w:r>
        <w:rPr>
          <w:szCs w:val="22"/>
        </w:rPr>
        <w:t xml:space="preserve"> ranges</w:t>
      </w:r>
      <w:r w:rsidRPr="008E5EFC">
        <w:rPr>
          <w:szCs w:val="22"/>
        </w:rPr>
        <w:t xml:space="preserve"> </w:t>
      </w:r>
      <w:r>
        <w:rPr>
          <w:szCs w:val="22"/>
        </w:rPr>
        <w:t xml:space="preserve">used </w:t>
      </w:r>
      <w:r w:rsidRPr="008E5EFC">
        <w:rPr>
          <w:szCs w:val="22"/>
        </w:rPr>
        <w:t xml:space="preserve">for the conservation </w:t>
      </w:r>
      <w:r>
        <w:rPr>
          <w:szCs w:val="22"/>
        </w:rPr>
        <w:t xml:space="preserve">or freezing </w:t>
      </w:r>
      <w:r w:rsidRPr="008E5EFC">
        <w:rPr>
          <w:szCs w:val="22"/>
        </w:rPr>
        <w:t>of fresh food and beverages</w:t>
      </w:r>
      <w:r>
        <w:rPr>
          <w:szCs w:val="22"/>
        </w:rPr>
        <w:t xml:space="preserve">. These are </w:t>
      </w:r>
      <w:r w:rsidRPr="008E5EFC">
        <w:rPr>
          <w:szCs w:val="22"/>
        </w:rPr>
        <w:t>referred to in</w:t>
      </w:r>
      <w:r>
        <w:rPr>
          <w:szCs w:val="22"/>
        </w:rPr>
        <w:t xml:space="preserve"> the</w:t>
      </w:r>
      <w:r w:rsidRPr="008E5EFC">
        <w:rPr>
          <w:szCs w:val="22"/>
        </w:rPr>
        <w:t xml:space="preserve"> industry as </w:t>
      </w:r>
      <w:r>
        <w:rPr>
          <w:szCs w:val="22"/>
        </w:rPr>
        <w:t xml:space="preserve">either; </w:t>
      </w:r>
      <w:r w:rsidRPr="008E5EFC">
        <w:rPr>
          <w:szCs w:val="22"/>
        </w:rPr>
        <w:t xml:space="preserve">medium temperature </w:t>
      </w:r>
      <w:r>
        <w:rPr>
          <w:szCs w:val="22"/>
        </w:rPr>
        <w:t>(</w:t>
      </w:r>
      <w:r w:rsidRPr="008E5EFC">
        <w:rPr>
          <w:szCs w:val="22"/>
        </w:rPr>
        <w:t>where produce is refrigerated to temperatures above zero degrees Celsius),</w:t>
      </w:r>
      <w:r>
        <w:rPr>
          <w:szCs w:val="22"/>
        </w:rPr>
        <w:t xml:space="preserve"> </w:t>
      </w:r>
      <w:r w:rsidRPr="008E5EFC">
        <w:rPr>
          <w:szCs w:val="22"/>
        </w:rPr>
        <w:t xml:space="preserve">and low temperature, </w:t>
      </w:r>
      <w:r>
        <w:rPr>
          <w:szCs w:val="22"/>
        </w:rPr>
        <w:t xml:space="preserve">(where food is </w:t>
      </w:r>
      <w:r w:rsidRPr="008E5EFC">
        <w:rPr>
          <w:szCs w:val="22"/>
        </w:rPr>
        <w:t xml:space="preserve">refrigerated to zero degrees </w:t>
      </w:r>
      <w:r w:rsidR="00EF06D4">
        <w:rPr>
          <w:szCs w:val="22"/>
        </w:rPr>
        <w:t xml:space="preserve">Celsius </w:t>
      </w:r>
      <w:r w:rsidRPr="008E5EFC">
        <w:rPr>
          <w:szCs w:val="22"/>
        </w:rPr>
        <w:t>and below).</w:t>
      </w:r>
    </w:p>
    <w:p w14:paraId="12987254" w14:textId="77777777" w:rsidR="002B6D25" w:rsidRDefault="002B6D25" w:rsidP="002B6D25">
      <w:pPr>
        <w:rPr>
          <w:szCs w:val="22"/>
        </w:rPr>
      </w:pPr>
      <w:r w:rsidRPr="008E5EFC">
        <w:rPr>
          <w:szCs w:val="22"/>
        </w:rPr>
        <w:t>The majority of the existing stock</w:t>
      </w:r>
      <w:r>
        <w:rPr>
          <w:szCs w:val="22"/>
        </w:rPr>
        <w:t xml:space="preserve"> of self-contained commercial </w:t>
      </w:r>
      <w:r w:rsidRPr="008E5EFC">
        <w:rPr>
          <w:szCs w:val="22"/>
        </w:rPr>
        <w:t xml:space="preserve">refrigeration contains HFC-134a </w:t>
      </w:r>
      <w:r>
        <w:rPr>
          <w:szCs w:val="22"/>
        </w:rPr>
        <w:t xml:space="preserve">which is the refrigerant of choice for medium temperature applications. </w:t>
      </w:r>
    </w:p>
    <w:p w14:paraId="7D66CC57" w14:textId="77777777" w:rsidR="002B6D25" w:rsidRPr="008E5EFC" w:rsidRDefault="002B6D25" w:rsidP="002B6D25">
      <w:pPr>
        <w:rPr>
          <w:szCs w:val="22"/>
        </w:rPr>
      </w:pPr>
      <w:r>
        <w:rPr>
          <w:szCs w:val="22"/>
        </w:rPr>
        <w:t xml:space="preserve">A smaller </w:t>
      </w:r>
      <w:r w:rsidRPr="008E5EFC">
        <w:rPr>
          <w:szCs w:val="22"/>
        </w:rPr>
        <w:t xml:space="preserve">portion </w:t>
      </w:r>
      <w:r>
        <w:rPr>
          <w:szCs w:val="22"/>
        </w:rPr>
        <w:t xml:space="preserve">of the stock of equipment </w:t>
      </w:r>
      <w:r w:rsidRPr="008E5EFC">
        <w:rPr>
          <w:szCs w:val="22"/>
        </w:rPr>
        <w:t>operat</w:t>
      </w:r>
      <w:r>
        <w:rPr>
          <w:szCs w:val="22"/>
        </w:rPr>
        <w:t>es</w:t>
      </w:r>
      <w:r w:rsidRPr="008E5EFC">
        <w:rPr>
          <w:szCs w:val="22"/>
        </w:rPr>
        <w:t xml:space="preserve"> on HFC-404A, mostly in low temperature applications or when greater refrigerating intensity is required. </w:t>
      </w:r>
    </w:p>
    <w:p w14:paraId="6BBA1EE9" w14:textId="6B6E4D74" w:rsidR="002B6D25" w:rsidRDefault="002B6D25" w:rsidP="002B6D25">
      <w:pPr>
        <w:spacing w:before="240"/>
        <w:rPr>
          <w:b/>
          <w:szCs w:val="22"/>
        </w:rPr>
      </w:pPr>
      <w:r>
        <w:rPr>
          <w:b/>
          <w:szCs w:val="22"/>
        </w:rPr>
        <w:t xml:space="preserve">Natural </w:t>
      </w:r>
      <w:r w:rsidR="00A7009B">
        <w:rPr>
          <w:b/>
          <w:szCs w:val="22"/>
        </w:rPr>
        <w:t>r</w:t>
      </w:r>
      <w:r>
        <w:rPr>
          <w:b/>
          <w:szCs w:val="22"/>
        </w:rPr>
        <w:t xml:space="preserve">efrigerants taking </w:t>
      </w:r>
      <w:r w:rsidR="00A7009B">
        <w:rPr>
          <w:b/>
          <w:szCs w:val="22"/>
        </w:rPr>
        <w:t>m</w:t>
      </w:r>
      <w:r>
        <w:rPr>
          <w:b/>
          <w:szCs w:val="22"/>
        </w:rPr>
        <w:t xml:space="preserve">arket </w:t>
      </w:r>
      <w:r w:rsidR="00A7009B">
        <w:rPr>
          <w:b/>
          <w:szCs w:val="22"/>
        </w:rPr>
        <w:t>s</w:t>
      </w:r>
      <w:r>
        <w:rPr>
          <w:b/>
          <w:szCs w:val="22"/>
        </w:rPr>
        <w:t xml:space="preserve">hare in </w:t>
      </w:r>
      <w:r w:rsidR="00A7009B">
        <w:rPr>
          <w:b/>
          <w:szCs w:val="22"/>
        </w:rPr>
        <w:t>s</w:t>
      </w:r>
      <w:r>
        <w:rPr>
          <w:b/>
          <w:szCs w:val="22"/>
        </w:rPr>
        <w:t>elf</w:t>
      </w:r>
      <w:r w:rsidR="00A7009B">
        <w:rPr>
          <w:b/>
          <w:szCs w:val="22"/>
        </w:rPr>
        <w:t>-c</w:t>
      </w:r>
      <w:r>
        <w:rPr>
          <w:b/>
          <w:szCs w:val="22"/>
        </w:rPr>
        <w:t xml:space="preserve">ontained </w:t>
      </w:r>
      <w:r w:rsidR="00A7009B">
        <w:rPr>
          <w:b/>
          <w:szCs w:val="22"/>
        </w:rPr>
        <w:t>e</w:t>
      </w:r>
      <w:r>
        <w:rPr>
          <w:b/>
          <w:szCs w:val="22"/>
        </w:rPr>
        <w:t xml:space="preserve">quipment </w:t>
      </w:r>
      <w:r w:rsidR="00A7009B">
        <w:rPr>
          <w:b/>
          <w:szCs w:val="22"/>
        </w:rPr>
        <w:t>c</w:t>
      </w:r>
      <w:r>
        <w:rPr>
          <w:b/>
          <w:szCs w:val="22"/>
        </w:rPr>
        <w:t>ategories</w:t>
      </w:r>
    </w:p>
    <w:p w14:paraId="5E40D3D8" w14:textId="5848C012" w:rsidR="002B6D25" w:rsidRDefault="002B6D25" w:rsidP="002B6D25">
      <w:pPr>
        <w:rPr>
          <w:szCs w:val="22"/>
        </w:rPr>
      </w:pPr>
      <w:r w:rsidRPr="008E5EFC">
        <w:rPr>
          <w:szCs w:val="22"/>
        </w:rPr>
        <w:t>The use of hydro</w:t>
      </w:r>
      <w:r>
        <w:rPr>
          <w:szCs w:val="22"/>
        </w:rPr>
        <w:t xml:space="preserve">carbons (HC-600a and HC-290), a trend that had barely started in 2012, is now firmly established as </w:t>
      </w:r>
      <w:r w:rsidR="009F5952">
        <w:rPr>
          <w:szCs w:val="22"/>
        </w:rPr>
        <w:t xml:space="preserve">an </w:t>
      </w:r>
      <w:r>
        <w:rPr>
          <w:szCs w:val="22"/>
        </w:rPr>
        <w:t xml:space="preserve">option for buyers of new small commercial equipment in Australia with </w:t>
      </w:r>
      <w:r w:rsidR="00CE047B" w:rsidRPr="00CE047B">
        <w:rPr>
          <w:szCs w:val="22"/>
        </w:rPr>
        <w:t>around 2</w:t>
      </w:r>
      <w:r w:rsidRPr="00CE047B">
        <w:rPr>
          <w:szCs w:val="22"/>
        </w:rPr>
        <w:t>% of the</w:t>
      </w:r>
      <w:r>
        <w:rPr>
          <w:szCs w:val="22"/>
        </w:rPr>
        <w:t xml:space="preserve"> total bank in this segment now being hydrocarbon and expected to grow rapidly. </w:t>
      </w:r>
    </w:p>
    <w:p w14:paraId="780BE167" w14:textId="632FF30D" w:rsidR="002B6D25" w:rsidRDefault="002B6D25" w:rsidP="002B6D25">
      <w:pPr>
        <w:rPr>
          <w:szCs w:val="22"/>
        </w:rPr>
      </w:pPr>
      <w:r>
        <w:rPr>
          <w:szCs w:val="22"/>
        </w:rPr>
        <w:t xml:space="preserve">Smaller self-contained </w:t>
      </w:r>
      <w:r w:rsidR="009F5952">
        <w:rPr>
          <w:szCs w:val="22"/>
        </w:rPr>
        <w:t xml:space="preserve">retail </w:t>
      </w:r>
      <w:r>
        <w:rPr>
          <w:szCs w:val="22"/>
        </w:rPr>
        <w:t>equipment is the leader in this trend with sales of new HC charged equipment in this category increasing more than 30 times (up 3</w:t>
      </w:r>
      <w:r w:rsidR="00CE047B">
        <w:rPr>
          <w:szCs w:val="22"/>
        </w:rPr>
        <w:t>,</w:t>
      </w:r>
      <w:r>
        <w:rPr>
          <w:szCs w:val="22"/>
        </w:rPr>
        <w:t xml:space="preserve">000%) since 2012, </w:t>
      </w:r>
      <w:r w:rsidR="00CC3ED4">
        <w:rPr>
          <w:szCs w:val="22"/>
        </w:rPr>
        <w:t>to</w:t>
      </w:r>
      <w:r>
        <w:rPr>
          <w:szCs w:val="22"/>
        </w:rPr>
        <w:t xml:space="preserve"> nearly </w:t>
      </w:r>
      <w:r w:rsidRPr="00EB0AAB">
        <w:rPr>
          <w:szCs w:val="22"/>
        </w:rPr>
        <w:t>20,000</w:t>
      </w:r>
      <w:r>
        <w:rPr>
          <w:szCs w:val="22"/>
        </w:rPr>
        <w:t xml:space="preserve"> units </w:t>
      </w:r>
      <w:r w:rsidR="001E198A">
        <w:rPr>
          <w:szCs w:val="22"/>
        </w:rPr>
        <w:t xml:space="preserve">out </w:t>
      </w:r>
      <w:r w:rsidR="006E677F">
        <w:rPr>
          <w:szCs w:val="22"/>
        </w:rPr>
        <w:t xml:space="preserve">of almost 140,000 </w:t>
      </w:r>
      <w:r w:rsidR="00CC3ED4">
        <w:rPr>
          <w:szCs w:val="22"/>
        </w:rPr>
        <w:t xml:space="preserve">total sales of </w:t>
      </w:r>
      <w:r w:rsidR="006E677F">
        <w:rPr>
          <w:szCs w:val="22"/>
        </w:rPr>
        <w:t>self-contained units (including beverage vending machines, post mix drink vending machines, ice makers and water coolers)</w:t>
      </w:r>
      <w:r>
        <w:rPr>
          <w:szCs w:val="22"/>
        </w:rPr>
        <w:t xml:space="preserve"> </w:t>
      </w:r>
      <w:r w:rsidR="00CC3ED4">
        <w:rPr>
          <w:szCs w:val="22"/>
        </w:rPr>
        <w:t xml:space="preserve">in </w:t>
      </w:r>
      <w:r>
        <w:rPr>
          <w:szCs w:val="22"/>
        </w:rPr>
        <w:t>2016</w:t>
      </w:r>
      <w:r w:rsidR="00CC3ED4">
        <w:rPr>
          <w:szCs w:val="22"/>
        </w:rPr>
        <w:t>. This is</w:t>
      </w:r>
      <w:r>
        <w:rPr>
          <w:szCs w:val="22"/>
        </w:rPr>
        <w:t xml:space="preserve"> compared to </w:t>
      </w:r>
      <w:r w:rsidR="00CC3ED4">
        <w:rPr>
          <w:szCs w:val="22"/>
        </w:rPr>
        <w:t xml:space="preserve">just </w:t>
      </w:r>
      <w:r>
        <w:rPr>
          <w:szCs w:val="22"/>
        </w:rPr>
        <w:t xml:space="preserve">a little over 600 </w:t>
      </w:r>
      <w:r w:rsidR="00CC3ED4">
        <w:rPr>
          <w:szCs w:val="22"/>
        </w:rPr>
        <w:t xml:space="preserve">HC charged </w:t>
      </w:r>
      <w:r>
        <w:rPr>
          <w:szCs w:val="22"/>
        </w:rPr>
        <w:t>units in 2012. E</w:t>
      </w:r>
      <w:r w:rsidRPr="008E5EFC">
        <w:rPr>
          <w:szCs w:val="22"/>
        </w:rPr>
        <w:t xml:space="preserve">quipment </w:t>
      </w:r>
      <w:r>
        <w:rPr>
          <w:szCs w:val="22"/>
        </w:rPr>
        <w:t xml:space="preserve">being sold </w:t>
      </w:r>
      <w:r w:rsidRPr="008E5EFC">
        <w:rPr>
          <w:szCs w:val="22"/>
        </w:rPr>
        <w:t xml:space="preserve">using hydrocarbon refrigerants </w:t>
      </w:r>
      <w:r w:rsidR="00CE047B">
        <w:rPr>
          <w:szCs w:val="22"/>
        </w:rPr>
        <w:t xml:space="preserve">with a charge less than or equal to 150 grams </w:t>
      </w:r>
      <w:r w:rsidRPr="008E5EFC">
        <w:rPr>
          <w:szCs w:val="22"/>
        </w:rPr>
        <w:t>include</w:t>
      </w:r>
      <w:r w:rsidR="007B711D">
        <w:rPr>
          <w:szCs w:val="22"/>
        </w:rPr>
        <w:t>s</w:t>
      </w:r>
      <w:r w:rsidRPr="008E5EFC">
        <w:rPr>
          <w:szCs w:val="22"/>
        </w:rPr>
        <w:t xml:space="preserve"> </w:t>
      </w:r>
      <w:r>
        <w:rPr>
          <w:szCs w:val="22"/>
        </w:rPr>
        <w:t xml:space="preserve">upright and horizontal </w:t>
      </w:r>
      <w:r w:rsidRPr="008E5EFC">
        <w:rPr>
          <w:szCs w:val="22"/>
        </w:rPr>
        <w:t xml:space="preserve">freezer cabinets, </w:t>
      </w:r>
      <w:r>
        <w:rPr>
          <w:szCs w:val="22"/>
        </w:rPr>
        <w:t xml:space="preserve">refrigerated display cabinets, </w:t>
      </w:r>
      <w:r w:rsidRPr="008E5EFC">
        <w:rPr>
          <w:szCs w:val="22"/>
        </w:rPr>
        <w:t>w</w:t>
      </w:r>
      <w:r>
        <w:rPr>
          <w:szCs w:val="22"/>
        </w:rPr>
        <w:t>ine coolers and ice cream merchandisers.</w:t>
      </w:r>
    </w:p>
    <w:p w14:paraId="7AD327BF" w14:textId="3C31E641" w:rsidR="002B6D25" w:rsidRDefault="002B6D25" w:rsidP="002B6D25">
      <w:pPr>
        <w:rPr>
          <w:szCs w:val="22"/>
        </w:rPr>
      </w:pPr>
      <w:r>
        <w:rPr>
          <w:szCs w:val="22"/>
        </w:rPr>
        <w:t>Given the relative energy efficiency of devices charged with HCs and CO</w:t>
      </w:r>
      <w:r w:rsidRPr="00795143">
        <w:rPr>
          <w:szCs w:val="22"/>
          <w:vertAlign w:val="subscript"/>
        </w:rPr>
        <w:t>2</w:t>
      </w:r>
      <w:r>
        <w:rPr>
          <w:szCs w:val="22"/>
        </w:rPr>
        <w:t xml:space="preserve"> as compared to the older equipment charged with HFC-404A and</w:t>
      </w:r>
      <w:r w:rsidR="009F5952">
        <w:rPr>
          <w:szCs w:val="22"/>
        </w:rPr>
        <w:t>,</w:t>
      </w:r>
      <w:r>
        <w:rPr>
          <w:szCs w:val="22"/>
        </w:rPr>
        <w:t xml:space="preserve"> now more commonly with HFC-134a, th</w:t>
      </w:r>
      <w:r w:rsidR="005F64D0">
        <w:rPr>
          <w:szCs w:val="22"/>
        </w:rPr>
        <w:t>e</w:t>
      </w:r>
      <w:r>
        <w:rPr>
          <w:szCs w:val="22"/>
        </w:rPr>
        <w:t xml:space="preserve"> trend of increasing sales of small </w:t>
      </w:r>
      <w:r w:rsidR="009F5EAE">
        <w:rPr>
          <w:szCs w:val="22"/>
        </w:rPr>
        <w:t>self-contained</w:t>
      </w:r>
      <w:r>
        <w:rPr>
          <w:szCs w:val="22"/>
        </w:rPr>
        <w:t xml:space="preserve"> commercial refrigeration using natural refrigerants is expected to continue.</w:t>
      </w:r>
    </w:p>
    <w:p w14:paraId="11A8C9FE" w14:textId="103A0014" w:rsidR="002B6D25" w:rsidRDefault="002B6D25" w:rsidP="002B6D25">
      <w:pPr>
        <w:rPr>
          <w:szCs w:val="22"/>
        </w:rPr>
      </w:pPr>
      <w:r>
        <w:rPr>
          <w:szCs w:val="22"/>
        </w:rPr>
        <w:t xml:space="preserve">Other categories of small self-contained equipment </w:t>
      </w:r>
      <w:r w:rsidR="00CE047B">
        <w:rPr>
          <w:szCs w:val="22"/>
        </w:rPr>
        <w:t xml:space="preserve">expected </w:t>
      </w:r>
      <w:r w:rsidR="00CC3ED4">
        <w:rPr>
          <w:szCs w:val="22"/>
        </w:rPr>
        <w:t xml:space="preserve">to </w:t>
      </w:r>
      <w:r w:rsidR="005C4931">
        <w:rPr>
          <w:szCs w:val="22"/>
        </w:rPr>
        <w:t xml:space="preserve">migrate </w:t>
      </w:r>
      <w:r w:rsidR="00CE047B">
        <w:rPr>
          <w:szCs w:val="22"/>
        </w:rPr>
        <w:t xml:space="preserve">to natural refrigerants </w:t>
      </w:r>
      <w:r w:rsidR="005C4931">
        <w:rPr>
          <w:szCs w:val="22"/>
        </w:rPr>
        <w:t xml:space="preserve">(in particular HC) </w:t>
      </w:r>
      <w:r>
        <w:rPr>
          <w:szCs w:val="22"/>
        </w:rPr>
        <w:t xml:space="preserve">include RCFC1-2, Beverage </w:t>
      </w:r>
      <w:r w:rsidR="005C4931">
        <w:rPr>
          <w:szCs w:val="22"/>
        </w:rPr>
        <w:t xml:space="preserve">vending </w:t>
      </w:r>
      <w:r>
        <w:rPr>
          <w:szCs w:val="22"/>
        </w:rPr>
        <w:t xml:space="preserve">machines, RCFC1-3, Beverage </w:t>
      </w:r>
      <w:r w:rsidR="005C4931">
        <w:rPr>
          <w:szCs w:val="22"/>
        </w:rPr>
        <w:t>cooling (post m</w:t>
      </w:r>
      <w:r>
        <w:rPr>
          <w:szCs w:val="22"/>
        </w:rPr>
        <w:t>ix</w:t>
      </w:r>
      <w:r w:rsidR="005C4931">
        <w:rPr>
          <w:szCs w:val="22"/>
        </w:rPr>
        <w:t>)</w:t>
      </w:r>
      <w:r>
        <w:rPr>
          <w:szCs w:val="22"/>
        </w:rPr>
        <w:t xml:space="preserve">, and RCFC1-4 Ice </w:t>
      </w:r>
      <w:r w:rsidR="005C4931">
        <w:rPr>
          <w:szCs w:val="22"/>
        </w:rPr>
        <w:t>m</w:t>
      </w:r>
      <w:r>
        <w:rPr>
          <w:szCs w:val="22"/>
        </w:rPr>
        <w:t>akers.</w:t>
      </w:r>
    </w:p>
    <w:p w14:paraId="1359D5A4" w14:textId="1BC716B2" w:rsidR="002B6D25" w:rsidRDefault="002B6D25" w:rsidP="002B6D25">
      <w:pPr>
        <w:rPr>
          <w:szCs w:val="22"/>
        </w:rPr>
      </w:pPr>
      <w:r>
        <w:rPr>
          <w:szCs w:val="22"/>
        </w:rPr>
        <w:t xml:space="preserve">A range of small self-contained refrigeration display cabinets </w:t>
      </w:r>
      <w:r w:rsidR="009F5952">
        <w:rPr>
          <w:szCs w:val="22"/>
        </w:rPr>
        <w:t xml:space="preserve">(RDCs) </w:t>
      </w:r>
      <w:r>
        <w:rPr>
          <w:szCs w:val="22"/>
        </w:rPr>
        <w:t>charged with CO</w:t>
      </w:r>
      <w:r w:rsidRPr="00B91A74">
        <w:rPr>
          <w:szCs w:val="22"/>
          <w:vertAlign w:val="subscript"/>
        </w:rPr>
        <w:t>2</w:t>
      </w:r>
      <w:r>
        <w:rPr>
          <w:szCs w:val="22"/>
        </w:rPr>
        <w:t xml:space="preserve"> were introduced to the market in recent years. </w:t>
      </w:r>
      <w:r w:rsidRPr="00ED361F">
        <w:rPr>
          <w:szCs w:val="22"/>
        </w:rPr>
        <w:t xml:space="preserve">Possibly as many as 1,000 sales </w:t>
      </w:r>
      <w:r>
        <w:rPr>
          <w:szCs w:val="22"/>
        </w:rPr>
        <w:t>were made of RDCs</w:t>
      </w:r>
      <w:r w:rsidRPr="00ED361F">
        <w:rPr>
          <w:szCs w:val="22"/>
        </w:rPr>
        <w:t xml:space="preserve"> charged with CO</w:t>
      </w:r>
      <w:r w:rsidRPr="00ED361F">
        <w:rPr>
          <w:szCs w:val="22"/>
          <w:vertAlign w:val="subscript"/>
        </w:rPr>
        <w:t>2</w:t>
      </w:r>
      <w:r w:rsidRPr="00ED361F">
        <w:rPr>
          <w:szCs w:val="22"/>
        </w:rPr>
        <w:t xml:space="preserve"> in the RCFC1-1</w:t>
      </w:r>
      <w:r>
        <w:rPr>
          <w:szCs w:val="22"/>
        </w:rPr>
        <w:t xml:space="preserve"> category</w:t>
      </w:r>
      <w:r w:rsidRPr="00ED361F">
        <w:rPr>
          <w:szCs w:val="22"/>
        </w:rPr>
        <w:t xml:space="preserve"> in 2016. </w:t>
      </w:r>
      <w:r w:rsidR="009F5EAE">
        <w:rPr>
          <w:szCs w:val="22"/>
        </w:rPr>
        <w:t>However,</w:t>
      </w:r>
      <w:r>
        <w:rPr>
          <w:szCs w:val="22"/>
        </w:rPr>
        <w:t xml:space="preserve"> it is thought to be</w:t>
      </w:r>
      <w:r w:rsidRPr="00ED361F">
        <w:rPr>
          <w:szCs w:val="22"/>
        </w:rPr>
        <w:t xml:space="preserve"> unlikely</w:t>
      </w:r>
      <w:r>
        <w:rPr>
          <w:szCs w:val="22"/>
        </w:rPr>
        <w:t xml:space="preserve"> that CO</w:t>
      </w:r>
      <w:r w:rsidRPr="00013C38">
        <w:rPr>
          <w:szCs w:val="22"/>
          <w:vertAlign w:val="subscript"/>
        </w:rPr>
        <w:t>2</w:t>
      </w:r>
      <w:r>
        <w:rPr>
          <w:szCs w:val="22"/>
        </w:rPr>
        <w:t xml:space="preserve"> charged equipment in this category will grow significantly </w:t>
      </w:r>
      <w:r w:rsidRPr="00ED361F">
        <w:rPr>
          <w:szCs w:val="22"/>
        </w:rPr>
        <w:t>as the HC</w:t>
      </w:r>
      <w:r>
        <w:rPr>
          <w:szCs w:val="22"/>
        </w:rPr>
        <w:t xml:space="preserve"> technology is proving to be highly </w:t>
      </w:r>
      <w:r w:rsidR="00417D6E">
        <w:rPr>
          <w:szCs w:val="22"/>
        </w:rPr>
        <w:t xml:space="preserve">energy </w:t>
      </w:r>
      <w:r>
        <w:rPr>
          <w:szCs w:val="22"/>
        </w:rPr>
        <w:t>efficient and competitively priced</w:t>
      </w:r>
      <w:r w:rsidRPr="00ED361F">
        <w:rPr>
          <w:szCs w:val="22"/>
        </w:rPr>
        <w:t>.</w:t>
      </w:r>
    </w:p>
    <w:p w14:paraId="20C927C6" w14:textId="1268BDDC" w:rsidR="009310D7" w:rsidRDefault="002B6D25" w:rsidP="002B6D25">
      <w:pPr>
        <w:rPr>
          <w:szCs w:val="22"/>
        </w:rPr>
      </w:pPr>
      <w:r w:rsidRPr="000F66F2">
        <w:rPr>
          <w:szCs w:val="22"/>
        </w:rPr>
        <w:lastRenderedPageBreak/>
        <w:t xml:space="preserve">At present there is a </w:t>
      </w:r>
      <w:r>
        <w:rPr>
          <w:szCs w:val="22"/>
        </w:rPr>
        <w:t xml:space="preserve">refrigerant charge </w:t>
      </w:r>
      <w:r w:rsidRPr="000F66F2">
        <w:rPr>
          <w:szCs w:val="22"/>
        </w:rPr>
        <w:t xml:space="preserve">threshold </w:t>
      </w:r>
      <w:r w:rsidR="00420CE9">
        <w:rPr>
          <w:szCs w:val="22"/>
        </w:rPr>
        <w:t xml:space="preserve">imposed by safety standards </w:t>
      </w:r>
      <w:r>
        <w:rPr>
          <w:szCs w:val="22"/>
        </w:rPr>
        <w:t>i</w:t>
      </w:r>
      <w:r w:rsidR="00013C38">
        <w:rPr>
          <w:szCs w:val="22"/>
        </w:rPr>
        <w:t>n</w:t>
      </w:r>
      <w:r>
        <w:rPr>
          <w:szCs w:val="22"/>
        </w:rPr>
        <w:t xml:space="preserve"> Australia </w:t>
      </w:r>
      <w:r w:rsidR="009310D7">
        <w:rPr>
          <w:szCs w:val="22"/>
        </w:rPr>
        <w:t>(</w:t>
      </w:r>
      <w:r w:rsidR="00DD6F10" w:rsidRPr="00DD6F10">
        <w:rPr>
          <w:i/>
          <w:szCs w:val="22"/>
        </w:rPr>
        <w:t>AS/NZS ISO 5149: 2016</w:t>
      </w:r>
      <w:r w:rsidR="009310D7">
        <w:rPr>
          <w:szCs w:val="22"/>
        </w:rPr>
        <w:t xml:space="preserve">) </w:t>
      </w:r>
      <w:r w:rsidRPr="000F66F2">
        <w:rPr>
          <w:szCs w:val="22"/>
        </w:rPr>
        <w:t>of 150 grams for class A3</w:t>
      </w:r>
      <w:r w:rsidR="00420CE9">
        <w:rPr>
          <w:szCs w:val="22"/>
        </w:rPr>
        <w:t xml:space="preserve"> refrigerants</w:t>
      </w:r>
      <w:r w:rsidRPr="000F66F2">
        <w:rPr>
          <w:szCs w:val="22"/>
        </w:rPr>
        <w:t xml:space="preserve"> (i.e. highly flammable) suc</w:t>
      </w:r>
      <w:r>
        <w:rPr>
          <w:szCs w:val="22"/>
        </w:rPr>
        <w:t>h as hydrocarbon</w:t>
      </w:r>
      <w:r w:rsidR="00EF1E7F">
        <w:rPr>
          <w:rStyle w:val="FootnoteReference"/>
          <w:szCs w:val="22"/>
        </w:rPr>
        <w:footnoteReference w:id="25"/>
      </w:r>
      <w:r w:rsidR="007B711D">
        <w:rPr>
          <w:szCs w:val="22"/>
        </w:rPr>
        <w:t>.</w:t>
      </w:r>
      <w:r>
        <w:rPr>
          <w:szCs w:val="22"/>
        </w:rPr>
        <w:t xml:space="preserve"> Increasing this charge size</w:t>
      </w:r>
      <w:r w:rsidRPr="000F66F2">
        <w:rPr>
          <w:szCs w:val="22"/>
        </w:rPr>
        <w:t xml:space="preserve"> </w:t>
      </w:r>
      <w:r>
        <w:rPr>
          <w:szCs w:val="22"/>
        </w:rPr>
        <w:t xml:space="preserve">in </w:t>
      </w:r>
      <w:r w:rsidRPr="000F66F2">
        <w:rPr>
          <w:szCs w:val="22"/>
        </w:rPr>
        <w:t>general</w:t>
      </w:r>
      <w:r>
        <w:rPr>
          <w:szCs w:val="22"/>
        </w:rPr>
        <w:t>,</w:t>
      </w:r>
      <w:r w:rsidRPr="000F66F2">
        <w:rPr>
          <w:szCs w:val="22"/>
        </w:rPr>
        <w:t xml:space="preserve"> or by </w:t>
      </w:r>
      <w:r>
        <w:rPr>
          <w:szCs w:val="22"/>
        </w:rPr>
        <w:t xml:space="preserve">specific </w:t>
      </w:r>
      <w:r w:rsidRPr="000F66F2">
        <w:rPr>
          <w:szCs w:val="22"/>
        </w:rPr>
        <w:t>application</w:t>
      </w:r>
      <w:r>
        <w:rPr>
          <w:szCs w:val="22"/>
        </w:rPr>
        <w:t>,</w:t>
      </w:r>
      <w:r w:rsidRPr="000F66F2">
        <w:rPr>
          <w:szCs w:val="22"/>
        </w:rPr>
        <w:t xml:space="preserve"> would have a significant impact on the future penetration of hydrocarbon in small to medium commer</w:t>
      </w:r>
      <w:r>
        <w:rPr>
          <w:szCs w:val="22"/>
        </w:rPr>
        <w:t xml:space="preserve">cial refrigeration applications. </w:t>
      </w:r>
    </w:p>
    <w:p w14:paraId="787A06DC" w14:textId="5748628F" w:rsidR="002B6D25" w:rsidRPr="000F66F2" w:rsidRDefault="002B6D25" w:rsidP="002B6D25">
      <w:pPr>
        <w:rPr>
          <w:szCs w:val="22"/>
        </w:rPr>
      </w:pPr>
      <w:r>
        <w:rPr>
          <w:szCs w:val="22"/>
        </w:rPr>
        <w:t>Opportunities would</w:t>
      </w:r>
      <w:r w:rsidRPr="000F66F2">
        <w:rPr>
          <w:szCs w:val="22"/>
        </w:rPr>
        <w:t xml:space="preserve"> particularly</w:t>
      </w:r>
      <w:r>
        <w:rPr>
          <w:szCs w:val="22"/>
        </w:rPr>
        <w:t xml:space="preserve"> open up</w:t>
      </w:r>
      <w:r w:rsidRPr="000F66F2">
        <w:rPr>
          <w:szCs w:val="22"/>
        </w:rPr>
        <w:t xml:space="preserve"> </w:t>
      </w:r>
      <w:r>
        <w:rPr>
          <w:szCs w:val="22"/>
        </w:rPr>
        <w:t>in those types of self-</w:t>
      </w:r>
      <w:r w:rsidRPr="000F66F2">
        <w:rPr>
          <w:szCs w:val="22"/>
        </w:rPr>
        <w:t>contained equipment and smaller remote equipment such as small walk in cool</w:t>
      </w:r>
      <w:r w:rsidR="007D4089">
        <w:rPr>
          <w:szCs w:val="22"/>
        </w:rPr>
        <w:t xml:space="preserve"> </w:t>
      </w:r>
      <w:r w:rsidRPr="000F66F2">
        <w:rPr>
          <w:szCs w:val="22"/>
        </w:rPr>
        <w:t>rooms</w:t>
      </w:r>
      <w:r>
        <w:rPr>
          <w:szCs w:val="22"/>
        </w:rPr>
        <w:t>, that do not already use HCs. An increase of the allowable HC charge size to 300 grams would for instance see the relatively high energy using</w:t>
      </w:r>
      <w:r w:rsidRPr="000F66F2">
        <w:rPr>
          <w:szCs w:val="22"/>
        </w:rPr>
        <w:t xml:space="preserve"> freezers</w:t>
      </w:r>
      <w:r w:rsidR="0008278E">
        <w:rPr>
          <w:szCs w:val="22"/>
        </w:rPr>
        <w:t>,</w:t>
      </w:r>
      <w:r w:rsidRPr="000F66F2">
        <w:rPr>
          <w:szCs w:val="22"/>
        </w:rPr>
        <w:t xml:space="preserve"> up to 3 x 3 meters by 2.5 meters high</w:t>
      </w:r>
      <w:r>
        <w:rPr>
          <w:szCs w:val="22"/>
        </w:rPr>
        <w:t>,</w:t>
      </w:r>
      <w:r w:rsidRPr="000F66F2">
        <w:rPr>
          <w:szCs w:val="22"/>
        </w:rPr>
        <w:t xml:space="preserve"> that </w:t>
      </w:r>
      <w:r>
        <w:rPr>
          <w:szCs w:val="22"/>
        </w:rPr>
        <w:t xml:space="preserve">presently employ a </w:t>
      </w:r>
      <w:r w:rsidRPr="000F66F2">
        <w:rPr>
          <w:szCs w:val="22"/>
        </w:rPr>
        <w:t>charge of up to 1 kg of H</w:t>
      </w:r>
      <w:r>
        <w:rPr>
          <w:szCs w:val="22"/>
        </w:rPr>
        <w:t>FC</w:t>
      </w:r>
      <w:r w:rsidR="009F5952">
        <w:rPr>
          <w:szCs w:val="22"/>
        </w:rPr>
        <w:t>, being able to operate on HCs</w:t>
      </w:r>
      <w:r>
        <w:rPr>
          <w:szCs w:val="22"/>
        </w:rPr>
        <w:t>.</w:t>
      </w:r>
      <w:r w:rsidR="009310D7">
        <w:rPr>
          <w:szCs w:val="22"/>
        </w:rPr>
        <w:t xml:space="preserve"> </w:t>
      </w:r>
      <w:r w:rsidR="009F5952">
        <w:rPr>
          <w:szCs w:val="22"/>
        </w:rPr>
        <w:br/>
      </w:r>
      <w:r w:rsidR="009310D7">
        <w:rPr>
          <w:szCs w:val="22"/>
        </w:rPr>
        <w:t xml:space="preserve">As the engineering standards develop and the </w:t>
      </w:r>
      <w:r w:rsidR="0067557C">
        <w:rPr>
          <w:szCs w:val="22"/>
        </w:rPr>
        <w:t>operational</w:t>
      </w:r>
      <w:r w:rsidR="009310D7">
        <w:rPr>
          <w:szCs w:val="22"/>
        </w:rPr>
        <w:t xml:space="preserve"> safety of HCs in larger charges </w:t>
      </w:r>
      <w:r w:rsidR="007B711D">
        <w:rPr>
          <w:szCs w:val="22"/>
        </w:rPr>
        <w:t xml:space="preserve">is </w:t>
      </w:r>
      <w:r w:rsidR="003B2F53">
        <w:rPr>
          <w:szCs w:val="22"/>
        </w:rPr>
        <w:t xml:space="preserve">demonstrated, it is </w:t>
      </w:r>
      <w:r w:rsidR="0008278E">
        <w:rPr>
          <w:szCs w:val="22"/>
        </w:rPr>
        <w:t xml:space="preserve">thought </w:t>
      </w:r>
      <w:r w:rsidR="003B2F53">
        <w:rPr>
          <w:szCs w:val="22"/>
        </w:rPr>
        <w:t>likely that regulatory controls will change to allow larger HC charges in these equipment segments.</w:t>
      </w:r>
    </w:p>
    <w:p w14:paraId="58D37773" w14:textId="1F1C1A97" w:rsidR="00D254A9" w:rsidRPr="000F66F2" w:rsidRDefault="00D254A9" w:rsidP="00D254A9">
      <w:pPr>
        <w:rPr>
          <w:szCs w:val="22"/>
        </w:rPr>
      </w:pPr>
      <w:r w:rsidRPr="000F66F2">
        <w:rPr>
          <w:szCs w:val="22"/>
        </w:rPr>
        <w:t xml:space="preserve">In 2016 Australia adopted </w:t>
      </w:r>
      <w:r w:rsidRPr="009C5C01">
        <w:rPr>
          <w:i/>
          <w:szCs w:val="22"/>
        </w:rPr>
        <w:t>AS/NZS ISO 5149:</w:t>
      </w:r>
      <w:r>
        <w:rPr>
          <w:i/>
          <w:szCs w:val="22"/>
        </w:rPr>
        <w:t xml:space="preserve"> </w:t>
      </w:r>
      <w:r w:rsidRPr="009C5C01">
        <w:rPr>
          <w:i/>
          <w:szCs w:val="22"/>
        </w:rPr>
        <w:t>2016</w:t>
      </w:r>
      <w:r w:rsidRPr="000F66F2">
        <w:rPr>
          <w:szCs w:val="22"/>
        </w:rPr>
        <w:t xml:space="preserve"> </w:t>
      </w:r>
      <w:r w:rsidRPr="00C44E47">
        <w:rPr>
          <w:i/>
          <w:szCs w:val="22"/>
        </w:rPr>
        <w:t>Refrigerating systems and heat pumps - Safety and environmental requirements</w:t>
      </w:r>
      <w:r>
        <w:rPr>
          <w:szCs w:val="22"/>
        </w:rPr>
        <w:t>, a revised version of a similar standard, EN 5149 already in place in the EU</w:t>
      </w:r>
      <w:r w:rsidRPr="000F66F2">
        <w:rPr>
          <w:szCs w:val="22"/>
        </w:rPr>
        <w:t xml:space="preserve">. </w:t>
      </w:r>
    </w:p>
    <w:p w14:paraId="55876E9F" w14:textId="38889200" w:rsidR="009310D7" w:rsidRPr="000F66F2" w:rsidRDefault="00D254A9" w:rsidP="009310D7">
      <w:pPr>
        <w:rPr>
          <w:szCs w:val="22"/>
        </w:rPr>
      </w:pPr>
      <w:r>
        <w:rPr>
          <w:szCs w:val="22"/>
        </w:rPr>
        <w:t>More recently, t</w:t>
      </w:r>
      <w:r w:rsidR="00C8336D">
        <w:rPr>
          <w:szCs w:val="22"/>
        </w:rPr>
        <w:t xml:space="preserve">he two </w:t>
      </w:r>
      <w:r w:rsidR="00C8336D" w:rsidRPr="00C8336D">
        <w:rPr>
          <w:szCs w:val="22"/>
        </w:rPr>
        <w:t>officially recogni</w:t>
      </w:r>
      <w:r w:rsidR="00C8336D">
        <w:rPr>
          <w:szCs w:val="22"/>
        </w:rPr>
        <w:t>s</w:t>
      </w:r>
      <w:r w:rsidR="00C8336D" w:rsidRPr="00C8336D">
        <w:rPr>
          <w:szCs w:val="22"/>
        </w:rPr>
        <w:t>ed European Standardization Organi</w:t>
      </w:r>
      <w:r w:rsidR="00C8336D">
        <w:rPr>
          <w:szCs w:val="22"/>
        </w:rPr>
        <w:t>s</w:t>
      </w:r>
      <w:r w:rsidR="00C8336D" w:rsidRPr="00C8336D">
        <w:rPr>
          <w:szCs w:val="22"/>
        </w:rPr>
        <w:t>ations: the European Committee for Standardization (CEN)</w:t>
      </w:r>
      <w:r>
        <w:rPr>
          <w:szCs w:val="22"/>
        </w:rPr>
        <w:t xml:space="preserve"> and </w:t>
      </w:r>
      <w:r w:rsidR="00C8336D" w:rsidRPr="00C8336D">
        <w:rPr>
          <w:szCs w:val="22"/>
        </w:rPr>
        <w:t xml:space="preserve">the European Committee for Electrotechnical Standardization (CENELEC) </w:t>
      </w:r>
      <w:r w:rsidR="00666018" w:rsidRPr="00666018">
        <w:rPr>
          <w:szCs w:val="22"/>
        </w:rPr>
        <w:t>has taken the first steps to act on a request from the European Commission to review the limit</w:t>
      </w:r>
      <w:r w:rsidR="00666018">
        <w:rPr>
          <w:szCs w:val="22"/>
        </w:rPr>
        <w:t>s</w:t>
      </w:r>
      <w:r w:rsidR="00666018" w:rsidRPr="00666018">
        <w:rPr>
          <w:szCs w:val="22"/>
        </w:rPr>
        <w:t xml:space="preserve"> </w:t>
      </w:r>
      <w:r w:rsidR="00666018">
        <w:rPr>
          <w:szCs w:val="22"/>
        </w:rPr>
        <w:t xml:space="preserve">and barriers </w:t>
      </w:r>
      <w:r w:rsidR="00666018" w:rsidRPr="00666018">
        <w:rPr>
          <w:szCs w:val="22"/>
        </w:rPr>
        <w:t>on flammable refrigerant</w:t>
      </w:r>
      <w:r w:rsidR="00666018">
        <w:rPr>
          <w:szCs w:val="22"/>
        </w:rPr>
        <w:t>s</w:t>
      </w:r>
      <w:r w:rsidR="009310D7" w:rsidRPr="000F66F2">
        <w:rPr>
          <w:szCs w:val="22"/>
        </w:rPr>
        <w:t xml:space="preserve">. </w:t>
      </w:r>
      <w:r w:rsidR="009310D7">
        <w:rPr>
          <w:szCs w:val="22"/>
        </w:rPr>
        <w:t>The request</w:t>
      </w:r>
      <w:r w:rsidR="009310D7" w:rsidRPr="000F66F2">
        <w:rPr>
          <w:szCs w:val="22"/>
        </w:rPr>
        <w:t xml:space="preserve"> requ</w:t>
      </w:r>
      <w:r w:rsidR="009310D7">
        <w:rPr>
          <w:szCs w:val="22"/>
        </w:rPr>
        <w:t>ires CEN-CENELEC to analyse</w:t>
      </w:r>
      <w:r w:rsidR="009310D7" w:rsidRPr="000F66F2">
        <w:rPr>
          <w:szCs w:val="22"/>
        </w:rPr>
        <w:t xml:space="preserve"> Euro</w:t>
      </w:r>
      <w:r w:rsidR="009310D7">
        <w:rPr>
          <w:szCs w:val="22"/>
        </w:rPr>
        <w:t xml:space="preserve">pean standards </w:t>
      </w:r>
      <w:r w:rsidR="00C25A70">
        <w:rPr>
          <w:szCs w:val="22"/>
        </w:rPr>
        <w:t xml:space="preserve">for the </w:t>
      </w:r>
      <w:r w:rsidR="009310D7">
        <w:rPr>
          <w:szCs w:val="22"/>
        </w:rPr>
        <w:t>use of</w:t>
      </w:r>
      <w:r w:rsidR="009310D7" w:rsidRPr="000F66F2">
        <w:rPr>
          <w:szCs w:val="22"/>
        </w:rPr>
        <w:t xml:space="preserve"> flammable refrigerants, the relationship of risk, increased charge and risk mitigation requirements and identify mitigation options to enable </w:t>
      </w:r>
      <w:r w:rsidR="00F608AB">
        <w:rPr>
          <w:szCs w:val="22"/>
        </w:rPr>
        <w:t xml:space="preserve">consideration of </w:t>
      </w:r>
      <w:r w:rsidR="009310D7" w:rsidRPr="000F66F2">
        <w:rPr>
          <w:szCs w:val="22"/>
        </w:rPr>
        <w:t xml:space="preserve">wider use of flammable substances in refrigeration and air-conditioning equipment. </w:t>
      </w:r>
    </w:p>
    <w:p w14:paraId="7C660C6C" w14:textId="6A55DDEB" w:rsidR="002B6D25" w:rsidRDefault="002B6D25" w:rsidP="002B6D25">
      <w:pPr>
        <w:rPr>
          <w:szCs w:val="22"/>
        </w:rPr>
      </w:pPr>
      <w:r>
        <w:rPr>
          <w:szCs w:val="22"/>
        </w:rPr>
        <w:t>Partly driven by</w:t>
      </w:r>
      <w:r w:rsidR="003B2F53">
        <w:rPr>
          <w:szCs w:val="22"/>
        </w:rPr>
        <w:t xml:space="preserve"> these developme</w:t>
      </w:r>
      <w:r w:rsidR="00F608AB">
        <w:rPr>
          <w:szCs w:val="22"/>
        </w:rPr>
        <w:t>nt</w:t>
      </w:r>
      <w:r w:rsidR="003B2F53">
        <w:rPr>
          <w:szCs w:val="22"/>
        </w:rPr>
        <w:t xml:space="preserve">s </w:t>
      </w:r>
      <w:r w:rsidR="00420CE9">
        <w:rPr>
          <w:szCs w:val="22"/>
        </w:rPr>
        <w:t xml:space="preserve">in standards both here and </w:t>
      </w:r>
      <w:r w:rsidR="003B2F53">
        <w:rPr>
          <w:szCs w:val="22"/>
        </w:rPr>
        <w:t>overseas,</w:t>
      </w:r>
      <w:r>
        <w:rPr>
          <w:szCs w:val="22"/>
        </w:rPr>
        <w:t xml:space="preserve"> </w:t>
      </w:r>
      <w:r w:rsidR="0008278E">
        <w:rPr>
          <w:szCs w:val="22"/>
        </w:rPr>
        <w:t>and</w:t>
      </w:r>
      <w:r w:rsidR="00420CE9">
        <w:rPr>
          <w:szCs w:val="22"/>
        </w:rPr>
        <w:t xml:space="preserve"> </w:t>
      </w:r>
      <w:r>
        <w:rPr>
          <w:szCs w:val="22"/>
        </w:rPr>
        <w:t xml:space="preserve">corporate commitments </w:t>
      </w:r>
      <w:r w:rsidR="00420CE9">
        <w:rPr>
          <w:szCs w:val="22"/>
        </w:rPr>
        <w:t xml:space="preserve">in the Australian supermarket sector </w:t>
      </w:r>
      <w:r>
        <w:rPr>
          <w:szCs w:val="22"/>
        </w:rPr>
        <w:t>to employ natural refrigerants</w:t>
      </w:r>
      <w:r w:rsidR="003B2F53">
        <w:rPr>
          <w:szCs w:val="22"/>
        </w:rPr>
        <w:t xml:space="preserve"> (as </w:t>
      </w:r>
      <w:r w:rsidR="009F5952">
        <w:rPr>
          <w:szCs w:val="22"/>
        </w:rPr>
        <w:t>seen for instance at</w:t>
      </w:r>
      <w:r w:rsidR="003B2F53">
        <w:rPr>
          <w:szCs w:val="22"/>
        </w:rPr>
        <w:t xml:space="preserve"> both Coles and Woolworths)</w:t>
      </w:r>
      <w:r>
        <w:rPr>
          <w:szCs w:val="22"/>
        </w:rPr>
        <w:t>, and supported by equipment manufacturers ready to roll</w:t>
      </w:r>
      <w:r w:rsidR="007B711D">
        <w:rPr>
          <w:szCs w:val="22"/>
        </w:rPr>
        <w:t>-</w:t>
      </w:r>
      <w:r>
        <w:rPr>
          <w:szCs w:val="22"/>
        </w:rPr>
        <w:t>out product charged with natural refrigerants, HCs and CO</w:t>
      </w:r>
      <w:r w:rsidRPr="00B91A74">
        <w:rPr>
          <w:szCs w:val="22"/>
          <w:vertAlign w:val="subscript"/>
        </w:rPr>
        <w:t>2</w:t>
      </w:r>
      <w:r>
        <w:rPr>
          <w:szCs w:val="22"/>
        </w:rPr>
        <w:t xml:space="preserve"> are expected to make up more than 41% of the bank in this segment by 2030. Projections of the changing sales mix by species of </w:t>
      </w:r>
      <w:r w:rsidR="00493AC5">
        <w:rPr>
          <w:szCs w:val="22"/>
        </w:rPr>
        <w:t>refrigerant</w:t>
      </w:r>
      <w:r>
        <w:rPr>
          <w:szCs w:val="22"/>
        </w:rPr>
        <w:t xml:space="preserve"> employed are illustrated and discussed in </w:t>
      </w:r>
      <w:r w:rsidR="00AF1285" w:rsidRPr="00C1021A">
        <w:rPr>
          <w:i/>
          <w:szCs w:val="22"/>
        </w:rPr>
        <w:t xml:space="preserve">Appendix </w:t>
      </w:r>
      <w:r w:rsidR="00C1021A" w:rsidRPr="00C1021A">
        <w:rPr>
          <w:i/>
          <w:szCs w:val="22"/>
        </w:rPr>
        <w:t>B2: New equipment sales mix by segment</w:t>
      </w:r>
      <w:r w:rsidRPr="00C1021A">
        <w:rPr>
          <w:szCs w:val="22"/>
        </w:rPr>
        <w:t>.</w:t>
      </w:r>
    </w:p>
    <w:p w14:paraId="3DB63B94" w14:textId="075BEDE7" w:rsidR="002B6D25" w:rsidRPr="008E5EFC" w:rsidRDefault="002B6D25" w:rsidP="002B6D25">
      <w:pPr>
        <w:rPr>
          <w:szCs w:val="22"/>
        </w:rPr>
      </w:pPr>
      <w:r w:rsidRPr="00FF09DB">
        <w:rPr>
          <w:szCs w:val="22"/>
        </w:rPr>
        <w:t xml:space="preserve">The main local manufacturers </w:t>
      </w:r>
      <w:r w:rsidR="00666018">
        <w:rPr>
          <w:szCs w:val="22"/>
        </w:rPr>
        <w:t xml:space="preserve">of self-contained equipment </w:t>
      </w:r>
      <w:r w:rsidRPr="00FF09DB">
        <w:rPr>
          <w:szCs w:val="22"/>
        </w:rPr>
        <w:t>include Williams Refrigeration, Advanced Refrigeration Technologies, Zip Industries, and Stoddart Manufacturing.</w:t>
      </w:r>
    </w:p>
    <w:p w14:paraId="131864A0" w14:textId="77777777" w:rsidR="002B6D25" w:rsidRDefault="002B6D25" w:rsidP="002B6D25">
      <w:pPr>
        <w:rPr>
          <w:szCs w:val="22"/>
        </w:rPr>
      </w:pPr>
    </w:p>
    <w:p w14:paraId="29D90905" w14:textId="47481FC2" w:rsidR="002B6D25" w:rsidRDefault="002B6D25" w:rsidP="002B6D25">
      <w:pPr>
        <w:pStyle w:val="Heading3"/>
      </w:pPr>
      <w:bookmarkStart w:id="43" w:name="_Toc494661740"/>
      <w:bookmarkStart w:id="44" w:name="_Toc525141266"/>
      <w:r>
        <w:t xml:space="preserve">RCFC2 Medium </w:t>
      </w:r>
      <w:r w:rsidR="00A7009B">
        <w:t>c</w:t>
      </w:r>
      <w:r>
        <w:t xml:space="preserve">ommercial </w:t>
      </w:r>
      <w:r w:rsidR="00A7009B">
        <w:t>r</w:t>
      </w:r>
      <w:r>
        <w:t>efrigeration</w:t>
      </w:r>
      <w:bookmarkEnd w:id="43"/>
      <w:bookmarkEnd w:id="44"/>
    </w:p>
    <w:p w14:paraId="063BD5D1" w14:textId="304B0A71" w:rsidR="002B6D25" w:rsidRDefault="002B6D25" w:rsidP="002B6D25">
      <w:pPr>
        <w:rPr>
          <w:szCs w:val="22"/>
        </w:rPr>
      </w:pPr>
      <w:r w:rsidRPr="00504BCC">
        <w:rPr>
          <w:szCs w:val="22"/>
        </w:rPr>
        <w:t xml:space="preserve">Much of the </w:t>
      </w:r>
      <w:r>
        <w:rPr>
          <w:szCs w:val="22"/>
        </w:rPr>
        <w:t xml:space="preserve">medium sized equipment in the </w:t>
      </w:r>
      <w:r w:rsidRPr="00504BCC">
        <w:rPr>
          <w:szCs w:val="22"/>
        </w:rPr>
        <w:t xml:space="preserve">refrigerated cold food chain is built </w:t>
      </w:r>
      <w:r>
        <w:rPr>
          <w:szCs w:val="22"/>
        </w:rPr>
        <w:t xml:space="preserve">using ‘remote condensing units’. For the average consumer, while they may not realise it, many are actually familiar with a ‘remote condensing’ equipment format, although in an air conditioning application. The majority of householders in Australia will be aware that wall hung split air conditioning systems have a component inside the house, and a component, connected by piping, outside the house. This is in effect a remote condensing unit with the heat carried from inside the house rejected </w:t>
      </w:r>
      <w:r w:rsidR="009D0B43">
        <w:rPr>
          <w:szCs w:val="22"/>
        </w:rPr>
        <w:t>by</w:t>
      </w:r>
      <w:r>
        <w:rPr>
          <w:szCs w:val="22"/>
        </w:rPr>
        <w:t xml:space="preserve"> the condensing unit outside.</w:t>
      </w:r>
    </w:p>
    <w:p w14:paraId="408673F7" w14:textId="3795CEA6" w:rsidR="002B6D25" w:rsidRDefault="002B6D25" w:rsidP="002B6D25">
      <w:pPr>
        <w:rPr>
          <w:szCs w:val="22"/>
        </w:rPr>
      </w:pPr>
      <w:r>
        <w:rPr>
          <w:szCs w:val="22"/>
        </w:rPr>
        <w:t xml:space="preserve">In medium commercial refrigeration most of the equipment categories are designed around a similar system, with a component </w:t>
      </w:r>
      <w:r w:rsidR="00C46610">
        <w:rPr>
          <w:szCs w:val="22"/>
        </w:rPr>
        <w:t xml:space="preserve">(evaporator) </w:t>
      </w:r>
      <w:r>
        <w:rPr>
          <w:szCs w:val="22"/>
        </w:rPr>
        <w:t xml:space="preserve">inside the space being refrigerated, and the condensing unit connected by piping in some other location where the heat can be rejected to atmosphere and the refrigerant condensed for pumping around the system again. </w:t>
      </w:r>
    </w:p>
    <w:p w14:paraId="011B97B0" w14:textId="77777777" w:rsidR="002B6D25" w:rsidRPr="00504BCC" w:rsidRDefault="002B6D25" w:rsidP="002B6D25">
      <w:pPr>
        <w:rPr>
          <w:szCs w:val="22"/>
        </w:rPr>
      </w:pPr>
      <w:r w:rsidRPr="00504BCC">
        <w:rPr>
          <w:szCs w:val="22"/>
        </w:rPr>
        <w:t xml:space="preserve">Remote condensing units typically range from 1 kWr to 20 kWr in refrigerating capacity, </w:t>
      </w:r>
      <w:r>
        <w:rPr>
          <w:szCs w:val="22"/>
        </w:rPr>
        <w:t xml:space="preserve">and </w:t>
      </w:r>
      <w:r w:rsidRPr="00504BCC">
        <w:rPr>
          <w:szCs w:val="22"/>
        </w:rPr>
        <w:t>are composed of either one or two compressors, one condenser, and one receiver</w:t>
      </w:r>
      <w:r>
        <w:rPr>
          <w:szCs w:val="22"/>
        </w:rPr>
        <w:t>. These components</w:t>
      </w:r>
      <w:r w:rsidRPr="00504BCC">
        <w:rPr>
          <w:szCs w:val="22"/>
        </w:rPr>
        <w:t xml:space="preserve"> are assembled into a ‘condensing unit’, which is typically located outdoors</w:t>
      </w:r>
      <w:r>
        <w:rPr>
          <w:szCs w:val="22"/>
        </w:rPr>
        <w:t>,</w:t>
      </w:r>
      <w:r w:rsidRPr="00504BCC">
        <w:rPr>
          <w:szCs w:val="22"/>
        </w:rPr>
        <w:t xml:space="preserve"> or ‘remote’ from the trading floor or refrigerated space.</w:t>
      </w:r>
    </w:p>
    <w:p w14:paraId="1A96DCF5" w14:textId="5AD7CCAE" w:rsidR="002B6D25" w:rsidRPr="00504BCC" w:rsidRDefault="002B6D25" w:rsidP="002B6D25">
      <w:pPr>
        <w:rPr>
          <w:szCs w:val="22"/>
        </w:rPr>
      </w:pPr>
      <w:r w:rsidRPr="00504BCC">
        <w:rPr>
          <w:szCs w:val="22"/>
        </w:rPr>
        <w:t xml:space="preserve">Refrigeration systems with remote condensing units are used in a variety of applications including </w:t>
      </w:r>
      <w:r w:rsidR="0008278E">
        <w:rPr>
          <w:szCs w:val="22"/>
        </w:rPr>
        <w:t>i</w:t>
      </w:r>
      <w:r w:rsidRPr="00504BCC">
        <w:rPr>
          <w:szCs w:val="22"/>
        </w:rPr>
        <w:t xml:space="preserve">n large refrigerated display cabinets such as the rear loading wine and beer </w:t>
      </w:r>
      <w:r>
        <w:rPr>
          <w:szCs w:val="22"/>
        </w:rPr>
        <w:t>refrigerators</w:t>
      </w:r>
      <w:r w:rsidRPr="00504BCC">
        <w:rPr>
          <w:szCs w:val="22"/>
        </w:rPr>
        <w:t xml:space="preserve">, walk-in cool rooms, beverage cooling (e.g. beer and soft drinks), milk vat refrigeration on dairy farms and chilling and freezing applications in industry. </w:t>
      </w:r>
    </w:p>
    <w:p w14:paraId="3959AB14" w14:textId="5C149081" w:rsidR="002B6D25" w:rsidRDefault="002B6D25" w:rsidP="002B6D25">
      <w:pPr>
        <w:rPr>
          <w:szCs w:val="22"/>
        </w:rPr>
      </w:pPr>
      <w:r>
        <w:rPr>
          <w:szCs w:val="22"/>
        </w:rPr>
        <w:t xml:space="preserve">As data about commercial refrigeration equipment has improved, and the understanding of the supply lines and market requirements for equipment developed, it became apparent that the taxonomic classification of commercial refrigeration equipment in CHF2 could be improved in this edition. One of the changes in the RCFC class has been to move nearly all equipment using a remote condensing format into the RCFC2 segment, </w:t>
      </w:r>
      <w:r w:rsidR="0042756B">
        <w:rPr>
          <w:szCs w:val="22"/>
        </w:rPr>
        <w:t>m</w:t>
      </w:r>
      <w:r>
        <w:rPr>
          <w:szCs w:val="22"/>
        </w:rPr>
        <w:t xml:space="preserve">edium </w:t>
      </w:r>
      <w:r w:rsidR="0042756B">
        <w:rPr>
          <w:szCs w:val="22"/>
        </w:rPr>
        <w:t>c</w:t>
      </w:r>
      <w:r>
        <w:rPr>
          <w:szCs w:val="22"/>
        </w:rPr>
        <w:t xml:space="preserve">ommercial </w:t>
      </w:r>
      <w:r w:rsidR="0042756B">
        <w:rPr>
          <w:szCs w:val="22"/>
        </w:rPr>
        <w:t>r</w:t>
      </w:r>
      <w:r>
        <w:rPr>
          <w:szCs w:val="22"/>
        </w:rPr>
        <w:t>efrigeration. Equipment employing remote condensing formats are generally much larger pieces of equipment, with larger refrigerant charges, than the suite of stand-alone, self-contained formats found in RCFC1.</w:t>
      </w:r>
    </w:p>
    <w:p w14:paraId="4004F093" w14:textId="77777777" w:rsidR="002B6D25" w:rsidRPr="00504BCC" w:rsidRDefault="002B6D25" w:rsidP="002B6D25">
      <w:pPr>
        <w:rPr>
          <w:szCs w:val="22"/>
        </w:rPr>
      </w:pPr>
      <w:r>
        <w:rPr>
          <w:szCs w:val="22"/>
        </w:rPr>
        <w:t>The equipment categories in this segment</w:t>
      </w:r>
      <w:r w:rsidRPr="00504BCC">
        <w:rPr>
          <w:szCs w:val="22"/>
        </w:rPr>
        <w:t xml:space="preserve"> include:</w:t>
      </w:r>
    </w:p>
    <w:p w14:paraId="188E1285" w14:textId="65287E51" w:rsidR="002B6D25" w:rsidRPr="00504BCC"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 xml:space="preserve">RCFC2-1 and RCFC2-2: </w:t>
      </w:r>
      <w:r w:rsidR="009D0B43">
        <w:rPr>
          <w:rFonts w:ascii="Times New Roman" w:hAnsi="Times New Roman"/>
        </w:rPr>
        <w:t>(</w:t>
      </w:r>
      <w:r w:rsidR="009D0B43" w:rsidRPr="00ED61C8">
        <w:rPr>
          <w:rFonts w:ascii="Times New Roman" w:hAnsi="Times New Roman"/>
          <w:i/>
        </w:rPr>
        <w:t>CHF 2 RCFC 1-5 and RCFC 1-6</w:t>
      </w:r>
      <w:r w:rsidR="009D0B43">
        <w:rPr>
          <w:rFonts w:ascii="Times New Roman" w:hAnsi="Times New Roman"/>
        </w:rPr>
        <w:t xml:space="preserve">) </w:t>
      </w:r>
      <w:r w:rsidR="00066E49">
        <w:rPr>
          <w:rFonts w:ascii="Times New Roman" w:hAnsi="Times New Roman"/>
        </w:rPr>
        <w:t>m</w:t>
      </w:r>
      <w:r w:rsidRPr="00504BCC">
        <w:rPr>
          <w:rFonts w:ascii="Times New Roman" w:hAnsi="Times New Roman"/>
        </w:rPr>
        <w:t>edium and large walk-in</w:t>
      </w:r>
      <w:r w:rsidR="00D254A9">
        <w:rPr>
          <w:rFonts w:ascii="Times New Roman" w:hAnsi="Times New Roman"/>
        </w:rPr>
        <w:t xml:space="preserve"> </w:t>
      </w:r>
      <w:r w:rsidRPr="00504BCC">
        <w:rPr>
          <w:rFonts w:ascii="Times New Roman" w:hAnsi="Times New Roman"/>
        </w:rPr>
        <w:t>cool</w:t>
      </w:r>
      <w:r w:rsidR="007B711D">
        <w:rPr>
          <w:rFonts w:ascii="Times New Roman" w:hAnsi="Times New Roman"/>
        </w:rPr>
        <w:t xml:space="preserve"> </w:t>
      </w:r>
      <w:r w:rsidRPr="00504BCC">
        <w:rPr>
          <w:rFonts w:ascii="Times New Roman" w:hAnsi="Times New Roman"/>
        </w:rPr>
        <w:t>rooms;</w:t>
      </w:r>
    </w:p>
    <w:p w14:paraId="1D692700" w14:textId="067C8CE5" w:rsidR="002B6D25"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 xml:space="preserve">RCFC 2-3: Refrigeration </w:t>
      </w:r>
      <w:r w:rsidR="0042756B">
        <w:rPr>
          <w:rFonts w:ascii="Times New Roman" w:hAnsi="Times New Roman"/>
        </w:rPr>
        <w:t>c</w:t>
      </w:r>
      <w:r>
        <w:rPr>
          <w:rFonts w:ascii="Times New Roman" w:hAnsi="Times New Roman"/>
        </w:rPr>
        <w:t xml:space="preserve">abinets with remote </w:t>
      </w:r>
      <w:r w:rsidR="009F5EAE">
        <w:rPr>
          <w:rFonts w:ascii="Times New Roman" w:hAnsi="Times New Roman"/>
        </w:rPr>
        <w:t>condensers</w:t>
      </w:r>
      <w:r>
        <w:rPr>
          <w:rFonts w:ascii="Times New Roman" w:hAnsi="Times New Roman"/>
        </w:rPr>
        <w:t xml:space="preserve"> (new category split out from CHF2</w:t>
      </w:r>
      <w:r w:rsidR="0042756B">
        <w:rPr>
          <w:rFonts w:ascii="Times New Roman" w:hAnsi="Times New Roman"/>
        </w:rPr>
        <w:t>)</w:t>
      </w:r>
      <w:r>
        <w:rPr>
          <w:rFonts w:ascii="Times New Roman" w:hAnsi="Times New Roman"/>
        </w:rPr>
        <w:t>;</w:t>
      </w:r>
    </w:p>
    <w:p w14:paraId="6609E4B1" w14:textId="7850EE9A" w:rsidR="002B6D25" w:rsidRPr="00ED61C8"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 xml:space="preserve">RCFC 2-4: </w:t>
      </w:r>
      <w:r w:rsidR="009D0B43">
        <w:rPr>
          <w:rFonts w:ascii="Times New Roman" w:hAnsi="Times New Roman"/>
        </w:rPr>
        <w:t>(</w:t>
      </w:r>
      <w:r w:rsidR="009D0B43" w:rsidRPr="00ED61C8">
        <w:rPr>
          <w:rFonts w:ascii="Times New Roman" w:hAnsi="Times New Roman"/>
          <w:i/>
        </w:rPr>
        <w:t>CHF2 – RCFC 1-8</w:t>
      </w:r>
      <w:r w:rsidR="009D0B43">
        <w:rPr>
          <w:rFonts w:ascii="Times New Roman" w:hAnsi="Times New Roman"/>
        </w:rPr>
        <w:t xml:space="preserve">) </w:t>
      </w:r>
      <w:r w:rsidRPr="00504BCC">
        <w:rPr>
          <w:rFonts w:ascii="Times New Roman" w:hAnsi="Times New Roman"/>
        </w:rPr>
        <w:t xml:space="preserve">Beverage cooling systems for beer in which beer from kegs is circulated through an ice bank cooler to serve beer </w:t>
      </w:r>
      <w:r>
        <w:rPr>
          <w:rFonts w:ascii="Times New Roman" w:hAnsi="Times New Roman"/>
        </w:rPr>
        <w:t xml:space="preserve">from </w:t>
      </w:r>
      <w:r w:rsidRPr="00504BCC">
        <w:rPr>
          <w:rFonts w:ascii="Times New Roman" w:hAnsi="Times New Roman"/>
        </w:rPr>
        <w:t>taps in all sorts of hospitality venues including clubs, hotels, large restaurants with bars and entertainment venues</w:t>
      </w:r>
      <w:r>
        <w:rPr>
          <w:rFonts w:ascii="Times New Roman" w:hAnsi="Times New Roman"/>
        </w:rPr>
        <w:t>;</w:t>
      </w:r>
    </w:p>
    <w:p w14:paraId="24975543" w14:textId="622D06C9" w:rsidR="002B6D25"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 xml:space="preserve">RCFC 2-5: </w:t>
      </w:r>
      <w:r w:rsidR="009D0B43">
        <w:rPr>
          <w:rFonts w:ascii="Times New Roman" w:hAnsi="Times New Roman"/>
        </w:rPr>
        <w:t>(</w:t>
      </w:r>
      <w:r w:rsidR="009D0B43" w:rsidRPr="00ED61C8">
        <w:rPr>
          <w:rFonts w:ascii="Times New Roman" w:hAnsi="Times New Roman"/>
          <w:i/>
        </w:rPr>
        <w:t>CHF2 – RCFC 1-11</w:t>
      </w:r>
      <w:r w:rsidR="009D0B43">
        <w:rPr>
          <w:rFonts w:ascii="Times New Roman" w:hAnsi="Times New Roman"/>
        </w:rPr>
        <w:t xml:space="preserve">) </w:t>
      </w:r>
      <w:r w:rsidRPr="00504BCC">
        <w:rPr>
          <w:rFonts w:ascii="Times New Roman" w:hAnsi="Times New Roman"/>
        </w:rPr>
        <w:t>Milk vats used exclusively in the dairy industry for rapid chilling of fresh milk</w:t>
      </w:r>
      <w:r>
        <w:rPr>
          <w:rFonts w:ascii="Times New Roman" w:hAnsi="Times New Roman"/>
        </w:rPr>
        <w:t xml:space="preserve">; </w:t>
      </w:r>
    </w:p>
    <w:p w14:paraId="5CAEA196" w14:textId="16CEDE03" w:rsidR="002B6D25" w:rsidRPr="00F04727"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 xml:space="preserve">RCFC 2-6: </w:t>
      </w:r>
      <w:r w:rsidR="009D0B43">
        <w:rPr>
          <w:rFonts w:ascii="Times New Roman" w:hAnsi="Times New Roman"/>
        </w:rPr>
        <w:t>(</w:t>
      </w:r>
      <w:r w:rsidR="009D0B43" w:rsidRPr="00ED61C8">
        <w:rPr>
          <w:rFonts w:ascii="Times New Roman" w:hAnsi="Times New Roman"/>
          <w:i/>
        </w:rPr>
        <w:t>CHF2 – RCFC 1-10</w:t>
      </w:r>
      <w:r w:rsidR="009D0B43">
        <w:rPr>
          <w:rFonts w:ascii="Times New Roman" w:hAnsi="Times New Roman"/>
        </w:rPr>
        <w:t xml:space="preserve">) </w:t>
      </w:r>
      <w:r w:rsidR="00C25A70">
        <w:rPr>
          <w:rFonts w:ascii="Times New Roman" w:hAnsi="Times New Roman"/>
        </w:rPr>
        <w:t>Packaged liquid chillers;</w:t>
      </w:r>
      <w:r>
        <w:rPr>
          <w:rFonts w:ascii="Times New Roman" w:hAnsi="Times New Roman"/>
        </w:rPr>
        <w:t xml:space="preserve"> and,</w:t>
      </w:r>
    </w:p>
    <w:p w14:paraId="3279E4D0" w14:textId="731BF824" w:rsidR="002B6D25" w:rsidRPr="00815DF7" w:rsidRDefault="002B6D25" w:rsidP="00FC735C">
      <w:pPr>
        <w:pStyle w:val="ListParagraph"/>
        <w:numPr>
          <w:ilvl w:val="0"/>
          <w:numId w:val="20"/>
        </w:numPr>
        <w:spacing w:before="120" w:after="0" w:line="240" w:lineRule="auto"/>
        <w:ind w:left="357" w:hanging="357"/>
        <w:contextualSpacing w:val="0"/>
        <w:jc w:val="both"/>
        <w:rPr>
          <w:rFonts w:ascii="Times New Roman" w:hAnsi="Times New Roman"/>
        </w:rPr>
      </w:pPr>
      <w:r>
        <w:rPr>
          <w:rFonts w:ascii="Times New Roman" w:hAnsi="Times New Roman"/>
        </w:rPr>
        <w:t>RCFC 2-7: Process and Manufacturing &lt;40kWr (n</w:t>
      </w:r>
      <w:r w:rsidR="00E07E74">
        <w:rPr>
          <w:rFonts w:ascii="Times New Roman" w:hAnsi="Times New Roman"/>
        </w:rPr>
        <w:t>ew category split out from CHF2</w:t>
      </w:r>
      <w:r>
        <w:rPr>
          <w:rFonts w:ascii="Times New Roman" w:hAnsi="Times New Roman"/>
        </w:rPr>
        <w:t>)</w:t>
      </w:r>
      <w:r w:rsidR="00C25A70">
        <w:rPr>
          <w:rFonts w:ascii="Times New Roman" w:hAnsi="Times New Roman"/>
        </w:rPr>
        <w:t>.</w:t>
      </w:r>
      <w:r>
        <w:rPr>
          <w:rFonts w:ascii="Times New Roman" w:hAnsi="Times New Roman"/>
        </w:rPr>
        <w:t xml:space="preserve"> </w:t>
      </w:r>
    </w:p>
    <w:p w14:paraId="094BD9EE" w14:textId="06826606" w:rsidR="002B6D25" w:rsidRPr="00504BCC" w:rsidRDefault="002B6D25" w:rsidP="002B6D25">
      <w:pPr>
        <w:rPr>
          <w:szCs w:val="22"/>
        </w:rPr>
      </w:pPr>
      <w:r w:rsidRPr="00504BCC">
        <w:rPr>
          <w:szCs w:val="22"/>
        </w:rPr>
        <w:t xml:space="preserve">The categories of commercial refrigeration equipment cover a wide range refrigeration capacity </w:t>
      </w:r>
      <w:r w:rsidR="00E07E74">
        <w:rPr>
          <w:szCs w:val="22"/>
        </w:rPr>
        <w:t xml:space="preserve">from </w:t>
      </w:r>
      <w:r w:rsidRPr="00504BCC">
        <w:rPr>
          <w:szCs w:val="22"/>
        </w:rPr>
        <w:t>&gt;1 kWr</w:t>
      </w:r>
      <w:r>
        <w:rPr>
          <w:szCs w:val="22"/>
        </w:rPr>
        <w:t>,</w:t>
      </w:r>
      <w:r w:rsidRPr="00504BCC">
        <w:rPr>
          <w:szCs w:val="22"/>
        </w:rPr>
        <w:t xml:space="preserve"> </w:t>
      </w:r>
      <w:r>
        <w:rPr>
          <w:szCs w:val="22"/>
        </w:rPr>
        <w:t xml:space="preserve">up to </w:t>
      </w:r>
      <w:r w:rsidRPr="00504BCC">
        <w:rPr>
          <w:szCs w:val="22"/>
        </w:rPr>
        <w:t>packaged liquid chillers</w:t>
      </w:r>
      <w:r>
        <w:rPr>
          <w:szCs w:val="22"/>
        </w:rPr>
        <w:t xml:space="preserve"> &lt;40</w:t>
      </w:r>
      <w:r w:rsidR="00E07E74">
        <w:rPr>
          <w:szCs w:val="22"/>
        </w:rPr>
        <w:t xml:space="preserve"> </w:t>
      </w:r>
      <w:r>
        <w:rPr>
          <w:szCs w:val="22"/>
        </w:rPr>
        <w:t xml:space="preserve">kWr used in </w:t>
      </w:r>
      <w:r w:rsidRPr="00504BCC">
        <w:rPr>
          <w:szCs w:val="22"/>
        </w:rPr>
        <w:t>process refrigeration applications in industry</w:t>
      </w:r>
      <w:r w:rsidR="007B711D">
        <w:rPr>
          <w:szCs w:val="22"/>
        </w:rPr>
        <w:t>,</w:t>
      </w:r>
      <w:r w:rsidRPr="00504BCC">
        <w:rPr>
          <w:szCs w:val="22"/>
        </w:rPr>
        <w:t xml:space="preserve"> and centralised systems for large cold storage </w:t>
      </w:r>
      <w:r w:rsidR="009F5EAE" w:rsidRPr="00504BCC">
        <w:rPr>
          <w:szCs w:val="22"/>
        </w:rPr>
        <w:t>facilities.</w:t>
      </w:r>
    </w:p>
    <w:p w14:paraId="3DF4352F" w14:textId="70C6C3B7" w:rsidR="002B6D25" w:rsidRDefault="002B6D25" w:rsidP="002B6D25">
      <w:pPr>
        <w:rPr>
          <w:szCs w:val="22"/>
        </w:rPr>
      </w:pPr>
      <w:r>
        <w:rPr>
          <w:szCs w:val="22"/>
        </w:rPr>
        <w:t>Some older walk-in cool</w:t>
      </w:r>
      <w:r w:rsidR="007B711D">
        <w:rPr>
          <w:szCs w:val="22"/>
        </w:rPr>
        <w:t xml:space="preserve"> </w:t>
      </w:r>
      <w:r>
        <w:rPr>
          <w:szCs w:val="22"/>
        </w:rPr>
        <w:t>rooms, beer coolers and milk vats are still charged with</w:t>
      </w:r>
      <w:r w:rsidRPr="00504BCC">
        <w:rPr>
          <w:szCs w:val="22"/>
        </w:rPr>
        <w:t xml:space="preserve"> HCFC-22</w:t>
      </w:r>
      <w:r>
        <w:rPr>
          <w:szCs w:val="22"/>
        </w:rPr>
        <w:t xml:space="preserve"> with an estimated bank in this segment of some </w:t>
      </w:r>
      <w:r w:rsidR="00E07E74">
        <w:rPr>
          <w:szCs w:val="22"/>
        </w:rPr>
        <w:t>260</w:t>
      </w:r>
      <w:r>
        <w:rPr>
          <w:szCs w:val="22"/>
        </w:rPr>
        <w:t xml:space="preserve"> tonnes of HCFCs in 2016 (</w:t>
      </w:r>
      <w:r w:rsidRPr="00AF1285">
        <w:rPr>
          <w:i/>
          <w:szCs w:val="22"/>
        </w:rPr>
        <w:t>CHF2 450 tonnes</w:t>
      </w:r>
      <w:r>
        <w:rPr>
          <w:szCs w:val="22"/>
        </w:rPr>
        <w:t xml:space="preserve">), although this is expected to fall to less than 5 tonnes by 2030.  </w:t>
      </w:r>
    </w:p>
    <w:p w14:paraId="5CA92EFA" w14:textId="5A51F538" w:rsidR="002B6D25" w:rsidRDefault="002B6D25" w:rsidP="002B6D25">
      <w:pPr>
        <w:rPr>
          <w:szCs w:val="22"/>
        </w:rPr>
      </w:pPr>
      <w:r w:rsidRPr="00504BCC">
        <w:rPr>
          <w:szCs w:val="22"/>
        </w:rPr>
        <w:t>HFC-404A</w:t>
      </w:r>
      <w:r>
        <w:rPr>
          <w:szCs w:val="22"/>
        </w:rPr>
        <w:t>,</w:t>
      </w:r>
      <w:r w:rsidRPr="00504BCC">
        <w:rPr>
          <w:szCs w:val="22"/>
        </w:rPr>
        <w:t xml:space="preserve"> </w:t>
      </w:r>
      <w:r>
        <w:rPr>
          <w:szCs w:val="22"/>
        </w:rPr>
        <w:t xml:space="preserve">which </w:t>
      </w:r>
      <w:r w:rsidRPr="00504BCC">
        <w:rPr>
          <w:szCs w:val="22"/>
        </w:rPr>
        <w:t>has been the refrigera</w:t>
      </w:r>
      <w:r>
        <w:rPr>
          <w:szCs w:val="22"/>
        </w:rPr>
        <w:t>nt of choice for most of this segment, particularly in walk-in cool</w:t>
      </w:r>
      <w:r w:rsidR="007B711D">
        <w:rPr>
          <w:szCs w:val="22"/>
        </w:rPr>
        <w:t xml:space="preserve"> </w:t>
      </w:r>
      <w:r>
        <w:rPr>
          <w:szCs w:val="22"/>
        </w:rPr>
        <w:t>rooms and freezers for more than a</w:t>
      </w:r>
      <w:r w:rsidRPr="00504BCC">
        <w:rPr>
          <w:szCs w:val="22"/>
        </w:rPr>
        <w:t xml:space="preserve"> decade</w:t>
      </w:r>
      <w:r>
        <w:rPr>
          <w:szCs w:val="22"/>
        </w:rPr>
        <w:t>, maintains its dominance of the bank in RCFC2 with nearly 2</w:t>
      </w:r>
      <w:r w:rsidR="00A14F96">
        <w:rPr>
          <w:szCs w:val="22"/>
        </w:rPr>
        <w:t>,</w:t>
      </w:r>
      <w:r w:rsidR="00E07E74">
        <w:rPr>
          <w:szCs w:val="22"/>
        </w:rPr>
        <w:t>7</w:t>
      </w:r>
      <w:r>
        <w:rPr>
          <w:szCs w:val="22"/>
        </w:rPr>
        <w:t xml:space="preserve">00 tonnes in 2016. </w:t>
      </w:r>
      <w:r w:rsidR="007B711D">
        <w:rPr>
          <w:szCs w:val="22"/>
        </w:rPr>
        <w:t>T</w:t>
      </w:r>
      <w:r>
        <w:rPr>
          <w:szCs w:val="22"/>
        </w:rPr>
        <w:t xml:space="preserve">his is essentially unchanged since 2012, with HFC-134a being the </w:t>
      </w:r>
      <w:r w:rsidR="00A14F96">
        <w:rPr>
          <w:szCs w:val="22"/>
        </w:rPr>
        <w:t xml:space="preserve">alternative </w:t>
      </w:r>
      <w:r>
        <w:rPr>
          <w:szCs w:val="22"/>
        </w:rPr>
        <w:t xml:space="preserve">refrigerant employed in the segment, increasing from around 600 tonnes in 2012 to </w:t>
      </w:r>
      <w:r w:rsidR="00E07E74">
        <w:rPr>
          <w:szCs w:val="22"/>
        </w:rPr>
        <w:t xml:space="preserve">over </w:t>
      </w:r>
      <w:r>
        <w:rPr>
          <w:szCs w:val="22"/>
        </w:rPr>
        <w:t>800 tonnes in 2016, particularly among the smaller walk-in cool</w:t>
      </w:r>
      <w:r w:rsidR="007B711D">
        <w:rPr>
          <w:szCs w:val="22"/>
        </w:rPr>
        <w:t xml:space="preserve"> </w:t>
      </w:r>
      <w:r>
        <w:rPr>
          <w:szCs w:val="22"/>
        </w:rPr>
        <w:t xml:space="preserve">rooms. HFC-134a is expected to grow steadily in these applications to around </w:t>
      </w:r>
      <w:r w:rsidR="00E07E74">
        <w:rPr>
          <w:szCs w:val="22"/>
        </w:rPr>
        <w:t>950</w:t>
      </w:r>
      <w:r>
        <w:rPr>
          <w:szCs w:val="22"/>
        </w:rPr>
        <w:t xml:space="preserve"> tonnes in 2030 as HFC-404A declines over the same period to around 1,</w:t>
      </w:r>
      <w:r w:rsidR="00E07E74">
        <w:rPr>
          <w:szCs w:val="22"/>
        </w:rPr>
        <w:t>1</w:t>
      </w:r>
      <w:r>
        <w:rPr>
          <w:szCs w:val="22"/>
        </w:rPr>
        <w:t>80 tonnes.</w:t>
      </w:r>
    </w:p>
    <w:p w14:paraId="617C2408" w14:textId="52369FDC" w:rsidR="002B6D25" w:rsidRDefault="002B6D25" w:rsidP="002B6D25">
      <w:pPr>
        <w:rPr>
          <w:szCs w:val="22"/>
        </w:rPr>
      </w:pPr>
      <w:r>
        <w:rPr>
          <w:szCs w:val="22"/>
        </w:rPr>
        <w:t>The growth of HFC-134a has also capped growth of HFC</w:t>
      </w:r>
      <w:r w:rsidR="00D254A9">
        <w:rPr>
          <w:szCs w:val="22"/>
        </w:rPr>
        <w:t>-</w:t>
      </w:r>
      <w:r>
        <w:rPr>
          <w:szCs w:val="22"/>
        </w:rPr>
        <w:t xml:space="preserve">410A and </w:t>
      </w:r>
      <w:r w:rsidR="007B711D">
        <w:rPr>
          <w:szCs w:val="22"/>
        </w:rPr>
        <w:t>HFC</w:t>
      </w:r>
      <w:r w:rsidR="00D254A9">
        <w:rPr>
          <w:szCs w:val="22"/>
        </w:rPr>
        <w:t>-</w:t>
      </w:r>
      <w:r>
        <w:rPr>
          <w:szCs w:val="22"/>
        </w:rPr>
        <w:t xml:space="preserve">407C, </w:t>
      </w:r>
      <w:r w:rsidR="00E07E74">
        <w:rPr>
          <w:szCs w:val="22"/>
        </w:rPr>
        <w:t>collectively</w:t>
      </w:r>
      <w:r w:rsidR="007B711D">
        <w:rPr>
          <w:szCs w:val="22"/>
        </w:rPr>
        <w:t>,</w:t>
      </w:r>
      <w:r w:rsidR="00E07E74">
        <w:rPr>
          <w:szCs w:val="22"/>
        </w:rPr>
        <w:t xml:space="preserve"> </w:t>
      </w:r>
      <w:r>
        <w:rPr>
          <w:szCs w:val="22"/>
        </w:rPr>
        <w:t>at around 1</w:t>
      </w:r>
      <w:r w:rsidR="00E07E74">
        <w:rPr>
          <w:szCs w:val="22"/>
        </w:rPr>
        <w:t>3</w:t>
      </w:r>
      <w:r>
        <w:rPr>
          <w:szCs w:val="22"/>
        </w:rPr>
        <w:t>0 tonnes</w:t>
      </w:r>
      <w:r w:rsidR="00261EB1">
        <w:rPr>
          <w:szCs w:val="22"/>
        </w:rPr>
        <w:t>,</w:t>
      </w:r>
      <w:r>
        <w:rPr>
          <w:szCs w:val="22"/>
        </w:rPr>
        <w:t xml:space="preserve"> and both </w:t>
      </w:r>
      <w:r w:rsidR="00606BCB">
        <w:rPr>
          <w:szCs w:val="22"/>
        </w:rPr>
        <w:t xml:space="preserve">are </w:t>
      </w:r>
      <w:r>
        <w:rPr>
          <w:szCs w:val="22"/>
        </w:rPr>
        <w:t>expected to stabilise around that level for the next few years before declining towards the end of next decade</w:t>
      </w:r>
      <w:r w:rsidR="00261EB1">
        <w:rPr>
          <w:szCs w:val="22"/>
        </w:rPr>
        <w:t xml:space="preserve"> as older equipment is retired</w:t>
      </w:r>
      <w:r>
        <w:rPr>
          <w:szCs w:val="22"/>
        </w:rPr>
        <w:t xml:space="preserve">. </w:t>
      </w:r>
    </w:p>
    <w:p w14:paraId="727F205E" w14:textId="7C04582A" w:rsidR="002B6D25" w:rsidRDefault="002B6D25" w:rsidP="002B6D25">
      <w:pPr>
        <w:rPr>
          <w:szCs w:val="22"/>
        </w:rPr>
      </w:pPr>
      <w:r>
        <w:rPr>
          <w:szCs w:val="22"/>
        </w:rPr>
        <w:t xml:space="preserve">HC charged systems have started to appear in the </w:t>
      </w:r>
      <w:r w:rsidR="00261EB1">
        <w:rPr>
          <w:szCs w:val="22"/>
        </w:rPr>
        <w:t>market f</w:t>
      </w:r>
      <w:r>
        <w:rPr>
          <w:szCs w:val="22"/>
        </w:rPr>
        <w:t xml:space="preserve">or this segment with the entry of HC charged packaged liquid chillers. HCs are projected to grow from </w:t>
      </w:r>
      <w:r w:rsidR="00261EB1">
        <w:rPr>
          <w:szCs w:val="22"/>
        </w:rPr>
        <w:t xml:space="preserve">a relatively few units containing an estimated </w:t>
      </w:r>
      <w:r w:rsidR="007B711D">
        <w:rPr>
          <w:szCs w:val="22"/>
        </w:rPr>
        <w:t>(</w:t>
      </w:r>
      <w:r w:rsidR="00017396">
        <w:rPr>
          <w:szCs w:val="22"/>
        </w:rPr>
        <w:t>1</w:t>
      </w:r>
      <w:r>
        <w:rPr>
          <w:szCs w:val="22"/>
        </w:rPr>
        <w:t xml:space="preserve"> tonne</w:t>
      </w:r>
      <w:r w:rsidR="007B711D">
        <w:rPr>
          <w:szCs w:val="22"/>
        </w:rPr>
        <w:t>)</w:t>
      </w:r>
      <w:r>
        <w:rPr>
          <w:szCs w:val="22"/>
        </w:rPr>
        <w:t xml:space="preserve"> in 2016</w:t>
      </w:r>
      <w:r w:rsidR="00261EB1">
        <w:rPr>
          <w:szCs w:val="22"/>
        </w:rPr>
        <w:t xml:space="preserve">, </w:t>
      </w:r>
      <w:r>
        <w:rPr>
          <w:szCs w:val="22"/>
        </w:rPr>
        <w:t xml:space="preserve">to an estimated </w:t>
      </w:r>
      <w:r w:rsidR="00017396">
        <w:rPr>
          <w:szCs w:val="22"/>
        </w:rPr>
        <w:t>68</w:t>
      </w:r>
      <w:r>
        <w:rPr>
          <w:szCs w:val="22"/>
        </w:rPr>
        <w:t xml:space="preserve"> tonnes in 2030, however representing just </w:t>
      </w:r>
      <w:r w:rsidR="00017396">
        <w:rPr>
          <w:szCs w:val="22"/>
        </w:rPr>
        <w:t>1.7</w:t>
      </w:r>
      <w:r>
        <w:rPr>
          <w:szCs w:val="22"/>
        </w:rPr>
        <w:t>% of the bank in this segment at that time.</w:t>
      </w:r>
      <w:r w:rsidR="00017396">
        <w:rPr>
          <w:szCs w:val="22"/>
        </w:rPr>
        <w:t xml:space="preserve"> CO</w:t>
      </w:r>
      <w:r w:rsidR="00017396" w:rsidRPr="00017396">
        <w:rPr>
          <w:szCs w:val="22"/>
          <w:vertAlign w:val="subscript"/>
        </w:rPr>
        <w:t>2</w:t>
      </w:r>
      <w:r w:rsidR="00017396">
        <w:rPr>
          <w:szCs w:val="22"/>
        </w:rPr>
        <w:t xml:space="preserve"> systems are expected to achieve greater penetration in this segment, achieving around 8% of the remote condenser bank by 2030. </w:t>
      </w:r>
    </w:p>
    <w:p w14:paraId="1209B1B5" w14:textId="1126196F" w:rsidR="002B6D25" w:rsidRDefault="002B6D25" w:rsidP="002B6D25">
      <w:pPr>
        <w:rPr>
          <w:szCs w:val="22"/>
        </w:rPr>
      </w:pPr>
      <w:r>
        <w:rPr>
          <w:szCs w:val="22"/>
        </w:rPr>
        <w:t xml:space="preserve">Illustrations showing projected new sales mix of equipment by refrigerant species </w:t>
      </w:r>
      <w:r w:rsidR="008921F7">
        <w:rPr>
          <w:szCs w:val="22"/>
        </w:rPr>
        <w:t xml:space="preserve">are </w:t>
      </w:r>
      <w:r>
        <w:rPr>
          <w:szCs w:val="22"/>
        </w:rPr>
        <w:t xml:space="preserve">included in </w:t>
      </w:r>
      <w:r w:rsidR="00BB16C6" w:rsidRPr="00BB16C6">
        <w:rPr>
          <w:i/>
          <w:szCs w:val="22"/>
        </w:rPr>
        <w:t>Appendix B2: New equipment sales mix by segment</w:t>
      </w:r>
      <w:r w:rsidR="00017396">
        <w:rPr>
          <w:szCs w:val="22"/>
        </w:rPr>
        <w:t>.</w:t>
      </w:r>
    </w:p>
    <w:p w14:paraId="18F33477" w14:textId="5D6749B3" w:rsidR="002B6D25" w:rsidRPr="00504BCC" w:rsidRDefault="002B6D25" w:rsidP="002B6D25">
      <w:pPr>
        <w:rPr>
          <w:szCs w:val="22"/>
        </w:rPr>
      </w:pPr>
      <w:r>
        <w:rPr>
          <w:szCs w:val="22"/>
        </w:rPr>
        <w:t>Walk-in cool</w:t>
      </w:r>
      <w:r w:rsidR="007B711D">
        <w:rPr>
          <w:szCs w:val="22"/>
        </w:rPr>
        <w:t xml:space="preserve"> </w:t>
      </w:r>
      <w:r>
        <w:rPr>
          <w:szCs w:val="22"/>
        </w:rPr>
        <w:t xml:space="preserve">rooms </w:t>
      </w:r>
      <w:r w:rsidR="003E7CF6">
        <w:rPr>
          <w:szCs w:val="22"/>
        </w:rPr>
        <w:t xml:space="preserve">are prone to refrigerant leakage </w:t>
      </w:r>
      <w:r>
        <w:rPr>
          <w:szCs w:val="22"/>
        </w:rPr>
        <w:t xml:space="preserve">with an estimated annual average leak rate of </w:t>
      </w:r>
      <w:r w:rsidR="00915C34">
        <w:rPr>
          <w:szCs w:val="22"/>
        </w:rPr>
        <w:t>around 15</w:t>
      </w:r>
      <w:r>
        <w:rPr>
          <w:szCs w:val="22"/>
        </w:rPr>
        <w:t>%</w:t>
      </w:r>
      <w:r w:rsidR="00915C34">
        <w:rPr>
          <w:szCs w:val="22"/>
        </w:rPr>
        <w:t xml:space="preserve"> per annum</w:t>
      </w:r>
      <w:r>
        <w:rPr>
          <w:szCs w:val="22"/>
        </w:rPr>
        <w:t>. Cool</w:t>
      </w:r>
      <w:r w:rsidR="007B711D">
        <w:rPr>
          <w:szCs w:val="22"/>
        </w:rPr>
        <w:t xml:space="preserve"> </w:t>
      </w:r>
      <w:r>
        <w:rPr>
          <w:szCs w:val="22"/>
        </w:rPr>
        <w:t>rooms of all sizes are often working in very difficult conditions</w:t>
      </w:r>
      <w:r w:rsidR="009D423A">
        <w:rPr>
          <w:szCs w:val="22"/>
        </w:rPr>
        <w:t>,</w:t>
      </w:r>
      <w:r>
        <w:rPr>
          <w:szCs w:val="22"/>
        </w:rPr>
        <w:t xml:space="preserve"> with remote units connected by </w:t>
      </w:r>
      <w:r w:rsidR="00493AC5">
        <w:rPr>
          <w:szCs w:val="22"/>
        </w:rPr>
        <w:t>refrigerant</w:t>
      </w:r>
      <w:r w:rsidR="003E62D3">
        <w:rPr>
          <w:szCs w:val="22"/>
        </w:rPr>
        <w:t xml:space="preserve"> lines often in exposed, high</w:t>
      </w:r>
      <w:r>
        <w:rPr>
          <w:szCs w:val="22"/>
        </w:rPr>
        <w:t xml:space="preserve"> traffic areas as, by the very nature of the systems, they are generally associated with high frequency movements of goods and in areas with forklift and vehicle traffic. </w:t>
      </w:r>
    </w:p>
    <w:p w14:paraId="45306630" w14:textId="7A640B4D" w:rsidR="002B6D25" w:rsidRDefault="002B6D25" w:rsidP="002B6D25">
      <w:pPr>
        <w:rPr>
          <w:szCs w:val="22"/>
        </w:rPr>
      </w:pPr>
      <w:r w:rsidRPr="00504BCC">
        <w:rPr>
          <w:szCs w:val="22"/>
        </w:rPr>
        <w:t xml:space="preserve">Beverage cooling systems </w:t>
      </w:r>
      <w:r>
        <w:rPr>
          <w:szCs w:val="22"/>
        </w:rPr>
        <w:t>employ</w:t>
      </w:r>
      <w:r w:rsidRPr="00504BCC">
        <w:rPr>
          <w:szCs w:val="22"/>
        </w:rPr>
        <w:t xml:space="preserve"> a</w:t>
      </w:r>
      <w:r>
        <w:rPr>
          <w:szCs w:val="22"/>
        </w:rPr>
        <w:t xml:space="preserve">pproximately </w:t>
      </w:r>
      <w:r w:rsidR="00915C34">
        <w:rPr>
          <w:szCs w:val="22"/>
        </w:rPr>
        <w:t>400</w:t>
      </w:r>
      <w:r w:rsidRPr="00504BCC">
        <w:rPr>
          <w:szCs w:val="22"/>
        </w:rPr>
        <w:t xml:space="preserve"> tonnes of </w:t>
      </w:r>
      <w:r w:rsidR="00E476A8">
        <w:rPr>
          <w:szCs w:val="22"/>
        </w:rPr>
        <w:t>refrigerant</w:t>
      </w:r>
      <w:r>
        <w:rPr>
          <w:szCs w:val="22"/>
        </w:rPr>
        <w:t>, (</w:t>
      </w:r>
      <w:r w:rsidRPr="0048468F">
        <w:rPr>
          <w:i/>
          <w:szCs w:val="22"/>
        </w:rPr>
        <w:t>CHF2 470 tonnes</w:t>
      </w:r>
      <w:r>
        <w:rPr>
          <w:szCs w:val="22"/>
        </w:rPr>
        <w:t xml:space="preserve">) </w:t>
      </w:r>
      <w:r w:rsidRPr="00504BCC">
        <w:rPr>
          <w:szCs w:val="22"/>
        </w:rPr>
        <w:t>due to the large refrigerant charge required for beer chilling applications</w:t>
      </w:r>
      <w:r>
        <w:rPr>
          <w:szCs w:val="22"/>
        </w:rPr>
        <w:t>. A</w:t>
      </w:r>
      <w:r w:rsidRPr="00504BCC">
        <w:rPr>
          <w:szCs w:val="22"/>
        </w:rPr>
        <w:t xml:space="preserve">n average </w:t>
      </w:r>
      <w:r>
        <w:rPr>
          <w:szCs w:val="22"/>
        </w:rPr>
        <w:t>installation</w:t>
      </w:r>
      <w:r w:rsidRPr="00504BCC">
        <w:rPr>
          <w:szCs w:val="22"/>
        </w:rPr>
        <w:t xml:space="preserve"> can have 40 kilograms of refrigerant. </w:t>
      </w:r>
    </w:p>
    <w:p w14:paraId="6CCD18AD" w14:textId="795DD0D4" w:rsidR="002B6D25" w:rsidRDefault="002B6D25" w:rsidP="002B6D25">
      <w:pPr>
        <w:rPr>
          <w:szCs w:val="22"/>
        </w:rPr>
      </w:pPr>
      <w:r w:rsidRPr="00504BCC">
        <w:rPr>
          <w:szCs w:val="22"/>
        </w:rPr>
        <w:t xml:space="preserve">Milk vat refrigeration units are used by dairy farmers to </w:t>
      </w:r>
      <w:r>
        <w:rPr>
          <w:szCs w:val="22"/>
        </w:rPr>
        <w:t xml:space="preserve">rapidly </w:t>
      </w:r>
      <w:r w:rsidRPr="00504BCC">
        <w:rPr>
          <w:szCs w:val="22"/>
        </w:rPr>
        <w:t>chill fresh milk from 3</w:t>
      </w:r>
      <w:r>
        <w:rPr>
          <w:szCs w:val="22"/>
        </w:rPr>
        <w:t>4</w:t>
      </w:r>
      <w:r w:rsidRPr="00504BCC">
        <w:rPr>
          <w:szCs w:val="22"/>
        </w:rPr>
        <w:t>°C to 4°C prior to pick up by bulk tankers. There are two common milk cooling methods used on dairy farms, ‘direct expansion’ cooling and ‘indirect cooling’ systems</w:t>
      </w:r>
      <w:r>
        <w:rPr>
          <w:szCs w:val="22"/>
        </w:rPr>
        <w:t>. Indirect cooling use</w:t>
      </w:r>
      <w:r w:rsidR="007B711D">
        <w:rPr>
          <w:szCs w:val="22"/>
        </w:rPr>
        <w:t>s</w:t>
      </w:r>
      <w:r>
        <w:rPr>
          <w:szCs w:val="22"/>
        </w:rPr>
        <w:t xml:space="preserve"> packaged liquid chillers </w:t>
      </w:r>
      <w:r w:rsidR="003E62D3">
        <w:rPr>
          <w:szCs w:val="22"/>
        </w:rPr>
        <w:t xml:space="preserve">to produced chilled </w:t>
      </w:r>
      <w:r>
        <w:rPr>
          <w:szCs w:val="22"/>
        </w:rPr>
        <w:t>water</w:t>
      </w:r>
      <w:r w:rsidR="002968F3">
        <w:rPr>
          <w:szCs w:val="22"/>
        </w:rPr>
        <w:t>.</w:t>
      </w:r>
      <w:r w:rsidRPr="00504BCC">
        <w:rPr>
          <w:szCs w:val="22"/>
        </w:rPr>
        <w:t xml:space="preserve"> </w:t>
      </w:r>
    </w:p>
    <w:p w14:paraId="13388B81" w14:textId="00A10AFE" w:rsidR="002B6D25" w:rsidRDefault="002B6D25" w:rsidP="002B6D25">
      <w:pPr>
        <w:rPr>
          <w:szCs w:val="22"/>
        </w:rPr>
      </w:pPr>
      <w:r>
        <w:rPr>
          <w:szCs w:val="22"/>
        </w:rPr>
        <w:t xml:space="preserve">The rapid consolidation of the dairy industry that was reported up to 2012 has slowed considerably with reports of new equipment purchases increasing in this segment. Larger dairies that have survived the period of consolidation are upgrading to more efficient packaged liquid chillers. </w:t>
      </w:r>
      <w:r w:rsidRPr="002968F3">
        <w:rPr>
          <w:szCs w:val="22"/>
        </w:rPr>
        <w:t xml:space="preserve">Subsequently refrigerant leak rates and energy consumption in this segment is also </w:t>
      </w:r>
      <w:r w:rsidR="00AC40DB" w:rsidRPr="002968F3">
        <w:rPr>
          <w:szCs w:val="22"/>
        </w:rPr>
        <w:t xml:space="preserve">decreasing </w:t>
      </w:r>
      <w:r w:rsidRPr="002968F3">
        <w:rPr>
          <w:szCs w:val="22"/>
        </w:rPr>
        <w:t>relative to earlier years.</w:t>
      </w:r>
    </w:p>
    <w:p w14:paraId="3D2F6227" w14:textId="77777777" w:rsidR="00612476" w:rsidRDefault="00612476" w:rsidP="002B6D25">
      <w:pPr>
        <w:rPr>
          <w:szCs w:val="22"/>
        </w:rPr>
      </w:pPr>
    </w:p>
    <w:p w14:paraId="7B4C81A4" w14:textId="77777777" w:rsidR="002B6D25" w:rsidRPr="00E17CF2" w:rsidRDefault="002B6D25" w:rsidP="002B6D25">
      <w:pPr>
        <w:pStyle w:val="Heading3"/>
      </w:pPr>
      <w:bookmarkStart w:id="45" w:name="_Toc494661741"/>
      <w:bookmarkStart w:id="46" w:name="_Toc525141267"/>
      <w:r>
        <w:t xml:space="preserve">RCFC3 </w:t>
      </w:r>
      <w:r w:rsidRPr="00E17CF2">
        <w:t>Supermarkets</w:t>
      </w:r>
      <w:bookmarkEnd w:id="45"/>
      <w:bookmarkEnd w:id="46"/>
    </w:p>
    <w:p w14:paraId="4116701B" w14:textId="77777777" w:rsidR="002B6D25" w:rsidRPr="003E3993" w:rsidRDefault="002B6D25" w:rsidP="002B6D25">
      <w:pPr>
        <w:outlineLvl w:val="0"/>
        <w:rPr>
          <w:rFonts w:cs="Times New Roman"/>
        </w:rPr>
      </w:pPr>
      <w:r w:rsidRPr="003E3993">
        <w:rPr>
          <w:rFonts w:cs="Times New Roman"/>
        </w:rPr>
        <w:t xml:space="preserve">Supermarkets are divided into </w:t>
      </w:r>
      <w:r>
        <w:rPr>
          <w:rFonts w:cs="Times New Roman"/>
        </w:rPr>
        <w:t xml:space="preserve">three </w:t>
      </w:r>
      <w:r w:rsidRPr="003E3993">
        <w:rPr>
          <w:rFonts w:cs="Times New Roman"/>
        </w:rPr>
        <w:t>sub-categories by trading floor area:</w:t>
      </w:r>
    </w:p>
    <w:p w14:paraId="14D79BA5" w14:textId="77777777" w:rsidR="002B6D25" w:rsidRPr="000C5058" w:rsidRDefault="002B6D25" w:rsidP="00FC735C">
      <w:pPr>
        <w:pStyle w:val="ListParagraph"/>
        <w:numPr>
          <w:ilvl w:val="0"/>
          <w:numId w:val="22"/>
        </w:numPr>
        <w:spacing w:before="120" w:after="0" w:line="240" w:lineRule="auto"/>
        <w:ind w:left="357" w:hanging="357"/>
        <w:contextualSpacing w:val="0"/>
        <w:jc w:val="both"/>
        <w:outlineLvl w:val="0"/>
        <w:rPr>
          <w:rFonts w:ascii="Times New Roman" w:hAnsi="Times New Roman"/>
        </w:rPr>
      </w:pPr>
      <w:r w:rsidRPr="000C5058">
        <w:rPr>
          <w:rFonts w:ascii="Times New Roman" w:hAnsi="Times New Roman"/>
        </w:rPr>
        <w:t>Large Supermarkets with a floor area greater than or equal to 2,750 m</w:t>
      </w:r>
      <w:r w:rsidRPr="000C5058">
        <w:rPr>
          <w:rFonts w:ascii="Times New Roman" w:hAnsi="Times New Roman"/>
          <w:vertAlign w:val="superscript"/>
        </w:rPr>
        <w:t>2</w:t>
      </w:r>
      <w:r w:rsidRPr="000C5058">
        <w:rPr>
          <w:rFonts w:ascii="Times New Roman" w:hAnsi="Times New Roman"/>
        </w:rPr>
        <w:t>;</w:t>
      </w:r>
    </w:p>
    <w:p w14:paraId="2E7AC8A2" w14:textId="1F215ED0" w:rsidR="002B6D25" w:rsidRPr="000C5058" w:rsidRDefault="002B6D25" w:rsidP="00FC735C">
      <w:pPr>
        <w:pStyle w:val="ListParagraph"/>
        <w:numPr>
          <w:ilvl w:val="0"/>
          <w:numId w:val="22"/>
        </w:numPr>
        <w:spacing w:before="120" w:after="0" w:line="240" w:lineRule="auto"/>
        <w:ind w:left="357" w:hanging="357"/>
        <w:contextualSpacing w:val="0"/>
        <w:jc w:val="both"/>
        <w:outlineLvl w:val="0"/>
        <w:rPr>
          <w:rFonts w:ascii="Times New Roman" w:hAnsi="Times New Roman"/>
        </w:rPr>
      </w:pPr>
      <w:r w:rsidRPr="000C5058">
        <w:rPr>
          <w:rFonts w:ascii="Times New Roman" w:hAnsi="Times New Roman"/>
        </w:rPr>
        <w:t>Medium Supermarket</w:t>
      </w:r>
      <w:r w:rsidR="007B711D">
        <w:rPr>
          <w:rFonts w:ascii="Times New Roman" w:hAnsi="Times New Roman"/>
        </w:rPr>
        <w:t>s</w:t>
      </w:r>
      <w:r w:rsidRPr="000C5058">
        <w:rPr>
          <w:rFonts w:ascii="Times New Roman" w:hAnsi="Times New Roman"/>
        </w:rPr>
        <w:t xml:space="preserve"> with floor areas between 1,500 m</w:t>
      </w:r>
      <w:r w:rsidRPr="000C5058">
        <w:rPr>
          <w:rFonts w:ascii="Times New Roman" w:hAnsi="Times New Roman"/>
          <w:vertAlign w:val="superscript"/>
        </w:rPr>
        <w:t>2</w:t>
      </w:r>
      <w:r w:rsidRPr="000C5058">
        <w:rPr>
          <w:rFonts w:ascii="Times New Roman" w:hAnsi="Times New Roman"/>
        </w:rPr>
        <w:t xml:space="preserve"> and 2,750 m</w:t>
      </w:r>
      <w:r w:rsidRPr="000C5058">
        <w:rPr>
          <w:rFonts w:ascii="Times New Roman" w:hAnsi="Times New Roman"/>
          <w:vertAlign w:val="superscript"/>
        </w:rPr>
        <w:t>2</w:t>
      </w:r>
      <w:r w:rsidRPr="000C5058">
        <w:rPr>
          <w:rFonts w:ascii="Times New Roman" w:hAnsi="Times New Roman"/>
        </w:rPr>
        <w:t>; and,</w:t>
      </w:r>
    </w:p>
    <w:p w14:paraId="52F7E810" w14:textId="791AC550" w:rsidR="002B6D25" w:rsidRPr="00840BAF" w:rsidRDefault="002B6D25" w:rsidP="00840BAF">
      <w:pPr>
        <w:pStyle w:val="ListParagraph"/>
        <w:numPr>
          <w:ilvl w:val="0"/>
          <w:numId w:val="22"/>
        </w:numPr>
        <w:spacing w:before="120" w:after="0" w:line="240" w:lineRule="auto"/>
        <w:ind w:left="357" w:hanging="357"/>
        <w:contextualSpacing w:val="0"/>
        <w:jc w:val="both"/>
        <w:outlineLvl w:val="0"/>
        <w:rPr>
          <w:rFonts w:ascii="Times New Roman" w:hAnsi="Times New Roman"/>
        </w:rPr>
      </w:pPr>
      <w:r w:rsidRPr="00840BAF">
        <w:rPr>
          <w:rFonts w:ascii="Times New Roman" w:hAnsi="Times New Roman"/>
        </w:rPr>
        <w:t>Small Supermarkets with floor areas between 400 m</w:t>
      </w:r>
      <w:r w:rsidRPr="00840BAF">
        <w:rPr>
          <w:rFonts w:ascii="Times New Roman" w:hAnsi="Times New Roman"/>
          <w:vertAlign w:val="superscript"/>
        </w:rPr>
        <w:t>2</w:t>
      </w:r>
      <w:r w:rsidRPr="00840BAF">
        <w:rPr>
          <w:rFonts w:ascii="Times New Roman" w:hAnsi="Times New Roman"/>
        </w:rPr>
        <w:t xml:space="preserve"> and 1,500 m</w:t>
      </w:r>
      <w:r w:rsidRPr="00840BAF">
        <w:rPr>
          <w:rFonts w:ascii="Times New Roman" w:hAnsi="Times New Roman"/>
          <w:vertAlign w:val="superscript"/>
        </w:rPr>
        <w:t>2</w:t>
      </w:r>
      <w:r w:rsidRPr="00840BAF">
        <w:rPr>
          <w:rFonts w:ascii="Times New Roman" w:hAnsi="Times New Roman"/>
        </w:rPr>
        <w:t>.</w:t>
      </w:r>
    </w:p>
    <w:p w14:paraId="77A05032" w14:textId="7F42AB1B" w:rsidR="002B6D25" w:rsidRDefault="002B6D25" w:rsidP="00670A4E">
      <w:pPr>
        <w:outlineLvl w:val="0"/>
        <w:rPr>
          <w:rFonts w:cs="Times New Roman"/>
        </w:rPr>
      </w:pPr>
      <w:r w:rsidRPr="003F3C3D">
        <w:rPr>
          <w:rFonts w:cs="Times New Roman"/>
        </w:rPr>
        <w:t>Mini-marts, convenience stores and liquor outlets with floor areas smaller than 400 m</w:t>
      </w:r>
      <w:r w:rsidRPr="003F3C3D">
        <w:rPr>
          <w:rFonts w:cs="Times New Roman"/>
          <w:vertAlign w:val="superscript"/>
        </w:rPr>
        <w:t>2</w:t>
      </w:r>
      <w:r w:rsidRPr="003F3C3D">
        <w:rPr>
          <w:rFonts w:cs="Times New Roman"/>
        </w:rPr>
        <w:t xml:space="preserve"> are categorised as ‘Extra small’ but, unlike the first three categories of supermarkets, do not have a code of their own in the taxonomy as the refrigeration equipment </w:t>
      </w:r>
      <w:r w:rsidR="00534778">
        <w:rPr>
          <w:rFonts w:cs="Times New Roman"/>
        </w:rPr>
        <w:t xml:space="preserve">in </w:t>
      </w:r>
      <w:r w:rsidRPr="003F3C3D">
        <w:rPr>
          <w:rFonts w:cs="Times New Roman"/>
        </w:rPr>
        <w:t xml:space="preserve">these very small outlets will all be </w:t>
      </w:r>
      <w:r w:rsidR="00840BAF">
        <w:rPr>
          <w:rFonts w:cs="Times New Roman"/>
        </w:rPr>
        <w:t xml:space="preserve">either </w:t>
      </w:r>
      <w:r w:rsidRPr="003F3C3D">
        <w:rPr>
          <w:rFonts w:cs="Times New Roman"/>
        </w:rPr>
        <w:t xml:space="preserve">self-contained equipment </w:t>
      </w:r>
      <w:r w:rsidR="00840BAF">
        <w:rPr>
          <w:rFonts w:cs="Times New Roman"/>
        </w:rPr>
        <w:t>and remote condensing units (i.e. walk in cool</w:t>
      </w:r>
      <w:r w:rsidR="007B711D">
        <w:rPr>
          <w:rFonts w:cs="Times New Roman"/>
        </w:rPr>
        <w:t xml:space="preserve"> </w:t>
      </w:r>
      <w:r w:rsidR="00840BAF">
        <w:rPr>
          <w:rFonts w:cs="Times New Roman"/>
        </w:rPr>
        <w:t xml:space="preserve">rooms) </w:t>
      </w:r>
      <w:r w:rsidRPr="003F3C3D">
        <w:rPr>
          <w:rFonts w:cs="Times New Roman"/>
        </w:rPr>
        <w:t xml:space="preserve">which is </w:t>
      </w:r>
      <w:r w:rsidR="002127E9">
        <w:rPr>
          <w:rFonts w:cs="Times New Roman"/>
        </w:rPr>
        <w:t>captured</w:t>
      </w:r>
      <w:r w:rsidRPr="003F3C3D">
        <w:rPr>
          <w:rFonts w:cs="Times New Roman"/>
        </w:rPr>
        <w:t xml:space="preserve"> in </w:t>
      </w:r>
      <w:r w:rsidR="00840BAF">
        <w:rPr>
          <w:rFonts w:cs="Times New Roman"/>
        </w:rPr>
        <w:t xml:space="preserve">other categories of equipment. </w:t>
      </w:r>
      <w:r w:rsidRPr="003E3993">
        <w:rPr>
          <w:rFonts w:cs="Times New Roman"/>
          <w:i/>
        </w:rPr>
        <w:t xml:space="preserve">Table </w:t>
      </w:r>
      <w:r w:rsidR="00311821">
        <w:rPr>
          <w:rFonts w:cs="Times New Roman"/>
          <w:i/>
        </w:rPr>
        <w:t>14</w:t>
      </w:r>
      <w:r w:rsidRPr="003E3993">
        <w:rPr>
          <w:rFonts w:cs="Times New Roman"/>
        </w:rPr>
        <w:t xml:space="preserve"> shows the dissection of large, medium and small supermarkets as well as mini</w:t>
      </w:r>
      <w:r w:rsidR="00AD08A0">
        <w:rPr>
          <w:rFonts w:cs="Times New Roman"/>
        </w:rPr>
        <w:t>-</w:t>
      </w:r>
      <w:r w:rsidRPr="003E3993">
        <w:rPr>
          <w:rFonts w:cs="Times New Roman"/>
        </w:rPr>
        <w:t>marts by brand.</w:t>
      </w:r>
    </w:p>
    <w:p w14:paraId="5C3191D0" w14:textId="6DFFC0D3" w:rsidR="002B6D25" w:rsidRPr="003E3993" w:rsidRDefault="002B6D25" w:rsidP="002B6D25">
      <w:pPr>
        <w:rPr>
          <w:rFonts w:cs="Times New Roman"/>
          <w:lang w:val="en-AU"/>
        </w:rPr>
      </w:pPr>
    </w:p>
    <w:p w14:paraId="74B3B7F1" w14:textId="7F1436C1" w:rsidR="002B6D25" w:rsidRPr="00311821" w:rsidRDefault="00311821" w:rsidP="00311821">
      <w:pPr>
        <w:pStyle w:val="Caption"/>
      </w:pPr>
      <w:bookmarkStart w:id="47" w:name="_Toc525141403"/>
      <w:r w:rsidRPr="00311821">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14</w:t>
      </w:r>
      <w:r w:rsidR="009D6843">
        <w:rPr>
          <w:noProof/>
        </w:rPr>
        <w:fldChar w:fldCharType="end"/>
      </w:r>
      <w:r w:rsidRPr="00311821">
        <w:t>:</w:t>
      </w:r>
      <w:r w:rsidR="002B6D25" w:rsidRPr="00311821">
        <w:t xml:space="preserve"> Supermarket fleet by brand and size.</w:t>
      </w:r>
      <w:bookmarkEnd w:id="47"/>
      <w:r w:rsidR="002B6D25" w:rsidRPr="00311821">
        <w:t xml:space="preserve"> </w:t>
      </w:r>
    </w:p>
    <w:tbl>
      <w:tblPr>
        <w:tblStyle w:val="TableGrid"/>
        <w:tblW w:w="9759" w:type="dxa"/>
        <w:tblInd w:w="-5" w:type="dxa"/>
        <w:tblLook w:val="04A0" w:firstRow="1" w:lastRow="0" w:firstColumn="1" w:lastColumn="0" w:noHBand="0" w:noVBand="1"/>
      </w:tblPr>
      <w:tblGrid>
        <w:gridCol w:w="1424"/>
        <w:gridCol w:w="1281"/>
        <w:gridCol w:w="1288"/>
        <w:gridCol w:w="1441"/>
        <w:gridCol w:w="1442"/>
        <w:gridCol w:w="1441"/>
        <w:gridCol w:w="1442"/>
      </w:tblGrid>
      <w:tr w:rsidR="002B6D25" w14:paraId="354D1970" w14:textId="77777777" w:rsidTr="00AA45F7">
        <w:trPr>
          <w:tblHeader/>
        </w:trPr>
        <w:tc>
          <w:tcPr>
            <w:tcW w:w="1424" w:type="dxa"/>
            <w:vMerge w:val="restart"/>
            <w:shd w:val="clear" w:color="auto" w:fill="B6DDE8" w:themeFill="accent5" w:themeFillTint="66"/>
          </w:tcPr>
          <w:p w14:paraId="2DA4A185" w14:textId="77777777" w:rsidR="002B6D25" w:rsidRPr="00DD203E" w:rsidRDefault="002B6D25" w:rsidP="00253FFD">
            <w:pPr>
              <w:spacing w:after="120"/>
              <w:rPr>
                <w:szCs w:val="22"/>
              </w:rPr>
            </w:pPr>
            <w:r w:rsidRPr="00DD203E">
              <w:rPr>
                <w:color w:val="000000" w:themeColor="text1"/>
                <w:szCs w:val="22"/>
              </w:rPr>
              <w:t>Brand</w:t>
            </w:r>
          </w:p>
        </w:tc>
        <w:tc>
          <w:tcPr>
            <w:tcW w:w="1281" w:type="dxa"/>
            <w:vMerge w:val="restart"/>
            <w:shd w:val="clear" w:color="auto" w:fill="B6DDE8" w:themeFill="accent5" w:themeFillTint="66"/>
          </w:tcPr>
          <w:p w14:paraId="1FD546A8" w14:textId="77777777" w:rsidR="002B6D25" w:rsidRPr="00DD203E" w:rsidRDefault="002B6D25" w:rsidP="00253FFD">
            <w:pPr>
              <w:spacing w:after="120"/>
              <w:jc w:val="center"/>
              <w:rPr>
                <w:szCs w:val="22"/>
              </w:rPr>
            </w:pPr>
            <w:r w:rsidRPr="00DD203E">
              <w:rPr>
                <w:color w:val="000000" w:themeColor="text1"/>
                <w:szCs w:val="22"/>
              </w:rPr>
              <w:t>Stores</w:t>
            </w:r>
          </w:p>
        </w:tc>
        <w:tc>
          <w:tcPr>
            <w:tcW w:w="1288" w:type="dxa"/>
            <w:vMerge w:val="restart"/>
            <w:shd w:val="clear" w:color="auto" w:fill="B6DDE8" w:themeFill="accent5" w:themeFillTint="66"/>
          </w:tcPr>
          <w:p w14:paraId="54045E9E" w14:textId="77777777" w:rsidR="002B6D25" w:rsidRPr="00DD203E" w:rsidRDefault="002B6D25" w:rsidP="00253FFD">
            <w:pPr>
              <w:spacing w:after="120"/>
              <w:jc w:val="center"/>
              <w:rPr>
                <w:szCs w:val="22"/>
              </w:rPr>
            </w:pPr>
            <w:r w:rsidRPr="00DD203E">
              <w:rPr>
                <w:color w:val="000000" w:themeColor="text1"/>
                <w:szCs w:val="22"/>
              </w:rPr>
              <w:t>Av. Trading floor (m</w:t>
            </w:r>
            <w:r w:rsidRPr="00861EE6">
              <w:rPr>
                <w:color w:val="000000" w:themeColor="text1"/>
                <w:szCs w:val="22"/>
                <w:vertAlign w:val="superscript"/>
              </w:rPr>
              <w:t>2</w:t>
            </w:r>
            <w:r w:rsidRPr="00DD203E">
              <w:rPr>
                <w:color w:val="000000" w:themeColor="text1"/>
                <w:szCs w:val="22"/>
              </w:rPr>
              <w:t>)</w:t>
            </w:r>
          </w:p>
        </w:tc>
        <w:tc>
          <w:tcPr>
            <w:tcW w:w="5766" w:type="dxa"/>
            <w:gridSpan w:val="4"/>
            <w:shd w:val="clear" w:color="auto" w:fill="B6DDE8" w:themeFill="accent5" w:themeFillTint="66"/>
          </w:tcPr>
          <w:p w14:paraId="46AEA718" w14:textId="77777777" w:rsidR="002B6D25" w:rsidRPr="00DD203E" w:rsidRDefault="002B6D25" w:rsidP="00D6002F">
            <w:pPr>
              <w:spacing w:before="60" w:after="60"/>
              <w:jc w:val="center"/>
              <w:rPr>
                <w:szCs w:val="22"/>
              </w:rPr>
            </w:pPr>
            <w:r w:rsidRPr="00DD203E">
              <w:rPr>
                <w:szCs w:val="22"/>
              </w:rPr>
              <w:t>Trading floor (m</w:t>
            </w:r>
            <w:r w:rsidRPr="00DD203E">
              <w:rPr>
                <w:szCs w:val="22"/>
                <w:vertAlign w:val="superscript"/>
              </w:rPr>
              <w:t>2</w:t>
            </w:r>
            <w:r w:rsidRPr="00DD203E">
              <w:rPr>
                <w:szCs w:val="22"/>
              </w:rPr>
              <w:t>)</w:t>
            </w:r>
          </w:p>
        </w:tc>
      </w:tr>
      <w:tr w:rsidR="002B6D25" w14:paraId="603CA47A" w14:textId="77777777" w:rsidTr="00AA45F7">
        <w:trPr>
          <w:trHeight w:val="283"/>
          <w:tblHeader/>
        </w:trPr>
        <w:tc>
          <w:tcPr>
            <w:tcW w:w="1424" w:type="dxa"/>
            <w:vMerge/>
            <w:shd w:val="clear" w:color="auto" w:fill="B6DDE8" w:themeFill="accent5" w:themeFillTint="66"/>
          </w:tcPr>
          <w:p w14:paraId="69D5AFBB" w14:textId="77777777" w:rsidR="002B6D25" w:rsidRPr="00DD203E" w:rsidRDefault="002B6D25" w:rsidP="00253FFD">
            <w:pPr>
              <w:spacing w:after="120"/>
              <w:rPr>
                <w:szCs w:val="22"/>
              </w:rPr>
            </w:pPr>
          </w:p>
        </w:tc>
        <w:tc>
          <w:tcPr>
            <w:tcW w:w="1281" w:type="dxa"/>
            <w:vMerge/>
            <w:shd w:val="clear" w:color="auto" w:fill="B6DDE8" w:themeFill="accent5" w:themeFillTint="66"/>
          </w:tcPr>
          <w:p w14:paraId="45C3952A" w14:textId="77777777" w:rsidR="002B6D25" w:rsidRPr="00DD203E" w:rsidRDefault="002B6D25" w:rsidP="00253FFD">
            <w:pPr>
              <w:spacing w:after="120"/>
              <w:jc w:val="center"/>
              <w:rPr>
                <w:szCs w:val="22"/>
              </w:rPr>
            </w:pPr>
          </w:p>
        </w:tc>
        <w:tc>
          <w:tcPr>
            <w:tcW w:w="1288" w:type="dxa"/>
            <w:vMerge/>
            <w:shd w:val="clear" w:color="auto" w:fill="B6DDE8" w:themeFill="accent5" w:themeFillTint="66"/>
          </w:tcPr>
          <w:p w14:paraId="7B3E4C3D" w14:textId="77777777" w:rsidR="002B6D25" w:rsidRPr="00DD203E" w:rsidRDefault="002B6D25" w:rsidP="00253FFD">
            <w:pPr>
              <w:spacing w:after="120"/>
              <w:jc w:val="center"/>
              <w:rPr>
                <w:szCs w:val="22"/>
              </w:rPr>
            </w:pPr>
          </w:p>
        </w:tc>
        <w:tc>
          <w:tcPr>
            <w:tcW w:w="1441" w:type="dxa"/>
            <w:shd w:val="clear" w:color="auto" w:fill="B6DDE8" w:themeFill="accent5" w:themeFillTint="66"/>
          </w:tcPr>
          <w:p w14:paraId="1FFFB427" w14:textId="77777777" w:rsidR="002B6D25" w:rsidRPr="00DD203E" w:rsidRDefault="002B6D25" w:rsidP="00D6002F">
            <w:pPr>
              <w:spacing w:before="60" w:after="60"/>
              <w:jc w:val="center"/>
              <w:rPr>
                <w:szCs w:val="22"/>
              </w:rPr>
            </w:pPr>
            <w:r w:rsidRPr="00DD203E">
              <w:rPr>
                <w:szCs w:val="22"/>
              </w:rPr>
              <w:t>Large</w:t>
            </w:r>
          </w:p>
        </w:tc>
        <w:tc>
          <w:tcPr>
            <w:tcW w:w="1442" w:type="dxa"/>
            <w:shd w:val="clear" w:color="auto" w:fill="B6DDE8" w:themeFill="accent5" w:themeFillTint="66"/>
          </w:tcPr>
          <w:p w14:paraId="2FAEF68A" w14:textId="77777777" w:rsidR="002B6D25" w:rsidRPr="00DD203E" w:rsidRDefault="002B6D25" w:rsidP="00D6002F">
            <w:pPr>
              <w:spacing w:before="60" w:after="60"/>
              <w:jc w:val="center"/>
              <w:rPr>
                <w:szCs w:val="22"/>
              </w:rPr>
            </w:pPr>
            <w:r w:rsidRPr="00DD203E">
              <w:rPr>
                <w:szCs w:val="22"/>
              </w:rPr>
              <w:t>Medium</w:t>
            </w:r>
          </w:p>
        </w:tc>
        <w:tc>
          <w:tcPr>
            <w:tcW w:w="1441" w:type="dxa"/>
            <w:shd w:val="clear" w:color="auto" w:fill="B6DDE8" w:themeFill="accent5" w:themeFillTint="66"/>
          </w:tcPr>
          <w:p w14:paraId="6634D2B7" w14:textId="77777777" w:rsidR="002B6D25" w:rsidRPr="00DD203E" w:rsidRDefault="002B6D25" w:rsidP="00D6002F">
            <w:pPr>
              <w:spacing w:before="60" w:after="60"/>
              <w:jc w:val="center"/>
              <w:rPr>
                <w:szCs w:val="22"/>
              </w:rPr>
            </w:pPr>
            <w:r w:rsidRPr="00DD203E">
              <w:rPr>
                <w:szCs w:val="22"/>
              </w:rPr>
              <w:t>Small</w:t>
            </w:r>
          </w:p>
        </w:tc>
        <w:tc>
          <w:tcPr>
            <w:tcW w:w="1442" w:type="dxa"/>
            <w:shd w:val="clear" w:color="auto" w:fill="B6DDE8" w:themeFill="accent5" w:themeFillTint="66"/>
          </w:tcPr>
          <w:p w14:paraId="1384945E" w14:textId="77777777" w:rsidR="002B6D25" w:rsidRPr="00DD203E" w:rsidRDefault="002B6D25" w:rsidP="00D6002F">
            <w:pPr>
              <w:spacing w:before="60" w:after="60"/>
              <w:jc w:val="center"/>
              <w:rPr>
                <w:szCs w:val="22"/>
              </w:rPr>
            </w:pPr>
            <w:r w:rsidRPr="00DD203E">
              <w:rPr>
                <w:szCs w:val="22"/>
              </w:rPr>
              <w:t>Extra small</w:t>
            </w:r>
          </w:p>
        </w:tc>
      </w:tr>
      <w:tr w:rsidR="002B6D25" w14:paraId="1D33086E" w14:textId="77777777" w:rsidTr="00AA45F7">
        <w:trPr>
          <w:trHeight w:val="283"/>
          <w:tblHeader/>
        </w:trPr>
        <w:tc>
          <w:tcPr>
            <w:tcW w:w="1424" w:type="dxa"/>
            <w:vMerge/>
            <w:shd w:val="clear" w:color="auto" w:fill="B6DDE8" w:themeFill="accent5" w:themeFillTint="66"/>
          </w:tcPr>
          <w:p w14:paraId="117EBD5B" w14:textId="77777777" w:rsidR="002B6D25" w:rsidRPr="00DD203E" w:rsidRDefault="002B6D25" w:rsidP="00253FFD">
            <w:pPr>
              <w:spacing w:after="120"/>
              <w:rPr>
                <w:szCs w:val="22"/>
              </w:rPr>
            </w:pPr>
          </w:p>
        </w:tc>
        <w:tc>
          <w:tcPr>
            <w:tcW w:w="1281" w:type="dxa"/>
            <w:vMerge/>
            <w:shd w:val="clear" w:color="auto" w:fill="B6DDE8" w:themeFill="accent5" w:themeFillTint="66"/>
          </w:tcPr>
          <w:p w14:paraId="46330827" w14:textId="77777777" w:rsidR="002B6D25" w:rsidRPr="00DD203E" w:rsidRDefault="002B6D25" w:rsidP="00253FFD">
            <w:pPr>
              <w:spacing w:after="120"/>
              <w:jc w:val="center"/>
              <w:rPr>
                <w:szCs w:val="22"/>
              </w:rPr>
            </w:pPr>
          </w:p>
        </w:tc>
        <w:tc>
          <w:tcPr>
            <w:tcW w:w="1288" w:type="dxa"/>
            <w:vMerge/>
            <w:shd w:val="clear" w:color="auto" w:fill="B6DDE8" w:themeFill="accent5" w:themeFillTint="66"/>
          </w:tcPr>
          <w:p w14:paraId="2ECC8D92" w14:textId="77777777" w:rsidR="002B6D25" w:rsidRPr="00DD203E" w:rsidRDefault="002B6D25" w:rsidP="00253FFD">
            <w:pPr>
              <w:spacing w:after="120"/>
              <w:jc w:val="center"/>
              <w:rPr>
                <w:szCs w:val="22"/>
              </w:rPr>
            </w:pPr>
          </w:p>
        </w:tc>
        <w:tc>
          <w:tcPr>
            <w:tcW w:w="1441" w:type="dxa"/>
            <w:shd w:val="clear" w:color="auto" w:fill="B6DDE8" w:themeFill="accent5" w:themeFillTint="66"/>
          </w:tcPr>
          <w:p w14:paraId="785FE5DD" w14:textId="77777777" w:rsidR="002B6D25" w:rsidRPr="00DD203E" w:rsidRDefault="002B6D25" w:rsidP="00D6002F">
            <w:pPr>
              <w:spacing w:before="60" w:after="60"/>
              <w:jc w:val="center"/>
              <w:rPr>
                <w:szCs w:val="22"/>
              </w:rPr>
            </w:pPr>
            <w:r w:rsidRPr="00DD203E">
              <w:rPr>
                <w:szCs w:val="22"/>
              </w:rPr>
              <w:t>≥ 2,750</w:t>
            </w:r>
          </w:p>
        </w:tc>
        <w:tc>
          <w:tcPr>
            <w:tcW w:w="1442" w:type="dxa"/>
            <w:shd w:val="clear" w:color="auto" w:fill="B6DDE8" w:themeFill="accent5" w:themeFillTint="66"/>
          </w:tcPr>
          <w:p w14:paraId="12024899" w14:textId="77777777" w:rsidR="002B6D25" w:rsidRPr="00DD203E" w:rsidRDefault="002B6D25" w:rsidP="00D6002F">
            <w:pPr>
              <w:spacing w:before="60" w:after="60"/>
              <w:jc w:val="center"/>
              <w:rPr>
                <w:szCs w:val="22"/>
              </w:rPr>
            </w:pPr>
            <w:r w:rsidRPr="00DD203E">
              <w:rPr>
                <w:szCs w:val="22"/>
              </w:rPr>
              <w:t>≥1,500 &amp;       &lt; 2,750</w:t>
            </w:r>
          </w:p>
        </w:tc>
        <w:tc>
          <w:tcPr>
            <w:tcW w:w="1441" w:type="dxa"/>
            <w:shd w:val="clear" w:color="auto" w:fill="B6DDE8" w:themeFill="accent5" w:themeFillTint="66"/>
          </w:tcPr>
          <w:p w14:paraId="7CA7CC0D" w14:textId="77777777" w:rsidR="002B6D25" w:rsidRPr="00DD203E" w:rsidRDefault="002B6D25" w:rsidP="00D6002F">
            <w:pPr>
              <w:spacing w:before="60" w:after="60"/>
              <w:jc w:val="center"/>
              <w:rPr>
                <w:szCs w:val="22"/>
              </w:rPr>
            </w:pPr>
            <w:r w:rsidRPr="00DD203E">
              <w:rPr>
                <w:szCs w:val="22"/>
              </w:rPr>
              <w:t>&lt; 1,500 &amp; ≥400</w:t>
            </w:r>
          </w:p>
        </w:tc>
        <w:tc>
          <w:tcPr>
            <w:tcW w:w="1442" w:type="dxa"/>
            <w:shd w:val="clear" w:color="auto" w:fill="B6DDE8" w:themeFill="accent5" w:themeFillTint="66"/>
          </w:tcPr>
          <w:p w14:paraId="4C4C10F3" w14:textId="77777777" w:rsidR="002B6D25" w:rsidRPr="00DD203E" w:rsidRDefault="002B6D25" w:rsidP="00D6002F">
            <w:pPr>
              <w:spacing w:before="60" w:after="60"/>
              <w:jc w:val="center"/>
              <w:rPr>
                <w:szCs w:val="22"/>
              </w:rPr>
            </w:pPr>
            <w:r w:rsidRPr="00DD203E">
              <w:rPr>
                <w:szCs w:val="22"/>
              </w:rPr>
              <w:t>&lt; 400</w:t>
            </w:r>
          </w:p>
        </w:tc>
      </w:tr>
      <w:tr w:rsidR="002B6D25" w14:paraId="2BF5B2D5" w14:textId="77777777" w:rsidTr="00D8549E">
        <w:trPr>
          <w:trHeight w:val="492"/>
        </w:trPr>
        <w:tc>
          <w:tcPr>
            <w:tcW w:w="1424" w:type="dxa"/>
          </w:tcPr>
          <w:p w14:paraId="49D728BF" w14:textId="77777777" w:rsidR="002B6D25" w:rsidRPr="00DD203E" w:rsidRDefault="002B6D25" w:rsidP="00253FFD">
            <w:pPr>
              <w:spacing w:after="120"/>
              <w:rPr>
                <w:color w:val="000000"/>
                <w:szCs w:val="22"/>
              </w:rPr>
            </w:pPr>
            <w:r w:rsidRPr="00DD203E">
              <w:rPr>
                <w:color w:val="000000"/>
                <w:szCs w:val="22"/>
              </w:rPr>
              <w:t>Coles</w:t>
            </w:r>
          </w:p>
        </w:tc>
        <w:tc>
          <w:tcPr>
            <w:tcW w:w="1281" w:type="dxa"/>
          </w:tcPr>
          <w:p w14:paraId="5E42F77C" w14:textId="77777777" w:rsidR="002B6D25" w:rsidRPr="00DD203E" w:rsidRDefault="002B6D25" w:rsidP="00253FFD">
            <w:pPr>
              <w:spacing w:after="120"/>
              <w:jc w:val="center"/>
              <w:rPr>
                <w:color w:val="000000"/>
                <w:szCs w:val="22"/>
              </w:rPr>
            </w:pPr>
            <w:r w:rsidRPr="00DD203E">
              <w:rPr>
                <w:color w:val="000000"/>
                <w:szCs w:val="22"/>
              </w:rPr>
              <w:t>801</w:t>
            </w:r>
          </w:p>
        </w:tc>
        <w:tc>
          <w:tcPr>
            <w:tcW w:w="1288" w:type="dxa"/>
          </w:tcPr>
          <w:p w14:paraId="4A1D308E" w14:textId="77777777" w:rsidR="002B6D25" w:rsidRPr="00DD203E" w:rsidRDefault="002B6D25" w:rsidP="00253FFD">
            <w:pPr>
              <w:spacing w:after="120"/>
              <w:jc w:val="center"/>
              <w:rPr>
                <w:color w:val="000000"/>
                <w:szCs w:val="22"/>
              </w:rPr>
            </w:pPr>
            <w:r w:rsidRPr="00DD203E">
              <w:rPr>
                <w:color w:val="000000"/>
                <w:szCs w:val="22"/>
              </w:rPr>
              <w:t>2,298</w:t>
            </w:r>
          </w:p>
        </w:tc>
        <w:tc>
          <w:tcPr>
            <w:tcW w:w="1441" w:type="dxa"/>
          </w:tcPr>
          <w:p w14:paraId="5CDC8FA0" w14:textId="77777777" w:rsidR="002B6D25" w:rsidRPr="00DD203E" w:rsidRDefault="002B6D25" w:rsidP="00253FFD">
            <w:pPr>
              <w:spacing w:after="120"/>
              <w:jc w:val="center"/>
              <w:rPr>
                <w:color w:val="000000"/>
                <w:szCs w:val="22"/>
              </w:rPr>
            </w:pPr>
            <w:r w:rsidRPr="00DD203E">
              <w:rPr>
                <w:color w:val="000000"/>
                <w:szCs w:val="22"/>
              </w:rPr>
              <w:t>200</w:t>
            </w:r>
          </w:p>
        </w:tc>
        <w:tc>
          <w:tcPr>
            <w:tcW w:w="1442" w:type="dxa"/>
          </w:tcPr>
          <w:p w14:paraId="147ED760" w14:textId="77777777" w:rsidR="002B6D25" w:rsidRPr="00DD203E" w:rsidRDefault="002B6D25" w:rsidP="00253FFD">
            <w:pPr>
              <w:spacing w:after="120"/>
              <w:jc w:val="center"/>
              <w:rPr>
                <w:color w:val="000000"/>
                <w:szCs w:val="22"/>
              </w:rPr>
            </w:pPr>
            <w:r w:rsidRPr="00DD203E">
              <w:rPr>
                <w:color w:val="000000"/>
                <w:szCs w:val="22"/>
              </w:rPr>
              <w:t>401</w:t>
            </w:r>
          </w:p>
        </w:tc>
        <w:tc>
          <w:tcPr>
            <w:tcW w:w="1441" w:type="dxa"/>
          </w:tcPr>
          <w:p w14:paraId="61194714" w14:textId="77777777" w:rsidR="002B6D25" w:rsidRPr="00DD203E" w:rsidRDefault="002B6D25" w:rsidP="00253FFD">
            <w:pPr>
              <w:spacing w:after="120"/>
              <w:jc w:val="center"/>
              <w:rPr>
                <w:color w:val="000000"/>
                <w:szCs w:val="22"/>
              </w:rPr>
            </w:pPr>
            <w:r w:rsidRPr="00DD203E">
              <w:rPr>
                <w:color w:val="000000"/>
                <w:szCs w:val="22"/>
              </w:rPr>
              <w:t>200</w:t>
            </w:r>
          </w:p>
        </w:tc>
        <w:tc>
          <w:tcPr>
            <w:tcW w:w="1442" w:type="dxa"/>
          </w:tcPr>
          <w:p w14:paraId="21C8B5DD" w14:textId="77777777" w:rsidR="002B6D25" w:rsidRPr="00DD203E" w:rsidRDefault="002B6D25" w:rsidP="00253FFD">
            <w:pPr>
              <w:spacing w:after="120"/>
              <w:jc w:val="center"/>
              <w:rPr>
                <w:color w:val="000000"/>
                <w:szCs w:val="22"/>
              </w:rPr>
            </w:pPr>
            <w:r w:rsidRPr="00DD203E">
              <w:rPr>
                <w:color w:val="000000"/>
                <w:szCs w:val="22"/>
              </w:rPr>
              <w:t>0</w:t>
            </w:r>
          </w:p>
        </w:tc>
      </w:tr>
      <w:tr w:rsidR="002B6D25" w14:paraId="256BCA89" w14:textId="77777777" w:rsidTr="00D8549E">
        <w:tc>
          <w:tcPr>
            <w:tcW w:w="1424" w:type="dxa"/>
          </w:tcPr>
          <w:p w14:paraId="0BDA5D2A" w14:textId="77777777" w:rsidR="002B6D25" w:rsidRPr="00DD203E" w:rsidRDefault="002B6D25" w:rsidP="00253FFD">
            <w:pPr>
              <w:spacing w:after="120"/>
              <w:rPr>
                <w:szCs w:val="22"/>
              </w:rPr>
            </w:pPr>
            <w:r w:rsidRPr="00DD203E">
              <w:rPr>
                <w:color w:val="000000"/>
                <w:szCs w:val="22"/>
              </w:rPr>
              <w:t>Woolworths (Safeway)</w:t>
            </w:r>
            <w:r w:rsidRPr="00DD203E">
              <w:rPr>
                <w:color w:val="000000"/>
                <w:szCs w:val="22"/>
                <w:vertAlign w:val="superscript"/>
              </w:rPr>
              <w:t>(1)</w:t>
            </w:r>
          </w:p>
        </w:tc>
        <w:tc>
          <w:tcPr>
            <w:tcW w:w="1281" w:type="dxa"/>
          </w:tcPr>
          <w:p w14:paraId="5334C82F" w14:textId="77777777" w:rsidR="002B6D25" w:rsidRPr="00DD203E" w:rsidRDefault="002B6D25" w:rsidP="00253FFD">
            <w:pPr>
              <w:spacing w:after="120"/>
              <w:jc w:val="center"/>
              <w:rPr>
                <w:szCs w:val="22"/>
              </w:rPr>
            </w:pPr>
            <w:r w:rsidRPr="00DD203E">
              <w:rPr>
                <w:color w:val="000000"/>
                <w:szCs w:val="22"/>
              </w:rPr>
              <w:t>1,002</w:t>
            </w:r>
          </w:p>
        </w:tc>
        <w:tc>
          <w:tcPr>
            <w:tcW w:w="1288" w:type="dxa"/>
          </w:tcPr>
          <w:p w14:paraId="2AF08832" w14:textId="77777777" w:rsidR="002B6D25" w:rsidRPr="00DD203E" w:rsidRDefault="002B6D25" w:rsidP="00253FFD">
            <w:pPr>
              <w:spacing w:after="120"/>
              <w:jc w:val="center"/>
              <w:rPr>
                <w:szCs w:val="22"/>
              </w:rPr>
            </w:pPr>
            <w:r w:rsidRPr="00DD203E">
              <w:rPr>
                <w:color w:val="000000"/>
                <w:szCs w:val="22"/>
              </w:rPr>
              <w:t>2,605</w:t>
            </w:r>
          </w:p>
        </w:tc>
        <w:tc>
          <w:tcPr>
            <w:tcW w:w="1441" w:type="dxa"/>
          </w:tcPr>
          <w:p w14:paraId="68A5A6D3" w14:textId="77777777" w:rsidR="002B6D25" w:rsidRPr="00DD203E" w:rsidRDefault="002B6D25" w:rsidP="00253FFD">
            <w:pPr>
              <w:spacing w:after="120"/>
              <w:jc w:val="center"/>
              <w:rPr>
                <w:szCs w:val="22"/>
              </w:rPr>
            </w:pPr>
            <w:r w:rsidRPr="00DD203E">
              <w:rPr>
                <w:color w:val="000000"/>
                <w:szCs w:val="22"/>
              </w:rPr>
              <w:t>251</w:t>
            </w:r>
          </w:p>
        </w:tc>
        <w:tc>
          <w:tcPr>
            <w:tcW w:w="1442" w:type="dxa"/>
          </w:tcPr>
          <w:p w14:paraId="35FDE37D" w14:textId="77777777" w:rsidR="002B6D25" w:rsidRPr="00DD203E" w:rsidRDefault="002B6D25" w:rsidP="00253FFD">
            <w:pPr>
              <w:spacing w:after="120"/>
              <w:jc w:val="center"/>
              <w:rPr>
                <w:szCs w:val="22"/>
              </w:rPr>
            </w:pPr>
            <w:r w:rsidRPr="00DD203E">
              <w:rPr>
                <w:color w:val="000000"/>
                <w:szCs w:val="22"/>
              </w:rPr>
              <w:t>501</w:t>
            </w:r>
          </w:p>
        </w:tc>
        <w:tc>
          <w:tcPr>
            <w:tcW w:w="1441" w:type="dxa"/>
          </w:tcPr>
          <w:p w14:paraId="680D0F65" w14:textId="77777777" w:rsidR="002B6D25" w:rsidRPr="00DD203E" w:rsidRDefault="002B6D25" w:rsidP="00253FFD">
            <w:pPr>
              <w:spacing w:after="120"/>
              <w:jc w:val="center"/>
              <w:rPr>
                <w:szCs w:val="22"/>
              </w:rPr>
            </w:pPr>
            <w:r w:rsidRPr="00DD203E">
              <w:rPr>
                <w:color w:val="000000"/>
                <w:szCs w:val="22"/>
              </w:rPr>
              <w:t>251</w:t>
            </w:r>
          </w:p>
        </w:tc>
        <w:tc>
          <w:tcPr>
            <w:tcW w:w="1442" w:type="dxa"/>
          </w:tcPr>
          <w:p w14:paraId="58147F7D" w14:textId="77777777" w:rsidR="002B6D25" w:rsidRPr="00DD203E" w:rsidRDefault="002B6D25" w:rsidP="00253FFD">
            <w:pPr>
              <w:spacing w:after="120"/>
              <w:jc w:val="center"/>
              <w:rPr>
                <w:szCs w:val="22"/>
              </w:rPr>
            </w:pPr>
            <w:r w:rsidRPr="00DD203E">
              <w:rPr>
                <w:color w:val="000000"/>
                <w:szCs w:val="22"/>
              </w:rPr>
              <w:t>0</w:t>
            </w:r>
          </w:p>
        </w:tc>
      </w:tr>
      <w:tr w:rsidR="002B6D25" w14:paraId="3D977F20" w14:textId="77777777" w:rsidTr="00D8549E">
        <w:tc>
          <w:tcPr>
            <w:tcW w:w="1424" w:type="dxa"/>
          </w:tcPr>
          <w:p w14:paraId="3345A15E" w14:textId="77777777" w:rsidR="002B6D25" w:rsidRPr="00DD203E" w:rsidRDefault="002B6D25" w:rsidP="00253FFD">
            <w:pPr>
              <w:spacing w:after="120"/>
              <w:rPr>
                <w:color w:val="000000"/>
                <w:szCs w:val="22"/>
              </w:rPr>
            </w:pPr>
            <w:r w:rsidRPr="00DD203E">
              <w:rPr>
                <w:color w:val="000000"/>
                <w:szCs w:val="22"/>
              </w:rPr>
              <w:t xml:space="preserve">Aldi </w:t>
            </w:r>
            <w:r w:rsidRPr="00DD203E">
              <w:rPr>
                <w:color w:val="000000"/>
                <w:szCs w:val="22"/>
                <w:vertAlign w:val="superscript"/>
              </w:rPr>
              <w:t>(2)</w:t>
            </w:r>
          </w:p>
        </w:tc>
        <w:tc>
          <w:tcPr>
            <w:tcW w:w="1281" w:type="dxa"/>
          </w:tcPr>
          <w:p w14:paraId="114C6473" w14:textId="77777777" w:rsidR="002B6D25" w:rsidRPr="00DD203E" w:rsidRDefault="002B6D25" w:rsidP="00253FFD">
            <w:pPr>
              <w:spacing w:after="120"/>
              <w:jc w:val="center"/>
              <w:rPr>
                <w:szCs w:val="22"/>
              </w:rPr>
            </w:pPr>
            <w:r w:rsidRPr="00DD203E">
              <w:rPr>
                <w:color w:val="000000"/>
                <w:szCs w:val="22"/>
              </w:rPr>
              <w:t>490</w:t>
            </w:r>
          </w:p>
        </w:tc>
        <w:tc>
          <w:tcPr>
            <w:tcW w:w="1288" w:type="dxa"/>
          </w:tcPr>
          <w:p w14:paraId="3AB64653" w14:textId="77777777" w:rsidR="002B6D25" w:rsidRPr="00DD203E" w:rsidRDefault="002B6D25" w:rsidP="00253FFD">
            <w:pPr>
              <w:spacing w:after="120"/>
              <w:jc w:val="center"/>
              <w:rPr>
                <w:szCs w:val="22"/>
              </w:rPr>
            </w:pPr>
            <w:r w:rsidRPr="00DD203E">
              <w:rPr>
                <w:color w:val="000000"/>
                <w:szCs w:val="22"/>
              </w:rPr>
              <w:t>1,060</w:t>
            </w:r>
          </w:p>
        </w:tc>
        <w:tc>
          <w:tcPr>
            <w:tcW w:w="1441" w:type="dxa"/>
          </w:tcPr>
          <w:p w14:paraId="7DB4C0FB" w14:textId="77777777" w:rsidR="002B6D25" w:rsidRPr="00DD203E" w:rsidRDefault="002B6D25" w:rsidP="00253FFD">
            <w:pPr>
              <w:spacing w:after="120"/>
              <w:jc w:val="center"/>
              <w:rPr>
                <w:szCs w:val="22"/>
              </w:rPr>
            </w:pPr>
            <w:r w:rsidRPr="00DD203E">
              <w:rPr>
                <w:color w:val="000000"/>
                <w:szCs w:val="22"/>
              </w:rPr>
              <w:t>0</w:t>
            </w:r>
          </w:p>
        </w:tc>
        <w:tc>
          <w:tcPr>
            <w:tcW w:w="1442" w:type="dxa"/>
          </w:tcPr>
          <w:p w14:paraId="1A5C4D6E" w14:textId="77777777" w:rsidR="002B6D25" w:rsidRPr="00DD203E" w:rsidRDefault="002B6D25" w:rsidP="00253FFD">
            <w:pPr>
              <w:spacing w:after="120"/>
              <w:jc w:val="center"/>
              <w:rPr>
                <w:szCs w:val="22"/>
              </w:rPr>
            </w:pPr>
            <w:r w:rsidRPr="00DD203E">
              <w:rPr>
                <w:color w:val="000000"/>
                <w:szCs w:val="22"/>
              </w:rPr>
              <w:t>0</w:t>
            </w:r>
          </w:p>
        </w:tc>
        <w:tc>
          <w:tcPr>
            <w:tcW w:w="1441" w:type="dxa"/>
          </w:tcPr>
          <w:p w14:paraId="62132C55" w14:textId="77777777" w:rsidR="002B6D25" w:rsidRPr="00DD203E" w:rsidRDefault="002B6D25" w:rsidP="00253FFD">
            <w:pPr>
              <w:spacing w:after="120"/>
              <w:jc w:val="center"/>
              <w:rPr>
                <w:szCs w:val="22"/>
              </w:rPr>
            </w:pPr>
            <w:r w:rsidRPr="00DD203E">
              <w:rPr>
                <w:color w:val="000000"/>
                <w:szCs w:val="22"/>
              </w:rPr>
              <w:t>482</w:t>
            </w:r>
          </w:p>
        </w:tc>
        <w:tc>
          <w:tcPr>
            <w:tcW w:w="1442" w:type="dxa"/>
          </w:tcPr>
          <w:p w14:paraId="14989BA3" w14:textId="77777777" w:rsidR="002B6D25" w:rsidRPr="00DD203E" w:rsidRDefault="002B6D25" w:rsidP="00253FFD">
            <w:pPr>
              <w:spacing w:after="120"/>
              <w:jc w:val="center"/>
              <w:rPr>
                <w:szCs w:val="22"/>
              </w:rPr>
            </w:pPr>
            <w:r w:rsidRPr="00DD203E">
              <w:rPr>
                <w:color w:val="000000"/>
                <w:szCs w:val="22"/>
              </w:rPr>
              <w:t>0</w:t>
            </w:r>
          </w:p>
        </w:tc>
      </w:tr>
      <w:tr w:rsidR="002B6D25" w14:paraId="17358801" w14:textId="77777777" w:rsidTr="00D8549E">
        <w:tc>
          <w:tcPr>
            <w:tcW w:w="1424" w:type="dxa"/>
          </w:tcPr>
          <w:p w14:paraId="77F4D054" w14:textId="77777777" w:rsidR="002B6D25" w:rsidRPr="00DD203E" w:rsidRDefault="002B6D25" w:rsidP="00253FFD">
            <w:pPr>
              <w:spacing w:after="120"/>
              <w:rPr>
                <w:szCs w:val="22"/>
              </w:rPr>
            </w:pPr>
            <w:r w:rsidRPr="00DD203E">
              <w:rPr>
                <w:color w:val="000000"/>
                <w:szCs w:val="22"/>
              </w:rPr>
              <w:t>IGA</w:t>
            </w:r>
          </w:p>
        </w:tc>
        <w:tc>
          <w:tcPr>
            <w:tcW w:w="1281" w:type="dxa"/>
          </w:tcPr>
          <w:p w14:paraId="05E92154" w14:textId="77777777" w:rsidR="002B6D25" w:rsidRPr="00DD203E" w:rsidRDefault="002B6D25" w:rsidP="00253FFD">
            <w:pPr>
              <w:spacing w:after="120"/>
              <w:jc w:val="center"/>
              <w:rPr>
                <w:szCs w:val="22"/>
              </w:rPr>
            </w:pPr>
            <w:r w:rsidRPr="00DD203E">
              <w:rPr>
                <w:color w:val="000000"/>
                <w:szCs w:val="22"/>
              </w:rPr>
              <w:t>1,683</w:t>
            </w:r>
          </w:p>
        </w:tc>
        <w:tc>
          <w:tcPr>
            <w:tcW w:w="1288" w:type="dxa"/>
            <w:vMerge w:val="restart"/>
            <w:vAlign w:val="center"/>
          </w:tcPr>
          <w:p w14:paraId="5BB03BE7" w14:textId="77777777" w:rsidR="002B6D25" w:rsidRPr="00DD203E" w:rsidRDefault="002B6D25" w:rsidP="00253FFD">
            <w:pPr>
              <w:spacing w:after="120"/>
              <w:jc w:val="center"/>
              <w:rPr>
                <w:szCs w:val="22"/>
              </w:rPr>
            </w:pPr>
            <w:r>
              <w:rPr>
                <w:szCs w:val="22"/>
              </w:rPr>
              <w:t>~800</w:t>
            </w:r>
          </w:p>
        </w:tc>
        <w:tc>
          <w:tcPr>
            <w:tcW w:w="1441" w:type="dxa"/>
          </w:tcPr>
          <w:p w14:paraId="12F6E317" w14:textId="77777777" w:rsidR="002B6D25" w:rsidRPr="00DD203E" w:rsidRDefault="002B6D25" w:rsidP="00253FFD">
            <w:pPr>
              <w:spacing w:after="120"/>
              <w:jc w:val="center"/>
              <w:rPr>
                <w:szCs w:val="22"/>
              </w:rPr>
            </w:pPr>
            <w:r w:rsidRPr="00DD203E">
              <w:rPr>
                <w:color w:val="000000"/>
                <w:szCs w:val="22"/>
              </w:rPr>
              <w:t>0</w:t>
            </w:r>
          </w:p>
        </w:tc>
        <w:tc>
          <w:tcPr>
            <w:tcW w:w="1442" w:type="dxa"/>
          </w:tcPr>
          <w:p w14:paraId="2472987D" w14:textId="77777777" w:rsidR="002B6D25" w:rsidRPr="00DD203E" w:rsidRDefault="002B6D25" w:rsidP="00253FFD">
            <w:pPr>
              <w:spacing w:after="120"/>
              <w:jc w:val="center"/>
              <w:rPr>
                <w:szCs w:val="22"/>
              </w:rPr>
            </w:pPr>
            <w:r w:rsidRPr="00DD203E">
              <w:rPr>
                <w:color w:val="000000"/>
                <w:szCs w:val="22"/>
              </w:rPr>
              <w:t>337</w:t>
            </w:r>
          </w:p>
        </w:tc>
        <w:tc>
          <w:tcPr>
            <w:tcW w:w="1441" w:type="dxa"/>
          </w:tcPr>
          <w:p w14:paraId="5B50B08D" w14:textId="77777777" w:rsidR="002B6D25" w:rsidRPr="00DD203E" w:rsidRDefault="002B6D25" w:rsidP="00253FFD">
            <w:pPr>
              <w:spacing w:after="120"/>
              <w:jc w:val="center"/>
              <w:rPr>
                <w:szCs w:val="22"/>
              </w:rPr>
            </w:pPr>
            <w:r w:rsidRPr="00DD203E">
              <w:rPr>
                <w:color w:val="000000"/>
                <w:szCs w:val="22"/>
              </w:rPr>
              <w:t>1,178</w:t>
            </w:r>
          </w:p>
        </w:tc>
        <w:tc>
          <w:tcPr>
            <w:tcW w:w="1442" w:type="dxa"/>
          </w:tcPr>
          <w:p w14:paraId="4191F374" w14:textId="77777777" w:rsidR="002B6D25" w:rsidRPr="00DD203E" w:rsidRDefault="002B6D25" w:rsidP="00253FFD">
            <w:pPr>
              <w:spacing w:after="120"/>
              <w:jc w:val="center"/>
              <w:rPr>
                <w:szCs w:val="22"/>
              </w:rPr>
            </w:pPr>
            <w:r w:rsidRPr="00DD203E">
              <w:rPr>
                <w:color w:val="000000"/>
                <w:szCs w:val="22"/>
              </w:rPr>
              <w:t>168</w:t>
            </w:r>
          </w:p>
        </w:tc>
      </w:tr>
      <w:tr w:rsidR="002B6D25" w14:paraId="7BC910BB" w14:textId="77777777" w:rsidTr="00D8549E">
        <w:tc>
          <w:tcPr>
            <w:tcW w:w="1424" w:type="dxa"/>
          </w:tcPr>
          <w:p w14:paraId="7BAF4030" w14:textId="77777777" w:rsidR="002B6D25" w:rsidRPr="00DD203E" w:rsidRDefault="002B6D25" w:rsidP="00253FFD">
            <w:pPr>
              <w:spacing w:after="120"/>
              <w:rPr>
                <w:szCs w:val="22"/>
              </w:rPr>
            </w:pPr>
            <w:r w:rsidRPr="00DD203E">
              <w:rPr>
                <w:szCs w:val="22"/>
              </w:rPr>
              <w:t>Foodworks</w:t>
            </w:r>
          </w:p>
        </w:tc>
        <w:tc>
          <w:tcPr>
            <w:tcW w:w="1281" w:type="dxa"/>
          </w:tcPr>
          <w:p w14:paraId="0D3E69A0" w14:textId="77777777" w:rsidR="002B6D25" w:rsidRPr="00DD203E" w:rsidRDefault="002B6D25" w:rsidP="00253FFD">
            <w:pPr>
              <w:spacing w:after="120"/>
              <w:jc w:val="center"/>
              <w:rPr>
                <w:szCs w:val="22"/>
              </w:rPr>
            </w:pPr>
            <w:r w:rsidRPr="00DD203E">
              <w:rPr>
                <w:szCs w:val="22"/>
              </w:rPr>
              <w:t>530</w:t>
            </w:r>
          </w:p>
        </w:tc>
        <w:tc>
          <w:tcPr>
            <w:tcW w:w="1288" w:type="dxa"/>
            <w:vMerge/>
          </w:tcPr>
          <w:p w14:paraId="2E66E017" w14:textId="77777777" w:rsidR="002B6D25" w:rsidRPr="00DD203E" w:rsidRDefault="002B6D25" w:rsidP="00253FFD">
            <w:pPr>
              <w:spacing w:after="120"/>
              <w:jc w:val="center"/>
              <w:rPr>
                <w:szCs w:val="22"/>
              </w:rPr>
            </w:pPr>
          </w:p>
        </w:tc>
        <w:tc>
          <w:tcPr>
            <w:tcW w:w="1441" w:type="dxa"/>
          </w:tcPr>
          <w:p w14:paraId="3BAF9857" w14:textId="77777777" w:rsidR="002B6D25" w:rsidRPr="00DD203E" w:rsidRDefault="002B6D25" w:rsidP="00253FFD">
            <w:pPr>
              <w:spacing w:after="120"/>
              <w:jc w:val="center"/>
              <w:rPr>
                <w:szCs w:val="22"/>
              </w:rPr>
            </w:pPr>
            <w:r w:rsidRPr="00DD203E">
              <w:rPr>
                <w:szCs w:val="22"/>
              </w:rPr>
              <w:t>0</w:t>
            </w:r>
          </w:p>
        </w:tc>
        <w:tc>
          <w:tcPr>
            <w:tcW w:w="1442" w:type="dxa"/>
          </w:tcPr>
          <w:p w14:paraId="5A740E1B" w14:textId="77777777" w:rsidR="002B6D25" w:rsidRPr="00DD203E" w:rsidRDefault="002B6D25" w:rsidP="00253FFD">
            <w:pPr>
              <w:spacing w:after="120"/>
              <w:jc w:val="center"/>
              <w:rPr>
                <w:szCs w:val="22"/>
              </w:rPr>
            </w:pPr>
            <w:r w:rsidRPr="00DD203E">
              <w:rPr>
                <w:szCs w:val="22"/>
              </w:rPr>
              <w:t>39</w:t>
            </w:r>
          </w:p>
        </w:tc>
        <w:tc>
          <w:tcPr>
            <w:tcW w:w="1441" w:type="dxa"/>
          </w:tcPr>
          <w:p w14:paraId="314E0D1B" w14:textId="77777777" w:rsidR="002B6D25" w:rsidRPr="00DD203E" w:rsidRDefault="002B6D25" w:rsidP="00253FFD">
            <w:pPr>
              <w:spacing w:after="120"/>
              <w:jc w:val="center"/>
              <w:rPr>
                <w:szCs w:val="22"/>
              </w:rPr>
            </w:pPr>
            <w:r w:rsidRPr="00DD203E">
              <w:rPr>
                <w:szCs w:val="22"/>
              </w:rPr>
              <w:t>197</w:t>
            </w:r>
          </w:p>
        </w:tc>
        <w:tc>
          <w:tcPr>
            <w:tcW w:w="1442" w:type="dxa"/>
          </w:tcPr>
          <w:p w14:paraId="1A59A2D9" w14:textId="77777777" w:rsidR="002B6D25" w:rsidRPr="00DD203E" w:rsidRDefault="002B6D25" w:rsidP="00253FFD">
            <w:pPr>
              <w:spacing w:after="120"/>
              <w:jc w:val="center"/>
              <w:rPr>
                <w:szCs w:val="22"/>
              </w:rPr>
            </w:pPr>
            <w:r w:rsidRPr="00DD203E">
              <w:rPr>
                <w:szCs w:val="22"/>
              </w:rPr>
              <w:t>294</w:t>
            </w:r>
          </w:p>
        </w:tc>
      </w:tr>
      <w:tr w:rsidR="002B6D25" w14:paraId="2145196B" w14:textId="77777777" w:rsidTr="00D8549E">
        <w:tc>
          <w:tcPr>
            <w:tcW w:w="1424" w:type="dxa"/>
          </w:tcPr>
          <w:p w14:paraId="6B93D516" w14:textId="77777777" w:rsidR="002B6D25" w:rsidRPr="00DD203E" w:rsidRDefault="002B6D25" w:rsidP="00253FFD">
            <w:pPr>
              <w:spacing w:after="120"/>
              <w:rPr>
                <w:szCs w:val="22"/>
              </w:rPr>
            </w:pPr>
            <w:r w:rsidRPr="00DD203E">
              <w:rPr>
                <w:szCs w:val="22"/>
              </w:rPr>
              <w:t>Costco</w:t>
            </w:r>
          </w:p>
        </w:tc>
        <w:tc>
          <w:tcPr>
            <w:tcW w:w="1281" w:type="dxa"/>
          </w:tcPr>
          <w:p w14:paraId="21629046" w14:textId="77777777" w:rsidR="002B6D25" w:rsidRPr="00DD203E" w:rsidRDefault="002B6D25" w:rsidP="00253FFD">
            <w:pPr>
              <w:spacing w:after="120"/>
              <w:jc w:val="center"/>
              <w:rPr>
                <w:szCs w:val="22"/>
              </w:rPr>
            </w:pPr>
            <w:r w:rsidRPr="00DD203E">
              <w:rPr>
                <w:szCs w:val="22"/>
              </w:rPr>
              <w:t>9</w:t>
            </w:r>
          </w:p>
        </w:tc>
        <w:tc>
          <w:tcPr>
            <w:tcW w:w="1288" w:type="dxa"/>
          </w:tcPr>
          <w:p w14:paraId="5D459AD4" w14:textId="77777777" w:rsidR="002B6D25" w:rsidRPr="00DD203E" w:rsidRDefault="002B6D25" w:rsidP="00253FFD">
            <w:pPr>
              <w:spacing w:after="120"/>
              <w:jc w:val="center"/>
              <w:rPr>
                <w:szCs w:val="22"/>
              </w:rPr>
            </w:pPr>
            <w:r w:rsidRPr="00DD203E">
              <w:rPr>
                <w:szCs w:val="22"/>
              </w:rPr>
              <w:t>~5,000</w:t>
            </w:r>
          </w:p>
        </w:tc>
        <w:tc>
          <w:tcPr>
            <w:tcW w:w="1441" w:type="dxa"/>
          </w:tcPr>
          <w:p w14:paraId="5251A935" w14:textId="77777777" w:rsidR="002B6D25" w:rsidRPr="00DD203E" w:rsidRDefault="002B6D25" w:rsidP="00253FFD">
            <w:pPr>
              <w:spacing w:after="120"/>
              <w:jc w:val="center"/>
              <w:rPr>
                <w:color w:val="000000"/>
                <w:szCs w:val="22"/>
              </w:rPr>
            </w:pPr>
            <w:r w:rsidRPr="00DD203E">
              <w:rPr>
                <w:color w:val="000000"/>
                <w:szCs w:val="22"/>
              </w:rPr>
              <w:t>9</w:t>
            </w:r>
          </w:p>
        </w:tc>
        <w:tc>
          <w:tcPr>
            <w:tcW w:w="1442" w:type="dxa"/>
          </w:tcPr>
          <w:p w14:paraId="21D52934" w14:textId="77777777" w:rsidR="002B6D25" w:rsidRPr="00DD203E" w:rsidRDefault="002B6D25" w:rsidP="00253FFD">
            <w:pPr>
              <w:spacing w:after="120"/>
              <w:jc w:val="center"/>
              <w:rPr>
                <w:color w:val="000000"/>
                <w:szCs w:val="22"/>
              </w:rPr>
            </w:pPr>
            <w:r w:rsidRPr="00DD203E">
              <w:rPr>
                <w:color w:val="000000"/>
                <w:szCs w:val="22"/>
              </w:rPr>
              <w:t>0</w:t>
            </w:r>
          </w:p>
        </w:tc>
        <w:tc>
          <w:tcPr>
            <w:tcW w:w="1441" w:type="dxa"/>
          </w:tcPr>
          <w:p w14:paraId="099A664B" w14:textId="77777777" w:rsidR="002B6D25" w:rsidRPr="00DD203E" w:rsidRDefault="002B6D25" w:rsidP="00253FFD">
            <w:pPr>
              <w:spacing w:after="120"/>
              <w:jc w:val="center"/>
              <w:rPr>
                <w:color w:val="000000"/>
                <w:szCs w:val="22"/>
              </w:rPr>
            </w:pPr>
            <w:r w:rsidRPr="00DD203E">
              <w:rPr>
                <w:color w:val="000000"/>
                <w:szCs w:val="22"/>
              </w:rPr>
              <w:t>0</w:t>
            </w:r>
          </w:p>
        </w:tc>
        <w:tc>
          <w:tcPr>
            <w:tcW w:w="1442" w:type="dxa"/>
          </w:tcPr>
          <w:p w14:paraId="0352F9C8" w14:textId="77777777" w:rsidR="002B6D25" w:rsidRPr="00DD203E" w:rsidRDefault="002B6D25" w:rsidP="00253FFD">
            <w:pPr>
              <w:spacing w:after="120"/>
              <w:jc w:val="center"/>
              <w:rPr>
                <w:color w:val="000000"/>
                <w:szCs w:val="22"/>
              </w:rPr>
            </w:pPr>
            <w:r w:rsidRPr="00DD203E">
              <w:rPr>
                <w:color w:val="000000"/>
                <w:szCs w:val="22"/>
              </w:rPr>
              <w:t>0</w:t>
            </w:r>
          </w:p>
        </w:tc>
      </w:tr>
      <w:tr w:rsidR="002B6D25" w14:paraId="5AB7B634" w14:textId="77777777" w:rsidTr="00D8549E">
        <w:tc>
          <w:tcPr>
            <w:tcW w:w="1424" w:type="dxa"/>
          </w:tcPr>
          <w:p w14:paraId="72ECD458" w14:textId="77777777" w:rsidR="002B6D25" w:rsidRPr="00DD203E" w:rsidRDefault="002B6D25" w:rsidP="00253FFD">
            <w:pPr>
              <w:spacing w:after="120"/>
              <w:rPr>
                <w:szCs w:val="22"/>
              </w:rPr>
            </w:pPr>
            <w:r w:rsidRPr="00DD203E">
              <w:rPr>
                <w:szCs w:val="22"/>
              </w:rPr>
              <w:t>SPAR</w:t>
            </w:r>
          </w:p>
        </w:tc>
        <w:tc>
          <w:tcPr>
            <w:tcW w:w="1281" w:type="dxa"/>
          </w:tcPr>
          <w:p w14:paraId="029B26D7" w14:textId="67C85F54" w:rsidR="002B6D25" w:rsidRPr="00DD203E" w:rsidRDefault="00DE60B6" w:rsidP="00253FFD">
            <w:pPr>
              <w:spacing w:after="120"/>
              <w:jc w:val="center"/>
              <w:rPr>
                <w:szCs w:val="22"/>
              </w:rPr>
            </w:pPr>
            <w:r>
              <w:rPr>
                <w:szCs w:val="22"/>
              </w:rPr>
              <w:t>135</w:t>
            </w:r>
          </w:p>
        </w:tc>
        <w:tc>
          <w:tcPr>
            <w:tcW w:w="1288" w:type="dxa"/>
          </w:tcPr>
          <w:p w14:paraId="152DA4C1" w14:textId="77777777" w:rsidR="002B6D25" w:rsidRPr="00DD203E" w:rsidRDefault="002B6D25" w:rsidP="00253FFD">
            <w:pPr>
              <w:spacing w:after="120"/>
              <w:jc w:val="center"/>
              <w:rPr>
                <w:szCs w:val="22"/>
              </w:rPr>
            </w:pPr>
            <w:r w:rsidRPr="00DD203E">
              <w:rPr>
                <w:szCs w:val="22"/>
              </w:rPr>
              <w:t>-</w:t>
            </w:r>
          </w:p>
        </w:tc>
        <w:tc>
          <w:tcPr>
            <w:tcW w:w="1441" w:type="dxa"/>
          </w:tcPr>
          <w:p w14:paraId="13163EC2" w14:textId="77777777" w:rsidR="002B6D25" w:rsidRPr="00DD203E" w:rsidRDefault="002B6D25" w:rsidP="00253FFD">
            <w:pPr>
              <w:spacing w:after="120"/>
              <w:jc w:val="center"/>
              <w:rPr>
                <w:szCs w:val="22"/>
              </w:rPr>
            </w:pPr>
            <w:r w:rsidRPr="00DD203E">
              <w:rPr>
                <w:color w:val="000000"/>
                <w:szCs w:val="22"/>
              </w:rPr>
              <w:t>0</w:t>
            </w:r>
          </w:p>
        </w:tc>
        <w:tc>
          <w:tcPr>
            <w:tcW w:w="1442" w:type="dxa"/>
          </w:tcPr>
          <w:p w14:paraId="57725D42" w14:textId="77777777" w:rsidR="002B6D25" w:rsidRPr="00DD203E" w:rsidRDefault="002B6D25" w:rsidP="00253FFD">
            <w:pPr>
              <w:spacing w:after="120"/>
              <w:jc w:val="center"/>
              <w:rPr>
                <w:szCs w:val="22"/>
              </w:rPr>
            </w:pPr>
            <w:r w:rsidRPr="00DD203E">
              <w:rPr>
                <w:color w:val="000000"/>
                <w:szCs w:val="22"/>
              </w:rPr>
              <w:t>0</w:t>
            </w:r>
          </w:p>
        </w:tc>
        <w:tc>
          <w:tcPr>
            <w:tcW w:w="1441" w:type="dxa"/>
          </w:tcPr>
          <w:p w14:paraId="5970A370" w14:textId="77777777" w:rsidR="002B6D25" w:rsidRPr="00DD203E" w:rsidRDefault="002B6D25" w:rsidP="00253FFD">
            <w:pPr>
              <w:spacing w:after="120"/>
              <w:jc w:val="center"/>
              <w:rPr>
                <w:szCs w:val="22"/>
              </w:rPr>
            </w:pPr>
            <w:r w:rsidRPr="00DD203E">
              <w:rPr>
                <w:color w:val="000000"/>
                <w:szCs w:val="22"/>
              </w:rPr>
              <w:t>27</w:t>
            </w:r>
          </w:p>
        </w:tc>
        <w:tc>
          <w:tcPr>
            <w:tcW w:w="1442" w:type="dxa"/>
          </w:tcPr>
          <w:p w14:paraId="513AE032" w14:textId="77777777" w:rsidR="002B6D25" w:rsidRPr="00DD203E" w:rsidRDefault="002B6D25" w:rsidP="00253FFD">
            <w:pPr>
              <w:spacing w:after="120"/>
              <w:jc w:val="center"/>
              <w:rPr>
                <w:szCs w:val="22"/>
              </w:rPr>
            </w:pPr>
            <w:r w:rsidRPr="00DD203E">
              <w:rPr>
                <w:color w:val="000000"/>
                <w:szCs w:val="22"/>
              </w:rPr>
              <w:t>108</w:t>
            </w:r>
          </w:p>
        </w:tc>
      </w:tr>
      <w:tr w:rsidR="002B6D25" w14:paraId="4D79C9E8" w14:textId="77777777" w:rsidTr="00D8549E">
        <w:tc>
          <w:tcPr>
            <w:tcW w:w="1424" w:type="dxa"/>
          </w:tcPr>
          <w:p w14:paraId="54D5D323" w14:textId="77777777" w:rsidR="002B6D25" w:rsidRPr="00DD203E" w:rsidRDefault="002B6D25" w:rsidP="00253FFD">
            <w:pPr>
              <w:spacing w:after="120"/>
              <w:rPr>
                <w:b/>
                <w:szCs w:val="22"/>
              </w:rPr>
            </w:pPr>
          </w:p>
        </w:tc>
        <w:tc>
          <w:tcPr>
            <w:tcW w:w="1281" w:type="dxa"/>
          </w:tcPr>
          <w:p w14:paraId="2A11D549" w14:textId="4DF51C47" w:rsidR="002B6D25" w:rsidRPr="00DD203E" w:rsidRDefault="002B6D25" w:rsidP="00253FFD">
            <w:pPr>
              <w:spacing w:after="120"/>
              <w:jc w:val="center"/>
              <w:rPr>
                <w:b/>
                <w:szCs w:val="22"/>
              </w:rPr>
            </w:pPr>
            <w:r w:rsidRPr="00DD203E">
              <w:rPr>
                <w:b/>
                <w:szCs w:val="22"/>
              </w:rPr>
              <w:t>4,6</w:t>
            </w:r>
            <w:r w:rsidR="00DE60B6">
              <w:rPr>
                <w:b/>
                <w:szCs w:val="22"/>
              </w:rPr>
              <w:t>42</w:t>
            </w:r>
          </w:p>
        </w:tc>
        <w:tc>
          <w:tcPr>
            <w:tcW w:w="1288" w:type="dxa"/>
          </w:tcPr>
          <w:p w14:paraId="093016C2" w14:textId="77777777" w:rsidR="002B6D25" w:rsidRPr="00DD203E" w:rsidRDefault="002B6D25" w:rsidP="00253FFD">
            <w:pPr>
              <w:spacing w:after="120"/>
              <w:jc w:val="center"/>
              <w:rPr>
                <w:b/>
                <w:szCs w:val="22"/>
              </w:rPr>
            </w:pPr>
          </w:p>
        </w:tc>
        <w:tc>
          <w:tcPr>
            <w:tcW w:w="1441" w:type="dxa"/>
          </w:tcPr>
          <w:p w14:paraId="14E5BDA9" w14:textId="77777777" w:rsidR="002B6D25" w:rsidRPr="00DD203E" w:rsidRDefault="002B6D25" w:rsidP="00253FFD">
            <w:pPr>
              <w:spacing w:after="120"/>
              <w:jc w:val="center"/>
              <w:rPr>
                <w:b/>
                <w:szCs w:val="22"/>
              </w:rPr>
            </w:pPr>
            <w:r w:rsidRPr="00DD203E">
              <w:rPr>
                <w:b/>
                <w:bCs/>
                <w:szCs w:val="22"/>
              </w:rPr>
              <w:t>460</w:t>
            </w:r>
          </w:p>
        </w:tc>
        <w:tc>
          <w:tcPr>
            <w:tcW w:w="1442" w:type="dxa"/>
          </w:tcPr>
          <w:p w14:paraId="4CA9C42D" w14:textId="77777777" w:rsidR="002B6D25" w:rsidRPr="00DD203E" w:rsidRDefault="002B6D25" w:rsidP="00253FFD">
            <w:pPr>
              <w:spacing w:after="120"/>
              <w:jc w:val="center"/>
              <w:rPr>
                <w:b/>
                <w:szCs w:val="22"/>
              </w:rPr>
            </w:pPr>
            <w:r w:rsidRPr="00DD203E">
              <w:rPr>
                <w:b/>
                <w:bCs/>
                <w:szCs w:val="22"/>
              </w:rPr>
              <w:t>1,278</w:t>
            </w:r>
          </w:p>
        </w:tc>
        <w:tc>
          <w:tcPr>
            <w:tcW w:w="1441" w:type="dxa"/>
          </w:tcPr>
          <w:p w14:paraId="27D7CCA3" w14:textId="77777777" w:rsidR="002B6D25" w:rsidRPr="00DD203E" w:rsidRDefault="002B6D25" w:rsidP="00253FFD">
            <w:pPr>
              <w:spacing w:after="120"/>
              <w:jc w:val="center"/>
              <w:rPr>
                <w:b/>
                <w:szCs w:val="22"/>
              </w:rPr>
            </w:pPr>
            <w:r w:rsidRPr="00DD203E">
              <w:rPr>
                <w:b/>
                <w:bCs/>
                <w:szCs w:val="22"/>
              </w:rPr>
              <w:t>2,335</w:t>
            </w:r>
          </w:p>
        </w:tc>
        <w:tc>
          <w:tcPr>
            <w:tcW w:w="1442" w:type="dxa"/>
          </w:tcPr>
          <w:p w14:paraId="1CD25E56" w14:textId="77777777" w:rsidR="002B6D25" w:rsidRPr="00DD203E" w:rsidRDefault="002B6D25" w:rsidP="00253FFD">
            <w:pPr>
              <w:spacing w:after="120"/>
              <w:jc w:val="center"/>
              <w:rPr>
                <w:b/>
                <w:szCs w:val="22"/>
              </w:rPr>
            </w:pPr>
            <w:r w:rsidRPr="00DD203E">
              <w:rPr>
                <w:b/>
                <w:bCs/>
                <w:szCs w:val="22"/>
              </w:rPr>
              <w:t>570</w:t>
            </w:r>
            <w:r>
              <w:rPr>
                <w:b/>
                <w:bCs/>
                <w:szCs w:val="22"/>
              </w:rPr>
              <w:t xml:space="preserve"> </w:t>
            </w:r>
            <w:r w:rsidRPr="00831467">
              <w:rPr>
                <w:bCs/>
                <w:szCs w:val="22"/>
                <w:vertAlign w:val="superscript"/>
              </w:rPr>
              <w:t>(3)</w:t>
            </w:r>
          </w:p>
        </w:tc>
      </w:tr>
    </w:tbl>
    <w:p w14:paraId="544399C1" w14:textId="77777777" w:rsidR="002B6D25" w:rsidRPr="008874A5" w:rsidRDefault="002B6D25" w:rsidP="007A7735">
      <w:pPr>
        <w:spacing w:before="0"/>
        <w:rPr>
          <w:rFonts w:cs="Times New Roman"/>
          <w:sz w:val="20"/>
          <w:szCs w:val="20"/>
        </w:rPr>
      </w:pPr>
      <w:r w:rsidRPr="008874A5">
        <w:rPr>
          <w:rFonts w:cs="Times New Roman"/>
          <w:sz w:val="20"/>
          <w:szCs w:val="20"/>
        </w:rPr>
        <w:t>(Sources: WF 2017a, WOW 2017</w:t>
      </w:r>
      <w:r>
        <w:rPr>
          <w:rFonts w:cs="Times New Roman"/>
          <w:sz w:val="20"/>
          <w:szCs w:val="20"/>
        </w:rPr>
        <w:t xml:space="preserve">a, </w:t>
      </w:r>
      <w:r w:rsidRPr="008874A5">
        <w:rPr>
          <w:rFonts w:cs="Times New Roman"/>
          <w:sz w:val="20"/>
          <w:szCs w:val="20"/>
        </w:rPr>
        <w:t>MC 2017 and industry sources)</w:t>
      </w:r>
    </w:p>
    <w:p w14:paraId="406E5E19" w14:textId="061A63B1" w:rsidR="002B6D25" w:rsidRPr="00D273D6" w:rsidRDefault="002B6D25" w:rsidP="002B6D25">
      <w:pPr>
        <w:spacing w:before="60" w:after="60"/>
        <w:rPr>
          <w:rFonts w:cs="Times New Roman"/>
          <w:sz w:val="20"/>
          <w:szCs w:val="20"/>
        </w:rPr>
      </w:pPr>
      <w:r w:rsidRPr="00D273D6">
        <w:rPr>
          <w:rFonts w:cs="Times New Roman"/>
          <w:sz w:val="20"/>
          <w:szCs w:val="20"/>
        </w:rPr>
        <w:t>Notes</w:t>
      </w:r>
      <w:r w:rsidR="00840BAF">
        <w:rPr>
          <w:rFonts w:cs="Times New Roman"/>
          <w:sz w:val="20"/>
          <w:szCs w:val="20"/>
        </w:rPr>
        <w:t>:</w:t>
      </w:r>
    </w:p>
    <w:p w14:paraId="651CCEE1" w14:textId="77777777" w:rsidR="002B6D25" w:rsidRPr="00D273D6" w:rsidRDefault="002B6D25" w:rsidP="00FC735C">
      <w:pPr>
        <w:pStyle w:val="ListParagraph"/>
        <w:numPr>
          <w:ilvl w:val="0"/>
          <w:numId w:val="23"/>
        </w:numPr>
        <w:spacing w:before="60" w:after="0" w:line="240" w:lineRule="auto"/>
        <w:ind w:left="357" w:hanging="357"/>
        <w:contextualSpacing w:val="0"/>
        <w:jc w:val="both"/>
        <w:rPr>
          <w:rFonts w:ascii="Times New Roman" w:hAnsi="Times New Roman"/>
          <w:sz w:val="20"/>
          <w:szCs w:val="20"/>
        </w:rPr>
      </w:pPr>
      <w:r w:rsidRPr="00D273D6">
        <w:rPr>
          <w:rFonts w:ascii="Times New Roman" w:hAnsi="Times New Roman"/>
          <w:sz w:val="20"/>
          <w:szCs w:val="20"/>
        </w:rPr>
        <w:t>Woolworths ha</w:t>
      </w:r>
      <w:r>
        <w:rPr>
          <w:rFonts w:ascii="Times New Roman" w:hAnsi="Times New Roman"/>
          <w:sz w:val="20"/>
          <w:szCs w:val="20"/>
        </w:rPr>
        <w:t>s</w:t>
      </w:r>
      <w:r w:rsidRPr="00D273D6">
        <w:rPr>
          <w:rFonts w:ascii="Times New Roman" w:hAnsi="Times New Roman"/>
          <w:sz w:val="20"/>
          <w:szCs w:val="20"/>
        </w:rPr>
        <w:t xml:space="preserve"> 544 stores with attached liquor.</w:t>
      </w:r>
    </w:p>
    <w:p w14:paraId="1D3979DD" w14:textId="77777777" w:rsidR="002B6D25" w:rsidRDefault="002B6D25" w:rsidP="00FC735C">
      <w:pPr>
        <w:pStyle w:val="ListParagraph"/>
        <w:numPr>
          <w:ilvl w:val="0"/>
          <w:numId w:val="23"/>
        </w:numPr>
        <w:spacing w:before="60" w:after="0" w:line="240" w:lineRule="auto"/>
        <w:ind w:left="357" w:hanging="357"/>
        <w:contextualSpacing w:val="0"/>
        <w:jc w:val="both"/>
        <w:rPr>
          <w:rFonts w:ascii="Times New Roman" w:hAnsi="Times New Roman"/>
          <w:sz w:val="20"/>
          <w:szCs w:val="20"/>
        </w:rPr>
      </w:pPr>
      <w:r w:rsidRPr="00D273D6">
        <w:rPr>
          <w:rFonts w:ascii="Times New Roman" w:hAnsi="Times New Roman"/>
          <w:sz w:val="20"/>
          <w:szCs w:val="20"/>
        </w:rPr>
        <w:t xml:space="preserve">Aldi had 482 stores in </w:t>
      </w:r>
      <w:r>
        <w:rPr>
          <w:rFonts w:ascii="Times New Roman" w:hAnsi="Times New Roman"/>
          <w:sz w:val="20"/>
          <w:szCs w:val="20"/>
        </w:rPr>
        <w:t>August 2017.</w:t>
      </w:r>
    </w:p>
    <w:p w14:paraId="4104CAE2" w14:textId="77777777" w:rsidR="002B6D25" w:rsidRPr="00831467" w:rsidRDefault="002B6D25" w:rsidP="00FC735C">
      <w:pPr>
        <w:pStyle w:val="ListParagraph"/>
        <w:numPr>
          <w:ilvl w:val="0"/>
          <w:numId w:val="23"/>
        </w:numPr>
        <w:spacing w:before="60" w:after="0" w:line="240" w:lineRule="auto"/>
        <w:ind w:left="357" w:hanging="357"/>
        <w:contextualSpacing w:val="0"/>
        <w:jc w:val="both"/>
        <w:rPr>
          <w:rFonts w:ascii="Times New Roman" w:hAnsi="Times New Roman"/>
          <w:sz w:val="20"/>
          <w:szCs w:val="20"/>
        </w:rPr>
      </w:pPr>
      <w:r w:rsidRPr="00831467">
        <w:rPr>
          <w:rFonts w:ascii="Times New Roman" w:hAnsi="Times New Roman"/>
          <w:sz w:val="20"/>
          <w:szCs w:val="20"/>
        </w:rPr>
        <w:t xml:space="preserve">There are a further 6,080 to 6,100 convenience and petrol stores including 7 Eleven, AA Holdings, Apco, BP Coco, BP Regional, Caltex All Star (excluding WW co-branded sites), Coles Express, Freedom Fuels, Independents, New Sunrise, Night Owl, On The Run (Peregrine), Puma Energy, UCB, United (incl. distributors), </w:t>
      </w:r>
      <w:r>
        <w:rPr>
          <w:rFonts w:ascii="Times New Roman" w:hAnsi="Times New Roman"/>
          <w:sz w:val="20"/>
          <w:szCs w:val="20"/>
        </w:rPr>
        <w:t xml:space="preserve">and </w:t>
      </w:r>
      <w:r w:rsidRPr="00831467">
        <w:rPr>
          <w:rFonts w:ascii="Times New Roman" w:hAnsi="Times New Roman"/>
          <w:sz w:val="20"/>
          <w:szCs w:val="20"/>
        </w:rPr>
        <w:t>Woolworths Petrol</w:t>
      </w:r>
      <w:r>
        <w:rPr>
          <w:rFonts w:ascii="Times New Roman" w:hAnsi="Times New Roman"/>
          <w:sz w:val="20"/>
          <w:szCs w:val="20"/>
        </w:rPr>
        <w:t xml:space="preserve"> (AACS 2015 extrapolated to FY 2016/7).</w:t>
      </w:r>
    </w:p>
    <w:p w14:paraId="6FE81165" w14:textId="77777777" w:rsidR="002B6D25" w:rsidRPr="003E3993" w:rsidRDefault="002B6D25" w:rsidP="002B6D25">
      <w:pPr>
        <w:rPr>
          <w:rFonts w:cs="Times New Roman"/>
        </w:rPr>
      </w:pPr>
    </w:p>
    <w:p w14:paraId="34F052F7" w14:textId="18ED49DF" w:rsidR="002B6D25" w:rsidRPr="003E3993" w:rsidRDefault="002B6D25" w:rsidP="002B6D25">
      <w:pPr>
        <w:rPr>
          <w:rFonts w:cs="Times New Roman"/>
        </w:rPr>
      </w:pPr>
      <w:r>
        <w:rPr>
          <w:rFonts w:cs="Times New Roman"/>
        </w:rPr>
        <w:t xml:space="preserve">The major supermarket chains are leading </w:t>
      </w:r>
      <w:r w:rsidRPr="003E3993">
        <w:rPr>
          <w:rFonts w:cs="Times New Roman"/>
        </w:rPr>
        <w:t>the trends that are expected to do</w:t>
      </w:r>
      <w:r>
        <w:rPr>
          <w:rFonts w:cs="Times New Roman"/>
        </w:rPr>
        <w:t>minate the supermarket sector until 2030, demonstrat</w:t>
      </w:r>
      <w:r w:rsidR="002127E9">
        <w:rPr>
          <w:rFonts w:cs="Times New Roman"/>
        </w:rPr>
        <w:t>ing</w:t>
      </w:r>
      <w:r>
        <w:rPr>
          <w:rFonts w:cs="Times New Roman"/>
        </w:rPr>
        <w:t xml:space="preserve"> new technologies and practices to the rest of the commercial refrigeration sector. </w:t>
      </w:r>
    </w:p>
    <w:p w14:paraId="02ABB091" w14:textId="77777777" w:rsidR="002B6D25" w:rsidRDefault="002B6D25" w:rsidP="002B6D25">
      <w:pPr>
        <w:rPr>
          <w:rFonts w:cs="Times New Roman"/>
        </w:rPr>
      </w:pPr>
      <w:r>
        <w:rPr>
          <w:rFonts w:cs="Times New Roman"/>
        </w:rPr>
        <w:t>S</w:t>
      </w:r>
      <w:r w:rsidRPr="003E3993">
        <w:rPr>
          <w:rFonts w:cs="Times New Roman"/>
        </w:rPr>
        <w:t>upermarkets generally contain a variety of refrigeration equipme</w:t>
      </w:r>
      <w:r>
        <w:rPr>
          <w:rFonts w:cs="Times New Roman"/>
        </w:rPr>
        <w:t>nt that can include:</w:t>
      </w:r>
    </w:p>
    <w:p w14:paraId="0FA14E32" w14:textId="149F8AB9" w:rsidR="002B6D25" w:rsidRPr="004E36EC" w:rsidRDefault="002B6D25" w:rsidP="00FC735C">
      <w:pPr>
        <w:pStyle w:val="ListParagraph"/>
        <w:numPr>
          <w:ilvl w:val="0"/>
          <w:numId w:val="21"/>
        </w:numPr>
        <w:spacing w:before="120" w:after="0" w:line="240" w:lineRule="auto"/>
        <w:ind w:left="357" w:hanging="357"/>
        <w:contextualSpacing w:val="0"/>
        <w:jc w:val="both"/>
        <w:rPr>
          <w:rFonts w:ascii="Times New Roman" w:hAnsi="Times New Roman"/>
        </w:rPr>
      </w:pPr>
      <w:r w:rsidRPr="004E36EC">
        <w:rPr>
          <w:rFonts w:ascii="Times New Roman" w:hAnsi="Times New Roman"/>
        </w:rPr>
        <w:t xml:space="preserve">Large central plant (rack system) providing refrigeration to large volumes of glass fronted </w:t>
      </w:r>
      <w:r>
        <w:rPr>
          <w:rFonts w:ascii="Times New Roman" w:hAnsi="Times New Roman"/>
        </w:rPr>
        <w:t xml:space="preserve">and open </w:t>
      </w:r>
      <w:r w:rsidRPr="004E36EC">
        <w:rPr>
          <w:rFonts w:ascii="Times New Roman" w:hAnsi="Times New Roman"/>
        </w:rPr>
        <w:t>display cases with varying temperature requirements</w:t>
      </w:r>
      <w:r>
        <w:rPr>
          <w:rFonts w:ascii="Times New Roman" w:hAnsi="Times New Roman"/>
        </w:rPr>
        <w:t xml:space="preserve"> for dairy, meat and grocery food stuffs; large volume freezers for frozen goods; </w:t>
      </w:r>
      <w:r w:rsidRPr="004E36EC">
        <w:rPr>
          <w:rFonts w:ascii="Times New Roman" w:hAnsi="Times New Roman"/>
        </w:rPr>
        <w:t>and</w:t>
      </w:r>
      <w:r>
        <w:rPr>
          <w:rFonts w:ascii="Times New Roman" w:hAnsi="Times New Roman"/>
        </w:rPr>
        <w:t>,</w:t>
      </w:r>
      <w:r w:rsidRPr="004E36EC">
        <w:rPr>
          <w:rFonts w:ascii="Times New Roman" w:hAnsi="Times New Roman"/>
        </w:rPr>
        <w:t xml:space="preserve"> other refrigerated retail display formats</w:t>
      </w:r>
      <w:r>
        <w:rPr>
          <w:rFonts w:ascii="Times New Roman" w:hAnsi="Times New Roman"/>
        </w:rPr>
        <w:t>;</w:t>
      </w:r>
    </w:p>
    <w:p w14:paraId="3A418B64" w14:textId="77777777" w:rsidR="002B6D25" w:rsidRPr="004E36EC" w:rsidRDefault="002B6D25" w:rsidP="00FC735C">
      <w:pPr>
        <w:pStyle w:val="ListParagraph"/>
        <w:numPr>
          <w:ilvl w:val="0"/>
          <w:numId w:val="21"/>
        </w:numPr>
        <w:spacing w:before="120" w:after="0" w:line="240" w:lineRule="auto"/>
        <w:ind w:left="357" w:hanging="357"/>
        <w:contextualSpacing w:val="0"/>
        <w:jc w:val="both"/>
        <w:rPr>
          <w:rFonts w:ascii="Times New Roman" w:hAnsi="Times New Roman"/>
        </w:rPr>
      </w:pPr>
      <w:r w:rsidRPr="004E36EC">
        <w:rPr>
          <w:rFonts w:ascii="Times New Roman" w:hAnsi="Times New Roman"/>
        </w:rPr>
        <w:t xml:space="preserve">Remote condensing units servicing </w:t>
      </w:r>
      <w:r>
        <w:rPr>
          <w:rFonts w:ascii="Times New Roman" w:hAnsi="Times New Roman"/>
        </w:rPr>
        <w:t xml:space="preserve">refrigerated </w:t>
      </w:r>
      <w:r w:rsidRPr="004E36EC">
        <w:rPr>
          <w:rFonts w:ascii="Times New Roman" w:hAnsi="Times New Roman"/>
        </w:rPr>
        <w:t>display cases and walk-in cool rooms</w:t>
      </w:r>
      <w:r>
        <w:rPr>
          <w:rFonts w:ascii="Times New Roman" w:hAnsi="Times New Roman"/>
        </w:rPr>
        <w:t>;</w:t>
      </w:r>
      <w:r w:rsidRPr="004E36EC">
        <w:rPr>
          <w:rFonts w:ascii="Times New Roman" w:hAnsi="Times New Roman"/>
        </w:rPr>
        <w:t xml:space="preserve"> and</w:t>
      </w:r>
      <w:r>
        <w:rPr>
          <w:rFonts w:ascii="Times New Roman" w:hAnsi="Times New Roman"/>
        </w:rPr>
        <w:t>,</w:t>
      </w:r>
      <w:r w:rsidRPr="004E36EC">
        <w:rPr>
          <w:rFonts w:ascii="Times New Roman" w:hAnsi="Times New Roman"/>
        </w:rPr>
        <w:t xml:space="preserve"> </w:t>
      </w:r>
    </w:p>
    <w:p w14:paraId="7F8D40C8" w14:textId="3C905E28" w:rsidR="002B6D25" w:rsidRPr="004E36EC" w:rsidRDefault="002B6D25" w:rsidP="00FC735C">
      <w:pPr>
        <w:pStyle w:val="ListParagraph"/>
        <w:numPr>
          <w:ilvl w:val="0"/>
          <w:numId w:val="21"/>
        </w:numPr>
        <w:spacing w:before="120" w:after="0" w:line="240" w:lineRule="auto"/>
        <w:ind w:left="357" w:hanging="357"/>
        <w:contextualSpacing w:val="0"/>
        <w:jc w:val="both"/>
        <w:rPr>
          <w:rFonts w:ascii="Times New Roman" w:hAnsi="Times New Roman"/>
        </w:rPr>
      </w:pPr>
      <w:r w:rsidRPr="004E36EC">
        <w:rPr>
          <w:rFonts w:ascii="Times New Roman" w:hAnsi="Times New Roman"/>
        </w:rPr>
        <w:t>Self-contained merchandisers in a wide variety of formats located throughout the store</w:t>
      </w:r>
      <w:r>
        <w:rPr>
          <w:rFonts w:ascii="Times New Roman" w:hAnsi="Times New Roman"/>
        </w:rPr>
        <w:t xml:space="preserve"> such as single, double or even triple door glass fronted display cabinets for selling drinks, icecream, dairy or other mediu</w:t>
      </w:r>
      <w:r w:rsidR="00840BAF">
        <w:rPr>
          <w:rFonts w:ascii="Times New Roman" w:hAnsi="Times New Roman"/>
        </w:rPr>
        <w:t>m and low temperature products.</w:t>
      </w:r>
    </w:p>
    <w:p w14:paraId="68FB4778" w14:textId="55775E6E" w:rsidR="002B6D25" w:rsidRPr="003E3993" w:rsidRDefault="002B6D25" w:rsidP="002B6D25">
      <w:pPr>
        <w:rPr>
          <w:rFonts w:cs="Times New Roman"/>
        </w:rPr>
      </w:pPr>
      <w:r>
        <w:rPr>
          <w:rFonts w:cs="Times New Roman"/>
        </w:rPr>
        <w:t xml:space="preserve">A centralised plant </w:t>
      </w:r>
      <w:r w:rsidRPr="003E3993">
        <w:rPr>
          <w:rFonts w:cs="Times New Roman"/>
        </w:rPr>
        <w:t>supermarket refrigeration system typically includes 8 to 12 compressors, ranging in capacity from 7.5 to 22.5 kWr, serving both low</w:t>
      </w:r>
      <w:r>
        <w:rPr>
          <w:rFonts w:cs="Times New Roman"/>
        </w:rPr>
        <w:t xml:space="preserve">, </w:t>
      </w:r>
      <w:r w:rsidRPr="003E3993">
        <w:rPr>
          <w:rFonts w:cs="Times New Roman"/>
        </w:rPr>
        <w:t xml:space="preserve">medium </w:t>
      </w:r>
      <w:r>
        <w:rPr>
          <w:rFonts w:cs="Times New Roman"/>
        </w:rPr>
        <w:t xml:space="preserve">and high refrigeration </w:t>
      </w:r>
      <w:r w:rsidRPr="003E3993">
        <w:rPr>
          <w:rFonts w:cs="Times New Roman"/>
        </w:rPr>
        <w:t xml:space="preserve">temperatures, built onto a rack system located in a dedicated refrigeration plant room. It is these centralised refrigeration systems that </w:t>
      </w:r>
      <w:r w:rsidR="002127E9">
        <w:rPr>
          <w:rFonts w:cs="Times New Roman"/>
        </w:rPr>
        <w:t xml:space="preserve">are increasingly being operated with a </w:t>
      </w:r>
      <w:r w:rsidRPr="003E3993">
        <w:rPr>
          <w:rFonts w:cs="Times New Roman"/>
        </w:rPr>
        <w:t>low GWP refrigerant</w:t>
      </w:r>
      <w:r w:rsidR="002127E9">
        <w:rPr>
          <w:rFonts w:cs="Times New Roman"/>
        </w:rPr>
        <w:t>, reducing the GWP of the bank in this segment, and</w:t>
      </w:r>
      <w:r w:rsidRPr="003E3993">
        <w:rPr>
          <w:rFonts w:cs="Times New Roman"/>
        </w:rPr>
        <w:t xml:space="preserve"> </w:t>
      </w:r>
      <w:r w:rsidR="002127E9">
        <w:rPr>
          <w:rFonts w:cs="Times New Roman"/>
        </w:rPr>
        <w:t>delivering</w:t>
      </w:r>
      <w:r w:rsidRPr="003E3993">
        <w:rPr>
          <w:rFonts w:cs="Times New Roman"/>
        </w:rPr>
        <w:t xml:space="preserve"> significant improvements in energy efficiency</w:t>
      </w:r>
      <w:r w:rsidR="0088381A">
        <w:rPr>
          <w:rFonts w:cs="Times New Roman"/>
        </w:rPr>
        <w:t xml:space="preserve"> from more advanced refrigeration systems</w:t>
      </w:r>
      <w:r w:rsidRPr="003E3993">
        <w:rPr>
          <w:rFonts w:cs="Times New Roman"/>
        </w:rPr>
        <w:t>.</w:t>
      </w:r>
    </w:p>
    <w:p w14:paraId="0AF1A887" w14:textId="52B2189E" w:rsidR="002B6D25" w:rsidRDefault="009F5EAE" w:rsidP="002B6D25">
      <w:pPr>
        <w:rPr>
          <w:rFonts w:cs="Times New Roman"/>
        </w:rPr>
      </w:pPr>
      <w:r>
        <w:rPr>
          <w:rFonts w:cs="Times New Roman"/>
        </w:rPr>
        <w:t>Historical</w:t>
      </w:r>
      <w:r w:rsidR="00577ED9">
        <w:rPr>
          <w:rFonts w:cs="Times New Roman"/>
        </w:rPr>
        <w:t xml:space="preserve"> data indicates that l</w:t>
      </w:r>
      <w:r w:rsidR="002B6D25" w:rsidRPr="003E3993">
        <w:rPr>
          <w:rFonts w:cs="Times New Roman"/>
        </w:rPr>
        <w:t xml:space="preserve">arge supermarkets </w:t>
      </w:r>
      <w:r w:rsidR="00577ED9">
        <w:rPr>
          <w:rFonts w:cs="Times New Roman"/>
        </w:rPr>
        <w:t>have</w:t>
      </w:r>
      <w:r w:rsidR="00577ED9" w:rsidRPr="003E3993">
        <w:rPr>
          <w:rFonts w:cs="Times New Roman"/>
        </w:rPr>
        <w:t xml:space="preserve"> </w:t>
      </w:r>
      <w:r w:rsidR="002B6D25" w:rsidRPr="003E3993">
        <w:rPr>
          <w:rFonts w:cs="Times New Roman"/>
        </w:rPr>
        <w:t xml:space="preserve">employed centralised equipment requiring refrigerant charges </w:t>
      </w:r>
      <w:r w:rsidR="002B6D25">
        <w:rPr>
          <w:rFonts w:cs="Times New Roman"/>
        </w:rPr>
        <w:t xml:space="preserve">from </w:t>
      </w:r>
      <w:r w:rsidR="002B6D25" w:rsidRPr="003E3993">
        <w:rPr>
          <w:rFonts w:cs="Times New Roman"/>
        </w:rPr>
        <w:t xml:space="preserve">900 </w:t>
      </w:r>
      <w:r w:rsidR="002B6D25">
        <w:rPr>
          <w:rFonts w:cs="Times New Roman"/>
        </w:rPr>
        <w:t xml:space="preserve">to 1,300 </w:t>
      </w:r>
      <w:r w:rsidR="002B6D25" w:rsidRPr="003E3993">
        <w:rPr>
          <w:rFonts w:cs="Times New Roman"/>
        </w:rPr>
        <w:t>kg</w:t>
      </w:r>
      <w:r w:rsidR="002B6D25">
        <w:rPr>
          <w:rFonts w:cs="Times New Roman"/>
        </w:rPr>
        <w:t>;</w:t>
      </w:r>
      <w:r w:rsidR="002B6D25" w:rsidRPr="003E3993">
        <w:rPr>
          <w:rFonts w:cs="Times New Roman"/>
        </w:rPr>
        <w:t xml:space="preserve"> with medium supermarkets generally requiring </w:t>
      </w:r>
      <w:r w:rsidR="002127E9">
        <w:rPr>
          <w:rFonts w:cs="Times New Roman"/>
        </w:rPr>
        <w:t>between</w:t>
      </w:r>
      <w:r w:rsidR="002B6D25" w:rsidRPr="003E3993">
        <w:rPr>
          <w:rFonts w:cs="Times New Roman"/>
        </w:rPr>
        <w:t xml:space="preserve"> 600 </w:t>
      </w:r>
      <w:r w:rsidR="002B6D25">
        <w:rPr>
          <w:rFonts w:cs="Times New Roman"/>
        </w:rPr>
        <w:t xml:space="preserve">to 900 </w:t>
      </w:r>
      <w:r w:rsidR="002B6D25" w:rsidRPr="003E3993">
        <w:rPr>
          <w:rFonts w:cs="Times New Roman"/>
        </w:rPr>
        <w:t xml:space="preserve">kg and </w:t>
      </w:r>
      <w:r w:rsidR="002127E9">
        <w:rPr>
          <w:rFonts w:cs="Times New Roman"/>
        </w:rPr>
        <w:t xml:space="preserve">small supermarkets employing </w:t>
      </w:r>
      <w:r w:rsidR="002B6D25" w:rsidRPr="003E3993">
        <w:rPr>
          <w:rFonts w:cs="Times New Roman"/>
        </w:rPr>
        <w:t xml:space="preserve">160 </w:t>
      </w:r>
      <w:r w:rsidR="002B6D25">
        <w:rPr>
          <w:rFonts w:cs="Times New Roman"/>
        </w:rPr>
        <w:t xml:space="preserve">to 300 </w:t>
      </w:r>
      <w:r w:rsidR="002B6D25" w:rsidRPr="003E3993">
        <w:rPr>
          <w:rFonts w:cs="Times New Roman"/>
        </w:rPr>
        <w:t xml:space="preserve">kg of </w:t>
      </w:r>
      <w:r w:rsidR="00E476A8">
        <w:rPr>
          <w:rFonts w:cs="Times New Roman"/>
        </w:rPr>
        <w:t>refrigerant</w:t>
      </w:r>
      <w:r w:rsidR="002B6D25" w:rsidRPr="003E3993">
        <w:rPr>
          <w:rFonts w:cs="Times New Roman"/>
        </w:rPr>
        <w:t xml:space="preserve"> on average. </w:t>
      </w:r>
    </w:p>
    <w:p w14:paraId="73DB0607" w14:textId="7C3FD0DE" w:rsidR="002B6D25" w:rsidRPr="003E3993" w:rsidRDefault="002B6D25" w:rsidP="002B6D25">
      <w:pPr>
        <w:rPr>
          <w:rFonts w:cs="Times New Roman"/>
        </w:rPr>
      </w:pPr>
      <w:r w:rsidRPr="003E3993">
        <w:rPr>
          <w:rFonts w:cs="Times New Roman"/>
        </w:rPr>
        <w:t>The charge sizes are changing as modern supermarket systems evolve from conventional direct expansion rack systems, to more advanced refrigeration systems</w:t>
      </w:r>
      <w:r w:rsidR="002127E9">
        <w:rPr>
          <w:rFonts w:cs="Times New Roman"/>
        </w:rPr>
        <w:t>,</w:t>
      </w:r>
      <w:r w:rsidRPr="003E3993">
        <w:rPr>
          <w:rFonts w:cs="Times New Roman"/>
        </w:rPr>
        <w:t xml:space="preserve"> such as cascade systems with secondary chilling loops that can encompass air conditioning loads and other refrigeration loads </w:t>
      </w:r>
      <w:r w:rsidR="00840BAF">
        <w:rPr>
          <w:rFonts w:cs="Times New Roman"/>
        </w:rPr>
        <w:t xml:space="preserve">such as </w:t>
      </w:r>
      <w:r w:rsidRPr="003E3993">
        <w:rPr>
          <w:rFonts w:cs="Times New Roman"/>
        </w:rPr>
        <w:t>attached liquor outlets</w:t>
      </w:r>
      <w:r w:rsidR="00840BAF">
        <w:rPr>
          <w:rFonts w:cs="Times New Roman"/>
        </w:rPr>
        <w:t>.</w:t>
      </w:r>
    </w:p>
    <w:p w14:paraId="34832338" w14:textId="78D7126D" w:rsidR="002B6D25" w:rsidRPr="003E3993" w:rsidRDefault="002B6D25" w:rsidP="002B6D25">
      <w:pPr>
        <w:rPr>
          <w:rFonts w:cs="Times New Roman"/>
        </w:rPr>
      </w:pPr>
      <w:r w:rsidRPr="003E3993">
        <w:rPr>
          <w:rFonts w:cs="Times New Roman"/>
        </w:rPr>
        <w:t xml:space="preserve">In aggregate, large, medium and small supermarkets in Australia have a combined trading floor of </w:t>
      </w:r>
      <w:r>
        <w:rPr>
          <w:rFonts w:cs="Times New Roman"/>
        </w:rPr>
        <w:t xml:space="preserve">around </w:t>
      </w:r>
      <w:r w:rsidRPr="003E3993">
        <w:rPr>
          <w:rFonts w:cs="Times New Roman"/>
        </w:rPr>
        <w:t>7 million m</w:t>
      </w:r>
      <w:r w:rsidRPr="003E3993">
        <w:rPr>
          <w:rFonts w:cs="Times New Roman"/>
          <w:vertAlign w:val="superscript"/>
        </w:rPr>
        <w:t>2</w:t>
      </w:r>
      <w:r w:rsidRPr="003E3993">
        <w:rPr>
          <w:rFonts w:cs="Times New Roman"/>
        </w:rPr>
        <w:t xml:space="preserve"> and consume more </w:t>
      </w:r>
      <w:r w:rsidRPr="006F508E">
        <w:rPr>
          <w:rFonts w:cs="Times New Roman"/>
        </w:rPr>
        <w:t>than 5,700 GWh of electricity per</w:t>
      </w:r>
      <w:r w:rsidRPr="003E3993">
        <w:rPr>
          <w:rFonts w:cs="Times New Roman"/>
        </w:rPr>
        <w:t xml:space="preserve"> annum of which at least 50% to 60%</w:t>
      </w:r>
      <w:r w:rsidR="002127E9">
        <w:rPr>
          <w:rFonts w:cs="Times New Roman"/>
        </w:rPr>
        <w:t>, or around 3,200 GWh per annum</w:t>
      </w:r>
      <w:r w:rsidRPr="003E3993">
        <w:rPr>
          <w:rFonts w:cs="Times New Roman"/>
        </w:rPr>
        <w:t xml:space="preserve"> is for running refrigeration systems.</w:t>
      </w:r>
    </w:p>
    <w:p w14:paraId="25EAEBBE" w14:textId="729545E3" w:rsidR="002B6D25" w:rsidRPr="003E3993" w:rsidRDefault="002B6D25" w:rsidP="002B6D25">
      <w:pPr>
        <w:outlineLvl w:val="0"/>
        <w:rPr>
          <w:rFonts w:cs="Times New Roman"/>
        </w:rPr>
      </w:pPr>
      <w:r w:rsidRPr="003E3993">
        <w:rPr>
          <w:rFonts w:cs="Times New Roman"/>
        </w:rPr>
        <w:t>Mini-marts</w:t>
      </w:r>
      <w:r>
        <w:rPr>
          <w:rFonts w:cs="Times New Roman"/>
        </w:rPr>
        <w:t>, convenience stores, liquor outlets</w:t>
      </w:r>
      <w:r w:rsidRPr="003E3993">
        <w:rPr>
          <w:rFonts w:cs="Times New Roman"/>
        </w:rPr>
        <w:t xml:space="preserve"> and some small supermarkets generally operate with remote condensing units connected to display cases, cool</w:t>
      </w:r>
      <w:r w:rsidR="007B711D">
        <w:rPr>
          <w:rFonts w:cs="Times New Roman"/>
        </w:rPr>
        <w:t xml:space="preserve"> </w:t>
      </w:r>
      <w:r w:rsidRPr="003E3993">
        <w:rPr>
          <w:rFonts w:cs="Times New Roman"/>
        </w:rPr>
        <w:t>room</w:t>
      </w:r>
      <w:r>
        <w:rPr>
          <w:rFonts w:cs="Times New Roman"/>
        </w:rPr>
        <w:t>s</w:t>
      </w:r>
      <w:r w:rsidRPr="003E3993">
        <w:rPr>
          <w:rFonts w:cs="Times New Roman"/>
        </w:rPr>
        <w:t xml:space="preserve"> and freezer</w:t>
      </w:r>
      <w:r>
        <w:rPr>
          <w:rFonts w:cs="Times New Roman"/>
        </w:rPr>
        <w:t>s</w:t>
      </w:r>
      <w:r w:rsidRPr="003E3993">
        <w:rPr>
          <w:rFonts w:cs="Times New Roman"/>
        </w:rPr>
        <w:t xml:space="preserve"> with total aggregate charges on average of only 40 to 80 kg. Depending on the type of retailer and location </w:t>
      </w:r>
      <w:r>
        <w:rPr>
          <w:rFonts w:cs="Times New Roman"/>
        </w:rPr>
        <w:t xml:space="preserve">these smaller food retail and liquor outlets will </w:t>
      </w:r>
      <w:r w:rsidRPr="003E3993">
        <w:rPr>
          <w:rFonts w:cs="Times New Roman"/>
        </w:rPr>
        <w:t xml:space="preserve">also employ </w:t>
      </w:r>
      <w:r>
        <w:rPr>
          <w:rFonts w:cs="Times New Roman"/>
        </w:rPr>
        <w:t xml:space="preserve">a variety of </w:t>
      </w:r>
      <w:r w:rsidRPr="003E3993">
        <w:rPr>
          <w:rFonts w:cs="Times New Roman"/>
        </w:rPr>
        <w:t>self-contained equipment such as self-contained refrigeration display cabinets</w:t>
      </w:r>
      <w:r>
        <w:rPr>
          <w:rFonts w:cs="Times New Roman"/>
        </w:rPr>
        <w:t xml:space="preserve">, </w:t>
      </w:r>
      <w:r w:rsidRPr="003E3993">
        <w:rPr>
          <w:rFonts w:cs="Times New Roman"/>
        </w:rPr>
        <w:t>vending machines</w:t>
      </w:r>
      <w:r>
        <w:rPr>
          <w:rFonts w:cs="Times New Roman"/>
        </w:rPr>
        <w:t xml:space="preserve"> and frozen drink makers</w:t>
      </w:r>
      <w:r w:rsidRPr="003E3993">
        <w:rPr>
          <w:rFonts w:cs="Times New Roman"/>
        </w:rPr>
        <w:t>.</w:t>
      </w:r>
    </w:p>
    <w:p w14:paraId="4062AE0B" w14:textId="736C2702" w:rsidR="002B6D25" w:rsidRDefault="002B6D25" w:rsidP="002B6D25">
      <w:pPr>
        <w:rPr>
          <w:rFonts w:cs="Times New Roman"/>
        </w:rPr>
      </w:pPr>
      <w:r w:rsidRPr="003E3993">
        <w:rPr>
          <w:rFonts w:cs="Times New Roman"/>
        </w:rPr>
        <w:t xml:space="preserve">There are at </w:t>
      </w:r>
      <w:r w:rsidRPr="00D37607">
        <w:rPr>
          <w:rFonts w:cs="Times New Roman"/>
        </w:rPr>
        <w:t>least 4,0</w:t>
      </w:r>
      <w:r>
        <w:rPr>
          <w:rFonts w:cs="Times New Roman"/>
        </w:rPr>
        <w:t>70</w:t>
      </w:r>
      <w:r w:rsidRPr="00D37607">
        <w:rPr>
          <w:rFonts w:cs="Times New Roman"/>
        </w:rPr>
        <w:t xml:space="preserve"> supermarkets</w:t>
      </w:r>
      <w:r w:rsidRPr="003E3993">
        <w:rPr>
          <w:rFonts w:cs="Times New Roman"/>
        </w:rPr>
        <w:t xml:space="preserve"> (trading floor &gt;400 m</w:t>
      </w:r>
      <w:r w:rsidRPr="003E3993">
        <w:rPr>
          <w:rFonts w:cs="Times New Roman"/>
          <w:vertAlign w:val="superscript"/>
        </w:rPr>
        <w:t>2</w:t>
      </w:r>
      <w:r w:rsidRPr="003E3993">
        <w:rPr>
          <w:rFonts w:cs="Times New Roman"/>
        </w:rPr>
        <w:t xml:space="preserve">) which together contain around </w:t>
      </w:r>
      <w:r w:rsidR="00840BAF">
        <w:rPr>
          <w:rFonts w:cs="Times New Roman"/>
        </w:rPr>
        <w:t xml:space="preserve">1,950 tonnes </w:t>
      </w:r>
      <w:r w:rsidRPr="003E3993">
        <w:rPr>
          <w:rFonts w:cs="Times New Roman"/>
        </w:rPr>
        <w:t>of high GWP HFCs</w:t>
      </w:r>
      <w:r w:rsidR="00840BAF">
        <w:rPr>
          <w:rFonts w:cs="Times New Roman"/>
        </w:rPr>
        <w:t xml:space="preserve"> and 160 tonnes of HCFCs</w:t>
      </w:r>
      <w:r w:rsidRPr="003E3993">
        <w:rPr>
          <w:rFonts w:cs="Times New Roman"/>
        </w:rPr>
        <w:t xml:space="preserve">, or about </w:t>
      </w:r>
      <w:r w:rsidR="006A141F">
        <w:rPr>
          <w:rFonts w:cs="Times New Roman"/>
        </w:rPr>
        <w:t>4</w:t>
      </w:r>
      <w:r w:rsidRPr="003E3993">
        <w:rPr>
          <w:rFonts w:cs="Times New Roman"/>
        </w:rPr>
        <w:t>% of the bank (</w:t>
      </w:r>
      <w:r w:rsidRPr="003E3993">
        <w:rPr>
          <w:rFonts w:cs="Times New Roman"/>
          <w:i/>
        </w:rPr>
        <w:t>CHF2 3,200 tonnes and 7%</w:t>
      </w:r>
      <w:r w:rsidRPr="003E3993">
        <w:rPr>
          <w:rFonts w:cs="Times New Roman"/>
        </w:rPr>
        <w:t xml:space="preserve">). This estimate of the share of the bank employed in supermarkets </w:t>
      </w:r>
      <w:r w:rsidRPr="0091686D">
        <w:rPr>
          <w:rFonts w:cs="Times New Roman"/>
          <w:i/>
        </w:rPr>
        <w:t>excludes</w:t>
      </w:r>
      <w:r w:rsidRPr="003E3993">
        <w:rPr>
          <w:rFonts w:cs="Times New Roman"/>
        </w:rPr>
        <w:t xml:space="preserve"> refrigerant in self-contained devices </w:t>
      </w:r>
      <w:r w:rsidR="00436D8B">
        <w:rPr>
          <w:rFonts w:cs="Times New Roman"/>
        </w:rPr>
        <w:t>which are</w:t>
      </w:r>
      <w:r w:rsidRPr="003E3993">
        <w:rPr>
          <w:rFonts w:cs="Times New Roman"/>
        </w:rPr>
        <w:t xml:space="preserve"> analysed</w:t>
      </w:r>
      <w:r w:rsidR="00436D8B">
        <w:rPr>
          <w:rFonts w:cs="Times New Roman"/>
        </w:rPr>
        <w:t xml:space="preserve"> separately</w:t>
      </w:r>
      <w:r w:rsidRPr="003E3993">
        <w:rPr>
          <w:rFonts w:cs="Times New Roman"/>
        </w:rPr>
        <w:t xml:space="preserve"> in </w:t>
      </w:r>
      <w:r w:rsidRPr="00C5053A">
        <w:rPr>
          <w:rFonts w:cs="Times New Roman"/>
        </w:rPr>
        <w:t>Sections</w:t>
      </w:r>
      <w:r w:rsidRPr="00C5053A">
        <w:rPr>
          <w:rFonts w:cs="Times New Roman"/>
          <w:i/>
        </w:rPr>
        <w:t xml:space="preserve"> 4.4.1 RCFC, Self-contained commercial refrigeration</w:t>
      </w:r>
      <w:r>
        <w:rPr>
          <w:rFonts w:cs="Times New Roman"/>
        </w:rPr>
        <w:t>.</w:t>
      </w:r>
    </w:p>
    <w:p w14:paraId="24BBA38E" w14:textId="669ECDBF" w:rsidR="002B6D25" w:rsidRPr="003E3993" w:rsidRDefault="002B6D25" w:rsidP="002B6D25">
      <w:pPr>
        <w:rPr>
          <w:rFonts w:cs="Times New Roman"/>
        </w:rPr>
      </w:pPr>
      <w:r>
        <w:rPr>
          <w:rFonts w:cs="Times New Roman"/>
        </w:rPr>
        <w:t>In 2012 the large majority (</w:t>
      </w:r>
      <w:r w:rsidRPr="003E3993">
        <w:rPr>
          <w:rFonts w:cs="Times New Roman"/>
        </w:rPr>
        <w:t xml:space="preserve">85 </w:t>
      </w:r>
      <w:r>
        <w:rPr>
          <w:rFonts w:cs="Times New Roman"/>
        </w:rPr>
        <w:t>to 9</w:t>
      </w:r>
      <w:r w:rsidRPr="003E3993">
        <w:rPr>
          <w:rFonts w:cs="Times New Roman"/>
        </w:rPr>
        <w:t>0</w:t>
      </w:r>
      <w:r w:rsidR="00C9319D">
        <w:rPr>
          <w:rFonts w:cs="Times New Roman"/>
        </w:rPr>
        <w:t>%</w:t>
      </w:r>
      <w:r w:rsidRPr="003E3993">
        <w:rPr>
          <w:rFonts w:cs="Times New Roman"/>
        </w:rPr>
        <w:t>) of refrigerant in supermarkets was the very high GWP HFC-404A (GWP 3</w:t>
      </w:r>
      <w:r w:rsidR="007B711D">
        <w:rPr>
          <w:rFonts w:cs="Times New Roman"/>
        </w:rPr>
        <w:t>,</w:t>
      </w:r>
      <w:r w:rsidRPr="003E3993">
        <w:rPr>
          <w:rFonts w:cs="Times New Roman"/>
        </w:rPr>
        <w:t>922). Most of the rest of the refrigerant emp</w:t>
      </w:r>
      <w:r>
        <w:rPr>
          <w:rFonts w:cs="Times New Roman"/>
        </w:rPr>
        <w:t>loyed at that time was HFC-134a</w:t>
      </w:r>
      <w:r w:rsidRPr="003E3993">
        <w:rPr>
          <w:rFonts w:cs="Times New Roman"/>
        </w:rPr>
        <w:t xml:space="preserve"> or HCFC-22. </w:t>
      </w:r>
    </w:p>
    <w:p w14:paraId="4D7E43F8" w14:textId="47999FD7" w:rsidR="002B6D25" w:rsidRPr="003E3993" w:rsidRDefault="007B711D" w:rsidP="002B6D25">
      <w:pPr>
        <w:rPr>
          <w:rFonts w:cs="Times New Roman"/>
        </w:rPr>
      </w:pPr>
      <w:r>
        <w:rPr>
          <w:rFonts w:cs="Times New Roman"/>
        </w:rPr>
        <w:t>As</w:t>
      </w:r>
      <w:r w:rsidRPr="003E3993">
        <w:rPr>
          <w:rFonts w:cs="Times New Roman"/>
        </w:rPr>
        <w:t xml:space="preserve"> </w:t>
      </w:r>
      <w:r w:rsidR="002B6D25" w:rsidRPr="003E3993">
        <w:rPr>
          <w:rFonts w:cs="Times New Roman"/>
        </w:rPr>
        <w:t xml:space="preserve">the share of the total bank attributed to supermarkets has fallen since 2012 from approximately 7% to approximately </w:t>
      </w:r>
      <w:r w:rsidR="002E1A54">
        <w:rPr>
          <w:rFonts w:cs="Times New Roman"/>
        </w:rPr>
        <w:t>4</w:t>
      </w:r>
      <w:r w:rsidR="002B6D25" w:rsidRPr="003E3993">
        <w:rPr>
          <w:rFonts w:cs="Times New Roman"/>
        </w:rPr>
        <w:t xml:space="preserve">% of the larger 2016 bank, so has the relative share of direct emissions from supermarkets fallen to an estimated </w:t>
      </w:r>
      <w:r w:rsidR="002E1A54">
        <w:rPr>
          <w:rFonts w:cs="Times New Roman"/>
        </w:rPr>
        <w:t>11</w:t>
      </w:r>
      <w:r w:rsidR="002B6D25" w:rsidRPr="003E3993">
        <w:rPr>
          <w:rFonts w:cs="Times New Roman"/>
        </w:rPr>
        <w:t>% in 2016.</w:t>
      </w:r>
    </w:p>
    <w:p w14:paraId="00026294" w14:textId="70A569C9" w:rsidR="002B6D25" w:rsidRPr="003E3993" w:rsidRDefault="002B6D25" w:rsidP="002B6D25">
      <w:pPr>
        <w:rPr>
          <w:rFonts w:cs="Times New Roman"/>
        </w:rPr>
      </w:pPr>
      <w:r w:rsidRPr="003E3993">
        <w:rPr>
          <w:rFonts w:cs="Times New Roman"/>
        </w:rPr>
        <w:t>This has been achieved by one of the most notable trends in supermarkets</w:t>
      </w:r>
      <w:r w:rsidR="00420CE9">
        <w:rPr>
          <w:rFonts w:cs="Times New Roman"/>
        </w:rPr>
        <w:t>,</w:t>
      </w:r>
      <w:r w:rsidRPr="003E3993">
        <w:rPr>
          <w:rFonts w:cs="Times New Roman"/>
        </w:rPr>
        <w:t xml:space="preserve"> </w:t>
      </w:r>
      <w:r w:rsidR="00420CE9">
        <w:rPr>
          <w:rFonts w:cs="Times New Roman"/>
        </w:rPr>
        <w:t xml:space="preserve">the </w:t>
      </w:r>
      <w:r w:rsidRPr="003E3993">
        <w:rPr>
          <w:rFonts w:cs="Times New Roman"/>
        </w:rPr>
        <w:t xml:space="preserve">dedicated programs by supermarket managers to </w:t>
      </w:r>
      <w:r w:rsidR="00436D8B">
        <w:rPr>
          <w:rFonts w:cs="Times New Roman"/>
        </w:rPr>
        <w:t xml:space="preserve">eliminate </w:t>
      </w:r>
      <w:r w:rsidRPr="003E3993">
        <w:rPr>
          <w:rFonts w:cs="Times New Roman"/>
        </w:rPr>
        <w:t>direct emission</w:t>
      </w:r>
      <w:r w:rsidR="00436D8B">
        <w:rPr>
          <w:rFonts w:cs="Times New Roman"/>
        </w:rPr>
        <w:t>s</w:t>
      </w:r>
      <w:r w:rsidR="0025177D">
        <w:rPr>
          <w:rFonts w:cs="Times New Roman"/>
        </w:rPr>
        <w:t xml:space="preserve"> from</w:t>
      </w:r>
      <w:r w:rsidRPr="003E3993">
        <w:rPr>
          <w:rFonts w:cs="Times New Roman"/>
        </w:rPr>
        <w:t xml:space="preserve"> </w:t>
      </w:r>
      <w:r w:rsidR="00436D8B">
        <w:rPr>
          <w:rFonts w:cs="Times New Roman"/>
        </w:rPr>
        <w:t xml:space="preserve">equipment </w:t>
      </w:r>
      <w:r w:rsidRPr="003E3993">
        <w:rPr>
          <w:rFonts w:cs="Times New Roman"/>
        </w:rPr>
        <w:t>leaks and the risk of catastrophic losses of refrigerant.</w:t>
      </w:r>
      <w:r w:rsidR="00436D8B">
        <w:rPr>
          <w:rFonts w:cs="Times New Roman"/>
        </w:rPr>
        <w:t xml:space="preserve"> These </w:t>
      </w:r>
      <w:r w:rsidR="0025177D">
        <w:rPr>
          <w:rFonts w:cs="Times New Roman"/>
        </w:rPr>
        <w:t xml:space="preserve">increasingly common </w:t>
      </w:r>
      <w:r w:rsidR="00436D8B">
        <w:rPr>
          <w:rFonts w:cs="Times New Roman"/>
        </w:rPr>
        <w:t>programs of improved refrigerant containment are generally accomp</w:t>
      </w:r>
      <w:r w:rsidR="000B4DE9">
        <w:rPr>
          <w:rFonts w:cs="Times New Roman"/>
        </w:rPr>
        <w:t xml:space="preserve">anied </w:t>
      </w:r>
      <w:r w:rsidR="00436D8B">
        <w:rPr>
          <w:rFonts w:cs="Times New Roman"/>
        </w:rPr>
        <w:t>by, or part of</w:t>
      </w:r>
      <w:r w:rsidR="007B711D">
        <w:rPr>
          <w:rFonts w:cs="Times New Roman"/>
        </w:rPr>
        <w:t>,</w:t>
      </w:r>
      <w:r w:rsidR="00436D8B">
        <w:rPr>
          <w:rFonts w:cs="Times New Roman"/>
        </w:rPr>
        <w:t xml:space="preserve"> </w:t>
      </w:r>
      <w:r w:rsidR="009F5EAE">
        <w:rPr>
          <w:rFonts w:cs="Times New Roman"/>
        </w:rPr>
        <w:t>overarching</w:t>
      </w:r>
      <w:r w:rsidR="00436D8B">
        <w:rPr>
          <w:rFonts w:cs="Times New Roman"/>
        </w:rPr>
        <w:t xml:space="preserve"> energy efficiency programs, which have also been producing tremendously positive results for supermarket owners.</w:t>
      </w:r>
    </w:p>
    <w:p w14:paraId="768C874D" w14:textId="0A3AEBEE" w:rsidR="002B6D25" w:rsidRDefault="002B6D25" w:rsidP="002B6D25">
      <w:pPr>
        <w:rPr>
          <w:rFonts w:cs="Times New Roman"/>
        </w:rPr>
      </w:pPr>
      <w:r w:rsidRPr="003E3993">
        <w:rPr>
          <w:rFonts w:cs="Times New Roman"/>
        </w:rPr>
        <w:t>In the mid-2000s some major supermarkets were report</w:t>
      </w:r>
      <w:r>
        <w:rPr>
          <w:rFonts w:cs="Times New Roman"/>
        </w:rPr>
        <w:t>ing</w:t>
      </w:r>
      <w:r w:rsidRPr="003E3993">
        <w:rPr>
          <w:rFonts w:cs="Times New Roman"/>
        </w:rPr>
        <w:t xml:space="preserve"> annual direct emissions of as much as 25% of their refrigerant charge. Since that time all of the major supermarket chains have </w:t>
      </w:r>
      <w:r w:rsidR="006A141F">
        <w:rPr>
          <w:rFonts w:cs="Times New Roman"/>
        </w:rPr>
        <w:t xml:space="preserve">increased </w:t>
      </w:r>
      <w:r w:rsidRPr="003E3993">
        <w:rPr>
          <w:rFonts w:cs="Times New Roman"/>
        </w:rPr>
        <w:t>focus on maintenance and engineering efforts to reduce refrigerant losses.</w:t>
      </w:r>
    </w:p>
    <w:p w14:paraId="082F9661" w14:textId="52C00FBB" w:rsidR="002B6D25" w:rsidRPr="003E3993" w:rsidRDefault="00436D8B" w:rsidP="002B6D25">
      <w:pPr>
        <w:rPr>
          <w:rFonts w:cs="Times New Roman"/>
        </w:rPr>
      </w:pPr>
      <w:r>
        <w:rPr>
          <w:rFonts w:cs="Times New Roman"/>
        </w:rPr>
        <w:t xml:space="preserve">For </w:t>
      </w:r>
      <w:r w:rsidR="009F5EAE">
        <w:rPr>
          <w:rFonts w:cs="Times New Roman"/>
        </w:rPr>
        <w:t>instance,</w:t>
      </w:r>
      <w:r>
        <w:rPr>
          <w:rFonts w:cs="Times New Roman"/>
        </w:rPr>
        <w:t xml:space="preserve"> a</w:t>
      </w:r>
      <w:r w:rsidR="002B6D25">
        <w:rPr>
          <w:rFonts w:cs="Times New Roman"/>
        </w:rPr>
        <w:t xml:space="preserve"> dedicated program of maintenance and leak reduction across the Coles fleet of equipment, coupled with automatic leak detection systems at all Coles supermarkets</w:t>
      </w:r>
      <w:r w:rsidR="0008278E">
        <w:rPr>
          <w:rFonts w:cs="Times New Roman"/>
        </w:rPr>
        <w:t>,</w:t>
      </w:r>
      <w:r w:rsidR="002B6D25">
        <w:rPr>
          <w:rFonts w:cs="Times New Roman"/>
        </w:rPr>
        <w:t xml:space="preserve"> has seen annual </w:t>
      </w:r>
      <w:r w:rsidR="00D65E3B">
        <w:rPr>
          <w:rFonts w:cs="Times New Roman"/>
        </w:rPr>
        <w:t xml:space="preserve">use </w:t>
      </w:r>
      <w:r w:rsidR="002B6D25">
        <w:rPr>
          <w:rFonts w:cs="Times New Roman"/>
        </w:rPr>
        <w:t xml:space="preserve">of high GWP refrigerants </w:t>
      </w:r>
      <w:r w:rsidR="00C25A70">
        <w:rPr>
          <w:rFonts w:cs="Times New Roman"/>
        </w:rPr>
        <w:t>reduced</w:t>
      </w:r>
      <w:r w:rsidR="002B6D25">
        <w:rPr>
          <w:rFonts w:cs="Times New Roman"/>
        </w:rPr>
        <w:t xml:space="preserve"> by more than 50% since 2012, from more than 120 tonnes to less than 60 tonnes in 2016. Programs of leak reduction across the entire supermarket fleet ha</w:t>
      </w:r>
      <w:r w:rsidR="00D65E3B">
        <w:rPr>
          <w:rFonts w:cs="Times New Roman"/>
        </w:rPr>
        <w:t>ve</w:t>
      </w:r>
      <w:r w:rsidR="002B6D25">
        <w:rPr>
          <w:rFonts w:cs="Times New Roman"/>
        </w:rPr>
        <w:t xml:space="preserve"> resulted in average leak rates now estimated at less than 10%.</w:t>
      </w:r>
    </w:p>
    <w:p w14:paraId="24A8BCD0" w14:textId="6B95E3A1" w:rsidR="002B6D25" w:rsidRPr="003E3993" w:rsidRDefault="002B6D25" w:rsidP="002B6D25">
      <w:pPr>
        <w:rPr>
          <w:rFonts w:cs="Times New Roman"/>
        </w:rPr>
      </w:pPr>
      <w:r>
        <w:rPr>
          <w:rFonts w:cs="Times New Roman"/>
        </w:rPr>
        <w:t>An emerging trend in</w:t>
      </w:r>
      <w:r w:rsidRPr="003E3993">
        <w:rPr>
          <w:rFonts w:cs="Times New Roman"/>
        </w:rPr>
        <w:t xml:space="preserve"> refrigerant retrofitting</w:t>
      </w:r>
      <w:r w:rsidR="00436D8B">
        <w:rPr>
          <w:rFonts w:cs="Times New Roman"/>
        </w:rPr>
        <w:t xml:space="preserve">, that </w:t>
      </w:r>
      <w:r>
        <w:rPr>
          <w:rFonts w:cs="Times New Roman"/>
        </w:rPr>
        <w:t xml:space="preserve">was </w:t>
      </w:r>
      <w:r w:rsidRPr="003E3993">
        <w:rPr>
          <w:rFonts w:cs="Times New Roman"/>
        </w:rPr>
        <w:t>first reported in CHF2</w:t>
      </w:r>
      <w:r w:rsidR="00436D8B">
        <w:rPr>
          <w:rFonts w:cs="Times New Roman"/>
        </w:rPr>
        <w:t>,</w:t>
      </w:r>
      <w:r w:rsidRPr="003E3993">
        <w:rPr>
          <w:rFonts w:cs="Times New Roman"/>
        </w:rPr>
        <w:t xml:space="preserve"> has also persisted. In 2012 it was noted that the supermarket industry and other medium temperature refrigeration applications were beginning to switch from HFC-404A to HFC-134a (</w:t>
      </w:r>
      <w:r w:rsidRPr="00B43B1D">
        <w:rPr>
          <w:rFonts w:cs="Times New Roman"/>
        </w:rPr>
        <w:t>GWP 1430</w:t>
      </w:r>
      <w:r w:rsidRPr="003E3993">
        <w:rPr>
          <w:rFonts w:cs="Times New Roman"/>
        </w:rPr>
        <w:t xml:space="preserve">), partly because of the lower GWP of the HFC-134a refrigerant which, as a result of the </w:t>
      </w:r>
      <w:r w:rsidR="00D65E3B">
        <w:rPr>
          <w:rFonts w:cs="Times New Roman"/>
        </w:rPr>
        <w:t>equivalent carbon tax</w:t>
      </w:r>
      <w:r w:rsidRPr="003E3993">
        <w:rPr>
          <w:rFonts w:cs="Times New Roman"/>
        </w:rPr>
        <w:t xml:space="preserve"> on imports of HFCs at the time, made HFC-134a significantly </w:t>
      </w:r>
      <w:r>
        <w:rPr>
          <w:rFonts w:cs="Times New Roman"/>
        </w:rPr>
        <w:t xml:space="preserve">less expensive </w:t>
      </w:r>
      <w:r w:rsidRPr="003E3993">
        <w:rPr>
          <w:rFonts w:cs="Times New Roman"/>
        </w:rPr>
        <w:t xml:space="preserve">than HFC-404A. </w:t>
      </w:r>
    </w:p>
    <w:p w14:paraId="78604C87" w14:textId="704A803C" w:rsidR="002B6D25" w:rsidRPr="003E3993" w:rsidRDefault="002B6D25" w:rsidP="002B6D25">
      <w:pPr>
        <w:rPr>
          <w:rFonts w:cs="Times New Roman"/>
        </w:rPr>
      </w:pPr>
      <w:r w:rsidRPr="003E3993">
        <w:rPr>
          <w:rFonts w:cs="Times New Roman"/>
        </w:rPr>
        <w:t xml:space="preserve">Some retrofitting of HFC-404A systems with HFC-407F (GWP of 1825) was also reported at the time. CHF2 estimated that as much as 40 tonnes of HFC-404A was replaced with HFC-407F in 2012. However, this trend </w:t>
      </w:r>
      <w:r>
        <w:rPr>
          <w:rFonts w:cs="Times New Roman"/>
        </w:rPr>
        <w:t xml:space="preserve">did not </w:t>
      </w:r>
      <w:r w:rsidRPr="003E3993">
        <w:rPr>
          <w:rFonts w:cs="Times New Roman"/>
        </w:rPr>
        <w:t xml:space="preserve">develop significantly </w:t>
      </w:r>
      <w:r>
        <w:rPr>
          <w:rFonts w:cs="Times New Roman"/>
        </w:rPr>
        <w:t xml:space="preserve">in the supermarket industry </w:t>
      </w:r>
      <w:r w:rsidRPr="003E3993">
        <w:rPr>
          <w:rFonts w:cs="Times New Roman"/>
        </w:rPr>
        <w:t>post</w:t>
      </w:r>
      <w:r w:rsidR="00436D8B">
        <w:rPr>
          <w:rFonts w:cs="Times New Roman"/>
        </w:rPr>
        <w:t>-</w:t>
      </w:r>
      <w:r w:rsidRPr="003E3993">
        <w:rPr>
          <w:rFonts w:cs="Times New Roman"/>
        </w:rPr>
        <w:t xml:space="preserve">2012. The major industry player who initiated the retrofitting in 2012 </w:t>
      </w:r>
      <w:r>
        <w:rPr>
          <w:rFonts w:cs="Times New Roman"/>
        </w:rPr>
        <w:t>encountered operational issues with compressors and the r</w:t>
      </w:r>
      <w:r w:rsidRPr="003E3993">
        <w:rPr>
          <w:rFonts w:cs="Times New Roman"/>
        </w:rPr>
        <w:t xml:space="preserve">epeal of the </w:t>
      </w:r>
      <w:r w:rsidR="00D65E3B" w:rsidRPr="00D65E3B">
        <w:rPr>
          <w:rFonts w:cs="Times New Roman"/>
        </w:rPr>
        <w:t>equivalent carbon tax</w:t>
      </w:r>
      <w:r w:rsidR="0088381A">
        <w:rPr>
          <w:rFonts w:cs="Times New Roman"/>
        </w:rPr>
        <w:t xml:space="preserve"> </w:t>
      </w:r>
      <w:r>
        <w:rPr>
          <w:rFonts w:cs="Times New Roman"/>
        </w:rPr>
        <w:t>removed the financial driver for migrating to HFC-407F.</w:t>
      </w:r>
    </w:p>
    <w:p w14:paraId="2164D680" w14:textId="4F0BA47C" w:rsidR="002B6D25" w:rsidRPr="003E3993" w:rsidRDefault="002B6D25" w:rsidP="002B6D25">
      <w:pPr>
        <w:rPr>
          <w:rFonts w:cs="Times New Roman"/>
        </w:rPr>
      </w:pPr>
      <w:r w:rsidRPr="003E3993">
        <w:rPr>
          <w:rFonts w:cs="Times New Roman"/>
        </w:rPr>
        <w:t xml:space="preserve">Wholesaler reports indicate that in the last five years only 136 tonnes of HFC-407F has been sold into the </w:t>
      </w:r>
      <w:r>
        <w:rPr>
          <w:rFonts w:cs="Times New Roman"/>
        </w:rPr>
        <w:t xml:space="preserve">cold food chain. </w:t>
      </w:r>
      <w:r w:rsidRPr="003E3993">
        <w:rPr>
          <w:rFonts w:cs="Times New Roman"/>
        </w:rPr>
        <w:t>One reliable estimate is that about 56 tonnes of HFC-407</w:t>
      </w:r>
      <w:r>
        <w:rPr>
          <w:rFonts w:cs="Times New Roman"/>
        </w:rPr>
        <w:t>F</w:t>
      </w:r>
      <w:r w:rsidRPr="003E3993">
        <w:rPr>
          <w:rFonts w:cs="Times New Roman"/>
        </w:rPr>
        <w:t xml:space="preserve"> is employed in supermarkets in total, which suggests about another 80 tonnes is employed elsewhere in the cold food chain.</w:t>
      </w:r>
    </w:p>
    <w:p w14:paraId="34859EEE" w14:textId="7555EE60" w:rsidR="002B6D25" w:rsidRDefault="002B6D25" w:rsidP="002B6D25">
      <w:pPr>
        <w:rPr>
          <w:rFonts w:cs="Times New Roman"/>
          <w:lang w:val="en-AU"/>
        </w:rPr>
      </w:pPr>
      <w:r w:rsidRPr="003E3993">
        <w:rPr>
          <w:rFonts w:cs="Times New Roman"/>
          <w:lang w:val="en-AU"/>
        </w:rPr>
        <w:t>Emerging lower GWP blends are now being assessed by some supermarket operators as alternative</w:t>
      </w:r>
      <w:r>
        <w:rPr>
          <w:rFonts w:cs="Times New Roman"/>
          <w:lang w:val="en-AU"/>
        </w:rPr>
        <w:t>s</w:t>
      </w:r>
      <w:r w:rsidRPr="003E3993">
        <w:rPr>
          <w:rFonts w:cs="Times New Roman"/>
          <w:lang w:val="en-AU"/>
        </w:rPr>
        <w:t xml:space="preserve"> to </w:t>
      </w:r>
      <w:r>
        <w:rPr>
          <w:rFonts w:cs="Times New Roman"/>
          <w:lang w:val="en-AU"/>
        </w:rPr>
        <w:t xml:space="preserve">HFC-404A and </w:t>
      </w:r>
      <w:r w:rsidRPr="003E3993">
        <w:rPr>
          <w:rFonts w:cs="Times New Roman"/>
          <w:lang w:val="en-AU"/>
        </w:rPr>
        <w:t xml:space="preserve">HFC-134a. Some supermarket operators are </w:t>
      </w:r>
      <w:r>
        <w:rPr>
          <w:rFonts w:cs="Times New Roman"/>
          <w:lang w:val="en-AU"/>
        </w:rPr>
        <w:t xml:space="preserve">trialling and considering retrofit programs that replace HFC-404A </w:t>
      </w:r>
      <w:r w:rsidRPr="003E3993">
        <w:rPr>
          <w:rFonts w:cs="Times New Roman"/>
          <w:lang w:val="en-AU"/>
        </w:rPr>
        <w:t xml:space="preserve">with recently </w:t>
      </w:r>
      <w:r w:rsidR="00835EFF">
        <w:rPr>
          <w:rFonts w:cs="Times New Roman"/>
          <w:lang w:val="en-AU"/>
        </w:rPr>
        <w:t xml:space="preserve">commercialised and </w:t>
      </w:r>
      <w:r w:rsidR="00835EFF" w:rsidRPr="00835EFF">
        <w:rPr>
          <w:rFonts w:cs="Times New Roman"/>
          <w:lang w:val="en-AU"/>
        </w:rPr>
        <w:t>approved</w:t>
      </w:r>
      <w:r w:rsidR="00835EFF">
        <w:rPr>
          <w:rStyle w:val="FootnoteReference"/>
          <w:rFonts w:cs="Times New Roman"/>
          <w:lang w:val="en-AU"/>
        </w:rPr>
        <w:footnoteReference w:id="26"/>
      </w:r>
      <w:r w:rsidR="00835EFF">
        <w:rPr>
          <w:rFonts w:cs="Times New Roman"/>
          <w:lang w:val="en-AU"/>
        </w:rPr>
        <w:t xml:space="preserve"> reduced </w:t>
      </w:r>
      <w:r w:rsidRPr="003E3993">
        <w:rPr>
          <w:rFonts w:cs="Times New Roman"/>
          <w:lang w:val="en-AU"/>
        </w:rPr>
        <w:t xml:space="preserve">GWP blends, HFC-448A </w:t>
      </w:r>
      <w:r w:rsidRPr="003E3993">
        <w:rPr>
          <w:rFonts w:cs="Times New Roman"/>
        </w:rPr>
        <w:t>(GWP of 1</w:t>
      </w:r>
      <w:r>
        <w:rPr>
          <w:rFonts w:cs="Times New Roman"/>
        </w:rPr>
        <w:t>387</w:t>
      </w:r>
      <w:r w:rsidRPr="003E3993">
        <w:rPr>
          <w:rFonts w:cs="Times New Roman"/>
          <w:vertAlign w:val="superscript"/>
        </w:rPr>
        <w:t>AR</w:t>
      </w:r>
      <w:r>
        <w:rPr>
          <w:rFonts w:cs="Times New Roman"/>
          <w:vertAlign w:val="superscript"/>
        </w:rPr>
        <w:t>4</w:t>
      </w:r>
      <w:r w:rsidRPr="003E3993">
        <w:rPr>
          <w:rFonts w:cs="Times New Roman"/>
        </w:rPr>
        <w:t>)</w:t>
      </w:r>
      <w:r w:rsidRPr="003E3993">
        <w:rPr>
          <w:rFonts w:cs="Times New Roman"/>
          <w:lang w:val="en-AU"/>
        </w:rPr>
        <w:t xml:space="preserve"> or HFC-449A </w:t>
      </w:r>
      <w:r w:rsidRPr="003E3993">
        <w:rPr>
          <w:rFonts w:cs="Times New Roman"/>
        </w:rPr>
        <w:t>(GWP of 1</w:t>
      </w:r>
      <w:r>
        <w:rPr>
          <w:rFonts w:cs="Times New Roman"/>
        </w:rPr>
        <w:t>397</w:t>
      </w:r>
      <w:r w:rsidRPr="003E3993">
        <w:rPr>
          <w:rFonts w:cs="Times New Roman"/>
          <w:vertAlign w:val="superscript"/>
        </w:rPr>
        <w:t>AR</w:t>
      </w:r>
      <w:r w:rsidR="00D26A21">
        <w:rPr>
          <w:rFonts w:cs="Times New Roman"/>
          <w:vertAlign w:val="superscript"/>
        </w:rPr>
        <w:t>4</w:t>
      </w:r>
      <w:r w:rsidRPr="003E3993">
        <w:rPr>
          <w:rFonts w:cs="Times New Roman"/>
        </w:rPr>
        <w:t>)</w:t>
      </w:r>
      <w:r w:rsidRPr="003E3993">
        <w:rPr>
          <w:rFonts w:cs="Times New Roman"/>
          <w:lang w:val="en-AU"/>
        </w:rPr>
        <w:t>.</w:t>
      </w:r>
      <w:r w:rsidR="00D26A21">
        <w:rPr>
          <w:rStyle w:val="FootnoteReference"/>
          <w:rFonts w:cs="Times New Roman"/>
          <w:lang w:val="en-AU"/>
        </w:rPr>
        <w:footnoteReference w:id="27"/>
      </w:r>
      <w:r>
        <w:rPr>
          <w:rFonts w:cs="Times New Roman"/>
          <w:lang w:val="en-AU"/>
        </w:rPr>
        <w:t xml:space="preserve"> </w:t>
      </w:r>
    </w:p>
    <w:p w14:paraId="052ECD4E" w14:textId="5B9E1201" w:rsidR="002B6D25" w:rsidRPr="003E3993" w:rsidRDefault="002B6D25" w:rsidP="002B6D25">
      <w:pPr>
        <w:rPr>
          <w:rFonts w:cs="Times New Roman"/>
          <w:lang w:val="en-AU"/>
        </w:rPr>
      </w:pPr>
      <w:r w:rsidRPr="003E3993">
        <w:rPr>
          <w:rFonts w:cs="Times New Roman"/>
          <w:lang w:val="en-AU"/>
        </w:rPr>
        <w:t xml:space="preserve">HFC-513A, also referred to as XP10, (GWP of 573) is </w:t>
      </w:r>
      <w:r w:rsidR="00436D8B">
        <w:rPr>
          <w:rFonts w:cs="Times New Roman"/>
          <w:lang w:val="en-AU"/>
        </w:rPr>
        <w:t xml:space="preserve">also being considered as a </w:t>
      </w:r>
      <w:r w:rsidR="00436D8B" w:rsidRPr="003E3993">
        <w:rPr>
          <w:rFonts w:cs="Times New Roman"/>
          <w:lang w:val="en-AU"/>
        </w:rPr>
        <w:t xml:space="preserve">retrofit </w:t>
      </w:r>
      <w:r w:rsidR="00436D8B">
        <w:rPr>
          <w:rFonts w:cs="Times New Roman"/>
          <w:lang w:val="en-AU"/>
        </w:rPr>
        <w:t>refrigerant</w:t>
      </w:r>
      <w:r w:rsidR="00436D8B" w:rsidRPr="003E3993" w:rsidDel="00436D8B">
        <w:rPr>
          <w:rFonts w:cs="Times New Roman"/>
          <w:lang w:val="en-AU"/>
        </w:rPr>
        <w:t xml:space="preserve"> </w:t>
      </w:r>
      <w:r w:rsidR="00436D8B">
        <w:rPr>
          <w:rFonts w:cs="Times New Roman"/>
          <w:lang w:val="en-AU"/>
        </w:rPr>
        <w:t>to replace</w:t>
      </w:r>
      <w:r w:rsidRPr="003E3993">
        <w:rPr>
          <w:rFonts w:cs="Times New Roman"/>
          <w:lang w:val="en-AU"/>
        </w:rPr>
        <w:t xml:space="preserve"> HFC-134a.</w:t>
      </w:r>
    </w:p>
    <w:p w14:paraId="6F86EFB1" w14:textId="60609BE2" w:rsidR="002B6D25" w:rsidRPr="003E3993" w:rsidRDefault="002B6D25" w:rsidP="002B6D25">
      <w:pPr>
        <w:rPr>
          <w:rFonts w:cs="Times New Roman"/>
          <w:lang w:val="en-AU"/>
        </w:rPr>
      </w:pPr>
      <w:r w:rsidRPr="003E3993">
        <w:rPr>
          <w:rFonts w:cs="Times New Roman"/>
        </w:rPr>
        <w:t xml:space="preserve">While retrofitting older systems with </w:t>
      </w:r>
      <w:r w:rsidR="00EA6C13">
        <w:rPr>
          <w:rFonts w:cs="Times New Roman"/>
        </w:rPr>
        <w:t xml:space="preserve">reduced </w:t>
      </w:r>
      <w:r w:rsidRPr="003E3993">
        <w:rPr>
          <w:rFonts w:cs="Times New Roman"/>
        </w:rPr>
        <w:t>GWP</w:t>
      </w:r>
      <w:r w:rsidR="00E476A8">
        <w:rPr>
          <w:rFonts w:cs="Times New Roman"/>
        </w:rPr>
        <w:t xml:space="preserve"> refrigerant</w:t>
      </w:r>
      <w:r w:rsidRPr="003E3993">
        <w:rPr>
          <w:rFonts w:cs="Times New Roman"/>
        </w:rPr>
        <w:t xml:space="preserve"> and new blends </w:t>
      </w:r>
      <w:r w:rsidR="007B711D">
        <w:rPr>
          <w:rFonts w:cs="Times New Roman"/>
        </w:rPr>
        <w:t>is</w:t>
      </w:r>
      <w:r w:rsidR="007B711D" w:rsidRPr="003E3993">
        <w:rPr>
          <w:rFonts w:cs="Times New Roman"/>
        </w:rPr>
        <w:t xml:space="preserve"> </w:t>
      </w:r>
      <w:r w:rsidR="00F26D5C">
        <w:rPr>
          <w:rFonts w:cs="Times New Roman"/>
        </w:rPr>
        <w:t xml:space="preserve">being considered and </w:t>
      </w:r>
      <w:r w:rsidR="009F5EAE">
        <w:rPr>
          <w:rFonts w:cs="Times New Roman"/>
        </w:rPr>
        <w:t>trialled</w:t>
      </w:r>
      <w:r w:rsidRPr="003E3993">
        <w:rPr>
          <w:rFonts w:cs="Times New Roman"/>
        </w:rPr>
        <w:t xml:space="preserve">, investment trends in new equipment demonstrate that the </w:t>
      </w:r>
      <w:r w:rsidRPr="007022AD">
        <w:rPr>
          <w:rFonts w:cs="Times New Roman"/>
        </w:rPr>
        <w:t xml:space="preserve">large and medium </w:t>
      </w:r>
      <w:r w:rsidRPr="007022AD">
        <w:rPr>
          <w:rFonts w:cs="Times New Roman"/>
          <w:lang w:val="en-AU"/>
        </w:rPr>
        <w:t>supermarket</w:t>
      </w:r>
      <w:r w:rsidRPr="003E3993">
        <w:rPr>
          <w:rFonts w:cs="Times New Roman"/>
          <w:lang w:val="en-AU"/>
        </w:rPr>
        <w:t xml:space="preserve"> segments in Australia are rapidly adopting refrigeration systems that need much smaller HFC charges overall</w:t>
      </w:r>
      <w:r>
        <w:rPr>
          <w:rFonts w:cs="Times New Roman"/>
          <w:lang w:val="en-AU"/>
        </w:rPr>
        <w:t>.</w:t>
      </w:r>
    </w:p>
    <w:p w14:paraId="26A648A5" w14:textId="7B751352" w:rsidR="002B6D25" w:rsidRPr="003E3993" w:rsidRDefault="002B6D25" w:rsidP="002B6D25">
      <w:pPr>
        <w:rPr>
          <w:rFonts w:cs="Times New Roman"/>
        </w:rPr>
      </w:pPr>
      <w:r w:rsidRPr="003E3993">
        <w:rPr>
          <w:rFonts w:cs="Times New Roman"/>
          <w:lang w:val="en-AU"/>
        </w:rPr>
        <w:t xml:space="preserve">This is being achieved with the active adoption of </w:t>
      </w:r>
      <w:r>
        <w:rPr>
          <w:rFonts w:cs="Times New Roman"/>
          <w:lang w:val="en-AU"/>
        </w:rPr>
        <w:t>‘</w:t>
      </w:r>
      <w:r w:rsidRPr="003E3993">
        <w:rPr>
          <w:rFonts w:cs="Times New Roman"/>
          <w:lang w:val="en-AU"/>
        </w:rPr>
        <w:t>cascade</w:t>
      </w:r>
      <w:r>
        <w:rPr>
          <w:rFonts w:cs="Times New Roman"/>
          <w:lang w:val="en-AU"/>
        </w:rPr>
        <w:t>’</w:t>
      </w:r>
      <w:r w:rsidRPr="003E3993">
        <w:rPr>
          <w:rFonts w:cs="Times New Roman"/>
          <w:lang w:val="en-AU"/>
        </w:rPr>
        <w:t xml:space="preserve"> refrigeration systems that </w:t>
      </w:r>
      <w:r>
        <w:rPr>
          <w:rFonts w:cs="Times New Roman"/>
          <w:lang w:val="en-AU"/>
        </w:rPr>
        <w:t>employ</w:t>
      </w:r>
      <w:r w:rsidRPr="003E3993">
        <w:rPr>
          <w:rFonts w:cs="Times New Roman"/>
          <w:lang w:val="en-AU"/>
        </w:rPr>
        <w:t xml:space="preserve"> a</w:t>
      </w:r>
      <w:r>
        <w:rPr>
          <w:rFonts w:cs="Times New Roman"/>
          <w:lang w:val="en-AU"/>
        </w:rPr>
        <w:t xml:space="preserve"> </w:t>
      </w:r>
      <w:r w:rsidR="00436D8B">
        <w:rPr>
          <w:rFonts w:cs="Times New Roman"/>
          <w:lang w:val="en-AU"/>
        </w:rPr>
        <w:t xml:space="preserve">smaller </w:t>
      </w:r>
      <w:r w:rsidR="00EA6C13">
        <w:rPr>
          <w:rFonts w:cs="Times New Roman"/>
          <w:lang w:val="en-AU"/>
        </w:rPr>
        <w:t xml:space="preserve">charge </w:t>
      </w:r>
      <w:r w:rsidR="00436D8B">
        <w:rPr>
          <w:rFonts w:cs="Times New Roman"/>
          <w:lang w:val="en-AU"/>
        </w:rPr>
        <w:t xml:space="preserve">of </w:t>
      </w:r>
      <w:r w:rsidRPr="003E3993">
        <w:rPr>
          <w:rFonts w:cs="Times New Roman"/>
          <w:lang w:val="en-AU"/>
        </w:rPr>
        <w:t xml:space="preserve">high GWP HFC in </w:t>
      </w:r>
      <w:r>
        <w:rPr>
          <w:rFonts w:cs="Times New Roman"/>
          <w:lang w:val="en-AU"/>
        </w:rPr>
        <w:t>the primary cooling loop</w:t>
      </w:r>
      <w:r w:rsidRPr="003E3993">
        <w:rPr>
          <w:rFonts w:cs="Times New Roman"/>
          <w:lang w:val="en-AU"/>
        </w:rPr>
        <w:t xml:space="preserve">, and </w:t>
      </w:r>
      <w:r w:rsidR="00436D8B">
        <w:rPr>
          <w:rFonts w:cs="Times New Roman"/>
          <w:lang w:val="en-AU"/>
        </w:rPr>
        <w:t xml:space="preserve">a </w:t>
      </w:r>
      <w:r w:rsidRPr="003E3993">
        <w:rPr>
          <w:rFonts w:cs="Times New Roman"/>
          <w:lang w:val="en-AU"/>
        </w:rPr>
        <w:t>charge of CO</w:t>
      </w:r>
      <w:r w:rsidRPr="003E3993">
        <w:rPr>
          <w:rFonts w:cs="Times New Roman"/>
          <w:vertAlign w:val="subscript"/>
          <w:lang w:val="en-AU"/>
        </w:rPr>
        <w:t>2</w:t>
      </w:r>
      <w:r w:rsidRPr="003E3993">
        <w:rPr>
          <w:rFonts w:cs="Times New Roman"/>
          <w:lang w:val="en-AU"/>
        </w:rPr>
        <w:t xml:space="preserve"> in a secondary </w:t>
      </w:r>
      <w:r>
        <w:rPr>
          <w:rFonts w:cs="Times New Roman"/>
          <w:lang w:val="en-AU"/>
        </w:rPr>
        <w:t xml:space="preserve">refrigerant circuit (i.e. </w:t>
      </w:r>
      <w:r w:rsidR="00436D8B">
        <w:rPr>
          <w:rFonts w:cs="Times New Roman"/>
          <w:lang w:val="en-AU"/>
        </w:rPr>
        <w:t xml:space="preserve">a </w:t>
      </w:r>
      <w:r>
        <w:rPr>
          <w:rFonts w:cs="Times New Roman"/>
          <w:lang w:val="en-AU"/>
        </w:rPr>
        <w:t xml:space="preserve">large store with 1,000 kg </w:t>
      </w:r>
      <w:r w:rsidR="00436D8B">
        <w:rPr>
          <w:rFonts w:cs="Times New Roman"/>
          <w:lang w:val="en-AU"/>
        </w:rPr>
        <w:t xml:space="preserve">refrigerant </w:t>
      </w:r>
      <w:r>
        <w:rPr>
          <w:rFonts w:cs="Times New Roman"/>
          <w:lang w:val="en-AU"/>
        </w:rPr>
        <w:t>charge comprising 2/3 HFC-134a and 1/3 CO</w:t>
      </w:r>
      <w:r w:rsidRPr="00D50792">
        <w:rPr>
          <w:rFonts w:cs="Times New Roman"/>
          <w:vertAlign w:val="subscript"/>
          <w:lang w:val="en-AU"/>
        </w:rPr>
        <w:t>2</w:t>
      </w:r>
      <w:r>
        <w:rPr>
          <w:rFonts w:cs="Times New Roman"/>
          <w:lang w:val="en-AU"/>
        </w:rPr>
        <w:t>). Cascade systems are now regularly being specified for new</w:t>
      </w:r>
      <w:r w:rsidR="00436D8B">
        <w:rPr>
          <w:rFonts w:cs="Times New Roman"/>
          <w:lang w:val="en-AU"/>
        </w:rPr>
        <w:t>ly</w:t>
      </w:r>
      <w:r>
        <w:rPr>
          <w:rFonts w:cs="Times New Roman"/>
          <w:lang w:val="en-AU"/>
        </w:rPr>
        <w:t xml:space="preserve"> buil</w:t>
      </w:r>
      <w:r w:rsidR="00436D8B">
        <w:rPr>
          <w:rFonts w:cs="Times New Roman"/>
          <w:lang w:val="en-AU"/>
        </w:rPr>
        <w:t>t</w:t>
      </w:r>
      <w:r>
        <w:rPr>
          <w:rFonts w:cs="Times New Roman"/>
          <w:lang w:val="en-AU"/>
        </w:rPr>
        <w:t xml:space="preserve"> large supermarkets.</w:t>
      </w:r>
    </w:p>
    <w:p w14:paraId="543DB8C8" w14:textId="406C5338" w:rsidR="002B6D25" w:rsidRPr="003E3993" w:rsidRDefault="002B6D25" w:rsidP="002B6D25">
      <w:pPr>
        <w:rPr>
          <w:rFonts w:cs="Times New Roman"/>
          <w:lang w:val="en-AU"/>
        </w:rPr>
      </w:pPr>
      <w:r w:rsidRPr="003E3993">
        <w:rPr>
          <w:rFonts w:cs="Times New Roman"/>
          <w:lang w:val="en-AU"/>
        </w:rPr>
        <w:t>The first HFC/CO</w:t>
      </w:r>
      <w:r w:rsidRPr="003E3993">
        <w:rPr>
          <w:rFonts w:cs="Times New Roman"/>
          <w:vertAlign w:val="subscript"/>
          <w:lang w:val="en-AU"/>
        </w:rPr>
        <w:t>2</w:t>
      </w:r>
      <w:r w:rsidRPr="003E3993">
        <w:rPr>
          <w:rFonts w:cs="Times New Roman"/>
          <w:lang w:val="en-AU"/>
        </w:rPr>
        <w:t xml:space="preserve"> cascade refrigeration system was installed in Australia in 2005 by Coles</w:t>
      </w:r>
      <w:r w:rsidR="00EA6C13">
        <w:rPr>
          <w:rFonts w:cs="Times New Roman"/>
          <w:lang w:val="en-AU"/>
        </w:rPr>
        <w:t xml:space="preserve"> and other varieties were </w:t>
      </w:r>
      <w:r w:rsidR="009F5EAE">
        <w:rPr>
          <w:rFonts w:cs="Times New Roman"/>
          <w:lang w:val="en-AU"/>
        </w:rPr>
        <w:t>trialled</w:t>
      </w:r>
      <w:r w:rsidR="00EA6C13">
        <w:rPr>
          <w:rFonts w:cs="Times New Roman"/>
          <w:lang w:val="en-AU"/>
        </w:rPr>
        <w:t xml:space="preserve"> including </w:t>
      </w:r>
      <w:r w:rsidR="00835EFF">
        <w:rPr>
          <w:rFonts w:cs="Times New Roman"/>
          <w:lang w:val="en-AU"/>
        </w:rPr>
        <w:t xml:space="preserve">an </w:t>
      </w:r>
      <w:r w:rsidR="00EA6C13">
        <w:rPr>
          <w:rFonts w:cs="Times New Roman"/>
          <w:lang w:val="en-AU"/>
        </w:rPr>
        <w:t>ammonia/CO</w:t>
      </w:r>
      <w:r w:rsidR="00EA6C13" w:rsidRPr="00EA6C13">
        <w:rPr>
          <w:rFonts w:cs="Times New Roman"/>
          <w:vertAlign w:val="subscript"/>
          <w:lang w:val="en-AU"/>
        </w:rPr>
        <w:t>2</w:t>
      </w:r>
      <w:r w:rsidR="00EA6C13">
        <w:rPr>
          <w:rFonts w:cs="Times New Roman"/>
          <w:lang w:val="en-AU"/>
        </w:rPr>
        <w:t xml:space="preserve"> cascade</w:t>
      </w:r>
      <w:r w:rsidR="00835EFF">
        <w:rPr>
          <w:rFonts w:cs="Times New Roman"/>
          <w:lang w:val="en-AU"/>
        </w:rPr>
        <w:t xml:space="preserve"> system</w:t>
      </w:r>
      <w:r w:rsidRPr="003E3993">
        <w:rPr>
          <w:rFonts w:cs="Times New Roman"/>
          <w:lang w:val="en-AU"/>
        </w:rPr>
        <w:t xml:space="preserve">. There are now more </w:t>
      </w:r>
      <w:r w:rsidRPr="00D264AE">
        <w:rPr>
          <w:rFonts w:cs="Times New Roman"/>
          <w:lang w:val="en-AU"/>
        </w:rPr>
        <w:t>than 800 of</w:t>
      </w:r>
      <w:r w:rsidRPr="003E3993">
        <w:rPr>
          <w:rFonts w:cs="Times New Roman"/>
          <w:lang w:val="en-AU"/>
        </w:rPr>
        <w:t xml:space="preserve"> these </w:t>
      </w:r>
      <w:r w:rsidR="006A141F">
        <w:rPr>
          <w:rFonts w:cs="Times New Roman"/>
          <w:lang w:val="en-AU"/>
        </w:rPr>
        <w:t xml:space="preserve">advanced refrigeration </w:t>
      </w:r>
      <w:r w:rsidRPr="003E3993">
        <w:rPr>
          <w:rFonts w:cs="Times New Roman"/>
          <w:lang w:val="en-AU"/>
        </w:rPr>
        <w:t>systems in operation in Australian supermarkets</w:t>
      </w:r>
      <w:r w:rsidR="00835EFF">
        <w:rPr>
          <w:rFonts w:cs="Times New Roman"/>
          <w:lang w:val="en-AU"/>
        </w:rPr>
        <w:t>.</w:t>
      </w:r>
      <w:r w:rsidRPr="003E3993">
        <w:rPr>
          <w:rFonts w:cs="Times New Roman"/>
          <w:lang w:val="en-AU"/>
        </w:rPr>
        <w:t xml:space="preserve"> </w:t>
      </w:r>
    </w:p>
    <w:p w14:paraId="7E3B4047" w14:textId="77777777" w:rsidR="00971EEF" w:rsidRDefault="002B6D25" w:rsidP="002B6D25">
      <w:pPr>
        <w:rPr>
          <w:rFonts w:cs="Times New Roman"/>
          <w:lang w:val="en-AU"/>
        </w:rPr>
      </w:pPr>
      <w:r w:rsidRPr="003E3993">
        <w:rPr>
          <w:rFonts w:cs="Times New Roman"/>
          <w:lang w:val="en-AU"/>
        </w:rPr>
        <w:t>The technology formats and charge sizes in cascade systems vary significantly, however the primary refrigerant of choice is HFC-134a</w:t>
      </w:r>
      <w:r>
        <w:rPr>
          <w:rFonts w:cs="Times New Roman"/>
          <w:lang w:val="en-AU"/>
        </w:rPr>
        <w:t xml:space="preserve"> comprising around two thirds of the total charge</w:t>
      </w:r>
      <w:r w:rsidRPr="003E3993">
        <w:rPr>
          <w:rFonts w:cs="Times New Roman"/>
          <w:lang w:val="en-AU"/>
        </w:rPr>
        <w:t xml:space="preserve">, </w:t>
      </w:r>
      <w:r>
        <w:rPr>
          <w:rFonts w:cs="Times New Roman"/>
          <w:lang w:val="en-AU"/>
        </w:rPr>
        <w:t xml:space="preserve">and </w:t>
      </w:r>
      <w:r w:rsidRPr="003E3993">
        <w:rPr>
          <w:rFonts w:cs="Times New Roman"/>
          <w:lang w:val="en-AU"/>
        </w:rPr>
        <w:t>CO</w:t>
      </w:r>
      <w:r w:rsidRPr="003E3993">
        <w:rPr>
          <w:rFonts w:cs="Times New Roman"/>
          <w:vertAlign w:val="subscript"/>
          <w:lang w:val="en-AU"/>
        </w:rPr>
        <w:t>2</w:t>
      </w:r>
      <w:r w:rsidRPr="003E3993">
        <w:rPr>
          <w:rFonts w:cs="Times New Roman"/>
          <w:lang w:val="en-AU"/>
        </w:rPr>
        <w:t xml:space="preserve"> as the secondary refrigerant</w:t>
      </w:r>
      <w:r>
        <w:rPr>
          <w:rFonts w:cs="Times New Roman"/>
          <w:lang w:val="en-AU"/>
        </w:rPr>
        <w:t xml:space="preserve"> with</w:t>
      </w:r>
      <w:r w:rsidR="00436D8B">
        <w:rPr>
          <w:rFonts w:cs="Times New Roman"/>
          <w:lang w:val="en-AU"/>
        </w:rPr>
        <w:t xml:space="preserve"> CO</w:t>
      </w:r>
      <w:r w:rsidR="00436D8B" w:rsidRPr="000B4DE9">
        <w:rPr>
          <w:rFonts w:cs="Times New Roman"/>
          <w:vertAlign w:val="subscript"/>
          <w:lang w:val="en-AU"/>
        </w:rPr>
        <w:t>2</w:t>
      </w:r>
      <w:r>
        <w:rPr>
          <w:rFonts w:cs="Times New Roman"/>
          <w:lang w:val="en-AU"/>
        </w:rPr>
        <w:t xml:space="preserve"> charges ranging from more than 400 kg to as little as 25 kg of CO</w:t>
      </w:r>
      <w:r w:rsidRPr="00000BEE">
        <w:rPr>
          <w:rFonts w:cs="Times New Roman"/>
          <w:vertAlign w:val="subscript"/>
          <w:lang w:val="en-AU"/>
        </w:rPr>
        <w:t>2</w:t>
      </w:r>
      <w:r w:rsidRPr="003E3993">
        <w:rPr>
          <w:rFonts w:cs="Times New Roman"/>
          <w:lang w:val="en-AU"/>
        </w:rPr>
        <w:t>. This format means there will be scope to replace the HFC-134a charged phase with lower GWP blends at some time in the future</w:t>
      </w:r>
      <w:r>
        <w:rPr>
          <w:rFonts w:cs="Times New Roman"/>
          <w:lang w:val="en-AU"/>
        </w:rPr>
        <w:t xml:space="preserve"> as effective replacements are proven and released to the market</w:t>
      </w:r>
      <w:r w:rsidRPr="003E3993">
        <w:rPr>
          <w:rFonts w:cs="Times New Roman"/>
          <w:lang w:val="en-AU"/>
        </w:rPr>
        <w:t>.</w:t>
      </w:r>
    </w:p>
    <w:p w14:paraId="04083F1C" w14:textId="5B91BEBB" w:rsidR="00E94279" w:rsidRDefault="00E94279" w:rsidP="00E94279">
      <w:pPr>
        <w:rPr>
          <w:lang w:val="en-AU"/>
        </w:rPr>
      </w:pPr>
      <w:r>
        <w:rPr>
          <w:lang w:val="en-AU"/>
        </w:rPr>
        <w:t xml:space="preserve">A great deal has been learned about the variables that drive energy consumption in supermarket refrigeration technology over the last </w:t>
      </w:r>
      <w:r w:rsidR="00A56117">
        <w:rPr>
          <w:lang w:val="en-AU"/>
        </w:rPr>
        <w:t>5</w:t>
      </w:r>
      <w:r>
        <w:rPr>
          <w:lang w:val="en-AU"/>
        </w:rPr>
        <w:t xml:space="preserve"> years. Leaders in the supermarket industry have been working hard to </w:t>
      </w:r>
      <w:r w:rsidRPr="00F961EF">
        <w:rPr>
          <w:lang w:val="en-AU"/>
        </w:rPr>
        <w:t xml:space="preserve">deliver reliable, robust, cost effective </w:t>
      </w:r>
      <w:r>
        <w:rPr>
          <w:lang w:val="en-AU"/>
        </w:rPr>
        <w:t xml:space="preserve">low GWP refrigerant options that can be replicated at any site, and establishing </w:t>
      </w:r>
      <w:r w:rsidRPr="00F961EF">
        <w:rPr>
          <w:lang w:val="en-AU"/>
        </w:rPr>
        <w:t xml:space="preserve">baseline </w:t>
      </w:r>
      <w:r>
        <w:rPr>
          <w:lang w:val="en-AU"/>
        </w:rPr>
        <w:t xml:space="preserve">performance </w:t>
      </w:r>
      <w:r w:rsidRPr="00F961EF">
        <w:rPr>
          <w:lang w:val="en-AU"/>
        </w:rPr>
        <w:t xml:space="preserve">for </w:t>
      </w:r>
      <w:r>
        <w:rPr>
          <w:lang w:val="en-AU"/>
        </w:rPr>
        <w:t>new systems that can be used to benchmark</w:t>
      </w:r>
      <w:r w:rsidRPr="00F961EF">
        <w:rPr>
          <w:lang w:val="en-AU"/>
        </w:rPr>
        <w:t xml:space="preserve"> improvements at</w:t>
      </w:r>
      <w:r>
        <w:rPr>
          <w:lang w:val="en-AU"/>
        </w:rPr>
        <w:t xml:space="preserve"> </w:t>
      </w:r>
      <w:r w:rsidRPr="00F961EF">
        <w:rPr>
          <w:lang w:val="en-AU"/>
        </w:rPr>
        <w:t>successive installations</w:t>
      </w:r>
      <w:r>
        <w:rPr>
          <w:lang w:val="en-AU"/>
        </w:rPr>
        <w:t xml:space="preserve">. The long-term objective of the work has been to establish a technology mix that can be used as the foundation </w:t>
      </w:r>
      <w:r w:rsidRPr="00F961EF">
        <w:rPr>
          <w:lang w:val="en-AU"/>
        </w:rPr>
        <w:t>for industry</w:t>
      </w:r>
      <w:r>
        <w:rPr>
          <w:lang w:val="en-AU"/>
        </w:rPr>
        <w:t xml:space="preserve"> </w:t>
      </w:r>
      <w:r w:rsidRPr="00F961EF">
        <w:rPr>
          <w:lang w:val="en-AU"/>
        </w:rPr>
        <w:t xml:space="preserve">transformation </w:t>
      </w:r>
      <w:r>
        <w:rPr>
          <w:lang w:val="en-AU"/>
        </w:rPr>
        <w:t>as the supermarket industry adapts to 21</w:t>
      </w:r>
      <w:r w:rsidRPr="00E4612C">
        <w:rPr>
          <w:vertAlign w:val="superscript"/>
          <w:lang w:val="en-AU"/>
        </w:rPr>
        <w:t>st</w:t>
      </w:r>
      <w:r>
        <w:rPr>
          <w:lang w:val="en-AU"/>
        </w:rPr>
        <w:t xml:space="preserve"> century demands for hyper energy efficiency in operations, and minimal to zero emissions.</w:t>
      </w:r>
    </w:p>
    <w:p w14:paraId="4B69C8A6" w14:textId="37B12550" w:rsidR="00E94279" w:rsidRDefault="00E94279" w:rsidP="00E94279">
      <w:pPr>
        <w:rPr>
          <w:lang w:val="en-AU"/>
        </w:rPr>
      </w:pPr>
      <w:r>
        <w:rPr>
          <w:lang w:val="en-AU"/>
        </w:rPr>
        <w:t xml:space="preserve">In the delivery of mission critical refrigeration this goal has been achieved with </w:t>
      </w:r>
      <w:r w:rsidRPr="00F961EF">
        <w:rPr>
          <w:lang w:val="en-AU"/>
        </w:rPr>
        <w:t xml:space="preserve">cascade </w:t>
      </w:r>
      <w:r>
        <w:rPr>
          <w:lang w:val="en-AU"/>
        </w:rPr>
        <w:t>HFC-</w:t>
      </w:r>
      <w:r w:rsidRPr="00F961EF">
        <w:rPr>
          <w:lang w:val="en-AU"/>
        </w:rPr>
        <w:t>134a</w:t>
      </w:r>
      <w:r w:rsidR="00D254A9">
        <w:rPr>
          <w:lang w:val="en-AU"/>
        </w:rPr>
        <w:t>/</w:t>
      </w:r>
      <w:r w:rsidRPr="00F961EF">
        <w:rPr>
          <w:lang w:val="en-AU"/>
        </w:rPr>
        <w:t>CO</w:t>
      </w:r>
      <w:r w:rsidRPr="00C8615F">
        <w:rPr>
          <w:vertAlign w:val="subscript"/>
          <w:lang w:val="en-AU"/>
        </w:rPr>
        <w:t>2</w:t>
      </w:r>
      <w:r>
        <w:rPr>
          <w:lang w:val="en-AU"/>
        </w:rPr>
        <w:t xml:space="preserve"> systems that are typically one third more efficient than </w:t>
      </w:r>
      <w:r w:rsidRPr="00F961EF">
        <w:rPr>
          <w:lang w:val="en-AU"/>
        </w:rPr>
        <w:t xml:space="preserve">older </w:t>
      </w:r>
      <w:r>
        <w:rPr>
          <w:lang w:val="en-AU"/>
        </w:rPr>
        <w:t>HFC-</w:t>
      </w:r>
      <w:r w:rsidRPr="00F961EF">
        <w:rPr>
          <w:lang w:val="en-AU"/>
        </w:rPr>
        <w:t>404a parallel</w:t>
      </w:r>
      <w:r>
        <w:rPr>
          <w:lang w:val="en-AU"/>
        </w:rPr>
        <w:t xml:space="preserve"> </w:t>
      </w:r>
      <w:r w:rsidRPr="00F961EF">
        <w:rPr>
          <w:lang w:val="en-AU"/>
        </w:rPr>
        <w:t xml:space="preserve">rack systems </w:t>
      </w:r>
      <w:r>
        <w:rPr>
          <w:lang w:val="en-AU"/>
        </w:rPr>
        <w:t>when comparing systems of similar capacity and in the same climatic conditions</w:t>
      </w:r>
      <w:r>
        <w:rPr>
          <w:rStyle w:val="FootnoteReference"/>
        </w:rPr>
        <w:footnoteReference w:id="28"/>
      </w:r>
      <w:r w:rsidR="00D10EE1">
        <w:rPr>
          <w:lang w:val="en-AU"/>
        </w:rPr>
        <w:t>.</w:t>
      </w:r>
    </w:p>
    <w:p w14:paraId="344359FA" w14:textId="014EF67C" w:rsidR="00E94279" w:rsidRDefault="00E94279" w:rsidP="00E94279">
      <w:pPr>
        <w:rPr>
          <w:lang w:val="en-AU"/>
        </w:rPr>
      </w:pPr>
      <w:r>
        <w:rPr>
          <w:lang w:val="en-AU"/>
        </w:rPr>
        <w:t>For some time, efficient operation of trans-critical CO</w:t>
      </w:r>
      <w:r w:rsidRPr="0075752C">
        <w:rPr>
          <w:vertAlign w:val="subscript"/>
          <w:lang w:val="en-AU"/>
        </w:rPr>
        <w:t>2</w:t>
      </w:r>
      <w:r>
        <w:rPr>
          <w:lang w:val="en-AU"/>
        </w:rPr>
        <w:t xml:space="preserve"> systems has been restricted in warmer climatic zones due to the low critical temperature of CO</w:t>
      </w:r>
      <w:r w:rsidRPr="0075752C">
        <w:rPr>
          <w:vertAlign w:val="subscript"/>
          <w:lang w:val="en-AU"/>
        </w:rPr>
        <w:t>2</w:t>
      </w:r>
      <w:r>
        <w:rPr>
          <w:lang w:val="en-AU"/>
        </w:rPr>
        <w:t xml:space="preserve"> refrigerant (e.g. critical temperature of CO</w:t>
      </w:r>
      <w:r w:rsidRPr="0075752C">
        <w:rPr>
          <w:vertAlign w:val="subscript"/>
          <w:lang w:val="en-AU"/>
        </w:rPr>
        <w:t>2</w:t>
      </w:r>
      <w:r>
        <w:rPr>
          <w:lang w:val="en-AU"/>
        </w:rPr>
        <w:t xml:space="preserve"> is 31.1</w:t>
      </w:r>
      <w:r w:rsidRPr="00C8615F">
        <w:rPr>
          <w:vertAlign w:val="superscript"/>
          <w:lang w:val="en-AU"/>
        </w:rPr>
        <w:t>o</w:t>
      </w:r>
      <w:r>
        <w:rPr>
          <w:lang w:val="en-AU"/>
        </w:rPr>
        <w:t>C versus 101</w:t>
      </w:r>
      <w:r w:rsidRPr="00C8615F">
        <w:rPr>
          <w:vertAlign w:val="superscript"/>
          <w:lang w:val="en-AU"/>
        </w:rPr>
        <w:t>o</w:t>
      </w:r>
      <w:r>
        <w:rPr>
          <w:lang w:val="en-AU"/>
        </w:rPr>
        <w:t>C for HFC-134a). This characteristic of CO</w:t>
      </w:r>
      <w:r w:rsidRPr="0075752C">
        <w:rPr>
          <w:vertAlign w:val="subscript"/>
          <w:lang w:val="en-AU"/>
        </w:rPr>
        <w:t>2</w:t>
      </w:r>
      <w:r>
        <w:rPr>
          <w:lang w:val="en-AU"/>
        </w:rPr>
        <w:t xml:space="preserve"> refrigerants has been a technical barrier for use of trans-critical CO</w:t>
      </w:r>
      <w:r w:rsidRPr="00E238A4">
        <w:rPr>
          <w:vertAlign w:val="subscript"/>
          <w:lang w:val="en-AU"/>
        </w:rPr>
        <w:t>2</w:t>
      </w:r>
      <w:r>
        <w:rPr>
          <w:lang w:val="en-AU"/>
        </w:rPr>
        <w:t xml:space="preserve"> systems in higher ambient regions in Australia, with the early CO</w:t>
      </w:r>
      <w:r w:rsidRPr="00A56117">
        <w:rPr>
          <w:vertAlign w:val="subscript"/>
          <w:lang w:val="en-AU"/>
        </w:rPr>
        <w:t>2</w:t>
      </w:r>
      <w:r>
        <w:rPr>
          <w:lang w:val="en-AU"/>
        </w:rPr>
        <w:t xml:space="preserve"> trans-critical systems only found to perform efficiently in BCA climate zones 6 and 7. Early designs for trans-critical CO</w:t>
      </w:r>
      <w:r w:rsidRPr="0075752C">
        <w:rPr>
          <w:vertAlign w:val="subscript"/>
          <w:lang w:val="en-AU"/>
        </w:rPr>
        <w:t>2</w:t>
      </w:r>
      <w:r>
        <w:rPr>
          <w:lang w:val="en-AU"/>
        </w:rPr>
        <w:t xml:space="preserve"> systems incurred an energy penalty in the hotter months in warmer climate zones, as compared to HFC charged systems.</w:t>
      </w:r>
    </w:p>
    <w:p w14:paraId="16DFA536" w14:textId="77777777" w:rsidR="00E94279" w:rsidRDefault="00E94279" w:rsidP="00E94279">
      <w:pPr>
        <w:rPr>
          <w:lang w:val="en-AU"/>
        </w:rPr>
      </w:pPr>
      <w:r>
        <w:rPr>
          <w:lang w:val="en-AU"/>
        </w:rPr>
        <w:t>However, a new generation of CO</w:t>
      </w:r>
      <w:r w:rsidRPr="0075752C">
        <w:rPr>
          <w:vertAlign w:val="subscript"/>
          <w:lang w:val="en-AU"/>
        </w:rPr>
        <w:t>2</w:t>
      </w:r>
      <w:r>
        <w:rPr>
          <w:lang w:val="en-AU"/>
        </w:rPr>
        <w:t xml:space="preserve"> trans-critical technology is rapidly evolving with a mix of technology enhancement add-ons including </w:t>
      </w:r>
      <w:r w:rsidRPr="00F961EF">
        <w:rPr>
          <w:lang w:val="en-AU"/>
        </w:rPr>
        <w:t>booster systems, parallel compression groups,</w:t>
      </w:r>
      <w:r>
        <w:rPr>
          <w:lang w:val="en-AU"/>
        </w:rPr>
        <w:t xml:space="preserve"> </w:t>
      </w:r>
      <w:r w:rsidRPr="00F961EF">
        <w:rPr>
          <w:lang w:val="en-AU"/>
        </w:rPr>
        <w:t>ejectors, adiabatic coolers</w:t>
      </w:r>
      <w:r>
        <w:rPr>
          <w:lang w:val="en-AU"/>
        </w:rPr>
        <w:t>, evaporative pre-cooling, indirect evaporative/dew point coolers and mechanical sub-cooling. Many of these innovations seek to manage the system g</w:t>
      </w:r>
      <w:r w:rsidRPr="0075752C">
        <w:rPr>
          <w:lang w:val="en-AU"/>
        </w:rPr>
        <w:t xml:space="preserve">as </w:t>
      </w:r>
      <w:r>
        <w:rPr>
          <w:lang w:val="en-AU"/>
        </w:rPr>
        <w:t>c</w:t>
      </w:r>
      <w:r w:rsidRPr="0075752C">
        <w:rPr>
          <w:lang w:val="en-AU"/>
        </w:rPr>
        <w:t xml:space="preserve">ooler </w:t>
      </w:r>
      <w:r>
        <w:rPr>
          <w:lang w:val="en-AU"/>
        </w:rPr>
        <w:t>o</w:t>
      </w:r>
      <w:r w:rsidRPr="0075752C">
        <w:rPr>
          <w:lang w:val="en-AU"/>
        </w:rPr>
        <w:t xml:space="preserve">utlet </w:t>
      </w:r>
      <w:r>
        <w:rPr>
          <w:lang w:val="en-AU"/>
        </w:rPr>
        <w:t>t</w:t>
      </w:r>
      <w:r w:rsidRPr="0075752C">
        <w:rPr>
          <w:lang w:val="en-AU"/>
        </w:rPr>
        <w:t>emperature</w:t>
      </w:r>
      <w:r>
        <w:rPr>
          <w:lang w:val="en-AU"/>
        </w:rPr>
        <w:t xml:space="preserve"> to offset the limitations of the low critical temperature of CO</w:t>
      </w:r>
      <w:r w:rsidRPr="0075752C">
        <w:rPr>
          <w:vertAlign w:val="subscript"/>
          <w:lang w:val="en-AU"/>
        </w:rPr>
        <w:t>2</w:t>
      </w:r>
      <w:r>
        <w:rPr>
          <w:lang w:val="en-AU"/>
        </w:rPr>
        <w:t>.</w:t>
      </w:r>
    </w:p>
    <w:p w14:paraId="562E1949" w14:textId="787A60F3" w:rsidR="00E94279" w:rsidRPr="00E94279" w:rsidRDefault="00E94279" w:rsidP="002B6D25">
      <w:pPr>
        <w:rPr>
          <w:lang w:val="en-AU"/>
        </w:rPr>
      </w:pPr>
      <w:r>
        <w:rPr>
          <w:lang w:val="en-AU"/>
        </w:rPr>
        <w:t xml:space="preserve">These systems are now well established in major supermarket groups and are starting to be employed by smaller independent supermarket operators. Leading supermarket contractor AJ Baker has installed </w:t>
      </w:r>
      <w:r w:rsidRPr="00E238A4">
        <w:rPr>
          <w:lang w:val="en-AU"/>
        </w:rPr>
        <w:t>CO</w:t>
      </w:r>
      <w:r w:rsidRPr="00E238A4">
        <w:rPr>
          <w:vertAlign w:val="subscript"/>
          <w:lang w:val="en-AU"/>
        </w:rPr>
        <w:t>2</w:t>
      </w:r>
      <w:r w:rsidRPr="00E238A4">
        <w:rPr>
          <w:lang w:val="en-AU"/>
        </w:rPr>
        <w:t xml:space="preserve"> trans</w:t>
      </w:r>
      <w:r w:rsidR="00A56117">
        <w:rPr>
          <w:lang w:val="en-AU"/>
        </w:rPr>
        <w:t>-</w:t>
      </w:r>
      <w:r w:rsidRPr="00E238A4">
        <w:rPr>
          <w:lang w:val="en-AU"/>
        </w:rPr>
        <w:t xml:space="preserve">critical </w:t>
      </w:r>
      <w:r>
        <w:rPr>
          <w:lang w:val="en-AU"/>
        </w:rPr>
        <w:t xml:space="preserve">systems across </w:t>
      </w:r>
      <w:r w:rsidRPr="00E238A4">
        <w:rPr>
          <w:lang w:val="en-AU"/>
        </w:rPr>
        <w:t xml:space="preserve">14 sites with seven in Perth, one in Brisbane, two in Sydney and 4 others </w:t>
      </w:r>
      <w:r>
        <w:rPr>
          <w:lang w:val="en-AU"/>
        </w:rPr>
        <w:t>in climate zones 5 and 6 as of March 2018.</w:t>
      </w:r>
      <w:r>
        <w:rPr>
          <w:rStyle w:val="FootnoteReference"/>
        </w:rPr>
        <w:footnoteReference w:id="29"/>
      </w:r>
      <w:r>
        <w:rPr>
          <w:lang w:val="en-AU"/>
        </w:rPr>
        <w:t xml:space="preserve"> The key lessons have been that </w:t>
      </w:r>
      <w:r w:rsidRPr="00691270">
        <w:rPr>
          <w:lang w:val="en-AU"/>
        </w:rPr>
        <w:t>system gas cooler outlet temperature</w:t>
      </w:r>
      <w:r>
        <w:rPr>
          <w:lang w:val="en-AU"/>
        </w:rPr>
        <w:t xml:space="preserve"> control is imperative for energy efficient operation in higher ambient temperatures zones, and that adiabatic coolers can deliver energy savings not previously possible in hotter months.</w:t>
      </w:r>
    </w:p>
    <w:p w14:paraId="3EC5AA0D" w14:textId="21F13F5D" w:rsidR="00A56117" w:rsidRDefault="00A56117" w:rsidP="00A56117">
      <w:pPr>
        <w:rPr>
          <w:rFonts w:cs="Times New Roman"/>
        </w:rPr>
      </w:pPr>
      <w:r w:rsidRPr="00A56117">
        <w:rPr>
          <w:rFonts w:cs="Times New Roman"/>
        </w:rPr>
        <w:t>A combination of the focus on alternative refrigerants, dedicated efforts to reduce losses of refrigerant, the shift to cascade systems with much smaller HFC charges, and the adoption of some CO</w:t>
      </w:r>
      <w:r w:rsidRPr="00A56117">
        <w:rPr>
          <w:rFonts w:cs="Times New Roman"/>
          <w:vertAlign w:val="subscript"/>
        </w:rPr>
        <w:t>2</w:t>
      </w:r>
      <w:r w:rsidR="00D10EE1">
        <w:rPr>
          <w:rFonts w:cs="Times New Roman"/>
        </w:rPr>
        <w:t>-</w:t>
      </w:r>
      <w:r w:rsidRPr="00A56117">
        <w:rPr>
          <w:rFonts w:cs="Times New Roman"/>
        </w:rPr>
        <w:t>only trans-critical systems, have all contributed to reduce demand for bulk refrigerant in supermarkets.</w:t>
      </w:r>
    </w:p>
    <w:p w14:paraId="4216D899" w14:textId="3F188955" w:rsidR="002B6D25" w:rsidRPr="003E3993" w:rsidRDefault="002B6D25" w:rsidP="002B6D25">
      <w:pPr>
        <w:rPr>
          <w:rFonts w:cs="Times New Roman"/>
          <w:lang w:val="en-AU"/>
        </w:rPr>
      </w:pPr>
      <w:r w:rsidRPr="003E3993">
        <w:rPr>
          <w:rFonts w:cs="Times New Roman"/>
          <w:lang w:val="en-AU"/>
        </w:rPr>
        <w:t xml:space="preserve">As a result of these trends, and particularly the surge in investment in cascade </w:t>
      </w:r>
      <w:r>
        <w:rPr>
          <w:rFonts w:cs="Times New Roman"/>
          <w:lang w:val="en-AU"/>
        </w:rPr>
        <w:t>and CO</w:t>
      </w:r>
      <w:r w:rsidRPr="00287428">
        <w:rPr>
          <w:rFonts w:cs="Times New Roman"/>
          <w:vertAlign w:val="subscript"/>
          <w:lang w:val="en-AU"/>
        </w:rPr>
        <w:t>2</w:t>
      </w:r>
      <w:r w:rsidR="00D10EE1">
        <w:rPr>
          <w:rFonts w:cs="Times New Roman"/>
          <w:lang w:val="en-AU"/>
        </w:rPr>
        <w:t>-</w:t>
      </w:r>
      <w:r>
        <w:rPr>
          <w:rFonts w:cs="Times New Roman"/>
          <w:lang w:val="en-AU"/>
        </w:rPr>
        <w:t xml:space="preserve">only trans-critical </w:t>
      </w:r>
      <w:r w:rsidR="00332F83">
        <w:rPr>
          <w:rFonts w:cs="Times New Roman"/>
          <w:lang w:val="en-AU"/>
        </w:rPr>
        <w:t>systems, the RAC Stock m</w:t>
      </w:r>
      <w:r w:rsidRPr="003E3993">
        <w:rPr>
          <w:rFonts w:cs="Times New Roman"/>
          <w:lang w:val="en-AU"/>
        </w:rPr>
        <w:t xml:space="preserve">odel predicts that </w:t>
      </w:r>
      <w:r w:rsidR="00542FFB">
        <w:rPr>
          <w:rFonts w:cs="Times New Roman"/>
          <w:lang w:val="en-AU"/>
        </w:rPr>
        <w:t xml:space="preserve">a significant portion of </w:t>
      </w:r>
      <w:r w:rsidRPr="003E3993">
        <w:rPr>
          <w:rFonts w:cs="Times New Roman"/>
          <w:lang w:val="en-AU"/>
        </w:rPr>
        <w:t xml:space="preserve">high GWP refrigerants will be removed from the supermarket sector by 2030, with around </w:t>
      </w:r>
      <w:r w:rsidR="00542FFB">
        <w:rPr>
          <w:rFonts w:cs="Times New Roman"/>
          <w:lang w:val="en-AU"/>
        </w:rPr>
        <w:t>35</w:t>
      </w:r>
      <w:r w:rsidRPr="003E3993">
        <w:rPr>
          <w:rFonts w:cs="Times New Roman"/>
          <w:lang w:val="en-AU"/>
        </w:rPr>
        <w:t xml:space="preserve">% of systems operating </w:t>
      </w:r>
      <w:r w:rsidRPr="00287428">
        <w:rPr>
          <w:rFonts w:cs="Times New Roman"/>
          <w:lang w:val="en-AU"/>
        </w:rPr>
        <w:t>entirely or in part</w:t>
      </w:r>
      <w:r w:rsidRPr="003E3993">
        <w:rPr>
          <w:rFonts w:cs="Times New Roman"/>
          <w:lang w:val="en-AU"/>
        </w:rPr>
        <w:t xml:space="preserve"> on CO</w:t>
      </w:r>
      <w:r w:rsidRPr="003E3993">
        <w:rPr>
          <w:rFonts w:cs="Times New Roman"/>
          <w:vertAlign w:val="subscript"/>
          <w:lang w:val="en-AU"/>
        </w:rPr>
        <w:t>2</w:t>
      </w:r>
      <w:r>
        <w:rPr>
          <w:rFonts w:cs="Times New Roman"/>
          <w:lang w:val="en-AU"/>
        </w:rPr>
        <w:t>.</w:t>
      </w:r>
      <w:r w:rsidRPr="003E3993">
        <w:rPr>
          <w:rFonts w:cs="Times New Roman"/>
          <w:lang w:val="en-AU"/>
        </w:rPr>
        <w:t xml:space="preserve"> </w:t>
      </w:r>
      <w:r>
        <w:rPr>
          <w:rFonts w:cs="Times New Roman"/>
          <w:lang w:val="en-AU"/>
        </w:rPr>
        <w:t>T</w:t>
      </w:r>
      <w:r w:rsidRPr="003E3993">
        <w:rPr>
          <w:rFonts w:cs="Times New Roman"/>
          <w:lang w:val="en-AU"/>
        </w:rPr>
        <w:t xml:space="preserve">he </w:t>
      </w:r>
      <w:r w:rsidR="00542FFB">
        <w:rPr>
          <w:rFonts w:cs="Times New Roman"/>
          <w:lang w:val="en-AU"/>
        </w:rPr>
        <w:t xml:space="preserve">model predicts around 35% </w:t>
      </w:r>
      <w:r w:rsidR="00D10EE1">
        <w:rPr>
          <w:rFonts w:cs="Times New Roman"/>
          <w:lang w:val="en-AU"/>
        </w:rPr>
        <w:t xml:space="preserve">of </w:t>
      </w:r>
      <w:r>
        <w:rPr>
          <w:rFonts w:cs="Times New Roman"/>
          <w:lang w:val="en-AU"/>
        </w:rPr>
        <w:t xml:space="preserve">refrigeration systems in supermarkets </w:t>
      </w:r>
      <w:r w:rsidR="00542FFB">
        <w:rPr>
          <w:rFonts w:cs="Times New Roman"/>
          <w:lang w:val="en-AU"/>
        </w:rPr>
        <w:t xml:space="preserve">will still be operating on high GWPs however this could be a conservative estimate if prices of high GWP refrigerant </w:t>
      </w:r>
      <w:r w:rsidR="009F5EAE">
        <w:rPr>
          <w:rFonts w:cs="Times New Roman"/>
          <w:lang w:val="en-AU"/>
        </w:rPr>
        <w:t>significantly</w:t>
      </w:r>
      <w:r w:rsidR="00542FFB">
        <w:rPr>
          <w:rFonts w:cs="Times New Roman"/>
          <w:lang w:val="en-AU"/>
        </w:rPr>
        <w:t xml:space="preserve"> increase compared to alternatives and </w:t>
      </w:r>
      <w:r w:rsidRPr="003E3993">
        <w:rPr>
          <w:rFonts w:cs="Times New Roman"/>
          <w:lang w:val="en-AU"/>
        </w:rPr>
        <w:t>lower GWP HFC blends.</w:t>
      </w:r>
      <w:r w:rsidR="006633A6">
        <w:rPr>
          <w:rFonts w:cs="Times New Roman"/>
          <w:lang w:val="en-AU"/>
        </w:rPr>
        <w:t xml:space="preserve"> The balance of refrigerants comprises lower GWP blends and HFOs with a smaller footprint of HC (&lt;1%) in 2030.</w:t>
      </w:r>
    </w:p>
    <w:p w14:paraId="018047E4" w14:textId="3CA975D7" w:rsidR="002B6D25" w:rsidRPr="003E3993" w:rsidRDefault="006633A6" w:rsidP="002B6D25">
      <w:pPr>
        <w:rPr>
          <w:rFonts w:cs="Times New Roman"/>
        </w:rPr>
      </w:pPr>
      <w:r w:rsidRPr="006633A6">
        <w:rPr>
          <w:rFonts w:cs="Times New Roman"/>
        </w:rPr>
        <w:t>While these predictions may appear to</w:t>
      </w:r>
      <w:r w:rsidR="007C5C52">
        <w:rPr>
          <w:rFonts w:cs="Times New Roman"/>
        </w:rPr>
        <w:t>o</w:t>
      </w:r>
      <w:r w:rsidRPr="006633A6">
        <w:rPr>
          <w:rFonts w:cs="Times New Roman"/>
        </w:rPr>
        <w:t xml:space="preserve"> conservative, this large fleet of hard working equipment, migrating from very nearly 100% high GWP HFC and HCFC charges in 2012, to low </w:t>
      </w:r>
      <w:r w:rsidR="001A237C">
        <w:rPr>
          <w:rFonts w:cs="Times New Roman"/>
        </w:rPr>
        <w:t>(i.e. CO</w:t>
      </w:r>
      <w:r w:rsidR="001A237C" w:rsidRPr="001A237C">
        <w:rPr>
          <w:rFonts w:cs="Times New Roman"/>
          <w:vertAlign w:val="subscript"/>
        </w:rPr>
        <w:t>2</w:t>
      </w:r>
      <w:r w:rsidR="001A237C">
        <w:rPr>
          <w:rFonts w:cs="Times New Roman"/>
        </w:rPr>
        <w:t xml:space="preserve">) </w:t>
      </w:r>
      <w:r w:rsidRPr="006633A6">
        <w:rPr>
          <w:rFonts w:cs="Times New Roman"/>
        </w:rPr>
        <w:t xml:space="preserve">or </w:t>
      </w:r>
      <w:r w:rsidR="001A237C">
        <w:rPr>
          <w:rFonts w:cs="Times New Roman"/>
        </w:rPr>
        <w:t xml:space="preserve">reduced </w:t>
      </w:r>
      <w:r w:rsidRPr="006633A6">
        <w:rPr>
          <w:rFonts w:cs="Times New Roman"/>
        </w:rPr>
        <w:t>GWP charges in a period of less than two decades is a significant challenge.</w:t>
      </w:r>
    </w:p>
    <w:p w14:paraId="3152B54B" w14:textId="0977B28A" w:rsidR="002B6D25" w:rsidRPr="003E3993" w:rsidRDefault="002B6D25" w:rsidP="002B6D25">
      <w:pPr>
        <w:rPr>
          <w:rFonts w:cs="Times New Roman"/>
        </w:rPr>
      </w:pPr>
      <w:r w:rsidRPr="003E3993">
        <w:rPr>
          <w:rFonts w:cs="Times New Roman"/>
        </w:rPr>
        <w:t xml:space="preserve">The two retailers who presently control the majority of food retail in Australia (estimated at </w:t>
      </w:r>
      <w:r>
        <w:rPr>
          <w:rFonts w:cs="Times New Roman"/>
        </w:rPr>
        <w:t xml:space="preserve">around 65% </w:t>
      </w:r>
      <w:r w:rsidRPr="003E3993">
        <w:rPr>
          <w:rFonts w:cs="Times New Roman"/>
        </w:rPr>
        <w:t xml:space="preserve">of </w:t>
      </w:r>
      <w:r>
        <w:rPr>
          <w:rFonts w:cs="Times New Roman"/>
        </w:rPr>
        <w:t>the trading floor</w:t>
      </w:r>
      <w:r w:rsidRPr="003E3993">
        <w:rPr>
          <w:rFonts w:cs="Times New Roman"/>
        </w:rPr>
        <w:t>), Coles and Woolworths have both made public commitments to deliver HFC free refrigeration in their supermarket fleet in the course of the next decade, by 2026-27</w:t>
      </w:r>
      <w:r>
        <w:rPr>
          <w:rFonts w:cs="Times New Roman"/>
        </w:rPr>
        <w:t xml:space="preserve"> (WOW 2017b, WF </w:t>
      </w:r>
      <w:r w:rsidR="0045332F">
        <w:rPr>
          <w:rFonts w:cs="Times New Roman"/>
        </w:rPr>
        <w:t>2017a</w:t>
      </w:r>
      <w:r>
        <w:rPr>
          <w:rFonts w:cs="Times New Roman"/>
        </w:rPr>
        <w:t>)</w:t>
      </w:r>
      <w:r w:rsidRPr="003E3993">
        <w:rPr>
          <w:rFonts w:cs="Times New Roman"/>
        </w:rPr>
        <w:t>.</w:t>
      </w:r>
      <w:r>
        <w:rPr>
          <w:rFonts w:cs="Times New Roman"/>
        </w:rPr>
        <w:t xml:space="preserve"> </w:t>
      </w:r>
    </w:p>
    <w:p w14:paraId="4D01D251" w14:textId="77AC5729" w:rsidR="002B6D25" w:rsidRPr="003E3993" w:rsidRDefault="002B6D25" w:rsidP="002B6D25">
      <w:pPr>
        <w:outlineLvl w:val="0"/>
        <w:rPr>
          <w:rFonts w:cs="Times New Roman"/>
        </w:rPr>
      </w:pPr>
      <w:r w:rsidRPr="003E3993">
        <w:rPr>
          <w:rFonts w:cs="Times New Roman"/>
        </w:rPr>
        <w:t xml:space="preserve">These declarations of intent and the corporate strategies underpinning them are worthy of note. </w:t>
      </w:r>
      <w:r>
        <w:rPr>
          <w:rFonts w:cs="Times New Roman"/>
        </w:rPr>
        <w:t>T</w:t>
      </w:r>
      <w:r w:rsidRPr="003E3993">
        <w:rPr>
          <w:rFonts w:cs="Times New Roman"/>
        </w:rPr>
        <w:t>heir central role in the RAC industry</w:t>
      </w:r>
      <w:r>
        <w:rPr>
          <w:rFonts w:cs="Times New Roman"/>
        </w:rPr>
        <w:t xml:space="preserve"> in Australia</w:t>
      </w:r>
      <w:r w:rsidRPr="003E3993">
        <w:rPr>
          <w:rFonts w:cs="Times New Roman"/>
        </w:rPr>
        <w:t xml:space="preserve"> means that the plans by these industry leaders to transform the technology employed in the cold food chain will have far reaching impacts on </w:t>
      </w:r>
      <w:r>
        <w:rPr>
          <w:rFonts w:cs="Times New Roman"/>
        </w:rPr>
        <w:t xml:space="preserve">the performance and characteristics of the refrigerated cold food chain, and on </w:t>
      </w:r>
      <w:r w:rsidRPr="003E3993">
        <w:rPr>
          <w:rFonts w:cs="Times New Roman"/>
        </w:rPr>
        <w:t>RAC supply chains.</w:t>
      </w:r>
    </w:p>
    <w:p w14:paraId="59EE4B1F" w14:textId="2998B6F5" w:rsidR="002B6D25" w:rsidRDefault="002B6D25" w:rsidP="002B6D25">
      <w:pPr>
        <w:rPr>
          <w:rFonts w:cs="Times New Roman"/>
        </w:rPr>
      </w:pPr>
      <w:r w:rsidRPr="003E3993">
        <w:rPr>
          <w:rFonts w:cs="Times New Roman"/>
        </w:rPr>
        <w:t>While the major supermarket operators have essentially declared the same intention of achieving HFC free refrigeration services, they are taking different approaches to achieving their aims.</w:t>
      </w:r>
    </w:p>
    <w:p w14:paraId="25C4D6C1" w14:textId="089476F9" w:rsidR="002B6D25" w:rsidRPr="003E3993" w:rsidRDefault="002B6D25" w:rsidP="002B6D25">
      <w:pPr>
        <w:spacing w:before="240"/>
        <w:rPr>
          <w:rFonts w:cs="Times New Roman"/>
          <w:b/>
          <w:lang w:val="en-AU"/>
        </w:rPr>
      </w:pPr>
      <w:r w:rsidRPr="003E3993">
        <w:rPr>
          <w:rFonts w:cs="Times New Roman"/>
          <w:b/>
          <w:lang w:val="en-AU"/>
        </w:rPr>
        <w:t xml:space="preserve">Coles </w:t>
      </w:r>
      <w:r w:rsidR="00A7009B">
        <w:rPr>
          <w:rFonts w:cs="Times New Roman"/>
          <w:b/>
          <w:lang w:val="en-AU"/>
        </w:rPr>
        <w:t>i</w:t>
      </w:r>
      <w:r w:rsidRPr="003E3993">
        <w:rPr>
          <w:rFonts w:cs="Times New Roman"/>
          <w:b/>
          <w:lang w:val="en-AU"/>
        </w:rPr>
        <w:t>nitiatives</w:t>
      </w:r>
    </w:p>
    <w:p w14:paraId="0B6F7293" w14:textId="77777777" w:rsidR="002B6D25" w:rsidRPr="003E3993" w:rsidRDefault="002B6D25" w:rsidP="002B6D25">
      <w:pPr>
        <w:rPr>
          <w:rFonts w:cs="Times New Roman"/>
          <w:lang w:val="en-AU"/>
        </w:rPr>
      </w:pPr>
      <w:r w:rsidRPr="003E3993">
        <w:rPr>
          <w:rFonts w:cs="Times New Roman"/>
          <w:lang w:val="en-AU"/>
        </w:rPr>
        <w:t xml:space="preserve">Coles </w:t>
      </w:r>
      <w:r>
        <w:rPr>
          <w:rFonts w:cs="Times New Roman"/>
          <w:lang w:val="en-AU"/>
        </w:rPr>
        <w:t xml:space="preserve">supermarket </w:t>
      </w:r>
      <w:r w:rsidRPr="003E3993">
        <w:rPr>
          <w:rFonts w:cs="Times New Roman"/>
          <w:lang w:val="en-AU"/>
        </w:rPr>
        <w:t>stores are serviced by central plantrooms. Since the launch of its first ‘green’ supermarket in Gisborne in 2005 Coles has remained at the forefront of development in supermarket refrigeration.</w:t>
      </w:r>
    </w:p>
    <w:p w14:paraId="4D8B1751" w14:textId="77777777" w:rsidR="002B6D25" w:rsidRPr="003E3993" w:rsidRDefault="002B6D25" w:rsidP="002B6D25">
      <w:pPr>
        <w:rPr>
          <w:rFonts w:cs="Times New Roman"/>
          <w:lang w:val="en-AU"/>
        </w:rPr>
      </w:pPr>
      <w:r w:rsidRPr="003E3993">
        <w:rPr>
          <w:rFonts w:cs="Times New Roman"/>
          <w:lang w:val="en-AU"/>
        </w:rPr>
        <w:t>Starting from just one cascade system at its Gisborne, Victoria, store in 2005, trials of CO</w:t>
      </w:r>
      <w:r w:rsidRPr="003E3993">
        <w:rPr>
          <w:rFonts w:cs="Times New Roman"/>
          <w:vertAlign w:val="subscript"/>
          <w:lang w:val="en-AU"/>
        </w:rPr>
        <w:t>2</w:t>
      </w:r>
      <w:r w:rsidRPr="003E3993">
        <w:rPr>
          <w:rFonts w:cs="Times New Roman"/>
          <w:lang w:val="en-AU"/>
        </w:rPr>
        <w:t xml:space="preserve"> cascade refrigeration systems soon followed at a number of stores.</w:t>
      </w:r>
    </w:p>
    <w:p w14:paraId="77FC9BE9" w14:textId="01718286" w:rsidR="00034CC6" w:rsidRDefault="00034CC6" w:rsidP="00034CC6">
      <w:pPr>
        <w:rPr>
          <w:rFonts w:cs="Times New Roman"/>
          <w:lang w:val="en-AU"/>
        </w:rPr>
      </w:pPr>
      <w:r w:rsidRPr="003E3993">
        <w:rPr>
          <w:rFonts w:cs="Times New Roman"/>
          <w:lang w:val="en-AU"/>
        </w:rPr>
        <w:t>Coles</w:t>
      </w:r>
      <w:r>
        <w:rPr>
          <w:rFonts w:cs="Times New Roman"/>
          <w:lang w:val="en-AU"/>
        </w:rPr>
        <w:t xml:space="preserve"> now</w:t>
      </w:r>
      <w:r w:rsidRPr="003E3993">
        <w:rPr>
          <w:rFonts w:cs="Times New Roman"/>
          <w:lang w:val="en-AU"/>
        </w:rPr>
        <w:t xml:space="preserve"> ha</w:t>
      </w:r>
      <w:r>
        <w:rPr>
          <w:rFonts w:cs="Times New Roman"/>
          <w:lang w:val="en-AU"/>
        </w:rPr>
        <w:t>s</w:t>
      </w:r>
      <w:r w:rsidRPr="003E3993">
        <w:rPr>
          <w:rFonts w:cs="Times New Roman"/>
          <w:lang w:val="en-AU"/>
        </w:rPr>
        <w:t xml:space="preserve"> around 150 large integrated cascade refrigeration systems (HFC-134a/CO</w:t>
      </w:r>
      <w:r w:rsidRPr="00BF28A1">
        <w:rPr>
          <w:rFonts w:cs="Times New Roman"/>
          <w:vertAlign w:val="subscript"/>
          <w:lang w:val="en-AU"/>
        </w:rPr>
        <w:t>2</w:t>
      </w:r>
      <w:r w:rsidRPr="003E3993">
        <w:rPr>
          <w:rFonts w:cs="Times New Roman"/>
          <w:lang w:val="en-AU"/>
        </w:rPr>
        <w:t>) that provide combined cooling services to the refrigeration equipment in the store, attached liquor store equipment and air conditioning. Coles have another 10 cascade refrigeration systems</w:t>
      </w:r>
      <w:r>
        <w:rPr>
          <w:rFonts w:cs="Times New Roman"/>
          <w:lang w:val="en-AU"/>
        </w:rPr>
        <w:t xml:space="preserve"> providing just refrigeration services.</w:t>
      </w:r>
    </w:p>
    <w:p w14:paraId="6C0A54D1" w14:textId="0EA34744" w:rsidR="002B6D25" w:rsidRPr="003E3993" w:rsidRDefault="002B6D25" w:rsidP="002B6D25">
      <w:pPr>
        <w:rPr>
          <w:rFonts w:cs="Times New Roman"/>
          <w:lang w:val="en-AU"/>
        </w:rPr>
      </w:pPr>
      <w:r>
        <w:rPr>
          <w:rFonts w:cs="Times New Roman"/>
          <w:lang w:val="en-AU"/>
        </w:rPr>
        <w:t xml:space="preserve">Coles </w:t>
      </w:r>
      <w:r w:rsidRPr="003E3993">
        <w:rPr>
          <w:rFonts w:cs="Times New Roman"/>
          <w:lang w:val="en-AU"/>
        </w:rPr>
        <w:t>Hallam</w:t>
      </w:r>
      <w:r>
        <w:rPr>
          <w:rFonts w:cs="Times New Roman"/>
          <w:lang w:val="en-AU"/>
        </w:rPr>
        <w:t xml:space="preserve">, east of </w:t>
      </w:r>
      <w:r w:rsidRPr="003E3993">
        <w:rPr>
          <w:rFonts w:cs="Times New Roman"/>
          <w:lang w:val="en-AU"/>
        </w:rPr>
        <w:t>Melbourne</w:t>
      </w:r>
      <w:r w:rsidR="00D10EE1">
        <w:rPr>
          <w:rFonts w:cs="Times New Roman"/>
          <w:lang w:val="en-AU"/>
        </w:rPr>
        <w:t>,</w:t>
      </w:r>
      <w:r w:rsidRPr="003E3993">
        <w:rPr>
          <w:rFonts w:cs="Times New Roman"/>
          <w:lang w:val="en-AU"/>
        </w:rPr>
        <w:t xml:space="preserve"> was the company’s first store to feature a combined CO</w:t>
      </w:r>
      <w:r w:rsidRPr="00DF52D0">
        <w:rPr>
          <w:rFonts w:cs="Times New Roman"/>
          <w:vertAlign w:val="subscript"/>
          <w:lang w:val="en-AU"/>
        </w:rPr>
        <w:t>2</w:t>
      </w:r>
      <w:r w:rsidRPr="003E3993">
        <w:rPr>
          <w:rFonts w:cs="Times New Roman"/>
          <w:lang w:val="en-AU"/>
        </w:rPr>
        <w:t xml:space="preserve"> cascade refrigeration and </w:t>
      </w:r>
      <w:r w:rsidR="00034CC6">
        <w:rPr>
          <w:rFonts w:cs="Times New Roman"/>
          <w:lang w:val="en-AU"/>
        </w:rPr>
        <w:t>air</w:t>
      </w:r>
      <w:r w:rsidR="000B4DE9">
        <w:rPr>
          <w:rFonts w:cs="Times New Roman"/>
          <w:lang w:val="en-AU"/>
        </w:rPr>
        <w:t xml:space="preserve"> </w:t>
      </w:r>
      <w:r w:rsidR="00034CC6">
        <w:rPr>
          <w:rFonts w:cs="Times New Roman"/>
          <w:lang w:val="en-AU"/>
        </w:rPr>
        <w:t>conditioning</w:t>
      </w:r>
      <w:r w:rsidRPr="003E3993">
        <w:rPr>
          <w:rFonts w:cs="Times New Roman"/>
          <w:lang w:val="en-AU"/>
        </w:rPr>
        <w:t xml:space="preserve"> plant, replacing the traditional approach of separate refrigeration and air conditioning plants – leading to a 20</w:t>
      </w:r>
      <w:r w:rsidR="00034CC6">
        <w:rPr>
          <w:rFonts w:cs="Times New Roman"/>
          <w:lang w:val="en-AU"/>
        </w:rPr>
        <w:t>%</w:t>
      </w:r>
      <w:r w:rsidRPr="003E3993">
        <w:rPr>
          <w:rFonts w:cs="Times New Roman"/>
          <w:lang w:val="en-AU"/>
        </w:rPr>
        <w:t xml:space="preserve"> reduction in energy consumption and the store becoming the first Green Star-rated supermarket in Australia</w:t>
      </w:r>
      <w:r w:rsidR="006361A5">
        <w:rPr>
          <w:rFonts w:cs="Times New Roman"/>
          <w:lang w:val="en-AU"/>
        </w:rPr>
        <w:t>.</w:t>
      </w:r>
      <w:r>
        <w:rPr>
          <w:rFonts w:cs="Times New Roman"/>
          <w:lang w:val="en-AU"/>
        </w:rPr>
        <w:t xml:space="preserve"> </w:t>
      </w:r>
      <w:r w:rsidR="00034CC6">
        <w:rPr>
          <w:rFonts w:cs="Times New Roman"/>
          <w:lang w:val="en-AU"/>
        </w:rPr>
        <w:t>T</w:t>
      </w:r>
      <w:r w:rsidRPr="003E3993">
        <w:rPr>
          <w:rFonts w:cs="Times New Roman"/>
          <w:lang w:val="en-AU"/>
        </w:rPr>
        <w:t xml:space="preserve">he Coles Coburg North supermarket in Melbourne’s inner north has </w:t>
      </w:r>
      <w:r w:rsidR="00034CC6">
        <w:rPr>
          <w:rFonts w:cs="Times New Roman"/>
          <w:lang w:val="en-AU"/>
        </w:rPr>
        <w:t xml:space="preserve">recently </w:t>
      </w:r>
      <w:r w:rsidR="006A141F">
        <w:rPr>
          <w:rFonts w:cs="Times New Roman"/>
          <w:lang w:val="en-AU"/>
        </w:rPr>
        <w:t>established a new advanced refrigeration system benchmark</w:t>
      </w:r>
      <w:r w:rsidRPr="003E3993">
        <w:rPr>
          <w:rFonts w:cs="Times New Roman"/>
          <w:lang w:val="en-AU"/>
        </w:rPr>
        <w:t>, with</w:t>
      </w:r>
      <w:r>
        <w:rPr>
          <w:rFonts w:cs="Times New Roman"/>
          <w:lang w:val="en-AU"/>
        </w:rPr>
        <w:t xml:space="preserve"> a combined cooling plant utilis</w:t>
      </w:r>
      <w:r w:rsidRPr="003E3993">
        <w:rPr>
          <w:rFonts w:cs="Times New Roman"/>
          <w:lang w:val="en-AU"/>
        </w:rPr>
        <w:t>ing CO</w:t>
      </w:r>
      <w:r w:rsidRPr="00DF52D0">
        <w:rPr>
          <w:rFonts w:cs="Times New Roman"/>
          <w:vertAlign w:val="subscript"/>
          <w:lang w:val="en-AU"/>
        </w:rPr>
        <w:t>2</w:t>
      </w:r>
      <w:r w:rsidRPr="003E3993">
        <w:rPr>
          <w:rFonts w:cs="Times New Roman"/>
          <w:lang w:val="en-AU"/>
        </w:rPr>
        <w:t xml:space="preserve"> as the only refrigerant commissioned in </w:t>
      </w:r>
      <w:r>
        <w:rPr>
          <w:rFonts w:cs="Times New Roman"/>
          <w:lang w:val="en-AU"/>
        </w:rPr>
        <w:t xml:space="preserve">early </w:t>
      </w:r>
      <w:r w:rsidRPr="003E3993">
        <w:rPr>
          <w:rFonts w:cs="Times New Roman"/>
          <w:lang w:val="en-AU"/>
        </w:rPr>
        <w:t>201</w:t>
      </w:r>
      <w:r>
        <w:rPr>
          <w:rFonts w:cs="Times New Roman"/>
          <w:lang w:val="en-AU"/>
        </w:rPr>
        <w:t>7 (Source: AIRAH 2017a and WF 2017b)</w:t>
      </w:r>
      <w:r w:rsidRPr="003E3993">
        <w:rPr>
          <w:rFonts w:cs="Times New Roman"/>
          <w:lang w:val="en-AU"/>
        </w:rPr>
        <w:t>.</w:t>
      </w:r>
    </w:p>
    <w:p w14:paraId="6364C052" w14:textId="56BC90E9" w:rsidR="002B6D25" w:rsidRPr="003E3993" w:rsidRDefault="002B6D25" w:rsidP="002B6D25">
      <w:pPr>
        <w:rPr>
          <w:rFonts w:eastAsia="Times New Roman" w:cs="Times New Roman"/>
        </w:rPr>
      </w:pPr>
      <w:r w:rsidRPr="003E3993">
        <w:rPr>
          <w:rFonts w:cs="Times New Roman"/>
          <w:lang w:val="en-AU"/>
        </w:rPr>
        <w:t>This so called ‘critical control point’ (CCP) system at Coburg North is a three-stage trans</w:t>
      </w:r>
      <w:r>
        <w:rPr>
          <w:rFonts w:cs="Times New Roman"/>
          <w:lang w:val="en-AU"/>
        </w:rPr>
        <w:t>-</w:t>
      </w:r>
      <w:r w:rsidRPr="003E3993">
        <w:rPr>
          <w:rFonts w:cs="Times New Roman"/>
          <w:lang w:val="en-AU"/>
        </w:rPr>
        <w:t>critical CO</w:t>
      </w:r>
      <w:r w:rsidRPr="003E3993">
        <w:rPr>
          <w:rFonts w:cs="Times New Roman"/>
          <w:vertAlign w:val="subscript"/>
          <w:lang w:val="en-AU"/>
        </w:rPr>
        <w:t>2</w:t>
      </w:r>
      <w:r w:rsidRPr="003E3993">
        <w:rPr>
          <w:rFonts w:cs="Times New Roman"/>
          <w:lang w:val="en-AU"/>
        </w:rPr>
        <w:t xml:space="preserve"> only system and was the first one implemented by any enterprise in Australia. Coles plan</w:t>
      </w:r>
      <w:r w:rsidR="0021115A">
        <w:rPr>
          <w:rFonts w:cs="Times New Roman"/>
          <w:lang w:val="en-AU"/>
        </w:rPr>
        <w:t>ned</w:t>
      </w:r>
      <w:r w:rsidRPr="003E3993">
        <w:rPr>
          <w:rFonts w:cs="Times New Roman"/>
          <w:lang w:val="en-AU"/>
        </w:rPr>
        <w:t xml:space="preserve"> to have up to four further CO</w:t>
      </w:r>
      <w:r w:rsidRPr="003E3993">
        <w:rPr>
          <w:rFonts w:cs="Times New Roman"/>
          <w:vertAlign w:val="subscript"/>
          <w:lang w:val="en-AU"/>
        </w:rPr>
        <w:t>2</w:t>
      </w:r>
      <w:r w:rsidRPr="003E3993">
        <w:rPr>
          <w:rFonts w:cs="Times New Roman"/>
          <w:lang w:val="en-AU"/>
        </w:rPr>
        <w:t xml:space="preserve"> only trans-c</w:t>
      </w:r>
      <w:r w:rsidR="006A141F">
        <w:rPr>
          <w:rFonts w:cs="Times New Roman"/>
          <w:lang w:val="en-AU"/>
        </w:rPr>
        <w:t>ritical systems in operation early in 2018</w:t>
      </w:r>
      <w:r w:rsidRPr="003E3993">
        <w:rPr>
          <w:rFonts w:cs="Times New Roman"/>
          <w:lang w:val="en-AU"/>
        </w:rPr>
        <w:t>.</w:t>
      </w:r>
    </w:p>
    <w:p w14:paraId="5FABAB99" w14:textId="4C1A81B6" w:rsidR="002B6D25" w:rsidRDefault="002B6D25" w:rsidP="002B6D25">
      <w:pPr>
        <w:rPr>
          <w:rFonts w:cs="Times New Roman"/>
          <w:lang w:val="en-AU"/>
        </w:rPr>
      </w:pPr>
      <w:r>
        <w:rPr>
          <w:rFonts w:cs="Times New Roman"/>
          <w:lang w:val="en-AU"/>
        </w:rPr>
        <w:t>Alongside this upgrading of the existing fleet and commitment to adoption of state of the art new technology where the business case support</w:t>
      </w:r>
      <w:r w:rsidR="00C25A70">
        <w:rPr>
          <w:rFonts w:cs="Times New Roman"/>
          <w:lang w:val="en-AU"/>
        </w:rPr>
        <w:t>s</w:t>
      </w:r>
      <w:r>
        <w:rPr>
          <w:rFonts w:cs="Times New Roman"/>
          <w:lang w:val="en-AU"/>
        </w:rPr>
        <w:t xml:space="preserve"> new investment, Coles in partnership with City Holdings has developed a centralised fleet monitoring centre in Melbourne. The ‘Contact Centre’ at Mulgrave in Melbourne, provides 24/7 real time </w:t>
      </w:r>
      <w:r w:rsidR="009F5EAE">
        <w:rPr>
          <w:rFonts w:cs="Times New Roman"/>
          <w:lang w:val="en-AU"/>
        </w:rPr>
        <w:t>monitoring of</w:t>
      </w:r>
      <w:r w:rsidR="00A01220">
        <w:rPr>
          <w:rFonts w:cs="Times New Roman"/>
          <w:lang w:val="en-AU"/>
        </w:rPr>
        <w:t xml:space="preserve"> environmental conditions, equipment operating status and refrigerant leaks </w:t>
      </w:r>
      <w:r>
        <w:rPr>
          <w:rFonts w:cs="Times New Roman"/>
          <w:lang w:val="en-AU"/>
        </w:rPr>
        <w:t>across more than 2,500 Wesfarmers Group sites that includes Coles, Target, liquor outlets, hotels and convenience stores. The Contact Centre team now manage refrigeration services from planning through to commissioning and then ongoing monitoring and management</w:t>
      </w:r>
      <w:r>
        <w:rPr>
          <w:rStyle w:val="FootnoteReference"/>
          <w:rFonts w:cs="Times New Roman"/>
          <w:lang w:val="en-AU"/>
        </w:rPr>
        <w:footnoteReference w:id="30"/>
      </w:r>
      <w:r w:rsidR="00D10EE1">
        <w:rPr>
          <w:rFonts w:cs="Times New Roman"/>
          <w:lang w:val="en-AU"/>
        </w:rPr>
        <w:t>.</w:t>
      </w:r>
      <w:r>
        <w:rPr>
          <w:rFonts w:cs="Times New Roman"/>
          <w:lang w:val="en-AU"/>
        </w:rPr>
        <w:t xml:space="preserve"> This integrated approach with </w:t>
      </w:r>
      <w:r w:rsidRPr="00437358">
        <w:rPr>
          <w:rFonts w:cs="Times New Roman"/>
          <w:lang w:val="en-AU"/>
        </w:rPr>
        <w:t>dedicated team</w:t>
      </w:r>
      <w:r>
        <w:rPr>
          <w:rFonts w:cs="Times New Roman"/>
          <w:lang w:val="en-AU"/>
        </w:rPr>
        <w:t>s</w:t>
      </w:r>
      <w:r w:rsidRPr="00437358">
        <w:rPr>
          <w:rFonts w:cs="Times New Roman"/>
          <w:lang w:val="en-AU"/>
        </w:rPr>
        <w:t xml:space="preserve"> of refrigeration technicians</w:t>
      </w:r>
      <w:r>
        <w:rPr>
          <w:rFonts w:cs="Times New Roman"/>
          <w:lang w:val="en-AU"/>
        </w:rPr>
        <w:t xml:space="preserve"> and </w:t>
      </w:r>
      <w:r w:rsidRPr="00437358">
        <w:rPr>
          <w:rFonts w:cs="Times New Roman"/>
          <w:lang w:val="en-AU"/>
        </w:rPr>
        <w:t>tradespeople</w:t>
      </w:r>
      <w:r>
        <w:rPr>
          <w:rFonts w:cs="Times New Roman"/>
          <w:lang w:val="en-AU"/>
        </w:rPr>
        <w:t xml:space="preserve"> has delivered energy savings in the order of </w:t>
      </w:r>
      <w:r w:rsidRPr="007557F1">
        <w:rPr>
          <w:rFonts w:cs="Times New Roman"/>
          <w:lang w:val="en-AU"/>
        </w:rPr>
        <w:t>20 to 25%</w:t>
      </w:r>
      <w:r>
        <w:rPr>
          <w:rFonts w:cs="Times New Roman"/>
          <w:lang w:val="en-AU"/>
        </w:rPr>
        <w:t xml:space="preserve"> since 2012</w:t>
      </w:r>
      <w:r w:rsidR="00034CC6">
        <w:rPr>
          <w:rFonts w:cs="Times New Roman"/>
          <w:lang w:val="en-AU"/>
        </w:rPr>
        <w:t>,</w:t>
      </w:r>
      <w:r>
        <w:rPr>
          <w:rFonts w:cs="Times New Roman"/>
          <w:lang w:val="en-AU"/>
        </w:rPr>
        <w:t xml:space="preserve"> and leak rates</w:t>
      </w:r>
      <w:r w:rsidR="00F41B8C">
        <w:rPr>
          <w:rFonts w:cs="Times New Roman"/>
          <w:lang w:val="en-AU"/>
        </w:rPr>
        <w:t xml:space="preserve"> </w:t>
      </w:r>
      <w:r>
        <w:rPr>
          <w:rFonts w:cs="Times New Roman"/>
          <w:lang w:val="en-AU"/>
        </w:rPr>
        <w:t>across the supermarket fleet estimated at around 6% per annum</w:t>
      </w:r>
      <w:r w:rsidR="00584F16">
        <w:rPr>
          <w:rFonts w:cs="Times New Roman"/>
          <w:lang w:val="en-AU"/>
        </w:rPr>
        <w:t xml:space="preserve"> </w:t>
      </w:r>
      <w:r w:rsidR="00A01220">
        <w:rPr>
          <w:rFonts w:cs="Times New Roman"/>
          <w:lang w:val="en-AU"/>
        </w:rPr>
        <w:t>in 2017 as compared to more than 20% in the middle of the last decade.</w:t>
      </w:r>
      <w:r>
        <w:rPr>
          <w:rFonts w:cs="Times New Roman"/>
          <w:lang w:val="en-AU"/>
        </w:rPr>
        <w:t xml:space="preserve"> </w:t>
      </w:r>
    </w:p>
    <w:p w14:paraId="57E3073D" w14:textId="4C7368DD" w:rsidR="002B6D25" w:rsidRPr="003E3993" w:rsidRDefault="002B6D25" w:rsidP="002B6D25">
      <w:pPr>
        <w:spacing w:before="240"/>
        <w:rPr>
          <w:rFonts w:cs="Times New Roman"/>
          <w:b/>
          <w:lang w:val="en-AU"/>
        </w:rPr>
      </w:pPr>
      <w:r w:rsidRPr="003E3993">
        <w:rPr>
          <w:rFonts w:cs="Times New Roman"/>
          <w:b/>
          <w:lang w:val="en-AU"/>
        </w:rPr>
        <w:t xml:space="preserve">Woolworths </w:t>
      </w:r>
      <w:r w:rsidR="00A7009B">
        <w:rPr>
          <w:rFonts w:cs="Times New Roman"/>
          <w:b/>
          <w:lang w:val="en-AU"/>
        </w:rPr>
        <w:t>i</w:t>
      </w:r>
      <w:r w:rsidRPr="003E3993">
        <w:rPr>
          <w:rFonts w:cs="Times New Roman"/>
          <w:b/>
          <w:lang w:val="en-AU"/>
        </w:rPr>
        <w:t>nitiatives</w:t>
      </w:r>
    </w:p>
    <w:p w14:paraId="3B999643" w14:textId="3E341887" w:rsidR="002B6D25" w:rsidRDefault="002B6D25" w:rsidP="002B6D25">
      <w:pPr>
        <w:rPr>
          <w:rFonts w:cs="Times New Roman"/>
          <w:lang w:val="en-AU"/>
        </w:rPr>
      </w:pPr>
      <w:r>
        <w:rPr>
          <w:rFonts w:cs="Times New Roman"/>
          <w:lang w:val="en-AU"/>
        </w:rPr>
        <w:t>When Woolworths laid out its sustainability strategy in 2006, seeking to maintain total CO</w:t>
      </w:r>
      <w:r w:rsidRPr="00376ED7">
        <w:rPr>
          <w:rFonts w:cs="Times New Roman"/>
          <w:vertAlign w:val="subscript"/>
          <w:lang w:val="en-AU"/>
        </w:rPr>
        <w:t>2</w:t>
      </w:r>
      <w:r>
        <w:rPr>
          <w:rFonts w:cs="Times New Roman"/>
          <w:lang w:val="en-AU"/>
        </w:rPr>
        <w:t xml:space="preserve">e emissions at 2006 levels by 2015, </w:t>
      </w:r>
      <w:r w:rsidR="00FE74F2">
        <w:rPr>
          <w:rFonts w:cs="Times New Roman"/>
          <w:lang w:val="en-AU"/>
        </w:rPr>
        <w:t>it</w:t>
      </w:r>
      <w:r>
        <w:rPr>
          <w:rFonts w:cs="Times New Roman"/>
          <w:lang w:val="en-AU"/>
        </w:rPr>
        <w:t xml:space="preserve"> identified refrigeration as the source of 48% of the corporation</w:t>
      </w:r>
      <w:r w:rsidR="006361A5">
        <w:rPr>
          <w:rFonts w:cs="Times New Roman"/>
          <w:lang w:val="en-AU"/>
        </w:rPr>
        <w:t>’</w:t>
      </w:r>
      <w:r>
        <w:rPr>
          <w:rFonts w:cs="Times New Roman"/>
          <w:lang w:val="en-AU"/>
        </w:rPr>
        <w:t>s CO</w:t>
      </w:r>
      <w:r w:rsidRPr="00376ED7">
        <w:rPr>
          <w:rFonts w:cs="Times New Roman"/>
          <w:vertAlign w:val="subscript"/>
          <w:lang w:val="en-AU"/>
        </w:rPr>
        <w:t>2</w:t>
      </w:r>
      <w:r>
        <w:rPr>
          <w:rFonts w:cs="Times New Roman"/>
          <w:lang w:val="en-AU"/>
        </w:rPr>
        <w:t>e emissions.</w:t>
      </w:r>
    </w:p>
    <w:p w14:paraId="0E265FC9" w14:textId="6182EB4F" w:rsidR="002B6D25" w:rsidRDefault="002B6D25" w:rsidP="002B6D25">
      <w:pPr>
        <w:rPr>
          <w:rFonts w:cs="Times New Roman"/>
          <w:lang w:val="en-AU"/>
        </w:rPr>
      </w:pPr>
      <w:r>
        <w:rPr>
          <w:rFonts w:cs="Times New Roman"/>
          <w:lang w:val="en-AU"/>
        </w:rPr>
        <w:t xml:space="preserve">The target of maintaining group emissions at 2006 levels by 2015 translated as a 40% reduction from the company’s projected BAU emissions growth. Given this ambitious target and the central role of refrigeration in the business and in the emissions profile of the organisation, it is no surprise that a great deal of the engineering focus has been on refrigeration systems. </w:t>
      </w:r>
    </w:p>
    <w:p w14:paraId="71355485" w14:textId="14651BB2" w:rsidR="002B6D25" w:rsidRPr="003E3993" w:rsidRDefault="002B6D25" w:rsidP="002B6D25">
      <w:pPr>
        <w:rPr>
          <w:rFonts w:cs="Times New Roman"/>
          <w:lang w:val="en-AU"/>
        </w:rPr>
      </w:pPr>
      <w:r>
        <w:rPr>
          <w:rFonts w:cs="Times New Roman"/>
          <w:lang w:val="en-AU"/>
        </w:rPr>
        <w:t>In 2006 Woolworths t</w:t>
      </w:r>
      <w:r w:rsidR="00584F16">
        <w:rPr>
          <w:rFonts w:cs="Times New Roman"/>
          <w:lang w:val="en-AU"/>
        </w:rPr>
        <w:t>ook</w:t>
      </w:r>
      <w:r>
        <w:rPr>
          <w:rFonts w:cs="Times New Roman"/>
          <w:lang w:val="en-AU"/>
        </w:rPr>
        <w:t xml:space="preserve"> </w:t>
      </w:r>
      <w:r w:rsidR="00F41B8C">
        <w:rPr>
          <w:rFonts w:cs="Times New Roman"/>
          <w:lang w:val="en-AU"/>
        </w:rPr>
        <w:t xml:space="preserve">its </w:t>
      </w:r>
      <w:r>
        <w:rPr>
          <w:rFonts w:cs="Times New Roman"/>
          <w:lang w:val="en-AU"/>
        </w:rPr>
        <w:t>first step away from the common use of HFC-404a refrigeration systems with the commissioning of their first</w:t>
      </w:r>
      <w:r w:rsidR="00D10EE1" w:rsidDel="00D10EE1">
        <w:rPr>
          <w:rFonts w:cs="Times New Roman"/>
          <w:lang w:val="en-AU"/>
        </w:rPr>
        <w:t xml:space="preserve"> </w:t>
      </w:r>
      <w:r>
        <w:rPr>
          <w:rFonts w:cs="Times New Roman"/>
          <w:lang w:val="en-AU"/>
        </w:rPr>
        <w:t>HFC-134a</w:t>
      </w:r>
      <w:r w:rsidR="00D10EE1">
        <w:rPr>
          <w:rFonts w:cs="Times New Roman"/>
          <w:lang w:val="en-AU"/>
        </w:rPr>
        <w:t>/ CO</w:t>
      </w:r>
      <w:r w:rsidR="00D10EE1" w:rsidRPr="00376ED7">
        <w:rPr>
          <w:rFonts w:cs="Times New Roman"/>
          <w:vertAlign w:val="subscript"/>
          <w:lang w:val="en-AU"/>
        </w:rPr>
        <w:t>2</w:t>
      </w:r>
      <w:r>
        <w:rPr>
          <w:rFonts w:cs="Times New Roman"/>
          <w:lang w:val="en-AU"/>
        </w:rPr>
        <w:t xml:space="preserve"> cascade system, proving to </w:t>
      </w:r>
      <w:r w:rsidR="00F41B8C">
        <w:rPr>
          <w:rFonts w:cs="Times New Roman"/>
          <w:lang w:val="en-AU"/>
        </w:rPr>
        <w:t>itself</w:t>
      </w:r>
      <w:r>
        <w:rPr>
          <w:rFonts w:cs="Times New Roman"/>
          <w:lang w:val="en-AU"/>
        </w:rPr>
        <w:t xml:space="preserve"> that both the installed and the operating cost</w:t>
      </w:r>
      <w:r w:rsidR="00C25A70">
        <w:rPr>
          <w:rFonts w:cs="Times New Roman"/>
          <w:lang w:val="en-AU"/>
        </w:rPr>
        <w:t>s</w:t>
      </w:r>
      <w:r>
        <w:rPr>
          <w:rFonts w:cs="Times New Roman"/>
          <w:lang w:val="en-AU"/>
        </w:rPr>
        <w:t xml:space="preserve"> of the cascade system w</w:t>
      </w:r>
      <w:r w:rsidR="00F41B8C">
        <w:rPr>
          <w:rFonts w:cs="Times New Roman"/>
          <w:lang w:val="en-AU"/>
        </w:rPr>
        <w:t>ere</w:t>
      </w:r>
      <w:r>
        <w:rPr>
          <w:rFonts w:cs="Times New Roman"/>
          <w:lang w:val="en-AU"/>
        </w:rPr>
        <w:t xml:space="preserve"> lower than the previous generation of equipment.</w:t>
      </w:r>
    </w:p>
    <w:p w14:paraId="25F85C7E" w14:textId="62202690" w:rsidR="002B6D25" w:rsidRPr="003E3993" w:rsidRDefault="002B6D25" w:rsidP="002B6D25">
      <w:pPr>
        <w:rPr>
          <w:rFonts w:cs="Times New Roman"/>
          <w:lang w:val="en-AU"/>
        </w:rPr>
      </w:pPr>
      <w:r w:rsidRPr="003E3993">
        <w:rPr>
          <w:rFonts w:cs="Times New Roman"/>
          <w:lang w:val="en-AU"/>
        </w:rPr>
        <w:t>Woolworths now ha</w:t>
      </w:r>
      <w:r w:rsidR="00F41B8C">
        <w:rPr>
          <w:rFonts w:cs="Times New Roman"/>
          <w:lang w:val="en-AU"/>
        </w:rPr>
        <w:t>s</w:t>
      </w:r>
      <w:r w:rsidRPr="003E3993">
        <w:rPr>
          <w:rFonts w:cs="Times New Roman"/>
          <w:lang w:val="en-AU"/>
        </w:rPr>
        <w:t xml:space="preserve"> </w:t>
      </w:r>
      <w:r>
        <w:rPr>
          <w:rFonts w:cs="Times New Roman"/>
          <w:lang w:val="en-AU"/>
        </w:rPr>
        <w:t xml:space="preserve">nearly 250 </w:t>
      </w:r>
      <w:r w:rsidRPr="003E3993">
        <w:rPr>
          <w:rFonts w:cs="Times New Roman"/>
          <w:lang w:val="en-AU"/>
        </w:rPr>
        <w:t xml:space="preserve">cascade systems </w:t>
      </w:r>
      <w:r>
        <w:rPr>
          <w:rFonts w:cs="Times New Roman"/>
          <w:lang w:val="en-AU"/>
        </w:rPr>
        <w:t xml:space="preserve">operating </w:t>
      </w:r>
      <w:r w:rsidRPr="003E3993">
        <w:rPr>
          <w:rFonts w:cs="Times New Roman"/>
          <w:lang w:val="en-AU"/>
        </w:rPr>
        <w:t>and piloted its first CO</w:t>
      </w:r>
      <w:r w:rsidRPr="003E3993">
        <w:rPr>
          <w:rFonts w:cs="Times New Roman"/>
          <w:vertAlign w:val="subscript"/>
          <w:lang w:val="en-AU"/>
        </w:rPr>
        <w:t>2</w:t>
      </w:r>
      <w:r w:rsidRPr="003E3993">
        <w:rPr>
          <w:rFonts w:cs="Times New Roman"/>
          <w:lang w:val="en-AU"/>
        </w:rPr>
        <w:t xml:space="preserve"> only trans-critical system in May 2017</w:t>
      </w:r>
      <w:r>
        <w:rPr>
          <w:rFonts w:cs="Times New Roman"/>
          <w:lang w:val="en-AU"/>
        </w:rPr>
        <w:t>. Representatives of the company state that it was the use of CO</w:t>
      </w:r>
      <w:r w:rsidRPr="00376ED7">
        <w:rPr>
          <w:rFonts w:cs="Times New Roman"/>
          <w:vertAlign w:val="subscript"/>
          <w:lang w:val="en-AU"/>
        </w:rPr>
        <w:t>2</w:t>
      </w:r>
      <w:r>
        <w:rPr>
          <w:rFonts w:cs="Times New Roman"/>
          <w:lang w:val="en-AU"/>
        </w:rPr>
        <w:t xml:space="preserve"> as a refrigerant that allowed them to achieve their 2015 target with the CO</w:t>
      </w:r>
      <w:r w:rsidRPr="00376ED7">
        <w:rPr>
          <w:rFonts w:cs="Times New Roman"/>
          <w:vertAlign w:val="subscript"/>
          <w:lang w:val="en-AU"/>
        </w:rPr>
        <w:t>2</w:t>
      </w:r>
      <w:r>
        <w:rPr>
          <w:rFonts w:cs="Times New Roman"/>
          <w:lang w:val="en-AU"/>
        </w:rPr>
        <w:t xml:space="preserve"> charged systems contributing directly to a reduction in the</w:t>
      </w:r>
      <w:r w:rsidR="00A01220">
        <w:rPr>
          <w:rFonts w:cs="Times New Roman"/>
          <w:lang w:val="en-AU"/>
        </w:rPr>
        <w:t xml:space="preserve"> environmental impact of the corporation</w:t>
      </w:r>
      <w:r w:rsidR="009F5EAE">
        <w:rPr>
          <w:rFonts w:cs="Times New Roman"/>
          <w:lang w:val="en-AU"/>
        </w:rPr>
        <w:t>’</w:t>
      </w:r>
      <w:r w:rsidR="00A01220">
        <w:rPr>
          <w:rFonts w:cs="Times New Roman"/>
          <w:lang w:val="en-AU"/>
        </w:rPr>
        <w:t>s refrigerant emissions</w:t>
      </w:r>
      <w:r>
        <w:rPr>
          <w:rFonts w:cs="Times New Roman"/>
          <w:lang w:val="en-AU"/>
        </w:rPr>
        <w:t>, as well as reduc</w:t>
      </w:r>
      <w:r w:rsidR="00A01220">
        <w:rPr>
          <w:rFonts w:cs="Times New Roman"/>
          <w:lang w:val="en-AU"/>
        </w:rPr>
        <w:t>ing</w:t>
      </w:r>
      <w:r>
        <w:rPr>
          <w:rFonts w:cs="Times New Roman"/>
          <w:lang w:val="en-AU"/>
        </w:rPr>
        <w:t xml:space="preserve"> energy use across their stores and </w:t>
      </w:r>
      <w:r w:rsidR="00A01220">
        <w:rPr>
          <w:rFonts w:cs="Times New Roman"/>
          <w:lang w:val="en-AU"/>
        </w:rPr>
        <w:t xml:space="preserve">thus reducing </w:t>
      </w:r>
      <w:r>
        <w:rPr>
          <w:rFonts w:cs="Times New Roman"/>
          <w:lang w:val="en-AU"/>
        </w:rPr>
        <w:t xml:space="preserve">energy related emissions. </w:t>
      </w:r>
    </w:p>
    <w:p w14:paraId="44011016" w14:textId="38422727" w:rsidR="002B6D25" w:rsidRDefault="002B6D25" w:rsidP="002B6D25">
      <w:pPr>
        <w:rPr>
          <w:rFonts w:cs="Times New Roman"/>
          <w:lang w:val="en-AU"/>
        </w:rPr>
      </w:pPr>
      <w:r>
        <w:rPr>
          <w:rFonts w:cs="Times New Roman"/>
          <w:lang w:val="en-AU"/>
        </w:rPr>
        <w:t xml:space="preserve">In early 2017 Woolworths released its sustainability plans out to 2020 which target a further 15% reduction in direct refrigerant </w:t>
      </w:r>
      <w:r w:rsidR="009F5EAE">
        <w:rPr>
          <w:rFonts w:cs="Times New Roman"/>
          <w:lang w:val="en-AU"/>
        </w:rPr>
        <w:t>emissions and</w:t>
      </w:r>
      <w:r>
        <w:rPr>
          <w:rFonts w:cs="Times New Roman"/>
          <w:lang w:val="en-AU"/>
        </w:rPr>
        <w:t xml:space="preserve"> reducing overall CO</w:t>
      </w:r>
      <w:r w:rsidRPr="00711641">
        <w:rPr>
          <w:rFonts w:cs="Times New Roman"/>
          <w:vertAlign w:val="subscript"/>
          <w:lang w:val="en-AU"/>
        </w:rPr>
        <w:t>2</w:t>
      </w:r>
      <w:r>
        <w:rPr>
          <w:rFonts w:cs="Times New Roman"/>
          <w:lang w:val="en-AU"/>
        </w:rPr>
        <w:t xml:space="preserve"> emissions by 10% below 2015 levels. Among the main planks of this plan is a commitment to innovate in the use of natural refrigerants, and in effect, declaring that the days of us</w:t>
      </w:r>
      <w:r w:rsidR="00584F16">
        <w:rPr>
          <w:rFonts w:cs="Times New Roman"/>
          <w:lang w:val="en-AU"/>
        </w:rPr>
        <w:t>ing</w:t>
      </w:r>
      <w:r>
        <w:rPr>
          <w:rFonts w:cs="Times New Roman"/>
          <w:lang w:val="en-AU"/>
        </w:rPr>
        <w:t xml:space="preserve"> HFCs are numbered. As a result, the company’s engineers are now exploring every opportunity for lower HFC charged systems, or completely HFC free systems. </w:t>
      </w:r>
    </w:p>
    <w:p w14:paraId="77D2EC50" w14:textId="12CAC2ED" w:rsidR="002B6D25" w:rsidRDefault="002B6D25" w:rsidP="002B6D25">
      <w:pPr>
        <w:rPr>
          <w:rFonts w:cs="Times New Roman"/>
          <w:lang w:val="en-AU"/>
        </w:rPr>
      </w:pPr>
      <w:r>
        <w:rPr>
          <w:rFonts w:cs="Times New Roman"/>
          <w:lang w:val="en-AU"/>
        </w:rPr>
        <w:t xml:space="preserve">In 2017 Woolworths installed </w:t>
      </w:r>
      <w:r w:rsidR="00F41B8C">
        <w:rPr>
          <w:rFonts w:cs="Times New Roman"/>
          <w:lang w:val="en-AU"/>
        </w:rPr>
        <w:t xml:space="preserve">its </w:t>
      </w:r>
      <w:r>
        <w:rPr>
          <w:rFonts w:cs="Times New Roman"/>
          <w:lang w:val="en-AU"/>
        </w:rPr>
        <w:t>first two trans-critical CO</w:t>
      </w:r>
      <w:r w:rsidRPr="00711641">
        <w:rPr>
          <w:rFonts w:cs="Times New Roman"/>
          <w:vertAlign w:val="subscript"/>
          <w:lang w:val="en-AU"/>
        </w:rPr>
        <w:t>2</w:t>
      </w:r>
      <w:r>
        <w:rPr>
          <w:rFonts w:cs="Times New Roman"/>
          <w:lang w:val="en-AU"/>
        </w:rPr>
        <w:t xml:space="preserve"> only systems in </w:t>
      </w:r>
      <w:r w:rsidRPr="00626220">
        <w:rPr>
          <w:rFonts w:cs="Times New Roman"/>
          <w:lang w:val="en-AU"/>
        </w:rPr>
        <w:t>Greenway Village mall in Colebee, New South Wales</w:t>
      </w:r>
      <w:r>
        <w:rPr>
          <w:rFonts w:cs="Times New Roman"/>
          <w:lang w:val="en-AU"/>
        </w:rPr>
        <w:t xml:space="preserve">, and in March 2017 </w:t>
      </w:r>
      <w:r w:rsidR="00F41B8C">
        <w:rPr>
          <w:rFonts w:cs="Times New Roman"/>
          <w:lang w:val="en-AU"/>
        </w:rPr>
        <w:t xml:space="preserve">it </w:t>
      </w:r>
      <w:r>
        <w:rPr>
          <w:rFonts w:cs="Times New Roman"/>
          <w:lang w:val="en-AU"/>
        </w:rPr>
        <w:t xml:space="preserve">commissioned a pilot water loop system in Collins Square in Melbourne (AIRAH 2017a). Water loop systems still use HFCs, but quite small quantities in a central plant as compared to </w:t>
      </w:r>
      <w:r w:rsidR="004D766E">
        <w:rPr>
          <w:rFonts w:cs="Times New Roman"/>
          <w:lang w:val="en-AU"/>
        </w:rPr>
        <w:t>older water chiller</w:t>
      </w:r>
      <w:r>
        <w:rPr>
          <w:rFonts w:cs="Times New Roman"/>
          <w:lang w:val="en-AU"/>
        </w:rPr>
        <w:t xml:space="preserve"> systems. As the name suggests they then circulate chilled water to supply refrigeration services. Water loop systems have potential for both higher energy efficiency and even lower HFC charges than even advanced cascade systems.</w:t>
      </w:r>
    </w:p>
    <w:p w14:paraId="71C0AE79" w14:textId="574DE2C4" w:rsidR="002B6D25" w:rsidRPr="003E3993" w:rsidRDefault="002B6D25" w:rsidP="002B6D25">
      <w:pPr>
        <w:rPr>
          <w:rFonts w:cs="Times New Roman"/>
          <w:lang w:val="en-AU"/>
        </w:rPr>
      </w:pPr>
      <w:r>
        <w:rPr>
          <w:rFonts w:cs="Times New Roman"/>
          <w:lang w:val="en-AU"/>
        </w:rPr>
        <w:t xml:space="preserve">As part of </w:t>
      </w:r>
      <w:r w:rsidR="00F41B8C">
        <w:rPr>
          <w:rFonts w:cs="Times New Roman"/>
          <w:lang w:val="en-AU"/>
        </w:rPr>
        <w:t xml:space="preserve">its </w:t>
      </w:r>
      <w:r>
        <w:rPr>
          <w:rFonts w:cs="Times New Roman"/>
          <w:lang w:val="en-AU"/>
        </w:rPr>
        <w:t xml:space="preserve">commitment to </w:t>
      </w:r>
      <w:r w:rsidR="004D766E">
        <w:rPr>
          <w:rFonts w:cs="Times New Roman"/>
          <w:lang w:val="en-AU"/>
        </w:rPr>
        <w:t xml:space="preserve">maximise </w:t>
      </w:r>
      <w:r w:rsidR="00F41B8C">
        <w:rPr>
          <w:rFonts w:cs="Times New Roman"/>
          <w:lang w:val="en-AU"/>
        </w:rPr>
        <w:t>its</w:t>
      </w:r>
      <w:r w:rsidR="004D766E">
        <w:rPr>
          <w:rFonts w:cs="Times New Roman"/>
          <w:lang w:val="en-AU"/>
        </w:rPr>
        <w:t xml:space="preserve"> use of natural refrigerants</w:t>
      </w:r>
      <w:r w:rsidR="000714CD">
        <w:rPr>
          <w:rFonts w:cs="Times New Roman"/>
          <w:lang w:val="en-AU"/>
        </w:rPr>
        <w:t xml:space="preserve"> </w:t>
      </w:r>
      <w:r>
        <w:rPr>
          <w:rFonts w:cs="Times New Roman"/>
          <w:lang w:val="en-AU"/>
        </w:rPr>
        <w:t xml:space="preserve">during the course of the next decade, Woolworths has also </w:t>
      </w:r>
      <w:r w:rsidR="0021115A">
        <w:rPr>
          <w:rFonts w:cs="Times New Roman"/>
          <w:lang w:val="en-AU"/>
        </w:rPr>
        <w:t>developed</w:t>
      </w:r>
      <w:r>
        <w:rPr>
          <w:rFonts w:cs="Times New Roman"/>
          <w:lang w:val="en-AU"/>
        </w:rPr>
        <w:t xml:space="preserve"> a wide-ranging strategy of engagement with the wider refrigeration industry to ensure the professional skills and creative capacity for this generational change is available in the market.</w:t>
      </w:r>
    </w:p>
    <w:p w14:paraId="07F24A14" w14:textId="211030C1" w:rsidR="002B6D25" w:rsidRPr="00E72EB5" w:rsidRDefault="002B6D25" w:rsidP="002B6D25">
      <w:pPr>
        <w:spacing w:before="240"/>
        <w:rPr>
          <w:rFonts w:cs="Times New Roman"/>
          <w:b/>
          <w:lang w:val="en-AU"/>
        </w:rPr>
      </w:pPr>
      <w:r w:rsidRPr="00E72EB5">
        <w:rPr>
          <w:rFonts w:cs="Times New Roman"/>
          <w:b/>
          <w:lang w:val="en-AU"/>
        </w:rPr>
        <w:t xml:space="preserve">Aldi </w:t>
      </w:r>
      <w:r w:rsidR="00A7009B">
        <w:rPr>
          <w:rFonts w:cs="Times New Roman"/>
          <w:b/>
          <w:lang w:val="en-AU"/>
        </w:rPr>
        <w:t>i</w:t>
      </w:r>
      <w:r w:rsidRPr="00E72EB5">
        <w:rPr>
          <w:rFonts w:cs="Times New Roman"/>
          <w:b/>
          <w:lang w:val="en-AU"/>
        </w:rPr>
        <w:t>nitiatives</w:t>
      </w:r>
    </w:p>
    <w:p w14:paraId="751086F4" w14:textId="6B400298" w:rsidR="002B6D25" w:rsidRPr="003E3993" w:rsidRDefault="002B6D25" w:rsidP="002B6D25">
      <w:pPr>
        <w:rPr>
          <w:rFonts w:cs="Times New Roman"/>
        </w:rPr>
      </w:pPr>
      <w:r>
        <w:rPr>
          <w:rFonts w:cs="Times New Roman"/>
        </w:rPr>
        <w:t xml:space="preserve">The more recent </w:t>
      </w:r>
      <w:r w:rsidR="006E2FC0">
        <w:rPr>
          <w:rFonts w:cs="Times New Roman"/>
        </w:rPr>
        <w:t>m</w:t>
      </w:r>
      <w:r>
        <w:rPr>
          <w:rFonts w:cs="Times New Roman"/>
        </w:rPr>
        <w:t>arket entrant into this highly competitive and capital-intensive industry, Aldi, has established a fleet of new stores, almost all of which have been built using the latest refrigeration systems.</w:t>
      </w:r>
    </w:p>
    <w:p w14:paraId="1616267E" w14:textId="75308996" w:rsidR="002B6D25" w:rsidRDefault="002B6D25" w:rsidP="002B6D25">
      <w:pPr>
        <w:rPr>
          <w:rFonts w:cs="Times New Roman"/>
          <w:lang w:val="en-AU"/>
        </w:rPr>
      </w:pPr>
      <w:r w:rsidRPr="00B21FD7">
        <w:rPr>
          <w:rFonts w:cs="Times New Roman"/>
          <w:lang w:val="en-AU"/>
        </w:rPr>
        <w:t>The majority of Aldi’s 490 stores have a smaller trading floor of around 1,000 m</w:t>
      </w:r>
      <w:r w:rsidRPr="00B21FD7">
        <w:rPr>
          <w:rFonts w:cs="Times New Roman"/>
          <w:vertAlign w:val="superscript"/>
          <w:lang w:val="en-AU"/>
        </w:rPr>
        <w:t>2</w:t>
      </w:r>
      <w:r w:rsidRPr="00B21FD7">
        <w:rPr>
          <w:rFonts w:cs="Times New Roman"/>
          <w:lang w:val="en-AU"/>
        </w:rPr>
        <w:t xml:space="preserve"> and </w:t>
      </w:r>
      <w:r w:rsidR="00584F16">
        <w:rPr>
          <w:rFonts w:cs="Times New Roman"/>
          <w:lang w:val="en-AU"/>
        </w:rPr>
        <w:t xml:space="preserve">a </w:t>
      </w:r>
      <w:r w:rsidRPr="00B21FD7">
        <w:rPr>
          <w:rFonts w:cs="Times New Roman"/>
          <w:lang w:val="en-AU"/>
        </w:rPr>
        <w:t xml:space="preserve">different technology platform </w:t>
      </w:r>
      <w:r w:rsidR="0021115A">
        <w:rPr>
          <w:rFonts w:cs="Times New Roman"/>
          <w:lang w:val="en-AU"/>
        </w:rPr>
        <w:t>from</w:t>
      </w:r>
      <w:r w:rsidR="0021115A" w:rsidRPr="00B21FD7">
        <w:rPr>
          <w:rFonts w:cs="Times New Roman"/>
          <w:lang w:val="en-AU"/>
        </w:rPr>
        <w:t xml:space="preserve"> </w:t>
      </w:r>
      <w:r w:rsidRPr="00B21FD7">
        <w:rPr>
          <w:rFonts w:cs="Times New Roman"/>
          <w:lang w:val="en-AU"/>
        </w:rPr>
        <w:t>the</w:t>
      </w:r>
      <w:r>
        <w:rPr>
          <w:rFonts w:cs="Times New Roman"/>
          <w:lang w:val="en-AU"/>
        </w:rPr>
        <w:t xml:space="preserve"> </w:t>
      </w:r>
      <w:r w:rsidRPr="003E3993">
        <w:rPr>
          <w:rFonts w:cs="Times New Roman"/>
          <w:lang w:val="en-AU"/>
        </w:rPr>
        <w:t>other major retailers</w:t>
      </w:r>
      <w:r>
        <w:rPr>
          <w:rFonts w:cs="Times New Roman"/>
          <w:lang w:val="en-AU"/>
        </w:rPr>
        <w:t>. Aldi stores are commonly equipped with</w:t>
      </w:r>
      <w:r w:rsidRPr="003E3993">
        <w:rPr>
          <w:rFonts w:cs="Times New Roman"/>
          <w:lang w:val="en-AU"/>
        </w:rPr>
        <w:t xml:space="preserve"> a </w:t>
      </w:r>
      <w:r>
        <w:rPr>
          <w:rFonts w:cs="Times New Roman"/>
          <w:lang w:val="en-AU"/>
        </w:rPr>
        <w:t>selection</w:t>
      </w:r>
      <w:r w:rsidRPr="003E3993">
        <w:rPr>
          <w:rFonts w:cs="Times New Roman"/>
          <w:lang w:val="en-AU"/>
        </w:rPr>
        <w:t xml:space="preserve"> of self-contained freezers (up to 28 per store) that operate on hydrocarbon</w:t>
      </w:r>
      <w:r>
        <w:rPr>
          <w:rFonts w:cs="Times New Roman"/>
          <w:lang w:val="en-AU"/>
        </w:rPr>
        <w:t>s,</w:t>
      </w:r>
      <w:r w:rsidRPr="003E3993">
        <w:rPr>
          <w:rFonts w:cs="Times New Roman"/>
          <w:lang w:val="en-AU"/>
        </w:rPr>
        <w:t xml:space="preserve"> with charges ranging from 110 to 150 grams</w:t>
      </w:r>
      <w:r>
        <w:rPr>
          <w:rFonts w:cs="Times New Roman"/>
          <w:lang w:val="en-AU"/>
        </w:rPr>
        <w:t xml:space="preserve">. Therefore, </w:t>
      </w:r>
      <w:r w:rsidR="00A61CF0">
        <w:rPr>
          <w:rFonts w:cs="Times New Roman"/>
          <w:lang w:val="en-AU"/>
        </w:rPr>
        <w:t xml:space="preserve">they </w:t>
      </w:r>
      <w:r>
        <w:rPr>
          <w:rFonts w:cs="Times New Roman"/>
          <w:lang w:val="en-AU"/>
        </w:rPr>
        <w:t>only requir</w:t>
      </w:r>
      <w:r w:rsidR="00A61CF0">
        <w:rPr>
          <w:rFonts w:cs="Times New Roman"/>
          <w:lang w:val="en-AU"/>
        </w:rPr>
        <w:t>e</w:t>
      </w:r>
      <w:r>
        <w:rPr>
          <w:rFonts w:cs="Times New Roman"/>
          <w:lang w:val="en-AU"/>
        </w:rPr>
        <w:t xml:space="preserve"> 4 kg of </w:t>
      </w:r>
      <w:r w:rsidR="00584F16">
        <w:rPr>
          <w:rFonts w:cs="Times New Roman"/>
          <w:lang w:val="en-AU"/>
        </w:rPr>
        <w:t xml:space="preserve">a natural </w:t>
      </w:r>
      <w:r>
        <w:rPr>
          <w:rFonts w:cs="Times New Roman"/>
          <w:lang w:val="en-AU"/>
        </w:rPr>
        <w:t xml:space="preserve">refrigerant in total to operate freezers storewide versus 50 to </w:t>
      </w:r>
      <w:r w:rsidR="00F41B8C">
        <w:rPr>
          <w:rFonts w:cs="Times New Roman"/>
          <w:lang w:val="en-AU"/>
        </w:rPr>
        <w:t>100 </w:t>
      </w:r>
      <w:r>
        <w:rPr>
          <w:rFonts w:cs="Times New Roman"/>
          <w:lang w:val="en-AU"/>
        </w:rPr>
        <w:t>kg of HFCs on a conventional rack system.</w:t>
      </w:r>
    </w:p>
    <w:p w14:paraId="6ACF8052" w14:textId="0B7F9646" w:rsidR="002B6D25" w:rsidRPr="003E3993" w:rsidRDefault="002B6D25" w:rsidP="002B6D25">
      <w:pPr>
        <w:rPr>
          <w:rFonts w:cs="Times New Roman"/>
          <w:lang w:val="en-AU"/>
        </w:rPr>
      </w:pPr>
      <w:r>
        <w:rPr>
          <w:rFonts w:cs="Times New Roman"/>
          <w:lang w:val="en-AU"/>
        </w:rPr>
        <w:t xml:space="preserve">The larger </w:t>
      </w:r>
      <w:r w:rsidR="00584F16">
        <w:rPr>
          <w:rFonts w:cs="Times New Roman"/>
          <w:lang w:val="en-AU"/>
        </w:rPr>
        <w:t xml:space="preserve">central </w:t>
      </w:r>
      <w:r>
        <w:rPr>
          <w:rFonts w:cs="Times New Roman"/>
          <w:lang w:val="en-AU"/>
        </w:rPr>
        <w:t>plant</w:t>
      </w:r>
      <w:r w:rsidR="00584F16">
        <w:rPr>
          <w:rFonts w:cs="Times New Roman"/>
          <w:lang w:val="en-AU"/>
        </w:rPr>
        <w:t xml:space="preserve"> they employ</w:t>
      </w:r>
      <w:r>
        <w:rPr>
          <w:rFonts w:cs="Times New Roman"/>
          <w:lang w:val="en-AU"/>
        </w:rPr>
        <w:t xml:space="preserve"> is </w:t>
      </w:r>
      <w:r w:rsidR="00584F16">
        <w:rPr>
          <w:rFonts w:cs="Times New Roman"/>
          <w:lang w:val="en-AU"/>
        </w:rPr>
        <w:t xml:space="preserve">generally a small </w:t>
      </w:r>
      <w:r w:rsidR="00584F16" w:rsidRPr="003E3993">
        <w:rPr>
          <w:rFonts w:cs="Times New Roman"/>
          <w:lang w:val="en-AU"/>
        </w:rPr>
        <w:t>cascade refrigeration system</w:t>
      </w:r>
      <w:r w:rsidR="00584F16">
        <w:rPr>
          <w:rFonts w:cs="Times New Roman"/>
          <w:lang w:val="en-AU"/>
        </w:rPr>
        <w:t xml:space="preserve"> </w:t>
      </w:r>
      <w:r>
        <w:rPr>
          <w:rFonts w:cs="Times New Roman"/>
          <w:lang w:val="en-AU"/>
        </w:rPr>
        <w:t>connected to around 40 met</w:t>
      </w:r>
      <w:r w:rsidR="00F41B8C">
        <w:rPr>
          <w:rFonts w:cs="Times New Roman"/>
          <w:lang w:val="en-AU"/>
        </w:rPr>
        <w:t>res</w:t>
      </w:r>
      <w:r>
        <w:rPr>
          <w:rFonts w:cs="Times New Roman"/>
          <w:lang w:val="en-AU"/>
        </w:rPr>
        <w:t xml:space="preserve"> of </w:t>
      </w:r>
      <w:r w:rsidRPr="003E3993">
        <w:rPr>
          <w:rFonts w:cs="Times New Roman"/>
          <w:lang w:val="en-AU"/>
        </w:rPr>
        <w:t>multi</w:t>
      </w:r>
      <w:r>
        <w:rPr>
          <w:rFonts w:cs="Times New Roman"/>
          <w:lang w:val="en-AU"/>
        </w:rPr>
        <w:t>-</w:t>
      </w:r>
      <w:r w:rsidRPr="003E3993">
        <w:rPr>
          <w:rFonts w:cs="Times New Roman"/>
          <w:lang w:val="en-AU"/>
        </w:rPr>
        <w:t xml:space="preserve">deck chillers and </w:t>
      </w:r>
      <w:r>
        <w:rPr>
          <w:rFonts w:cs="Times New Roman"/>
          <w:lang w:val="en-AU"/>
        </w:rPr>
        <w:t xml:space="preserve">back of house </w:t>
      </w:r>
      <w:r w:rsidRPr="003E3993">
        <w:rPr>
          <w:rFonts w:cs="Times New Roman"/>
          <w:lang w:val="en-AU"/>
        </w:rPr>
        <w:t>cool</w:t>
      </w:r>
      <w:r w:rsidR="001E68A3">
        <w:rPr>
          <w:rFonts w:cs="Times New Roman"/>
          <w:lang w:val="en-AU"/>
        </w:rPr>
        <w:t xml:space="preserve"> </w:t>
      </w:r>
      <w:r w:rsidRPr="003E3993">
        <w:rPr>
          <w:rFonts w:cs="Times New Roman"/>
          <w:lang w:val="en-AU"/>
        </w:rPr>
        <w:t xml:space="preserve">rooms </w:t>
      </w:r>
      <w:r>
        <w:rPr>
          <w:rFonts w:cs="Times New Roman"/>
          <w:lang w:val="en-AU"/>
        </w:rPr>
        <w:t>that are serviced from</w:t>
      </w:r>
      <w:r w:rsidRPr="003E3993">
        <w:rPr>
          <w:rFonts w:cs="Times New Roman"/>
          <w:lang w:val="en-AU"/>
        </w:rPr>
        <w:t xml:space="preserve"> a central plantroom or packaged system</w:t>
      </w:r>
      <w:r>
        <w:rPr>
          <w:rFonts w:cs="Times New Roman"/>
          <w:lang w:val="en-AU"/>
        </w:rPr>
        <w:t>. At the time of writing m</w:t>
      </w:r>
      <w:r w:rsidRPr="003E3993">
        <w:rPr>
          <w:rFonts w:cs="Times New Roman"/>
          <w:lang w:val="en-AU"/>
        </w:rPr>
        <w:t xml:space="preserve">ore than 270 </w:t>
      </w:r>
      <w:r>
        <w:rPr>
          <w:rFonts w:cs="Times New Roman"/>
          <w:lang w:val="en-AU"/>
        </w:rPr>
        <w:t xml:space="preserve">Aldi stores </w:t>
      </w:r>
      <w:r w:rsidRPr="003E3993">
        <w:rPr>
          <w:rFonts w:cs="Times New Roman"/>
          <w:lang w:val="en-AU"/>
        </w:rPr>
        <w:t xml:space="preserve">incorporate </w:t>
      </w:r>
      <w:r>
        <w:rPr>
          <w:rFonts w:cs="Times New Roman"/>
          <w:lang w:val="en-AU"/>
        </w:rPr>
        <w:t xml:space="preserve">small </w:t>
      </w:r>
      <w:r w:rsidRPr="003E3993">
        <w:rPr>
          <w:rFonts w:cs="Times New Roman"/>
          <w:lang w:val="en-AU"/>
        </w:rPr>
        <w:t>cascade refrigeration system</w:t>
      </w:r>
      <w:r>
        <w:rPr>
          <w:rFonts w:cs="Times New Roman"/>
          <w:lang w:val="en-AU"/>
        </w:rPr>
        <w:t>s</w:t>
      </w:r>
      <w:r w:rsidRPr="003E3993">
        <w:rPr>
          <w:rFonts w:cs="Times New Roman"/>
          <w:lang w:val="en-AU"/>
        </w:rPr>
        <w:t xml:space="preserve">. </w:t>
      </w:r>
    </w:p>
    <w:p w14:paraId="357AADBF" w14:textId="77777777" w:rsidR="002B6D25" w:rsidRPr="003E3993" w:rsidRDefault="002B6D25" w:rsidP="002B6D25">
      <w:pPr>
        <w:spacing w:before="240"/>
        <w:rPr>
          <w:rFonts w:cs="Times New Roman"/>
          <w:lang w:val="en-AU"/>
        </w:rPr>
      </w:pPr>
      <w:r w:rsidRPr="003E3993">
        <w:rPr>
          <w:rFonts w:cs="Times New Roman"/>
          <w:b/>
          <w:lang w:val="en-AU"/>
        </w:rPr>
        <w:t>Independents</w:t>
      </w:r>
    </w:p>
    <w:p w14:paraId="3E6837DA" w14:textId="77777777" w:rsidR="002B6D25" w:rsidRDefault="002B6D25" w:rsidP="002B6D25">
      <w:pPr>
        <w:rPr>
          <w:rFonts w:cs="Times New Roman"/>
          <w:lang w:val="en-AU"/>
        </w:rPr>
      </w:pPr>
      <w:r w:rsidRPr="004034E6">
        <w:rPr>
          <w:rFonts w:cs="Times New Roman"/>
          <w:lang w:val="en-AU"/>
        </w:rPr>
        <w:t>In the fleet of approximately 1,750 independent supermarkets</w:t>
      </w:r>
      <w:r w:rsidRPr="003E3993">
        <w:rPr>
          <w:rFonts w:cs="Times New Roman"/>
          <w:lang w:val="en-AU"/>
        </w:rPr>
        <w:t xml:space="preserve"> there are at least 200 cascade refrigeration systems and around nine CO</w:t>
      </w:r>
      <w:r w:rsidRPr="004034E6">
        <w:rPr>
          <w:rFonts w:cs="Times New Roman"/>
          <w:vertAlign w:val="subscript"/>
          <w:lang w:val="en-AU"/>
        </w:rPr>
        <w:t>2</w:t>
      </w:r>
      <w:r w:rsidRPr="003E3993">
        <w:rPr>
          <w:rFonts w:cs="Times New Roman"/>
          <w:lang w:val="en-AU"/>
        </w:rPr>
        <w:t xml:space="preserve"> only trans-critical systems currently in operation with several others under construction and planned. </w:t>
      </w:r>
    </w:p>
    <w:p w14:paraId="3F337A44" w14:textId="77777777" w:rsidR="002B6D25" w:rsidRPr="003E3993" w:rsidDel="00216D0B" w:rsidRDefault="002B6D25" w:rsidP="002B6D25">
      <w:pPr>
        <w:rPr>
          <w:rFonts w:cs="Times New Roman"/>
        </w:rPr>
      </w:pPr>
      <w:r>
        <w:rPr>
          <w:rFonts w:cs="Times New Roman"/>
        </w:rPr>
        <w:t>Among others, A.J. Baker has been demonstrating novel approaches to adapting cascade refrigeration systems to higher ambient temperature environments, for instance with installations in Perth using evaporative cooling processes to assist waste heat transfer rates.</w:t>
      </w:r>
    </w:p>
    <w:p w14:paraId="34E654E7" w14:textId="148A631D" w:rsidR="002B6D25" w:rsidRPr="003E3993" w:rsidRDefault="002B6D25" w:rsidP="002B6D25">
      <w:pPr>
        <w:rPr>
          <w:rFonts w:cs="Times New Roman"/>
          <w:lang w:val="en-AU"/>
        </w:rPr>
      </w:pPr>
      <w:r>
        <w:rPr>
          <w:rFonts w:cs="Times New Roman"/>
          <w:lang w:val="en-AU"/>
        </w:rPr>
        <w:t>With both cascade and CO</w:t>
      </w:r>
      <w:r w:rsidRPr="004034E6">
        <w:rPr>
          <w:rFonts w:cs="Times New Roman"/>
          <w:vertAlign w:val="subscript"/>
          <w:lang w:val="en-AU"/>
        </w:rPr>
        <w:t>2</w:t>
      </w:r>
      <w:r>
        <w:rPr>
          <w:rFonts w:cs="Times New Roman"/>
          <w:lang w:val="en-AU"/>
        </w:rPr>
        <w:t xml:space="preserve"> only charged refrigeration systems demonstrating strong economic returns</w:t>
      </w:r>
      <w:r w:rsidR="004D766E">
        <w:rPr>
          <w:rFonts w:cs="Times New Roman"/>
          <w:lang w:val="en-AU"/>
        </w:rPr>
        <w:t xml:space="preserve"> (via energy cost savings, lower refrigerant losses and reduced refrigerant replacement costs and lower maintenance costs) as</w:t>
      </w:r>
      <w:r>
        <w:rPr>
          <w:rFonts w:cs="Times New Roman"/>
          <w:lang w:val="en-AU"/>
        </w:rPr>
        <w:t xml:space="preserve"> compared to the previous generation of equipment</w:t>
      </w:r>
      <w:r w:rsidR="00584F16">
        <w:rPr>
          <w:rFonts w:cs="Times New Roman"/>
          <w:lang w:val="en-AU"/>
        </w:rPr>
        <w:t>,</w:t>
      </w:r>
      <w:r>
        <w:rPr>
          <w:rFonts w:cs="Times New Roman"/>
          <w:lang w:val="en-AU"/>
        </w:rPr>
        <w:t xml:space="preserve"> it is thought </w:t>
      </w:r>
      <w:r w:rsidR="00096B49">
        <w:rPr>
          <w:rFonts w:cs="Times New Roman"/>
          <w:lang w:val="en-AU"/>
        </w:rPr>
        <w:t xml:space="preserve">most significant investments </w:t>
      </w:r>
      <w:r>
        <w:rPr>
          <w:rFonts w:cs="Times New Roman"/>
          <w:lang w:val="en-AU"/>
        </w:rPr>
        <w:t>in supermarket</w:t>
      </w:r>
      <w:r w:rsidR="00096B49">
        <w:rPr>
          <w:rFonts w:cs="Times New Roman"/>
          <w:lang w:val="en-AU"/>
        </w:rPr>
        <w:t xml:space="preserve"> systems</w:t>
      </w:r>
      <w:r>
        <w:rPr>
          <w:rFonts w:cs="Times New Roman"/>
          <w:lang w:val="en-AU"/>
        </w:rPr>
        <w:t xml:space="preserve"> in Australia will employ </w:t>
      </w:r>
      <w:r w:rsidR="00096B49" w:rsidRPr="00096B49">
        <w:rPr>
          <w:rFonts w:cs="Times New Roman"/>
          <w:lang w:val="en-AU"/>
        </w:rPr>
        <w:t>cascade and CO</w:t>
      </w:r>
      <w:r w:rsidR="00096B49" w:rsidRPr="00096B49">
        <w:rPr>
          <w:rFonts w:cs="Times New Roman"/>
          <w:vertAlign w:val="subscript"/>
          <w:lang w:val="en-AU"/>
        </w:rPr>
        <w:t>2</w:t>
      </w:r>
      <w:r w:rsidR="00096B49" w:rsidRPr="00096B49">
        <w:rPr>
          <w:rFonts w:cs="Times New Roman"/>
          <w:lang w:val="en-AU"/>
        </w:rPr>
        <w:t xml:space="preserve"> only charged</w:t>
      </w:r>
      <w:r w:rsidR="00096B49">
        <w:rPr>
          <w:rFonts w:cs="Times New Roman"/>
          <w:lang w:val="en-AU"/>
        </w:rPr>
        <w:t xml:space="preserve"> </w:t>
      </w:r>
      <w:r>
        <w:rPr>
          <w:rFonts w:cs="Times New Roman"/>
          <w:lang w:val="en-AU"/>
        </w:rPr>
        <w:t>systems in the future. As such the tenure of HFCs in the supermarket segment of the cold food chain is limited to the rate of refurbishment and replacement of the equipment</w:t>
      </w:r>
      <w:r w:rsidR="002019A0">
        <w:rPr>
          <w:rFonts w:cs="Times New Roman"/>
          <w:lang w:val="en-AU"/>
        </w:rPr>
        <w:t xml:space="preserve"> stock</w:t>
      </w:r>
      <w:r>
        <w:rPr>
          <w:rFonts w:cs="Times New Roman"/>
          <w:lang w:val="en-AU"/>
        </w:rPr>
        <w:t xml:space="preserve"> in the older portion of the supermarket fleet.</w:t>
      </w:r>
    </w:p>
    <w:p w14:paraId="0353DF5D" w14:textId="77777777" w:rsidR="002B6D25" w:rsidRPr="00E72EB5" w:rsidRDefault="002B6D25" w:rsidP="002B6D25">
      <w:pPr>
        <w:spacing w:before="240"/>
        <w:rPr>
          <w:rFonts w:cs="Times New Roman"/>
          <w:b/>
          <w:lang w:val="en-AU"/>
        </w:rPr>
      </w:pPr>
      <w:r w:rsidRPr="00E72EB5">
        <w:rPr>
          <w:rFonts w:cs="Times New Roman"/>
          <w:b/>
          <w:lang w:val="en-AU"/>
        </w:rPr>
        <w:t>Suppliers</w:t>
      </w:r>
    </w:p>
    <w:p w14:paraId="43ACA42A" w14:textId="77777777" w:rsidR="002B6D25" w:rsidRDefault="002B6D25" w:rsidP="002B6D25">
      <w:pPr>
        <w:rPr>
          <w:rFonts w:cs="Times New Roman"/>
        </w:rPr>
      </w:pPr>
      <w:r w:rsidRPr="003E3993" w:rsidDel="00216D0B">
        <w:rPr>
          <w:rFonts w:cs="Times New Roman"/>
        </w:rPr>
        <w:t>The suppliers to the supermarket sector are compressor and refrigeration rack system manufacturer Bitzer; wholesalers such as Heatcraft, and supermarket contractors McAlpine Hussmann (a subsidiary of Panasonic); City Holdings (partners with Coles); Retail FM (subsidiary of Woolworths); AJ Baker &amp; Sons; and smaller regional contracting businesses such as CA Group Services, MB Refrigeration and others.</w:t>
      </w:r>
      <w:r>
        <w:rPr>
          <w:rFonts w:cs="Times New Roman"/>
        </w:rPr>
        <w:t xml:space="preserve"> </w:t>
      </w:r>
    </w:p>
    <w:p w14:paraId="5122ADA2" w14:textId="77777777" w:rsidR="002B6D25" w:rsidRDefault="002B6D25" w:rsidP="002B6D25">
      <w:pPr>
        <w:rPr>
          <w:szCs w:val="22"/>
        </w:rPr>
      </w:pPr>
    </w:p>
    <w:p w14:paraId="3A6C108B" w14:textId="746E9BED" w:rsidR="002B6D25" w:rsidRDefault="002B6D25" w:rsidP="002B6D25">
      <w:pPr>
        <w:pStyle w:val="Heading3"/>
      </w:pPr>
      <w:bookmarkStart w:id="48" w:name="_Toc494661742"/>
      <w:bookmarkStart w:id="49" w:name="_Toc525141268"/>
      <w:r>
        <w:t xml:space="preserve">RCFC4 </w:t>
      </w:r>
      <w:bookmarkEnd w:id="48"/>
      <w:r w:rsidR="00A7009B">
        <w:t>t</w:t>
      </w:r>
      <w:r>
        <w:t xml:space="preserve">ransport </w:t>
      </w:r>
      <w:r w:rsidR="00A7009B">
        <w:t>r</w:t>
      </w:r>
      <w:r>
        <w:t>efrigeration</w:t>
      </w:r>
      <w:bookmarkEnd w:id="49"/>
      <w:r>
        <w:t xml:space="preserve"> </w:t>
      </w:r>
    </w:p>
    <w:p w14:paraId="5EC38587" w14:textId="77777777" w:rsidR="002B6D25" w:rsidRPr="008F6BF0" w:rsidRDefault="002B6D25" w:rsidP="002B6D25">
      <w:r>
        <w:t>The transport refrigeration segment has also seen significant improvements in available data since CHF2.</w:t>
      </w:r>
    </w:p>
    <w:p w14:paraId="0DE66E81" w14:textId="77777777" w:rsidR="002B6D25" w:rsidRPr="00504BCC" w:rsidRDefault="002B6D25" w:rsidP="002B6D25">
      <w:pPr>
        <w:rPr>
          <w:szCs w:val="22"/>
        </w:rPr>
      </w:pPr>
      <w:r>
        <w:rPr>
          <w:szCs w:val="22"/>
        </w:rPr>
        <w:t xml:space="preserve">Refrigerated transport systems on </w:t>
      </w:r>
      <w:r w:rsidRPr="00504BCC">
        <w:rPr>
          <w:szCs w:val="22"/>
        </w:rPr>
        <w:t xml:space="preserve">road, rail and </w:t>
      </w:r>
      <w:r>
        <w:rPr>
          <w:szCs w:val="22"/>
        </w:rPr>
        <w:t xml:space="preserve">in intermodal containers are all </w:t>
      </w:r>
      <w:r w:rsidRPr="00504BCC">
        <w:rPr>
          <w:szCs w:val="22"/>
        </w:rPr>
        <w:t>referred to as ‘transport refrigeration’</w:t>
      </w:r>
      <w:r>
        <w:rPr>
          <w:szCs w:val="22"/>
        </w:rPr>
        <w:t>.</w:t>
      </w:r>
      <w:r w:rsidRPr="00504BCC">
        <w:rPr>
          <w:szCs w:val="22"/>
        </w:rPr>
        <w:t xml:space="preserve"> </w:t>
      </w:r>
      <w:r>
        <w:rPr>
          <w:szCs w:val="22"/>
        </w:rPr>
        <w:t xml:space="preserve">Refrigeration systems on fishing vessels and coastal shipping are simply called ‘marine’. The majority of marine systems are </w:t>
      </w:r>
      <w:r w:rsidRPr="00504BCC">
        <w:rPr>
          <w:szCs w:val="22"/>
        </w:rPr>
        <w:t xml:space="preserve">on fishing vessels. </w:t>
      </w:r>
    </w:p>
    <w:p w14:paraId="28E163F6" w14:textId="1E62243D" w:rsidR="00584F16" w:rsidRDefault="002B6D25" w:rsidP="002B6D25">
      <w:pPr>
        <w:rPr>
          <w:szCs w:val="22"/>
        </w:rPr>
      </w:pPr>
      <w:r w:rsidRPr="00504BCC">
        <w:rPr>
          <w:szCs w:val="22"/>
        </w:rPr>
        <w:t>The transport refrigeration bank is est</w:t>
      </w:r>
      <w:r>
        <w:rPr>
          <w:szCs w:val="22"/>
        </w:rPr>
        <w:t xml:space="preserve">imated </w:t>
      </w:r>
      <w:r w:rsidRPr="00BF3615">
        <w:rPr>
          <w:szCs w:val="22"/>
        </w:rPr>
        <w:t xml:space="preserve">to employ </w:t>
      </w:r>
      <w:r w:rsidR="00BF3615" w:rsidRPr="00BF3615">
        <w:rPr>
          <w:szCs w:val="22"/>
        </w:rPr>
        <w:t>245</w:t>
      </w:r>
      <w:r w:rsidRPr="00BF3615">
        <w:rPr>
          <w:szCs w:val="22"/>
        </w:rPr>
        <w:t xml:space="preserve"> tonnes of refrigerant comprising less than 0.</w:t>
      </w:r>
      <w:r w:rsidR="00BF3615" w:rsidRPr="00BF3615">
        <w:rPr>
          <w:szCs w:val="22"/>
        </w:rPr>
        <w:t xml:space="preserve">5 </w:t>
      </w:r>
      <w:r w:rsidR="00C9319D" w:rsidRPr="00BF3615">
        <w:rPr>
          <w:szCs w:val="22"/>
        </w:rPr>
        <w:t>%</w:t>
      </w:r>
      <w:r w:rsidRPr="00504BCC">
        <w:rPr>
          <w:szCs w:val="22"/>
        </w:rPr>
        <w:t xml:space="preserve"> of the refrigerant bank (</w:t>
      </w:r>
      <w:r w:rsidRPr="00B66322">
        <w:rPr>
          <w:i/>
          <w:szCs w:val="22"/>
        </w:rPr>
        <w:t>CHF2 0.4% and ~170 tonnes</w:t>
      </w:r>
      <w:r w:rsidRPr="00504BCC">
        <w:rPr>
          <w:szCs w:val="22"/>
        </w:rPr>
        <w:t>)</w:t>
      </w:r>
      <w:r>
        <w:rPr>
          <w:szCs w:val="22"/>
        </w:rPr>
        <w:t xml:space="preserve">. Annual </w:t>
      </w:r>
      <w:r w:rsidR="006E2FC0">
        <w:rPr>
          <w:szCs w:val="22"/>
        </w:rPr>
        <w:t xml:space="preserve">leakage </w:t>
      </w:r>
      <w:r w:rsidR="004D766E">
        <w:rPr>
          <w:szCs w:val="22"/>
        </w:rPr>
        <w:t xml:space="preserve">of refrigerants </w:t>
      </w:r>
      <w:r>
        <w:rPr>
          <w:szCs w:val="22"/>
        </w:rPr>
        <w:t>is relatively high</w:t>
      </w:r>
      <w:r w:rsidR="004D766E">
        <w:rPr>
          <w:szCs w:val="22"/>
        </w:rPr>
        <w:t xml:space="preserve"> as a result of high vibration and hard operating conditions of this equipment</w:t>
      </w:r>
      <w:r>
        <w:rPr>
          <w:szCs w:val="22"/>
        </w:rPr>
        <w:t xml:space="preserve">, compared to the small portion of the bank this segment employs. </w:t>
      </w:r>
    </w:p>
    <w:p w14:paraId="5C29F1E6" w14:textId="62496F2B" w:rsidR="002B6D25" w:rsidRPr="00504BCC" w:rsidRDefault="002B6D25" w:rsidP="002B6D25">
      <w:pPr>
        <w:rPr>
          <w:szCs w:val="22"/>
        </w:rPr>
      </w:pPr>
      <w:r>
        <w:rPr>
          <w:szCs w:val="22"/>
        </w:rPr>
        <w:t xml:space="preserve">Transport refrigeration is estimated to </w:t>
      </w:r>
      <w:r w:rsidR="006E2FC0">
        <w:rPr>
          <w:szCs w:val="22"/>
        </w:rPr>
        <w:t xml:space="preserve">use </w:t>
      </w:r>
      <w:r>
        <w:rPr>
          <w:szCs w:val="22"/>
        </w:rPr>
        <w:t xml:space="preserve">approximately </w:t>
      </w:r>
      <w:r w:rsidR="00BF3615">
        <w:rPr>
          <w:szCs w:val="22"/>
        </w:rPr>
        <w:t>1.</w:t>
      </w:r>
      <w:r w:rsidR="006C3195">
        <w:rPr>
          <w:szCs w:val="22"/>
        </w:rPr>
        <w:t>6</w:t>
      </w:r>
      <w:r w:rsidR="00C9319D">
        <w:rPr>
          <w:szCs w:val="22"/>
        </w:rPr>
        <w:t>%</w:t>
      </w:r>
      <w:r w:rsidRPr="00504BCC">
        <w:rPr>
          <w:szCs w:val="22"/>
        </w:rPr>
        <w:t xml:space="preserve"> </w:t>
      </w:r>
      <w:r>
        <w:rPr>
          <w:szCs w:val="22"/>
        </w:rPr>
        <w:t xml:space="preserve">or around </w:t>
      </w:r>
      <w:r w:rsidR="00BF3615">
        <w:rPr>
          <w:szCs w:val="22"/>
        </w:rPr>
        <w:t>55 to 60</w:t>
      </w:r>
      <w:r>
        <w:rPr>
          <w:szCs w:val="22"/>
        </w:rPr>
        <w:t xml:space="preserve"> tonnes </w:t>
      </w:r>
      <w:r w:rsidRPr="00504BCC">
        <w:rPr>
          <w:szCs w:val="22"/>
        </w:rPr>
        <w:t>(</w:t>
      </w:r>
      <w:r w:rsidRPr="00B66322">
        <w:rPr>
          <w:i/>
          <w:szCs w:val="22"/>
        </w:rPr>
        <w:t>CHF2 1%, ~50 tonnes</w:t>
      </w:r>
      <w:r w:rsidRPr="00504BCC">
        <w:rPr>
          <w:szCs w:val="22"/>
        </w:rPr>
        <w:t xml:space="preserve">) of annual </w:t>
      </w:r>
      <w:r w:rsidR="005D3522" w:rsidRPr="005D3522">
        <w:rPr>
          <w:szCs w:val="22"/>
        </w:rPr>
        <w:t>HFC and HCFC</w:t>
      </w:r>
      <w:r w:rsidRPr="00504BCC">
        <w:rPr>
          <w:szCs w:val="22"/>
        </w:rPr>
        <w:t xml:space="preserve"> refrigerant</w:t>
      </w:r>
      <w:r>
        <w:rPr>
          <w:szCs w:val="22"/>
        </w:rPr>
        <w:t xml:space="preserve"> bulk imports, the majority is used servicing systems</w:t>
      </w:r>
      <w:r w:rsidRPr="00504BCC">
        <w:rPr>
          <w:szCs w:val="22"/>
        </w:rPr>
        <w:t xml:space="preserve"> and </w:t>
      </w:r>
      <w:r>
        <w:rPr>
          <w:szCs w:val="22"/>
        </w:rPr>
        <w:t xml:space="preserve">for </w:t>
      </w:r>
      <w:r w:rsidRPr="00504BCC">
        <w:rPr>
          <w:szCs w:val="22"/>
        </w:rPr>
        <w:t>replenish</w:t>
      </w:r>
      <w:r>
        <w:rPr>
          <w:szCs w:val="22"/>
        </w:rPr>
        <w:t>ment following system failures. Some is also used charging new equipment manufactured in Australia, or that is imported without a refrigerant charge.</w:t>
      </w:r>
    </w:p>
    <w:p w14:paraId="5031F6BF" w14:textId="77777777" w:rsidR="002B6D25" w:rsidRPr="00504BCC" w:rsidRDefault="002B6D25" w:rsidP="002B6D25">
      <w:pPr>
        <w:rPr>
          <w:szCs w:val="22"/>
        </w:rPr>
      </w:pPr>
      <w:r w:rsidRPr="00504BCC">
        <w:rPr>
          <w:szCs w:val="22"/>
        </w:rPr>
        <w:t>Transport refrigeration technology is made up of:</w:t>
      </w:r>
    </w:p>
    <w:p w14:paraId="27D3D056" w14:textId="77777777" w:rsidR="002B6D25" w:rsidRPr="00E47AD7" w:rsidRDefault="002B6D25" w:rsidP="00FC735C">
      <w:pPr>
        <w:pStyle w:val="ListParagraph"/>
        <w:numPr>
          <w:ilvl w:val="0"/>
          <w:numId w:val="20"/>
        </w:numPr>
        <w:spacing w:before="120" w:after="0" w:line="240" w:lineRule="auto"/>
        <w:ind w:left="357" w:hanging="357"/>
        <w:contextualSpacing w:val="0"/>
        <w:rPr>
          <w:rFonts w:ascii="Times New Roman" w:hAnsi="Times New Roman"/>
        </w:rPr>
      </w:pPr>
      <w:r w:rsidRPr="00E47AD7">
        <w:rPr>
          <w:rFonts w:ascii="Times New Roman" w:hAnsi="Times New Roman"/>
        </w:rPr>
        <w:t xml:space="preserve">The transport refrigeration units (TRUs) used on articulated trucks and trailers or intermodal (road or rail) containers described as the trailer/intermodal segment; </w:t>
      </w:r>
    </w:p>
    <w:p w14:paraId="03EC29A5" w14:textId="77777777" w:rsidR="002B6D25" w:rsidRPr="00E47AD7" w:rsidRDefault="002B6D25" w:rsidP="00FC735C">
      <w:pPr>
        <w:pStyle w:val="ListParagraph"/>
        <w:numPr>
          <w:ilvl w:val="0"/>
          <w:numId w:val="20"/>
        </w:numPr>
        <w:spacing w:before="120" w:after="0" w:line="240" w:lineRule="auto"/>
        <w:ind w:left="357" w:hanging="357"/>
        <w:contextualSpacing w:val="0"/>
        <w:rPr>
          <w:rFonts w:ascii="Times New Roman" w:hAnsi="Times New Roman"/>
        </w:rPr>
      </w:pPr>
      <w:r w:rsidRPr="00E47AD7">
        <w:rPr>
          <w:rFonts w:ascii="Times New Roman" w:hAnsi="Times New Roman"/>
        </w:rPr>
        <w:t>The diesel drive segment largely comprising rigid trucks with a gross vehicle mass of 3 to 8 tonnes; and,</w:t>
      </w:r>
    </w:p>
    <w:p w14:paraId="16064D7A" w14:textId="77777777" w:rsidR="002B6D25" w:rsidRPr="00E47AD7" w:rsidRDefault="002B6D25" w:rsidP="00FC735C">
      <w:pPr>
        <w:pStyle w:val="ListParagraph"/>
        <w:numPr>
          <w:ilvl w:val="0"/>
          <w:numId w:val="20"/>
        </w:numPr>
        <w:spacing w:before="120" w:after="0" w:line="240" w:lineRule="auto"/>
        <w:ind w:left="357" w:hanging="357"/>
        <w:contextualSpacing w:val="0"/>
        <w:rPr>
          <w:rFonts w:ascii="Times New Roman" w:hAnsi="Times New Roman"/>
        </w:rPr>
      </w:pPr>
      <w:r w:rsidRPr="00E47AD7">
        <w:rPr>
          <w:rFonts w:ascii="Times New Roman" w:hAnsi="Times New Roman"/>
        </w:rPr>
        <w:t xml:space="preserve">Off-engine vehicle powered refrigeration units used on small trucks and vans. </w:t>
      </w:r>
    </w:p>
    <w:p w14:paraId="0AD6ED15" w14:textId="6D9E7186" w:rsidR="002B6D25" w:rsidRPr="00504BCC" w:rsidRDefault="002B6D25" w:rsidP="002B6D25">
      <w:pPr>
        <w:rPr>
          <w:szCs w:val="22"/>
        </w:rPr>
      </w:pPr>
      <w:r w:rsidRPr="00504BCC">
        <w:rPr>
          <w:szCs w:val="22"/>
        </w:rPr>
        <w:t xml:space="preserve">The large majority of equipment in service has shaft seals and vibra-sorber hoses (i.e. stainless steel braided flexible hoses). Over the equipment’s lifespan it is typical to see at least one compressor replacement, shaft seal failure and a vibra-sorber failure. The shaft seal and hose </w:t>
      </w:r>
      <w:r>
        <w:rPr>
          <w:szCs w:val="22"/>
        </w:rPr>
        <w:t xml:space="preserve">failures </w:t>
      </w:r>
      <w:r w:rsidRPr="00504BCC">
        <w:rPr>
          <w:szCs w:val="22"/>
        </w:rPr>
        <w:t xml:space="preserve">would most likely result in the total loss of refrigerant charge. Compressor replacement would typically involve </w:t>
      </w:r>
      <w:r w:rsidR="00A61CF0">
        <w:rPr>
          <w:szCs w:val="22"/>
        </w:rPr>
        <w:t>recovery</w:t>
      </w:r>
      <w:r w:rsidRPr="00504BCC">
        <w:rPr>
          <w:szCs w:val="22"/>
        </w:rPr>
        <w:t xml:space="preserve"> and reuse of the refrigerant.</w:t>
      </w:r>
    </w:p>
    <w:p w14:paraId="7251F519" w14:textId="77777777" w:rsidR="002B6D25" w:rsidRDefault="002B6D25" w:rsidP="002B6D25">
      <w:pPr>
        <w:rPr>
          <w:szCs w:val="22"/>
        </w:rPr>
      </w:pPr>
      <w:r w:rsidRPr="00504BCC">
        <w:rPr>
          <w:szCs w:val="22"/>
        </w:rPr>
        <w:t xml:space="preserve">The trailer/intermodal and diesel drive units are imported fully charged, tested and ready to be fitted. Off-engine units are imported with a nitrogen holding charge to keep the system pressurised and clean as they have to be ‘plumbed’ up with piping and a compressor by the installer. </w:t>
      </w:r>
    </w:p>
    <w:p w14:paraId="4D34C24F" w14:textId="0A4E880B" w:rsidR="002B6D25" w:rsidRPr="00504BCC" w:rsidRDefault="002B6D25" w:rsidP="002B6D25">
      <w:pPr>
        <w:rPr>
          <w:szCs w:val="22"/>
        </w:rPr>
      </w:pPr>
      <w:r w:rsidRPr="00504BCC">
        <w:rPr>
          <w:szCs w:val="22"/>
        </w:rPr>
        <w:t>The existing stock is prone to high leak rates estimated at around 20</w:t>
      </w:r>
      <w:r w:rsidR="00C9319D">
        <w:rPr>
          <w:szCs w:val="22"/>
        </w:rPr>
        <w:t>%</w:t>
      </w:r>
      <w:r>
        <w:rPr>
          <w:szCs w:val="22"/>
        </w:rPr>
        <w:t xml:space="preserve"> per annum, however attention in new</w:t>
      </w:r>
      <w:r w:rsidRPr="00504BCC">
        <w:rPr>
          <w:szCs w:val="22"/>
        </w:rPr>
        <w:t xml:space="preserve"> designs has been focused on the elimination of as many joints as possible. As a result</w:t>
      </w:r>
      <w:r>
        <w:rPr>
          <w:szCs w:val="22"/>
        </w:rPr>
        <w:t>,</w:t>
      </w:r>
      <w:r w:rsidRPr="00504BCC">
        <w:rPr>
          <w:szCs w:val="22"/>
        </w:rPr>
        <w:t xml:space="preserve"> fully sealed systems without shaft seals or flexible hoses are now available.</w:t>
      </w:r>
    </w:p>
    <w:p w14:paraId="7C0F1ED9" w14:textId="5A754861" w:rsidR="002B6D25" w:rsidRDefault="002B6D25" w:rsidP="002B6D25">
      <w:pPr>
        <w:rPr>
          <w:szCs w:val="22"/>
        </w:rPr>
      </w:pPr>
      <w:r w:rsidRPr="00336AEB">
        <w:rPr>
          <w:szCs w:val="22"/>
        </w:rPr>
        <w:t>Refrigeration systems for trucks, trailers and intermodal refrigerated containers are predominantly charged with HFC-404A</w:t>
      </w:r>
      <w:r>
        <w:rPr>
          <w:szCs w:val="22"/>
        </w:rPr>
        <w:t xml:space="preserve">. In 2012 the </w:t>
      </w:r>
      <w:r w:rsidRPr="00504BCC">
        <w:rPr>
          <w:szCs w:val="22"/>
        </w:rPr>
        <w:t>typical charge</w:t>
      </w:r>
      <w:r>
        <w:rPr>
          <w:szCs w:val="22"/>
        </w:rPr>
        <w:t>s</w:t>
      </w:r>
      <w:r w:rsidRPr="00504BCC">
        <w:rPr>
          <w:szCs w:val="22"/>
        </w:rPr>
        <w:t xml:space="preserve"> </w:t>
      </w:r>
      <w:r>
        <w:rPr>
          <w:szCs w:val="22"/>
        </w:rPr>
        <w:t xml:space="preserve">were reported to be between 7 and 10 kilograms. The charges of </w:t>
      </w:r>
      <w:r w:rsidR="006C3195">
        <w:rPr>
          <w:szCs w:val="22"/>
        </w:rPr>
        <w:t xml:space="preserve">new </w:t>
      </w:r>
      <w:r>
        <w:rPr>
          <w:szCs w:val="22"/>
        </w:rPr>
        <w:t xml:space="preserve">systems are now typically 4 to 6.5 kg of HFC-404A, and some brands are expected to migrate to </w:t>
      </w:r>
      <w:r w:rsidR="00FA3427">
        <w:rPr>
          <w:szCs w:val="22"/>
        </w:rPr>
        <w:t>a HFC/HFO blend</w:t>
      </w:r>
      <w:r>
        <w:rPr>
          <w:szCs w:val="22"/>
        </w:rPr>
        <w:t xml:space="preserve"> in the next 2 to 3 years.</w:t>
      </w:r>
    </w:p>
    <w:p w14:paraId="6B1F55FA" w14:textId="429CCFBF" w:rsidR="002B6D25" w:rsidRDefault="002B6D25" w:rsidP="002B6D25">
      <w:pPr>
        <w:rPr>
          <w:szCs w:val="22"/>
        </w:rPr>
      </w:pPr>
      <w:r>
        <w:rPr>
          <w:szCs w:val="22"/>
        </w:rPr>
        <w:t xml:space="preserve">Significant growth in the refrigerated transport fleet across all categories RCFC4-1, 4-2 and 4-3 has been reported. Almost certainly some of the growth is directly tied to increased exports of fresh food flowing from new investment in horticulture and agriculture. </w:t>
      </w:r>
      <w:r w:rsidR="009F5EAE">
        <w:rPr>
          <w:szCs w:val="22"/>
        </w:rPr>
        <w:t>However,</w:t>
      </w:r>
      <w:r>
        <w:rPr>
          <w:szCs w:val="22"/>
        </w:rPr>
        <w:t xml:space="preserve"> there are also major increases in the fleet as a result of changes in the domestic market.</w:t>
      </w:r>
    </w:p>
    <w:p w14:paraId="2C324E6F" w14:textId="54E2CBFE" w:rsidR="002B6D25" w:rsidRDefault="002B6D25" w:rsidP="002B6D25">
      <w:pPr>
        <w:rPr>
          <w:szCs w:val="22"/>
        </w:rPr>
      </w:pPr>
      <w:r>
        <w:rPr>
          <w:szCs w:val="22"/>
        </w:rPr>
        <w:t xml:space="preserve">Both Woolworths and Coles for instance now provide home delivered groceries that can be ordered on line and scheduled for delivery to your door. Both of these grocery market majors now have fleets of more than 500 home delivery trucks and vans each. </w:t>
      </w:r>
    </w:p>
    <w:p w14:paraId="20F7C07B" w14:textId="05E4258E" w:rsidR="002B6D25" w:rsidRDefault="002B6D25" w:rsidP="002B6D25">
      <w:pPr>
        <w:rPr>
          <w:szCs w:val="22"/>
        </w:rPr>
      </w:pPr>
      <w:r>
        <w:rPr>
          <w:szCs w:val="22"/>
        </w:rPr>
        <w:t>At the same time there has been strong growth in sales of smaller off-engine-devices that are suitable for small delivery vans. These sales are thought to be tied to the growth of ‘food services’ businesses that are delivering increasing volumes of pre-made meals for either sale through other retail</w:t>
      </w:r>
      <w:r w:rsidR="00FA3427">
        <w:rPr>
          <w:szCs w:val="22"/>
        </w:rPr>
        <w:t xml:space="preserve"> outlets</w:t>
      </w:r>
      <w:r>
        <w:rPr>
          <w:szCs w:val="22"/>
        </w:rPr>
        <w:t>, such as cafés and corner stores, or for quick home cooking.</w:t>
      </w:r>
    </w:p>
    <w:p w14:paraId="74C1976D" w14:textId="22928FD1" w:rsidR="00FA3427" w:rsidRDefault="002B6D25" w:rsidP="002B6D25">
      <w:pPr>
        <w:rPr>
          <w:szCs w:val="22"/>
        </w:rPr>
      </w:pPr>
      <w:r>
        <w:rPr>
          <w:szCs w:val="22"/>
        </w:rPr>
        <w:t xml:space="preserve">While there </w:t>
      </w:r>
      <w:r w:rsidR="00BE056F">
        <w:rPr>
          <w:szCs w:val="22"/>
        </w:rPr>
        <w:t xml:space="preserve">have </w:t>
      </w:r>
      <w:r>
        <w:rPr>
          <w:szCs w:val="22"/>
        </w:rPr>
        <w:t>been some improvements in design of systems to reduce leaks of refrigerant, transport refrigeration systems in general operate in very high vibration and difficult conditions and design flaws of older designs (i.e. shaft seal and vibra</w:t>
      </w:r>
      <w:r w:rsidR="009F5EAE">
        <w:rPr>
          <w:szCs w:val="22"/>
        </w:rPr>
        <w:t>-</w:t>
      </w:r>
      <w:r>
        <w:rPr>
          <w:szCs w:val="22"/>
        </w:rPr>
        <w:t xml:space="preserve">sorber) result in higher than normal leak rates. </w:t>
      </w:r>
    </w:p>
    <w:p w14:paraId="3F20E119" w14:textId="77777777" w:rsidR="008C50FD" w:rsidRDefault="008C50FD" w:rsidP="002B6D25">
      <w:pPr>
        <w:rPr>
          <w:szCs w:val="22"/>
        </w:rPr>
      </w:pPr>
      <w:r>
        <w:rPr>
          <w:szCs w:val="22"/>
        </w:rPr>
        <w:t xml:space="preserve">At present the refrigerant of choice is HFC-404A on larger systems and HFC-134a on smaller systems with HFC-452A (GWP of 2141) as an option that has not been taken up in Australia. </w:t>
      </w:r>
    </w:p>
    <w:p w14:paraId="1DA6858C" w14:textId="3337D9EC" w:rsidR="008C50FD" w:rsidRDefault="0025177D" w:rsidP="002B6D25">
      <w:pPr>
        <w:rPr>
          <w:szCs w:val="22"/>
        </w:rPr>
      </w:pPr>
      <w:r>
        <w:rPr>
          <w:szCs w:val="22"/>
        </w:rPr>
        <w:t xml:space="preserve">Countering the high leak rates in this product category </w:t>
      </w:r>
      <w:r w:rsidR="002B6D25">
        <w:rPr>
          <w:szCs w:val="22"/>
        </w:rPr>
        <w:t>some suppliers are now offering sealed technology without shaft seals and vibra</w:t>
      </w:r>
      <w:r w:rsidR="009F5EAE">
        <w:rPr>
          <w:szCs w:val="22"/>
        </w:rPr>
        <w:t>-</w:t>
      </w:r>
      <w:r w:rsidR="002B6D25">
        <w:rPr>
          <w:szCs w:val="22"/>
        </w:rPr>
        <w:t xml:space="preserve">sorbas. Trials </w:t>
      </w:r>
      <w:r w:rsidR="008C50FD">
        <w:rPr>
          <w:szCs w:val="22"/>
        </w:rPr>
        <w:t xml:space="preserve">were </w:t>
      </w:r>
      <w:r w:rsidR="002B6D25">
        <w:rPr>
          <w:szCs w:val="22"/>
        </w:rPr>
        <w:t>undertaken with CO</w:t>
      </w:r>
      <w:r w:rsidR="002B6D25" w:rsidRPr="00360E14">
        <w:rPr>
          <w:szCs w:val="22"/>
          <w:vertAlign w:val="subscript"/>
        </w:rPr>
        <w:t>2</w:t>
      </w:r>
      <w:r w:rsidR="002B6D25">
        <w:rPr>
          <w:szCs w:val="22"/>
        </w:rPr>
        <w:t xml:space="preserve"> open loop systems </w:t>
      </w:r>
      <w:r w:rsidR="002019A0">
        <w:rPr>
          <w:szCs w:val="22"/>
        </w:rPr>
        <w:t xml:space="preserve">which </w:t>
      </w:r>
      <w:r w:rsidR="002B6D25">
        <w:rPr>
          <w:szCs w:val="22"/>
        </w:rPr>
        <w:t xml:space="preserve">have not proven to be viable, and now closed loop </w:t>
      </w:r>
      <w:r w:rsidR="00E94279">
        <w:rPr>
          <w:szCs w:val="22"/>
        </w:rPr>
        <w:t>v</w:t>
      </w:r>
      <w:r w:rsidR="002B6D25">
        <w:rPr>
          <w:szCs w:val="22"/>
        </w:rPr>
        <w:t xml:space="preserve">ector technology </w:t>
      </w:r>
      <w:r w:rsidR="00612C0A">
        <w:rPr>
          <w:szCs w:val="22"/>
        </w:rPr>
        <w:t xml:space="preserve">is </w:t>
      </w:r>
      <w:r w:rsidR="002B6D25">
        <w:rPr>
          <w:szCs w:val="22"/>
        </w:rPr>
        <w:t>under review in Europe tha</w:t>
      </w:r>
      <w:r w:rsidR="00FA3427">
        <w:rPr>
          <w:szCs w:val="22"/>
        </w:rPr>
        <w:t>t</w:t>
      </w:r>
      <w:r w:rsidR="002B6D25">
        <w:rPr>
          <w:szCs w:val="22"/>
        </w:rPr>
        <w:t xml:space="preserve"> may provide an alternative in the next five to ten years. </w:t>
      </w:r>
    </w:p>
    <w:p w14:paraId="5BA00573" w14:textId="6B685C36" w:rsidR="002B6D25" w:rsidRDefault="002B6D25" w:rsidP="002B6D25">
      <w:pPr>
        <w:rPr>
          <w:szCs w:val="22"/>
        </w:rPr>
      </w:pPr>
      <w:r>
        <w:rPr>
          <w:szCs w:val="22"/>
        </w:rPr>
        <w:t xml:space="preserve">The next generation of road transport equipment is expected to have HFC-452A (includes 30% HFO-1234yf) as the refrigerant of choice and the older refrigerants as an option.     </w:t>
      </w:r>
    </w:p>
    <w:p w14:paraId="24FDF3A8" w14:textId="5040FAD4" w:rsidR="002B6D25" w:rsidRDefault="002B6D25" w:rsidP="002B6D25">
      <w:pPr>
        <w:rPr>
          <w:szCs w:val="22"/>
        </w:rPr>
      </w:pPr>
      <w:r w:rsidRPr="00504BCC">
        <w:rPr>
          <w:szCs w:val="22"/>
        </w:rPr>
        <w:t>An unknown number (certainly in the tens of thousands) of refrigerated shipping containers commonly known as “</w:t>
      </w:r>
      <w:r w:rsidR="00EB5AF0">
        <w:rPr>
          <w:szCs w:val="22"/>
        </w:rPr>
        <w:t>r</w:t>
      </w:r>
      <w:r w:rsidRPr="00504BCC">
        <w:rPr>
          <w:szCs w:val="22"/>
        </w:rPr>
        <w:t xml:space="preserve">eefers” enter and leave Australian ports every year, primarily carrying perishable foods. Most of the refrigerant </w:t>
      </w:r>
      <w:r w:rsidR="00726744">
        <w:rPr>
          <w:szCs w:val="22"/>
        </w:rPr>
        <w:t>use</w:t>
      </w:r>
      <w:r w:rsidR="00726744" w:rsidRPr="00504BCC">
        <w:rPr>
          <w:szCs w:val="22"/>
        </w:rPr>
        <w:t xml:space="preserve"> </w:t>
      </w:r>
      <w:r w:rsidRPr="00504BCC">
        <w:rPr>
          <w:szCs w:val="22"/>
        </w:rPr>
        <w:t xml:space="preserve">in manufacturing and service of </w:t>
      </w:r>
      <w:r w:rsidR="00EB5AF0">
        <w:rPr>
          <w:szCs w:val="22"/>
        </w:rPr>
        <w:t>r</w:t>
      </w:r>
      <w:r w:rsidRPr="00504BCC">
        <w:rPr>
          <w:szCs w:val="22"/>
        </w:rPr>
        <w:t>eefers occurs overseas.</w:t>
      </w:r>
    </w:p>
    <w:p w14:paraId="67E38801" w14:textId="77777777" w:rsidR="00612476" w:rsidRDefault="00612476" w:rsidP="002B6D25">
      <w:pPr>
        <w:rPr>
          <w:szCs w:val="22"/>
        </w:rPr>
      </w:pPr>
    </w:p>
    <w:p w14:paraId="6E2F3DE7" w14:textId="65C277B9" w:rsidR="002B6D25" w:rsidRPr="00276817" w:rsidRDefault="002B6D25" w:rsidP="00EA2C32">
      <w:pPr>
        <w:spacing w:before="240"/>
        <w:rPr>
          <w:b/>
          <w:szCs w:val="22"/>
        </w:rPr>
      </w:pPr>
      <w:r w:rsidRPr="00276817">
        <w:rPr>
          <w:b/>
          <w:szCs w:val="22"/>
        </w:rPr>
        <w:t xml:space="preserve">Mobile </w:t>
      </w:r>
      <w:r w:rsidR="00A7009B">
        <w:rPr>
          <w:b/>
          <w:szCs w:val="22"/>
        </w:rPr>
        <w:t>r</w:t>
      </w:r>
      <w:r w:rsidRPr="00276817">
        <w:rPr>
          <w:b/>
          <w:szCs w:val="22"/>
        </w:rPr>
        <w:t>efrigeration: Marine</w:t>
      </w:r>
    </w:p>
    <w:p w14:paraId="2566AFF8" w14:textId="4AAE84C8" w:rsidR="002B6D25" w:rsidRDefault="002B6D25" w:rsidP="002B6D25">
      <w:pPr>
        <w:rPr>
          <w:szCs w:val="22"/>
        </w:rPr>
      </w:pPr>
      <w:r>
        <w:rPr>
          <w:szCs w:val="22"/>
        </w:rPr>
        <w:t>RCFC 4-4 (</w:t>
      </w:r>
      <w:r w:rsidRPr="009C5DA3">
        <w:rPr>
          <w:i/>
          <w:szCs w:val="22"/>
        </w:rPr>
        <w:t>CHF2 RCFC 2-4</w:t>
      </w:r>
      <w:r>
        <w:rPr>
          <w:szCs w:val="22"/>
        </w:rPr>
        <w:t>) is a category that essentially captures refrigeration systems used in the commercial fishing fleet</w:t>
      </w:r>
      <w:r w:rsidR="003F2222">
        <w:rPr>
          <w:szCs w:val="22"/>
        </w:rPr>
        <w:t xml:space="preserve"> and are simply called ‘marine’ in the trade</w:t>
      </w:r>
      <w:r>
        <w:rPr>
          <w:szCs w:val="22"/>
        </w:rPr>
        <w:t>. While there are a small number of Australian registered coastal shipping vessels that have galley kitchens and on-board refrigeration, the majority of the engineering and investment is in the very large refrigerating capacity on commercial fishing vessels.</w:t>
      </w:r>
    </w:p>
    <w:p w14:paraId="6F798A0B" w14:textId="2428C67F" w:rsidR="002B6D25" w:rsidRDefault="002B6D25" w:rsidP="002B6D25">
      <w:pPr>
        <w:rPr>
          <w:szCs w:val="22"/>
        </w:rPr>
      </w:pPr>
      <w:r>
        <w:rPr>
          <w:szCs w:val="22"/>
        </w:rPr>
        <w:t xml:space="preserve">The majority of marine systems are found </w:t>
      </w:r>
      <w:r w:rsidRPr="00504BCC">
        <w:rPr>
          <w:szCs w:val="22"/>
        </w:rPr>
        <w:t>on fishing vessels.</w:t>
      </w:r>
      <w:r>
        <w:rPr>
          <w:szCs w:val="22"/>
        </w:rPr>
        <w:t xml:space="preserve"> </w:t>
      </w:r>
      <w:r w:rsidRPr="00504BCC">
        <w:rPr>
          <w:szCs w:val="22"/>
        </w:rPr>
        <w:t>Marine refrige</w:t>
      </w:r>
      <w:r>
        <w:rPr>
          <w:szCs w:val="22"/>
        </w:rPr>
        <w:t>ration that is examined as part of the refrigerated cold food chain for this report are systems on</w:t>
      </w:r>
      <w:r w:rsidRPr="00504BCC">
        <w:rPr>
          <w:szCs w:val="22"/>
        </w:rPr>
        <w:t xml:space="preserve"> fishing vessels that contain specialised chilling and </w:t>
      </w:r>
      <w:r>
        <w:rPr>
          <w:szCs w:val="22"/>
        </w:rPr>
        <w:t xml:space="preserve">often very high capacity </w:t>
      </w:r>
      <w:r w:rsidRPr="00504BCC">
        <w:rPr>
          <w:szCs w:val="22"/>
        </w:rPr>
        <w:t>blast freezing equipment</w:t>
      </w:r>
      <w:r>
        <w:rPr>
          <w:szCs w:val="22"/>
        </w:rPr>
        <w:t>.</w:t>
      </w:r>
    </w:p>
    <w:p w14:paraId="24B1B6BE" w14:textId="1C8BE586" w:rsidR="002B6D25" w:rsidRPr="00FE2681" w:rsidRDefault="009F5EAE" w:rsidP="002B6D25">
      <w:pPr>
        <w:rPr>
          <w:szCs w:val="22"/>
        </w:rPr>
      </w:pPr>
      <w:r>
        <w:rPr>
          <w:szCs w:val="22"/>
        </w:rPr>
        <w:t>Generally,</w:t>
      </w:r>
      <w:r w:rsidR="002B6D25">
        <w:rPr>
          <w:szCs w:val="22"/>
        </w:rPr>
        <w:t xml:space="preserve"> only registered commercial fishing vessels of</w:t>
      </w:r>
      <w:r w:rsidR="002B6D25" w:rsidRPr="00FE2681">
        <w:rPr>
          <w:szCs w:val="22"/>
        </w:rPr>
        <w:t xml:space="preserve"> g</w:t>
      </w:r>
      <w:r w:rsidR="002B6D25">
        <w:rPr>
          <w:szCs w:val="22"/>
        </w:rPr>
        <w:t>reater than 15 meters in length are likely to have a substantial refrigeration system</w:t>
      </w:r>
      <w:r w:rsidR="002B6D25" w:rsidRPr="00504BCC">
        <w:rPr>
          <w:szCs w:val="22"/>
        </w:rPr>
        <w:t>.</w:t>
      </w:r>
    </w:p>
    <w:p w14:paraId="50BC5C7B" w14:textId="77777777" w:rsidR="002B6D25" w:rsidRDefault="002B6D25" w:rsidP="002B6D25">
      <w:pPr>
        <w:rPr>
          <w:szCs w:val="22"/>
        </w:rPr>
      </w:pPr>
      <w:r>
        <w:rPr>
          <w:szCs w:val="22"/>
        </w:rPr>
        <w:t xml:space="preserve">These larger fishing vessels can stay at sea for two weeks or more before returning to dock or offloading to a ‘mother ship’. </w:t>
      </w:r>
    </w:p>
    <w:p w14:paraId="6534C322" w14:textId="77777777" w:rsidR="002B6D25" w:rsidRDefault="002B6D25" w:rsidP="002B6D25">
      <w:pPr>
        <w:rPr>
          <w:szCs w:val="22"/>
        </w:rPr>
      </w:pPr>
      <w:r>
        <w:rPr>
          <w:szCs w:val="22"/>
        </w:rPr>
        <w:t>Smaller vessels, which might only spend a few days at sea, are more likely</w:t>
      </w:r>
      <w:r w:rsidRPr="00FE2681">
        <w:rPr>
          <w:szCs w:val="22"/>
        </w:rPr>
        <w:t xml:space="preserve"> </w:t>
      </w:r>
      <w:r>
        <w:rPr>
          <w:szCs w:val="22"/>
        </w:rPr>
        <w:t xml:space="preserve">to </w:t>
      </w:r>
      <w:r w:rsidRPr="00FE2681">
        <w:rPr>
          <w:szCs w:val="22"/>
        </w:rPr>
        <w:t xml:space="preserve">either collect </w:t>
      </w:r>
      <w:r>
        <w:rPr>
          <w:szCs w:val="22"/>
        </w:rPr>
        <w:t xml:space="preserve">bulk </w:t>
      </w:r>
      <w:r w:rsidRPr="00FE2681">
        <w:rPr>
          <w:szCs w:val="22"/>
        </w:rPr>
        <w:t>ice at the wharf, and/or have portable refrigeration systems.</w:t>
      </w:r>
    </w:p>
    <w:p w14:paraId="342ED122" w14:textId="77777777" w:rsidR="002B6D25" w:rsidRDefault="002B6D25" w:rsidP="002B6D25">
      <w:pPr>
        <w:rPr>
          <w:szCs w:val="22"/>
        </w:rPr>
      </w:pPr>
      <w:r>
        <w:rPr>
          <w:szCs w:val="22"/>
        </w:rPr>
        <w:t xml:space="preserve">Interviews with industry stakeholders indicate that only about 20%, or between 400 and 450, </w:t>
      </w:r>
      <w:r w:rsidRPr="00FE2681">
        <w:rPr>
          <w:szCs w:val="22"/>
        </w:rPr>
        <w:t xml:space="preserve">of </w:t>
      </w:r>
      <w:r>
        <w:rPr>
          <w:szCs w:val="22"/>
        </w:rPr>
        <w:t>the more than 2,000 commercial</w:t>
      </w:r>
      <w:r w:rsidRPr="00FE2681">
        <w:rPr>
          <w:szCs w:val="22"/>
        </w:rPr>
        <w:t xml:space="preserve"> fishing vessels registered</w:t>
      </w:r>
      <w:r>
        <w:rPr>
          <w:szCs w:val="22"/>
        </w:rPr>
        <w:t xml:space="preserve"> with</w:t>
      </w:r>
      <w:r w:rsidRPr="00FE2681">
        <w:rPr>
          <w:szCs w:val="22"/>
        </w:rPr>
        <w:t xml:space="preserve"> the Australian Maritime Safety Authority</w:t>
      </w:r>
      <w:r>
        <w:rPr>
          <w:szCs w:val="22"/>
        </w:rPr>
        <w:t xml:space="preserve"> are regularly active. </w:t>
      </w:r>
    </w:p>
    <w:p w14:paraId="0319E0C5" w14:textId="31CF6E3E" w:rsidR="002B6D25" w:rsidRDefault="002B6D25" w:rsidP="002B6D25">
      <w:pPr>
        <w:rPr>
          <w:szCs w:val="22"/>
        </w:rPr>
      </w:pPr>
      <w:r>
        <w:rPr>
          <w:szCs w:val="22"/>
        </w:rPr>
        <w:t>The average refrigerant charge used in the CHF data base for these marine systems is 130</w:t>
      </w:r>
      <w:r w:rsidR="006C3195">
        <w:rPr>
          <w:szCs w:val="22"/>
        </w:rPr>
        <w:t xml:space="preserve"> </w:t>
      </w:r>
      <w:r>
        <w:rPr>
          <w:szCs w:val="22"/>
        </w:rPr>
        <w:t xml:space="preserve">kg. </w:t>
      </w:r>
      <w:r w:rsidR="009F5EAE">
        <w:rPr>
          <w:szCs w:val="22"/>
        </w:rPr>
        <w:t>However,</w:t>
      </w:r>
      <w:r>
        <w:rPr>
          <w:szCs w:val="22"/>
        </w:rPr>
        <w:t xml:space="preserve"> at the larger end of the fleet refrigerant charges can be much </w:t>
      </w:r>
      <w:r w:rsidR="00466FD6">
        <w:rPr>
          <w:szCs w:val="22"/>
        </w:rPr>
        <w:t>greater</w:t>
      </w:r>
      <w:r>
        <w:rPr>
          <w:szCs w:val="22"/>
        </w:rPr>
        <w:t xml:space="preserve">. </w:t>
      </w:r>
    </w:p>
    <w:p w14:paraId="12D089C3" w14:textId="76D88619" w:rsidR="002B6D25" w:rsidRDefault="002B6D25" w:rsidP="002B6D25">
      <w:r>
        <w:rPr>
          <w:szCs w:val="22"/>
        </w:rPr>
        <w:t xml:space="preserve">For </w:t>
      </w:r>
      <w:r w:rsidR="009F5EAE">
        <w:rPr>
          <w:szCs w:val="22"/>
        </w:rPr>
        <w:t>instance,</w:t>
      </w:r>
      <w:r>
        <w:rPr>
          <w:szCs w:val="22"/>
        </w:rPr>
        <w:t xml:space="preserve"> </w:t>
      </w:r>
      <w:r>
        <w:t xml:space="preserve">the handful of the largest vessels in the fleet that sail to Antarctic waters for Patagonian </w:t>
      </w:r>
      <w:r w:rsidR="009F5EAE">
        <w:t>tooth fish</w:t>
      </w:r>
      <w:r>
        <w:t xml:space="preserve"> can have charges of up to 500 kg of refrigerant for snap freezing.</w:t>
      </w:r>
    </w:p>
    <w:p w14:paraId="6541A70D" w14:textId="5928ED7B" w:rsidR="002B6D25" w:rsidRDefault="002B6D25" w:rsidP="002B6D25">
      <w:pPr>
        <w:rPr>
          <w:szCs w:val="22"/>
        </w:rPr>
      </w:pPr>
      <w:r>
        <w:rPr>
          <w:szCs w:val="22"/>
        </w:rPr>
        <w:t>The 52 long distance vessels of between 17 to 28 metres that operate in the Northern Prawn Fishery in the Arafura Sea</w:t>
      </w:r>
      <w:r w:rsidR="00FA3427">
        <w:rPr>
          <w:szCs w:val="22"/>
        </w:rPr>
        <w:t>,</w:t>
      </w:r>
      <w:r>
        <w:rPr>
          <w:szCs w:val="22"/>
        </w:rPr>
        <w:t xml:space="preserve"> and along the remote north coast of Australia, have an average charge of 260</w:t>
      </w:r>
      <w:r w:rsidR="006C3195">
        <w:rPr>
          <w:szCs w:val="22"/>
        </w:rPr>
        <w:t xml:space="preserve"> </w:t>
      </w:r>
      <w:r>
        <w:rPr>
          <w:szCs w:val="22"/>
        </w:rPr>
        <w:t>kg. These specialised vessels contain more than 25% of the refrigerant bank used in the fishing fleet.</w:t>
      </w:r>
    </w:p>
    <w:p w14:paraId="22B28AD2" w14:textId="77777777" w:rsidR="002B6D25" w:rsidRDefault="002B6D25" w:rsidP="002B6D25">
      <w:r>
        <w:t>Tuna fishing vessels in Port Lincoln have smaller refrigeration charges as they do not freeze the produce and mostly operate brine tanks, whereas the vessels used to catch pilchards, which is the baitfish for the tuna fishery, have flooded refrigeration systems with larger charges up to 200 kg for rapid freezing.</w:t>
      </w:r>
    </w:p>
    <w:p w14:paraId="36845FC0" w14:textId="77777777" w:rsidR="002B6D25" w:rsidRDefault="002B6D25" w:rsidP="002B6D25">
      <w:r>
        <w:t>There are many vessels around 15 meters in length that operate in coastal waters with a single compressor and a refrigerant charge of 100 to 130 kg. Shallow draught, smaller reef fishing boats only have small blast freezers with a charge of 10 to 12 kg.</w:t>
      </w:r>
    </w:p>
    <w:p w14:paraId="0F5A0AD7" w14:textId="736A54D2" w:rsidR="002B6D25" w:rsidRDefault="002B6D25" w:rsidP="002B6D25">
      <w:pPr>
        <w:rPr>
          <w:szCs w:val="22"/>
        </w:rPr>
      </w:pPr>
      <w:r>
        <w:t>In aggregate m</w:t>
      </w:r>
      <w:r w:rsidRPr="00504BCC">
        <w:rPr>
          <w:szCs w:val="22"/>
        </w:rPr>
        <w:t xml:space="preserve">arine refrigeration is </w:t>
      </w:r>
      <w:r>
        <w:rPr>
          <w:szCs w:val="22"/>
        </w:rPr>
        <w:t xml:space="preserve">estimated to comprise </w:t>
      </w:r>
      <w:r w:rsidRPr="00775DC1">
        <w:rPr>
          <w:szCs w:val="22"/>
        </w:rPr>
        <w:t>around 0.</w:t>
      </w:r>
      <w:r w:rsidR="00775DC1" w:rsidRPr="00775DC1">
        <w:rPr>
          <w:szCs w:val="22"/>
        </w:rPr>
        <w:t>1</w:t>
      </w:r>
      <w:r w:rsidR="00C9319D" w:rsidRPr="00775DC1">
        <w:rPr>
          <w:szCs w:val="22"/>
        </w:rPr>
        <w:t>%</w:t>
      </w:r>
      <w:r>
        <w:rPr>
          <w:szCs w:val="22"/>
        </w:rPr>
        <w:t xml:space="preserve"> </w:t>
      </w:r>
      <w:r w:rsidRPr="004B604D">
        <w:rPr>
          <w:szCs w:val="22"/>
        </w:rPr>
        <w:t>(~</w:t>
      </w:r>
      <w:r w:rsidR="00775DC1">
        <w:rPr>
          <w:szCs w:val="22"/>
        </w:rPr>
        <w:t>55</w:t>
      </w:r>
      <w:r w:rsidRPr="00504BCC">
        <w:rPr>
          <w:szCs w:val="22"/>
        </w:rPr>
        <w:t xml:space="preserve"> tonnes) </w:t>
      </w:r>
      <w:r>
        <w:rPr>
          <w:szCs w:val="22"/>
        </w:rPr>
        <w:t>(</w:t>
      </w:r>
      <w:r w:rsidRPr="001A237C">
        <w:rPr>
          <w:i/>
          <w:szCs w:val="22"/>
        </w:rPr>
        <w:t>CHF2 0.1%, also 55 tonnes</w:t>
      </w:r>
      <w:r>
        <w:rPr>
          <w:szCs w:val="22"/>
        </w:rPr>
        <w:t xml:space="preserve">) </w:t>
      </w:r>
      <w:r w:rsidRPr="00504BCC">
        <w:rPr>
          <w:szCs w:val="22"/>
        </w:rPr>
        <w:t>of the refrigerant bank</w:t>
      </w:r>
      <w:r w:rsidR="00775DC1">
        <w:rPr>
          <w:szCs w:val="22"/>
        </w:rPr>
        <w:t xml:space="preserve">. The leak rates have reduced from </w:t>
      </w:r>
      <w:r w:rsidR="00775DC1" w:rsidRPr="00504BCC">
        <w:rPr>
          <w:szCs w:val="22"/>
        </w:rPr>
        <w:t>between 25</w:t>
      </w:r>
      <w:r w:rsidR="00775DC1">
        <w:rPr>
          <w:szCs w:val="22"/>
        </w:rPr>
        <w:t>%</w:t>
      </w:r>
      <w:r w:rsidR="00775DC1" w:rsidRPr="00504BCC">
        <w:rPr>
          <w:szCs w:val="22"/>
        </w:rPr>
        <w:t xml:space="preserve"> and 30</w:t>
      </w:r>
      <w:r w:rsidR="00775DC1">
        <w:rPr>
          <w:szCs w:val="22"/>
        </w:rPr>
        <w:t>%</w:t>
      </w:r>
      <w:r w:rsidR="00775DC1" w:rsidRPr="00504BCC">
        <w:rPr>
          <w:szCs w:val="22"/>
        </w:rPr>
        <w:t xml:space="preserve"> per annum</w:t>
      </w:r>
      <w:r w:rsidR="00775DC1">
        <w:rPr>
          <w:rStyle w:val="FootnoteReference"/>
          <w:szCs w:val="22"/>
        </w:rPr>
        <w:footnoteReference w:id="31"/>
      </w:r>
      <w:r w:rsidR="00775DC1">
        <w:rPr>
          <w:szCs w:val="22"/>
        </w:rPr>
        <w:t xml:space="preserve"> in 2012 to around 15% per annum in 2016, however industry usage is similar due to an increase in upgrades and retrofits</w:t>
      </w:r>
      <w:r w:rsidRPr="00504BCC">
        <w:rPr>
          <w:szCs w:val="22"/>
        </w:rPr>
        <w:t xml:space="preserve"> </w:t>
      </w:r>
      <w:r w:rsidR="00775DC1">
        <w:rPr>
          <w:szCs w:val="22"/>
        </w:rPr>
        <w:t xml:space="preserve">equating to </w:t>
      </w:r>
      <w:r w:rsidR="008D3358">
        <w:rPr>
          <w:szCs w:val="22"/>
        </w:rPr>
        <w:t>0.4</w:t>
      </w:r>
      <w:r w:rsidR="00C9319D">
        <w:rPr>
          <w:szCs w:val="22"/>
        </w:rPr>
        <w:t>%</w:t>
      </w:r>
      <w:r>
        <w:rPr>
          <w:szCs w:val="22"/>
        </w:rPr>
        <w:t xml:space="preserve"> of </w:t>
      </w:r>
      <w:r w:rsidR="008D3358">
        <w:rPr>
          <w:szCs w:val="22"/>
        </w:rPr>
        <w:t xml:space="preserve">total </w:t>
      </w:r>
      <w:r w:rsidR="00775DC1">
        <w:rPr>
          <w:szCs w:val="22"/>
        </w:rPr>
        <w:t>usage</w:t>
      </w:r>
      <w:r>
        <w:rPr>
          <w:szCs w:val="22"/>
        </w:rPr>
        <w:t xml:space="preserve"> (~</w:t>
      </w:r>
      <w:r w:rsidR="00775DC1">
        <w:rPr>
          <w:szCs w:val="22"/>
        </w:rPr>
        <w:t>15</w:t>
      </w:r>
      <w:r w:rsidRPr="00504BCC">
        <w:rPr>
          <w:szCs w:val="22"/>
        </w:rPr>
        <w:t xml:space="preserve"> tonnes) </w:t>
      </w:r>
      <w:r>
        <w:rPr>
          <w:szCs w:val="22"/>
        </w:rPr>
        <w:t>(</w:t>
      </w:r>
      <w:r w:rsidRPr="001A237C">
        <w:rPr>
          <w:i/>
          <w:szCs w:val="22"/>
        </w:rPr>
        <w:t>CHF2 2%, 16 tonnes</w:t>
      </w:r>
      <w:r>
        <w:rPr>
          <w:szCs w:val="22"/>
        </w:rPr>
        <w:t>)</w:t>
      </w:r>
      <w:r w:rsidRPr="00504BCC">
        <w:rPr>
          <w:szCs w:val="22"/>
        </w:rPr>
        <w:t xml:space="preserve">. </w:t>
      </w:r>
    </w:p>
    <w:p w14:paraId="0C5E9587" w14:textId="1C815A4E" w:rsidR="002B6D25" w:rsidRDefault="002B6D25" w:rsidP="002B6D25">
      <w:pPr>
        <w:rPr>
          <w:szCs w:val="22"/>
        </w:rPr>
      </w:pPr>
      <w:r>
        <w:rPr>
          <w:szCs w:val="22"/>
        </w:rPr>
        <w:t xml:space="preserve">Leak rates of this magnitude are, to some extent, the result of the operating environment for these generally low temperature refrigeration systems. </w:t>
      </w:r>
      <w:r w:rsidRPr="00504BCC">
        <w:rPr>
          <w:szCs w:val="22"/>
        </w:rPr>
        <w:t>Fishing vessel systems are ve</w:t>
      </w:r>
      <w:r>
        <w:rPr>
          <w:szCs w:val="22"/>
        </w:rPr>
        <w:t xml:space="preserve">ry hard working systems in </w:t>
      </w:r>
      <w:r w:rsidRPr="00504BCC">
        <w:rPr>
          <w:szCs w:val="22"/>
        </w:rPr>
        <w:t>difficult environments</w:t>
      </w:r>
      <w:r>
        <w:rPr>
          <w:szCs w:val="22"/>
        </w:rPr>
        <w:t>, often installed in very limited space with poor access for maintenance and repairs, operating in common plant rooms with the main engine, and under heavy load due to the need to rapidly chill or freeze tonnes of temperature sensitive product at a time. The</w:t>
      </w:r>
      <w:r w:rsidRPr="00504BCC">
        <w:rPr>
          <w:szCs w:val="22"/>
        </w:rPr>
        <w:t xml:space="preserve"> normal machine vibration</w:t>
      </w:r>
      <w:r>
        <w:rPr>
          <w:szCs w:val="22"/>
        </w:rPr>
        <w:t xml:space="preserve"> is greatly</w:t>
      </w:r>
      <w:r w:rsidRPr="00504BCC">
        <w:rPr>
          <w:szCs w:val="22"/>
        </w:rPr>
        <w:t xml:space="preserve"> exacerbated by the high vibration and sometimes relatively</w:t>
      </w:r>
      <w:r>
        <w:rPr>
          <w:szCs w:val="22"/>
        </w:rPr>
        <w:t xml:space="preserve"> violent movement of the vessel itself. C</w:t>
      </w:r>
      <w:r w:rsidRPr="00504BCC">
        <w:rPr>
          <w:szCs w:val="22"/>
        </w:rPr>
        <w:t xml:space="preserve">ombined with </w:t>
      </w:r>
      <w:r>
        <w:rPr>
          <w:szCs w:val="22"/>
        </w:rPr>
        <w:t xml:space="preserve">operating in very </w:t>
      </w:r>
      <w:r w:rsidRPr="00504BCC">
        <w:rPr>
          <w:szCs w:val="22"/>
        </w:rPr>
        <w:t xml:space="preserve">high humidity plus </w:t>
      </w:r>
      <w:r>
        <w:rPr>
          <w:szCs w:val="22"/>
        </w:rPr>
        <w:t xml:space="preserve">dealing with </w:t>
      </w:r>
      <w:r w:rsidRPr="00504BCC">
        <w:rPr>
          <w:szCs w:val="22"/>
        </w:rPr>
        <w:t>the corrosive effects of salt</w:t>
      </w:r>
      <w:r>
        <w:rPr>
          <w:szCs w:val="22"/>
        </w:rPr>
        <w:t xml:space="preserve"> from sea spray and sea water, these conditions would be </w:t>
      </w:r>
      <w:r w:rsidR="00F33FBC">
        <w:rPr>
          <w:szCs w:val="22"/>
        </w:rPr>
        <w:t xml:space="preserve">demanding </w:t>
      </w:r>
      <w:r>
        <w:rPr>
          <w:szCs w:val="22"/>
        </w:rPr>
        <w:t>for most electro-mechanical systems</w:t>
      </w:r>
      <w:r w:rsidRPr="00504BCC">
        <w:rPr>
          <w:szCs w:val="22"/>
        </w:rPr>
        <w:t>.</w:t>
      </w:r>
    </w:p>
    <w:p w14:paraId="239B1118" w14:textId="11A79BE0" w:rsidR="002B6D25" w:rsidRDefault="002B6D25" w:rsidP="002B6D25">
      <w:r>
        <w:rPr>
          <w:szCs w:val="22"/>
        </w:rPr>
        <w:t>Despite having relatively limited options due to the demanding requirements for snap freezers and refrigeration systems on fishing vessels,</w:t>
      </w:r>
      <w:r>
        <w:t xml:space="preserve"> the refrigerant</w:t>
      </w:r>
      <w:r w:rsidR="00FA3427">
        <w:t>s</w:t>
      </w:r>
      <w:r>
        <w:t xml:space="preserve"> being used in the fleet are changing. </w:t>
      </w:r>
    </w:p>
    <w:p w14:paraId="0EEB9047" w14:textId="5F7B0733" w:rsidR="002B6D25" w:rsidRDefault="002B6D25" w:rsidP="002B6D25">
      <w:pPr>
        <w:rPr>
          <w:lang w:val="en-AU"/>
        </w:rPr>
      </w:pPr>
      <w:r>
        <w:t xml:space="preserve">In 2012 more than 95% of the Northern Prawn Fleet for instance was using HCFC-22, with just a few employing </w:t>
      </w:r>
      <w:r>
        <w:rPr>
          <w:lang w:val="en-AU"/>
        </w:rPr>
        <w:t>HFC-404A. At that time HCFC-22 was on the verge of a price increase from around $20</w:t>
      </w:r>
      <w:r w:rsidR="006E2FC0">
        <w:rPr>
          <w:lang w:val="en-AU"/>
        </w:rPr>
        <w:t>/</w:t>
      </w:r>
      <w:r>
        <w:rPr>
          <w:lang w:val="en-AU"/>
        </w:rPr>
        <w:t xml:space="preserve">kg to more than $100/kg, a price that has since stabilised at around $100/kg as recovery and recycling in the market has increased. </w:t>
      </w:r>
    </w:p>
    <w:p w14:paraId="7E0A9D00" w14:textId="5DB3C867" w:rsidR="002B6D25" w:rsidRDefault="002B6D25" w:rsidP="002B6D25">
      <w:pPr>
        <w:rPr>
          <w:lang w:val="en-AU"/>
        </w:rPr>
      </w:pPr>
      <w:r>
        <w:rPr>
          <w:lang w:val="en-AU"/>
        </w:rPr>
        <w:t>A study in 201</w:t>
      </w:r>
      <w:r w:rsidR="002552E6">
        <w:rPr>
          <w:lang w:val="en-AU"/>
        </w:rPr>
        <w:t>4</w:t>
      </w:r>
      <w:r>
        <w:rPr>
          <w:lang w:val="en-AU"/>
        </w:rPr>
        <w:t xml:space="preserve"> of options for refrigeration systems to transition away from the use of HCFCs had identified fishing vessels as an application for which very few economically attractive options were available. The Fisheries Research and Development Corporation provided funding for a more detailed investigation and ultimately, in 201</w:t>
      </w:r>
      <w:r w:rsidR="002552E6">
        <w:rPr>
          <w:lang w:val="en-AU"/>
        </w:rPr>
        <w:t>5</w:t>
      </w:r>
      <w:r>
        <w:rPr>
          <w:lang w:val="en-AU"/>
        </w:rPr>
        <w:t xml:space="preserve"> invested $675,000 in the Gulf Bounty Project, an engineering demonstration project run by the Expert Group on behalf of the Northern Prawn Fishery in which a NPF vessel was refitted with an advanced system design using HFC-404a</w:t>
      </w:r>
      <w:r w:rsidR="00FA3427">
        <w:rPr>
          <w:lang w:val="en-AU"/>
        </w:rPr>
        <w:t>.</w:t>
      </w:r>
      <w:r>
        <w:rPr>
          <w:lang w:val="en-AU"/>
        </w:rPr>
        <w:t xml:space="preserve"> </w:t>
      </w:r>
      <w:r w:rsidR="00FA3427">
        <w:rPr>
          <w:lang w:val="en-AU"/>
        </w:rPr>
        <w:t>This system</w:t>
      </w:r>
      <w:r>
        <w:rPr>
          <w:lang w:val="en-AU"/>
        </w:rPr>
        <w:t xml:space="preserve"> demonstrated improved energy efficiency</w:t>
      </w:r>
      <w:r w:rsidR="008C50FD">
        <w:rPr>
          <w:lang w:val="en-AU"/>
        </w:rPr>
        <w:t xml:space="preserve"> compared </w:t>
      </w:r>
      <w:r w:rsidR="00960802">
        <w:rPr>
          <w:lang w:val="en-AU"/>
        </w:rPr>
        <w:t>to</w:t>
      </w:r>
      <w:r w:rsidR="008C50FD">
        <w:rPr>
          <w:lang w:val="en-AU"/>
        </w:rPr>
        <w:t xml:space="preserve"> the</w:t>
      </w:r>
      <w:r w:rsidR="008144EC">
        <w:rPr>
          <w:lang w:val="en-AU"/>
        </w:rPr>
        <w:t xml:space="preserve"> previous</w:t>
      </w:r>
      <w:r w:rsidR="008C7388">
        <w:rPr>
          <w:lang w:val="en-AU"/>
        </w:rPr>
        <w:t xml:space="preserve"> </w:t>
      </w:r>
      <w:r w:rsidR="008C50FD">
        <w:rPr>
          <w:lang w:val="en-AU"/>
        </w:rPr>
        <w:t>equipment</w:t>
      </w:r>
      <w:r w:rsidR="008C7388">
        <w:rPr>
          <w:lang w:val="en-AU"/>
        </w:rPr>
        <w:t xml:space="preserve"> that is typically more than 25 years old</w:t>
      </w:r>
      <w:r>
        <w:rPr>
          <w:lang w:val="en-AU"/>
        </w:rPr>
        <w:t>, much higher levels of refrigerant containment, and greater refrigerating and blast freeze capacity</w:t>
      </w:r>
      <w:r w:rsidR="002552E6">
        <w:rPr>
          <w:lang w:val="en-AU"/>
        </w:rPr>
        <w:t xml:space="preserve"> (six tonnes of prawns per day versus 3 tonnes per day)</w:t>
      </w:r>
      <w:r>
        <w:rPr>
          <w:lang w:val="en-AU"/>
        </w:rPr>
        <w:t>.</w:t>
      </w:r>
    </w:p>
    <w:p w14:paraId="78360574" w14:textId="6D0AF17C" w:rsidR="002B6D25" w:rsidRDefault="002B6D25" w:rsidP="002B6D25">
      <w:pPr>
        <w:rPr>
          <w:lang w:val="en-AU"/>
        </w:rPr>
      </w:pPr>
      <w:r>
        <w:rPr>
          <w:lang w:val="en-AU"/>
        </w:rPr>
        <w:t xml:space="preserve">This project was a </w:t>
      </w:r>
      <w:r w:rsidR="009F5EAE">
        <w:rPr>
          <w:lang w:val="en-AU"/>
        </w:rPr>
        <w:t>wakeup</w:t>
      </w:r>
      <w:r>
        <w:rPr>
          <w:lang w:val="en-AU"/>
        </w:rPr>
        <w:t xml:space="preserve"> call to fishing vessel owners, demonstrating a viable and cost effective path to migrate their systems to more readily available HFC refrigerant.</w:t>
      </w:r>
    </w:p>
    <w:p w14:paraId="4B7C281A" w14:textId="1CFA2D5A" w:rsidR="002B6D25" w:rsidRDefault="002B6D25" w:rsidP="002B6D25">
      <w:pPr>
        <w:rPr>
          <w:lang w:val="en-AU"/>
        </w:rPr>
      </w:pPr>
      <w:r>
        <w:rPr>
          <w:lang w:val="en-AU"/>
        </w:rPr>
        <w:t xml:space="preserve">Largely as a result of this initiative, today less than 25% of the Northern Prawn Fleet </w:t>
      </w:r>
      <w:r w:rsidR="00FE74F2">
        <w:rPr>
          <w:lang w:val="en-AU"/>
        </w:rPr>
        <w:t>is</w:t>
      </w:r>
      <w:r>
        <w:rPr>
          <w:lang w:val="en-AU"/>
        </w:rPr>
        <w:t xml:space="preserve"> still operating on HCFC-22, with more than 40% operating on HFC-404A, and the balance, around one third, now operating on HFC-438A</w:t>
      </w:r>
      <w:r w:rsidR="007D4089">
        <w:rPr>
          <w:lang w:val="en-AU"/>
        </w:rPr>
        <w:t xml:space="preserve"> (</w:t>
      </w:r>
      <w:r>
        <w:rPr>
          <w:lang w:val="en-AU"/>
        </w:rPr>
        <w:t>a HCFC drop</w:t>
      </w:r>
      <w:r w:rsidR="00FB52CB">
        <w:rPr>
          <w:lang w:val="en-AU"/>
        </w:rPr>
        <w:t>-</w:t>
      </w:r>
      <w:r>
        <w:rPr>
          <w:lang w:val="en-AU"/>
        </w:rPr>
        <w:t>in replacement</w:t>
      </w:r>
      <w:r w:rsidR="007D4089">
        <w:rPr>
          <w:lang w:val="en-AU"/>
        </w:rPr>
        <w:t>)</w:t>
      </w:r>
      <w:r>
        <w:rPr>
          <w:lang w:val="en-AU"/>
        </w:rPr>
        <w:t xml:space="preserve">. The use of HFC-438A is </w:t>
      </w:r>
      <w:r w:rsidR="002552E6">
        <w:rPr>
          <w:lang w:val="en-AU"/>
        </w:rPr>
        <w:t xml:space="preserve">considered </w:t>
      </w:r>
      <w:r>
        <w:rPr>
          <w:lang w:val="en-AU"/>
        </w:rPr>
        <w:t xml:space="preserve">a transition refrigerant, because it allows the continued operation of the older systems originally designed for HCFC-22, giving vessel owners more time to plan for and finance the work of moving to a new system charged with </w:t>
      </w:r>
      <w:r w:rsidR="00D74084">
        <w:rPr>
          <w:lang w:val="en-AU"/>
        </w:rPr>
        <w:t>HFC-</w:t>
      </w:r>
      <w:r>
        <w:rPr>
          <w:lang w:val="en-AU"/>
        </w:rPr>
        <w:t>404A.</w:t>
      </w:r>
    </w:p>
    <w:p w14:paraId="751B5C1D" w14:textId="2FBEBE70" w:rsidR="002B6D25" w:rsidRDefault="002B6D25" w:rsidP="002B6D25">
      <w:pPr>
        <w:rPr>
          <w:lang w:val="en-AU"/>
        </w:rPr>
      </w:pPr>
      <w:r>
        <w:rPr>
          <w:lang w:val="en-AU"/>
        </w:rPr>
        <w:t xml:space="preserve">Interviews with participants in the refrigeration industry servicing the fishing fleet report that a new vessel being built in South Australia for a New Zealand fleet has been specified with HFC-404A. With the advent of the </w:t>
      </w:r>
      <w:r w:rsidR="00F42380">
        <w:rPr>
          <w:lang w:val="en-AU"/>
        </w:rPr>
        <w:t>HFC phase-down under</w:t>
      </w:r>
      <w:r>
        <w:rPr>
          <w:lang w:val="en-AU"/>
        </w:rPr>
        <w:t xml:space="preserve"> the Kigali Amendment to the Montreal Protocol fishing industry participants are now planning for a world with limited HFC supplies. Austral Fisheries for instance is building a </w:t>
      </w:r>
      <w:r w:rsidRPr="00A90792">
        <w:rPr>
          <w:lang w:val="en-AU"/>
        </w:rPr>
        <w:t xml:space="preserve">large </w:t>
      </w:r>
      <w:r>
        <w:rPr>
          <w:lang w:val="en-AU"/>
        </w:rPr>
        <w:t xml:space="preserve">35 </w:t>
      </w:r>
      <w:r w:rsidR="00FE74F2">
        <w:rPr>
          <w:lang w:val="en-AU"/>
        </w:rPr>
        <w:t>metre</w:t>
      </w:r>
      <w:r>
        <w:rPr>
          <w:lang w:val="en-AU"/>
        </w:rPr>
        <w:t xml:space="preserve"> boat in Mauritius that</w:t>
      </w:r>
      <w:r w:rsidRPr="00A90792">
        <w:rPr>
          <w:lang w:val="en-AU"/>
        </w:rPr>
        <w:t xml:space="preserve"> has a separate plant room</w:t>
      </w:r>
      <w:r>
        <w:rPr>
          <w:lang w:val="en-AU"/>
        </w:rPr>
        <w:t xml:space="preserve"> presently designed to use HFC-404A</w:t>
      </w:r>
      <w:r w:rsidRPr="00A90792">
        <w:rPr>
          <w:lang w:val="en-AU"/>
        </w:rPr>
        <w:t xml:space="preserve">. </w:t>
      </w:r>
      <w:r w:rsidR="009F5EAE">
        <w:rPr>
          <w:lang w:val="en-AU"/>
        </w:rPr>
        <w:t>However,</w:t>
      </w:r>
      <w:r>
        <w:rPr>
          <w:lang w:val="en-AU"/>
        </w:rPr>
        <w:t xml:space="preserve"> the vessel configuration allows for a future transition to an ammonia charged system. </w:t>
      </w:r>
    </w:p>
    <w:p w14:paraId="35A9A93D" w14:textId="181C5F76" w:rsidR="002B6D25" w:rsidRDefault="002B6D25" w:rsidP="002B6D25">
      <w:pPr>
        <w:rPr>
          <w:lang w:val="en-AU"/>
        </w:rPr>
      </w:pPr>
      <w:r>
        <w:rPr>
          <w:lang w:val="en-AU"/>
        </w:rPr>
        <w:t xml:space="preserve">Industry sources report that, where the plant room of smaller vessels allows, most of them have been moving to systems charged with HFC-404A. For </w:t>
      </w:r>
      <w:r w:rsidR="009F5EAE">
        <w:rPr>
          <w:lang w:val="en-AU"/>
        </w:rPr>
        <w:t>instance,</w:t>
      </w:r>
      <w:r>
        <w:rPr>
          <w:lang w:val="en-AU"/>
        </w:rPr>
        <w:t xml:space="preserve"> all of the boats owned by Kessels in Darwin are now charged with HFC-404A.</w:t>
      </w:r>
    </w:p>
    <w:p w14:paraId="48CE67CB" w14:textId="77777777" w:rsidR="002B6D25" w:rsidRDefault="002B6D25" w:rsidP="002B6D25">
      <w:pPr>
        <w:rPr>
          <w:szCs w:val="22"/>
        </w:rPr>
      </w:pPr>
    </w:p>
    <w:p w14:paraId="3170C065" w14:textId="30E77B76" w:rsidR="002B6D25" w:rsidRDefault="002B6D25" w:rsidP="002B6D25">
      <w:pPr>
        <w:pStyle w:val="Heading3"/>
      </w:pPr>
      <w:bookmarkStart w:id="50" w:name="_Toc525141269"/>
      <w:bookmarkStart w:id="51" w:name="_Toc494661743"/>
      <w:r>
        <w:t xml:space="preserve">RCFC5 Cold </w:t>
      </w:r>
      <w:r w:rsidR="00A7009B">
        <w:t>s</w:t>
      </w:r>
      <w:r>
        <w:t xml:space="preserve">torage, </w:t>
      </w:r>
      <w:r w:rsidR="00A7009B">
        <w:t>d</w:t>
      </w:r>
      <w:r>
        <w:t xml:space="preserve">istribution, </w:t>
      </w:r>
      <w:r w:rsidR="00A7009B">
        <w:t>i</w:t>
      </w:r>
      <w:r w:rsidRPr="004728E2">
        <w:t>ndustrial refrigeration</w:t>
      </w:r>
      <w:r>
        <w:t xml:space="preserve"> and large process chilling</w:t>
      </w:r>
      <w:bookmarkEnd w:id="50"/>
      <w:r w:rsidRPr="004728E2">
        <w:t xml:space="preserve"> </w:t>
      </w:r>
      <w:bookmarkEnd w:id="51"/>
    </w:p>
    <w:p w14:paraId="4D91C0E0" w14:textId="5FC36582" w:rsidR="002B6D25" w:rsidRPr="00504BCC" w:rsidRDefault="002B6D25" w:rsidP="002B6D25">
      <w:pPr>
        <w:rPr>
          <w:szCs w:val="22"/>
        </w:rPr>
      </w:pPr>
      <w:r w:rsidRPr="00504BCC">
        <w:rPr>
          <w:szCs w:val="22"/>
        </w:rPr>
        <w:t xml:space="preserve">Industrial refrigeration (RCFC5), or process refrigeration, are terms commonly used to describe refrigeration applications in </w:t>
      </w:r>
      <w:r w:rsidR="00DE413D">
        <w:rPr>
          <w:szCs w:val="22"/>
        </w:rPr>
        <w:t xml:space="preserve">large </w:t>
      </w:r>
      <w:r w:rsidRPr="00504BCC">
        <w:rPr>
          <w:szCs w:val="22"/>
        </w:rPr>
        <w:t>manufacturing processes</w:t>
      </w:r>
      <w:r>
        <w:rPr>
          <w:szCs w:val="22"/>
        </w:rPr>
        <w:t>,</w:t>
      </w:r>
      <w:r w:rsidRPr="00504BCC">
        <w:rPr>
          <w:szCs w:val="22"/>
        </w:rPr>
        <w:t xml:space="preserve"> and those using a heat exchanger and secondary refrigerant </w:t>
      </w:r>
      <w:r>
        <w:rPr>
          <w:szCs w:val="22"/>
        </w:rPr>
        <w:t>such as water, brine or glycol</w:t>
      </w:r>
      <w:r w:rsidRPr="00504BCC">
        <w:rPr>
          <w:szCs w:val="22"/>
        </w:rPr>
        <w:t xml:space="preserve"> to create the refrigerating effect.</w:t>
      </w:r>
    </w:p>
    <w:p w14:paraId="6BA13793" w14:textId="352FA359" w:rsidR="002B6D25" w:rsidRPr="00504BCC" w:rsidRDefault="002B6D25" w:rsidP="002B6D25">
      <w:pPr>
        <w:rPr>
          <w:szCs w:val="22"/>
        </w:rPr>
      </w:pPr>
      <w:r w:rsidRPr="00504BCC">
        <w:rPr>
          <w:szCs w:val="22"/>
        </w:rPr>
        <w:t xml:space="preserve">Cold storage facilities and food manufacturers with in-house engineering expertise generally use industrial refrigeration systems with screw compressors </w:t>
      </w:r>
      <w:r>
        <w:rPr>
          <w:szCs w:val="22"/>
        </w:rPr>
        <w:t>or</w:t>
      </w:r>
      <w:r w:rsidRPr="00504BCC">
        <w:rPr>
          <w:szCs w:val="22"/>
        </w:rPr>
        <w:t xml:space="preserve"> large reciprocating compressors operating on </w:t>
      </w:r>
      <w:r>
        <w:rPr>
          <w:szCs w:val="22"/>
        </w:rPr>
        <w:t xml:space="preserve">anhydrous </w:t>
      </w:r>
      <w:r w:rsidRPr="00504BCC">
        <w:rPr>
          <w:szCs w:val="22"/>
        </w:rPr>
        <w:t xml:space="preserve">ammonia (R717). There are a few </w:t>
      </w:r>
      <w:r>
        <w:rPr>
          <w:szCs w:val="22"/>
        </w:rPr>
        <w:t xml:space="preserve">industrial systems </w:t>
      </w:r>
      <w:r w:rsidRPr="00504BCC">
        <w:rPr>
          <w:szCs w:val="22"/>
        </w:rPr>
        <w:t>charged with HFC-404A</w:t>
      </w:r>
      <w:r>
        <w:rPr>
          <w:szCs w:val="22"/>
        </w:rPr>
        <w:t>,</w:t>
      </w:r>
      <w:r w:rsidRPr="00504BCC">
        <w:rPr>
          <w:szCs w:val="22"/>
        </w:rPr>
        <w:t xml:space="preserve"> and some older HCFC-22 charged systems in operation, however the</w:t>
      </w:r>
      <w:r>
        <w:rPr>
          <w:szCs w:val="22"/>
        </w:rPr>
        <w:t>se</w:t>
      </w:r>
      <w:r w:rsidRPr="00504BCC">
        <w:rPr>
          <w:szCs w:val="22"/>
        </w:rPr>
        <w:t xml:space="preserve"> are </w:t>
      </w:r>
      <w:r>
        <w:rPr>
          <w:szCs w:val="22"/>
        </w:rPr>
        <w:t xml:space="preserve">now </w:t>
      </w:r>
      <w:r w:rsidRPr="00504BCC">
        <w:rPr>
          <w:szCs w:val="22"/>
        </w:rPr>
        <w:t>rare</w:t>
      </w:r>
      <w:r>
        <w:rPr>
          <w:szCs w:val="22"/>
        </w:rPr>
        <w:t>. A</w:t>
      </w:r>
      <w:r w:rsidRPr="00504BCC">
        <w:rPr>
          <w:szCs w:val="22"/>
        </w:rPr>
        <w:t xml:space="preserve">mmonia </w:t>
      </w:r>
      <w:r>
        <w:rPr>
          <w:szCs w:val="22"/>
        </w:rPr>
        <w:t xml:space="preserve">charged </w:t>
      </w:r>
      <w:r w:rsidRPr="00504BCC">
        <w:rPr>
          <w:szCs w:val="22"/>
        </w:rPr>
        <w:t xml:space="preserve">systems dominate this equipment category with </w:t>
      </w:r>
      <w:r>
        <w:rPr>
          <w:szCs w:val="22"/>
        </w:rPr>
        <w:t>around 99</w:t>
      </w:r>
      <w:r w:rsidR="00C9319D">
        <w:rPr>
          <w:szCs w:val="22"/>
        </w:rPr>
        <w:t>%</w:t>
      </w:r>
      <w:r w:rsidRPr="00504BCC">
        <w:rPr>
          <w:szCs w:val="22"/>
        </w:rPr>
        <w:t xml:space="preserve"> of applications</w:t>
      </w:r>
      <w:r w:rsidR="00D74084">
        <w:rPr>
          <w:szCs w:val="22"/>
        </w:rPr>
        <w:t>,</w:t>
      </w:r>
      <w:r w:rsidRPr="00504BCC">
        <w:rPr>
          <w:szCs w:val="22"/>
        </w:rPr>
        <w:t xml:space="preserve"> based on </w:t>
      </w:r>
      <w:r>
        <w:rPr>
          <w:szCs w:val="22"/>
        </w:rPr>
        <w:t>total refrigerant bank in the category</w:t>
      </w:r>
      <w:r w:rsidR="00D74084">
        <w:rPr>
          <w:szCs w:val="22"/>
        </w:rPr>
        <w:t>,</w:t>
      </w:r>
      <w:r w:rsidRPr="00504BCC">
        <w:rPr>
          <w:szCs w:val="22"/>
        </w:rPr>
        <w:t xml:space="preserve"> using ammonia.</w:t>
      </w:r>
      <w:r>
        <w:rPr>
          <w:szCs w:val="22"/>
        </w:rPr>
        <w:t xml:space="preserve"> There are </w:t>
      </w:r>
      <w:r w:rsidR="00F3192E">
        <w:rPr>
          <w:szCs w:val="22"/>
        </w:rPr>
        <w:t xml:space="preserve">some instances </w:t>
      </w:r>
      <w:r w:rsidR="006928E9">
        <w:rPr>
          <w:szCs w:val="22"/>
        </w:rPr>
        <w:t xml:space="preserve">where </w:t>
      </w:r>
      <w:r>
        <w:rPr>
          <w:szCs w:val="22"/>
        </w:rPr>
        <w:t xml:space="preserve">cold storage facilities </w:t>
      </w:r>
      <w:r w:rsidR="006928E9">
        <w:rPr>
          <w:szCs w:val="22"/>
        </w:rPr>
        <w:t xml:space="preserve">with equipment operating on </w:t>
      </w:r>
      <w:r>
        <w:rPr>
          <w:szCs w:val="22"/>
        </w:rPr>
        <w:t xml:space="preserve">HCFC-22 </w:t>
      </w:r>
      <w:r w:rsidR="006928E9">
        <w:rPr>
          <w:szCs w:val="22"/>
        </w:rPr>
        <w:t xml:space="preserve">with steel pipes </w:t>
      </w:r>
      <w:r>
        <w:rPr>
          <w:szCs w:val="22"/>
        </w:rPr>
        <w:t>ha</w:t>
      </w:r>
      <w:r w:rsidR="00D74084">
        <w:rPr>
          <w:szCs w:val="22"/>
        </w:rPr>
        <w:t>ve</w:t>
      </w:r>
      <w:r>
        <w:rPr>
          <w:szCs w:val="22"/>
        </w:rPr>
        <w:t xml:space="preserve"> been converted to ammonia and notable facilities with large HCFC-22 refrigerant charges (~6 tonnes) </w:t>
      </w:r>
      <w:r w:rsidR="006928E9">
        <w:rPr>
          <w:szCs w:val="22"/>
        </w:rPr>
        <w:t>converted to cascade systems with ammonia as the primary refrigerant.</w:t>
      </w:r>
      <w:r>
        <w:rPr>
          <w:szCs w:val="22"/>
        </w:rPr>
        <w:t xml:space="preserve"> </w:t>
      </w:r>
    </w:p>
    <w:p w14:paraId="22DDF951" w14:textId="77777777" w:rsidR="002B6D25" w:rsidRDefault="002B6D25" w:rsidP="002B6D25">
      <w:pPr>
        <w:rPr>
          <w:szCs w:val="22"/>
        </w:rPr>
      </w:pPr>
      <w:r w:rsidRPr="00504BCC">
        <w:rPr>
          <w:szCs w:val="22"/>
        </w:rPr>
        <w:t xml:space="preserve">Small packaged liquid chillers (RCFC1-10) are used in process applications in laboratories, </w:t>
      </w:r>
      <w:r>
        <w:rPr>
          <w:szCs w:val="22"/>
        </w:rPr>
        <w:t xml:space="preserve">some </w:t>
      </w:r>
      <w:r w:rsidRPr="00504BCC">
        <w:rPr>
          <w:szCs w:val="22"/>
        </w:rPr>
        <w:t>food and drinks processing</w:t>
      </w:r>
      <w:r>
        <w:rPr>
          <w:szCs w:val="22"/>
        </w:rPr>
        <w:t>,</w:t>
      </w:r>
      <w:r w:rsidRPr="00504BCC">
        <w:rPr>
          <w:szCs w:val="22"/>
        </w:rPr>
        <w:t xml:space="preserve"> and in other </w:t>
      </w:r>
      <w:r>
        <w:rPr>
          <w:szCs w:val="22"/>
        </w:rPr>
        <w:t xml:space="preserve">applications in </w:t>
      </w:r>
      <w:r w:rsidRPr="00504BCC">
        <w:rPr>
          <w:szCs w:val="22"/>
        </w:rPr>
        <w:t xml:space="preserve">manufacturing and research </w:t>
      </w:r>
      <w:r>
        <w:rPr>
          <w:szCs w:val="22"/>
        </w:rPr>
        <w:t xml:space="preserve">laboratories </w:t>
      </w:r>
      <w:r w:rsidRPr="00504BCC">
        <w:rPr>
          <w:szCs w:val="22"/>
        </w:rPr>
        <w:t xml:space="preserve">in a variety of industry sectors. They </w:t>
      </w:r>
      <w:r>
        <w:rPr>
          <w:szCs w:val="22"/>
        </w:rPr>
        <w:t>can</w:t>
      </w:r>
      <w:r w:rsidRPr="00504BCC">
        <w:rPr>
          <w:szCs w:val="22"/>
        </w:rPr>
        <w:t xml:space="preserve"> have refrigerating capacities ranging from 10 kWr to more than 1,000 kWr. Refrigerant types used in </w:t>
      </w:r>
      <w:r>
        <w:rPr>
          <w:szCs w:val="22"/>
        </w:rPr>
        <w:t xml:space="preserve">these rare and specialised </w:t>
      </w:r>
      <w:r w:rsidRPr="00504BCC">
        <w:rPr>
          <w:szCs w:val="22"/>
        </w:rPr>
        <w:t xml:space="preserve">packaged liquid chillers vary significantly depending on the temperature range, size, application and design. Refrigerants used include HFC-134a, HFC-404A, </w:t>
      </w:r>
      <w:r>
        <w:rPr>
          <w:szCs w:val="22"/>
        </w:rPr>
        <w:t>HFC-407C, HFC-410A and HCFC-22.</w:t>
      </w:r>
    </w:p>
    <w:p w14:paraId="2E800DE1" w14:textId="77777777" w:rsidR="00AA45F7" w:rsidRDefault="00AA45F7" w:rsidP="002B6D25">
      <w:pPr>
        <w:spacing w:before="240"/>
        <w:outlineLvl w:val="0"/>
        <w:rPr>
          <w:rFonts w:cs="Times New Roman"/>
          <w:b/>
          <w:sz w:val="24"/>
        </w:rPr>
      </w:pPr>
    </w:p>
    <w:p w14:paraId="672739D4" w14:textId="77777777" w:rsidR="00AA45F7" w:rsidRDefault="00AA45F7" w:rsidP="002B6D25">
      <w:pPr>
        <w:spacing w:before="240"/>
        <w:outlineLvl w:val="0"/>
        <w:rPr>
          <w:rFonts w:cs="Times New Roman"/>
          <w:b/>
          <w:sz w:val="24"/>
        </w:rPr>
      </w:pPr>
    </w:p>
    <w:p w14:paraId="0735462E" w14:textId="77777777" w:rsidR="00670A4E" w:rsidRDefault="00670A4E">
      <w:pPr>
        <w:spacing w:before="0"/>
        <w:jc w:val="left"/>
        <w:rPr>
          <w:rFonts w:cs="Times New Roman"/>
          <w:b/>
          <w:sz w:val="24"/>
        </w:rPr>
      </w:pPr>
      <w:r>
        <w:rPr>
          <w:rFonts w:cs="Times New Roman"/>
          <w:b/>
          <w:sz w:val="24"/>
        </w:rPr>
        <w:br w:type="page"/>
      </w:r>
    </w:p>
    <w:p w14:paraId="2C9D9D01" w14:textId="32F8A095" w:rsidR="002B6D25" w:rsidRPr="007D3141" w:rsidRDefault="002B6D25" w:rsidP="002B6D25">
      <w:pPr>
        <w:spacing w:before="240"/>
        <w:outlineLvl w:val="0"/>
        <w:rPr>
          <w:rFonts w:cs="Times New Roman"/>
          <w:b/>
          <w:sz w:val="24"/>
        </w:rPr>
      </w:pPr>
      <w:r w:rsidRPr="007D3141">
        <w:rPr>
          <w:rFonts w:cs="Times New Roman"/>
          <w:b/>
          <w:sz w:val="24"/>
        </w:rPr>
        <w:t>Ammonia</w:t>
      </w:r>
    </w:p>
    <w:p w14:paraId="359CF160" w14:textId="77777777" w:rsidR="002B6D25" w:rsidRDefault="002B6D25" w:rsidP="002B6D25">
      <w:pPr>
        <w:rPr>
          <w:szCs w:val="22"/>
        </w:rPr>
      </w:pPr>
      <w:r>
        <w:rPr>
          <w:szCs w:val="22"/>
        </w:rPr>
        <w:t>The main applications where ammonia</w:t>
      </w:r>
      <w:r>
        <w:rPr>
          <w:rStyle w:val="FootnoteReference"/>
          <w:szCs w:val="22"/>
        </w:rPr>
        <w:footnoteReference w:id="32"/>
      </w:r>
      <w:r>
        <w:rPr>
          <w:szCs w:val="22"/>
        </w:rPr>
        <w:t xml:space="preserve"> systems are found include cold storage facilities (typically 5,000 to 250,000 m</w:t>
      </w:r>
      <w:r>
        <w:rPr>
          <w:szCs w:val="22"/>
          <w:vertAlign w:val="superscript"/>
        </w:rPr>
        <w:t>3</w:t>
      </w:r>
      <w:r>
        <w:rPr>
          <w:szCs w:val="22"/>
        </w:rPr>
        <w:t xml:space="preserve">), </w:t>
      </w:r>
      <w:r w:rsidRPr="009B2352">
        <w:rPr>
          <w:szCs w:val="22"/>
        </w:rPr>
        <w:t>large</w:t>
      </w:r>
      <w:r>
        <w:rPr>
          <w:szCs w:val="22"/>
        </w:rPr>
        <w:t xml:space="preserve"> </w:t>
      </w:r>
      <w:r w:rsidRPr="009B2352">
        <w:rPr>
          <w:szCs w:val="22"/>
        </w:rPr>
        <w:t xml:space="preserve">chilling, freezing and ice making systems in the primary and secondary stages of the </w:t>
      </w:r>
      <w:r>
        <w:rPr>
          <w:szCs w:val="22"/>
        </w:rPr>
        <w:t>co</w:t>
      </w:r>
      <w:r w:rsidRPr="009B2352">
        <w:rPr>
          <w:szCs w:val="22"/>
        </w:rPr>
        <w:t xml:space="preserve">ld </w:t>
      </w:r>
      <w:r>
        <w:rPr>
          <w:szCs w:val="22"/>
        </w:rPr>
        <w:t>f</w:t>
      </w:r>
      <w:r w:rsidRPr="009B2352">
        <w:rPr>
          <w:szCs w:val="22"/>
        </w:rPr>
        <w:t xml:space="preserve">ood </w:t>
      </w:r>
      <w:r>
        <w:rPr>
          <w:szCs w:val="22"/>
        </w:rPr>
        <w:t>c</w:t>
      </w:r>
      <w:r w:rsidRPr="009B2352">
        <w:rPr>
          <w:szCs w:val="22"/>
        </w:rPr>
        <w:t>hain</w:t>
      </w:r>
      <w:r>
        <w:rPr>
          <w:szCs w:val="22"/>
        </w:rPr>
        <w:t xml:space="preserve">, and some chemical processes and mining air conditioning applications. </w:t>
      </w:r>
    </w:p>
    <w:p w14:paraId="60E4CAB0" w14:textId="77777777" w:rsidR="002B6D25" w:rsidRPr="000310F6" w:rsidRDefault="002B6D25" w:rsidP="002B6D25">
      <w:pPr>
        <w:rPr>
          <w:szCs w:val="22"/>
        </w:rPr>
      </w:pPr>
      <w:r>
        <w:rPr>
          <w:szCs w:val="22"/>
        </w:rPr>
        <w:t>In 2016 there was</w:t>
      </w:r>
      <w:r w:rsidRPr="000310F6">
        <w:rPr>
          <w:szCs w:val="22"/>
        </w:rPr>
        <w:t xml:space="preserve"> an estimated </w:t>
      </w:r>
      <w:r>
        <w:rPr>
          <w:szCs w:val="22"/>
        </w:rPr>
        <w:t>15</w:t>
      </w:r>
      <w:r w:rsidRPr="000310F6">
        <w:rPr>
          <w:szCs w:val="22"/>
        </w:rPr>
        <w:t xml:space="preserve"> million m</w:t>
      </w:r>
      <w:r w:rsidRPr="000310F6">
        <w:rPr>
          <w:szCs w:val="22"/>
          <w:vertAlign w:val="superscript"/>
        </w:rPr>
        <w:t>3</w:t>
      </w:r>
      <w:r w:rsidRPr="000310F6">
        <w:rPr>
          <w:szCs w:val="22"/>
        </w:rPr>
        <w:t xml:space="preserve"> of cold storage space</w:t>
      </w:r>
      <w:r>
        <w:rPr>
          <w:szCs w:val="22"/>
        </w:rPr>
        <w:t xml:space="preserve"> operating in Australia (</w:t>
      </w:r>
      <w:r w:rsidRPr="000E705D">
        <w:rPr>
          <w:i/>
          <w:szCs w:val="22"/>
        </w:rPr>
        <w:t>CHF2 9.5 million m</w:t>
      </w:r>
      <w:r w:rsidRPr="000E705D">
        <w:rPr>
          <w:i/>
          <w:szCs w:val="22"/>
          <w:vertAlign w:val="superscript"/>
        </w:rPr>
        <w:t>3</w:t>
      </w:r>
      <w:r>
        <w:rPr>
          <w:szCs w:val="22"/>
        </w:rPr>
        <w:t>)</w:t>
      </w:r>
      <w:r w:rsidRPr="000310F6">
        <w:rPr>
          <w:szCs w:val="22"/>
        </w:rPr>
        <w:t xml:space="preserve"> </w:t>
      </w:r>
      <w:r>
        <w:rPr>
          <w:szCs w:val="22"/>
        </w:rPr>
        <w:t xml:space="preserve">and the very large majority of these facilities (&gt;99%) </w:t>
      </w:r>
      <w:r w:rsidRPr="000310F6">
        <w:rPr>
          <w:szCs w:val="22"/>
        </w:rPr>
        <w:t>operat</w:t>
      </w:r>
      <w:r>
        <w:rPr>
          <w:szCs w:val="22"/>
        </w:rPr>
        <w:t xml:space="preserve">e on </w:t>
      </w:r>
      <w:r w:rsidRPr="000310F6">
        <w:rPr>
          <w:szCs w:val="22"/>
        </w:rPr>
        <w:t xml:space="preserve">ammonia systems. Assuming a benchmark obtained from industry sources of </w:t>
      </w:r>
      <w:r>
        <w:rPr>
          <w:szCs w:val="22"/>
        </w:rPr>
        <w:t>29</w:t>
      </w:r>
      <w:r w:rsidRPr="000310F6">
        <w:rPr>
          <w:szCs w:val="22"/>
        </w:rPr>
        <w:t xml:space="preserve"> kg per 1,000 m</w:t>
      </w:r>
      <w:r w:rsidRPr="000310F6">
        <w:rPr>
          <w:szCs w:val="22"/>
          <w:vertAlign w:val="superscript"/>
        </w:rPr>
        <w:t>3</w:t>
      </w:r>
      <w:r w:rsidRPr="000310F6">
        <w:rPr>
          <w:szCs w:val="22"/>
        </w:rPr>
        <w:t xml:space="preserve"> of storage space, this equates to around </w:t>
      </w:r>
      <w:r>
        <w:rPr>
          <w:szCs w:val="22"/>
        </w:rPr>
        <w:t>430</w:t>
      </w:r>
      <w:r w:rsidRPr="000310F6">
        <w:rPr>
          <w:szCs w:val="22"/>
        </w:rPr>
        <w:t xml:space="preserve"> tonnes of ammonia in cold stores.</w:t>
      </w:r>
      <w:r>
        <w:rPr>
          <w:rStyle w:val="FootnoteReference"/>
          <w:szCs w:val="22"/>
        </w:rPr>
        <w:footnoteReference w:id="33"/>
      </w:r>
      <w:r w:rsidRPr="000310F6">
        <w:rPr>
          <w:szCs w:val="22"/>
        </w:rPr>
        <w:t xml:space="preserve">  </w:t>
      </w:r>
    </w:p>
    <w:p w14:paraId="4440A179" w14:textId="77777777" w:rsidR="002B6D25" w:rsidRPr="000310F6" w:rsidRDefault="002B6D25" w:rsidP="002B6D25">
      <w:pPr>
        <w:rPr>
          <w:szCs w:val="22"/>
        </w:rPr>
      </w:pPr>
      <w:r>
        <w:rPr>
          <w:szCs w:val="22"/>
        </w:rPr>
        <w:t>Other a</w:t>
      </w:r>
      <w:r w:rsidRPr="000310F6">
        <w:rPr>
          <w:szCs w:val="22"/>
        </w:rPr>
        <w:t xml:space="preserve">pplications where large charges of ammonia can be found in single installations are in high volume blast freezing applications that are extremely refrigeration intensive, requiring </w:t>
      </w:r>
      <w:r>
        <w:rPr>
          <w:szCs w:val="22"/>
        </w:rPr>
        <w:t xml:space="preserve">snap freezing of </w:t>
      </w:r>
      <w:r w:rsidRPr="000310F6">
        <w:rPr>
          <w:szCs w:val="22"/>
        </w:rPr>
        <w:t xml:space="preserve">large masses of perishable goods such as </w:t>
      </w:r>
      <w:r>
        <w:rPr>
          <w:szCs w:val="22"/>
        </w:rPr>
        <w:t xml:space="preserve">in </w:t>
      </w:r>
      <w:r w:rsidRPr="000310F6">
        <w:rPr>
          <w:szCs w:val="22"/>
        </w:rPr>
        <w:t xml:space="preserve">meat processing, poultry processing and other primary and secondary processes in the </w:t>
      </w:r>
      <w:r>
        <w:rPr>
          <w:szCs w:val="22"/>
        </w:rPr>
        <w:t>r</w:t>
      </w:r>
      <w:r w:rsidRPr="000310F6">
        <w:rPr>
          <w:szCs w:val="22"/>
        </w:rPr>
        <w:t xml:space="preserve">efrigerated </w:t>
      </w:r>
      <w:r>
        <w:rPr>
          <w:szCs w:val="22"/>
        </w:rPr>
        <w:t>c</w:t>
      </w:r>
      <w:r w:rsidRPr="000310F6">
        <w:rPr>
          <w:szCs w:val="22"/>
        </w:rPr>
        <w:t xml:space="preserve">old </w:t>
      </w:r>
      <w:r>
        <w:rPr>
          <w:szCs w:val="22"/>
        </w:rPr>
        <w:t>f</w:t>
      </w:r>
      <w:r w:rsidRPr="000310F6">
        <w:rPr>
          <w:szCs w:val="22"/>
        </w:rPr>
        <w:t xml:space="preserve">ood </w:t>
      </w:r>
      <w:r>
        <w:rPr>
          <w:szCs w:val="22"/>
        </w:rPr>
        <w:t>c</w:t>
      </w:r>
      <w:r w:rsidRPr="000310F6">
        <w:rPr>
          <w:szCs w:val="22"/>
        </w:rPr>
        <w:t>hain (i.e.</w:t>
      </w:r>
      <w:r>
        <w:rPr>
          <w:szCs w:val="22"/>
        </w:rPr>
        <w:t xml:space="preserve"> snap frozen</w:t>
      </w:r>
      <w:r w:rsidRPr="000310F6">
        <w:rPr>
          <w:szCs w:val="22"/>
        </w:rPr>
        <w:t xml:space="preserve"> </w:t>
      </w:r>
      <w:r>
        <w:rPr>
          <w:szCs w:val="22"/>
        </w:rPr>
        <w:t>vegetables</w:t>
      </w:r>
      <w:r w:rsidRPr="000310F6">
        <w:rPr>
          <w:szCs w:val="22"/>
        </w:rPr>
        <w:t xml:space="preserve">). </w:t>
      </w:r>
    </w:p>
    <w:p w14:paraId="7E7F6922" w14:textId="694CF6A4" w:rsidR="002B6D25" w:rsidRDefault="002B6D25" w:rsidP="002B6D25">
      <w:pPr>
        <w:rPr>
          <w:szCs w:val="22"/>
        </w:rPr>
      </w:pPr>
      <w:r w:rsidRPr="008E2AD9">
        <w:rPr>
          <w:szCs w:val="22"/>
        </w:rPr>
        <w:t xml:space="preserve">Some individual meat processing facilities are known to contain up to 150 tonnes of ammonia. There are </w:t>
      </w:r>
      <w:r w:rsidR="005410EB" w:rsidRPr="008E2AD9">
        <w:rPr>
          <w:szCs w:val="22"/>
        </w:rPr>
        <w:t xml:space="preserve">almost </w:t>
      </w:r>
      <w:r w:rsidRPr="008E2AD9">
        <w:rPr>
          <w:szCs w:val="22"/>
        </w:rPr>
        <w:t>200 meat/poultry</w:t>
      </w:r>
      <w:r w:rsidRPr="000310F6">
        <w:rPr>
          <w:szCs w:val="22"/>
        </w:rPr>
        <w:t xml:space="preserve"> processing facilities in Australia that employ more than 20 people.</w:t>
      </w:r>
      <w:r w:rsidR="005410EB">
        <w:rPr>
          <w:rStyle w:val="FootnoteReference"/>
          <w:szCs w:val="22"/>
        </w:rPr>
        <w:footnoteReference w:id="34"/>
      </w:r>
      <w:r w:rsidRPr="000310F6">
        <w:rPr>
          <w:szCs w:val="22"/>
        </w:rPr>
        <w:t xml:space="preserve"> </w:t>
      </w:r>
      <w:r>
        <w:rPr>
          <w:szCs w:val="22"/>
        </w:rPr>
        <w:t xml:space="preserve">The </w:t>
      </w:r>
      <w:r w:rsidRPr="000310F6">
        <w:rPr>
          <w:szCs w:val="22"/>
        </w:rPr>
        <w:t>meat</w:t>
      </w:r>
      <w:r>
        <w:rPr>
          <w:szCs w:val="22"/>
        </w:rPr>
        <w:t xml:space="preserve"> and </w:t>
      </w:r>
      <w:r w:rsidRPr="000310F6">
        <w:rPr>
          <w:szCs w:val="22"/>
        </w:rPr>
        <w:t>poultry</w:t>
      </w:r>
      <w:r>
        <w:rPr>
          <w:szCs w:val="22"/>
        </w:rPr>
        <w:t xml:space="preserve"> industries have seen growth </w:t>
      </w:r>
      <w:r w:rsidR="00AB4528">
        <w:rPr>
          <w:szCs w:val="22"/>
        </w:rPr>
        <w:t xml:space="preserve">of around </w:t>
      </w:r>
      <w:r w:rsidR="00337CA1">
        <w:rPr>
          <w:szCs w:val="22"/>
        </w:rPr>
        <w:t>16</w:t>
      </w:r>
      <w:r w:rsidR="00AB4528">
        <w:rPr>
          <w:szCs w:val="22"/>
        </w:rPr>
        <w:t xml:space="preserve">% since </w:t>
      </w:r>
      <w:r w:rsidR="00826A09">
        <w:rPr>
          <w:szCs w:val="22"/>
        </w:rPr>
        <w:t xml:space="preserve">with </w:t>
      </w:r>
      <w:r>
        <w:rPr>
          <w:szCs w:val="22"/>
        </w:rPr>
        <w:t xml:space="preserve">production of </w:t>
      </w:r>
      <w:r w:rsidR="00656883">
        <w:rPr>
          <w:szCs w:val="22"/>
        </w:rPr>
        <w:t xml:space="preserve">around 3.03 </w:t>
      </w:r>
      <w:r w:rsidR="004D6E74">
        <w:rPr>
          <w:szCs w:val="22"/>
        </w:rPr>
        <w:t xml:space="preserve">million </w:t>
      </w:r>
      <w:r w:rsidR="00656883">
        <w:rPr>
          <w:szCs w:val="22"/>
        </w:rPr>
        <w:t xml:space="preserve">tonnes </w:t>
      </w:r>
      <w:r>
        <w:rPr>
          <w:szCs w:val="22"/>
        </w:rPr>
        <w:t xml:space="preserve">in 2012 to </w:t>
      </w:r>
      <w:r w:rsidR="00656883">
        <w:rPr>
          <w:szCs w:val="22"/>
        </w:rPr>
        <w:t xml:space="preserve">3.50 </w:t>
      </w:r>
      <w:r w:rsidR="004D6E74">
        <w:rPr>
          <w:szCs w:val="22"/>
        </w:rPr>
        <w:t xml:space="preserve">million </w:t>
      </w:r>
      <w:r w:rsidR="00656883">
        <w:rPr>
          <w:szCs w:val="22"/>
        </w:rPr>
        <w:t xml:space="preserve">tonnes </w:t>
      </w:r>
      <w:r>
        <w:rPr>
          <w:szCs w:val="22"/>
        </w:rPr>
        <w:t>in 2016</w:t>
      </w:r>
      <w:r w:rsidR="00A95D35">
        <w:rPr>
          <w:szCs w:val="22"/>
        </w:rPr>
        <w:t xml:space="preserve"> (ABARES 2017)</w:t>
      </w:r>
      <w:r>
        <w:rPr>
          <w:szCs w:val="22"/>
        </w:rPr>
        <w:t>.</w:t>
      </w:r>
      <w:r w:rsidR="00A95D35">
        <w:rPr>
          <w:rStyle w:val="FootnoteReference"/>
          <w:szCs w:val="22"/>
        </w:rPr>
        <w:footnoteReference w:id="35"/>
      </w:r>
      <w:r w:rsidR="00A95D35">
        <w:rPr>
          <w:szCs w:val="22"/>
        </w:rPr>
        <w:t xml:space="preserve"> </w:t>
      </w:r>
    </w:p>
    <w:p w14:paraId="78F136CF" w14:textId="77777777" w:rsidR="002B6D25" w:rsidRDefault="002B6D25" w:rsidP="002B6D25">
      <w:pPr>
        <w:rPr>
          <w:szCs w:val="22"/>
        </w:rPr>
      </w:pPr>
      <w:r w:rsidRPr="000310F6">
        <w:rPr>
          <w:szCs w:val="22"/>
        </w:rPr>
        <w:t xml:space="preserve">A survey of suppliers of bulk ammonia estimated </w:t>
      </w:r>
      <w:r>
        <w:rPr>
          <w:szCs w:val="22"/>
        </w:rPr>
        <w:t>577</w:t>
      </w:r>
      <w:r w:rsidRPr="000310F6">
        <w:rPr>
          <w:szCs w:val="22"/>
        </w:rPr>
        <w:t xml:space="preserve"> tonnes w</w:t>
      </w:r>
      <w:r>
        <w:rPr>
          <w:szCs w:val="22"/>
        </w:rPr>
        <w:t xml:space="preserve">ere delivered to customers in 2016. A recent survey confirms an increase in supply with an average of 709 tonnes per annum over the three year period from 2014 to 2016. The supply of ammonia can vary depending on capital equipment works in that year, for example a new </w:t>
      </w:r>
      <w:r w:rsidRPr="00856765">
        <w:rPr>
          <w:szCs w:val="22"/>
        </w:rPr>
        <w:t>abattoir</w:t>
      </w:r>
      <w:r>
        <w:rPr>
          <w:szCs w:val="22"/>
        </w:rPr>
        <w:t xml:space="preserve"> and </w:t>
      </w:r>
      <w:r w:rsidRPr="00856765">
        <w:rPr>
          <w:szCs w:val="22"/>
        </w:rPr>
        <w:t>meat processing</w:t>
      </w:r>
      <w:r>
        <w:rPr>
          <w:szCs w:val="22"/>
        </w:rPr>
        <w:t xml:space="preserve"> plant may require between 10 and 20 tonnes of ammonia as a first fill.</w:t>
      </w:r>
    </w:p>
    <w:p w14:paraId="58D08DF9" w14:textId="1AB97C65" w:rsidR="002B6D25" w:rsidRDefault="002B6D25" w:rsidP="002B6D25">
      <w:pPr>
        <w:rPr>
          <w:szCs w:val="22"/>
        </w:rPr>
      </w:pPr>
      <w:r>
        <w:rPr>
          <w:szCs w:val="22"/>
        </w:rPr>
        <w:t>Based on the research undertaken on existing facilities the present estimate o</w:t>
      </w:r>
      <w:r w:rsidR="00FB52CB">
        <w:rPr>
          <w:szCs w:val="22"/>
        </w:rPr>
        <w:t>f</w:t>
      </w:r>
      <w:r>
        <w:rPr>
          <w:szCs w:val="22"/>
        </w:rPr>
        <w:t xml:space="preserve"> the ammonia </w:t>
      </w:r>
      <w:r w:rsidR="00CD62DD">
        <w:rPr>
          <w:szCs w:val="22"/>
        </w:rPr>
        <w:t>bank is 4,8</w:t>
      </w:r>
      <w:r w:rsidRPr="00685B96">
        <w:rPr>
          <w:szCs w:val="22"/>
        </w:rPr>
        <w:t>00</w:t>
      </w:r>
      <w:r w:rsidRPr="000310F6">
        <w:rPr>
          <w:szCs w:val="22"/>
        </w:rPr>
        <w:t xml:space="preserve"> tonnes in total</w:t>
      </w:r>
      <w:r>
        <w:rPr>
          <w:szCs w:val="22"/>
        </w:rPr>
        <w:t xml:space="preserve">, however the proportion of ammonia </w:t>
      </w:r>
      <w:r w:rsidR="00E046A1">
        <w:rPr>
          <w:szCs w:val="22"/>
        </w:rPr>
        <w:t>used</w:t>
      </w:r>
      <w:r>
        <w:rPr>
          <w:szCs w:val="22"/>
        </w:rPr>
        <w:t xml:space="preserve"> on new</w:t>
      </w:r>
      <w:r w:rsidR="00D74084">
        <w:rPr>
          <w:szCs w:val="22"/>
        </w:rPr>
        <w:t xml:space="preserve"> plant,</w:t>
      </w:r>
      <w:r>
        <w:rPr>
          <w:szCs w:val="22"/>
        </w:rPr>
        <w:t xml:space="preserve"> versus servicing and optimising existing </w:t>
      </w:r>
      <w:r w:rsidR="00D74084">
        <w:rPr>
          <w:szCs w:val="22"/>
        </w:rPr>
        <w:t xml:space="preserve">plant </w:t>
      </w:r>
      <w:r>
        <w:rPr>
          <w:szCs w:val="22"/>
        </w:rPr>
        <w:t xml:space="preserve">is still largely </w:t>
      </w:r>
      <w:r w:rsidR="00CD62DD">
        <w:rPr>
          <w:szCs w:val="22"/>
        </w:rPr>
        <w:t>unknown but</w:t>
      </w:r>
      <w:r w:rsidR="00D74084">
        <w:rPr>
          <w:szCs w:val="22"/>
        </w:rPr>
        <w:t xml:space="preserve"> is</w:t>
      </w:r>
      <w:r>
        <w:rPr>
          <w:szCs w:val="22"/>
        </w:rPr>
        <w:t xml:space="preserve"> estimated to be around </w:t>
      </w:r>
      <w:r w:rsidR="00CD62DD">
        <w:rPr>
          <w:szCs w:val="22"/>
        </w:rPr>
        <w:t>5</w:t>
      </w:r>
      <w:r>
        <w:rPr>
          <w:szCs w:val="22"/>
        </w:rPr>
        <w:t xml:space="preserve">0% new equipment and </w:t>
      </w:r>
      <w:r w:rsidR="00CD62DD">
        <w:rPr>
          <w:szCs w:val="22"/>
        </w:rPr>
        <w:t>5</w:t>
      </w:r>
      <w:r>
        <w:rPr>
          <w:szCs w:val="22"/>
        </w:rPr>
        <w:t xml:space="preserve">0% existing equipment. </w:t>
      </w:r>
    </w:p>
    <w:p w14:paraId="53E35D27" w14:textId="77777777" w:rsidR="002B6D25" w:rsidRDefault="002B6D25" w:rsidP="002B6D25">
      <w:pPr>
        <w:rPr>
          <w:szCs w:val="22"/>
        </w:rPr>
      </w:pPr>
    </w:p>
    <w:p w14:paraId="5826A3C3" w14:textId="77777777" w:rsidR="00384F36" w:rsidRDefault="00384F36">
      <w:pPr>
        <w:spacing w:before="0"/>
        <w:jc w:val="left"/>
        <w:rPr>
          <w:i/>
          <w:szCs w:val="22"/>
        </w:rPr>
      </w:pPr>
      <w:r>
        <w:rPr>
          <w:i/>
          <w:szCs w:val="22"/>
        </w:rPr>
        <w:br w:type="page"/>
      </w:r>
    </w:p>
    <w:p w14:paraId="74767200" w14:textId="08B77F8D" w:rsidR="00AA25C0" w:rsidRPr="008E638B" w:rsidRDefault="008E638B" w:rsidP="008E638B">
      <w:pPr>
        <w:pStyle w:val="Caption"/>
        <w:rPr>
          <w:szCs w:val="22"/>
        </w:rPr>
      </w:pPr>
      <w:bookmarkStart w:id="52" w:name="_Toc525141404"/>
      <w:r w:rsidRPr="008E638B">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15</w:t>
      </w:r>
      <w:r w:rsidR="009D6843">
        <w:rPr>
          <w:noProof/>
        </w:rPr>
        <w:fldChar w:fldCharType="end"/>
      </w:r>
      <w:r w:rsidR="00AA25C0" w:rsidRPr="008E638B">
        <w:rPr>
          <w:szCs w:val="22"/>
        </w:rPr>
        <w:t xml:space="preserve">: </w:t>
      </w:r>
      <w:r w:rsidR="00C029D0" w:rsidRPr="008E638B">
        <w:rPr>
          <w:szCs w:val="22"/>
        </w:rPr>
        <w:t>Refrigerated cold food chain main metrics</w:t>
      </w:r>
      <w:r w:rsidR="00AA25C0" w:rsidRPr="008E638B">
        <w:rPr>
          <w:szCs w:val="22"/>
        </w:rPr>
        <w:t>: 2012 versus 2016.</w:t>
      </w:r>
      <w:bookmarkEnd w:id="52"/>
    </w:p>
    <w:tbl>
      <w:tblPr>
        <w:tblStyle w:val="TableGrid"/>
        <w:tblW w:w="0" w:type="auto"/>
        <w:tblInd w:w="-5" w:type="dxa"/>
        <w:tblLook w:val="04A0" w:firstRow="1" w:lastRow="0" w:firstColumn="1" w:lastColumn="0" w:noHBand="0" w:noVBand="1"/>
      </w:tblPr>
      <w:tblGrid>
        <w:gridCol w:w="3308"/>
        <w:gridCol w:w="2066"/>
        <w:gridCol w:w="2054"/>
        <w:gridCol w:w="2064"/>
      </w:tblGrid>
      <w:tr w:rsidR="00AA25C0" w14:paraId="2193D508" w14:textId="77777777" w:rsidTr="00D6002F">
        <w:trPr>
          <w:trHeight w:val="567"/>
        </w:trPr>
        <w:tc>
          <w:tcPr>
            <w:tcW w:w="3308" w:type="dxa"/>
            <w:shd w:val="clear" w:color="auto" w:fill="B6DDE8" w:themeFill="accent5" w:themeFillTint="66"/>
            <w:vAlign w:val="center"/>
          </w:tcPr>
          <w:p w14:paraId="7F0055D1" w14:textId="77777777" w:rsidR="00AA25C0" w:rsidRPr="00DE413D" w:rsidRDefault="00AA25C0" w:rsidP="00D6002F">
            <w:pPr>
              <w:tabs>
                <w:tab w:val="left" w:pos="513"/>
              </w:tabs>
              <w:spacing w:after="120"/>
              <w:jc w:val="left"/>
              <w:rPr>
                <w:szCs w:val="22"/>
              </w:rPr>
            </w:pPr>
            <w:r w:rsidRPr="00DE413D">
              <w:rPr>
                <w:szCs w:val="22"/>
              </w:rPr>
              <w:t>Metric</w:t>
            </w:r>
          </w:p>
        </w:tc>
        <w:tc>
          <w:tcPr>
            <w:tcW w:w="2066" w:type="dxa"/>
            <w:shd w:val="clear" w:color="auto" w:fill="B6DDE8" w:themeFill="accent5" w:themeFillTint="66"/>
            <w:vAlign w:val="center"/>
          </w:tcPr>
          <w:p w14:paraId="4AE941D0" w14:textId="77777777" w:rsidR="00AA25C0" w:rsidRPr="00DE413D" w:rsidRDefault="00AA25C0" w:rsidP="00D6002F">
            <w:pPr>
              <w:spacing w:after="120"/>
              <w:jc w:val="center"/>
              <w:rPr>
                <w:szCs w:val="22"/>
              </w:rPr>
            </w:pPr>
            <w:r w:rsidRPr="00DE413D">
              <w:rPr>
                <w:szCs w:val="22"/>
              </w:rPr>
              <w:t>2012</w:t>
            </w:r>
          </w:p>
        </w:tc>
        <w:tc>
          <w:tcPr>
            <w:tcW w:w="2054" w:type="dxa"/>
            <w:shd w:val="clear" w:color="auto" w:fill="B6DDE8" w:themeFill="accent5" w:themeFillTint="66"/>
            <w:vAlign w:val="center"/>
          </w:tcPr>
          <w:p w14:paraId="718EB162" w14:textId="77777777" w:rsidR="00AA25C0" w:rsidRPr="00DE413D" w:rsidRDefault="00AA25C0" w:rsidP="00D6002F">
            <w:pPr>
              <w:spacing w:after="120"/>
              <w:jc w:val="center"/>
              <w:rPr>
                <w:szCs w:val="22"/>
              </w:rPr>
            </w:pPr>
            <w:r w:rsidRPr="00DE413D">
              <w:rPr>
                <w:szCs w:val="22"/>
              </w:rPr>
              <w:t>2016</w:t>
            </w:r>
          </w:p>
        </w:tc>
        <w:tc>
          <w:tcPr>
            <w:tcW w:w="2064" w:type="dxa"/>
            <w:shd w:val="clear" w:color="auto" w:fill="B6DDE8" w:themeFill="accent5" w:themeFillTint="66"/>
            <w:vAlign w:val="center"/>
          </w:tcPr>
          <w:p w14:paraId="0A38013A" w14:textId="77777777" w:rsidR="00AA25C0" w:rsidRPr="00DE413D" w:rsidRDefault="00AA25C0" w:rsidP="00D6002F">
            <w:pPr>
              <w:spacing w:after="120"/>
              <w:jc w:val="center"/>
              <w:rPr>
                <w:szCs w:val="22"/>
              </w:rPr>
            </w:pPr>
            <w:r w:rsidRPr="00DE413D">
              <w:rPr>
                <w:szCs w:val="22"/>
              </w:rPr>
              <w:t>Change</w:t>
            </w:r>
          </w:p>
        </w:tc>
      </w:tr>
      <w:tr w:rsidR="00C029D0" w14:paraId="164CE74B" w14:textId="77777777" w:rsidTr="00D8549E">
        <w:trPr>
          <w:trHeight w:val="567"/>
        </w:trPr>
        <w:tc>
          <w:tcPr>
            <w:tcW w:w="3308" w:type="dxa"/>
            <w:vAlign w:val="center"/>
          </w:tcPr>
          <w:p w14:paraId="3F6047E8" w14:textId="5B349258" w:rsidR="00C029D0" w:rsidRPr="00DE413D" w:rsidRDefault="00C029D0" w:rsidP="00AA25C0">
            <w:pPr>
              <w:spacing w:before="60" w:after="60"/>
              <w:jc w:val="left"/>
              <w:rPr>
                <w:szCs w:val="22"/>
              </w:rPr>
            </w:pPr>
            <w:r w:rsidRPr="00DE413D">
              <w:rPr>
                <w:color w:val="000000"/>
                <w:szCs w:val="22"/>
              </w:rPr>
              <w:t>Share of refrigerant bank</w:t>
            </w:r>
          </w:p>
        </w:tc>
        <w:tc>
          <w:tcPr>
            <w:tcW w:w="2066" w:type="dxa"/>
            <w:vAlign w:val="center"/>
          </w:tcPr>
          <w:p w14:paraId="6BB36B5E" w14:textId="44A83464" w:rsidR="00C029D0" w:rsidRPr="00DE413D" w:rsidRDefault="00C029D0" w:rsidP="00AA25C0">
            <w:pPr>
              <w:spacing w:before="60" w:after="60"/>
              <w:jc w:val="center"/>
              <w:rPr>
                <w:szCs w:val="22"/>
              </w:rPr>
            </w:pPr>
            <w:r w:rsidRPr="00DE413D">
              <w:rPr>
                <w:color w:val="000000"/>
                <w:szCs w:val="22"/>
              </w:rPr>
              <w:t>11%</w:t>
            </w:r>
          </w:p>
        </w:tc>
        <w:tc>
          <w:tcPr>
            <w:tcW w:w="2054" w:type="dxa"/>
            <w:vAlign w:val="center"/>
          </w:tcPr>
          <w:p w14:paraId="5D2AD80D" w14:textId="6BCF76BC" w:rsidR="00C029D0" w:rsidRPr="00DE413D" w:rsidRDefault="00E668CC" w:rsidP="00AA25C0">
            <w:pPr>
              <w:spacing w:before="60" w:after="60"/>
              <w:jc w:val="center"/>
              <w:rPr>
                <w:szCs w:val="22"/>
              </w:rPr>
            </w:pPr>
            <w:r w:rsidRPr="00DE413D">
              <w:rPr>
                <w:szCs w:val="22"/>
              </w:rPr>
              <w:t>14%</w:t>
            </w:r>
          </w:p>
        </w:tc>
        <w:tc>
          <w:tcPr>
            <w:tcW w:w="2064" w:type="dxa"/>
            <w:vAlign w:val="center"/>
          </w:tcPr>
          <w:p w14:paraId="4FAF61EF" w14:textId="1856FC95" w:rsidR="00C029D0" w:rsidRPr="00DE413D" w:rsidRDefault="00E668CC" w:rsidP="00AA25C0">
            <w:pPr>
              <w:spacing w:before="60" w:after="60"/>
              <w:jc w:val="center"/>
              <w:rPr>
                <w:szCs w:val="22"/>
              </w:rPr>
            </w:pPr>
            <w:r w:rsidRPr="00DE413D">
              <w:rPr>
                <w:szCs w:val="22"/>
              </w:rPr>
              <w:t>+23%</w:t>
            </w:r>
          </w:p>
        </w:tc>
      </w:tr>
      <w:tr w:rsidR="00C029D0" w14:paraId="323BF6DB" w14:textId="77777777" w:rsidTr="00D8549E">
        <w:trPr>
          <w:trHeight w:val="567"/>
        </w:trPr>
        <w:tc>
          <w:tcPr>
            <w:tcW w:w="3308" w:type="dxa"/>
            <w:vAlign w:val="center"/>
          </w:tcPr>
          <w:p w14:paraId="1F51D714" w14:textId="57E083FE" w:rsidR="00C029D0" w:rsidRPr="00DE413D" w:rsidRDefault="00C029D0" w:rsidP="00AA25C0">
            <w:pPr>
              <w:spacing w:before="60" w:after="60"/>
              <w:jc w:val="left"/>
              <w:rPr>
                <w:szCs w:val="22"/>
              </w:rPr>
            </w:pPr>
            <w:r w:rsidRPr="00DE413D">
              <w:rPr>
                <w:color w:val="000000"/>
                <w:szCs w:val="22"/>
              </w:rPr>
              <w:t>Size of refrigerant bank</w:t>
            </w:r>
          </w:p>
        </w:tc>
        <w:tc>
          <w:tcPr>
            <w:tcW w:w="2066" w:type="dxa"/>
            <w:vAlign w:val="center"/>
          </w:tcPr>
          <w:p w14:paraId="21B4E1E6" w14:textId="787734A5" w:rsidR="00C029D0" w:rsidRPr="00DE413D" w:rsidRDefault="00C029D0" w:rsidP="00AA25C0">
            <w:pPr>
              <w:spacing w:before="60" w:after="60"/>
              <w:jc w:val="center"/>
              <w:rPr>
                <w:szCs w:val="22"/>
              </w:rPr>
            </w:pPr>
            <w:r w:rsidRPr="00DE413D">
              <w:rPr>
                <w:color w:val="000000"/>
                <w:szCs w:val="22"/>
              </w:rPr>
              <w:t>5,000 tonnes</w:t>
            </w:r>
          </w:p>
        </w:tc>
        <w:tc>
          <w:tcPr>
            <w:tcW w:w="2054" w:type="dxa"/>
            <w:vAlign w:val="center"/>
          </w:tcPr>
          <w:p w14:paraId="334B00E8" w14:textId="6048C73A" w:rsidR="00C029D0" w:rsidRPr="00DE413D" w:rsidRDefault="00E668CC" w:rsidP="00AA25C0">
            <w:pPr>
              <w:spacing w:before="60" w:after="60"/>
              <w:jc w:val="center"/>
              <w:rPr>
                <w:szCs w:val="22"/>
              </w:rPr>
            </w:pPr>
            <w:r w:rsidRPr="00DE413D">
              <w:rPr>
                <w:szCs w:val="22"/>
              </w:rPr>
              <w:t>6,900 tonnes</w:t>
            </w:r>
          </w:p>
        </w:tc>
        <w:tc>
          <w:tcPr>
            <w:tcW w:w="2064" w:type="dxa"/>
            <w:vAlign w:val="center"/>
          </w:tcPr>
          <w:p w14:paraId="5F6EA1A4" w14:textId="14CE4B96" w:rsidR="00C029D0" w:rsidRPr="00DE413D" w:rsidRDefault="00E668CC" w:rsidP="00AA25C0">
            <w:pPr>
              <w:spacing w:before="60" w:after="60"/>
              <w:jc w:val="center"/>
              <w:rPr>
                <w:szCs w:val="22"/>
              </w:rPr>
            </w:pPr>
            <w:r w:rsidRPr="00DE413D">
              <w:rPr>
                <w:szCs w:val="22"/>
              </w:rPr>
              <w:t>+37%</w:t>
            </w:r>
          </w:p>
        </w:tc>
      </w:tr>
      <w:tr w:rsidR="00C029D0" w14:paraId="5103FC25" w14:textId="77777777" w:rsidTr="00D8549E">
        <w:trPr>
          <w:trHeight w:val="567"/>
        </w:trPr>
        <w:tc>
          <w:tcPr>
            <w:tcW w:w="3308" w:type="dxa"/>
            <w:vAlign w:val="center"/>
          </w:tcPr>
          <w:p w14:paraId="417A0713" w14:textId="6AE2ED82" w:rsidR="00C029D0" w:rsidRPr="00DE413D" w:rsidRDefault="00C029D0" w:rsidP="00AA25C0">
            <w:pPr>
              <w:spacing w:before="60" w:after="60"/>
              <w:jc w:val="left"/>
              <w:rPr>
                <w:szCs w:val="22"/>
              </w:rPr>
            </w:pPr>
            <w:r w:rsidRPr="00DE413D">
              <w:rPr>
                <w:color w:val="000000"/>
                <w:szCs w:val="22"/>
              </w:rPr>
              <w:t xml:space="preserve">Annual </w:t>
            </w:r>
            <w:r w:rsidR="0042423E">
              <w:rPr>
                <w:color w:val="000000"/>
                <w:szCs w:val="22"/>
              </w:rPr>
              <w:t>use</w:t>
            </w:r>
            <w:r w:rsidRPr="00DE413D">
              <w:rPr>
                <w:color w:val="000000"/>
                <w:szCs w:val="22"/>
              </w:rPr>
              <w:t xml:space="preserve"> to replace leaks (excl. OEM and charging new equipment)</w:t>
            </w:r>
          </w:p>
        </w:tc>
        <w:tc>
          <w:tcPr>
            <w:tcW w:w="2066" w:type="dxa"/>
            <w:vAlign w:val="center"/>
          </w:tcPr>
          <w:p w14:paraId="016E43BD" w14:textId="7137079A" w:rsidR="00C029D0" w:rsidRPr="00DE413D" w:rsidRDefault="00C029D0" w:rsidP="00AA25C0">
            <w:pPr>
              <w:spacing w:before="60" w:after="60"/>
              <w:jc w:val="center"/>
              <w:rPr>
                <w:szCs w:val="22"/>
              </w:rPr>
            </w:pPr>
            <w:r w:rsidRPr="00DE413D">
              <w:rPr>
                <w:color w:val="000000"/>
                <w:szCs w:val="22"/>
              </w:rPr>
              <w:t>614 tonnes per annum</w:t>
            </w:r>
          </w:p>
        </w:tc>
        <w:tc>
          <w:tcPr>
            <w:tcW w:w="2054" w:type="dxa"/>
            <w:vAlign w:val="center"/>
          </w:tcPr>
          <w:p w14:paraId="7E296959" w14:textId="3F5E5F2D" w:rsidR="00C029D0" w:rsidRPr="00DE413D" w:rsidRDefault="00DE413D" w:rsidP="00AA25C0">
            <w:pPr>
              <w:spacing w:before="60" w:after="60"/>
              <w:jc w:val="center"/>
              <w:rPr>
                <w:color w:val="000000"/>
                <w:szCs w:val="22"/>
              </w:rPr>
            </w:pPr>
            <w:r w:rsidRPr="00DE413D">
              <w:rPr>
                <w:color w:val="000000"/>
                <w:szCs w:val="22"/>
              </w:rPr>
              <w:t xml:space="preserve">577 tonnes per annum </w:t>
            </w:r>
          </w:p>
        </w:tc>
        <w:tc>
          <w:tcPr>
            <w:tcW w:w="2064" w:type="dxa"/>
            <w:vAlign w:val="center"/>
          </w:tcPr>
          <w:p w14:paraId="15BB6450" w14:textId="7934FF2E" w:rsidR="00C029D0" w:rsidRPr="00DE413D" w:rsidRDefault="00685B96" w:rsidP="00AA25C0">
            <w:pPr>
              <w:spacing w:before="60" w:after="60"/>
              <w:jc w:val="center"/>
              <w:rPr>
                <w:szCs w:val="22"/>
              </w:rPr>
            </w:pPr>
            <w:r>
              <w:rPr>
                <w:szCs w:val="22"/>
              </w:rPr>
              <w:t>-6%</w:t>
            </w:r>
            <w:r w:rsidR="006F263E">
              <w:rPr>
                <w:szCs w:val="22"/>
              </w:rPr>
              <w:t xml:space="preserve"> </w:t>
            </w:r>
            <w:r w:rsidR="006F263E" w:rsidRPr="006F263E">
              <w:rPr>
                <w:szCs w:val="22"/>
                <w:vertAlign w:val="superscript"/>
              </w:rPr>
              <w:t>(2)</w:t>
            </w:r>
          </w:p>
        </w:tc>
      </w:tr>
      <w:tr w:rsidR="00C029D0" w14:paraId="191134C1" w14:textId="77777777" w:rsidTr="00D8549E">
        <w:trPr>
          <w:trHeight w:val="567"/>
        </w:trPr>
        <w:tc>
          <w:tcPr>
            <w:tcW w:w="3308" w:type="dxa"/>
            <w:vAlign w:val="center"/>
          </w:tcPr>
          <w:p w14:paraId="5385886C" w14:textId="20414499" w:rsidR="00C029D0" w:rsidRPr="00DE413D" w:rsidRDefault="00C029D0" w:rsidP="00AA25C0">
            <w:pPr>
              <w:spacing w:before="60" w:after="60"/>
              <w:jc w:val="left"/>
              <w:rPr>
                <w:szCs w:val="22"/>
              </w:rPr>
            </w:pPr>
            <w:r w:rsidRPr="00DE413D">
              <w:rPr>
                <w:color w:val="000000"/>
                <w:szCs w:val="22"/>
              </w:rPr>
              <w:t>Estimated stock of equipment</w:t>
            </w:r>
            <w:r w:rsidR="0014510E">
              <w:rPr>
                <w:color w:val="000000"/>
                <w:szCs w:val="22"/>
              </w:rPr>
              <w:t xml:space="preserve"> </w:t>
            </w:r>
            <w:r w:rsidR="0014510E" w:rsidRPr="0014510E">
              <w:rPr>
                <w:color w:val="000000"/>
                <w:szCs w:val="22"/>
                <w:vertAlign w:val="superscript"/>
              </w:rPr>
              <w:t>(4)</w:t>
            </w:r>
          </w:p>
        </w:tc>
        <w:tc>
          <w:tcPr>
            <w:tcW w:w="2066" w:type="dxa"/>
            <w:vAlign w:val="center"/>
          </w:tcPr>
          <w:p w14:paraId="44CF7B57" w14:textId="69D2D653" w:rsidR="00C029D0" w:rsidRPr="00DE413D" w:rsidRDefault="00C029D0" w:rsidP="00AA25C0">
            <w:pPr>
              <w:spacing w:before="60" w:after="60"/>
              <w:jc w:val="center"/>
              <w:rPr>
                <w:szCs w:val="22"/>
              </w:rPr>
            </w:pPr>
            <w:r w:rsidRPr="00DE413D">
              <w:rPr>
                <w:color w:val="000000"/>
                <w:szCs w:val="22"/>
              </w:rPr>
              <w:t>1</w:t>
            </w:r>
            <w:r w:rsidR="0014510E">
              <w:rPr>
                <w:color w:val="000000"/>
                <w:szCs w:val="22"/>
              </w:rPr>
              <w:t>.48</w:t>
            </w:r>
            <w:r w:rsidRPr="00DE413D">
              <w:rPr>
                <w:color w:val="000000"/>
                <w:szCs w:val="22"/>
              </w:rPr>
              <w:t xml:space="preserve"> million devices</w:t>
            </w:r>
            <w:r w:rsidR="0014510E">
              <w:rPr>
                <w:color w:val="000000"/>
                <w:szCs w:val="22"/>
              </w:rPr>
              <w:t xml:space="preserve"> </w:t>
            </w:r>
          </w:p>
        </w:tc>
        <w:tc>
          <w:tcPr>
            <w:tcW w:w="2054" w:type="dxa"/>
            <w:vAlign w:val="center"/>
          </w:tcPr>
          <w:p w14:paraId="66BB85DB" w14:textId="6C973325" w:rsidR="00C029D0" w:rsidRPr="00DE413D" w:rsidRDefault="00E668CC" w:rsidP="00AA25C0">
            <w:pPr>
              <w:spacing w:before="60" w:after="60"/>
              <w:jc w:val="center"/>
              <w:rPr>
                <w:szCs w:val="22"/>
              </w:rPr>
            </w:pPr>
            <w:r w:rsidRPr="00DE413D">
              <w:rPr>
                <w:color w:val="000000"/>
                <w:szCs w:val="22"/>
              </w:rPr>
              <w:t>1.6</w:t>
            </w:r>
            <w:r w:rsidR="000F7373">
              <w:rPr>
                <w:color w:val="000000"/>
                <w:szCs w:val="22"/>
              </w:rPr>
              <w:t>5</w:t>
            </w:r>
            <w:r w:rsidRPr="00DE413D">
              <w:rPr>
                <w:color w:val="000000"/>
                <w:szCs w:val="22"/>
              </w:rPr>
              <w:t xml:space="preserve"> million devices</w:t>
            </w:r>
          </w:p>
        </w:tc>
        <w:tc>
          <w:tcPr>
            <w:tcW w:w="2064" w:type="dxa"/>
            <w:vAlign w:val="center"/>
          </w:tcPr>
          <w:p w14:paraId="430B06D0" w14:textId="5933ED5D" w:rsidR="00C029D0" w:rsidRPr="00DE413D" w:rsidRDefault="00E668CC" w:rsidP="00AA25C0">
            <w:pPr>
              <w:spacing w:before="60" w:after="60"/>
              <w:jc w:val="center"/>
              <w:rPr>
                <w:szCs w:val="22"/>
              </w:rPr>
            </w:pPr>
            <w:r w:rsidRPr="00DE413D">
              <w:rPr>
                <w:szCs w:val="22"/>
              </w:rPr>
              <w:t>+</w:t>
            </w:r>
            <w:r w:rsidR="0014510E">
              <w:rPr>
                <w:szCs w:val="22"/>
              </w:rPr>
              <w:t>11</w:t>
            </w:r>
            <w:r w:rsidRPr="00DE413D">
              <w:rPr>
                <w:szCs w:val="22"/>
              </w:rPr>
              <w:t>%</w:t>
            </w:r>
          </w:p>
        </w:tc>
      </w:tr>
      <w:tr w:rsidR="00C029D0" w14:paraId="60406731" w14:textId="77777777" w:rsidTr="00D8549E">
        <w:trPr>
          <w:trHeight w:val="567"/>
        </w:trPr>
        <w:tc>
          <w:tcPr>
            <w:tcW w:w="3308" w:type="dxa"/>
            <w:vAlign w:val="center"/>
          </w:tcPr>
          <w:p w14:paraId="083D4017" w14:textId="620D5BAB" w:rsidR="00C029D0" w:rsidRPr="00DE413D" w:rsidRDefault="00C029D0" w:rsidP="00AA25C0">
            <w:pPr>
              <w:spacing w:before="60" w:after="60"/>
              <w:jc w:val="left"/>
              <w:rPr>
                <w:szCs w:val="22"/>
              </w:rPr>
            </w:pPr>
            <w:r w:rsidRPr="00DE413D">
              <w:rPr>
                <w:color w:val="000000"/>
                <w:szCs w:val="22"/>
              </w:rPr>
              <w:t>Annual expenditure on new equipment</w:t>
            </w:r>
          </w:p>
        </w:tc>
        <w:tc>
          <w:tcPr>
            <w:tcW w:w="2066" w:type="dxa"/>
            <w:vAlign w:val="center"/>
          </w:tcPr>
          <w:p w14:paraId="30D05679" w14:textId="6B93AF42" w:rsidR="00C029D0" w:rsidRPr="00DE413D" w:rsidRDefault="00C029D0" w:rsidP="00AA25C0">
            <w:pPr>
              <w:spacing w:before="60" w:after="60"/>
              <w:jc w:val="center"/>
              <w:rPr>
                <w:szCs w:val="22"/>
              </w:rPr>
            </w:pPr>
            <w:r w:rsidRPr="00DE413D">
              <w:rPr>
                <w:color w:val="000000"/>
                <w:szCs w:val="22"/>
              </w:rPr>
              <w:t>~$0.782 Billion</w:t>
            </w:r>
          </w:p>
        </w:tc>
        <w:tc>
          <w:tcPr>
            <w:tcW w:w="2054" w:type="dxa"/>
            <w:vAlign w:val="center"/>
          </w:tcPr>
          <w:p w14:paraId="43922890" w14:textId="3CB628FC" w:rsidR="00C029D0" w:rsidRPr="00DE413D" w:rsidRDefault="006510C2" w:rsidP="00AA25C0">
            <w:pPr>
              <w:spacing w:before="60" w:after="60"/>
              <w:jc w:val="center"/>
              <w:rPr>
                <w:szCs w:val="22"/>
              </w:rPr>
            </w:pPr>
            <w:r w:rsidRPr="00DE413D">
              <w:rPr>
                <w:color w:val="000000"/>
                <w:szCs w:val="22"/>
              </w:rPr>
              <w:t>~$0.</w:t>
            </w:r>
            <w:r w:rsidR="0014510E">
              <w:rPr>
                <w:color w:val="000000"/>
                <w:szCs w:val="22"/>
              </w:rPr>
              <w:t>926</w:t>
            </w:r>
            <w:r w:rsidRPr="00DE413D">
              <w:rPr>
                <w:color w:val="000000"/>
                <w:szCs w:val="22"/>
              </w:rPr>
              <w:t xml:space="preserve"> Billion</w:t>
            </w:r>
          </w:p>
        </w:tc>
        <w:tc>
          <w:tcPr>
            <w:tcW w:w="2064" w:type="dxa"/>
            <w:vAlign w:val="center"/>
          </w:tcPr>
          <w:p w14:paraId="592AF686" w14:textId="001C5BDD" w:rsidR="00C029D0" w:rsidRPr="00DE413D" w:rsidRDefault="0014510E" w:rsidP="00AA25C0">
            <w:pPr>
              <w:spacing w:before="60" w:after="60"/>
              <w:jc w:val="center"/>
              <w:rPr>
                <w:szCs w:val="22"/>
              </w:rPr>
            </w:pPr>
            <w:r>
              <w:rPr>
                <w:szCs w:val="22"/>
              </w:rPr>
              <w:t>+18%</w:t>
            </w:r>
          </w:p>
        </w:tc>
      </w:tr>
      <w:tr w:rsidR="00C029D0" w14:paraId="26AF82D4" w14:textId="77777777" w:rsidTr="00D8549E">
        <w:trPr>
          <w:trHeight w:val="567"/>
        </w:trPr>
        <w:tc>
          <w:tcPr>
            <w:tcW w:w="3308" w:type="dxa"/>
            <w:vAlign w:val="center"/>
          </w:tcPr>
          <w:p w14:paraId="21C3ADF3" w14:textId="1BB75E75" w:rsidR="00C029D0" w:rsidRPr="00DE413D" w:rsidRDefault="00C029D0" w:rsidP="00AA25C0">
            <w:pPr>
              <w:spacing w:before="60" w:after="60"/>
              <w:jc w:val="left"/>
              <w:rPr>
                <w:szCs w:val="22"/>
              </w:rPr>
            </w:pPr>
            <w:r w:rsidRPr="00DE413D">
              <w:rPr>
                <w:color w:val="000000"/>
                <w:szCs w:val="22"/>
              </w:rPr>
              <w:t>Annual electricity consumption:</w:t>
            </w:r>
          </w:p>
        </w:tc>
        <w:tc>
          <w:tcPr>
            <w:tcW w:w="2066" w:type="dxa"/>
            <w:vAlign w:val="center"/>
          </w:tcPr>
          <w:p w14:paraId="6AF51360" w14:textId="64AF5C22" w:rsidR="00C029D0" w:rsidRPr="00DE413D" w:rsidRDefault="00C029D0" w:rsidP="00AA25C0">
            <w:pPr>
              <w:spacing w:before="60" w:after="60"/>
              <w:jc w:val="center"/>
              <w:rPr>
                <w:szCs w:val="22"/>
              </w:rPr>
            </w:pPr>
            <w:r w:rsidRPr="00DE413D">
              <w:rPr>
                <w:color w:val="000000"/>
                <w:szCs w:val="22"/>
              </w:rPr>
              <w:t>14,657 GWh</w:t>
            </w:r>
          </w:p>
        </w:tc>
        <w:tc>
          <w:tcPr>
            <w:tcW w:w="2054" w:type="dxa"/>
            <w:vAlign w:val="center"/>
          </w:tcPr>
          <w:p w14:paraId="56F52A62" w14:textId="30153EDA" w:rsidR="00C029D0" w:rsidRPr="00DE413D" w:rsidRDefault="00E668CC" w:rsidP="00AA25C0">
            <w:pPr>
              <w:spacing w:before="60" w:after="60"/>
              <w:jc w:val="center"/>
              <w:rPr>
                <w:szCs w:val="22"/>
              </w:rPr>
            </w:pPr>
            <w:r w:rsidRPr="00DE413D">
              <w:rPr>
                <w:szCs w:val="22"/>
              </w:rPr>
              <w:t>1</w:t>
            </w:r>
            <w:r w:rsidR="0014510E">
              <w:rPr>
                <w:szCs w:val="22"/>
              </w:rPr>
              <w:t>8</w:t>
            </w:r>
            <w:r w:rsidRPr="00DE413D">
              <w:rPr>
                <w:szCs w:val="22"/>
              </w:rPr>
              <w:t>,</w:t>
            </w:r>
            <w:r w:rsidR="0014510E">
              <w:rPr>
                <w:szCs w:val="22"/>
              </w:rPr>
              <w:t>994</w:t>
            </w:r>
            <w:r w:rsidRPr="00DE413D">
              <w:rPr>
                <w:szCs w:val="22"/>
              </w:rPr>
              <w:t xml:space="preserve"> GWh</w:t>
            </w:r>
          </w:p>
        </w:tc>
        <w:tc>
          <w:tcPr>
            <w:tcW w:w="2064" w:type="dxa"/>
            <w:vAlign w:val="center"/>
          </w:tcPr>
          <w:p w14:paraId="1667C9A5" w14:textId="18A76220" w:rsidR="00C029D0" w:rsidRPr="00DE413D" w:rsidRDefault="00E668CC" w:rsidP="00AA25C0">
            <w:pPr>
              <w:spacing w:before="60" w:after="60"/>
              <w:jc w:val="center"/>
              <w:rPr>
                <w:szCs w:val="22"/>
              </w:rPr>
            </w:pPr>
            <w:r w:rsidRPr="00DE413D">
              <w:rPr>
                <w:szCs w:val="22"/>
              </w:rPr>
              <w:t>+</w:t>
            </w:r>
            <w:r w:rsidR="0014510E">
              <w:rPr>
                <w:szCs w:val="22"/>
              </w:rPr>
              <w:t>30</w:t>
            </w:r>
            <w:r w:rsidRPr="00DE413D">
              <w:rPr>
                <w:szCs w:val="22"/>
              </w:rPr>
              <w:t>%</w:t>
            </w:r>
          </w:p>
        </w:tc>
      </w:tr>
      <w:tr w:rsidR="00C029D0" w14:paraId="6504B292" w14:textId="77777777" w:rsidTr="00D8549E">
        <w:trPr>
          <w:trHeight w:val="567"/>
        </w:trPr>
        <w:tc>
          <w:tcPr>
            <w:tcW w:w="3308" w:type="dxa"/>
            <w:vAlign w:val="center"/>
          </w:tcPr>
          <w:p w14:paraId="363AC839" w14:textId="4FC56054" w:rsidR="00C029D0" w:rsidRPr="00DE413D" w:rsidRDefault="00C029D0" w:rsidP="00AA25C0">
            <w:pPr>
              <w:spacing w:before="60" w:after="60"/>
              <w:jc w:val="left"/>
              <w:rPr>
                <w:szCs w:val="22"/>
              </w:rPr>
            </w:pPr>
            <w:r w:rsidRPr="00DE413D">
              <w:rPr>
                <w:color w:val="000000"/>
                <w:szCs w:val="22"/>
              </w:rPr>
              <w:t>Share of HVAC&amp;R electrical consumption</w:t>
            </w:r>
          </w:p>
        </w:tc>
        <w:tc>
          <w:tcPr>
            <w:tcW w:w="2066" w:type="dxa"/>
            <w:vAlign w:val="center"/>
          </w:tcPr>
          <w:p w14:paraId="081FF7F2" w14:textId="46AF867A" w:rsidR="00C029D0" w:rsidRPr="00DE413D" w:rsidRDefault="00C029D0" w:rsidP="00AA25C0">
            <w:pPr>
              <w:spacing w:before="60" w:after="60"/>
              <w:jc w:val="center"/>
              <w:rPr>
                <w:szCs w:val="22"/>
              </w:rPr>
            </w:pPr>
            <w:r w:rsidRPr="00DE413D">
              <w:rPr>
                <w:color w:val="000000"/>
                <w:szCs w:val="22"/>
              </w:rPr>
              <w:t>25%</w:t>
            </w:r>
          </w:p>
        </w:tc>
        <w:tc>
          <w:tcPr>
            <w:tcW w:w="2054" w:type="dxa"/>
            <w:vAlign w:val="center"/>
          </w:tcPr>
          <w:p w14:paraId="4D77AC18" w14:textId="2D19CAD0" w:rsidR="00C029D0" w:rsidRPr="00DE413D" w:rsidRDefault="00E668CC" w:rsidP="00AA25C0">
            <w:pPr>
              <w:spacing w:before="60" w:after="60"/>
              <w:jc w:val="center"/>
              <w:rPr>
                <w:szCs w:val="22"/>
              </w:rPr>
            </w:pPr>
            <w:r w:rsidRPr="00DE413D">
              <w:rPr>
                <w:szCs w:val="22"/>
              </w:rPr>
              <w:t>31%</w:t>
            </w:r>
          </w:p>
        </w:tc>
        <w:tc>
          <w:tcPr>
            <w:tcW w:w="2064" w:type="dxa"/>
            <w:vAlign w:val="center"/>
          </w:tcPr>
          <w:p w14:paraId="031202DE" w14:textId="378E95AE" w:rsidR="00C029D0" w:rsidRPr="00DE413D" w:rsidRDefault="00E668CC" w:rsidP="00AA25C0">
            <w:pPr>
              <w:spacing w:before="60" w:after="60"/>
              <w:jc w:val="center"/>
              <w:rPr>
                <w:szCs w:val="22"/>
              </w:rPr>
            </w:pPr>
            <w:r w:rsidRPr="00DE413D">
              <w:rPr>
                <w:szCs w:val="22"/>
              </w:rPr>
              <w:t>+24%</w:t>
            </w:r>
          </w:p>
        </w:tc>
      </w:tr>
      <w:tr w:rsidR="00C029D0" w14:paraId="3056037D" w14:textId="77777777" w:rsidTr="00D8549E">
        <w:trPr>
          <w:trHeight w:val="567"/>
        </w:trPr>
        <w:tc>
          <w:tcPr>
            <w:tcW w:w="3308" w:type="dxa"/>
            <w:vAlign w:val="center"/>
          </w:tcPr>
          <w:p w14:paraId="00438687" w14:textId="32285158" w:rsidR="00C029D0" w:rsidRPr="00DE413D" w:rsidRDefault="00C029D0" w:rsidP="00AA25C0">
            <w:pPr>
              <w:spacing w:before="60" w:after="60"/>
              <w:jc w:val="left"/>
              <w:rPr>
                <w:szCs w:val="22"/>
              </w:rPr>
            </w:pPr>
            <w:r w:rsidRPr="00DE413D">
              <w:rPr>
                <w:color w:val="000000"/>
                <w:szCs w:val="22"/>
              </w:rPr>
              <w:t>Annual GHG indirect emissions</w:t>
            </w:r>
          </w:p>
        </w:tc>
        <w:tc>
          <w:tcPr>
            <w:tcW w:w="2066" w:type="dxa"/>
            <w:vAlign w:val="center"/>
          </w:tcPr>
          <w:p w14:paraId="398C9A59" w14:textId="559A3EBA" w:rsidR="00C029D0" w:rsidRPr="00DE413D" w:rsidRDefault="00C029D0" w:rsidP="00AA25C0">
            <w:pPr>
              <w:spacing w:before="60" w:after="60"/>
              <w:jc w:val="center"/>
              <w:rPr>
                <w:szCs w:val="22"/>
              </w:rPr>
            </w:pPr>
            <w:r w:rsidRPr="00DE413D">
              <w:rPr>
                <w:color w:val="000000"/>
                <w:szCs w:val="22"/>
              </w:rPr>
              <w:t>13.6 Mt CO</w:t>
            </w:r>
            <w:r w:rsidRPr="00DE413D">
              <w:rPr>
                <w:color w:val="000000"/>
                <w:szCs w:val="22"/>
                <w:vertAlign w:val="subscript"/>
              </w:rPr>
              <w:t>2</w:t>
            </w:r>
            <w:r w:rsidRPr="00DE413D">
              <w:rPr>
                <w:color w:val="000000"/>
                <w:szCs w:val="22"/>
              </w:rPr>
              <w:t>e</w:t>
            </w:r>
          </w:p>
        </w:tc>
        <w:tc>
          <w:tcPr>
            <w:tcW w:w="2054" w:type="dxa"/>
            <w:vAlign w:val="center"/>
          </w:tcPr>
          <w:p w14:paraId="620A0FBD" w14:textId="521D8568" w:rsidR="00C029D0" w:rsidRPr="00DE413D" w:rsidRDefault="00E668CC" w:rsidP="00AA25C0">
            <w:pPr>
              <w:spacing w:before="60" w:after="60"/>
              <w:jc w:val="center"/>
              <w:rPr>
                <w:szCs w:val="22"/>
              </w:rPr>
            </w:pPr>
            <w:r w:rsidRPr="00DE413D">
              <w:rPr>
                <w:szCs w:val="22"/>
              </w:rPr>
              <w:t xml:space="preserve">17.53 </w:t>
            </w:r>
            <w:r w:rsidRPr="00DE413D">
              <w:rPr>
                <w:color w:val="000000"/>
                <w:szCs w:val="22"/>
              </w:rPr>
              <w:t>Mt CO</w:t>
            </w:r>
            <w:r w:rsidRPr="00DE413D">
              <w:rPr>
                <w:color w:val="000000"/>
                <w:szCs w:val="22"/>
                <w:vertAlign w:val="subscript"/>
              </w:rPr>
              <w:t>2</w:t>
            </w:r>
            <w:r w:rsidRPr="00DE413D">
              <w:rPr>
                <w:color w:val="000000"/>
                <w:szCs w:val="22"/>
              </w:rPr>
              <w:t>e</w:t>
            </w:r>
          </w:p>
        </w:tc>
        <w:tc>
          <w:tcPr>
            <w:tcW w:w="2064" w:type="dxa"/>
            <w:vAlign w:val="center"/>
          </w:tcPr>
          <w:p w14:paraId="370AB1DC" w14:textId="2B502D06" w:rsidR="00C029D0" w:rsidRPr="00DE413D" w:rsidRDefault="00E668CC" w:rsidP="00AA25C0">
            <w:pPr>
              <w:spacing w:before="60" w:after="60"/>
              <w:jc w:val="center"/>
              <w:rPr>
                <w:szCs w:val="22"/>
              </w:rPr>
            </w:pPr>
            <w:r w:rsidRPr="00DE413D">
              <w:rPr>
                <w:szCs w:val="22"/>
              </w:rPr>
              <w:t>+29%</w:t>
            </w:r>
          </w:p>
        </w:tc>
      </w:tr>
      <w:tr w:rsidR="00C029D0" w14:paraId="4416EB7A" w14:textId="77777777" w:rsidTr="00D8549E">
        <w:trPr>
          <w:trHeight w:val="567"/>
        </w:trPr>
        <w:tc>
          <w:tcPr>
            <w:tcW w:w="3308" w:type="dxa"/>
            <w:vAlign w:val="center"/>
          </w:tcPr>
          <w:p w14:paraId="6ED09F95" w14:textId="7289F927" w:rsidR="00C029D0" w:rsidRPr="00DE413D" w:rsidRDefault="00C029D0" w:rsidP="00AA25C0">
            <w:pPr>
              <w:spacing w:before="60" w:after="60"/>
              <w:jc w:val="left"/>
              <w:rPr>
                <w:szCs w:val="22"/>
              </w:rPr>
            </w:pPr>
            <w:r w:rsidRPr="00DE413D">
              <w:rPr>
                <w:color w:val="000000"/>
                <w:szCs w:val="22"/>
              </w:rPr>
              <w:t>Share of HVAC&amp;R indirect emissions</w:t>
            </w:r>
          </w:p>
        </w:tc>
        <w:tc>
          <w:tcPr>
            <w:tcW w:w="2066" w:type="dxa"/>
            <w:vAlign w:val="center"/>
          </w:tcPr>
          <w:p w14:paraId="54871AC7" w14:textId="6BA3FDB5" w:rsidR="00C029D0" w:rsidRPr="00DE413D" w:rsidRDefault="00C029D0" w:rsidP="00AA25C0">
            <w:pPr>
              <w:spacing w:before="60" w:after="60"/>
              <w:jc w:val="center"/>
              <w:rPr>
                <w:szCs w:val="22"/>
              </w:rPr>
            </w:pPr>
            <w:r w:rsidRPr="00DE413D">
              <w:rPr>
                <w:color w:val="000000"/>
                <w:szCs w:val="22"/>
              </w:rPr>
              <w:t>24%</w:t>
            </w:r>
          </w:p>
        </w:tc>
        <w:tc>
          <w:tcPr>
            <w:tcW w:w="2054" w:type="dxa"/>
            <w:vAlign w:val="center"/>
          </w:tcPr>
          <w:p w14:paraId="5E1B23AD" w14:textId="1E4F6D50" w:rsidR="00C029D0" w:rsidRPr="00DE413D" w:rsidRDefault="00E668CC" w:rsidP="00AA25C0">
            <w:pPr>
              <w:spacing w:before="60" w:after="60"/>
              <w:jc w:val="center"/>
              <w:rPr>
                <w:szCs w:val="22"/>
              </w:rPr>
            </w:pPr>
            <w:r w:rsidRPr="00DE413D">
              <w:rPr>
                <w:szCs w:val="22"/>
              </w:rPr>
              <w:t>30%</w:t>
            </w:r>
          </w:p>
        </w:tc>
        <w:tc>
          <w:tcPr>
            <w:tcW w:w="2064" w:type="dxa"/>
            <w:vAlign w:val="center"/>
          </w:tcPr>
          <w:p w14:paraId="52348674" w14:textId="6D013269" w:rsidR="00C029D0" w:rsidRPr="00DE413D" w:rsidRDefault="00E668CC" w:rsidP="00AA25C0">
            <w:pPr>
              <w:spacing w:before="60" w:after="60"/>
              <w:jc w:val="center"/>
              <w:rPr>
                <w:szCs w:val="22"/>
              </w:rPr>
            </w:pPr>
            <w:r w:rsidRPr="00DE413D">
              <w:rPr>
                <w:szCs w:val="22"/>
              </w:rPr>
              <w:t>+25%</w:t>
            </w:r>
          </w:p>
        </w:tc>
      </w:tr>
      <w:tr w:rsidR="00C029D0" w14:paraId="25FE2095" w14:textId="77777777" w:rsidTr="00D8549E">
        <w:trPr>
          <w:trHeight w:val="567"/>
        </w:trPr>
        <w:tc>
          <w:tcPr>
            <w:tcW w:w="3308" w:type="dxa"/>
            <w:vAlign w:val="center"/>
          </w:tcPr>
          <w:p w14:paraId="3E549145" w14:textId="2B515E0F" w:rsidR="00C029D0" w:rsidRPr="00DE413D" w:rsidRDefault="00C029D0" w:rsidP="00AA25C0">
            <w:pPr>
              <w:spacing w:before="60" w:after="60"/>
              <w:jc w:val="left"/>
              <w:rPr>
                <w:szCs w:val="22"/>
              </w:rPr>
            </w:pPr>
            <w:r w:rsidRPr="00DE413D">
              <w:rPr>
                <w:color w:val="000000"/>
                <w:szCs w:val="22"/>
              </w:rPr>
              <w:t>Annual GHG direct emissions (ODS)</w:t>
            </w:r>
            <w:r w:rsidR="00E94279" w:rsidRPr="00DE413D">
              <w:rPr>
                <w:color w:val="000000"/>
                <w:szCs w:val="22"/>
              </w:rPr>
              <w:t xml:space="preserve"> </w:t>
            </w:r>
            <w:r w:rsidR="00E94279" w:rsidRPr="00DE413D">
              <w:rPr>
                <w:color w:val="000000"/>
                <w:szCs w:val="22"/>
                <w:vertAlign w:val="superscript"/>
              </w:rPr>
              <w:t>(1)</w:t>
            </w:r>
          </w:p>
        </w:tc>
        <w:tc>
          <w:tcPr>
            <w:tcW w:w="2066" w:type="dxa"/>
            <w:vAlign w:val="center"/>
          </w:tcPr>
          <w:p w14:paraId="4D55D7C3" w14:textId="5E71D778" w:rsidR="00C029D0" w:rsidRPr="00DE413D" w:rsidRDefault="00C029D0" w:rsidP="00AA25C0">
            <w:pPr>
              <w:spacing w:before="60" w:after="60"/>
              <w:jc w:val="center"/>
              <w:rPr>
                <w:szCs w:val="22"/>
              </w:rPr>
            </w:pPr>
            <w:r w:rsidRPr="00DE413D">
              <w:rPr>
                <w:color w:val="000000"/>
                <w:szCs w:val="22"/>
              </w:rPr>
              <w:t>0.12 Mt CO</w:t>
            </w:r>
            <w:r w:rsidRPr="00DE413D">
              <w:rPr>
                <w:color w:val="000000"/>
                <w:szCs w:val="22"/>
                <w:vertAlign w:val="subscript"/>
              </w:rPr>
              <w:t>2</w:t>
            </w:r>
            <w:r w:rsidRPr="00DE413D">
              <w:rPr>
                <w:color w:val="000000"/>
                <w:szCs w:val="22"/>
              </w:rPr>
              <w:t>e</w:t>
            </w:r>
          </w:p>
        </w:tc>
        <w:tc>
          <w:tcPr>
            <w:tcW w:w="2054" w:type="dxa"/>
            <w:vAlign w:val="center"/>
          </w:tcPr>
          <w:p w14:paraId="7143298E" w14:textId="7C683535" w:rsidR="00C029D0" w:rsidRPr="00DE413D" w:rsidRDefault="008D1119" w:rsidP="00AA25C0">
            <w:pPr>
              <w:spacing w:before="60" w:after="60"/>
              <w:jc w:val="center"/>
              <w:rPr>
                <w:szCs w:val="22"/>
              </w:rPr>
            </w:pPr>
            <w:r>
              <w:rPr>
                <w:color w:val="000000"/>
                <w:szCs w:val="22"/>
              </w:rPr>
              <w:t>0.12</w:t>
            </w:r>
            <w:r w:rsidR="00E668CC" w:rsidRPr="00DE413D">
              <w:rPr>
                <w:color w:val="000000"/>
                <w:szCs w:val="22"/>
              </w:rPr>
              <w:t xml:space="preserve"> Mt CO</w:t>
            </w:r>
            <w:r w:rsidR="00E668CC" w:rsidRPr="00DE413D">
              <w:rPr>
                <w:color w:val="000000"/>
                <w:szCs w:val="22"/>
                <w:vertAlign w:val="subscript"/>
              </w:rPr>
              <w:t>2</w:t>
            </w:r>
            <w:r w:rsidR="00E668CC" w:rsidRPr="00DE413D">
              <w:rPr>
                <w:color w:val="000000"/>
                <w:szCs w:val="22"/>
              </w:rPr>
              <w:t>e</w:t>
            </w:r>
          </w:p>
        </w:tc>
        <w:tc>
          <w:tcPr>
            <w:tcW w:w="2064" w:type="dxa"/>
            <w:vAlign w:val="center"/>
          </w:tcPr>
          <w:p w14:paraId="389E24FF" w14:textId="5869F1F6" w:rsidR="00C029D0" w:rsidRPr="00DE413D" w:rsidRDefault="006510C2" w:rsidP="00AA25C0">
            <w:pPr>
              <w:spacing w:before="60" w:after="60"/>
              <w:jc w:val="center"/>
              <w:rPr>
                <w:szCs w:val="22"/>
              </w:rPr>
            </w:pPr>
            <w:r>
              <w:rPr>
                <w:szCs w:val="22"/>
              </w:rPr>
              <w:t xml:space="preserve">NA </w:t>
            </w:r>
            <w:r w:rsidRPr="006510C2">
              <w:rPr>
                <w:szCs w:val="22"/>
                <w:vertAlign w:val="superscript"/>
              </w:rPr>
              <w:t>(3)</w:t>
            </w:r>
          </w:p>
        </w:tc>
      </w:tr>
      <w:tr w:rsidR="00C029D0" w14:paraId="3C93BAD1" w14:textId="77777777" w:rsidTr="00D8549E">
        <w:trPr>
          <w:trHeight w:val="567"/>
        </w:trPr>
        <w:tc>
          <w:tcPr>
            <w:tcW w:w="3308" w:type="dxa"/>
            <w:vAlign w:val="center"/>
          </w:tcPr>
          <w:p w14:paraId="2134B4B8" w14:textId="769B8D29" w:rsidR="00C029D0" w:rsidRPr="00DE413D" w:rsidRDefault="00C029D0" w:rsidP="00AA25C0">
            <w:pPr>
              <w:spacing w:before="60" w:after="60"/>
              <w:jc w:val="left"/>
              <w:rPr>
                <w:szCs w:val="22"/>
              </w:rPr>
            </w:pPr>
            <w:r w:rsidRPr="00DE413D">
              <w:rPr>
                <w:color w:val="000000"/>
                <w:szCs w:val="22"/>
              </w:rPr>
              <w:t>Annual GHG direct emissions (SGG)</w:t>
            </w:r>
          </w:p>
        </w:tc>
        <w:tc>
          <w:tcPr>
            <w:tcW w:w="2066" w:type="dxa"/>
            <w:vAlign w:val="center"/>
          </w:tcPr>
          <w:p w14:paraId="7E05C058" w14:textId="24A9E865" w:rsidR="00C029D0" w:rsidRPr="00DE413D" w:rsidRDefault="00C029D0" w:rsidP="00AA25C0">
            <w:pPr>
              <w:spacing w:before="60" w:after="60"/>
              <w:jc w:val="center"/>
              <w:rPr>
                <w:szCs w:val="22"/>
              </w:rPr>
            </w:pPr>
            <w:r w:rsidRPr="00DE413D">
              <w:rPr>
                <w:color w:val="000000"/>
                <w:szCs w:val="22"/>
              </w:rPr>
              <w:t>1.59 Mt CO</w:t>
            </w:r>
            <w:r w:rsidRPr="00DE413D">
              <w:rPr>
                <w:color w:val="000000"/>
                <w:szCs w:val="22"/>
                <w:vertAlign w:val="subscript"/>
              </w:rPr>
              <w:t>2</w:t>
            </w:r>
            <w:r w:rsidRPr="00DE413D">
              <w:rPr>
                <w:color w:val="000000"/>
                <w:szCs w:val="22"/>
              </w:rPr>
              <w:t>e</w:t>
            </w:r>
          </w:p>
        </w:tc>
        <w:tc>
          <w:tcPr>
            <w:tcW w:w="2054" w:type="dxa"/>
            <w:vAlign w:val="center"/>
          </w:tcPr>
          <w:p w14:paraId="3DB0F771" w14:textId="36B1F77B" w:rsidR="00C029D0" w:rsidRPr="00DE413D" w:rsidRDefault="004B63D9" w:rsidP="00AA25C0">
            <w:pPr>
              <w:spacing w:before="60" w:after="60"/>
              <w:jc w:val="center"/>
              <w:rPr>
                <w:szCs w:val="22"/>
              </w:rPr>
            </w:pPr>
            <w:r w:rsidRPr="00DE413D">
              <w:rPr>
                <w:color w:val="000000"/>
                <w:szCs w:val="22"/>
              </w:rPr>
              <w:t>2.</w:t>
            </w:r>
            <w:r w:rsidR="00D91165">
              <w:rPr>
                <w:color w:val="000000"/>
                <w:szCs w:val="22"/>
              </w:rPr>
              <w:t>79</w:t>
            </w:r>
            <w:r w:rsidRPr="00DE413D">
              <w:rPr>
                <w:color w:val="000000"/>
                <w:szCs w:val="22"/>
              </w:rPr>
              <w:t xml:space="preserve"> Mt CO</w:t>
            </w:r>
            <w:r w:rsidRPr="00DE413D">
              <w:rPr>
                <w:color w:val="000000"/>
                <w:szCs w:val="22"/>
                <w:vertAlign w:val="subscript"/>
              </w:rPr>
              <w:t>2</w:t>
            </w:r>
            <w:r w:rsidRPr="00DE413D">
              <w:rPr>
                <w:color w:val="000000"/>
                <w:szCs w:val="22"/>
              </w:rPr>
              <w:t>e</w:t>
            </w:r>
          </w:p>
        </w:tc>
        <w:tc>
          <w:tcPr>
            <w:tcW w:w="2064" w:type="dxa"/>
            <w:vAlign w:val="center"/>
          </w:tcPr>
          <w:p w14:paraId="49116D1D" w14:textId="6A658593" w:rsidR="00C029D0" w:rsidRPr="00DE413D" w:rsidRDefault="006510C2" w:rsidP="00AA25C0">
            <w:pPr>
              <w:spacing w:before="60" w:after="60"/>
              <w:jc w:val="center"/>
              <w:rPr>
                <w:szCs w:val="22"/>
              </w:rPr>
            </w:pPr>
            <w:r>
              <w:rPr>
                <w:szCs w:val="22"/>
              </w:rPr>
              <w:t xml:space="preserve">NA </w:t>
            </w:r>
            <w:r w:rsidRPr="006510C2">
              <w:rPr>
                <w:szCs w:val="22"/>
                <w:vertAlign w:val="superscript"/>
              </w:rPr>
              <w:t>(3)</w:t>
            </w:r>
          </w:p>
        </w:tc>
      </w:tr>
      <w:tr w:rsidR="00C029D0" w14:paraId="1684DA6E" w14:textId="77777777" w:rsidTr="00D8549E">
        <w:trPr>
          <w:trHeight w:val="567"/>
        </w:trPr>
        <w:tc>
          <w:tcPr>
            <w:tcW w:w="3308" w:type="dxa"/>
            <w:vAlign w:val="center"/>
          </w:tcPr>
          <w:p w14:paraId="0A72B022" w14:textId="553BEA62" w:rsidR="00C029D0" w:rsidRPr="00DE413D" w:rsidRDefault="00C029D0" w:rsidP="00AA25C0">
            <w:pPr>
              <w:spacing w:before="60" w:after="60"/>
              <w:jc w:val="left"/>
              <w:rPr>
                <w:szCs w:val="22"/>
              </w:rPr>
            </w:pPr>
            <w:r w:rsidRPr="00DE413D">
              <w:rPr>
                <w:color w:val="000000"/>
                <w:szCs w:val="22"/>
              </w:rPr>
              <w:t>Share of HVAC&amp;R direct emissions</w:t>
            </w:r>
          </w:p>
        </w:tc>
        <w:tc>
          <w:tcPr>
            <w:tcW w:w="2066" w:type="dxa"/>
            <w:vAlign w:val="center"/>
          </w:tcPr>
          <w:p w14:paraId="6CDBB169" w14:textId="3839A3BF" w:rsidR="00C029D0" w:rsidRPr="00DE413D" w:rsidRDefault="00C029D0" w:rsidP="00AA25C0">
            <w:pPr>
              <w:spacing w:before="60" w:after="60"/>
              <w:jc w:val="center"/>
              <w:rPr>
                <w:szCs w:val="22"/>
              </w:rPr>
            </w:pPr>
            <w:r w:rsidRPr="00DE413D">
              <w:rPr>
                <w:color w:val="000000"/>
                <w:szCs w:val="22"/>
              </w:rPr>
              <w:t>24%</w:t>
            </w:r>
          </w:p>
        </w:tc>
        <w:tc>
          <w:tcPr>
            <w:tcW w:w="2054" w:type="dxa"/>
            <w:vAlign w:val="center"/>
          </w:tcPr>
          <w:p w14:paraId="4331F7AA" w14:textId="34EB6A41" w:rsidR="00C029D0" w:rsidRPr="00DE413D" w:rsidRDefault="004B63D9" w:rsidP="00AA25C0">
            <w:pPr>
              <w:spacing w:before="60" w:after="60"/>
              <w:jc w:val="center"/>
              <w:rPr>
                <w:szCs w:val="22"/>
              </w:rPr>
            </w:pPr>
            <w:r w:rsidRPr="00DE413D">
              <w:rPr>
                <w:szCs w:val="22"/>
              </w:rPr>
              <w:t>4</w:t>
            </w:r>
            <w:r w:rsidR="008D1119">
              <w:rPr>
                <w:szCs w:val="22"/>
              </w:rPr>
              <w:t>6</w:t>
            </w:r>
            <w:r w:rsidRPr="00DE413D">
              <w:rPr>
                <w:szCs w:val="22"/>
              </w:rPr>
              <w:t>%</w:t>
            </w:r>
          </w:p>
        </w:tc>
        <w:tc>
          <w:tcPr>
            <w:tcW w:w="2064" w:type="dxa"/>
            <w:vAlign w:val="center"/>
          </w:tcPr>
          <w:p w14:paraId="6EF70B99" w14:textId="5D8F74DD" w:rsidR="00C029D0" w:rsidRPr="00DE413D" w:rsidRDefault="006510C2" w:rsidP="00AA25C0">
            <w:pPr>
              <w:spacing w:before="60" w:after="60"/>
              <w:jc w:val="center"/>
              <w:rPr>
                <w:szCs w:val="22"/>
              </w:rPr>
            </w:pPr>
            <w:r>
              <w:rPr>
                <w:szCs w:val="22"/>
              </w:rPr>
              <w:t xml:space="preserve">NA </w:t>
            </w:r>
            <w:r w:rsidRPr="006510C2">
              <w:rPr>
                <w:szCs w:val="22"/>
                <w:vertAlign w:val="superscript"/>
              </w:rPr>
              <w:t>(3)</w:t>
            </w:r>
          </w:p>
        </w:tc>
      </w:tr>
      <w:tr w:rsidR="00C029D0" w14:paraId="14C2E60C" w14:textId="77777777" w:rsidTr="00D8549E">
        <w:trPr>
          <w:trHeight w:val="567"/>
        </w:trPr>
        <w:tc>
          <w:tcPr>
            <w:tcW w:w="3308" w:type="dxa"/>
            <w:vAlign w:val="center"/>
          </w:tcPr>
          <w:p w14:paraId="01BC6C88" w14:textId="5BAD642F" w:rsidR="00C029D0" w:rsidRPr="00DE413D" w:rsidRDefault="00C029D0" w:rsidP="00C029D0">
            <w:pPr>
              <w:spacing w:before="60" w:after="60"/>
              <w:jc w:val="left"/>
              <w:rPr>
                <w:szCs w:val="22"/>
              </w:rPr>
            </w:pPr>
            <w:r w:rsidRPr="00DE413D">
              <w:rPr>
                <w:color w:val="000000"/>
                <w:szCs w:val="22"/>
              </w:rPr>
              <w:t xml:space="preserve">Share of HVAC&amp;R total emissions                                                 (direct and indirect, not including </w:t>
            </w:r>
            <w:r w:rsidR="005C5275" w:rsidRPr="00DE413D">
              <w:rPr>
                <w:color w:val="000000"/>
                <w:szCs w:val="22"/>
              </w:rPr>
              <w:t>EOL</w:t>
            </w:r>
            <w:r w:rsidRPr="00DE413D">
              <w:rPr>
                <w:color w:val="000000"/>
                <w:szCs w:val="22"/>
              </w:rPr>
              <w:t>)</w:t>
            </w:r>
          </w:p>
        </w:tc>
        <w:tc>
          <w:tcPr>
            <w:tcW w:w="2066" w:type="dxa"/>
            <w:vAlign w:val="center"/>
          </w:tcPr>
          <w:p w14:paraId="349C4438" w14:textId="6EC608FC" w:rsidR="00C029D0" w:rsidRPr="00DE413D" w:rsidRDefault="00C029D0" w:rsidP="00AA25C0">
            <w:pPr>
              <w:spacing w:before="60" w:after="60"/>
              <w:jc w:val="center"/>
              <w:rPr>
                <w:szCs w:val="22"/>
              </w:rPr>
            </w:pPr>
            <w:r w:rsidRPr="00DE413D">
              <w:rPr>
                <w:color w:val="000000"/>
                <w:szCs w:val="22"/>
              </w:rPr>
              <w:t>24%</w:t>
            </w:r>
          </w:p>
        </w:tc>
        <w:tc>
          <w:tcPr>
            <w:tcW w:w="2054" w:type="dxa"/>
            <w:vAlign w:val="center"/>
          </w:tcPr>
          <w:p w14:paraId="69F1F5A1" w14:textId="25C351CA" w:rsidR="00C029D0" w:rsidRPr="00DE413D" w:rsidRDefault="004B63D9" w:rsidP="00AA25C0">
            <w:pPr>
              <w:spacing w:before="60" w:after="60"/>
              <w:jc w:val="center"/>
              <w:rPr>
                <w:szCs w:val="22"/>
              </w:rPr>
            </w:pPr>
            <w:r w:rsidRPr="00DE413D">
              <w:rPr>
                <w:szCs w:val="22"/>
              </w:rPr>
              <w:t>31%</w:t>
            </w:r>
          </w:p>
        </w:tc>
        <w:tc>
          <w:tcPr>
            <w:tcW w:w="2064" w:type="dxa"/>
            <w:vAlign w:val="center"/>
          </w:tcPr>
          <w:p w14:paraId="026917CE" w14:textId="3B44A1FB" w:rsidR="00C029D0" w:rsidRPr="00DE413D" w:rsidRDefault="006510C2" w:rsidP="00AA25C0">
            <w:pPr>
              <w:spacing w:before="60" w:after="60"/>
              <w:jc w:val="center"/>
              <w:rPr>
                <w:szCs w:val="22"/>
              </w:rPr>
            </w:pPr>
            <w:r>
              <w:rPr>
                <w:szCs w:val="22"/>
              </w:rPr>
              <w:t xml:space="preserve">NA </w:t>
            </w:r>
            <w:r w:rsidRPr="006510C2">
              <w:rPr>
                <w:szCs w:val="22"/>
                <w:vertAlign w:val="superscript"/>
              </w:rPr>
              <w:t>(3)</w:t>
            </w:r>
          </w:p>
        </w:tc>
      </w:tr>
    </w:tbl>
    <w:p w14:paraId="39C55A05" w14:textId="39F27706" w:rsidR="00C029D0" w:rsidRPr="00116557" w:rsidRDefault="00C029D0" w:rsidP="00C029D0">
      <w:pPr>
        <w:spacing w:before="0"/>
        <w:rPr>
          <w:sz w:val="20"/>
          <w:szCs w:val="20"/>
        </w:rPr>
      </w:pPr>
      <w:r w:rsidRPr="00E668CC">
        <w:rPr>
          <w:sz w:val="20"/>
          <w:szCs w:val="20"/>
        </w:rPr>
        <w:t xml:space="preserve">(Sources: </w:t>
      </w:r>
      <w:r w:rsidR="00E668CC" w:rsidRPr="00E668CC">
        <w:rPr>
          <w:sz w:val="20"/>
          <w:szCs w:val="20"/>
        </w:rPr>
        <w:t xml:space="preserve">A2EP 2017, AACS 2015, AMSA 2017, DoEE 2017a, DoEE 2013, MC 2017, </w:t>
      </w:r>
      <w:r w:rsidRPr="00E668CC">
        <w:rPr>
          <w:sz w:val="20"/>
          <w:szCs w:val="20"/>
        </w:rPr>
        <w:t xml:space="preserve">WF </w:t>
      </w:r>
      <w:r w:rsidR="00E668CC" w:rsidRPr="00E668CC">
        <w:rPr>
          <w:sz w:val="20"/>
          <w:szCs w:val="20"/>
        </w:rPr>
        <w:t>2017a</w:t>
      </w:r>
      <w:r w:rsidRPr="00E668CC">
        <w:rPr>
          <w:sz w:val="20"/>
          <w:szCs w:val="20"/>
        </w:rPr>
        <w:t xml:space="preserve">, </w:t>
      </w:r>
      <w:r w:rsidR="00E668CC" w:rsidRPr="00E668CC">
        <w:rPr>
          <w:sz w:val="20"/>
          <w:szCs w:val="20"/>
        </w:rPr>
        <w:t xml:space="preserve">WF 2017b, </w:t>
      </w:r>
      <w:r w:rsidRPr="00E668CC">
        <w:rPr>
          <w:sz w:val="20"/>
          <w:szCs w:val="20"/>
        </w:rPr>
        <w:t>WOW 201</w:t>
      </w:r>
      <w:r w:rsidR="000B4DE9" w:rsidRPr="00E668CC">
        <w:rPr>
          <w:sz w:val="20"/>
          <w:szCs w:val="20"/>
        </w:rPr>
        <w:t>7a</w:t>
      </w:r>
      <w:r w:rsidRPr="00E668CC">
        <w:rPr>
          <w:sz w:val="20"/>
          <w:szCs w:val="20"/>
        </w:rPr>
        <w:t xml:space="preserve">, </w:t>
      </w:r>
      <w:r w:rsidR="000B4DE9" w:rsidRPr="00E668CC">
        <w:rPr>
          <w:sz w:val="20"/>
          <w:szCs w:val="20"/>
        </w:rPr>
        <w:t xml:space="preserve">WOW 2017b, </w:t>
      </w:r>
      <w:r w:rsidRPr="00E668CC">
        <w:rPr>
          <w:sz w:val="20"/>
          <w:szCs w:val="20"/>
        </w:rPr>
        <w:t>and industry informants)</w:t>
      </w:r>
    </w:p>
    <w:p w14:paraId="36F080DF" w14:textId="77777777" w:rsidR="00601F8A" w:rsidRPr="00FB55D1" w:rsidRDefault="00601F8A" w:rsidP="00601F8A">
      <w:pPr>
        <w:snapToGrid w:val="0"/>
        <w:spacing w:before="60"/>
        <w:jc w:val="left"/>
        <w:rPr>
          <w:rFonts w:cs="Times New Roman"/>
          <w:sz w:val="20"/>
          <w:szCs w:val="20"/>
        </w:rPr>
      </w:pPr>
      <w:r w:rsidRPr="00FB55D1">
        <w:rPr>
          <w:rFonts w:cs="Times New Roman"/>
          <w:sz w:val="20"/>
          <w:szCs w:val="20"/>
        </w:rPr>
        <w:t>Notes:</w:t>
      </w:r>
    </w:p>
    <w:p w14:paraId="438CB9B0" w14:textId="012E715D" w:rsidR="00601F8A" w:rsidRDefault="00601F8A" w:rsidP="00FC735C">
      <w:pPr>
        <w:pStyle w:val="ListParagraph"/>
        <w:numPr>
          <w:ilvl w:val="0"/>
          <w:numId w:val="56"/>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Emissions of ODS </w:t>
      </w:r>
      <w:r w:rsidRPr="000045FC">
        <w:rPr>
          <w:rFonts w:ascii="Times New Roman" w:hAnsi="Times New Roman"/>
          <w:sz w:val="20"/>
          <w:szCs w:val="20"/>
        </w:rPr>
        <w:t>are not counted as part of the GHGs reported under the Kyoto Protocol or United Nations Convention on Climate Change, as they managed through the Montreal Protocol.</w:t>
      </w:r>
    </w:p>
    <w:p w14:paraId="6DBFB4C1" w14:textId="2A29FEB3" w:rsidR="006F263E" w:rsidRDefault="006F263E" w:rsidP="00FC735C">
      <w:pPr>
        <w:pStyle w:val="ListParagraph"/>
        <w:numPr>
          <w:ilvl w:val="0"/>
          <w:numId w:val="56"/>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The average over the last three years was </w:t>
      </w:r>
      <w:r w:rsidRPr="006F263E">
        <w:rPr>
          <w:rFonts w:ascii="Times New Roman" w:hAnsi="Times New Roman"/>
          <w:sz w:val="20"/>
          <w:szCs w:val="20"/>
        </w:rPr>
        <w:t>709 tonnes</w:t>
      </w:r>
      <w:r>
        <w:rPr>
          <w:rFonts w:ascii="Times New Roman" w:hAnsi="Times New Roman"/>
          <w:sz w:val="20"/>
          <w:szCs w:val="20"/>
        </w:rPr>
        <w:t>, therefore the trend versus 2012 is more likely +15%.</w:t>
      </w:r>
    </w:p>
    <w:p w14:paraId="281CDDBD" w14:textId="5CD884F6" w:rsidR="006510C2" w:rsidRDefault="006510C2" w:rsidP="00FC735C">
      <w:pPr>
        <w:pStyle w:val="ListParagraph"/>
        <w:numPr>
          <w:ilvl w:val="0"/>
          <w:numId w:val="56"/>
        </w:numPr>
        <w:spacing w:before="60" w:after="60" w:line="240" w:lineRule="auto"/>
        <w:contextualSpacing w:val="0"/>
        <w:jc w:val="both"/>
        <w:rPr>
          <w:rFonts w:ascii="Times New Roman" w:hAnsi="Times New Roman"/>
          <w:sz w:val="20"/>
          <w:szCs w:val="20"/>
        </w:rPr>
      </w:pPr>
      <w:r>
        <w:rPr>
          <w:rFonts w:ascii="Times New Roman" w:hAnsi="Times New Roman"/>
          <w:sz w:val="20"/>
          <w:szCs w:val="20"/>
        </w:rPr>
        <w:t>The direct emissions in 2012 cannot be directly compared to 2016 as CHF2 is an assessment of a full bank and CHF3 is an assessment of a partially full bank.</w:t>
      </w:r>
    </w:p>
    <w:p w14:paraId="7971AA87" w14:textId="0C8BF652" w:rsidR="0014510E" w:rsidRPr="0014510E" w:rsidRDefault="0014510E" w:rsidP="0014510E">
      <w:pPr>
        <w:pStyle w:val="ListParagraph"/>
        <w:numPr>
          <w:ilvl w:val="0"/>
          <w:numId w:val="56"/>
        </w:numPr>
        <w:snapToGrid w:val="0"/>
        <w:spacing w:before="60" w:after="0" w:line="240" w:lineRule="auto"/>
        <w:contextualSpacing w:val="0"/>
        <w:jc w:val="both"/>
        <w:rPr>
          <w:rFonts w:ascii="Times New Roman" w:hAnsi="Times New Roman"/>
          <w:sz w:val="20"/>
          <w:szCs w:val="20"/>
          <w:lang w:val="en-AU"/>
        </w:rPr>
      </w:pPr>
      <w:r w:rsidRPr="0014510E">
        <w:rPr>
          <w:rFonts w:ascii="Times New Roman" w:hAnsi="Times New Roman"/>
          <w:sz w:val="20"/>
          <w:szCs w:val="20"/>
          <w:lang w:val="en-AU"/>
        </w:rPr>
        <w:t xml:space="preserve">In many instances the CHF2 2012 stock value has been revised based on improved information. For example, the stock of self-contained refrigeration display cabinets reported in CHF2 was estimated as 447,000. Improved data from the Regulatory Impact Statement on Refrigerated Display and Storage Cabinets increased the stock value to 578,000. This revised value is listed under the CHF3 2012 column. The change per cent compares the CHF3 2012 revised value with the CHF3 2016 estimate. </w:t>
      </w:r>
    </w:p>
    <w:p w14:paraId="546F606C" w14:textId="77777777" w:rsidR="00AA25C0" w:rsidRPr="00AA25C0" w:rsidRDefault="00AA25C0" w:rsidP="002B6D25">
      <w:pPr>
        <w:spacing w:before="0"/>
        <w:jc w:val="left"/>
        <w:rPr>
          <w:rFonts w:eastAsia="Times New Roman" w:cs="Times New Roman"/>
          <w:bCs/>
          <w:iCs/>
          <w:szCs w:val="22"/>
          <w:lang w:val="en-US"/>
        </w:rPr>
      </w:pPr>
    </w:p>
    <w:p w14:paraId="3D74306B" w14:textId="2D7244B3" w:rsidR="00014D67" w:rsidRDefault="00014D67">
      <w:pPr>
        <w:spacing w:before="0"/>
        <w:jc w:val="left"/>
        <w:rPr>
          <w:rFonts w:cs="Times New Roman"/>
          <w:szCs w:val="22"/>
        </w:rPr>
      </w:pPr>
      <w:r>
        <w:rPr>
          <w:rFonts w:cs="Times New Roman"/>
          <w:szCs w:val="22"/>
        </w:rPr>
        <w:br w:type="page"/>
      </w:r>
    </w:p>
    <w:p w14:paraId="22028238" w14:textId="77777777" w:rsidR="00014D67" w:rsidRPr="00F82605" w:rsidRDefault="00014D67" w:rsidP="00A90441">
      <w:pPr>
        <w:pStyle w:val="Heading2"/>
      </w:pPr>
      <w:bookmarkStart w:id="53" w:name="_Toc494190154"/>
      <w:bookmarkStart w:id="54" w:name="_Toc525141270"/>
      <w:r>
        <w:t>Domestic r</w:t>
      </w:r>
      <w:r w:rsidRPr="00A85138">
        <w:t>efrigerat</w:t>
      </w:r>
      <w:r>
        <w:t>ion</w:t>
      </w:r>
      <w:bookmarkEnd w:id="53"/>
      <w:bookmarkEnd w:id="54"/>
    </w:p>
    <w:p w14:paraId="426353F3" w14:textId="77777777" w:rsidR="00D74084" w:rsidRDefault="004D766E" w:rsidP="00014D67">
      <w:pPr>
        <w:rPr>
          <w:szCs w:val="22"/>
        </w:rPr>
      </w:pPr>
      <w:r>
        <w:rPr>
          <w:szCs w:val="22"/>
        </w:rPr>
        <w:t>Modern d</w:t>
      </w:r>
      <w:r w:rsidR="00014D67" w:rsidRPr="00EB4751">
        <w:rPr>
          <w:szCs w:val="22"/>
        </w:rPr>
        <w:t>omestic refrigeration and freezers are highly refined</w:t>
      </w:r>
      <w:r>
        <w:rPr>
          <w:szCs w:val="22"/>
        </w:rPr>
        <w:t xml:space="preserve"> designs, benefitting from decades of engineering and operational data</w:t>
      </w:r>
      <w:r w:rsidR="00014D67" w:rsidRPr="00EB4751">
        <w:rPr>
          <w:szCs w:val="22"/>
        </w:rPr>
        <w:t xml:space="preserve">, </w:t>
      </w:r>
      <w:r>
        <w:rPr>
          <w:szCs w:val="22"/>
        </w:rPr>
        <w:t xml:space="preserve">are very </w:t>
      </w:r>
      <w:r w:rsidR="00014D67" w:rsidRPr="00EB4751">
        <w:rPr>
          <w:szCs w:val="22"/>
        </w:rPr>
        <w:t xml:space="preserve">reliable and generally very efficient devices </w:t>
      </w:r>
      <w:r w:rsidR="00014D67">
        <w:rPr>
          <w:szCs w:val="22"/>
        </w:rPr>
        <w:t xml:space="preserve">that are </w:t>
      </w:r>
      <w:r w:rsidR="00014D67" w:rsidRPr="00EB4751">
        <w:rPr>
          <w:szCs w:val="22"/>
        </w:rPr>
        <w:t>the necessary end po</w:t>
      </w:r>
      <w:r w:rsidR="00014D67">
        <w:rPr>
          <w:szCs w:val="22"/>
        </w:rPr>
        <w:t xml:space="preserve">int of the cold food chain. </w:t>
      </w:r>
    </w:p>
    <w:p w14:paraId="554A733D" w14:textId="42F815A6" w:rsidR="00014D67" w:rsidRDefault="00014D67" w:rsidP="00014D67">
      <w:pPr>
        <w:rPr>
          <w:szCs w:val="22"/>
        </w:rPr>
      </w:pPr>
      <w:r>
        <w:rPr>
          <w:szCs w:val="22"/>
        </w:rPr>
        <w:t xml:space="preserve">This class of equipment includes both larger </w:t>
      </w:r>
      <w:r w:rsidR="0061313E">
        <w:rPr>
          <w:szCs w:val="22"/>
        </w:rPr>
        <w:t xml:space="preserve">refrigerators </w:t>
      </w:r>
      <w:r>
        <w:rPr>
          <w:szCs w:val="22"/>
        </w:rPr>
        <w:t>and freezers found in every kitchen, plus a growing number of portable and vehicle refrigeration systems that are used in caravans, trucks, and as camping systems that can run on low voltage automotive power feeds.</w:t>
      </w:r>
    </w:p>
    <w:p w14:paraId="2433BD49" w14:textId="77777777" w:rsidR="00014D67" w:rsidRPr="00621489" w:rsidRDefault="00014D67" w:rsidP="00014D67">
      <w:pPr>
        <w:rPr>
          <w:szCs w:val="22"/>
        </w:rPr>
      </w:pPr>
      <w:r w:rsidRPr="00621489">
        <w:rPr>
          <w:szCs w:val="22"/>
        </w:rPr>
        <w:t>Typical storage volumes can range from 20 litre portable refrigerators, to large 850 litre units with ice and beverage dispensing features. The average size of the domestic fridg</w:t>
      </w:r>
      <w:r>
        <w:rPr>
          <w:szCs w:val="22"/>
        </w:rPr>
        <w:t>e-freezer is increasing, as are the number of</w:t>
      </w:r>
      <w:r w:rsidRPr="00621489">
        <w:rPr>
          <w:szCs w:val="22"/>
        </w:rPr>
        <w:t xml:space="preserve"> machines with beverage dispensing capability</w:t>
      </w:r>
      <w:r>
        <w:rPr>
          <w:szCs w:val="22"/>
        </w:rPr>
        <w:t>, although these more expensive devices still</w:t>
      </w:r>
      <w:r w:rsidRPr="00621489">
        <w:rPr>
          <w:szCs w:val="22"/>
        </w:rPr>
        <w:t xml:space="preserve"> only represent a </w:t>
      </w:r>
      <w:r>
        <w:rPr>
          <w:szCs w:val="22"/>
        </w:rPr>
        <w:t xml:space="preserve">relatively </w:t>
      </w:r>
      <w:r w:rsidRPr="00621489">
        <w:rPr>
          <w:szCs w:val="22"/>
        </w:rPr>
        <w:t xml:space="preserve">small fraction of existing stock. </w:t>
      </w:r>
    </w:p>
    <w:p w14:paraId="6FF14FFD" w14:textId="02A5027E" w:rsidR="00014D67" w:rsidRDefault="00014D67" w:rsidP="00014D67">
      <w:pPr>
        <w:rPr>
          <w:szCs w:val="22"/>
        </w:rPr>
      </w:pPr>
      <w:r w:rsidRPr="00621489">
        <w:rPr>
          <w:szCs w:val="22"/>
        </w:rPr>
        <w:t>A typical product contains a factory-assembled, hermetically sealed, vapour-compression refrigeration system with refrigerant charges ranging from less than 50 grams to more than 200 grams</w:t>
      </w:r>
      <w:r w:rsidR="008F4393">
        <w:rPr>
          <w:rStyle w:val="FootnoteReference"/>
          <w:szCs w:val="22"/>
        </w:rPr>
        <w:footnoteReference w:id="36"/>
      </w:r>
      <w:r w:rsidRPr="00621489">
        <w:rPr>
          <w:szCs w:val="22"/>
        </w:rPr>
        <w:t xml:space="preserve">, and </w:t>
      </w:r>
      <w:r w:rsidR="00FB52CB">
        <w:rPr>
          <w:szCs w:val="22"/>
        </w:rPr>
        <w:t xml:space="preserve">charges </w:t>
      </w:r>
      <w:r w:rsidRPr="00621489">
        <w:rPr>
          <w:szCs w:val="22"/>
        </w:rPr>
        <w:t>around 40</w:t>
      </w:r>
      <w:r w:rsidR="00C9319D">
        <w:rPr>
          <w:szCs w:val="22"/>
        </w:rPr>
        <w:t>%</w:t>
      </w:r>
      <w:r w:rsidRPr="00621489">
        <w:rPr>
          <w:szCs w:val="22"/>
        </w:rPr>
        <w:t xml:space="preserve"> less if charged with hydrocarbons. Portable systems and passenger vehicle refrigerators include 240VAC/12VDC chest style fridge-freezers through to freestanding upright products suitable for caravans, camper trailers, </w:t>
      </w:r>
      <w:r>
        <w:rPr>
          <w:szCs w:val="22"/>
        </w:rPr>
        <w:t xml:space="preserve">motor homes, boats, buses, four </w:t>
      </w:r>
      <w:r w:rsidRPr="00621489">
        <w:rPr>
          <w:szCs w:val="22"/>
        </w:rPr>
        <w:t>wheel drives, etc.</w:t>
      </w:r>
    </w:p>
    <w:p w14:paraId="3824BFF2" w14:textId="77777777" w:rsidR="008E638B" w:rsidRPr="00621489" w:rsidRDefault="008E638B" w:rsidP="00014D67">
      <w:pPr>
        <w:rPr>
          <w:szCs w:val="22"/>
        </w:rPr>
      </w:pPr>
    </w:p>
    <w:p w14:paraId="35B7FB88" w14:textId="743A71D6" w:rsidR="00A90441" w:rsidRPr="008E638B" w:rsidRDefault="008E638B" w:rsidP="008E638B">
      <w:pPr>
        <w:pStyle w:val="Caption"/>
        <w:keepNext/>
        <w:rPr>
          <w:szCs w:val="22"/>
        </w:rPr>
      </w:pPr>
      <w:bookmarkStart w:id="55" w:name="_Toc525141405"/>
      <w:r w:rsidRPr="008E638B">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16</w:t>
      </w:r>
      <w:r w:rsidR="009D6843">
        <w:rPr>
          <w:noProof/>
        </w:rPr>
        <w:fldChar w:fldCharType="end"/>
      </w:r>
      <w:r w:rsidRPr="008E638B">
        <w:t xml:space="preserve">: </w:t>
      </w:r>
      <w:r w:rsidR="00B450D5" w:rsidRPr="008E638B">
        <w:rPr>
          <w:szCs w:val="22"/>
        </w:rPr>
        <w:t>Domestic refrigeration taxonomy</w:t>
      </w:r>
      <w:r w:rsidR="00A90441" w:rsidRPr="008E638B">
        <w:rPr>
          <w:szCs w:val="22"/>
        </w:rPr>
        <w:t>.</w:t>
      </w:r>
      <w:bookmarkEnd w:id="55"/>
    </w:p>
    <w:tbl>
      <w:tblPr>
        <w:tblStyle w:val="TableGrid"/>
        <w:tblW w:w="0" w:type="auto"/>
        <w:tblInd w:w="-5" w:type="dxa"/>
        <w:tblLook w:val="04A0" w:firstRow="1" w:lastRow="0" w:firstColumn="1" w:lastColumn="0" w:noHBand="0" w:noVBand="1"/>
      </w:tblPr>
      <w:tblGrid>
        <w:gridCol w:w="973"/>
        <w:gridCol w:w="1407"/>
        <w:gridCol w:w="2989"/>
        <w:gridCol w:w="1249"/>
        <w:gridCol w:w="2874"/>
      </w:tblGrid>
      <w:tr w:rsidR="00A90441" w14:paraId="2CEFB613" w14:textId="77777777" w:rsidTr="00D6002F">
        <w:trPr>
          <w:trHeight w:val="680"/>
        </w:trPr>
        <w:tc>
          <w:tcPr>
            <w:tcW w:w="9492" w:type="dxa"/>
            <w:gridSpan w:val="5"/>
            <w:shd w:val="clear" w:color="auto" w:fill="B6DDE8" w:themeFill="accent5" w:themeFillTint="66"/>
            <w:vAlign w:val="center"/>
          </w:tcPr>
          <w:p w14:paraId="6E3972A2" w14:textId="7C367344" w:rsidR="00A90441" w:rsidRPr="00B137CC" w:rsidRDefault="00A90441" w:rsidP="00D374E7">
            <w:pPr>
              <w:spacing w:after="120"/>
              <w:jc w:val="center"/>
              <w:rPr>
                <w:color w:val="000000" w:themeColor="text1"/>
              </w:rPr>
            </w:pPr>
            <w:r w:rsidRPr="00A90441">
              <w:rPr>
                <w:color w:val="000000" w:themeColor="text1"/>
              </w:rPr>
              <w:t>DOMESTIC REFRIGERATION</w:t>
            </w:r>
          </w:p>
        </w:tc>
      </w:tr>
      <w:tr w:rsidR="00A90441" w14:paraId="79087F5B" w14:textId="77777777" w:rsidTr="00D6002F">
        <w:tc>
          <w:tcPr>
            <w:tcW w:w="973" w:type="dxa"/>
            <w:tcBorders>
              <w:bottom w:val="single" w:sz="4" w:space="0" w:color="000000"/>
            </w:tcBorders>
            <w:shd w:val="clear" w:color="auto" w:fill="B6DDE8" w:themeFill="accent5" w:themeFillTint="66"/>
            <w:vAlign w:val="center"/>
          </w:tcPr>
          <w:p w14:paraId="0328CF3F" w14:textId="77777777" w:rsidR="00A90441" w:rsidRPr="00B137CC" w:rsidRDefault="00A90441" w:rsidP="00D374E7">
            <w:pPr>
              <w:spacing w:before="60" w:after="60"/>
              <w:jc w:val="center"/>
              <w:rPr>
                <w:color w:val="000000" w:themeColor="text1"/>
              </w:rPr>
            </w:pPr>
            <w:r w:rsidRPr="00B137CC">
              <w:rPr>
                <w:color w:val="000000" w:themeColor="text1"/>
              </w:rPr>
              <w:t>Item no</w:t>
            </w:r>
          </w:p>
        </w:tc>
        <w:tc>
          <w:tcPr>
            <w:tcW w:w="1407" w:type="dxa"/>
            <w:tcBorders>
              <w:bottom w:val="single" w:sz="4" w:space="0" w:color="000000"/>
            </w:tcBorders>
            <w:shd w:val="clear" w:color="auto" w:fill="B6DDE8" w:themeFill="accent5" w:themeFillTint="66"/>
            <w:vAlign w:val="center"/>
          </w:tcPr>
          <w:p w14:paraId="4FA35D48" w14:textId="77777777" w:rsidR="00A90441" w:rsidRPr="00B137CC" w:rsidRDefault="00A90441" w:rsidP="00D374E7">
            <w:pPr>
              <w:spacing w:before="60" w:after="60"/>
              <w:jc w:val="center"/>
              <w:rPr>
                <w:color w:val="000000" w:themeColor="text1"/>
              </w:rPr>
            </w:pPr>
            <w:r w:rsidRPr="00B137CC">
              <w:rPr>
                <w:color w:val="000000" w:themeColor="text1"/>
              </w:rPr>
              <w:t>Segment</w:t>
            </w:r>
          </w:p>
        </w:tc>
        <w:tc>
          <w:tcPr>
            <w:tcW w:w="2989" w:type="dxa"/>
            <w:tcBorders>
              <w:bottom w:val="single" w:sz="4" w:space="0" w:color="000000"/>
            </w:tcBorders>
            <w:shd w:val="clear" w:color="auto" w:fill="B6DDE8" w:themeFill="accent5" w:themeFillTint="66"/>
            <w:vAlign w:val="center"/>
          </w:tcPr>
          <w:p w14:paraId="493E723E" w14:textId="77777777" w:rsidR="00A90441" w:rsidRPr="00B137CC" w:rsidRDefault="00A90441" w:rsidP="00B450D5">
            <w:pPr>
              <w:spacing w:before="60" w:after="60"/>
              <w:jc w:val="left"/>
              <w:rPr>
                <w:color w:val="000000" w:themeColor="text1"/>
              </w:rPr>
            </w:pPr>
            <w:r w:rsidRPr="00B137CC">
              <w:rPr>
                <w:color w:val="000000" w:themeColor="text1"/>
              </w:rPr>
              <w:t>Application</w:t>
            </w:r>
          </w:p>
        </w:tc>
        <w:tc>
          <w:tcPr>
            <w:tcW w:w="1249" w:type="dxa"/>
            <w:tcBorders>
              <w:bottom w:val="single" w:sz="4" w:space="0" w:color="000000"/>
            </w:tcBorders>
            <w:shd w:val="clear" w:color="auto" w:fill="B6DDE8" w:themeFill="accent5" w:themeFillTint="66"/>
            <w:vAlign w:val="center"/>
          </w:tcPr>
          <w:p w14:paraId="7BB19241" w14:textId="4986A9C1" w:rsidR="00A90441" w:rsidRPr="00B137CC" w:rsidRDefault="00A90441" w:rsidP="00F863A5">
            <w:pPr>
              <w:spacing w:before="60" w:after="60"/>
              <w:jc w:val="center"/>
              <w:rPr>
                <w:color w:val="000000" w:themeColor="text1"/>
              </w:rPr>
            </w:pPr>
            <w:r w:rsidRPr="00B137CC">
              <w:rPr>
                <w:color w:val="000000" w:themeColor="text1"/>
              </w:rPr>
              <w:t xml:space="preserve">Category </w:t>
            </w:r>
            <w:r w:rsidR="00F863A5">
              <w:rPr>
                <w:color w:val="000000" w:themeColor="text1"/>
              </w:rPr>
              <w:t>c</w:t>
            </w:r>
            <w:r w:rsidRPr="00B137CC">
              <w:rPr>
                <w:color w:val="000000" w:themeColor="text1"/>
              </w:rPr>
              <w:t>ode</w:t>
            </w:r>
          </w:p>
        </w:tc>
        <w:tc>
          <w:tcPr>
            <w:tcW w:w="2874" w:type="dxa"/>
            <w:tcBorders>
              <w:bottom w:val="single" w:sz="4" w:space="0" w:color="000000"/>
            </w:tcBorders>
            <w:shd w:val="clear" w:color="auto" w:fill="B6DDE8" w:themeFill="accent5" w:themeFillTint="66"/>
            <w:vAlign w:val="center"/>
          </w:tcPr>
          <w:p w14:paraId="6644D0BB" w14:textId="77777777" w:rsidR="00A90441" w:rsidRPr="00B137CC" w:rsidRDefault="00A90441" w:rsidP="00B450D5">
            <w:pPr>
              <w:spacing w:before="60" w:after="60"/>
              <w:jc w:val="left"/>
              <w:rPr>
                <w:color w:val="000000" w:themeColor="text1"/>
              </w:rPr>
            </w:pPr>
            <w:r w:rsidRPr="00B137CC">
              <w:rPr>
                <w:color w:val="000000" w:themeColor="text1"/>
              </w:rPr>
              <w:t>Product category</w:t>
            </w:r>
          </w:p>
        </w:tc>
      </w:tr>
      <w:tr w:rsidR="003D3336" w14:paraId="1CFF753B" w14:textId="77777777" w:rsidTr="00D8549E">
        <w:trPr>
          <w:cantSplit/>
          <w:trHeight w:val="624"/>
        </w:trPr>
        <w:tc>
          <w:tcPr>
            <w:tcW w:w="973" w:type="dxa"/>
            <w:shd w:val="clear" w:color="auto" w:fill="auto"/>
            <w:vAlign w:val="center"/>
          </w:tcPr>
          <w:p w14:paraId="560AB5B3" w14:textId="722C16F3" w:rsidR="003D3336" w:rsidRPr="00B137CC" w:rsidRDefault="003D3336" w:rsidP="003D3336">
            <w:pPr>
              <w:spacing w:before="60" w:after="60"/>
              <w:jc w:val="center"/>
            </w:pPr>
            <w:r>
              <w:rPr>
                <w:color w:val="000000"/>
                <w:szCs w:val="22"/>
              </w:rPr>
              <w:t>56</w:t>
            </w:r>
          </w:p>
        </w:tc>
        <w:tc>
          <w:tcPr>
            <w:tcW w:w="1407" w:type="dxa"/>
            <w:vMerge w:val="restart"/>
            <w:shd w:val="clear" w:color="auto" w:fill="auto"/>
            <w:textDirection w:val="btLr"/>
            <w:vAlign w:val="center"/>
          </w:tcPr>
          <w:p w14:paraId="73E986BD" w14:textId="540BC7B3" w:rsidR="003D3336" w:rsidRPr="00B137CC" w:rsidRDefault="003D3336" w:rsidP="003D3336">
            <w:pPr>
              <w:jc w:val="center"/>
            </w:pPr>
            <w:r>
              <w:rPr>
                <w:color w:val="000000"/>
                <w:szCs w:val="22"/>
              </w:rPr>
              <w:t>DR1: Domestic refrig &amp; freezers</w:t>
            </w:r>
          </w:p>
        </w:tc>
        <w:tc>
          <w:tcPr>
            <w:tcW w:w="2989" w:type="dxa"/>
            <w:shd w:val="clear" w:color="auto" w:fill="auto"/>
            <w:vAlign w:val="center"/>
          </w:tcPr>
          <w:p w14:paraId="60E30462" w14:textId="5CDDF97E" w:rsidR="003D3336" w:rsidRPr="00B137CC" w:rsidRDefault="003D3336" w:rsidP="003D3336">
            <w:pPr>
              <w:spacing w:before="60" w:after="60"/>
              <w:jc w:val="left"/>
            </w:pPr>
            <w:r>
              <w:rPr>
                <w:color w:val="000000"/>
                <w:szCs w:val="22"/>
              </w:rPr>
              <w:t>Refrigerators and freezers</w:t>
            </w:r>
          </w:p>
        </w:tc>
        <w:tc>
          <w:tcPr>
            <w:tcW w:w="1249" w:type="dxa"/>
            <w:shd w:val="clear" w:color="auto" w:fill="auto"/>
            <w:vAlign w:val="center"/>
          </w:tcPr>
          <w:p w14:paraId="002C0A08" w14:textId="1D7A4824" w:rsidR="003D3336" w:rsidRPr="00B137CC" w:rsidRDefault="003D3336" w:rsidP="003D3336">
            <w:pPr>
              <w:spacing w:before="60" w:after="60"/>
              <w:jc w:val="center"/>
            </w:pPr>
            <w:r>
              <w:rPr>
                <w:color w:val="000000"/>
                <w:szCs w:val="22"/>
              </w:rPr>
              <w:t>DR1-1</w:t>
            </w:r>
          </w:p>
        </w:tc>
        <w:tc>
          <w:tcPr>
            <w:tcW w:w="2874" w:type="dxa"/>
            <w:shd w:val="clear" w:color="auto" w:fill="auto"/>
            <w:vAlign w:val="center"/>
          </w:tcPr>
          <w:p w14:paraId="348993FF" w14:textId="772E3E3A" w:rsidR="003D3336" w:rsidRPr="00B137CC" w:rsidRDefault="003D3336" w:rsidP="003D3336">
            <w:pPr>
              <w:spacing w:before="60" w:after="60"/>
              <w:jc w:val="left"/>
            </w:pPr>
            <w:r>
              <w:rPr>
                <w:color w:val="000000"/>
                <w:szCs w:val="22"/>
              </w:rPr>
              <w:t>Domestic refrigerators</w:t>
            </w:r>
          </w:p>
        </w:tc>
      </w:tr>
      <w:tr w:rsidR="003D3336" w14:paraId="3C815C6F" w14:textId="77777777" w:rsidTr="00D8549E">
        <w:trPr>
          <w:cantSplit/>
          <w:trHeight w:val="624"/>
        </w:trPr>
        <w:tc>
          <w:tcPr>
            <w:tcW w:w="973" w:type="dxa"/>
            <w:shd w:val="clear" w:color="auto" w:fill="auto"/>
            <w:vAlign w:val="center"/>
          </w:tcPr>
          <w:p w14:paraId="0F412743" w14:textId="6B34593E" w:rsidR="003D3336" w:rsidRPr="00B137CC" w:rsidRDefault="003D3336" w:rsidP="003D3336">
            <w:pPr>
              <w:spacing w:before="60" w:after="60"/>
              <w:jc w:val="center"/>
              <w:rPr>
                <w:color w:val="000000"/>
              </w:rPr>
            </w:pPr>
            <w:r>
              <w:rPr>
                <w:color w:val="000000"/>
                <w:szCs w:val="22"/>
              </w:rPr>
              <w:t>57</w:t>
            </w:r>
          </w:p>
        </w:tc>
        <w:tc>
          <w:tcPr>
            <w:tcW w:w="1407" w:type="dxa"/>
            <w:vMerge/>
            <w:shd w:val="clear" w:color="auto" w:fill="auto"/>
            <w:vAlign w:val="center"/>
          </w:tcPr>
          <w:p w14:paraId="518BEC1D" w14:textId="77777777" w:rsidR="003D3336" w:rsidRPr="00B137CC" w:rsidRDefault="003D3336" w:rsidP="003D3336">
            <w:pPr>
              <w:jc w:val="center"/>
            </w:pPr>
          </w:p>
        </w:tc>
        <w:tc>
          <w:tcPr>
            <w:tcW w:w="2989" w:type="dxa"/>
            <w:shd w:val="clear" w:color="auto" w:fill="auto"/>
            <w:vAlign w:val="center"/>
          </w:tcPr>
          <w:p w14:paraId="7FEDE5E7" w14:textId="44163D44" w:rsidR="003D3336" w:rsidRPr="00B137CC" w:rsidRDefault="003D3336" w:rsidP="003D3336">
            <w:pPr>
              <w:spacing w:before="60" w:after="60"/>
              <w:jc w:val="left"/>
              <w:rPr>
                <w:color w:val="000000"/>
              </w:rPr>
            </w:pPr>
            <w:r>
              <w:rPr>
                <w:color w:val="000000"/>
                <w:szCs w:val="22"/>
              </w:rPr>
              <w:t>Refrigerators and freezers</w:t>
            </w:r>
          </w:p>
        </w:tc>
        <w:tc>
          <w:tcPr>
            <w:tcW w:w="1249" w:type="dxa"/>
            <w:shd w:val="clear" w:color="auto" w:fill="auto"/>
            <w:vAlign w:val="center"/>
          </w:tcPr>
          <w:p w14:paraId="6499D929" w14:textId="24393FD5" w:rsidR="003D3336" w:rsidRPr="00B137CC" w:rsidRDefault="003D3336" w:rsidP="003D3336">
            <w:pPr>
              <w:spacing w:before="60" w:after="60"/>
              <w:jc w:val="center"/>
              <w:rPr>
                <w:color w:val="000000"/>
              </w:rPr>
            </w:pPr>
            <w:r>
              <w:rPr>
                <w:color w:val="000000"/>
                <w:szCs w:val="22"/>
              </w:rPr>
              <w:t>DR1-2</w:t>
            </w:r>
          </w:p>
        </w:tc>
        <w:tc>
          <w:tcPr>
            <w:tcW w:w="2874" w:type="dxa"/>
            <w:shd w:val="clear" w:color="auto" w:fill="auto"/>
            <w:vAlign w:val="center"/>
          </w:tcPr>
          <w:p w14:paraId="7D2CD8AD" w14:textId="435297F5" w:rsidR="003D3336" w:rsidRPr="00B137CC" w:rsidRDefault="003D3336" w:rsidP="003D3336">
            <w:pPr>
              <w:spacing w:before="60" w:after="60"/>
              <w:jc w:val="left"/>
              <w:rPr>
                <w:color w:val="000000"/>
              </w:rPr>
            </w:pPr>
            <w:r>
              <w:rPr>
                <w:color w:val="000000"/>
                <w:szCs w:val="22"/>
              </w:rPr>
              <w:t>Domestic freezers</w:t>
            </w:r>
          </w:p>
        </w:tc>
      </w:tr>
      <w:tr w:rsidR="003D3336" w14:paraId="36458EA5" w14:textId="77777777" w:rsidTr="00D8549E">
        <w:trPr>
          <w:cantSplit/>
          <w:trHeight w:val="624"/>
        </w:trPr>
        <w:tc>
          <w:tcPr>
            <w:tcW w:w="973" w:type="dxa"/>
            <w:shd w:val="clear" w:color="auto" w:fill="auto"/>
            <w:vAlign w:val="center"/>
          </w:tcPr>
          <w:p w14:paraId="49C3E444" w14:textId="75130D88" w:rsidR="003D3336" w:rsidRPr="00B137CC" w:rsidRDefault="003D3336" w:rsidP="003D3336">
            <w:pPr>
              <w:spacing w:before="60" w:after="60"/>
              <w:jc w:val="center"/>
              <w:rPr>
                <w:color w:val="000000"/>
              </w:rPr>
            </w:pPr>
            <w:r>
              <w:rPr>
                <w:color w:val="000000"/>
                <w:szCs w:val="22"/>
              </w:rPr>
              <w:t>58</w:t>
            </w:r>
          </w:p>
        </w:tc>
        <w:tc>
          <w:tcPr>
            <w:tcW w:w="1407" w:type="dxa"/>
            <w:vMerge w:val="restart"/>
            <w:shd w:val="clear" w:color="auto" w:fill="auto"/>
            <w:textDirection w:val="btLr"/>
            <w:vAlign w:val="center"/>
          </w:tcPr>
          <w:p w14:paraId="7B18EBA7" w14:textId="62F90F2B" w:rsidR="003D3336" w:rsidRPr="002B7286" w:rsidRDefault="003D3336" w:rsidP="003D3336">
            <w:pPr>
              <w:spacing w:before="60" w:after="60"/>
              <w:jc w:val="center"/>
              <w:rPr>
                <w:color w:val="000000"/>
                <w:szCs w:val="22"/>
              </w:rPr>
            </w:pPr>
            <w:r>
              <w:rPr>
                <w:color w:val="000000"/>
                <w:szCs w:val="22"/>
              </w:rPr>
              <w:t>DR2: Portable refrigerators</w:t>
            </w:r>
          </w:p>
        </w:tc>
        <w:tc>
          <w:tcPr>
            <w:tcW w:w="2989" w:type="dxa"/>
            <w:shd w:val="clear" w:color="auto" w:fill="auto"/>
            <w:vAlign w:val="center"/>
          </w:tcPr>
          <w:p w14:paraId="0615558A" w14:textId="529C7A14" w:rsidR="003D3336" w:rsidRPr="00B137CC" w:rsidRDefault="003D3336" w:rsidP="003D3336">
            <w:pPr>
              <w:spacing w:before="60" w:after="60"/>
              <w:jc w:val="left"/>
              <w:rPr>
                <w:color w:val="000000"/>
              </w:rPr>
            </w:pPr>
            <w:r>
              <w:rPr>
                <w:color w:val="000000"/>
                <w:szCs w:val="22"/>
              </w:rPr>
              <w:t>Portable and vehicle refrigeration</w:t>
            </w:r>
          </w:p>
        </w:tc>
        <w:tc>
          <w:tcPr>
            <w:tcW w:w="1249" w:type="dxa"/>
            <w:shd w:val="clear" w:color="auto" w:fill="auto"/>
            <w:vAlign w:val="center"/>
          </w:tcPr>
          <w:p w14:paraId="7B7F49F3" w14:textId="58043691" w:rsidR="003D3336" w:rsidRPr="00B137CC" w:rsidRDefault="003D3336" w:rsidP="003D3336">
            <w:pPr>
              <w:spacing w:before="60" w:after="60"/>
              <w:jc w:val="center"/>
              <w:rPr>
                <w:color w:val="000000"/>
              </w:rPr>
            </w:pPr>
            <w:r>
              <w:rPr>
                <w:color w:val="000000"/>
                <w:szCs w:val="22"/>
              </w:rPr>
              <w:t>DR2-1</w:t>
            </w:r>
          </w:p>
        </w:tc>
        <w:tc>
          <w:tcPr>
            <w:tcW w:w="2874" w:type="dxa"/>
            <w:shd w:val="clear" w:color="auto" w:fill="auto"/>
            <w:vAlign w:val="center"/>
          </w:tcPr>
          <w:p w14:paraId="5D44DFAB" w14:textId="626AA037" w:rsidR="003D3336" w:rsidRPr="00B137CC" w:rsidRDefault="003D3336" w:rsidP="003D3336">
            <w:pPr>
              <w:spacing w:before="60" w:after="60"/>
              <w:jc w:val="left"/>
              <w:rPr>
                <w:color w:val="000000"/>
              </w:rPr>
            </w:pPr>
            <w:r>
              <w:rPr>
                <w:color w:val="000000"/>
                <w:szCs w:val="22"/>
              </w:rPr>
              <w:t>Portable refrigeration</w:t>
            </w:r>
          </w:p>
        </w:tc>
      </w:tr>
      <w:tr w:rsidR="003D3336" w14:paraId="591340B8" w14:textId="77777777" w:rsidTr="00D8549E">
        <w:trPr>
          <w:cantSplit/>
          <w:trHeight w:val="624"/>
        </w:trPr>
        <w:tc>
          <w:tcPr>
            <w:tcW w:w="973" w:type="dxa"/>
            <w:shd w:val="clear" w:color="auto" w:fill="auto"/>
            <w:vAlign w:val="center"/>
          </w:tcPr>
          <w:p w14:paraId="257E1C85" w14:textId="17C8E08F" w:rsidR="003D3336" w:rsidRPr="00B137CC" w:rsidRDefault="003D3336" w:rsidP="003D3336">
            <w:pPr>
              <w:spacing w:before="60" w:after="60"/>
              <w:jc w:val="center"/>
              <w:rPr>
                <w:color w:val="000000"/>
              </w:rPr>
            </w:pPr>
            <w:r>
              <w:rPr>
                <w:color w:val="000000"/>
                <w:szCs w:val="22"/>
              </w:rPr>
              <w:t>59</w:t>
            </w:r>
          </w:p>
        </w:tc>
        <w:tc>
          <w:tcPr>
            <w:tcW w:w="1407" w:type="dxa"/>
            <w:vMerge/>
            <w:shd w:val="clear" w:color="auto" w:fill="auto"/>
            <w:textDirection w:val="btLr"/>
            <w:vAlign w:val="center"/>
          </w:tcPr>
          <w:p w14:paraId="7218E637" w14:textId="77777777" w:rsidR="003D3336" w:rsidRPr="00B137CC" w:rsidRDefault="003D3336" w:rsidP="003D3336">
            <w:pPr>
              <w:jc w:val="center"/>
            </w:pPr>
          </w:p>
        </w:tc>
        <w:tc>
          <w:tcPr>
            <w:tcW w:w="2989" w:type="dxa"/>
            <w:shd w:val="clear" w:color="auto" w:fill="auto"/>
            <w:vAlign w:val="center"/>
          </w:tcPr>
          <w:p w14:paraId="4044CC42" w14:textId="4C9E594E" w:rsidR="003D3336" w:rsidRPr="00B137CC" w:rsidRDefault="003D3336" w:rsidP="003D3336">
            <w:pPr>
              <w:spacing w:before="60" w:after="60"/>
              <w:jc w:val="left"/>
              <w:rPr>
                <w:color w:val="000000"/>
              </w:rPr>
            </w:pPr>
            <w:r>
              <w:rPr>
                <w:color w:val="000000"/>
                <w:szCs w:val="22"/>
              </w:rPr>
              <w:t>Portable and vehicle refrigeration</w:t>
            </w:r>
          </w:p>
        </w:tc>
        <w:tc>
          <w:tcPr>
            <w:tcW w:w="1249" w:type="dxa"/>
            <w:shd w:val="clear" w:color="auto" w:fill="auto"/>
            <w:vAlign w:val="center"/>
          </w:tcPr>
          <w:p w14:paraId="2A5CD89E" w14:textId="0CC22733" w:rsidR="003D3336" w:rsidRPr="00B137CC" w:rsidRDefault="003D3336" w:rsidP="003D3336">
            <w:pPr>
              <w:spacing w:before="60" w:after="60"/>
              <w:jc w:val="center"/>
              <w:rPr>
                <w:color w:val="000000"/>
              </w:rPr>
            </w:pPr>
            <w:r>
              <w:rPr>
                <w:color w:val="000000"/>
                <w:szCs w:val="22"/>
              </w:rPr>
              <w:t>DR2-2</w:t>
            </w:r>
          </w:p>
        </w:tc>
        <w:tc>
          <w:tcPr>
            <w:tcW w:w="2874" w:type="dxa"/>
            <w:shd w:val="clear" w:color="auto" w:fill="auto"/>
            <w:vAlign w:val="center"/>
          </w:tcPr>
          <w:p w14:paraId="46EEFAAB" w14:textId="694C9F96" w:rsidR="003D3336" w:rsidRPr="00B137CC" w:rsidRDefault="003D3336" w:rsidP="003D3336">
            <w:pPr>
              <w:spacing w:before="60" w:after="60"/>
              <w:jc w:val="left"/>
              <w:rPr>
                <w:color w:val="000000"/>
              </w:rPr>
            </w:pPr>
            <w:r>
              <w:rPr>
                <w:color w:val="000000"/>
                <w:szCs w:val="22"/>
              </w:rPr>
              <w:t>Vehicle refrigeration</w:t>
            </w:r>
          </w:p>
        </w:tc>
      </w:tr>
    </w:tbl>
    <w:p w14:paraId="0AEABC5C" w14:textId="77777777" w:rsidR="00B450D5" w:rsidRDefault="00B450D5" w:rsidP="00014D67">
      <w:pPr>
        <w:rPr>
          <w:szCs w:val="22"/>
        </w:rPr>
      </w:pPr>
    </w:p>
    <w:p w14:paraId="522C285E" w14:textId="50B179DA" w:rsidR="00014D67" w:rsidRDefault="00014D67" w:rsidP="00F661F5">
      <w:pPr>
        <w:rPr>
          <w:szCs w:val="22"/>
        </w:rPr>
      </w:pPr>
      <w:r>
        <w:rPr>
          <w:szCs w:val="22"/>
        </w:rPr>
        <w:t>As the end point of</w:t>
      </w:r>
      <w:r w:rsidRPr="00EB4751">
        <w:rPr>
          <w:szCs w:val="22"/>
        </w:rPr>
        <w:t xml:space="preserve"> the refrigerated cold food chain, domestic refrigeration and freezers provide </w:t>
      </w:r>
      <w:r w:rsidRPr="00EC0E17">
        <w:rPr>
          <w:szCs w:val="22"/>
        </w:rPr>
        <w:t>labour saving and economic benefit</w:t>
      </w:r>
      <w:r>
        <w:rPr>
          <w:szCs w:val="22"/>
        </w:rPr>
        <w:t xml:space="preserve"> for consumers. It has often been observed that when communities first get electricity one of the most prized possessions</w:t>
      </w:r>
      <w:r w:rsidR="00506617">
        <w:rPr>
          <w:szCs w:val="22"/>
        </w:rPr>
        <w:t xml:space="preserve"> </w:t>
      </w:r>
      <w:r>
        <w:rPr>
          <w:szCs w:val="22"/>
        </w:rPr>
        <w:t>is a refrigerator, no matter how small. Refrigeration delivers the immediate benefit of being able to preserve both fresh and cooked food, saving enormous amounts of time and labour when several days food for the household can be gathered, purchased or cooked in one effort, and then stored for consumption on later days.</w:t>
      </w:r>
    </w:p>
    <w:p w14:paraId="03157A8A" w14:textId="656F4C9A" w:rsidR="00014D67" w:rsidRDefault="00014D67" w:rsidP="00F661F5">
      <w:pPr>
        <w:rPr>
          <w:szCs w:val="22"/>
        </w:rPr>
      </w:pPr>
      <w:r>
        <w:rPr>
          <w:szCs w:val="22"/>
        </w:rPr>
        <w:t xml:space="preserve">While the entire class of self-contained, non-display, refrigeration and freezers are categorised as ‘domestic’ appliances in the </w:t>
      </w:r>
      <w:r w:rsidR="007A1335">
        <w:rPr>
          <w:szCs w:val="22"/>
        </w:rPr>
        <w:t>CHF3 RAC Stock model</w:t>
      </w:r>
      <w:r>
        <w:rPr>
          <w:szCs w:val="22"/>
        </w:rPr>
        <w:t xml:space="preserve">, there are of course large numbers of these appliances used in hotel rooms, office buildings, staff kitchens, behind the scenes in the commercial kitchens of restaurants and takeaways and in other non-residential situations. </w:t>
      </w:r>
    </w:p>
    <w:p w14:paraId="6A0AB22F" w14:textId="439C88C2" w:rsidR="00014D67" w:rsidRDefault="00014D67" w:rsidP="00F661F5">
      <w:pPr>
        <w:rPr>
          <w:szCs w:val="22"/>
        </w:rPr>
      </w:pPr>
      <w:r>
        <w:rPr>
          <w:szCs w:val="22"/>
        </w:rPr>
        <w:t xml:space="preserve">After decades of steady improvements in the energy efficiency of domestic appliances, a phenomenon driven almost entirely by </w:t>
      </w:r>
      <w:r w:rsidR="00FE74F2">
        <w:rPr>
          <w:szCs w:val="22"/>
        </w:rPr>
        <w:t>international</w:t>
      </w:r>
      <w:r w:rsidR="00B03574">
        <w:rPr>
          <w:szCs w:val="22"/>
        </w:rPr>
        <w:t xml:space="preserve"> and Australian </w:t>
      </w:r>
      <w:r>
        <w:rPr>
          <w:szCs w:val="22"/>
        </w:rPr>
        <w:t xml:space="preserve">regulatory requirements, it is possible that in developed economies overall energy efficiency in the newest models is plateauing. ‘Features’ such as ‘ice dispensers’ and chilled water or beverage dispensers have become more common. Many top end models now incorporate external touch screen display controls and connectivity with the internet, requiring </w:t>
      </w:r>
      <w:r w:rsidR="009F5EAE">
        <w:rPr>
          <w:szCs w:val="22"/>
        </w:rPr>
        <w:t>Wi-Fi</w:t>
      </w:r>
      <w:r>
        <w:rPr>
          <w:szCs w:val="22"/>
        </w:rPr>
        <w:t xml:space="preserve"> connections, which all adds to increased energy use, while not contributing directly to the essential cooling services.</w:t>
      </w:r>
    </w:p>
    <w:p w14:paraId="37629BCE" w14:textId="0F5D4D14" w:rsidR="00014D67" w:rsidRDefault="00014D67" w:rsidP="00F661F5">
      <w:pPr>
        <w:rPr>
          <w:szCs w:val="22"/>
        </w:rPr>
      </w:pPr>
      <w:r w:rsidRPr="00621489">
        <w:rPr>
          <w:szCs w:val="22"/>
        </w:rPr>
        <w:t>Domestic refrigeration in Australia (including domestic freezers and small portable refrigerators</w:t>
      </w:r>
      <w:r>
        <w:rPr>
          <w:szCs w:val="22"/>
        </w:rPr>
        <w:t>)</w:t>
      </w:r>
      <w:r w:rsidRPr="00621489">
        <w:rPr>
          <w:szCs w:val="22"/>
        </w:rPr>
        <w:t xml:space="preserve"> is estimated to contain approximately</w:t>
      </w:r>
      <w:r>
        <w:rPr>
          <w:szCs w:val="22"/>
        </w:rPr>
        <w:t xml:space="preserve"> </w:t>
      </w:r>
      <w:r w:rsidR="00370DA5">
        <w:rPr>
          <w:szCs w:val="22"/>
        </w:rPr>
        <w:t>1,900</w:t>
      </w:r>
      <w:r>
        <w:rPr>
          <w:szCs w:val="22"/>
        </w:rPr>
        <w:t xml:space="preserve"> tonnes of </w:t>
      </w:r>
      <w:r w:rsidR="00E8666A">
        <w:rPr>
          <w:szCs w:val="22"/>
        </w:rPr>
        <w:t xml:space="preserve">HFC-134a and 380 tonnes of HC </w:t>
      </w:r>
      <w:r>
        <w:rPr>
          <w:szCs w:val="22"/>
        </w:rPr>
        <w:t>refrigerant, equal to approximately</w:t>
      </w:r>
      <w:r w:rsidRPr="00621489">
        <w:rPr>
          <w:szCs w:val="22"/>
        </w:rPr>
        <w:t xml:space="preserve"> </w:t>
      </w:r>
      <w:r w:rsidR="00E8666A" w:rsidRPr="00E8666A">
        <w:rPr>
          <w:szCs w:val="22"/>
        </w:rPr>
        <w:t>4</w:t>
      </w:r>
      <w:r w:rsidR="00C9319D" w:rsidRPr="00E8666A">
        <w:rPr>
          <w:szCs w:val="22"/>
        </w:rPr>
        <w:t>%</w:t>
      </w:r>
      <w:r w:rsidRPr="00E8666A">
        <w:rPr>
          <w:szCs w:val="22"/>
        </w:rPr>
        <w:t xml:space="preserve"> o</w:t>
      </w:r>
      <w:r w:rsidRPr="00406FCD">
        <w:rPr>
          <w:szCs w:val="22"/>
        </w:rPr>
        <w:t>f the total refrigerant bank (</w:t>
      </w:r>
      <w:r w:rsidRPr="00406FCD">
        <w:rPr>
          <w:i/>
          <w:szCs w:val="22"/>
        </w:rPr>
        <w:t>CHF2 5.4%, 2,200 tonnes</w:t>
      </w:r>
      <w:r w:rsidRPr="00333C8E">
        <w:rPr>
          <w:szCs w:val="22"/>
        </w:rPr>
        <w:t>)</w:t>
      </w:r>
      <w:r>
        <w:rPr>
          <w:szCs w:val="22"/>
        </w:rPr>
        <w:t xml:space="preserve"> in a</w:t>
      </w:r>
      <w:r w:rsidRPr="00406FCD">
        <w:rPr>
          <w:szCs w:val="22"/>
        </w:rPr>
        <w:t xml:space="preserve"> total stock of greater</w:t>
      </w:r>
      <w:r>
        <w:rPr>
          <w:szCs w:val="22"/>
        </w:rPr>
        <w:t xml:space="preserve"> than </w:t>
      </w:r>
      <w:r w:rsidRPr="00FD0F55">
        <w:rPr>
          <w:szCs w:val="22"/>
        </w:rPr>
        <w:t>19.2 million devices</w:t>
      </w:r>
      <w:r>
        <w:rPr>
          <w:rStyle w:val="FootnoteReference"/>
          <w:szCs w:val="22"/>
        </w:rPr>
        <w:footnoteReference w:id="37"/>
      </w:r>
      <w:r w:rsidRPr="00406FCD">
        <w:rPr>
          <w:szCs w:val="22"/>
        </w:rPr>
        <w:t xml:space="preserve"> (</w:t>
      </w:r>
      <w:r w:rsidRPr="00406FCD">
        <w:rPr>
          <w:i/>
          <w:szCs w:val="22"/>
        </w:rPr>
        <w:t>CHF2, 17.1 million</w:t>
      </w:r>
      <w:r w:rsidRPr="00406FCD">
        <w:rPr>
          <w:szCs w:val="22"/>
        </w:rPr>
        <w:t>)</w:t>
      </w:r>
      <w:r>
        <w:rPr>
          <w:szCs w:val="22"/>
        </w:rPr>
        <w:t xml:space="preserve">. </w:t>
      </w:r>
    </w:p>
    <w:p w14:paraId="5CFFF970" w14:textId="619BD763" w:rsidR="00014D67" w:rsidRDefault="00014D67" w:rsidP="00F661F5">
      <w:pPr>
        <w:rPr>
          <w:szCs w:val="22"/>
        </w:rPr>
      </w:pPr>
      <w:r>
        <w:rPr>
          <w:szCs w:val="22"/>
        </w:rPr>
        <w:t>Domestic refrigeration in Australia was estimated to have consumed 8,</w:t>
      </w:r>
      <w:r w:rsidR="008E192F">
        <w:rPr>
          <w:szCs w:val="22"/>
        </w:rPr>
        <w:t>5</w:t>
      </w:r>
      <w:r w:rsidR="00F661F5">
        <w:rPr>
          <w:szCs w:val="22"/>
        </w:rPr>
        <w:t>34</w:t>
      </w:r>
      <w:r w:rsidRPr="00904533">
        <w:rPr>
          <w:szCs w:val="22"/>
        </w:rPr>
        <w:t xml:space="preserve"> GWh</w:t>
      </w:r>
      <w:r w:rsidRPr="00BE667F">
        <w:rPr>
          <w:szCs w:val="22"/>
        </w:rPr>
        <w:t xml:space="preserve"> </w:t>
      </w:r>
      <w:r>
        <w:rPr>
          <w:szCs w:val="22"/>
        </w:rPr>
        <w:t>of electricity in 2016 (</w:t>
      </w:r>
      <w:r w:rsidRPr="00893B1D">
        <w:rPr>
          <w:i/>
          <w:szCs w:val="22"/>
        </w:rPr>
        <w:t>CHF2, 7,374 GWh</w:t>
      </w:r>
      <w:r>
        <w:rPr>
          <w:szCs w:val="22"/>
        </w:rPr>
        <w:t>),</w:t>
      </w:r>
      <w:r w:rsidRPr="00BE667F">
        <w:rPr>
          <w:szCs w:val="22"/>
        </w:rPr>
        <w:t xml:space="preserve"> </w:t>
      </w:r>
      <w:r w:rsidR="00F661F5">
        <w:rPr>
          <w:szCs w:val="22"/>
        </w:rPr>
        <w:t xml:space="preserve">including electricity </w:t>
      </w:r>
      <w:r>
        <w:rPr>
          <w:szCs w:val="22"/>
        </w:rPr>
        <w:t xml:space="preserve">in </w:t>
      </w:r>
      <w:r w:rsidRPr="00BE667F">
        <w:rPr>
          <w:szCs w:val="22"/>
        </w:rPr>
        <w:t>portable appliances</w:t>
      </w:r>
      <w:r>
        <w:rPr>
          <w:szCs w:val="22"/>
        </w:rPr>
        <w:t>, although these devices are generally ‘off-grid’.</w:t>
      </w:r>
      <w:r w:rsidRPr="00325DD6">
        <w:rPr>
          <w:szCs w:val="22"/>
        </w:rPr>
        <w:t xml:space="preserve"> </w:t>
      </w:r>
    </w:p>
    <w:p w14:paraId="63112217" w14:textId="32A2E6AE" w:rsidR="00014D67" w:rsidRDefault="00014D67" w:rsidP="00F661F5">
      <w:pPr>
        <w:rPr>
          <w:szCs w:val="22"/>
        </w:rPr>
      </w:pPr>
      <w:r>
        <w:rPr>
          <w:szCs w:val="22"/>
        </w:rPr>
        <w:t xml:space="preserve">New sales of all types of domestic refrigerators and freezers in </w:t>
      </w:r>
      <w:r w:rsidRPr="006F1009">
        <w:rPr>
          <w:szCs w:val="22"/>
        </w:rPr>
        <w:t>2015 (the latest year for which data is available)</w:t>
      </w:r>
      <w:r>
        <w:rPr>
          <w:szCs w:val="22"/>
        </w:rPr>
        <w:t xml:space="preserve"> amounted to slightly more than 1.1</w:t>
      </w:r>
      <w:r w:rsidRPr="00621489">
        <w:rPr>
          <w:szCs w:val="22"/>
        </w:rPr>
        <w:t xml:space="preserve"> million devices</w:t>
      </w:r>
      <w:r>
        <w:rPr>
          <w:szCs w:val="22"/>
        </w:rPr>
        <w:t>,</w:t>
      </w:r>
      <w:r w:rsidR="004D766E">
        <w:rPr>
          <w:szCs w:val="22"/>
        </w:rPr>
        <w:t xml:space="preserve"> consistent with </w:t>
      </w:r>
      <w:r>
        <w:rPr>
          <w:szCs w:val="22"/>
        </w:rPr>
        <w:t xml:space="preserve">the average </w:t>
      </w:r>
      <w:r w:rsidRPr="00621489">
        <w:rPr>
          <w:szCs w:val="22"/>
        </w:rPr>
        <w:t xml:space="preserve">new sales </w:t>
      </w:r>
      <w:r>
        <w:rPr>
          <w:szCs w:val="22"/>
        </w:rPr>
        <w:t>of</w:t>
      </w:r>
      <w:r w:rsidRPr="00621489">
        <w:rPr>
          <w:szCs w:val="22"/>
        </w:rPr>
        <w:t xml:space="preserve"> 1.1 million devices </w:t>
      </w:r>
      <w:r>
        <w:rPr>
          <w:szCs w:val="22"/>
        </w:rPr>
        <w:t xml:space="preserve">that have been sold </w:t>
      </w:r>
      <w:r w:rsidRPr="00621489">
        <w:rPr>
          <w:szCs w:val="22"/>
        </w:rPr>
        <w:t>e</w:t>
      </w:r>
      <w:r>
        <w:rPr>
          <w:szCs w:val="22"/>
        </w:rPr>
        <w:t xml:space="preserve">very year for the past decade. </w:t>
      </w:r>
    </w:p>
    <w:p w14:paraId="2355B57B" w14:textId="1B53FC3C" w:rsidR="00014D67" w:rsidRPr="00621489" w:rsidRDefault="00014D67" w:rsidP="00F661F5">
      <w:pPr>
        <w:rPr>
          <w:szCs w:val="22"/>
        </w:rPr>
      </w:pPr>
      <w:r>
        <w:rPr>
          <w:szCs w:val="22"/>
        </w:rPr>
        <w:t xml:space="preserve">With an estimated </w:t>
      </w:r>
      <w:r w:rsidRPr="00722396">
        <w:rPr>
          <w:szCs w:val="22"/>
        </w:rPr>
        <w:t>900,000</w:t>
      </w:r>
      <w:r>
        <w:rPr>
          <w:szCs w:val="22"/>
        </w:rPr>
        <w:t xml:space="preserve"> domestic devices reaching the end of </w:t>
      </w:r>
      <w:r w:rsidR="0061313E">
        <w:rPr>
          <w:szCs w:val="22"/>
        </w:rPr>
        <w:t xml:space="preserve">their </w:t>
      </w:r>
      <w:r>
        <w:rPr>
          <w:szCs w:val="22"/>
        </w:rPr>
        <w:t xml:space="preserve">useful life in 2016, this stock of equipment is expected to continue to </w:t>
      </w:r>
      <w:r w:rsidRPr="00722396">
        <w:rPr>
          <w:szCs w:val="22"/>
        </w:rPr>
        <w:t>grow at around 1</w:t>
      </w:r>
      <w:r w:rsidR="00722396" w:rsidRPr="00722396">
        <w:rPr>
          <w:szCs w:val="22"/>
        </w:rPr>
        <w:t>.5</w:t>
      </w:r>
      <w:r w:rsidRPr="00722396">
        <w:rPr>
          <w:szCs w:val="22"/>
        </w:rPr>
        <w:t>% per</w:t>
      </w:r>
      <w:r>
        <w:rPr>
          <w:szCs w:val="22"/>
        </w:rPr>
        <w:t xml:space="preserve"> annum. </w:t>
      </w:r>
    </w:p>
    <w:p w14:paraId="2A200375" w14:textId="77777777" w:rsidR="00014D67" w:rsidRPr="00621489" w:rsidRDefault="00014D67" w:rsidP="00F661F5">
      <w:pPr>
        <w:rPr>
          <w:szCs w:val="22"/>
        </w:rPr>
      </w:pPr>
      <w:r w:rsidRPr="00621489">
        <w:rPr>
          <w:szCs w:val="22"/>
        </w:rPr>
        <w:t>Leak rates are very low for the majority of these tightly engineered and completely self-contained systems. The decades of product development and the huge volume</w:t>
      </w:r>
      <w:r>
        <w:rPr>
          <w:szCs w:val="22"/>
        </w:rPr>
        <w:t>s of these appliances that are</w:t>
      </w:r>
      <w:r w:rsidRPr="00621489">
        <w:rPr>
          <w:szCs w:val="22"/>
        </w:rPr>
        <w:t xml:space="preserve"> manufactur</w:t>
      </w:r>
      <w:r>
        <w:rPr>
          <w:szCs w:val="22"/>
        </w:rPr>
        <w:t>ed</w:t>
      </w:r>
      <w:r w:rsidRPr="00621489">
        <w:rPr>
          <w:szCs w:val="22"/>
        </w:rPr>
        <w:t xml:space="preserve"> have produced a class of equipment that is so reliable that most people never have to get one repaired. </w:t>
      </w:r>
    </w:p>
    <w:p w14:paraId="293155D4" w14:textId="684770C4" w:rsidR="00014D67" w:rsidRPr="00621489" w:rsidRDefault="00014D67" w:rsidP="00F661F5">
      <w:pPr>
        <w:rPr>
          <w:szCs w:val="22"/>
        </w:rPr>
      </w:pPr>
      <w:r>
        <w:rPr>
          <w:szCs w:val="22"/>
        </w:rPr>
        <w:t xml:space="preserve">This vast population of equipment, each with an average charge of around 140 grams of </w:t>
      </w:r>
      <w:r w:rsidR="00CE3FBE">
        <w:rPr>
          <w:szCs w:val="22"/>
        </w:rPr>
        <w:t xml:space="preserve">HFC-134a </w:t>
      </w:r>
      <w:r>
        <w:rPr>
          <w:szCs w:val="22"/>
        </w:rPr>
        <w:t>refrigerant</w:t>
      </w:r>
      <w:r w:rsidR="00CE3FBE">
        <w:rPr>
          <w:szCs w:val="22"/>
        </w:rPr>
        <w:t xml:space="preserve"> (55 grams of HC)</w:t>
      </w:r>
      <w:r>
        <w:rPr>
          <w:szCs w:val="22"/>
        </w:rPr>
        <w:t>, is estimated to have lost slightly less than</w:t>
      </w:r>
      <w:r w:rsidRPr="00406FCD">
        <w:rPr>
          <w:szCs w:val="22"/>
        </w:rPr>
        <w:t xml:space="preserve"> </w:t>
      </w:r>
      <w:r w:rsidR="00CE3FBE">
        <w:rPr>
          <w:szCs w:val="22"/>
        </w:rPr>
        <w:t>3</w:t>
      </w:r>
      <w:r>
        <w:rPr>
          <w:szCs w:val="22"/>
        </w:rPr>
        <w:t>4</w:t>
      </w:r>
      <w:r w:rsidRPr="00406FCD">
        <w:rPr>
          <w:szCs w:val="22"/>
        </w:rPr>
        <w:t xml:space="preserve"> tonnes </w:t>
      </w:r>
      <w:r>
        <w:rPr>
          <w:szCs w:val="22"/>
        </w:rPr>
        <w:t xml:space="preserve">of </w:t>
      </w:r>
      <w:r w:rsidR="00E476A8">
        <w:rPr>
          <w:szCs w:val="22"/>
        </w:rPr>
        <w:t>refrigerant</w:t>
      </w:r>
      <w:r>
        <w:rPr>
          <w:szCs w:val="22"/>
        </w:rPr>
        <w:t xml:space="preserve"> in 2016 from leaks</w:t>
      </w:r>
      <w:r w:rsidRPr="00406FCD">
        <w:rPr>
          <w:szCs w:val="22"/>
        </w:rPr>
        <w:t xml:space="preserve"> (</w:t>
      </w:r>
      <w:r w:rsidRPr="00406FCD">
        <w:rPr>
          <w:i/>
          <w:szCs w:val="22"/>
        </w:rPr>
        <w:t>CHF2 0.7%, ~22 tonnes</w:t>
      </w:r>
      <w:r w:rsidRPr="00406FCD">
        <w:rPr>
          <w:szCs w:val="22"/>
        </w:rPr>
        <w:t>)</w:t>
      </w:r>
      <w:r>
        <w:rPr>
          <w:szCs w:val="22"/>
        </w:rPr>
        <w:t xml:space="preserve">, or </w:t>
      </w:r>
      <w:r w:rsidRPr="00CE3FBE">
        <w:rPr>
          <w:szCs w:val="22"/>
        </w:rPr>
        <w:t xml:space="preserve">approximately </w:t>
      </w:r>
      <w:r w:rsidR="00CE3FBE" w:rsidRPr="00CE3FBE">
        <w:rPr>
          <w:szCs w:val="22"/>
        </w:rPr>
        <w:t>1</w:t>
      </w:r>
      <w:r w:rsidRPr="00CE3FBE">
        <w:rPr>
          <w:szCs w:val="22"/>
        </w:rPr>
        <w:t>% of all direct emissions of high GWP refrigerant in 2016.</w:t>
      </w:r>
    </w:p>
    <w:p w14:paraId="64B673F0" w14:textId="7D6B5B3A" w:rsidR="00014D67" w:rsidRDefault="00014D67" w:rsidP="00F661F5">
      <w:pPr>
        <w:rPr>
          <w:szCs w:val="22"/>
        </w:rPr>
      </w:pPr>
      <w:r w:rsidRPr="00621489">
        <w:rPr>
          <w:szCs w:val="22"/>
        </w:rPr>
        <w:t>Th</w:t>
      </w:r>
      <w:r>
        <w:rPr>
          <w:szCs w:val="22"/>
        </w:rPr>
        <w:t xml:space="preserve">e large majority of the bank of </w:t>
      </w:r>
      <w:r w:rsidR="00E476A8">
        <w:rPr>
          <w:szCs w:val="22"/>
        </w:rPr>
        <w:t>refrigerant</w:t>
      </w:r>
      <w:r>
        <w:rPr>
          <w:szCs w:val="22"/>
        </w:rPr>
        <w:t xml:space="preserve"> in</w:t>
      </w:r>
      <w:r w:rsidRPr="00621489">
        <w:rPr>
          <w:szCs w:val="22"/>
        </w:rPr>
        <w:t xml:space="preserve"> </w:t>
      </w:r>
      <w:r>
        <w:rPr>
          <w:szCs w:val="22"/>
        </w:rPr>
        <w:t xml:space="preserve">the stock of domestic equipment </w:t>
      </w:r>
      <w:r w:rsidRPr="00333C8E">
        <w:rPr>
          <w:szCs w:val="22"/>
        </w:rPr>
        <w:t xml:space="preserve">is </w:t>
      </w:r>
      <w:r>
        <w:rPr>
          <w:szCs w:val="22"/>
        </w:rPr>
        <w:t xml:space="preserve">still </w:t>
      </w:r>
      <w:r w:rsidRPr="00333C8E">
        <w:rPr>
          <w:szCs w:val="22"/>
        </w:rPr>
        <w:t>HFC-134a</w:t>
      </w:r>
      <w:r>
        <w:rPr>
          <w:szCs w:val="22"/>
        </w:rPr>
        <w:t xml:space="preserve">, more than </w:t>
      </w:r>
      <w:r w:rsidR="00CE3FBE">
        <w:rPr>
          <w:szCs w:val="22"/>
        </w:rPr>
        <w:t>83</w:t>
      </w:r>
      <w:r w:rsidR="00C9319D">
        <w:rPr>
          <w:szCs w:val="22"/>
        </w:rPr>
        <w:t>%</w:t>
      </w:r>
      <w:r w:rsidRPr="00333C8E">
        <w:rPr>
          <w:szCs w:val="22"/>
        </w:rPr>
        <w:t>, (</w:t>
      </w:r>
      <w:r w:rsidRPr="00333C8E">
        <w:rPr>
          <w:i/>
          <w:szCs w:val="22"/>
        </w:rPr>
        <w:t>CHF 2 ~93%</w:t>
      </w:r>
      <w:r w:rsidRPr="00333C8E">
        <w:rPr>
          <w:szCs w:val="22"/>
        </w:rPr>
        <w:t>)</w:t>
      </w:r>
      <w:r>
        <w:rPr>
          <w:szCs w:val="22"/>
        </w:rPr>
        <w:t xml:space="preserve">, however this dominance of HFC-134a in the bank of </w:t>
      </w:r>
      <w:r w:rsidR="00E476A8">
        <w:rPr>
          <w:szCs w:val="22"/>
        </w:rPr>
        <w:t>refrigerant</w:t>
      </w:r>
      <w:r>
        <w:rPr>
          <w:szCs w:val="22"/>
        </w:rPr>
        <w:t xml:space="preserve"> in domestic devices is declining rapidly</w:t>
      </w:r>
      <w:r w:rsidRPr="00333C8E">
        <w:rPr>
          <w:szCs w:val="22"/>
        </w:rPr>
        <w:t>.</w:t>
      </w:r>
      <w:r w:rsidRPr="00621489">
        <w:rPr>
          <w:szCs w:val="22"/>
        </w:rPr>
        <w:t xml:space="preserve"> Some very old products</w:t>
      </w:r>
      <w:r>
        <w:rPr>
          <w:szCs w:val="22"/>
        </w:rPr>
        <w:t xml:space="preserve"> manufactured prior to the mid-</w:t>
      </w:r>
      <w:r w:rsidRPr="00621489">
        <w:rPr>
          <w:szCs w:val="22"/>
        </w:rPr>
        <w:t>1990s contain CFC-12</w:t>
      </w:r>
      <w:r>
        <w:rPr>
          <w:rStyle w:val="FootnoteReference"/>
          <w:szCs w:val="22"/>
        </w:rPr>
        <w:footnoteReference w:id="38"/>
      </w:r>
      <w:r>
        <w:rPr>
          <w:szCs w:val="22"/>
        </w:rPr>
        <w:t>, and while these units are still occasionally found, it is expected that those numbers are becoming</w:t>
      </w:r>
      <w:r w:rsidR="004D766E">
        <w:rPr>
          <w:szCs w:val="22"/>
        </w:rPr>
        <w:t xml:space="preserve"> rapidly</w:t>
      </w:r>
      <w:r>
        <w:rPr>
          <w:szCs w:val="22"/>
        </w:rPr>
        <w:t xml:space="preserve"> small</w:t>
      </w:r>
      <w:r w:rsidR="004D766E">
        <w:rPr>
          <w:szCs w:val="22"/>
        </w:rPr>
        <w:t>er</w:t>
      </w:r>
      <w:r>
        <w:rPr>
          <w:szCs w:val="22"/>
        </w:rPr>
        <w:t>, containing less than a few tens of tonnes of CFCs in aggregate.</w:t>
      </w:r>
    </w:p>
    <w:p w14:paraId="6F56BEF6" w14:textId="3BF3A9A4" w:rsidR="00685B96" w:rsidRPr="00685B96" w:rsidRDefault="00685B96" w:rsidP="00685B96">
      <w:pPr>
        <w:spacing w:before="240"/>
        <w:rPr>
          <w:b/>
          <w:szCs w:val="22"/>
        </w:rPr>
      </w:pPr>
      <w:r w:rsidRPr="00685B96">
        <w:rPr>
          <w:b/>
          <w:szCs w:val="22"/>
        </w:rPr>
        <w:t>Growth of hydrocarbon charged domestic refrigerators</w:t>
      </w:r>
    </w:p>
    <w:p w14:paraId="468ABACB" w14:textId="233742CB" w:rsidR="00014D67" w:rsidRDefault="00014D67" w:rsidP="00014D67">
      <w:pPr>
        <w:rPr>
          <w:szCs w:val="22"/>
        </w:rPr>
      </w:pPr>
      <w:r>
        <w:rPr>
          <w:szCs w:val="22"/>
        </w:rPr>
        <w:t xml:space="preserve">The growth of hydrocarbon charged domestic refrigerators and freezers in the stock has accelerated dramatically since 2012, with </w:t>
      </w:r>
      <w:r w:rsidRPr="00747B68">
        <w:rPr>
          <w:szCs w:val="22"/>
        </w:rPr>
        <w:t>nearly 4.7 million devices (~2</w:t>
      </w:r>
      <w:r w:rsidR="00BD5299">
        <w:rPr>
          <w:szCs w:val="22"/>
        </w:rPr>
        <w:t>5</w:t>
      </w:r>
      <w:r w:rsidRPr="00747B68">
        <w:rPr>
          <w:szCs w:val="22"/>
        </w:rPr>
        <w:t>%</w:t>
      </w:r>
      <w:r w:rsidR="00BD5299">
        <w:rPr>
          <w:szCs w:val="22"/>
        </w:rPr>
        <w:t xml:space="preserve"> of </w:t>
      </w:r>
      <w:r w:rsidR="00003600">
        <w:rPr>
          <w:szCs w:val="22"/>
        </w:rPr>
        <w:t>devices</w:t>
      </w:r>
      <w:r w:rsidRPr="00747B68">
        <w:rPr>
          <w:szCs w:val="22"/>
        </w:rPr>
        <w:t>) containing hydrocarbon HC-600a in 2016 (</w:t>
      </w:r>
      <w:r w:rsidRPr="00747B68">
        <w:rPr>
          <w:i/>
          <w:szCs w:val="22"/>
        </w:rPr>
        <w:t>CHF2, 1.1 million, ~7%</w:t>
      </w:r>
      <w:r w:rsidRPr="00747B68">
        <w:rPr>
          <w:szCs w:val="22"/>
        </w:rPr>
        <w:t>)</w:t>
      </w:r>
      <w:r>
        <w:rPr>
          <w:szCs w:val="22"/>
        </w:rPr>
        <w:t xml:space="preserve">. </w:t>
      </w:r>
    </w:p>
    <w:p w14:paraId="532CDA35" w14:textId="408424B1" w:rsidR="00014D67" w:rsidRDefault="00014D67" w:rsidP="00014D67">
      <w:pPr>
        <w:rPr>
          <w:szCs w:val="22"/>
        </w:rPr>
      </w:pPr>
      <w:r>
        <w:rPr>
          <w:szCs w:val="22"/>
        </w:rPr>
        <w:t xml:space="preserve">The migration of large format domestic appliances to hydrocarbon refrigerants has seen the number of domestic refrigerators and freezers imported that are pre-charged with HFCs fall from </w:t>
      </w:r>
      <w:r w:rsidR="00003600">
        <w:rPr>
          <w:szCs w:val="22"/>
        </w:rPr>
        <w:t>around 605</w:t>
      </w:r>
      <w:r>
        <w:rPr>
          <w:szCs w:val="22"/>
        </w:rPr>
        <w:t xml:space="preserve">,000 units in 2012 to just </w:t>
      </w:r>
      <w:r w:rsidR="00003600">
        <w:rPr>
          <w:szCs w:val="22"/>
        </w:rPr>
        <w:t xml:space="preserve">255,000 units in 2016 of which </w:t>
      </w:r>
      <w:r w:rsidR="00F74FC5">
        <w:rPr>
          <w:szCs w:val="22"/>
        </w:rPr>
        <w:t xml:space="preserve">141,000 mostly portable refrigerators with a </w:t>
      </w:r>
      <w:r w:rsidR="005306D7">
        <w:rPr>
          <w:szCs w:val="22"/>
        </w:rPr>
        <w:t xml:space="preserve">charge of </w:t>
      </w:r>
      <w:r w:rsidR="00F74FC5">
        <w:rPr>
          <w:szCs w:val="22"/>
        </w:rPr>
        <w:t xml:space="preserve">less than or equal to 65 grams </w:t>
      </w:r>
      <w:r w:rsidR="005306D7">
        <w:rPr>
          <w:szCs w:val="22"/>
        </w:rPr>
        <w:t xml:space="preserve">of HFC-134a </w:t>
      </w:r>
      <w:r w:rsidR="00F74FC5">
        <w:rPr>
          <w:szCs w:val="22"/>
        </w:rPr>
        <w:t>(DoEE 2017a).</w:t>
      </w:r>
    </w:p>
    <w:p w14:paraId="7ABC02A2" w14:textId="7904B2CE" w:rsidR="00014D67" w:rsidRPr="00621489" w:rsidRDefault="00736DDE" w:rsidP="00014D67">
      <w:pPr>
        <w:rPr>
          <w:szCs w:val="22"/>
        </w:rPr>
      </w:pPr>
      <w:r>
        <w:rPr>
          <w:szCs w:val="22"/>
        </w:rPr>
        <w:t xml:space="preserve">In </w:t>
      </w:r>
      <w:r w:rsidR="00977EEB">
        <w:rPr>
          <w:szCs w:val="22"/>
        </w:rPr>
        <w:t xml:space="preserve">April </w:t>
      </w:r>
      <w:r w:rsidR="00014D67">
        <w:rPr>
          <w:szCs w:val="22"/>
        </w:rPr>
        <w:t>201</w:t>
      </w:r>
      <w:r w:rsidR="00977EEB">
        <w:rPr>
          <w:szCs w:val="22"/>
        </w:rPr>
        <w:t>6</w:t>
      </w:r>
      <w:r w:rsidR="00014D67">
        <w:rPr>
          <w:szCs w:val="22"/>
        </w:rPr>
        <w:t xml:space="preserve"> the </w:t>
      </w:r>
      <w:r w:rsidR="00014D67" w:rsidRPr="00621489">
        <w:rPr>
          <w:szCs w:val="22"/>
        </w:rPr>
        <w:t xml:space="preserve">Electrolux Appliances </w:t>
      </w:r>
      <w:r w:rsidR="00014D67">
        <w:rPr>
          <w:szCs w:val="22"/>
        </w:rPr>
        <w:t>factory</w:t>
      </w:r>
      <w:r w:rsidR="00014D67" w:rsidRPr="00621489">
        <w:rPr>
          <w:szCs w:val="22"/>
        </w:rPr>
        <w:t xml:space="preserve"> in Orange, NSW</w:t>
      </w:r>
      <w:r w:rsidR="00014D67">
        <w:rPr>
          <w:szCs w:val="22"/>
        </w:rPr>
        <w:t>,</w:t>
      </w:r>
      <w:r>
        <w:rPr>
          <w:szCs w:val="22"/>
        </w:rPr>
        <w:t xml:space="preserve"> was closed. This was</w:t>
      </w:r>
      <w:r w:rsidR="00014D67">
        <w:rPr>
          <w:szCs w:val="22"/>
        </w:rPr>
        <w:t xml:space="preserve"> Australia’s last refrigerator manufacturing plant</w:t>
      </w:r>
      <w:r w:rsidR="00977EEB">
        <w:rPr>
          <w:szCs w:val="22"/>
        </w:rPr>
        <w:t xml:space="preserve"> that produced around 12 million refrigerators in its lifetime</w:t>
      </w:r>
      <w:r>
        <w:rPr>
          <w:szCs w:val="22"/>
        </w:rPr>
        <w:t>.</w:t>
      </w:r>
      <w:r w:rsidR="00014D67">
        <w:rPr>
          <w:szCs w:val="22"/>
        </w:rPr>
        <w:t xml:space="preserve"> </w:t>
      </w:r>
      <w:r>
        <w:rPr>
          <w:szCs w:val="22"/>
        </w:rPr>
        <w:t xml:space="preserve">As a </w:t>
      </w:r>
      <w:r w:rsidR="009F5EAE">
        <w:rPr>
          <w:szCs w:val="22"/>
        </w:rPr>
        <w:t>result,</w:t>
      </w:r>
      <w:r>
        <w:rPr>
          <w:szCs w:val="22"/>
        </w:rPr>
        <w:t xml:space="preserve"> </w:t>
      </w:r>
      <w:r w:rsidR="00014D67">
        <w:rPr>
          <w:szCs w:val="22"/>
        </w:rPr>
        <w:t>all</w:t>
      </w:r>
      <w:r w:rsidR="00014D67" w:rsidRPr="00621489">
        <w:rPr>
          <w:szCs w:val="22"/>
        </w:rPr>
        <w:t xml:space="preserve"> new sales </w:t>
      </w:r>
      <w:r w:rsidR="00014D67">
        <w:rPr>
          <w:szCs w:val="22"/>
        </w:rPr>
        <w:t xml:space="preserve">of domestic refrigerators and freezers </w:t>
      </w:r>
      <w:r w:rsidR="00014D67" w:rsidRPr="00621489">
        <w:rPr>
          <w:szCs w:val="22"/>
        </w:rPr>
        <w:t xml:space="preserve">are imported as pre-charged equipment. </w:t>
      </w:r>
    </w:p>
    <w:p w14:paraId="19BE09D3" w14:textId="2DB8A17A" w:rsidR="00014D67" w:rsidRDefault="00DD6F10" w:rsidP="00014D67">
      <w:pPr>
        <w:rPr>
          <w:szCs w:val="22"/>
        </w:rPr>
      </w:pPr>
      <w:r>
        <w:rPr>
          <w:szCs w:val="22"/>
        </w:rPr>
        <w:t>T</w:t>
      </w:r>
      <w:r w:rsidR="00014D67" w:rsidRPr="00621489">
        <w:rPr>
          <w:szCs w:val="22"/>
        </w:rPr>
        <w:t>here w</w:t>
      </w:r>
      <w:r w:rsidR="00014D67">
        <w:rPr>
          <w:szCs w:val="22"/>
        </w:rPr>
        <w:t xml:space="preserve">as barely </w:t>
      </w:r>
      <w:r w:rsidR="00014D67" w:rsidRPr="008F51BD">
        <w:rPr>
          <w:szCs w:val="22"/>
        </w:rPr>
        <w:t>20 tonnes</w:t>
      </w:r>
      <w:r w:rsidR="00014D67" w:rsidRPr="00621489">
        <w:rPr>
          <w:szCs w:val="22"/>
        </w:rPr>
        <w:t xml:space="preserve"> of </w:t>
      </w:r>
      <w:r w:rsidR="00014D67">
        <w:rPr>
          <w:szCs w:val="22"/>
        </w:rPr>
        <w:t xml:space="preserve">high GWP HFC </w:t>
      </w:r>
      <w:r w:rsidR="00014D67" w:rsidRPr="00621489">
        <w:rPr>
          <w:szCs w:val="22"/>
        </w:rPr>
        <w:t xml:space="preserve">refrigerant imported in </w:t>
      </w:r>
      <w:r w:rsidR="00014D67">
        <w:rPr>
          <w:szCs w:val="22"/>
        </w:rPr>
        <w:t>pre-charged domestic refrigerators in 2016 (</w:t>
      </w:r>
      <w:r w:rsidR="00014D67" w:rsidRPr="008F51BD">
        <w:rPr>
          <w:i/>
          <w:szCs w:val="22"/>
        </w:rPr>
        <w:t>CHF2 94 tonnes</w:t>
      </w:r>
      <w:r w:rsidR="00014D67">
        <w:rPr>
          <w:szCs w:val="22"/>
        </w:rPr>
        <w:t>)</w:t>
      </w:r>
      <w:r w:rsidR="00014D67" w:rsidRPr="00621489">
        <w:rPr>
          <w:szCs w:val="22"/>
        </w:rPr>
        <w:t xml:space="preserve">, </w:t>
      </w:r>
      <w:r w:rsidR="00014D67">
        <w:rPr>
          <w:szCs w:val="22"/>
        </w:rPr>
        <w:t>including all portable and automotive style</w:t>
      </w:r>
      <w:r w:rsidR="00014D67" w:rsidRPr="00621489">
        <w:rPr>
          <w:szCs w:val="22"/>
        </w:rPr>
        <w:t xml:space="preserve"> refrigerators</w:t>
      </w:r>
      <w:r w:rsidR="00014D67">
        <w:rPr>
          <w:szCs w:val="22"/>
        </w:rPr>
        <w:t xml:space="preserve"> imported in that year</w:t>
      </w:r>
      <w:r w:rsidR="00FB52CB">
        <w:rPr>
          <w:szCs w:val="22"/>
        </w:rPr>
        <w:t>,</w:t>
      </w:r>
      <w:r w:rsidR="008C50FD">
        <w:rPr>
          <w:szCs w:val="22"/>
        </w:rPr>
        <w:t xml:space="preserve"> further underlining the shift of the global manufacturing base of domestic equipment to the use of HCs</w:t>
      </w:r>
      <w:r w:rsidR="00014D67">
        <w:rPr>
          <w:szCs w:val="22"/>
        </w:rPr>
        <w:t xml:space="preserve">. </w:t>
      </w:r>
    </w:p>
    <w:p w14:paraId="2A8B98A1" w14:textId="07D5ED79" w:rsidR="00014D67" w:rsidRDefault="00014D67" w:rsidP="00014D67">
      <w:pPr>
        <w:rPr>
          <w:szCs w:val="22"/>
        </w:rPr>
      </w:pPr>
      <w:r w:rsidRPr="00EE7692">
        <w:rPr>
          <w:i/>
          <w:szCs w:val="22"/>
        </w:rPr>
        <w:t xml:space="preserve">Figure </w:t>
      </w:r>
      <w:r w:rsidR="00EE7692" w:rsidRPr="00EE7692">
        <w:rPr>
          <w:i/>
          <w:szCs w:val="22"/>
        </w:rPr>
        <w:t>3</w:t>
      </w:r>
      <w:r>
        <w:rPr>
          <w:szCs w:val="22"/>
        </w:rPr>
        <w:t xml:space="preserve"> below illustrates the dramatic decline in tonnes of HFCs contained in pre-charged domestic refrigerator imports over the course of the last decade.</w:t>
      </w:r>
      <w:r w:rsidR="005306D7">
        <w:rPr>
          <w:szCs w:val="22"/>
        </w:rPr>
        <w:t xml:space="preserve"> The growing portion of smaller portable refrigerators is apparent in this chart. </w:t>
      </w:r>
    </w:p>
    <w:p w14:paraId="4E4D715C" w14:textId="78B8B269" w:rsidR="00B450D5" w:rsidRDefault="00B450D5" w:rsidP="00B450D5">
      <w:pPr>
        <w:rPr>
          <w:rFonts w:cs="Times New Roman"/>
          <w:lang w:val="en-AU"/>
        </w:rPr>
      </w:pPr>
    </w:p>
    <w:tbl>
      <w:tblPr>
        <w:tblW w:w="98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33"/>
      </w:tblGrid>
      <w:tr w:rsidR="00B450D5" w:rsidRPr="00613398" w14:paraId="60BA6EC8" w14:textId="77777777" w:rsidTr="00D8549E">
        <w:tc>
          <w:tcPr>
            <w:tcW w:w="9833" w:type="dxa"/>
            <w:vAlign w:val="center"/>
          </w:tcPr>
          <w:p w14:paraId="0C02C133" w14:textId="0962BFAE" w:rsidR="00B450D5" w:rsidRPr="00613398" w:rsidRDefault="00B450D5" w:rsidP="00B450D5">
            <w:pPr>
              <w:spacing w:after="120"/>
              <w:jc w:val="center"/>
              <w:rPr>
                <w:rFonts w:cs="Times New Roman"/>
                <w:b/>
              </w:rPr>
            </w:pPr>
            <w:r w:rsidRPr="00613398">
              <w:rPr>
                <w:rFonts w:cs="Times New Roman"/>
                <w:b/>
              </w:rPr>
              <w:br w:type="page"/>
            </w:r>
            <w:r>
              <w:rPr>
                <w:rFonts w:cs="Times New Roman"/>
                <w:b/>
              </w:rPr>
              <w:t xml:space="preserve">PCE imports of </w:t>
            </w:r>
            <w:r w:rsidR="00FB52CB">
              <w:rPr>
                <w:rFonts w:cs="Times New Roman"/>
                <w:b/>
              </w:rPr>
              <w:t>HFC</w:t>
            </w:r>
            <w:r w:rsidR="00225E01">
              <w:rPr>
                <w:rFonts w:cs="Times New Roman"/>
                <w:b/>
              </w:rPr>
              <w:t>s</w:t>
            </w:r>
            <w:r w:rsidR="00FB52CB">
              <w:rPr>
                <w:rFonts w:cs="Times New Roman"/>
                <w:b/>
              </w:rPr>
              <w:t xml:space="preserve"> in </w:t>
            </w:r>
            <w:r w:rsidR="00A7009B">
              <w:rPr>
                <w:rFonts w:cs="Times New Roman"/>
                <w:b/>
              </w:rPr>
              <w:t>d</w:t>
            </w:r>
            <w:r>
              <w:rPr>
                <w:rFonts w:cs="Times New Roman"/>
                <w:b/>
              </w:rPr>
              <w:t xml:space="preserve">omestic </w:t>
            </w:r>
            <w:r w:rsidR="00A7009B">
              <w:rPr>
                <w:rFonts w:cs="Times New Roman"/>
                <w:b/>
              </w:rPr>
              <w:t>r</w:t>
            </w:r>
            <w:r>
              <w:rPr>
                <w:rFonts w:cs="Times New Roman"/>
                <w:b/>
              </w:rPr>
              <w:t>efrigerators (</w:t>
            </w:r>
            <w:r w:rsidR="005631FA">
              <w:rPr>
                <w:rFonts w:cs="Times New Roman"/>
                <w:b/>
              </w:rPr>
              <w:t>t</w:t>
            </w:r>
            <w:r>
              <w:rPr>
                <w:rFonts w:cs="Times New Roman"/>
                <w:b/>
              </w:rPr>
              <w:t>onnes)</w:t>
            </w:r>
          </w:p>
        </w:tc>
      </w:tr>
      <w:tr w:rsidR="00B450D5" w:rsidRPr="000F7FAE" w14:paraId="302127A2" w14:textId="77777777" w:rsidTr="00D8549E">
        <w:tc>
          <w:tcPr>
            <w:tcW w:w="9833" w:type="dxa"/>
            <w:vAlign w:val="center"/>
          </w:tcPr>
          <w:p w14:paraId="6B38E3C4" w14:textId="77777777" w:rsidR="00B450D5" w:rsidRPr="000F7FAE" w:rsidRDefault="00B450D5" w:rsidP="00D374E7">
            <w:pPr>
              <w:spacing w:before="60" w:after="60"/>
              <w:jc w:val="center"/>
              <w:rPr>
                <w:sz w:val="16"/>
                <w:szCs w:val="16"/>
              </w:rPr>
            </w:pPr>
          </w:p>
          <w:p w14:paraId="0086D2BD" w14:textId="0254A009" w:rsidR="00B450D5" w:rsidRPr="000F7FAE" w:rsidRDefault="00B57FD7" w:rsidP="00D374E7">
            <w:pPr>
              <w:spacing w:before="60" w:after="60"/>
              <w:jc w:val="center"/>
              <w:rPr>
                <w:sz w:val="16"/>
                <w:szCs w:val="16"/>
              </w:rPr>
            </w:pPr>
            <w:r>
              <w:rPr>
                <w:noProof/>
                <w:lang w:val="en-AU" w:eastAsia="en-AU"/>
              </w:rPr>
              <w:drawing>
                <wp:inline distT="0" distB="0" distL="0" distR="0" wp14:anchorId="038C2FAC" wp14:editId="340D8805">
                  <wp:extent cx="6030595" cy="3601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0595" cy="3601085"/>
                          </a:xfrm>
                          <a:prstGeom prst="rect">
                            <a:avLst/>
                          </a:prstGeom>
                        </pic:spPr>
                      </pic:pic>
                    </a:graphicData>
                  </a:graphic>
                </wp:inline>
              </w:drawing>
            </w:r>
          </w:p>
          <w:p w14:paraId="4F4F4BF0" w14:textId="77777777" w:rsidR="00B450D5" w:rsidRPr="000F7FAE" w:rsidRDefault="00B450D5" w:rsidP="00D374E7">
            <w:pPr>
              <w:spacing w:before="60" w:after="60"/>
              <w:jc w:val="center"/>
              <w:rPr>
                <w:sz w:val="16"/>
                <w:szCs w:val="16"/>
              </w:rPr>
            </w:pPr>
          </w:p>
        </w:tc>
      </w:tr>
      <w:tr w:rsidR="00B450D5" w:rsidRPr="00923150" w14:paraId="53346524" w14:textId="77777777" w:rsidTr="00D8549E">
        <w:tc>
          <w:tcPr>
            <w:tcW w:w="9833" w:type="dxa"/>
            <w:vAlign w:val="center"/>
          </w:tcPr>
          <w:p w14:paraId="02FA30F2" w14:textId="2C601E4D" w:rsidR="00B450D5" w:rsidRPr="00EE7692" w:rsidRDefault="00EE7692" w:rsidP="00EE7692">
            <w:pPr>
              <w:pStyle w:val="Caption"/>
            </w:pPr>
            <w:bookmarkStart w:id="56" w:name="_Toc525141334"/>
            <w:r w:rsidRPr="00EE769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w:t>
            </w:r>
            <w:r w:rsidR="009D6843">
              <w:rPr>
                <w:noProof/>
              </w:rPr>
              <w:fldChar w:fldCharType="end"/>
            </w:r>
            <w:r w:rsidR="00B450D5" w:rsidRPr="00EE7692">
              <w:rPr>
                <w:bCs w:val="0"/>
              </w:rPr>
              <w:t>:</w:t>
            </w:r>
            <w:r w:rsidR="00B450D5" w:rsidRPr="00EE7692">
              <w:t xml:space="preserve"> </w:t>
            </w:r>
            <w:r w:rsidR="00B450D5" w:rsidRPr="00EE7692">
              <w:rPr>
                <w:bCs w:val="0"/>
              </w:rPr>
              <w:t>HFC</w:t>
            </w:r>
            <w:r w:rsidR="00225E01">
              <w:rPr>
                <w:bCs w:val="0"/>
              </w:rPr>
              <w:t>s</w:t>
            </w:r>
            <w:r w:rsidR="00B450D5" w:rsidRPr="00EE7692">
              <w:rPr>
                <w:bCs w:val="0"/>
              </w:rPr>
              <w:t xml:space="preserve"> in tonnes contained in pre-charged domestic refrigeration imports 2006 to 2016.</w:t>
            </w:r>
            <w:bookmarkEnd w:id="56"/>
          </w:p>
        </w:tc>
      </w:tr>
    </w:tbl>
    <w:p w14:paraId="1C18FCE2" w14:textId="2D081E2A" w:rsidR="00B450D5" w:rsidRDefault="00B450D5" w:rsidP="00B450D5">
      <w:pPr>
        <w:spacing w:before="0"/>
        <w:rPr>
          <w:rFonts w:cs="Times New Roman"/>
          <w:szCs w:val="22"/>
          <w:lang w:val="en-US"/>
        </w:rPr>
      </w:pPr>
      <w:r>
        <w:rPr>
          <w:rFonts w:cs="Times New Roman"/>
          <w:szCs w:val="22"/>
          <w:lang w:val="en-US"/>
        </w:rPr>
        <w:t>(Sources: DoEE 2017</w:t>
      </w:r>
      <w:r w:rsidR="00F74FC5">
        <w:rPr>
          <w:rFonts w:cs="Times New Roman"/>
          <w:szCs w:val="22"/>
          <w:lang w:val="en-US"/>
        </w:rPr>
        <w:t>a</w:t>
      </w:r>
      <w:r>
        <w:rPr>
          <w:rFonts w:cs="Times New Roman"/>
          <w:szCs w:val="22"/>
          <w:lang w:val="en-US"/>
        </w:rPr>
        <w:t>)</w:t>
      </w:r>
    </w:p>
    <w:p w14:paraId="1E661C03" w14:textId="77777777" w:rsidR="00B450D5" w:rsidRDefault="00B450D5" w:rsidP="00014D67">
      <w:pPr>
        <w:rPr>
          <w:szCs w:val="22"/>
        </w:rPr>
      </w:pPr>
    </w:p>
    <w:p w14:paraId="17223B4E" w14:textId="77777777" w:rsidR="00014D67" w:rsidRDefault="00014D67" w:rsidP="00014D67">
      <w:pPr>
        <w:rPr>
          <w:szCs w:val="22"/>
        </w:rPr>
      </w:pPr>
      <w:r>
        <w:rPr>
          <w:szCs w:val="22"/>
        </w:rPr>
        <w:t>A retail survey of domestic refrigeration and freezer stock on the floor of a leading retailer conducted in July 2017 found just 6 models out of 123 inspected</w:t>
      </w:r>
      <w:r w:rsidRPr="00621489">
        <w:rPr>
          <w:szCs w:val="22"/>
        </w:rPr>
        <w:t xml:space="preserve"> </w:t>
      </w:r>
      <w:r>
        <w:rPr>
          <w:szCs w:val="22"/>
        </w:rPr>
        <w:t>(&lt;5%) charged with HFC 134a</w:t>
      </w:r>
      <w:r w:rsidRPr="00621489">
        <w:rPr>
          <w:szCs w:val="22"/>
        </w:rPr>
        <w:t xml:space="preserve">. </w:t>
      </w:r>
    </w:p>
    <w:p w14:paraId="1749CB06" w14:textId="3C9D58AE" w:rsidR="00014D67" w:rsidRDefault="00014D67" w:rsidP="00014D67">
      <w:pPr>
        <w:rPr>
          <w:szCs w:val="22"/>
        </w:rPr>
      </w:pPr>
      <w:r>
        <w:rPr>
          <w:szCs w:val="22"/>
        </w:rPr>
        <w:t>This strong trend</w:t>
      </w:r>
      <w:r w:rsidR="00FB52CB">
        <w:rPr>
          <w:szCs w:val="22"/>
        </w:rPr>
        <w:t>,</w:t>
      </w:r>
      <w:r>
        <w:rPr>
          <w:szCs w:val="22"/>
        </w:rPr>
        <w:t xml:space="preserve"> first noted in CHF2, is expected to see the migration ofnew sales of domestic equipment to HC charges</w:t>
      </w:r>
      <w:r w:rsidR="004D3A80">
        <w:rPr>
          <w:szCs w:val="22"/>
        </w:rPr>
        <w:t xml:space="preserve"> to</w:t>
      </w:r>
      <w:r>
        <w:rPr>
          <w:szCs w:val="22"/>
        </w:rPr>
        <w:t xml:space="preserve"> approach &gt;95% during 2018. It is expected that HFC pre-charged imports of domestic refrigerators and freezers </w:t>
      </w:r>
      <w:r w:rsidR="004D3A80">
        <w:rPr>
          <w:szCs w:val="22"/>
        </w:rPr>
        <w:t xml:space="preserve">will </w:t>
      </w:r>
      <w:r w:rsidR="00557F16">
        <w:rPr>
          <w:szCs w:val="22"/>
        </w:rPr>
        <w:t xml:space="preserve">effectively </w:t>
      </w:r>
      <w:r w:rsidR="00003600">
        <w:rPr>
          <w:szCs w:val="22"/>
        </w:rPr>
        <w:t xml:space="preserve">reach zero around 2022 to </w:t>
      </w:r>
      <w:r>
        <w:rPr>
          <w:szCs w:val="22"/>
        </w:rPr>
        <w:t>2023.</w:t>
      </w:r>
    </w:p>
    <w:p w14:paraId="110E2955" w14:textId="51675688" w:rsidR="00612476" w:rsidRDefault="00612476">
      <w:pPr>
        <w:spacing w:before="0"/>
        <w:jc w:val="left"/>
        <w:rPr>
          <w:rFonts w:cs="Times New Roman"/>
          <w:lang w:val="en-AU"/>
        </w:rPr>
      </w:pPr>
      <w:r>
        <w:rPr>
          <w:rFonts w:cs="Times New Roman"/>
          <w:lang w:val="en-AU"/>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B450D5" w:rsidRPr="00613398" w14:paraId="2B2D00C8" w14:textId="77777777" w:rsidTr="00D8549E">
        <w:tc>
          <w:tcPr>
            <w:tcW w:w="9759" w:type="dxa"/>
            <w:vAlign w:val="center"/>
          </w:tcPr>
          <w:p w14:paraId="6754617E" w14:textId="3C83D5C9" w:rsidR="00B450D5" w:rsidRPr="00613398" w:rsidRDefault="00B450D5" w:rsidP="00B450D5">
            <w:pPr>
              <w:spacing w:after="120"/>
              <w:jc w:val="center"/>
              <w:rPr>
                <w:rFonts w:cs="Times New Roman"/>
                <w:b/>
              </w:rPr>
            </w:pPr>
            <w:r w:rsidRPr="00613398">
              <w:rPr>
                <w:rFonts w:cs="Times New Roman"/>
                <w:b/>
              </w:rPr>
              <w:br w:type="page"/>
            </w:r>
            <w:r>
              <w:rPr>
                <w:rFonts w:cs="Times New Roman"/>
                <w:b/>
              </w:rPr>
              <w:t xml:space="preserve">New </w:t>
            </w:r>
            <w:r w:rsidR="005631FA">
              <w:rPr>
                <w:rFonts w:cs="Times New Roman"/>
                <w:b/>
              </w:rPr>
              <w:t>e</w:t>
            </w:r>
            <w:r>
              <w:rPr>
                <w:rFonts w:cs="Times New Roman"/>
                <w:b/>
              </w:rPr>
              <w:t xml:space="preserve">quipment </w:t>
            </w:r>
            <w:r w:rsidR="005631FA">
              <w:rPr>
                <w:rFonts w:cs="Times New Roman"/>
                <w:b/>
              </w:rPr>
              <w:t>s</w:t>
            </w:r>
            <w:r>
              <w:rPr>
                <w:rFonts w:cs="Times New Roman"/>
                <w:b/>
              </w:rPr>
              <w:t xml:space="preserve">ales </w:t>
            </w:r>
            <w:r w:rsidR="005631FA">
              <w:rPr>
                <w:rFonts w:cs="Times New Roman"/>
                <w:b/>
              </w:rPr>
              <w:t>m</w:t>
            </w:r>
            <w:r>
              <w:rPr>
                <w:rFonts w:cs="Times New Roman"/>
                <w:b/>
              </w:rPr>
              <w:t xml:space="preserve">ix for </w:t>
            </w:r>
            <w:r w:rsidR="005631FA">
              <w:rPr>
                <w:rFonts w:cs="Times New Roman"/>
                <w:b/>
              </w:rPr>
              <w:t>d</w:t>
            </w:r>
            <w:r>
              <w:rPr>
                <w:rFonts w:cs="Times New Roman"/>
                <w:b/>
              </w:rPr>
              <w:t xml:space="preserve">omestic </w:t>
            </w:r>
            <w:r w:rsidR="005631FA">
              <w:rPr>
                <w:rFonts w:cs="Times New Roman"/>
                <w:b/>
              </w:rPr>
              <w:t>r</w:t>
            </w:r>
            <w:r>
              <w:rPr>
                <w:rFonts w:cs="Times New Roman"/>
                <w:b/>
              </w:rPr>
              <w:t>efrigerators</w:t>
            </w:r>
          </w:p>
        </w:tc>
      </w:tr>
      <w:tr w:rsidR="00B450D5" w:rsidRPr="000F7FAE" w14:paraId="64B3E4E9" w14:textId="77777777" w:rsidTr="00D8549E">
        <w:tc>
          <w:tcPr>
            <w:tcW w:w="9759" w:type="dxa"/>
            <w:vAlign w:val="center"/>
          </w:tcPr>
          <w:p w14:paraId="7883C29B" w14:textId="77777777" w:rsidR="00B450D5" w:rsidRPr="000F7FAE" w:rsidRDefault="00B450D5" w:rsidP="00D374E7">
            <w:pPr>
              <w:spacing w:before="60" w:after="60"/>
              <w:jc w:val="center"/>
              <w:rPr>
                <w:sz w:val="16"/>
                <w:szCs w:val="16"/>
              </w:rPr>
            </w:pPr>
          </w:p>
          <w:p w14:paraId="71CDBF39" w14:textId="3943F9FA" w:rsidR="00B450D5" w:rsidRPr="000F7FAE" w:rsidRDefault="00B450D5" w:rsidP="00D374E7">
            <w:pPr>
              <w:spacing w:before="60" w:after="60"/>
              <w:jc w:val="center"/>
              <w:rPr>
                <w:sz w:val="16"/>
                <w:szCs w:val="16"/>
              </w:rPr>
            </w:pPr>
            <w:r>
              <w:rPr>
                <w:noProof/>
                <w:lang w:val="en-AU" w:eastAsia="en-AU"/>
              </w:rPr>
              <w:drawing>
                <wp:inline distT="0" distB="0" distL="0" distR="0" wp14:anchorId="7FD9AE47" wp14:editId="5CFFDE6A">
                  <wp:extent cx="5727700" cy="233807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2338070"/>
                          </a:xfrm>
                          <a:prstGeom prst="rect">
                            <a:avLst/>
                          </a:prstGeom>
                        </pic:spPr>
                      </pic:pic>
                    </a:graphicData>
                  </a:graphic>
                </wp:inline>
              </w:drawing>
            </w:r>
          </w:p>
          <w:p w14:paraId="7D2DE4EA" w14:textId="77777777" w:rsidR="00B450D5" w:rsidRPr="000F7FAE" w:rsidRDefault="00B450D5" w:rsidP="00D374E7">
            <w:pPr>
              <w:spacing w:before="60" w:after="60"/>
              <w:jc w:val="center"/>
              <w:rPr>
                <w:sz w:val="16"/>
                <w:szCs w:val="16"/>
              </w:rPr>
            </w:pPr>
          </w:p>
        </w:tc>
      </w:tr>
      <w:tr w:rsidR="00B450D5" w:rsidRPr="00923150" w14:paraId="0F7F9A95" w14:textId="77777777" w:rsidTr="00D8549E">
        <w:tc>
          <w:tcPr>
            <w:tcW w:w="9759" w:type="dxa"/>
            <w:vAlign w:val="center"/>
          </w:tcPr>
          <w:p w14:paraId="64619AE1" w14:textId="3FCE4C9A" w:rsidR="00B450D5" w:rsidRPr="00EE7692" w:rsidRDefault="00EE7692" w:rsidP="00EE7692">
            <w:pPr>
              <w:pStyle w:val="Caption"/>
            </w:pPr>
            <w:bookmarkStart w:id="57" w:name="_Toc525141335"/>
            <w:r w:rsidRPr="00EE769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w:t>
            </w:r>
            <w:r w:rsidR="009D6843">
              <w:rPr>
                <w:noProof/>
              </w:rPr>
              <w:fldChar w:fldCharType="end"/>
            </w:r>
            <w:r w:rsidRPr="00EE7692">
              <w:t xml:space="preserve">: </w:t>
            </w:r>
            <w:r w:rsidR="00B450D5" w:rsidRPr="00EE7692">
              <w:rPr>
                <w:bCs w:val="0"/>
              </w:rPr>
              <w:t xml:space="preserve">New </w:t>
            </w:r>
            <w:r w:rsidR="005631FA" w:rsidRPr="00EE7692">
              <w:rPr>
                <w:bCs w:val="0"/>
              </w:rPr>
              <w:t>e</w:t>
            </w:r>
            <w:r w:rsidR="00B450D5" w:rsidRPr="00EE7692">
              <w:rPr>
                <w:bCs w:val="0"/>
              </w:rPr>
              <w:t xml:space="preserve">quipment </w:t>
            </w:r>
            <w:r w:rsidR="005631FA" w:rsidRPr="00EE7692">
              <w:rPr>
                <w:bCs w:val="0"/>
              </w:rPr>
              <w:t>s</w:t>
            </w:r>
            <w:r w:rsidR="00B450D5" w:rsidRPr="00EE7692">
              <w:rPr>
                <w:bCs w:val="0"/>
              </w:rPr>
              <w:t xml:space="preserve">ales </w:t>
            </w:r>
            <w:r w:rsidR="005631FA" w:rsidRPr="00EE7692">
              <w:rPr>
                <w:bCs w:val="0"/>
              </w:rPr>
              <w:t>m</w:t>
            </w:r>
            <w:r w:rsidR="00B450D5" w:rsidRPr="00EE7692">
              <w:rPr>
                <w:bCs w:val="0"/>
              </w:rPr>
              <w:t xml:space="preserve">ix for </w:t>
            </w:r>
            <w:r w:rsidR="005631FA" w:rsidRPr="00EE7692">
              <w:rPr>
                <w:bCs w:val="0"/>
              </w:rPr>
              <w:t>d</w:t>
            </w:r>
            <w:r w:rsidR="00B450D5" w:rsidRPr="00EE7692">
              <w:rPr>
                <w:bCs w:val="0"/>
              </w:rPr>
              <w:t xml:space="preserve">omestic </w:t>
            </w:r>
            <w:r w:rsidR="005631FA" w:rsidRPr="00EE7692">
              <w:rPr>
                <w:bCs w:val="0"/>
              </w:rPr>
              <w:t>r</w:t>
            </w:r>
            <w:r w:rsidR="00B450D5" w:rsidRPr="00EE7692">
              <w:rPr>
                <w:bCs w:val="0"/>
              </w:rPr>
              <w:t>efrigeration from 2013 to 2030.</w:t>
            </w:r>
            <w:bookmarkEnd w:id="57"/>
          </w:p>
        </w:tc>
      </w:tr>
    </w:tbl>
    <w:p w14:paraId="2D5A0EBC" w14:textId="18336BFF" w:rsidR="00B450D5" w:rsidRDefault="00B450D5" w:rsidP="00B450D5">
      <w:pPr>
        <w:spacing w:before="0"/>
        <w:rPr>
          <w:rFonts w:cs="Times New Roman"/>
          <w:szCs w:val="22"/>
          <w:lang w:val="en-US"/>
        </w:rPr>
      </w:pPr>
      <w:r>
        <w:rPr>
          <w:rFonts w:cs="Times New Roman"/>
          <w:szCs w:val="22"/>
          <w:lang w:val="en-US"/>
        </w:rPr>
        <w:t>(Source:</w:t>
      </w:r>
      <w:r w:rsidR="00EC016B">
        <w:rPr>
          <w:rFonts w:cs="Times New Roman"/>
          <w:szCs w:val="22"/>
          <w:lang w:val="en-US"/>
        </w:rPr>
        <w:t xml:space="preserve"> </w:t>
      </w:r>
      <w:r w:rsidR="000951E5">
        <w:rPr>
          <w:rFonts w:cs="Times New Roman"/>
          <w:szCs w:val="22"/>
          <w:lang w:val="en-US"/>
        </w:rPr>
        <w:t>RAC Stock model</w:t>
      </w:r>
      <w:r w:rsidR="005306D7">
        <w:rPr>
          <w:rFonts w:cs="Times New Roman"/>
          <w:szCs w:val="22"/>
          <w:lang w:val="en-US"/>
        </w:rPr>
        <w:t>, DoEE 2017, Retail s</w:t>
      </w:r>
      <w:r w:rsidR="00EC016B">
        <w:rPr>
          <w:rFonts w:cs="Times New Roman"/>
          <w:szCs w:val="22"/>
          <w:lang w:val="en-US"/>
        </w:rPr>
        <w:t>urveys</w:t>
      </w:r>
      <w:r>
        <w:rPr>
          <w:rFonts w:cs="Times New Roman"/>
          <w:szCs w:val="22"/>
          <w:lang w:val="en-US"/>
        </w:rPr>
        <w:t>)</w:t>
      </w:r>
    </w:p>
    <w:p w14:paraId="72F41C82" w14:textId="77777777" w:rsidR="00B450D5" w:rsidRDefault="00B450D5" w:rsidP="00B450D5">
      <w:pPr>
        <w:spacing w:before="0"/>
        <w:rPr>
          <w:rFonts w:cs="Times New Roman"/>
          <w:szCs w:val="22"/>
          <w:lang w:val="en-US"/>
        </w:rPr>
      </w:pPr>
    </w:p>
    <w:p w14:paraId="68139C22" w14:textId="5551792B" w:rsidR="00014D67" w:rsidRDefault="00014D67" w:rsidP="00014D67">
      <w:pPr>
        <w:rPr>
          <w:szCs w:val="22"/>
        </w:rPr>
      </w:pPr>
      <w:r>
        <w:rPr>
          <w:szCs w:val="22"/>
        </w:rPr>
        <w:t xml:space="preserve">As a result of the comprehensive shift of domestic refrigerators and freezers to HC refrigerant, the contained bank of high GWP refrigerants in the domestic stock is projected to decline steadily. </w:t>
      </w:r>
    </w:p>
    <w:p w14:paraId="5359B14C" w14:textId="2FE87EF5" w:rsidR="00014D67" w:rsidRPr="00621489" w:rsidRDefault="00014D67" w:rsidP="00014D67">
      <w:pPr>
        <w:rPr>
          <w:szCs w:val="22"/>
        </w:rPr>
      </w:pPr>
      <w:r>
        <w:rPr>
          <w:szCs w:val="22"/>
        </w:rPr>
        <w:t>While the trend in the larger formats is obvious, the smaller portable and automotive devices are still universally being imported with HFC charges. These smaller format devices have charges of less than 65 grams of HFC</w:t>
      </w:r>
      <w:r w:rsidR="009C4BD0">
        <w:rPr>
          <w:szCs w:val="22"/>
        </w:rPr>
        <w:t>-134a</w:t>
      </w:r>
      <w:r>
        <w:rPr>
          <w:szCs w:val="22"/>
        </w:rPr>
        <w:t>. Approximately</w:t>
      </w:r>
      <w:r w:rsidRPr="00621489">
        <w:rPr>
          <w:szCs w:val="22"/>
        </w:rPr>
        <w:t xml:space="preserve"> </w:t>
      </w:r>
      <w:r>
        <w:rPr>
          <w:szCs w:val="22"/>
        </w:rPr>
        <w:t>135</w:t>
      </w:r>
      <w:r w:rsidRPr="0056521F">
        <w:rPr>
          <w:szCs w:val="22"/>
        </w:rPr>
        <w:t>,000</w:t>
      </w:r>
      <w:r w:rsidRPr="00621489">
        <w:rPr>
          <w:szCs w:val="22"/>
        </w:rPr>
        <w:t xml:space="preserve"> portable and pas</w:t>
      </w:r>
      <w:r>
        <w:rPr>
          <w:szCs w:val="22"/>
        </w:rPr>
        <w:t>senger vehicle refrigerators have been</w:t>
      </w:r>
      <w:r w:rsidRPr="00621489">
        <w:rPr>
          <w:szCs w:val="22"/>
        </w:rPr>
        <w:t xml:space="preserve"> imported each year</w:t>
      </w:r>
      <w:r>
        <w:rPr>
          <w:szCs w:val="22"/>
        </w:rPr>
        <w:t xml:space="preserve"> on average between 2012 and 2016</w:t>
      </w:r>
      <w:r w:rsidRPr="00621489">
        <w:rPr>
          <w:szCs w:val="22"/>
        </w:rPr>
        <w:t>; major suppliers include Dometic Group (Waeco brand) and Eng</w:t>
      </w:r>
      <w:r w:rsidR="00137F3D">
        <w:rPr>
          <w:szCs w:val="22"/>
        </w:rPr>
        <w:t>e</w:t>
      </w:r>
      <w:r w:rsidRPr="00621489">
        <w:rPr>
          <w:szCs w:val="22"/>
        </w:rPr>
        <w:t>l Australia. Evercool, Norcoast and OzeFridge manufacture small quantities of portable 12V refrigerators in Australia.</w:t>
      </w:r>
    </w:p>
    <w:p w14:paraId="32F38E7F" w14:textId="2B37B21C" w:rsidR="00014D67" w:rsidRDefault="00014D67" w:rsidP="00014D67">
      <w:pPr>
        <w:rPr>
          <w:szCs w:val="22"/>
        </w:rPr>
      </w:pPr>
      <w:r w:rsidRPr="00003600">
        <w:rPr>
          <w:szCs w:val="22"/>
        </w:rPr>
        <w:t>The estimated 900,000 domestic</w:t>
      </w:r>
      <w:r>
        <w:rPr>
          <w:szCs w:val="22"/>
        </w:rPr>
        <w:t xml:space="preserve"> and portable devices that reached the end of their useful life during 2016 </w:t>
      </w:r>
      <w:r w:rsidRPr="00382A1D">
        <w:rPr>
          <w:szCs w:val="22"/>
        </w:rPr>
        <w:t xml:space="preserve">are expected to contain as much as </w:t>
      </w:r>
      <w:r w:rsidR="009C4BD0" w:rsidRPr="00382A1D">
        <w:rPr>
          <w:szCs w:val="22"/>
        </w:rPr>
        <w:t>125</w:t>
      </w:r>
      <w:r w:rsidRPr="00382A1D">
        <w:rPr>
          <w:szCs w:val="22"/>
        </w:rPr>
        <w:t xml:space="preserve"> tonnes of HFC</w:t>
      </w:r>
      <w:r w:rsidR="009C4BD0" w:rsidRPr="00382A1D">
        <w:rPr>
          <w:szCs w:val="22"/>
        </w:rPr>
        <w:t>-134a</w:t>
      </w:r>
      <w:r w:rsidRPr="00382A1D">
        <w:rPr>
          <w:szCs w:val="22"/>
        </w:rPr>
        <w:t>. That quantity of HFCs is the equivalent of 1</w:t>
      </w:r>
      <w:r w:rsidR="00382A1D" w:rsidRPr="00382A1D">
        <w:rPr>
          <w:szCs w:val="22"/>
        </w:rPr>
        <w:t>78</w:t>
      </w:r>
      <w:r w:rsidRPr="00382A1D">
        <w:rPr>
          <w:szCs w:val="22"/>
        </w:rPr>
        <w:t>,</w:t>
      </w:r>
      <w:r w:rsidR="00382A1D" w:rsidRPr="00382A1D">
        <w:rPr>
          <w:szCs w:val="22"/>
        </w:rPr>
        <w:t>75</w:t>
      </w:r>
      <w:r w:rsidR="00475235" w:rsidRPr="00382A1D">
        <w:rPr>
          <w:szCs w:val="22"/>
        </w:rPr>
        <w:t>0</w:t>
      </w:r>
      <w:r w:rsidRPr="00382A1D">
        <w:rPr>
          <w:szCs w:val="22"/>
        </w:rPr>
        <w:t xml:space="preserve"> tonnes of CO</w:t>
      </w:r>
      <w:r w:rsidRPr="00382A1D">
        <w:rPr>
          <w:szCs w:val="22"/>
          <w:vertAlign w:val="subscript"/>
        </w:rPr>
        <w:t>2</w:t>
      </w:r>
      <w:r w:rsidRPr="00382A1D">
        <w:rPr>
          <w:szCs w:val="22"/>
        </w:rPr>
        <w:t>e.</w:t>
      </w:r>
    </w:p>
    <w:p w14:paraId="44AE6877" w14:textId="2ED27CAC" w:rsidR="00014D67" w:rsidRDefault="00014D67" w:rsidP="00014D67">
      <w:pPr>
        <w:rPr>
          <w:szCs w:val="22"/>
        </w:rPr>
      </w:pPr>
      <w:r>
        <w:rPr>
          <w:szCs w:val="22"/>
        </w:rPr>
        <w:t xml:space="preserve">The main metrics of the stock of domestic equipment are provided </w:t>
      </w:r>
      <w:r w:rsidRPr="008E638B">
        <w:rPr>
          <w:szCs w:val="22"/>
        </w:rPr>
        <w:t xml:space="preserve">below in </w:t>
      </w:r>
      <w:r w:rsidRPr="008E638B">
        <w:rPr>
          <w:i/>
          <w:szCs w:val="22"/>
        </w:rPr>
        <w:t xml:space="preserve">Table </w:t>
      </w:r>
      <w:r w:rsidR="008E638B" w:rsidRPr="008E638B">
        <w:rPr>
          <w:i/>
          <w:szCs w:val="22"/>
        </w:rPr>
        <w:t>17</w:t>
      </w:r>
      <w:r w:rsidRPr="008E638B">
        <w:rPr>
          <w:szCs w:val="22"/>
        </w:rPr>
        <w:t>.</w:t>
      </w:r>
      <w:r>
        <w:rPr>
          <w:szCs w:val="22"/>
        </w:rPr>
        <w:t xml:space="preserve"> </w:t>
      </w:r>
    </w:p>
    <w:p w14:paraId="3DE9216F" w14:textId="77777777" w:rsidR="00B57FD7" w:rsidRDefault="00B57FD7" w:rsidP="00014D67">
      <w:pPr>
        <w:rPr>
          <w:szCs w:val="22"/>
        </w:rPr>
      </w:pPr>
    </w:p>
    <w:p w14:paraId="230204F7" w14:textId="1F854150" w:rsidR="00F11684" w:rsidRDefault="00F11684">
      <w:pPr>
        <w:spacing w:before="0"/>
        <w:jc w:val="left"/>
        <w:rPr>
          <w:szCs w:val="22"/>
        </w:rPr>
      </w:pPr>
      <w:r>
        <w:rPr>
          <w:szCs w:val="22"/>
        </w:rPr>
        <w:br w:type="page"/>
      </w:r>
    </w:p>
    <w:p w14:paraId="22C20C1D" w14:textId="575A1B62" w:rsidR="00F11684" w:rsidRPr="008E638B" w:rsidRDefault="008E638B" w:rsidP="008E638B">
      <w:pPr>
        <w:pStyle w:val="Caption"/>
        <w:keepNext/>
        <w:rPr>
          <w:szCs w:val="22"/>
        </w:rPr>
      </w:pPr>
      <w:bookmarkStart w:id="58" w:name="_Toc525141406"/>
      <w:r w:rsidRPr="008E638B">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17</w:t>
      </w:r>
      <w:r w:rsidR="009D6843">
        <w:rPr>
          <w:noProof/>
        </w:rPr>
        <w:fldChar w:fldCharType="end"/>
      </w:r>
      <w:r w:rsidRPr="008E638B">
        <w:t xml:space="preserve">: </w:t>
      </w:r>
      <w:r w:rsidR="00F11684" w:rsidRPr="008E638B">
        <w:rPr>
          <w:szCs w:val="22"/>
        </w:rPr>
        <w:t>Domestic refrigeration main metrics: 2012 versus 2016.</w:t>
      </w:r>
      <w:bookmarkEnd w:id="58"/>
    </w:p>
    <w:tbl>
      <w:tblPr>
        <w:tblStyle w:val="TableGrid"/>
        <w:tblW w:w="0" w:type="auto"/>
        <w:tblInd w:w="-5" w:type="dxa"/>
        <w:tblLook w:val="04A0" w:firstRow="1" w:lastRow="0" w:firstColumn="1" w:lastColumn="0" w:noHBand="0" w:noVBand="1"/>
      </w:tblPr>
      <w:tblGrid>
        <w:gridCol w:w="3289"/>
        <w:gridCol w:w="2068"/>
        <w:gridCol w:w="2074"/>
        <w:gridCol w:w="2061"/>
      </w:tblGrid>
      <w:tr w:rsidR="00F11684" w14:paraId="2104FCA2" w14:textId="77777777" w:rsidTr="00D6002F">
        <w:trPr>
          <w:trHeight w:val="567"/>
        </w:trPr>
        <w:tc>
          <w:tcPr>
            <w:tcW w:w="3289" w:type="dxa"/>
            <w:shd w:val="clear" w:color="auto" w:fill="B6DDE8" w:themeFill="accent5" w:themeFillTint="66"/>
            <w:vAlign w:val="center"/>
          </w:tcPr>
          <w:p w14:paraId="7594DC6B" w14:textId="2E8DE4D6" w:rsidR="00F11684" w:rsidRDefault="00F11684" w:rsidP="00D6002F">
            <w:pPr>
              <w:tabs>
                <w:tab w:val="left" w:pos="513"/>
              </w:tabs>
              <w:spacing w:after="120"/>
              <w:jc w:val="left"/>
              <w:rPr>
                <w:szCs w:val="22"/>
              </w:rPr>
            </w:pPr>
            <w:r>
              <w:rPr>
                <w:szCs w:val="22"/>
              </w:rPr>
              <w:t>Metric</w:t>
            </w:r>
          </w:p>
        </w:tc>
        <w:tc>
          <w:tcPr>
            <w:tcW w:w="2068" w:type="dxa"/>
            <w:shd w:val="clear" w:color="auto" w:fill="B6DDE8" w:themeFill="accent5" w:themeFillTint="66"/>
            <w:vAlign w:val="center"/>
          </w:tcPr>
          <w:p w14:paraId="6AD8FD2A" w14:textId="1490C115" w:rsidR="00F11684" w:rsidRDefault="00F11684" w:rsidP="00D6002F">
            <w:pPr>
              <w:spacing w:after="120"/>
              <w:jc w:val="center"/>
              <w:rPr>
                <w:szCs w:val="22"/>
              </w:rPr>
            </w:pPr>
            <w:r>
              <w:rPr>
                <w:szCs w:val="22"/>
              </w:rPr>
              <w:t>2012</w:t>
            </w:r>
          </w:p>
        </w:tc>
        <w:tc>
          <w:tcPr>
            <w:tcW w:w="2074" w:type="dxa"/>
            <w:shd w:val="clear" w:color="auto" w:fill="B6DDE8" w:themeFill="accent5" w:themeFillTint="66"/>
            <w:vAlign w:val="center"/>
          </w:tcPr>
          <w:p w14:paraId="21751DAF" w14:textId="104C0638" w:rsidR="00F11684" w:rsidRDefault="00F11684" w:rsidP="00D6002F">
            <w:pPr>
              <w:spacing w:after="120"/>
              <w:jc w:val="center"/>
              <w:rPr>
                <w:szCs w:val="22"/>
              </w:rPr>
            </w:pPr>
            <w:r>
              <w:rPr>
                <w:szCs w:val="22"/>
              </w:rPr>
              <w:t>2016</w:t>
            </w:r>
          </w:p>
        </w:tc>
        <w:tc>
          <w:tcPr>
            <w:tcW w:w="2061" w:type="dxa"/>
            <w:shd w:val="clear" w:color="auto" w:fill="B6DDE8" w:themeFill="accent5" w:themeFillTint="66"/>
            <w:vAlign w:val="center"/>
          </w:tcPr>
          <w:p w14:paraId="25008BEE" w14:textId="4F973FAD" w:rsidR="00F11684" w:rsidRDefault="00F11684" w:rsidP="00D6002F">
            <w:pPr>
              <w:spacing w:after="120"/>
              <w:jc w:val="center"/>
              <w:rPr>
                <w:szCs w:val="22"/>
              </w:rPr>
            </w:pPr>
            <w:r>
              <w:rPr>
                <w:szCs w:val="22"/>
              </w:rPr>
              <w:t>Change</w:t>
            </w:r>
          </w:p>
        </w:tc>
      </w:tr>
      <w:tr w:rsidR="00F11684" w14:paraId="3D354C9E" w14:textId="77777777" w:rsidTr="003E4FC1">
        <w:trPr>
          <w:trHeight w:val="567"/>
        </w:trPr>
        <w:tc>
          <w:tcPr>
            <w:tcW w:w="3289" w:type="dxa"/>
          </w:tcPr>
          <w:p w14:paraId="575C9E27" w14:textId="590917A7" w:rsidR="00F11684" w:rsidRPr="00B14AE4" w:rsidRDefault="00F11684" w:rsidP="003E4FC1">
            <w:pPr>
              <w:spacing w:before="60" w:after="60"/>
              <w:jc w:val="left"/>
            </w:pPr>
            <w:r w:rsidRPr="00B14AE4">
              <w:rPr>
                <w:color w:val="000000"/>
              </w:rPr>
              <w:t>Share of refrigerant bank</w:t>
            </w:r>
          </w:p>
        </w:tc>
        <w:tc>
          <w:tcPr>
            <w:tcW w:w="2068" w:type="dxa"/>
          </w:tcPr>
          <w:p w14:paraId="172C2D11" w14:textId="538997AA" w:rsidR="00F11684" w:rsidRPr="00B14AE4" w:rsidRDefault="00F11684" w:rsidP="00602255">
            <w:pPr>
              <w:spacing w:before="60" w:after="60"/>
              <w:jc w:val="center"/>
            </w:pPr>
            <w:r w:rsidRPr="004F749A">
              <w:rPr>
                <w:color w:val="000000"/>
              </w:rPr>
              <w:t>5%</w:t>
            </w:r>
          </w:p>
        </w:tc>
        <w:tc>
          <w:tcPr>
            <w:tcW w:w="2074" w:type="dxa"/>
          </w:tcPr>
          <w:p w14:paraId="14C99210" w14:textId="6B76B140" w:rsidR="00F11684" w:rsidRPr="00B14AE4" w:rsidRDefault="003E4FC1" w:rsidP="00602255">
            <w:pPr>
              <w:spacing w:before="60" w:after="60"/>
              <w:jc w:val="center"/>
            </w:pPr>
            <w:r w:rsidRPr="00B14AE4">
              <w:t>4%</w:t>
            </w:r>
          </w:p>
        </w:tc>
        <w:tc>
          <w:tcPr>
            <w:tcW w:w="2061" w:type="dxa"/>
          </w:tcPr>
          <w:p w14:paraId="13F51BB9" w14:textId="417DA2DD" w:rsidR="00F11684" w:rsidRPr="00B14AE4" w:rsidRDefault="005938DE" w:rsidP="00602255">
            <w:pPr>
              <w:spacing w:before="60" w:after="60"/>
              <w:jc w:val="center"/>
            </w:pPr>
            <w:r>
              <w:rPr>
                <w:color w:val="000000"/>
              </w:rPr>
              <w:t>-</w:t>
            </w:r>
            <w:r w:rsidR="003E4FC1">
              <w:rPr>
                <w:color w:val="000000"/>
              </w:rPr>
              <w:t>2</w:t>
            </w:r>
            <w:r w:rsidR="00E01B7D">
              <w:rPr>
                <w:color w:val="000000"/>
              </w:rPr>
              <w:t>5</w:t>
            </w:r>
            <w:r w:rsidR="003E4FC1">
              <w:rPr>
                <w:color w:val="000000"/>
              </w:rPr>
              <w:t>%</w:t>
            </w:r>
          </w:p>
        </w:tc>
      </w:tr>
      <w:tr w:rsidR="00F11684" w14:paraId="09B78AB1" w14:textId="77777777" w:rsidTr="003E4FC1">
        <w:trPr>
          <w:trHeight w:val="567"/>
        </w:trPr>
        <w:tc>
          <w:tcPr>
            <w:tcW w:w="3289" w:type="dxa"/>
          </w:tcPr>
          <w:p w14:paraId="40C91D05" w14:textId="67209294" w:rsidR="00F11684" w:rsidRPr="00B14AE4" w:rsidRDefault="00F11684" w:rsidP="003E4FC1">
            <w:pPr>
              <w:spacing w:before="60" w:after="60"/>
              <w:jc w:val="left"/>
            </w:pPr>
            <w:r w:rsidRPr="00B14AE4">
              <w:rPr>
                <w:color w:val="000000"/>
              </w:rPr>
              <w:t xml:space="preserve">Size of </w:t>
            </w:r>
            <w:r w:rsidR="006C45B7" w:rsidRPr="00B14AE4">
              <w:rPr>
                <w:color w:val="000000"/>
              </w:rPr>
              <w:t xml:space="preserve">high GWP </w:t>
            </w:r>
            <w:r w:rsidRPr="00B14AE4">
              <w:rPr>
                <w:color w:val="000000"/>
              </w:rPr>
              <w:t>refrigerant bank</w:t>
            </w:r>
          </w:p>
        </w:tc>
        <w:tc>
          <w:tcPr>
            <w:tcW w:w="2068" w:type="dxa"/>
          </w:tcPr>
          <w:p w14:paraId="7E6B1790" w14:textId="455740A8" w:rsidR="00F11684" w:rsidRPr="00B14AE4" w:rsidRDefault="00F11684" w:rsidP="00602255">
            <w:pPr>
              <w:spacing w:before="60" w:after="60"/>
              <w:jc w:val="center"/>
            </w:pPr>
            <w:r w:rsidRPr="004F749A">
              <w:rPr>
                <w:color w:val="000000"/>
              </w:rPr>
              <w:t>2,200 tonnes</w:t>
            </w:r>
          </w:p>
        </w:tc>
        <w:tc>
          <w:tcPr>
            <w:tcW w:w="2074" w:type="dxa"/>
          </w:tcPr>
          <w:p w14:paraId="6D73EBD7" w14:textId="093F97BF" w:rsidR="00F11684" w:rsidRPr="00B14AE4" w:rsidRDefault="003F1EDA" w:rsidP="00602255">
            <w:pPr>
              <w:spacing w:before="60" w:after="60"/>
              <w:jc w:val="center"/>
            </w:pPr>
            <w:r>
              <w:rPr>
                <w:color w:val="000000"/>
              </w:rPr>
              <w:t>1,900</w:t>
            </w:r>
            <w:r w:rsidR="00F11684" w:rsidRPr="004F749A">
              <w:rPr>
                <w:color w:val="000000"/>
              </w:rPr>
              <w:t xml:space="preserve"> tonnes</w:t>
            </w:r>
          </w:p>
        </w:tc>
        <w:tc>
          <w:tcPr>
            <w:tcW w:w="2061" w:type="dxa"/>
          </w:tcPr>
          <w:p w14:paraId="132B931D" w14:textId="55FD1083" w:rsidR="00F11684" w:rsidRPr="00B14AE4" w:rsidRDefault="003F1EDA" w:rsidP="00602255">
            <w:pPr>
              <w:spacing w:before="60" w:after="60"/>
              <w:jc w:val="center"/>
            </w:pPr>
            <w:r>
              <w:rPr>
                <w:color w:val="000000"/>
              </w:rPr>
              <w:t>-13</w:t>
            </w:r>
            <w:r w:rsidR="00F11684" w:rsidRPr="004F749A">
              <w:rPr>
                <w:color w:val="000000"/>
              </w:rPr>
              <w:t>%</w:t>
            </w:r>
          </w:p>
        </w:tc>
      </w:tr>
      <w:tr w:rsidR="00F11684" w14:paraId="61EC3937" w14:textId="77777777" w:rsidTr="003E4FC1">
        <w:trPr>
          <w:trHeight w:val="567"/>
        </w:trPr>
        <w:tc>
          <w:tcPr>
            <w:tcW w:w="3289" w:type="dxa"/>
          </w:tcPr>
          <w:p w14:paraId="615062E5" w14:textId="389BEF63" w:rsidR="00F11684" w:rsidRPr="00B14AE4" w:rsidRDefault="00F11684" w:rsidP="003E4FC1">
            <w:pPr>
              <w:spacing w:before="60" w:after="60"/>
              <w:jc w:val="left"/>
            </w:pPr>
            <w:r w:rsidRPr="00B14AE4">
              <w:rPr>
                <w:color w:val="000000"/>
              </w:rPr>
              <w:t>Annual leaks</w:t>
            </w:r>
            <w:r w:rsidR="006C45B7" w:rsidRPr="00B14AE4">
              <w:rPr>
                <w:color w:val="000000"/>
              </w:rPr>
              <w:t xml:space="preserve"> of </w:t>
            </w:r>
            <w:r w:rsidR="003F1EDA" w:rsidRPr="00B14AE4">
              <w:rPr>
                <w:color w:val="000000"/>
              </w:rPr>
              <w:t>high GWP refrigerants</w:t>
            </w:r>
          </w:p>
        </w:tc>
        <w:tc>
          <w:tcPr>
            <w:tcW w:w="2068" w:type="dxa"/>
          </w:tcPr>
          <w:p w14:paraId="63EEC6AD" w14:textId="69CE849E" w:rsidR="00F11684" w:rsidRPr="00B14AE4" w:rsidRDefault="00F11684" w:rsidP="00602255">
            <w:pPr>
              <w:spacing w:before="60" w:after="60"/>
              <w:jc w:val="center"/>
            </w:pPr>
            <w:r w:rsidRPr="004F749A">
              <w:rPr>
                <w:color w:val="000000"/>
              </w:rPr>
              <w:t xml:space="preserve">22 tonnes </w:t>
            </w:r>
            <w:r>
              <w:rPr>
                <w:color w:val="000000"/>
              </w:rPr>
              <w:t>p</w:t>
            </w:r>
            <w:r w:rsidR="0042423E">
              <w:rPr>
                <w:color w:val="000000"/>
              </w:rPr>
              <w:t>er annum</w:t>
            </w:r>
          </w:p>
        </w:tc>
        <w:tc>
          <w:tcPr>
            <w:tcW w:w="2074" w:type="dxa"/>
          </w:tcPr>
          <w:p w14:paraId="5A48D2BB" w14:textId="54D71945" w:rsidR="00F11684" w:rsidRPr="00B14AE4" w:rsidRDefault="003F1EDA" w:rsidP="00602255">
            <w:pPr>
              <w:spacing w:before="60" w:after="60"/>
              <w:jc w:val="center"/>
            </w:pPr>
            <w:r>
              <w:rPr>
                <w:color w:val="000000"/>
              </w:rPr>
              <w:t>34</w:t>
            </w:r>
            <w:r w:rsidR="00F11684" w:rsidRPr="004F749A">
              <w:rPr>
                <w:color w:val="000000"/>
              </w:rPr>
              <w:t xml:space="preserve"> tonnes </w:t>
            </w:r>
            <w:r w:rsidR="0042423E">
              <w:rPr>
                <w:color w:val="000000"/>
              </w:rPr>
              <w:t>per annum</w:t>
            </w:r>
          </w:p>
        </w:tc>
        <w:tc>
          <w:tcPr>
            <w:tcW w:w="2061" w:type="dxa"/>
          </w:tcPr>
          <w:p w14:paraId="36C941C0" w14:textId="32083B07" w:rsidR="00F11684" w:rsidRPr="00B14AE4" w:rsidRDefault="003F1EDA" w:rsidP="00602255">
            <w:pPr>
              <w:spacing w:before="60" w:after="60"/>
              <w:jc w:val="center"/>
            </w:pPr>
            <w:r>
              <w:rPr>
                <w:color w:val="000000"/>
              </w:rPr>
              <w:t>NA</w:t>
            </w:r>
            <w:r w:rsidR="00E01B7D">
              <w:rPr>
                <w:color w:val="000000"/>
              </w:rPr>
              <w:t xml:space="preserve"> </w:t>
            </w:r>
            <w:r w:rsidRPr="003F1EDA">
              <w:rPr>
                <w:color w:val="000000"/>
                <w:vertAlign w:val="superscript"/>
              </w:rPr>
              <w:t>(3)</w:t>
            </w:r>
          </w:p>
        </w:tc>
      </w:tr>
      <w:tr w:rsidR="00F11684" w14:paraId="4D372E02" w14:textId="77777777" w:rsidTr="003E4FC1">
        <w:trPr>
          <w:trHeight w:val="567"/>
        </w:trPr>
        <w:tc>
          <w:tcPr>
            <w:tcW w:w="3289" w:type="dxa"/>
          </w:tcPr>
          <w:p w14:paraId="3E5BE459" w14:textId="4134FAF8" w:rsidR="00F11684" w:rsidRPr="00B14AE4" w:rsidRDefault="003F1EDA" w:rsidP="003E4FC1">
            <w:pPr>
              <w:spacing w:before="60" w:after="60"/>
              <w:jc w:val="left"/>
            </w:pPr>
            <w:r w:rsidRPr="00B14AE4">
              <w:rPr>
                <w:color w:val="000000"/>
              </w:rPr>
              <w:t xml:space="preserve">High GWP refrigerants </w:t>
            </w:r>
            <w:r w:rsidR="00F11684" w:rsidRPr="00B14AE4">
              <w:rPr>
                <w:color w:val="000000"/>
              </w:rPr>
              <w:t>in pre-charged equipment imports over previous five years (excl. 2012)</w:t>
            </w:r>
          </w:p>
        </w:tc>
        <w:tc>
          <w:tcPr>
            <w:tcW w:w="2068" w:type="dxa"/>
          </w:tcPr>
          <w:p w14:paraId="6653FD5A" w14:textId="270B39A6" w:rsidR="00F11684" w:rsidRPr="00B14AE4" w:rsidRDefault="00F11684" w:rsidP="00602255">
            <w:pPr>
              <w:spacing w:before="60" w:after="60"/>
              <w:jc w:val="center"/>
            </w:pPr>
            <w:r w:rsidRPr="004F749A">
              <w:rPr>
                <w:color w:val="000000"/>
              </w:rPr>
              <w:t>142</w:t>
            </w:r>
            <w:r>
              <w:rPr>
                <w:color w:val="000000"/>
              </w:rPr>
              <w:t xml:space="preserve"> tonnes reducing</w:t>
            </w:r>
            <w:r w:rsidRPr="004F749A">
              <w:rPr>
                <w:color w:val="000000"/>
              </w:rPr>
              <w:t xml:space="preserve"> </w:t>
            </w:r>
            <w:r>
              <w:rPr>
                <w:color w:val="000000"/>
              </w:rPr>
              <w:t>down to 85 tonnes</w:t>
            </w:r>
          </w:p>
        </w:tc>
        <w:tc>
          <w:tcPr>
            <w:tcW w:w="2074" w:type="dxa"/>
          </w:tcPr>
          <w:p w14:paraId="3F2B496D" w14:textId="7E1C9EAC" w:rsidR="00F11684" w:rsidRPr="00B14AE4" w:rsidRDefault="00F11684" w:rsidP="00602255">
            <w:pPr>
              <w:spacing w:before="60" w:after="60"/>
              <w:jc w:val="center"/>
            </w:pPr>
            <w:r>
              <w:rPr>
                <w:color w:val="000000"/>
              </w:rPr>
              <w:t>71 tonnes reducing down to 20 tonnes</w:t>
            </w:r>
          </w:p>
        </w:tc>
        <w:tc>
          <w:tcPr>
            <w:tcW w:w="2061" w:type="dxa"/>
          </w:tcPr>
          <w:p w14:paraId="7AACAB5E" w14:textId="6073E0B8" w:rsidR="00F11684" w:rsidRPr="00B14AE4" w:rsidRDefault="005938DE" w:rsidP="00602255">
            <w:pPr>
              <w:spacing w:before="60" w:after="60"/>
              <w:jc w:val="center"/>
            </w:pPr>
            <w:r>
              <w:rPr>
                <w:color w:val="000000"/>
              </w:rPr>
              <w:t>-</w:t>
            </w:r>
            <w:r w:rsidR="00602255">
              <w:rPr>
                <w:color w:val="000000"/>
              </w:rPr>
              <w:t>7</w:t>
            </w:r>
            <w:r w:rsidR="00E01B7D">
              <w:rPr>
                <w:color w:val="000000"/>
              </w:rPr>
              <w:t>7</w:t>
            </w:r>
            <w:r w:rsidR="00602255">
              <w:rPr>
                <w:color w:val="000000"/>
              </w:rPr>
              <w:t>%</w:t>
            </w:r>
          </w:p>
        </w:tc>
      </w:tr>
      <w:tr w:rsidR="00F11684" w14:paraId="514DABDD" w14:textId="77777777" w:rsidTr="003E4FC1">
        <w:trPr>
          <w:trHeight w:val="567"/>
        </w:trPr>
        <w:tc>
          <w:tcPr>
            <w:tcW w:w="3289" w:type="dxa"/>
          </w:tcPr>
          <w:p w14:paraId="58ECDC1D" w14:textId="1E5254C4" w:rsidR="00F11684" w:rsidRPr="00B14AE4" w:rsidRDefault="00F11684" w:rsidP="003E4FC1">
            <w:pPr>
              <w:spacing w:before="60" w:after="60"/>
              <w:jc w:val="left"/>
            </w:pPr>
            <w:r w:rsidRPr="00B14AE4">
              <w:rPr>
                <w:color w:val="000000"/>
              </w:rPr>
              <w:t>Estimated stock of equipment</w:t>
            </w:r>
          </w:p>
        </w:tc>
        <w:tc>
          <w:tcPr>
            <w:tcW w:w="2068" w:type="dxa"/>
          </w:tcPr>
          <w:p w14:paraId="11C53920" w14:textId="21111E67" w:rsidR="00F11684" w:rsidRPr="00B14AE4" w:rsidRDefault="00F11684" w:rsidP="00602255">
            <w:pPr>
              <w:spacing w:before="60" w:after="60"/>
              <w:jc w:val="center"/>
            </w:pPr>
            <w:r w:rsidRPr="004F749A">
              <w:rPr>
                <w:color w:val="000000"/>
              </w:rPr>
              <w:t>17</w:t>
            </w:r>
            <w:r w:rsidR="003F1EDA">
              <w:rPr>
                <w:color w:val="000000"/>
              </w:rPr>
              <w:t>.1</w:t>
            </w:r>
            <w:r w:rsidRPr="004F749A">
              <w:rPr>
                <w:color w:val="000000"/>
              </w:rPr>
              <w:t xml:space="preserve"> million appliances</w:t>
            </w:r>
          </w:p>
        </w:tc>
        <w:tc>
          <w:tcPr>
            <w:tcW w:w="2074" w:type="dxa"/>
          </w:tcPr>
          <w:p w14:paraId="562D4C60" w14:textId="21319B04" w:rsidR="00F11684" w:rsidRPr="00B14AE4" w:rsidRDefault="00F11684" w:rsidP="00602255">
            <w:pPr>
              <w:spacing w:before="60" w:after="60"/>
              <w:jc w:val="center"/>
            </w:pPr>
            <w:r>
              <w:rPr>
                <w:color w:val="000000"/>
              </w:rPr>
              <w:t>19</w:t>
            </w:r>
            <w:r w:rsidR="003F1EDA">
              <w:rPr>
                <w:color w:val="000000"/>
              </w:rPr>
              <w:t>.2</w:t>
            </w:r>
            <w:r>
              <w:rPr>
                <w:color w:val="000000"/>
              </w:rPr>
              <w:t xml:space="preserve"> million appliances</w:t>
            </w:r>
            <w:r w:rsidR="00044DC5">
              <w:rPr>
                <w:color w:val="000000"/>
              </w:rPr>
              <w:t xml:space="preserve"> </w:t>
            </w:r>
            <w:r w:rsidR="00044DC5" w:rsidRPr="00044DC5">
              <w:rPr>
                <w:color w:val="000000"/>
                <w:vertAlign w:val="superscript"/>
              </w:rPr>
              <w:t>(1)</w:t>
            </w:r>
          </w:p>
        </w:tc>
        <w:tc>
          <w:tcPr>
            <w:tcW w:w="2061" w:type="dxa"/>
          </w:tcPr>
          <w:p w14:paraId="22D7F138" w14:textId="25FE3EFB" w:rsidR="00F11684" w:rsidRPr="00B14AE4" w:rsidRDefault="00F11684" w:rsidP="00602255">
            <w:pPr>
              <w:spacing w:before="60" w:after="60"/>
              <w:jc w:val="center"/>
            </w:pPr>
            <w:r>
              <w:rPr>
                <w:color w:val="000000"/>
              </w:rPr>
              <w:t>+</w:t>
            </w:r>
            <w:r w:rsidR="00E01B7D">
              <w:rPr>
                <w:color w:val="000000"/>
              </w:rPr>
              <w:t>12</w:t>
            </w:r>
            <w:r>
              <w:rPr>
                <w:color w:val="000000"/>
              </w:rPr>
              <w:t>%</w:t>
            </w:r>
          </w:p>
        </w:tc>
      </w:tr>
      <w:tr w:rsidR="00F11684" w14:paraId="03CCBE77" w14:textId="77777777" w:rsidTr="003E4FC1">
        <w:trPr>
          <w:trHeight w:val="567"/>
        </w:trPr>
        <w:tc>
          <w:tcPr>
            <w:tcW w:w="3289" w:type="dxa"/>
          </w:tcPr>
          <w:p w14:paraId="031637AF" w14:textId="23B5DF2B" w:rsidR="00F11684" w:rsidRPr="00B14AE4" w:rsidRDefault="00F11684" w:rsidP="003E4FC1">
            <w:pPr>
              <w:spacing w:before="60" w:after="60"/>
              <w:jc w:val="left"/>
            </w:pPr>
            <w:r w:rsidRPr="00B14AE4">
              <w:rPr>
                <w:color w:val="000000"/>
              </w:rPr>
              <w:t xml:space="preserve">Proportion </w:t>
            </w:r>
            <w:r w:rsidR="00E01B7D" w:rsidRPr="00B14AE4">
              <w:rPr>
                <w:color w:val="000000"/>
              </w:rPr>
              <w:t>s</w:t>
            </w:r>
            <w:r w:rsidRPr="00B14AE4">
              <w:rPr>
                <w:color w:val="000000"/>
              </w:rPr>
              <w:t xml:space="preserve">tock HFC </w:t>
            </w:r>
            <w:r w:rsidR="00E01B7D" w:rsidRPr="00B14AE4">
              <w:rPr>
                <w:color w:val="000000"/>
              </w:rPr>
              <w:t>c</w:t>
            </w:r>
            <w:r w:rsidRPr="00B14AE4">
              <w:rPr>
                <w:color w:val="000000"/>
              </w:rPr>
              <w:t>harged</w:t>
            </w:r>
          </w:p>
        </w:tc>
        <w:tc>
          <w:tcPr>
            <w:tcW w:w="2068" w:type="dxa"/>
          </w:tcPr>
          <w:p w14:paraId="0662EA60" w14:textId="30519952" w:rsidR="00F11684" w:rsidRPr="00B14AE4" w:rsidRDefault="00F11684" w:rsidP="00602255">
            <w:pPr>
              <w:spacing w:before="60" w:after="60"/>
              <w:jc w:val="center"/>
            </w:pPr>
            <w:r>
              <w:rPr>
                <w:color w:val="000000"/>
              </w:rPr>
              <w:t>93%</w:t>
            </w:r>
          </w:p>
        </w:tc>
        <w:tc>
          <w:tcPr>
            <w:tcW w:w="2074" w:type="dxa"/>
          </w:tcPr>
          <w:p w14:paraId="1BC62864" w14:textId="49CF39E7" w:rsidR="00F11684" w:rsidRPr="00B14AE4" w:rsidRDefault="00F11684" w:rsidP="00602255">
            <w:pPr>
              <w:spacing w:before="60" w:after="60"/>
              <w:jc w:val="center"/>
            </w:pPr>
            <w:r>
              <w:rPr>
                <w:color w:val="000000"/>
              </w:rPr>
              <w:t>84%</w:t>
            </w:r>
          </w:p>
        </w:tc>
        <w:tc>
          <w:tcPr>
            <w:tcW w:w="2061" w:type="dxa"/>
          </w:tcPr>
          <w:p w14:paraId="1C0841B0" w14:textId="71CA2AC4" w:rsidR="00F11684" w:rsidRPr="00B14AE4" w:rsidRDefault="005938DE" w:rsidP="00602255">
            <w:pPr>
              <w:spacing w:before="60" w:after="60"/>
              <w:jc w:val="center"/>
            </w:pPr>
            <w:r>
              <w:rPr>
                <w:color w:val="000000"/>
              </w:rPr>
              <w:t>-</w:t>
            </w:r>
            <w:r w:rsidR="00E01B7D">
              <w:rPr>
                <w:color w:val="000000"/>
              </w:rPr>
              <w:t>10</w:t>
            </w:r>
            <w:r w:rsidR="00F11684" w:rsidRPr="00E03443">
              <w:rPr>
                <w:color w:val="000000"/>
              </w:rPr>
              <w:t>%</w:t>
            </w:r>
          </w:p>
        </w:tc>
      </w:tr>
      <w:tr w:rsidR="00F11684" w14:paraId="437E550A" w14:textId="77777777" w:rsidTr="003E4FC1">
        <w:trPr>
          <w:trHeight w:val="567"/>
        </w:trPr>
        <w:tc>
          <w:tcPr>
            <w:tcW w:w="3289" w:type="dxa"/>
          </w:tcPr>
          <w:p w14:paraId="60B39BEE" w14:textId="07825F94" w:rsidR="00F11684" w:rsidRPr="00B14AE4" w:rsidRDefault="00F11684" w:rsidP="003E4FC1">
            <w:pPr>
              <w:spacing w:before="60" w:after="60"/>
              <w:jc w:val="left"/>
            </w:pPr>
            <w:r w:rsidRPr="00B14AE4">
              <w:rPr>
                <w:color w:val="000000"/>
              </w:rPr>
              <w:t xml:space="preserve">Proportion </w:t>
            </w:r>
            <w:r w:rsidR="00E01B7D" w:rsidRPr="00B14AE4">
              <w:rPr>
                <w:color w:val="000000"/>
              </w:rPr>
              <w:t>s</w:t>
            </w:r>
            <w:r w:rsidRPr="00B14AE4">
              <w:rPr>
                <w:color w:val="000000"/>
              </w:rPr>
              <w:t xml:space="preserve">tock HC </w:t>
            </w:r>
            <w:r w:rsidR="00E01B7D" w:rsidRPr="00B14AE4">
              <w:rPr>
                <w:color w:val="000000"/>
              </w:rPr>
              <w:t>c</w:t>
            </w:r>
            <w:r w:rsidRPr="00B14AE4">
              <w:rPr>
                <w:color w:val="000000"/>
              </w:rPr>
              <w:t>harged</w:t>
            </w:r>
          </w:p>
        </w:tc>
        <w:tc>
          <w:tcPr>
            <w:tcW w:w="2068" w:type="dxa"/>
          </w:tcPr>
          <w:p w14:paraId="6571E099" w14:textId="3BFE2BED" w:rsidR="00F11684" w:rsidRPr="00B14AE4" w:rsidRDefault="00F11684" w:rsidP="00602255">
            <w:pPr>
              <w:spacing w:before="60" w:after="60"/>
              <w:jc w:val="center"/>
            </w:pPr>
            <w:r>
              <w:rPr>
                <w:color w:val="000000"/>
              </w:rPr>
              <w:t>7%</w:t>
            </w:r>
          </w:p>
        </w:tc>
        <w:tc>
          <w:tcPr>
            <w:tcW w:w="2074" w:type="dxa"/>
          </w:tcPr>
          <w:p w14:paraId="5CC23BBA" w14:textId="20E7EBB5" w:rsidR="00F11684" w:rsidRPr="00B14AE4" w:rsidRDefault="00F11684" w:rsidP="00602255">
            <w:pPr>
              <w:spacing w:before="60" w:after="60"/>
              <w:jc w:val="center"/>
            </w:pPr>
            <w:r>
              <w:rPr>
                <w:color w:val="000000"/>
              </w:rPr>
              <w:t>16%</w:t>
            </w:r>
          </w:p>
        </w:tc>
        <w:tc>
          <w:tcPr>
            <w:tcW w:w="2061" w:type="dxa"/>
          </w:tcPr>
          <w:p w14:paraId="227A28DC" w14:textId="2E8C503E" w:rsidR="00F11684" w:rsidRPr="00B14AE4" w:rsidRDefault="00F11684" w:rsidP="00602255">
            <w:pPr>
              <w:spacing w:before="60" w:after="60"/>
              <w:jc w:val="center"/>
            </w:pPr>
            <w:r>
              <w:rPr>
                <w:color w:val="000000"/>
              </w:rPr>
              <w:t>+12</w:t>
            </w:r>
            <w:r w:rsidR="00E01B7D">
              <w:rPr>
                <w:color w:val="000000"/>
              </w:rPr>
              <w:t>9</w:t>
            </w:r>
            <w:r>
              <w:rPr>
                <w:color w:val="000000"/>
              </w:rPr>
              <w:t>%</w:t>
            </w:r>
          </w:p>
        </w:tc>
      </w:tr>
      <w:tr w:rsidR="00F11684" w14:paraId="579FCB6D" w14:textId="77777777" w:rsidTr="003E4FC1">
        <w:trPr>
          <w:trHeight w:val="567"/>
        </w:trPr>
        <w:tc>
          <w:tcPr>
            <w:tcW w:w="3289" w:type="dxa"/>
          </w:tcPr>
          <w:p w14:paraId="609147A8" w14:textId="7B89B9F5" w:rsidR="00F11684" w:rsidRPr="00B14AE4" w:rsidRDefault="00F11684" w:rsidP="003E4FC1">
            <w:pPr>
              <w:spacing w:before="60" w:after="60"/>
              <w:jc w:val="left"/>
            </w:pPr>
            <w:r w:rsidRPr="00B14AE4">
              <w:rPr>
                <w:color w:val="000000"/>
              </w:rPr>
              <w:t>Annual expenditure on new equipment</w:t>
            </w:r>
          </w:p>
        </w:tc>
        <w:tc>
          <w:tcPr>
            <w:tcW w:w="2068" w:type="dxa"/>
          </w:tcPr>
          <w:p w14:paraId="4076EEDE" w14:textId="48F6AAC1" w:rsidR="00F11684" w:rsidRPr="00B14AE4" w:rsidRDefault="00F11684" w:rsidP="00602255">
            <w:pPr>
              <w:spacing w:before="60" w:after="60"/>
              <w:jc w:val="center"/>
            </w:pPr>
            <w:r>
              <w:rPr>
                <w:color w:val="000000"/>
              </w:rPr>
              <w:t>&lt; $1.2 b</w:t>
            </w:r>
            <w:r w:rsidRPr="004F749A">
              <w:rPr>
                <w:color w:val="000000"/>
              </w:rPr>
              <w:t>illion</w:t>
            </w:r>
          </w:p>
        </w:tc>
        <w:tc>
          <w:tcPr>
            <w:tcW w:w="2074" w:type="dxa"/>
          </w:tcPr>
          <w:p w14:paraId="2DB697A3" w14:textId="4E7B9923" w:rsidR="00F11684" w:rsidRPr="00B14AE4" w:rsidRDefault="00E01B7D" w:rsidP="00602255">
            <w:pPr>
              <w:spacing w:before="60" w:after="60"/>
              <w:jc w:val="center"/>
            </w:pPr>
            <w:r>
              <w:rPr>
                <w:color w:val="000000"/>
              </w:rPr>
              <w:t>$1.4</w:t>
            </w:r>
            <w:r w:rsidR="00F11684">
              <w:rPr>
                <w:color w:val="000000"/>
              </w:rPr>
              <w:t xml:space="preserve"> billion</w:t>
            </w:r>
            <w:r w:rsidR="00044DC5">
              <w:rPr>
                <w:color w:val="000000"/>
              </w:rPr>
              <w:t xml:space="preserve"> </w:t>
            </w:r>
            <w:r w:rsidR="00044DC5" w:rsidRPr="00044DC5">
              <w:rPr>
                <w:color w:val="000000"/>
                <w:vertAlign w:val="superscript"/>
              </w:rPr>
              <w:t>(2)</w:t>
            </w:r>
          </w:p>
        </w:tc>
        <w:tc>
          <w:tcPr>
            <w:tcW w:w="2061" w:type="dxa"/>
          </w:tcPr>
          <w:p w14:paraId="50E40BA6" w14:textId="77223426" w:rsidR="00F11684" w:rsidRPr="00B14AE4" w:rsidRDefault="00F11684" w:rsidP="00602255">
            <w:pPr>
              <w:spacing w:before="60" w:after="60"/>
              <w:jc w:val="center"/>
            </w:pPr>
            <w:r>
              <w:rPr>
                <w:color w:val="000000"/>
              </w:rPr>
              <w:t>+1</w:t>
            </w:r>
            <w:r w:rsidR="000F5C49">
              <w:rPr>
                <w:color w:val="000000"/>
              </w:rPr>
              <w:t>7</w:t>
            </w:r>
            <w:r>
              <w:rPr>
                <w:color w:val="000000"/>
              </w:rPr>
              <w:t>%</w:t>
            </w:r>
          </w:p>
        </w:tc>
      </w:tr>
      <w:tr w:rsidR="00F11684" w14:paraId="05CF4D6F" w14:textId="77777777" w:rsidTr="003E4FC1">
        <w:trPr>
          <w:trHeight w:val="567"/>
        </w:trPr>
        <w:tc>
          <w:tcPr>
            <w:tcW w:w="3289" w:type="dxa"/>
          </w:tcPr>
          <w:p w14:paraId="284BF28F" w14:textId="6DAFDBF2" w:rsidR="00F11684" w:rsidRPr="00B14AE4" w:rsidRDefault="00F11684" w:rsidP="003E4FC1">
            <w:pPr>
              <w:spacing w:before="60" w:after="60"/>
              <w:jc w:val="left"/>
            </w:pPr>
            <w:r w:rsidRPr="00B14AE4">
              <w:rPr>
                <w:color w:val="000000"/>
              </w:rPr>
              <w:t>Annual electricity consumption</w:t>
            </w:r>
          </w:p>
        </w:tc>
        <w:tc>
          <w:tcPr>
            <w:tcW w:w="2068" w:type="dxa"/>
          </w:tcPr>
          <w:p w14:paraId="04A52940" w14:textId="50905CC6" w:rsidR="00F11684" w:rsidRPr="00B14AE4" w:rsidRDefault="00F11684" w:rsidP="00602255">
            <w:pPr>
              <w:spacing w:before="60" w:after="60"/>
              <w:jc w:val="center"/>
            </w:pPr>
            <w:r w:rsidRPr="004F749A">
              <w:rPr>
                <w:color w:val="000000"/>
              </w:rPr>
              <w:t>7,474 GWh</w:t>
            </w:r>
          </w:p>
        </w:tc>
        <w:tc>
          <w:tcPr>
            <w:tcW w:w="2074" w:type="dxa"/>
          </w:tcPr>
          <w:p w14:paraId="4F2C32CC" w14:textId="1D5EA7B4" w:rsidR="00F11684" w:rsidRPr="00B14AE4" w:rsidRDefault="00F11684" w:rsidP="00602255">
            <w:pPr>
              <w:spacing w:before="60" w:after="60"/>
              <w:jc w:val="center"/>
            </w:pPr>
            <w:r>
              <w:rPr>
                <w:color w:val="000000"/>
              </w:rPr>
              <w:t>8,</w:t>
            </w:r>
            <w:r w:rsidR="00E01B7D">
              <w:rPr>
                <w:color w:val="000000"/>
              </w:rPr>
              <w:t>534</w:t>
            </w:r>
            <w:r>
              <w:rPr>
                <w:color w:val="000000"/>
              </w:rPr>
              <w:t xml:space="preserve"> GWh</w:t>
            </w:r>
          </w:p>
        </w:tc>
        <w:tc>
          <w:tcPr>
            <w:tcW w:w="2061" w:type="dxa"/>
          </w:tcPr>
          <w:p w14:paraId="6DA59EF0" w14:textId="3C7BC7F0" w:rsidR="00F11684" w:rsidRPr="00B14AE4" w:rsidRDefault="00F11684" w:rsidP="00602255">
            <w:pPr>
              <w:spacing w:before="60" w:after="60"/>
              <w:jc w:val="center"/>
            </w:pPr>
            <w:r>
              <w:rPr>
                <w:color w:val="000000"/>
              </w:rPr>
              <w:t>+</w:t>
            </w:r>
            <w:r w:rsidR="00E01B7D">
              <w:rPr>
                <w:color w:val="000000"/>
              </w:rPr>
              <w:t>14</w:t>
            </w:r>
            <w:r>
              <w:rPr>
                <w:color w:val="000000"/>
              </w:rPr>
              <w:t>%</w:t>
            </w:r>
          </w:p>
        </w:tc>
      </w:tr>
      <w:tr w:rsidR="00F11684" w14:paraId="119BB209" w14:textId="77777777" w:rsidTr="003E4FC1">
        <w:trPr>
          <w:trHeight w:val="567"/>
        </w:trPr>
        <w:tc>
          <w:tcPr>
            <w:tcW w:w="3289" w:type="dxa"/>
          </w:tcPr>
          <w:p w14:paraId="7CDA52B1" w14:textId="0E95BB25" w:rsidR="00F11684" w:rsidRPr="00B14AE4" w:rsidRDefault="00F11684" w:rsidP="003E4FC1">
            <w:pPr>
              <w:spacing w:before="60" w:after="60"/>
              <w:jc w:val="left"/>
            </w:pPr>
            <w:r w:rsidRPr="00B14AE4">
              <w:rPr>
                <w:color w:val="000000"/>
              </w:rPr>
              <w:t>Share of HVAC&amp;R electrical consumption</w:t>
            </w:r>
          </w:p>
        </w:tc>
        <w:tc>
          <w:tcPr>
            <w:tcW w:w="2068" w:type="dxa"/>
          </w:tcPr>
          <w:p w14:paraId="5EA3596B" w14:textId="0DEDC712" w:rsidR="00F11684" w:rsidRPr="00B14AE4" w:rsidRDefault="00F11684" w:rsidP="00602255">
            <w:pPr>
              <w:spacing w:before="60" w:after="60"/>
              <w:jc w:val="center"/>
            </w:pPr>
            <w:r w:rsidRPr="004F749A">
              <w:rPr>
                <w:color w:val="000000"/>
              </w:rPr>
              <w:t>13%</w:t>
            </w:r>
          </w:p>
        </w:tc>
        <w:tc>
          <w:tcPr>
            <w:tcW w:w="2074" w:type="dxa"/>
          </w:tcPr>
          <w:p w14:paraId="3BAA474C" w14:textId="429B248F" w:rsidR="00F11684" w:rsidRPr="00B14AE4" w:rsidRDefault="000F5C49" w:rsidP="00602255">
            <w:pPr>
              <w:spacing w:before="60" w:after="60"/>
              <w:jc w:val="center"/>
            </w:pPr>
            <w:r w:rsidRPr="00B14AE4">
              <w:t>14</w:t>
            </w:r>
            <w:r w:rsidR="003E4FC1" w:rsidRPr="00B14AE4">
              <w:t>%</w:t>
            </w:r>
          </w:p>
        </w:tc>
        <w:tc>
          <w:tcPr>
            <w:tcW w:w="2061" w:type="dxa"/>
          </w:tcPr>
          <w:p w14:paraId="0E7DF7E5" w14:textId="390B02C7" w:rsidR="00F11684" w:rsidRPr="00B14AE4" w:rsidRDefault="000F5C49" w:rsidP="00602255">
            <w:pPr>
              <w:spacing w:before="60" w:after="60"/>
              <w:jc w:val="center"/>
            </w:pPr>
            <w:r w:rsidRPr="00B14AE4">
              <w:t>+7</w:t>
            </w:r>
            <w:r w:rsidR="005938DE" w:rsidRPr="00B14AE4">
              <w:t>%</w:t>
            </w:r>
          </w:p>
        </w:tc>
      </w:tr>
      <w:tr w:rsidR="00F11684" w14:paraId="43D46958" w14:textId="77777777" w:rsidTr="003E4FC1">
        <w:trPr>
          <w:trHeight w:val="567"/>
        </w:trPr>
        <w:tc>
          <w:tcPr>
            <w:tcW w:w="3289" w:type="dxa"/>
          </w:tcPr>
          <w:p w14:paraId="1D09AC55" w14:textId="21392108" w:rsidR="00F11684" w:rsidRPr="00B14AE4" w:rsidRDefault="00F11684" w:rsidP="003E4FC1">
            <w:pPr>
              <w:spacing w:before="60" w:after="60"/>
              <w:jc w:val="left"/>
            </w:pPr>
            <w:r w:rsidRPr="00B14AE4">
              <w:rPr>
                <w:color w:val="000000"/>
              </w:rPr>
              <w:t>Annual GHG indirect emissions</w:t>
            </w:r>
          </w:p>
        </w:tc>
        <w:tc>
          <w:tcPr>
            <w:tcW w:w="2068" w:type="dxa"/>
          </w:tcPr>
          <w:p w14:paraId="1725010A" w14:textId="0A0593B6" w:rsidR="00F11684" w:rsidRPr="00B14AE4" w:rsidRDefault="00F11684" w:rsidP="00602255">
            <w:pPr>
              <w:spacing w:before="60" w:after="60"/>
              <w:jc w:val="center"/>
            </w:pPr>
            <w:r w:rsidRPr="008D1119">
              <w:rPr>
                <w:color w:val="000000"/>
              </w:rPr>
              <w:t>6.83 Mt CO</w:t>
            </w:r>
            <w:r w:rsidRPr="008D1119">
              <w:rPr>
                <w:color w:val="000000"/>
                <w:vertAlign w:val="subscript"/>
              </w:rPr>
              <w:t>2</w:t>
            </w:r>
            <w:r w:rsidRPr="008D1119">
              <w:rPr>
                <w:color w:val="000000"/>
              </w:rPr>
              <w:t>e</w:t>
            </w:r>
          </w:p>
        </w:tc>
        <w:tc>
          <w:tcPr>
            <w:tcW w:w="2074" w:type="dxa"/>
          </w:tcPr>
          <w:p w14:paraId="01A58D0A" w14:textId="0C9108E1" w:rsidR="00F11684" w:rsidRPr="00B14AE4" w:rsidRDefault="00B464ED" w:rsidP="00602255">
            <w:pPr>
              <w:spacing w:before="60" w:after="60"/>
              <w:jc w:val="center"/>
            </w:pPr>
            <w:r w:rsidRPr="008D1119">
              <w:rPr>
                <w:color w:val="000000"/>
              </w:rPr>
              <w:t>7.7</w:t>
            </w:r>
            <w:r w:rsidR="008D1119" w:rsidRPr="008D1119">
              <w:rPr>
                <w:color w:val="000000"/>
              </w:rPr>
              <w:t>7</w:t>
            </w:r>
            <w:r w:rsidRPr="008D1119">
              <w:rPr>
                <w:color w:val="000000"/>
              </w:rPr>
              <w:t xml:space="preserve"> Mt CO</w:t>
            </w:r>
            <w:r w:rsidRPr="008D1119">
              <w:rPr>
                <w:color w:val="000000"/>
                <w:vertAlign w:val="subscript"/>
              </w:rPr>
              <w:t>2</w:t>
            </w:r>
            <w:r w:rsidRPr="008D1119">
              <w:rPr>
                <w:color w:val="000000"/>
              </w:rPr>
              <w:t>e</w:t>
            </w:r>
          </w:p>
        </w:tc>
        <w:tc>
          <w:tcPr>
            <w:tcW w:w="2061" w:type="dxa"/>
          </w:tcPr>
          <w:p w14:paraId="47207925" w14:textId="3AF39B3D" w:rsidR="00F11684" w:rsidRPr="00B14AE4" w:rsidRDefault="00044211" w:rsidP="00602255">
            <w:pPr>
              <w:spacing w:before="60" w:after="60"/>
              <w:jc w:val="center"/>
            </w:pPr>
            <w:r w:rsidRPr="008D1119">
              <w:rPr>
                <w:color w:val="000000"/>
              </w:rPr>
              <w:t>+</w:t>
            </w:r>
            <w:r w:rsidR="000F5C49" w:rsidRPr="008D1119">
              <w:rPr>
                <w:color w:val="000000"/>
              </w:rPr>
              <w:t>14</w:t>
            </w:r>
            <w:r w:rsidRPr="008D1119">
              <w:rPr>
                <w:color w:val="000000"/>
              </w:rPr>
              <w:t>%</w:t>
            </w:r>
          </w:p>
        </w:tc>
      </w:tr>
      <w:tr w:rsidR="00952379" w14:paraId="08DCC158" w14:textId="77777777" w:rsidTr="003E4FC1">
        <w:trPr>
          <w:trHeight w:val="567"/>
        </w:trPr>
        <w:tc>
          <w:tcPr>
            <w:tcW w:w="3289" w:type="dxa"/>
          </w:tcPr>
          <w:p w14:paraId="04BB3503" w14:textId="64A5F431" w:rsidR="00952379" w:rsidRPr="00B14AE4" w:rsidRDefault="00952379" w:rsidP="00952379">
            <w:pPr>
              <w:spacing w:before="60" w:after="60"/>
              <w:jc w:val="left"/>
            </w:pPr>
            <w:r w:rsidRPr="00B14AE4">
              <w:rPr>
                <w:color w:val="000000"/>
              </w:rPr>
              <w:t>Annual GHG (SGG) direct emissions</w:t>
            </w:r>
          </w:p>
        </w:tc>
        <w:tc>
          <w:tcPr>
            <w:tcW w:w="2068" w:type="dxa"/>
          </w:tcPr>
          <w:p w14:paraId="1CED6A7E" w14:textId="12B8A36F" w:rsidR="00952379" w:rsidRPr="00B14AE4" w:rsidRDefault="00952379" w:rsidP="00952379">
            <w:pPr>
              <w:spacing w:before="60" w:after="60"/>
              <w:jc w:val="center"/>
            </w:pPr>
            <w:r w:rsidRPr="008D1119">
              <w:rPr>
                <w:color w:val="000000"/>
              </w:rPr>
              <w:t>0.03 Mt CO</w:t>
            </w:r>
            <w:r w:rsidRPr="008D1119">
              <w:rPr>
                <w:color w:val="000000"/>
                <w:vertAlign w:val="subscript"/>
              </w:rPr>
              <w:t>2</w:t>
            </w:r>
            <w:r w:rsidRPr="008D1119">
              <w:rPr>
                <w:color w:val="000000"/>
              </w:rPr>
              <w:t>e</w:t>
            </w:r>
          </w:p>
        </w:tc>
        <w:tc>
          <w:tcPr>
            <w:tcW w:w="2074" w:type="dxa"/>
          </w:tcPr>
          <w:p w14:paraId="5B1B124D" w14:textId="78A2A3C5" w:rsidR="00952379" w:rsidRPr="00B14AE4" w:rsidRDefault="00952379" w:rsidP="00952379">
            <w:pPr>
              <w:spacing w:before="60" w:after="60"/>
              <w:jc w:val="center"/>
            </w:pPr>
            <w:r w:rsidRPr="008D1119">
              <w:rPr>
                <w:color w:val="000000"/>
              </w:rPr>
              <w:t>0.05 Mt CO</w:t>
            </w:r>
            <w:r w:rsidRPr="008D1119">
              <w:rPr>
                <w:color w:val="000000"/>
                <w:vertAlign w:val="subscript"/>
              </w:rPr>
              <w:t>2</w:t>
            </w:r>
            <w:r w:rsidRPr="008D1119">
              <w:rPr>
                <w:color w:val="000000"/>
              </w:rPr>
              <w:t>e</w:t>
            </w:r>
          </w:p>
        </w:tc>
        <w:tc>
          <w:tcPr>
            <w:tcW w:w="2061" w:type="dxa"/>
          </w:tcPr>
          <w:p w14:paraId="389A0C75" w14:textId="0CFABA3C" w:rsidR="00952379" w:rsidRPr="00B14AE4" w:rsidRDefault="000F5C49" w:rsidP="00952379">
            <w:pPr>
              <w:spacing w:before="60" w:after="60"/>
              <w:jc w:val="center"/>
            </w:pPr>
            <w:r w:rsidRPr="008D1119">
              <w:rPr>
                <w:color w:val="000000"/>
              </w:rPr>
              <w:t xml:space="preserve">NA </w:t>
            </w:r>
            <w:r w:rsidRPr="008D1119">
              <w:rPr>
                <w:color w:val="000000"/>
                <w:vertAlign w:val="superscript"/>
              </w:rPr>
              <w:t>(3)</w:t>
            </w:r>
          </w:p>
        </w:tc>
      </w:tr>
      <w:tr w:rsidR="00952379" w14:paraId="7AA35D62" w14:textId="77777777" w:rsidTr="003E4FC1">
        <w:trPr>
          <w:trHeight w:val="567"/>
        </w:trPr>
        <w:tc>
          <w:tcPr>
            <w:tcW w:w="3289" w:type="dxa"/>
          </w:tcPr>
          <w:p w14:paraId="27EECBFC" w14:textId="51199A0F" w:rsidR="00952379" w:rsidRPr="00B14AE4" w:rsidRDefault="00952379" w:rsidP="00952379">
            <w:pPr>
              <w:spacing w:before="60" w:after="60"/>
              <w:jc w:val="left"/>
              <w:rPr>
                <w:color w:val="000000"/>
              </w:rPr>
            </w:pPr>
            <w:r w:rsidRPr="00B14AE4">
              <w:rPr>
                <w:color w:val="000000"/>
              </w:rPr>
              <w:t>Share of HVAC&amp;R direct emissions</w:t>
            </w:r>
          </w:p>
        </w:tc>
        <w:tc>
          <w:tcPr>
            <w:tcW w:w="2068" w:type="dxa"/>
          </w:tcPr>
          <w:p w14:paraId="0F143D4B" w14:textId="4CD7D6CB" w:rsidR="00952379" w:rsidRPr="00B14AE4" w:rsidRDefault="00952379" w:rsidP="00952379">
            <w:pPr>
              <w:spacing w:before="60" w:after="60"/>
              <w:jc w:val="center"/>
            </w:pPr>
            <w:r w:rsidRPr="008D1119">
              <w:rPr>
                <w:color w:val="000000"/>
              </w:rPr>
              <w:t>0.50%</w:t>
            </w:r>
          </w:p>
        </w:tc>
        <w:tc>
          <w:tcPr>
            <w:tcW w:w="2074" w:type="dxa"/>
          </w:tcPr>
          <w:p w14:paraId="1680294F" w14:textId="500BAC9E" w:rsidR="00952379" w:rsidRPr="00B14AE4" w:rsidRDefault="008D1119" w:rsidP="00952379">
            <w:pPr>
              <w:spacing w:before="60" w:after="60"/>
              <w:jc w:val="center"/>
            </w:pPr>
            <w:r w:rsidRPr="00B14AE4">
              <w:t>0.8</w:t>
            </w:r>
            <w:r w:rsidR="00952379" w:rsidRPr="00B14AE4">
              <w:t>%</w:t>
            </w:r>
          </w:p>
        </w:tc>
        <w:tc>
          <w:tcPr>
            <w:tcW w:w="2061" w:type="dxa"/>
          </w:tcPr>
          <w:p w14:paraId="4DBD84FB" w14:textId="09C75350" w:rsidR="00952379" w:rsidRPr="00B14AE4" w:rsidRDefault="003F1EDA" w:rsidP="00952379">
            <w:pPr>
              <w:spacing w:before="60" w:after="60"/>
              <w:jc w:val="center"/>
            </w:pPr>
            <w:r w:rsidRPr="008D1119">
              <w:rPr>
                <w:color w:val="000000"/>
              </w:rPr>
              <w:t>NA</w:t>
            </w:r>
            <w:r w:rsidR="000F5C49" w:rsidRPr="008D1119">
              <w:rPr>
                <w:color w:val="000000"/>
              </w:rPr>
              <w:t xml:space="preserve"> </w:t>
            </w:r>
            <w:r w:rsidRPr="008D1119">
              <w:rPr>
                <w:color w:val="000000"/>
                <w:vertAlign w:val="superscript"/>
              </w:rPr>
              <w:t>(3)</w:t>
            </w:r>
          </w:p>
        </w:tc>
      </w:tr>
      <w:tr w:rsidR="00952379" w14:paraId="354B40CF" w14:textId="77777777" w:rsidTr="003E4FC1">
        <w:trPr>
          <w:trHeight w:val="567"/>
        </w:trPr>
        <w:tc>
          <w:tcPr>
            <w:tcW w:w="3289" w:type="dxa"/>
          </w:tcPr>
          <w:p w14:paraId="17F20278" w14:textId="0102461F" w:rsidR="00952379" w:rsidRPr="00B14AE4" w:rsidRDefault="00952379" w:rsidP="00952379">
            <w:pPr>
              <w:spacing w:before="60" w:after="60"/>
              <w:jc w:val="left"/>
            </w:pPr>
            <w:r w:rsidRPr="00B14AE4">
              <w:rPr>
                <w:color w:val="000000"/>
              </w:rPr>
              <w:t xml:space="preserve">Share of HVAC&amp;R total emissions (direct and indirect, not incl. </w:t>
            </w:r>
            <w:r w:rsidR="005C5275" w:rsidRPr="00B14AE4">
              <w:rPr>
                <w:color w:val="000000"/>
              </w:rPr>
              <w:t>EOL</w:t>
            </w:r>
            <w:r w:rsidRPr="00B14AE4">
              <w:rPr>
                <w:color w:val="000000"/>
              </w:rPr>
              <w:t>)</w:t>
            </w:r>
          </w:p>
        </w:tc>
        <w:tc>
          <w:tcPr>
            <w:tcW w:w="2068" w:type="dxa"/>
          </w:tcPr>
          <w:p w14:paraId="3A558398" w14:textId="408A925D" w:rsidR="00952379" w:rsidRPr="00B14AE4" w:rsidRDefault="00952379" w:rsidP="00952379">
            <w:pPr>
              <w:spacing w:before="60" w:after="60"/>
              <w:jc w:val="center"/>
            </w:pPr>
            <w:r w:rsidRPr="008D1119">
              <w:rPr>
                <w:color w:val="000000"/>
              </w:rPr>
              <w:t>11%</w:t>
            </w:r>
          </w:p>
        </w:tc>
        <w:tc>
          <w:tcPr>
            <w:tcW w:w="2074" w:type="dxa"/>
          </w:tcPr>
          <w:p w14:paraId="7DA63B6D" w14:textId="19E67D1C" w:rsidR="00952379" w:rsidRPr="00B14AE4" w:rsidRDefault="00952379" w:rsidP="00952379">
            <w:pPr>
              <w:spacing w:before="60" w:after="60"/>
              <w:jc w:val="center"/>
            </w:pPr>
            <w:r w:rsidRPr="00B14AE4">
              <w:t>12%</w:t>
            </w:r>
          </w:p>
        </w:tc>
        <w:tc>
          <w:tcPr>
            <w:tcW w:w="2061" w:type="dxa"/>
          </w:tcPr>
          <w:p w14:paraId="6D42C34D" w14:textId="3ED3CA6D" w:rsidR="00952379" w:rsidRPr="00B14AE4" w:rsidRDefault="000F5C49" w:rsidP="00952379">
            <w:pPr>
              <w:spacing w:before="60" w:after="60"/>
              <w:jc w:val="center"/>
            </w:pPr>
            <w:r w:rsidRPr="008D1119">
              <w:rPr>
                <w:color w:val="000000"/>
              </w:rPr>
              <w:t xml:space="preserve">NA </w:t>
            </w:r>
            <w:r w:rsidRPr="008D1119">
              <w:rPr>
                <w:color w:val="000000"/>
                <w:vertAlign w:val="superscript"/>
              </w:rPr>
              <w:t>(3)</w:t>
            </w:r>
          </w:p>
        </w:tc>
      </w:tr>
    </w:tbl>
    <w:p w14:paraId="271C6EBD" w14:textId="720E2FFF" w:rsidR="00044DC5" w:rsidRPr="00116557" w:rsidRDefault="00044DC5" w:rsidP="00044DC5">
      <w:pPr>
        <w:spacing w:before="0"/>
        <w:rPr>
          <w:sz w:val="20"/>
          <w:szCs w:val="20"/>
        </w:rPr>
      </w:pPr>
      <w:r w:rsidRPr="00952379">
        <w:rPr>
          <w:sz w:val="20"/>
          <w:szCs w:val="20"/>
        </w:rPr>
        <w:t>(Sources: D</w:t>
      </w:r>
      <w:r w:rsidR="00952379" w:rsidRPr="00952379">
        <w:rPr>
          <w:sz w:val="20"/>
          <w:szCs w:val="20"/>
        </w:rPr>
        <w:t>oEE</w:t>
      </w:r>
      <w:r w:rsidRPr="00952379">
        <w:rPr>
          <w:sz w:val="20"/>
          <w:szCs w:val="20"/>
        </w:rPr>
        <w:t xml:space="preserve"> 201</w:t>
      </w:r>
      <w:r w:rsidR="00952379" w:rsidRPr="00952379">
        <w:rPr>
          <w:sz w:val="20"/>
          <w:szCs w:val="20"/>
        </w:rPr>
        <w:t>7</w:t>
      </w:r>
      <w:r w:rsidRPr="00952379">
        <w:rPr>
          <w:sz w:val="20"/>
          <w:szCs w:val="20"/>
        </w:rPr>
        <w:t xml:space="preserve">a, </w:t>
      </w:r>
      <w:r w:rsidR="00952379" w:rsidRPr="00952379">
        <w:rPr>
          <w:sz w:val="20"/>
          <w:szCs w:val="20"/>
        </w:rPr>
        <w:t xml:space="preserve">E3 2015 </w:t>
      </w:r>
      <w:r w:rsidRPr="00952379">
        <w:rPr>
          <w:sz w:val="20"/>
          <w:szCs w:val="20"/>
        </w:rPr>
        <w:t>and E3 2008d and industry informants)</w:t>
      </w:r>
    </w:p>
    <w:p w14:paraId="18921E6C" w14:textId="77777777" w:rsidR="00044DC5" w:rsidRPr="007F3900" w:rsidRDefault="00044DC5" w:rsidP="00044DC5">
      <w:pPr>
        <w:spacing w:before="60" w:after="60"/>
        <w:rPr>
          <w:rFonts w:cs="Times New Roman"/>
          <w:sz w:val="20"/>
          <w:szCs w:val="20"/>
          <w:lang w:val="en-AU"/>
        </w:rPr>
      </w:pPr>
      <w:r w:rsidRPr="007F3900">
        <w:rPr>
          <w:rFonts w:cs="Times New Roman"/>
          <w:sz w:val="20"/>
          <w:szCs w:val="20"/>
          <w:lang w:val="en-AU"/>
        </w:rPr>
        <w:t>Notes:</w:t>
      </w:r>
    </w:p>
    <w:p w14:paraId="3C9583B4" w14:textId="7963F40D" w:rsidR="00D374E7" w:rsidRDefault="00D374E7" w:rsidP="00FC735C">
      <w:pPr>
        <w:pStyle w:val="ListParagraph"/>
        <w:numPr>
          <w:ilvl w:val="0"/>
          <w:numId w:val="40"/>
        </w:numPr>
        <w:spacing w:before="60" w:after="60" w:line="240" w:lineRule="auto"/>
        <w:contextualSpacing w:val="0"/>
        <w:jc w:val="both"/>
        <w:rPr>
          <w:rFonts w:ascii="Times New Roman" w:hAnsi="Times New Roman"/>
          <w:sz w:val="20"/>
          <w:szCs w:val="20"/>
          <w:lang w:val="en-AU"/>
        </w:rPr>
      </w:pPr>
      <w:r w:rsidRPr="00D374E7">
        <w:rPr>
          <w:rFonts w:ascii="Times New Roman" w:hAnsi="Times New Roman"/>
          <w:sz w:val="20"/>
          <w:szCs w:val="20"/>
          <w:lang w:val="en-AU"/>
        </w:rPr>
        <w:t xml:space="preserve">Some of this increase is due to new data suggesting that CHF2 underestimated the number of </w:t>
      </w:r>
      <w:r w:rsidR="004D3A80">
        <w:rPr>
          <w:rFonts w:ascii="Times New Roman" w:hAnsi="Times New Roman"/>
          <w:sz w:val="20"/>
          <w:szCs w:val="20"/>
          <w:lang w:val="en-AU"/>
        </w:rPr>
        <w:t xml:space="preserve">pieces of </w:t>
      </w:r>
      <w:r w:rsidRPr="00D374E7">
        <w:rPr>
          <w:rFonts w:ascii="Times New Roman" w:hAnsi="Times New Roman"/>
          <w:sz w:val="20"/>
          <w:szCs w:val="20"/>
          <w:lang w:val="en-AU"/>
        </w:rPr>
        <w:t xml:space="preserve">portable and vehicle refrigeration in 2012. CHF2 estimates portable and vehicle refrigeration of only 100,000 pieces, as compared to CHF3 estimate of ~900,000 pieces. Further discussion about this market is included in </w:t>
      </w:r>
      <w:r w:rsidR="00E159AD">
        <w:rPr>
          <w:rFonts w:ascii="Times New Roman" w:hAnsi="Times New Roman"/>
          <w:sz w:val="20"/>
          <w:szCs w:val="20"/>
          <w:lang w:val="en-AU"/>
        </w:rPr>
        <w:t>the domestic refrigeration s</w:t>
      </w:r>
      <w:r w:rsidRPr="00D374E7">
        <w:rPr>
          <w:rFonts w:ascii="Times New Roman" w:hAnsi="Times New Roman"/>
          <w:sz w:val="20"/>
          <w:szCs w:val="20"/>
          <w:lang w:val="en-AU"/>
        </w:rPr>
        <w:t>ection above.</w:t>
      </w:r>
    </w:p>
    <w:p w14:paraId="7EE9C937" w14:textId="106C2877" w:rsidR="00D374E7" w:rsidRDefault="00D374E7" w:rsidP="00FC735C">
      <w:pPr>
        <w:pStyle w:val="ListParagraph"/>
        <w:numPr>
          <w:ilvl w:val="0"/>
          <w:numId w:val="40"/>
        </w:numPr>
        <w:spacing w:before="60" w:after="60" w:line="240" w:lineRule="auto"/>
        <w:contextualSpacing w:val="0"/>
        <w:jc w:val="both"/>
        <w:rPr>
          <w:rFonts w:ascii="Times New Roman" w:hAnsi="Times New Roman"/>
          <w:sz w:val="20"/>
          <w:szCs w:val="20"/>
          <w:lang w:val="en-AU"/>
        </w:rPr>
      </w:pPr>
      <w:r w:rsidRPr="00D374E7">
        <w:rPr>
          <w:rFonts w:ascii="Times New Roman" w:hAnsi="Times New Roman"/>
          <w:sz w:val="20"/>
          <w:szCs w:val="20"/>
          <w:lang w:val="en-AU"/>
        </w:rPr>
        <w:t>Including purchase of portable and automotive refrigeration.</w:t>
      </w:r>
    </w:p>
    <w:p w14:paraId="120876C5" w14:textId="77777777" w:rsidR="003F1EDA" w:rsidRDefault="003F1EDA" w:rsidP="003F1EDA">
      <w:pPr>
        <w:pStyle w:val="ListParagraph"/>
        <w:numPr>
          <w:ilvl w:val="0"/>
          <w:numId w:val="40"/>
        </w:numPr>
        <w:spacing w:before="60" w:after="60" w:line="240" w:lineRule="auto"/>
        <w:contextualSpacing w:val="0"/>
        <w:jc w:val="both"/>
        <w:rPr>
          <w:rFonts w:ascii="Times New Roman" w:hAnsi="Times New Roman"/>
          <w:sz w:val="20"/>
          <w:szCs w:val="20"/>
        </w:rPr>
      </w:pPr>
      <w:r>
        <w:rPr>
          <w:rFonts w:ascii="Times New Roman" w:hAnsi="Times New Roman"/>
          <w:sz w:val="20"/>
          <w:szCs w:val="20"/>
        </w:rPr>
        <w:t>The direct emissions in 2012 cannot be directly compared to 2016 as CHF2 is an assessment of a full bank and CHF3 is an assessment of a partially full bank.</w:t>
      </w:r>
    </w:p>
    <w:p w14:paraId="20590458" w14:textId="77777777" w:rsidR="003F1EDA" w:rsidRPr="003F1EDA" w:rsidRDefault="003F1EDA" w:rsidP="003F1EDA">
      <w:pPr>
        <w:spacing w:before="60" w:after="60"/>
        <w:rPr>
          <w:sz w:val="20"/>
          <w:szCs w:val="20"/>
          <w:lang w:val="en-AU"/>
        </w:rPr>
      </w:pPr>
    </w:p>
    <w:p w14:paraId="61530AA5" w14:textId="38B44658" w:rsidR="0036355B" w:rsidRPr="00F00266" w:rsidRDefault="0036355B" w:rsidP="00F00266">
      <w:pPr>
        <w:rPr>
          <w:szCs w:val="22"/>
        </w:rPr>
      </w:pPr>
      <w:r>
        <w:br w:type="page"/>
      </w:r>
    </w:p>
    <w:p w14:paraId="49CC5540" w14:textId="1F29BAD6" w:rsidR="0036355B" w:rsidRDefault="0036355B" w:rsidP="00E476A8">
      <w:pPr>
        <w:pStyle w:val="Heading1"/>
        <w:ind w:left="720" w:hanging="720"/>
        <w:jc w:val="both"/>
      </w:pPr>
      <w:bookmarkStart w:id="59" w:name="_Toc494661746"/>
      <w:bookmarkStart w:id="60" w:name="_Toc525141271"/>
      <w:r w:rsidRPr="000226CB">
        <w:t xml:space="preserve">The </w:t>
      </w:r>
      <w:r w:rsidR="005631FA">
        <w:t>r</w:t>
      </w:r>
      <w:r w:rsidR="00E476A8">
        <w:t>efrigerant</w:t>
      </w:r>
      <w:bookmarkEnd w:id="59"/>
      <w:r w:rsidR="00573A8B">
        <w:t xml:space="preserve"> </w:t>
      </w:r>
      <w:r w:rsidR="005631FA">
        <w:t>b</w:t>
      </w:r>
      <w:r w:rsidR="00573A8B">
        <w:t>ank</w:t>
      </w:r>
      <w:bookmarkEnd w:id="60"/>
    </w:p>
    <w:p w14:paraId="3D78C2F7" w14:textId="7B5FED4A" w:rsidR="00573A8B" w:rsidRPr="00FC6F65" w:rsidRDefault="00573A8B" w:rsidP="00C314F0">
      <w:pPr>
        <w:rPr>
          <w:szCs w:val="22"/>
        </w:rPr>
      </w:pPr>
      <w:r w:rsidRPr="00FC6F65">
        <w:rPr>
          <w:szCs w:val="22"/>
        </w:rPr>
        <w:t xml:space="preserve">The common denominator of all </w:t>
      </w:r>
      <w:r w:rsidR="009F5EAE">
        <w:rPr>
          <w:szCs w:val="22"/>
        </w:rPr>
        <w:t>vapour</w:t>
      </w:r>
      <w:r>
        <w:rPr>
          <w:szCs w:val="22"/>
        </w:rPr>
        <w:t xml:space="preserve"> compression </w:t>
      </w:r>
      <w:r w:rsidRPr="00FC6F65">
        <w:rPr>
          <w:szCs w:val="22"/>
        </w:rPr>
        <w:t>air conditioning and refrigeration, in all of its forms and applications, is th</w:t>
      </w:r>
      <w:r>
        <w:rPr>
          <w:szCs w:val="22"/>
        </w:rPr>
        <w:t xml:space="preserve">at </w:t>
      </w:r>
      <w:r w:rsidR="00A14795">
        <w:rPr>
          <w:szCs w:val="22"/>
        </w:rPr>
        <w:t xml:space="preserve">it </w:t>
      </w:r>
      <w:r>
        <w:rPr>
          <w:szCs w:val="22"/>
        </w:rPr>
        <w:t>all employ</w:t>
      </w:r>
      <w:r w:rsidR="00A14795">
        <w:rPr>
          <w:szCs w:val="22"/>
        </w:rPr>
        <w:t>s</w:t>
      </w:r>
      <w:r>
        <w:rPr>
          <w:szCs w:val="22"/>
        </w:rPr>
        <w:t xml:space="preserve"> a thermal media; the</w:t>
      </w:r>
      <w:r w:rsidRPr="00FC6F65">
        <w:rPr>
          <w:szCs w:val="22"/>
        </w:rPr>
        <w:t xml:space="preserve"> working </w:t>
      </w:r>
      <w:r w:rsidR="00F430FC">
        <w:rPr>
          <w:szCs w:val="22"/>
        </w:rPr>
        <w:t>refrigerants</w:t>
      </w:r>
      <w:r w:rsidR="00F430FC" w:rsidRPr="00FC6F65">
        <w:rPr>
          <w:szCs w:val="22"/>
        </w:rPr>
        <w:t xml:space="preserve"> </w:t>
      </w:r>
      <w:r w:rsidRPr="00FC6F65">
        <w:rPr>
          <w:szCs w:val="22"/>
        </w:rPr>
        <w:t xml:space="preserve">that are the medium for transferring heat. The sum of all </w:t>
      </w:r>
      <w:r>
        <w:rPr>
          <w:szCs w:val="22"/>
        </w:rPr>
        <w:t>refrigerant</w:t>
      </w:r>
      <w:r w:rsidRPr="00FC6F65">
        <w:rPr>
          <w:szCs w:val="22"/>
        </w:rPr>
        <w:t xml:space="preserve"> contained in RAC equipment </w:t>
      </w:r>
      <w:r>
        <w:rPr>
          <w:szCs w:val="22"/>
        </w:rPr>
        <w:t>is</w:t>
      </w:r>
      <w:r w:rsidRPr="00FC6F65">
        <w:rPr>
          <w:szCs w:val="22"/>
        </w:rPr>
        <w:t xml:space="preserve"> referred to as ‘the bank’ of </w:t>
      </w:r>
      <w:r>
        <w:rPr>
          <w:szCs w:val="22"/>
        </w:rPr>
        <w:t>working refrigerants</w:t>
      </w:r>
      <w:r w:rsidRPr="00FC6F65">
        <w:rPr>
          <w:szCs w:val="22"/>
        </w:rPr>
        <w:t>.</w:t>
      </w:r>
    </w:p>
    <w:p w14:paraId="5CDC5505" w14:textId="2A1F272C" w:rsidR="00573A8B" w:rsidRDefault="00573A8B" w:rsidP="00C314F0">
      <w:pPr>
        <w:rPr>
          <w:szCs w:val="22"/>
        </w:rPr>
      </w:pPr>
      <w:r>
        <w:rPr>
          <w:szCs w:val="22"/>
        </w:rPr>
        <w:t xml:space="preserve">Over the past century as the RAC industry and technology has developed and expanded to become one of the cornerstone technologies of modern society, the nature of the bank has also changed and evolved, and grown enormously. Originally starting with common compounds, some </w:t>
      </w:r>
      <w:r w:rsidR="002770F1">
        <w:rPr>
          <w:szCs w:val="22"/>
        </w:rPr>
        <w:t xml:space="preserve">of which </w:t>
      </w:r>
      <w:r w:rsidR="00A14795">
        <w:rPr>
          <w:szCs w:val="22"/>
        </w:rPr>
        <w:t xml:space="preserve">are </w:t>
      </w:r>
      <w:r>
        <w:rPr>
          <w:szCs w:val="22"/>
        </w:rPr>
        <w:t xml:space="preserve">toxic, such as ammonia, </w:t>
      </w:r>
      <w:r w:rsidR="009F5EAE">
        <w:rPr>
          <w:szCs w:val="22"/>
        </w:rPr>
        <w:t>sulphur</w:t>
      </w:r>
      <w:r>
        <w:rPr>
          <w:szCs w:val="22"/>
        </w:rPr>
        <w:t xml:space="preserve"> dioxide and methyl chloride, the bank today is populated by dozens of synthetic and natural refrigerants, all with varying properties and attributes suitable for different applications. </w:t>
      </w:r>
    </w:p>
    <w:p w14:paraId="3D8B8D10" w14:textId="082E7D0F" w:rsidR="00A22E7C" w:rsidRDefault="00573A8B" w:rsidP="00C314F0">
      <w:pPr>
        <w:rPr>
          <w:szCs w:val="22"/>
        </w:rPr>
      </w:pPr>
      <w:r>
        <w:rPr>
          <w:szCs w:val="22"/>
        </w:rPr>
        <w:t xml:space="preserve">The stock of equipment is hugely varied as </w:t>
      </w:r>
      <w:r w:rsidR="00A14795">
        <w:rPr>
          <w:szCs w:val="22"/>
        </w:rPr>
        <w:t xml:space="preserve">is </w:t>
      </w:r>
      <w:r>
        <w:rPr>
          <w:szCs w:val="22"/>
        </w:rPr>
        <w:t xml:space="preserve">the size of the refrigerant charges in them, from tiny benchtop drink merchandisers with less than </w:t>
      </w:r>
      <w:r w:rsidR="00C875BA">
        <w:rPr>
          <w:szCs w:val="22"/>
        </w:rPr>
        <w:t>3</w:t>
      </w:r>
      <w:r>
        <w:rPr>
          <w:szCs w:val="22"/>
        </w:rPr>
        <w:t xml:space="preserve">0 grams of </w:t>
      </w:r>
      <w:r w:rsidR="00F430FC">
        <w:rPr>
          <w:szCs w:val="22"/>
        </w:rPr>
        <w:t xml:space="preserve">HCs </w:t>
      </w:r>
      <w:r>
        <w:rPr>
          <w:szCs w:val="22"/>
        </w:rPr>
        <w:t xml:space="preserve">to huge chillers with 1,500 kilograms of </w:t>
      </w:r>
      <w:r w:rsidR="00F430FC">
        <w:rPr>
          <w:szCs w:val="22"/>
        </w:rPr>
        <w:t xml:space="preserve">HFCs </w:t>
      </w:r>
      <w:r>
        <w:rPr>
          <w:szCs w:val="22"/>
        </w:rPr>
        <w:t xml:space="preserve">cooling enormous structures like airport terminals. </w:t>
      </w:r>
    </w:p>
    <w:p w14:paraId="0BB6921D" w14:textId="0ECE42F7" w:rsidR="00573A8B" w:rsidRDefault="00573A8B" w:rsidP="00C314F0">
      <w:pPr>
        <w:rPr>
          <w:szCs w:val="22"/>
        </w:rPr>
      </w:pPr>
      <w:r>
        <w:rPr>
          <w:szCs w:val="22"/>
        </w:rPr>
        <w:t xml:space="preserve">Having successfully engineered an international phase out of the use of ozone depleting refrigerants, a process that is now well advanced, international governments and the </w:t>
      </w:r>
      <w:r w:rsidR="00A22E7C">
        <w:rPr>
          <w:szCs w:val="22"/>
        </w:rPr>
        <w:t xml:space="preserve">refrigerants </w:t>
      </w:r>
      <w:r>
        <w:rPr>
          <w:szCs w:val="22"/>
        </w:rPr>
        <w:t xml:space="preserve">industry have now commenced a phase down of </w:t>
      </w:r>
      <w:r w:rsidR="002770F1">
        <w:rPr>
          <w:szCs w:val="22"/>
        </w:rPr>
        <w:t xml:space="preserve">HFC </w:t>
      </w:r>
      <w:r>
        <w:rPr>
          <w:szCs w:val="22"/>
        </w:rPr>
        <w:t xml:space="preserve">refrigerants to further minimise the impact of emissions of refrigerants on overall greenhouse emissions. This is resulting in increasing diversity in the types of refrigerants employed </w:t>
      </w:r>
      <w:r w:rsidR="00A22E7C">
        <w:rPr>
          <w:szCs w:val="22"/>
        </w:rPr>
        <w:t xml:space="preserve">in equipment </w:t>
      </w:r>
      <w:r>
        <w:rPr>
          <w:szCs w:val="22"/>
        </w:rPr>
        <w:t>as a fourth generation of refrigerants is developed and tested</w:t>
      </w:r>
      <w:r w:rsidR="002770F1">
        <w:rPr>
          <w:szCs w:val="22"/>
        </w:rPr>
        <w:t>, and existing natural refrigerants find wider applications</w:t>
      </w:r>
      <w:r>
        <w:rPr>
          <w:szCs w:val="22"/>
        </w:rPr>
        <w:t>.</w:t>
      </w:r>
    </w:p>
    <w:p w14:paraId="2156F080" w14:textId="77777777" w:rsidR="00573A8B" w:rsidRDefault="00573A8B" w:rsidP="00670A4E">
      <w:pPr>
        <w:spacing w:before="0"/>
        <w:rPr>
          <w:szCs w:val="22"/>
        </w:rPr>
      </w:pP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573A8B" w:rsidRPr="005D159D" w14:paraId="1F238409" w14:textId="77777777" w:rsidTr="00573A8B">
        <w:tc>
          <w:tcPr>
            <w:tcW w:w="9716" w:type="dxa"/>
            <w:vAlign w:val="center"/>
          </w:tcPr>
          <w:p w14:paraId="1F551C18" w14:textId="42A8046D" w:rsidR="00573A8B" w:rsidRPr="005D159D" w:rsidRDefault="00573A8B" w:rsidP="0013680B">
            <w:pPr>
              <w:spacing w:after="120"/>
              <w:jc w:val="center"/>
              <w:rPr>
                <w:b/>
                <w:sz w:val="24"/>
              </w:rPr>
            </w:pPr>
            <w:r w:rsidRPr="005D159D">
              <w:rPr>
                <w:b/>
                <w:sz w:val="24"/>
              </w:rPr>
              <w:br w:type="page"/>
            </w:r>
            <w:r w:rsidR="005631FA">
              <w:rPr>
                <w:b/>
                <w:sz w:val="24"/>
              </w:rPr>
              <w:t>Refrigerant b</w:t>
            </w:r>
            <w:r>
              <w:rPr>
                <w:b/>
                <w:sz w:val="24"/>
              </w:rPr>
              <w:t>ank from 2006 to 2016 (</w:t>
            </w:r>
            <w:r w:rsidR="005631FA">
              <w:rPr>
                <w:b/>
                <w:sz w:val="24"/>
              </w:rPr>
              <w:t>t</w:t>
            </w:r>
            <w:r>
              <w:rPr>
                <w:b/>
                <w:sz w:val="24"/>
              </w:rPr>
              <w:t>onnes)</w:t>
            </w:r>
          </w:p>
        </w:tc>
      </w:tr>
      <w:tr w:rsidR="00573A8B" w:rsidRPr="00BD20BC" w14:paraId="382A79D2" w14:textId="77777777" w:rsidTr="00573A8B">
        <w:tc>
          <w:tcPr>
            <w:tcW w:w="9716" w:type="dxa"/>
            <w:vAlign w:val="center"/>
          </w:tcPr>
          <w:p w14:paraId="308D1367" w14:textId="77777777" w:rsidR="00573A8B" w:rsidRDefault="00573A8B" w:rsidP="00573A8B">
            <w:pPr>
              <w:spacing w:before="60" w:after="60"/>
              <w:jc w:val="center"/>
              <w:rPr>
                <w:sz w:val="16"/>
                <w:szCs w:val="16"/>
              </w:rPr>
            </w:pPr>
          </w:p>
          <w:p w14:paraId="2F2E30DC" w14:textId="28903D44" w:rsidR="00573A8B" w:rsidRDefault="00573A8B" w:rsidP="00573A8B">
            <w:pPr>
              <w:spacing w:before="60" w:after="60"/>
              <w:jc w:val="center"/>
              <w:rPr>
                <w:sz w:val="16"/>
                <w:szCs w:val="16"/>
              </w:rPr>
            </w:pPr>
            <w:r>
              <w:rPr>
                <w:noProof/>
                <w:lang w:val="en-AU" w:eastAsia="en-AU"/>
              </w:rPr>
              <w:drawing>
                <wp:inline distT="0" distB="0" distL="0" distR="0" wp14:anchorId="408B1067" wp14:editId="528199FE">
                  <wp:extent cx="5062574" cy="32512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7475" cy="3267191"/>
                          </a:xfrm>
                          <a:prstGeom prst="rect">
                            <a:avLst/>
                          </a:prstGeom>
                        </pic:spPr>
                      </pic:pic>
                    </a:graphicData>
                  </a:graphic>
                </wp:inline>
              </w:drawing>
            </w:r>
          </w:p>
          <w:p w14:paraId="1A15249E" w14:textId="77777777" w:rsidR="00573A8B" w:rsidRPr="00BD20BC" w:rsidRDefault="00573A8B" w:rsidP="00573A8B">
            <w:pPr>
              <w:spacing w:before="60" w:after="60"/>
              <w:jc w:val="center"/>
              <w:rPr>
                <w:sz w:val="16"/>
                <w:szCs w:val="16"/>
              </w:rPr>
            </w:pPr>
          </w:p>
        </w:tc>
      </w:tr>
      <w:tr w:rsidR="00573A8B" w:rsidRPr="00573A8B" w14:paraId="48BAFD88" w14:textId="77777777" w:rsidTr="00573A8B">
        <w:tc>
          <w:tcPr>
            <w:tcW w:w="9716" w:type="dxa"/>
            <w:vAlign w:val="center"/>
          </w:tcPr>
          <w:p w14:paraId="50903E83" w14:textId="0109BF6F" w:rsidR="00573A8B" w:rsidRPr="00036F8F" w:rsidRDefault="00036F8F" w:rsidP="00036F8F">
            <w:pPr>
              <w:pStyle w:val="Caption"/>
              <w:rPr>
                <w:szCs w:val="22"/>
              </w:rPr>
            </w:pPr>
            <w:bookmarkStart w:id="61" w:name="_Toc525141336"/>
            <w:r w:rsidRPr="00036F8F">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w:t>
            </w:r>
            <w:r w:rsidR="009D6843">
              <w:rPr>
                <w:noProof/>
              </w:rPr>
              <w:fldChar w:fldCharType="end"/>
            </w:r>
            <w:r w:rsidR="00573A8B" w:rsidRPr="00036F8F">
              <w:rPr>
                <w:szCs w:val="22"/>
              </w:rPr>
              <w:t xml:space="preserve">: The </w:t>
            </w:r>
            <w:r w:rsidR="009F4CB3" w:rsidRPr="00036F8F">
              <w:rPr>
                <w:szCs w:val="22"/>
              </w:rPr>
              <w:t xml:space="preserve">refrigerant </w:t>
            </w:r>
            <w:r w:rsidR="00573A8B" w:rsidRPr="00036F8F">
              <w:rPr>
                <w:szCs w:val="22"/>
              </w:rPr>
              <w:t>bank from 2006 to 2016, and sensitivity analysis in tonnes.</w:t>
            </w:r>
            <w:bookmarkEnd w:id="61"/>
          </w:p>
        </w:tc>
      </w:tr>
    </w:tbl>
    <w:p w14:paraId="4CFD9D35" w14:textId="77777777" w:rsidR="009E7689" w:rsidRDefault="00573A8B" w:rsidP="00573A8B">
      <w:pPr>
        <w:spacing w:before="0"/>
        <w:rPr>
          <w:sz w:val="20"/>
          <w:szCs w:val="20"/>
        </w:rPr>
      </w:pPr>
      <w:r w:rsidRPr="00116557">
        <w:rPr>
          <w:sz w:val="20"/>
          <w:szCs w:val="20"/>
        </w:rPr>
        <w:t>(Sources:</w:t>
      </w:r>
      <w:r>
        <w:rPr>
          <w:sz w:val="20"/>
          <w:szCs w:val="20"/>
        </w:rPr>
        <w:t xml:space="preserve"> CHF1, CHF2 and </w:t>
      </w:r>
      <w:r w:rsidR="007A1335">
        <w:rPr>
          <w:sz w:val="20"/>
          <w:szCs w:val="20"/>
        </w:rPr>
        <w:t>CHF3 RAC Stock model</w:t>
      </w:r>
      <w:r>
        <w:rPr>
          <w:sz w:val="20"/>
          <w:szCs w:val="20"/>
        </w:rPr>
        <w:t>)</w:t>
      </w:r>
    </w:p>
    <w:p w14:paraId="3F780225" w14:textId="77777777" w:rsidR="009E7689" w:rsidRDefault="009E7689" w:rsidP="00573A8B">
      <w:pPr>
        <w:spacing w:before="0"/>
        <w:rPr>
          <w:sz w:val="20"/>
          <w:szCs w:val="20"/>
        </w:rPr>
      </w:pPr>
      <w:r>
        <w:rPr>
          <w:sz w:val="20"/>
          <w:szCs w:val="20"/>
        </w:rPr>
        <w:t>Notes:</w:t>
      </w:r>
    </w:p>
    <w:p w14:paraId="7CDB2B42" w14:textId="07BD1A5D" w:rsidR="00F76B96" w:rsidRPr="00F76B96" w:rsidRDefault="00F76B96" w:rsidP="00F76B96">
      <w:pPr>
        <w:pStyle w:val="ListParagraph"/>
        <w:numPr>
          <w:ilvl w:val="0"/>
          <w:numId w:val="63"/>
        </w:numPr>
        <w:spacing w:before="60" w:after="60" w:line="240" w:lineRule="auto"/>
        <w:contextualSpacing w:val="0"/>
        <w:jc w:val="both"/>
        <w:rPr>
          <w:rFonts w:ascii="Times New Roman" w:hAnsi="Times New Roman"/>
          <w:sz w:val="20"/>
          <w:szCs w:val="20"/>
          <w:lang w:val="en-AU"/>
        </w:rPr>
      </w:pPr>
      <w:r w:rsidRPr="00F76B96">
        <w:rPr>
          <w:rFonts w:ascii="Times New Roman" w:hAnsi="Times New Roman"/>
          <w:sz w:val="20"/>
          <w:szCs w:val="20"/>
          <w:lang w:val="en-AU"/>
        </w:rPr>
        <w:t xml:space="preserve">The band </w:t>
      </w:r>
      <w:r>
        <w:rPr>
          <w:rFonts w:ascii="Times New Roman" w:hAnsi="Times New Roman"/>
          <w:sz w:val="20"/>
          <w:szCs w:val="20"/>
          <w:lang w:val="en-AU"/>
        </w:rPr>
        <w:t xml:space="preserve">provides </w:t>
      </w:r>
      <w:r w:rsidRPr="00F76B96">
        <w:rPr>
          <w:rFonts w:ascii="Times New Roman" w:hAnsi="Times New Roman"/>
          <w:sz w:val="20"/>
          <w:szCs w:val="20"/>
          <w:lang w:val="en-AU"/>
        </w:rPr>
        <w:t>sensitivity analysis with the 2006 value (+20%, -5%), 2012 plus (+10%, -5%) and 2016 value (+5%, -5%).</w:t>
      </w:r>
      <w:r>
        <w:rPr>
          <w:rFonts w:ascii="Times New Roman" w:hAnsi="Times New Roman"/>
          <w:sz w:val="20"/>
          <w:szCs w:val="20"/>
          <w:lang w:val="en-AU"/>
        </w:rPr>
        <w:t xml:space="preserve"> In CHF2 </w:t>
      </w:r>
      <w:r w:rsidRPr="00F76B96">
        <w:rPr>
          <w:rFonts w:ascii="Times New Roman" w:hAnsi="Times New Roman"/>
          <w:sz w:val="20"/>
          <w:szCs w:val="20"/>
          <w:lang w:val="en-AU"/>
        </w:rPr>
        <w:t>the authors concluded that the 2006 bank was likely to have been underestimated by no more than 10%</w:t>
      </w:r>
      <w:r>
        <w:rPr>
          <w:rFonts w:ascii="Times New Roman" w:hAnsi="Times New Roman"/>
          <w:sz w:val="20"/>
          <w:szCs w:val="20"/>
          <w:lang w:val="en-AU"/>
        </w:rPr>
        <w:t>, the value of 33,185 tonnes represents higher estimate.</w:t>
      </w:r>
    </w:p>
    <w:p w14:paraId="237D3720" w14:textId="77777777" w:rsidR="00670A4E" w:rsidRPr="00670A4E" w:rsidRDefault="00670A4E" w:rsidP="00670A4E">
      <w:pPr>
        <w:rPr>
          <w:szCs w:val="22"/>
        </w:rPr>
      </w:pPr>
      <w:r w:rsidRPr="00670A4E">
        <w:rPr>
          <w:szCs w:val="22"/>
        </w:rPr>
        <w:t>The total refrigerant bank in Australia in 2016 is estimated at approximately 51,000 tonnes of HCFCs and HFCs (CHF2, 43,500 tonnes). This is an increase of nearly 15% as compared to the bank in 2012, and greater than a 50% increase over the decade from 2006 to 2016.</w:t>
      </w:r>
    </w:p>
    <w:p w14:paraId="52F2FF63" w14:textId="260ACCC7" w:rsidR="00573A8B" w:rsidRDefault="00573A8B" w:rsidP="009F2097">
      <w:pPr>
        <w:rPr>
          <w:szCs w:val="22"/>
        </w:rPr>
      </w:pPr>
      <w:r>
        <w:rPr>
          <w:szCs w:val="22"/>
        </w:rPr>
        <w:t xml:space="preserve">Australia has seen such strong overall growth in the refrigerant bank, largely, but not entirely, as a result of at least 15 years of continuing strong sales of </w:t>
      </w:r>
      <w:r w:rsidRPr="002744A2">
        <w:rPr>
          <w:szCs w:val="22"/>
        </w:rPr>
        <w:t>small</w:t>
      </w:r>
      <w:r>
        <w:rPr>
          <w:szCs w:val="22"/>
        </w:rPr>
        <w:t xml:space="preserve"> and medium domestic and </w:t>
      </w:r>
      <w:r w:rsidRPr="002744A2">
        <w:rPr>
          <w:szCs w:val="22"/>
        </w:rPr>
        <w:t>commercial air conditioning systems</w:t>
      </w:r>
      <w:r>
        <w:rPr>
          <w:szCs w:val="22"/>
        </w:rPr>
        <w:t xml:space="preserve"> (&lt; 30 kW)</w:t>
      </w:r>
      <w:r w:rsidRPr="002744A2">
        <w:rPr>
          <w:szCs w:val="22"/>
        </w:rPr>
        <w:t xml:space="preserve">, </w:t>
      </w:r>
      <w:r>
        <w:rPr>
          <w:szCs w:val="22"/>
        </w:rPr>
        <w:t>and</w:t>
      </w:r>
      <w:r w:rsidRPr="002744A2">
        <w:rPr>
          <w:szCs w:val="22"/>
        </w:rPr>
        <w:t xml:space="preserve"> </w:t>
      </w:r>
      <w:r>
        <w:rPr>
          <w:szCs w:val="22"/>
        </w:rPr>
        <w:t xml:space="preserve">the </w:t>
      </w:r>
      <w:r w:rsidRPr="002744A2">
        <w:rPr>
          <w:szCs w:val="22"/>
        </w:rPr>
        <w:t xml:space="preserve">roll out of air conditioning across </w:t>
      </w:r>
      <w:r>
        <w:rPr>
          <w:szCs w:val="22"/>
        </w:rPr>
        <w:t xml:space="preserve">most types </w:t>
      </w:r>
      <w:r w:rsidR="002770F1">
        <w:rPr>
          <w:szCs w:val="22"/>
        </w:rPr>
        <w:t xml:space="preserve">of </w:t>
      </w:r>
      <w:r w:rsidRPr="002744A2">
        <w:rPr>
          <w:szCs w:val="22"/>
        </w:rPr>
        <w:t xml:space="preserve">public and community buildings and in retail </w:t>
      </w:r>
      <w:r>
        <w:rPr>
          <w:szCs w:val="22"/>
        </w:rPr>
        <w:t xml:space="preserve">and industrial </w:t>
      </w:r>
      <w:r w:rsidRPr="002744A2">
        <w:rPr>
          <w:szCs w:val="22"/>
        </w:rPr>
        <w:t>environments</w:t>
      </w:r>
      <w:r>
        <w:rPr>
          <w:szCs w:val="22"/>
        </w:rPr>
        <w:t xml:space="preserve">. The near comprehensive adoption of </w:t>
      </w:r>
      <w:r w:rsidR="00F430FC">
        <w:rPr>
          <w:szCs w:val="22"/>
        </w:rPr>
        <w:t>m</w:t>
      </w:r>
      <w:r>
        <w:rPr>
          <w:szCs w:val="22"/>
        </w:rPr>
        <w:t>obile AC in all types of vehicles and 30% growth in the passenger and light commercial vehicle fleet over the last decade has also been a notable contributor to growth of the bank.</w:t>
      </w:r>
    </w:p>
    <w:p w14:paraId="4F3C4AC9" w14:textId="6FCF9220" w:rsidR="00573A8B" w:rsidRDefault="00573A8B" w:rsidP="009F2097">
      <w:pPr>
        <w:rPr>
          <w:szCs w:val="22"/>
        </w:rPr>
      </w:pPr>
      <w:r w:rsidRPr="002744A2">
        <w:rPr>
          <w:szCs w:val="22"/>
        </w:rPr>
        <w:t xml:space="preserve">Overall demand for air conditioning increased at a rate much faster than the economy with imports of pre-charged air conditioning equipment averaging </w:t>
      </w:r>
      <w:r>
        <w:rPr>
          <w:szCs w:val="22"/>
        </w:rPr>
        <w:t>more than</w:t>
      </w:r>
      <w:r w:rsidRPr="002744A2">
        <w:rPr>
          <w:szCs w:val="22"/>
        </w:rPr>
        <w:t xml:space="preserve"> a million new air conditioning units each year in Australia for </w:t>
      </w:r>
      <w:r w:rsidR="002770F1">
        <w:rPr>
          <w:szCs w:val="22"/>
        </w:rPr>
        <w:t xml:space="preserve">most of </w:t>
      </w:r>
      <w:r w:rsidRPr="002744A2">
        <w:rPr>
          <w:szCs w:val="22"/>
        </w:rPr>
        <w:t xml:space="preserve">the past decade. </w:t>
      </w:r>
      <w:r>
        <w:rPr>
          <w:szCs w:val="22"/>
        </w:rPr>
        <w:t xml:space="preserve">This compares with average imports of only a couple of hundred thousand units per annum during most of the 90s. </w:t>
      </w:r>
    </w:p>
    <w:p w14:paraId="570DE858" w14:textId="075EB674" w:rsidR="00573A8B" w:rsidRDefault="00573A8B" w:rsidP="009F2097">
      <w:pPr>
        <w:rPr>
          <w:szCs w:val="22"/>
        </w:rPr>
      </w:pPr>
      <w:r>
        <w:rPr>
          <w:szCs w:val="22"/>
        </w:rPr>
        <w:t xml:space="preserve">In a first phase of small and medium AC driven </w:t>
      </w:r>
      <w:r w:rsidRPr="002744A2">
        <w:rPr>
          <w:szCs w:val="22"/>
        </w:rPr>
        <w:t>gro</w:t>
      </w:r>
      <w:r>
        <w:rPr>
          <w:szCs w:val="22"/>
        </w:rPr>
        <w:t xml:space="preserve">wth in the 6 years between 2006 and 2012 the bank </w:t>
      </w:r>
      <w:r w:rsidRPr="002744A2">
        <w:rPr>
          <w:szCs w:val="22"/>
        </w:rPr>
        <w:t xml:space="preserve">expanded </w:t>
      </w:r>
      <w:r>
        <w:rPr>
          <w:szCs w:val="22"/>
        </w:rPr>
        <w:t>by more than 45</w:t>
      </w:r>
      <w:r w:rsidR="00C9319D">
        <w:rPr>
          <w:szCs w:val="22"/>
        </w:rPr>
        <w:t>%</w:t>
      </w:r>
      <w:r w:rsidRPr="002744A2">
        <w:rPr>
          <w:szCs w:val="22"/>
        </w:rPr>
        <w:t>, from an estimated 30,169 tonnes in 2006 to a total bank of 43,5</w:t>
      </w:r>
      <w:r>
        <w:rPr>
          <w:szCs w:val="22"/>
        </w:rPr>
        <w:t>00</w:t>
      </w:r>
      <w:r w:rsidRPr="002744A2">
        <w:rPr>
          <w:szCs w:val="22"/>
        </w:rPr>
        <w:t xml:space="preserve"> tonnes in 2012</w:t>
      </w:r>
      <w:r>
        <w:rPr>
          <w:szCs w:val="22"/>
        </w:rPr>
        <w:t>. At least 40% of the total growth in the bank in those 6 years was contributed by refrigerants in small and medium AC.</w:t>
      </w:r>
    </w:p>
    <w:p w14:paraId="4B976451" w14:textId="6140A511" w:rsidR="00573A8B" w:rsidRDefault="00573A8B" w:rsidP="009F2097">
      <w:pPr>
        <w:rPr>
          <w:szCs w:val="22"/>
        </w:rPr>
      </w:pPr>
      <w:r>
        <w:rPr>
          <w:szCs w:val="22"/>
        </w:rPr>
        <w:t>Subsequently in the years from 2013 to 2016 the bank has continued to grow strongly, increasing by more than 17% to approximately 52,000 tonnes, led by the small AC stock of equipment. Refrigerant in small and medium AC is estimated to have made up more than 37% of the growth in that period</w:t>
      </w:r>
      <w:r w:rsidR="002770F1">
        <w:rPr>
          <w:szCs w:val="22"/>
        </w:rPr>
        <w:t>.</w:t>
      </w:r>
      <w:r>
        <w:rPr>
          <w:szCs w:val="22"/>
        </w:rPr>
        <w:t xml:space="preserve"> </w:t>
      </w:r>
    </w:p>
    <w:p w14:paraId="09F043EE" w14:textId="578A308B" w:rsidR="00573A8B" w:rsidRDefault="00573A8B" w:rsidP="009F2097">
      <w:pPr>
        <w:rPr>
          <w:szCs w:val="22"/>
        </w:rPr>
      </w:pPr>
      <w:r>
        <w:rPr>
          <w:szCs w:val="22"/>
        </w:rPr>
        <w:t>A growing community</w:t>
      </w:r>
      <w:r w:rsidR="00A14795">
        <w:rPr>
          <w:szCs w:val="22"/>
        </w:rPr>
        <w:t>-</w:t>
      </w:r>
      <w:r>
        <w:rPr>
          <w:szCs w:val="22"/>
        </w:rPr>
        <w:t xml:space="preserve">wide dependency on AC in almost every type of building is being reinforced by changing climatic conditions that have seen five of the hottest years ever recorded in the last </w:t>
      </w:r>
      <w:r w:rsidR="002770F1">
        <w:rPr>
          <w:szCs w:val="22"/>
        </w:rPr>
        <w:t>seven</w:t>
      </w:r>
      <w:r>
        <w:rPr>
          <w:szCs w:val="22"/>
        </w:rPr>
        <w:t xml:space="preserve">. </w:t>
      </w:r>
      <w:r w:rsidR="00B14AE4">
        <w:rPr>
          <w:szCs w:val="22"/>
        </w:rPr>
        <w:t>I</w:t>
      </w:r>
      <w:r>
        <w:rPr>
          <w:szCs w:val="22"/>
        </w:rPr>
        <w:t>t is reasonable to expect that longer periods of hotter daytime and night time temperatures will continue to make air conditioning a desirable, and in many cases</w:t>
      </w:r>
      <w:r w:rsidR="00FE3A48">
        <w:rPr>
          <w:szCs w:val="22"/>
        </w:rPr>
        <w:t>,</w:t>
      </w:r>
      <w:r>
        <w:rPr>
          <w:szCs w:val="22"/>
        </w:rPr>
        <w:t xml:space="preserve"> an essential</w:t>
      </w:r>
      <w:r w:rsidR="00A14795">
        <w:rPr>
          <w:szCs w:val="22"/>
        </w:rPr>
        <w:t>,</w:t>
      </w:r>
      <w:r>
        <w:rPr>
          <w:szCs w:val="22"/>
        </w:rPr>
        <w:t xml:space="preserve"> standard item in the majority of buildings of all sorts. </w:t>
      </w:r>
    </w:p>
    <w:p w14:paraId="616AC665" w14:textId="787D21F2" w:rsidR="00573A8B" w:rsidRDefault="00573A8B" w:rsidP="009F2097">
      <w:pPr>
        <w:rPr>
          <w:szCs w:val="22"/>
        </w:rPr>
      </w:pPr>
      <w:r>
        <w:rPr>
          <w:szCs w:val="22"/>
        </w:rPr>
        <w:t>While the growing market for small and medium AC has driven much of the growth in the bank, during the same period rapidly growing middle classes in India, China and in other areas of Asia</w:t>
      </w:r>
      <w:r w:rsidR="002770F1">
        <w:rPr>
          <w:szCs w:val="22"/>
        </w:rPr>
        <w:t>,</w:t>
      </w:r>
      <w:r>
        <w:rPr>
          <w:szCs w:val="22"/>
        </w:rPr>
        <w:t xml:space="preserve"> and Australia’s increasing food exports to those markets</w:t>
      </w:r>
      <w:r w:rsidR="002770F1">
        <w:rPr>
          <w:szCs w:val="22"/>
        </w:rPr>
        <w:t>,</w:t>
      </w:r>
      <w:r>
        <w:rPr>
          <w:szCs w:val="22"/>
        </w:rPr>
        <w:t xml:space="preserve"> have driven greater investments in refrigeration systems in agriculture and an expansion of the cold food chain in Australia. This is a sector that is also directly affected by hotter temperatures.</w:t>
      </w:r>
    </w:p>
    <w:p w14:paraId="5849EEBA" w14:textId="5CE4CF7D" w:rsidR="00573A8B" w:rsidRDefault="00573A8B" w:rsidP="009F2097">
      <w:pPr>
        <w:rPr>
          <w:szCs w:val="22"/>
        </w:rPr>
      </w:pPr>
      <w:r>
        <w:rPr>
          <w:szCs w:val="22"/>
        </w:rPr>
        <w:t xml:space="preserve">Contributions to the growth of the bank by refrigerants contained in mobile </w:t>
      </w:r>
      <w:r w:rsidR="00C875BA">
        <w:rPr>
          <w:szCs w:val="22"/>
        </w:rPr>
        <w:t>AC</w:t>
      </w:r>
      <w:r>
        <w:rPr>
          <w:szCs w:val="22"/>
        </w:rPr>
        <w:t xml:space="preserve"> during the past decade ha</w:t>
      </w:r>
      <w:r w:rsidR="007351CF">
        <w:rPr>
          <w:szCs w:val="22"/>
        </w:rPr>
        <w:t>ve</w:t>
      </w:r>
      <w:r>
        <w:rPr>
          <w:szCs w:val="22"/>
        </w:rPr>
        <w:t xml:space="preserve"> been in line with growth in the overall economy, but also driven by the near universal acceptance of air conditioning as standard, with nearly all new vehicle sales incorporating MAC as a standard feature. </w:t>
      </w:r>
      <w:r w:rsidR="00C613EB">
        <w:rPr>
          <w:szCs w:val="22"/>
        </w:rPr>
        <w:t xml:space="preserve">Refrigerant in </w:t>
      </w:r>
      <w:r w:rsidR="007351CF">
        <w:rPr>
          <w:szCs w:val="22"/>
        </w:rPr>
        <w:t>m</w:t>
      </w:r>
      <w:r w:rsidR="00C613EB">
        <w:rPr>
          <w:szCs w:val="22"/>
        </w:rPr>
        <w:t>obile AC accounted for 26% of the overall growth of the bank between 2013 and 2016.</w:t>
      </w:r>
    </w:p>
    <w:p w14:paraId="27582DD6" w14:textId="77777777" w:rsidR="00573A8B" w:rsidRDefault="00573A8B" w:rsidP="00573A8B">
      <w:pPr>
        <w:spacing w:before="0"/>
        <w:rPr>
          <w:szCs w:val="22"/>
        </w:rPr>
      </w:pPr>
    </w:p>
    <w:p w14:paraId="7CE34387" w14:textId="77777777" w:rsidR="00573A8B" w:rsidRPr="0048328C" w:rsidRDefault="00573A8B" w:rsidP="00573A8B">
      <w:pPr>
        <w:rPr>
          <w:b/>
          <w:szCs w:val="22"/>
        </w:rPr>
      </w:pPr>
      <w:r w:rsidRPr="0048328C">
        <w:rPr>
          <w:b/>
          <w:szCs w:val="22"/>
        </w:rPr>
        <w:t>Uncertainty in the Bank</w:t>
      </w:r>
    </w:p>
    <w:p w14:paraId="35A29B9D" w14:textId="77777777" w:rsidR="00573A8B" w:rsidRPr="002744A2" w:rsidRDefault="00573A8B" w:rsidP="00573A8B">
      <w:pPr>
        <w:rPr>
          <w:szCs w:val="22"/>
        </w:rPr>
      </w:pPr>
      <w:r>
        <w:rPr>
          <w:szCs w:val="22"/>
        </w:rPr>
        <w:t xml:space="preserve">As </w:t>
      </w:r>
      <w:r w:rsidRPr="002744A2">
        <w:rPr>
          <w:szCs w:val="22"/>
        </w:rPr>
        <w:t xml:space="preserve">noted </w:t>
      </w:r>
      <w:r>
        <w:rPr>
          <w:szCs w:val="22"/>
        </w:rPr>
        <w:t>in CHF2,</w:t>
      </w:r>
      <w:r w:rsidRPr="002744A2">
        <w:rPr>
          <w:szCs w:val="22"/>
        </w:rPr>
        <w:t xml:space="preserve"> the </w:t>
      </w:r>
      <w:r>
        <w:rPr>
          <w:szCs w:val="22"/>
        </w:rPr>
        <w:t xml:space="preserve">original </w:t>
      </w:r>
      <w:r w:rsidRPr="002744A2">
        <w:rPr>
          <w:szCs w:val="22"/>
        </w:rPr>
        <w:t>baseline figure for the bank in 2006</w:t>
      </w:r>
      <w:r>
        <w:rPr>
          <w:szCs w:val="22"/>
        </w:rPr>
        <w:t xml:space="preserve"> </w:t>
      </w:r>
      <w:r w:rsidRPr="002744A2">
        <w:rPr>
          <w:szCs w:val="22"/>
        </w:rPr>
        <w:t>may have been underestimated</w:t>
      </w:r>
      <w:r>
        <w:rPr>
          <w:szCs w:val="22"/>
        </w:rPr>
        <w:t xml:space="preserve"> for some stocks of equipment, particularly the total stock of </w:t>
      </w:r>
      <w:r w:rsidRPr="002744A2">
        <w:rPr>
          <w:szCs w:val="22"/>
        </w:rPr>
        <w:t>walk-in cool</w:t>
      </w:r>
      <w:r>
        <w:rPr>
          <w:szCs w:val="22"/>
        </w:rPr>
        <w:t xml:space="preserve"> </w:t>
      </w:r>
      <w:r w:rsidRPr="002744A2">
        <w:rPr>
          <w:szCs w:val="22"/>
        </w:rPr>
        <w:t xml:space="preserve">rooms </w:t>
      </w:r>
      <w:r>
        <w:rPr>
          <w:szCs w:val="22"/>
        </w:rPr>
        <w:t xml:space="preserve">and freezers, </w:t>
      </w:r>
      <w:r w:rsidRPr="002744A2">
        <w:rPr>
          <w:szCs w:val="22"/>
        </w:rPr>
        <w:t>and some categories of commercial refrigeration equipment.</w:t>
      </w:r>
      <w:r>
        <w:rPr>
          <w:szCs w:val="22"/>
        </w:rPr>
        <w:t xml:space="preserve"> </w:t>
      </w:r>
    </w:p>
    <w:p w14:paraId="3A389C65" w14:textId="6B752B5F" w:rsidR="00573A8B" w:rsidRPr="002744A2" w:rsidRDefault="00573A8B" w:rsidP="00573A8B">
      <w:pPr>
        <w:rPr>
          <w:szCs w:val="22"/>
        </w:rPr>
      </w:pPr>
      <w:r>
        <w:rPr>
          <w:szCs w:val="22"/>
        </w:rPr>
        <w:t>The 2012 model also included</w:t>
      </w:r>
      <w:r w:rsidRPr="002744A2">
        <w:rPr>
          <w:szCs w:val="22"/>
        </w:rPr>
        <w:t xml:space="preserve"> more accurate assumptions about retirement rates of certai</w:t>
      </w:r>
      <w:r>
        <w:rPr>
          <w:szCs w:val="22"/>
        </w:rPr>
        <w:t xml:space="preserve">n equipment categories that </w:t>
      </w:r>
      <w:r w:rsidRPr="002744A2">
        <w:rPr>
          <w:szCs w:val="22"/>
        </w:rPr>
        <w:t xml:space="preserve">had the effect of increasing the </w:t>
      </w:r>
      <w:r>
        <w:rPr>
          <w:szCs w:val="22"/>
        </w:rPr>
        <w:t xml:space="preserve">estimated </w:t>
      </w:r>
      <w:r w:rsidRPr="002744A2">
        <w:rPr>
          <w:szCs w:val="22"/>
        </w:rPr>
        <w:t>average life of</w:t>
      </w:r>
      <w:r>
        <w:rPr>
          <w:szCs w:val="22"/>
        </w:rPr>
        <w:t xml:space="preserve"> some equipment categories, </w:t>
      </w:r>
      <w:r w:rsidRPr="002744A2">
        <w:rPr>
          <w:szCs w:val="22"/>
        </w:rPr>
        <w:t>therefore increasing the number of pieces of equipment</w:t>
      </w:r>
      <w:r>
        <w:rPr>
          <w:szCs w:val="22"/>
        </w:rPr>
        <w:t xml:space="preserve"> in certain categories. This</w:t>
      </w:r>
      <w:r w:rsidRPr="002744A2">
        <w:rPr>
          <w:szCs w:val="22"/>
        </w:rPr>
        <w:t xml:space="preserve"> change </w:t>
      </w:r>
      <w:r>
        <w:rPr>
          <w:szCs w:val="22"/>
        </w:rPr>
        <w:t>increased</w:t>
      </w:r>
      <w:r w:rsidRPr="002744A2">
        <w:rPr>
          <w:szCs w:val="22"/>
        </w:rPr>
        <w:t xml:space="preserve"> the bank of gas working in th</w:t>
      </w:r>
      <w:r>
        <w:rPr>
          <w:szCs w:val="22"/>
        </w:rPr>
        <w:t>ose categories</w:t>
      </w:r>
      <w:r w:rsidRPr="002744A2">
        <w:rPr>
          <w:szCs w:val="22"/>
        </w:rPr>
        <w:t xml:space="preserve">. </w:t>
      </w:r>
    </w:p>
    <w:p w14:paraId="28D497AC" w14:textId="37468E9F" w:rsidR="00573A8B" w:rsidRDefault="00573A8B" w:rsidP="00573A8B">
      <w:pPr>
        <w:rPr>
          <w:szCs w:val="22"/>
        </w:rPr>
      </w:pPr>
      <w:r w:rsidRPr="002744A2">
        <w:rPr>
          <w:szCs w:val="22"/>
        </w:rPr>
        <w:t>Even with the improved data a</w:t>
      </w:r>
      <w:r>
        <w:rPr>
          <w:szCs w:val="22"/>
        </w:rPr>
        <w:t>nd assumptions available in 2012</w:t>
      </w:r>
      <w:r w:rsidRPr="002744A2">
        <w:rPr>
          <w:szCs w:val="22"/>
        </w:rPr>
        <w:t>, upon reviewing the underlying data used in CHF1 the authors</w:t>
      </w:r>
      <w:r>
        <w:rPr>
          <w:szCs w:val="22"/>
        </w:rPr>
        <w:t xml:space="preserve"> concluded that the 2006 bank was</w:t>
      </w:r>
      <w:r w:rsidRPr="002744A2">
        <w:rPr>
          <w:szCs w:val="22"/>
        </w:rPr>
        <w:t xml:space="preserve"> likely to have been underestimated by </w:t>
      </w:r>
      <w:r>
        <w:rPr>
          <w:szCs w:val="22"/>
        </w:rPr>
        <w:t xml:space="preserve">no more than </w:t>
      </w:r>
      <w:r w:rsidRPr="002744A2">
        <w:rPr>
          <w:szCs w:val="22"/>
        </w:rPr>
        <w:t>10</w:t>
      </w:r>
      <w:r>
        <w:rPr>
          <w:szCs w:val="22"/>
        </w:rPr>
        <w:t>%</w:t>
      </w:r>
      <w:r w:rsidRPr="002744A2">
        <w:rPr>
          <w:szCs w:val="22"/>
        </w:rPr>
        <w:t xml:space="preserve">. If we assume that </w:t>
      </w:r>
      <w:r>
        <w:rPr>
          <w:szCs w:val="22"/>
        </w:rPr>
        <w:t>i</w:t>
      </w:r>
      <w:r w:rsidRPr="002744A2">
        <w:rPr>
          <w:szCs w:val="22"/>
        </w:rPr>
        <w:t xml:space="preserve">s the worst case, and the 2006 bank </w:t>
      </w:r>
      <w:r>
        <w:rPr>
          <w:szCs w:val="22"/>
        </w:rPr>
        <w:t xml:space="preserve">may have been larger than the originally estimated 30,675 tonnes, but was closer to </w:t>
      </w:r>
      <w:r w:rsidRPr="002744A2">
        <w:rPr>
          <w:szCs w:val="22"/>
        </w:rPr>
        <w:t>33,</w:t>
      </w:r>
      <w:r w:rsidR="002E55C9">
        <w:rPr>
          <w:szCs w:val="22"/>
        </w:rPr>
        <w:t>600</w:t>
      </w:r>
      <w:r w:rsidRPr="002744A2">
        <w:rPr>
          <w:szCs w:val="22"/>
        </w:rPr>
        <w:t xml:space="preserve"> tonnes, then the bank </w:t>
      </w:r>
      <w:r>
        <w:rPr>
          <w:szCs w:val="22"/>
        </w:rPr>
        <w:t>s</w:t>
      </w:r>
      <w:r w:rsidRPr="002744A2">
        <w:rPr>
          <w:szCs w:val="22"/>
        </w:rPr>
        <w:t>till gr</w:t>
      </w:r>
      <w:r>
        <w:rPr>
          <w:szCs w:val="22"/>
        </w:rPr>
        <w:t>ew</w:t>
      </w:r>
      <w:r w:rsidRPr="002744A2">
        <w:rPr>
          <w:szCs w:val="22"/>
        </w:rPr>
        <w:t xml:space="preserve"> by some 3</w:t>
      </w:r>
      <w:r w:rsidR="002E55C9">
        <w:rPr>
          <w:szCs w:val="22"/>
        </w:rPr>
        <w:t>0</w:t>
      </w:r>
      <w:r>
        <w:rPr>
          <w:szCs w:val="22"/>
        </w:rPr>
        <w:t>%</w:t>
      </w:r>
      <w:r w:rsidRPr="002744A2">
        <w:rPr>
          <w:szCs w:val="22"/>
        </w:rPr>
        <w:t xml:space="preserve"> in the period</w:t>
      </w:r>
      <w:r>
        <w:rPr>
          <w:szCs w:val="22"/>
        </w:rPr>
        <w:t xml:space="preserve"> 2006 to 2012</w:t>
      </w:r>
      <w:r w:rsidRPr="002744A2">
        <w:rPr>
          <w:szCs w:val="22"/>
        </w:rPr>
        <w:t xml:space="preserve">. </w:t>
      </w:r>
    </w:p>
    <w:p w14:paraId="7ECB782C" w14:textId="77777777" w:rsidR="00573A8B" w:rsidRPr="007F3EA8" w:rsidRDefault="00573A8B" w:rsidP="00573A8B">
      <w:pPr>
        <w:rPr>
          <w:szCs w:val="22"/>
        </w:rPr>
      </w:pPr>
      <w:r>
        <w:rPr>
          <w:szCs w:val="22"/>
        </w:rPr>
        <w:t>T</w:t>
      </w:r>
      <w:r w:rsidRPr="002744A2">
        <w:rPr>
          <w:szCs w:val="22"/>
        </w:rPr>
        <w:t>he 2006 starting point do</w:t>
      </w:r>
      <w:r>
        <w:rPr>
          <w:szCs w:val="22"/>
        </w:rPr>
        <w:t>es</w:t>
      </w:r>
      <w:r w:rsidRPr="002744A2">
        <w:rPr>
          <w:szCs w:val="22"/>
        </w:rPr>
        <w:t xml:space="preserve"> not have a significant impact on the observable trends in the composition of</w:t>
      </w:r>
      <w:r>
        <w:rPr>
          <w:szCs w:val="22"/>
        </w:rPr>
        <w:t xml:space="preserve"> the much expanded bank in 2012, and subsequently in 2016. The rate of growth in the bank, while still substantial, appears to have slowed slightly between 2012 and 2016 as compared to the growth from 2006 to 2012.</w:t>
      </w:r>
    </w:p>
    <w:p w14:paraId="280448A3" w14:textId="17525E1C" w:rsidR="00573A8B" w:rsidRDefault="00573A8B" w:rsidP="00690B41">
      <w:pPr>
        <w:rPr>
          <w:szCs w:val="22"/>
        </w:rPr>
      </w:pPr>
      <w:r>
        <w:rPr>
          <w:szCs w:val="22"/>
        </w:rPr>
        <w:t>Setting aside the apparent softening in growth in the most recent period, using the higher value starting point of 33,740 tonnes in 2006, the bank has grown in total by more than 5</w:t>
      </w:r>
      <w:r w:rsidR="00690B41">
        <w:rPr>
          <w:szCs w:val="22"/>
        </w:rPr>
        <w:t>1</w:t>
      </w:r>
      <w:r>
        <w:rPr>
          <w:szCs w:val="22"/>
        </w:rPr>
        <w:t xml:space="preserve">% in the decade between 2006 and 2016, equivalent to a compound </w:t>
      </w:r>
      <w:r w:rsidR="00690B41">
        <w:rPr>
          <w:szCs w:val="22"/>
        </w:rPr>
        <w:t xml:space="preserve">annual </w:t>
      </w:r>
      <w:r>
        <w:rPr>
          <w:szCs w:val="22"/>
        </w:rPr>
        <w:t xml:space="preserve">growth rate </w:t>
      </w:r>
      <w:r w:rsidR="00690B41">
        <w:rPr>
          <w:szCs w:val="22"/>
        </w:rPr>
        <w:t xml:space="preserve">(CAGR) </w:t>
      </w:r>
      <w:r>
        <w:rPr>
          <w:szCs w:val="22"/>
        </w:rPr>
        <w:t xml:space="preserve">of </w:t>
      </w:r>
      <w:r w:rsidR="00C875BA">
        <w:rPr>
          <w:szCs w:val="22"/>
        </w:rPr>
        <w:t>4.2</w:t>
      </w:r>
      <w:r>
        <w:rPr>
          <w:szCs w:val="22"/>
        </w:rPr>
        <w:t xml:space="preserve">% </w:t>
      </w:r>
      <w:r w:rsidR="00690B41">
        <w:rPr>
          <w:szCs w:val="22"/>
        </w:rPr>
        <w:t xml:space="preserve">over the 11 year period or a CAGR of 5.2% per annum from </w:t>
      </w:r>
      <w:r w:rsidR="00A14795">
        <w:rPr>
          <w:szCs w:val="22"/>
        </w:rPr>
        <w:t xml:space="preserve">the </w:t>
      </w:r>
      <w:r w:rsidR="00690B41">
        <w:rPr>
          <w:szCs w:val="22"/>
        </w:rPr>
        <w:t>30,575 tonnes estimate.</w:t>
      </w:r>
    </w:p>
    <w:p w14:paraId="701AF198" w14:textId="77777777" w:rsidR="00690B41" w:rsidRDefault="00690B41" w:rsidP="00690B41">
      <w:pPr>
        <w:rPr>
          <w:szCs w:val="22"/>
        </w:rPr>
      </w:pPr>
    </w:p>
    <w:p w14:paraId="476353B4" w14:textId="4C109559" w:rsidR="00573A8B" w:rsidRPr="00630668" w:rsidRDefault="005631FA" w:rsidP="00573A8B">
      <w:pPr>
        <w:pStyle w:val="Heading2"/>
      </w:pPr>
      <w:bookmarkStart w:id="62" w:name="_Toc525141272"/>
      <w:r>
        <w:t>Constituents of the b</w:t>
      </w:r>
      <w:r w:rsidR="00573A8B" w:rsidRPr="00630668">
        <w:t>ank, GWP and CO</w:t>
      </w:r>
      <w:r w:rsidR="00573A8B" w:rsidRPr="001C39FD">
        <w:rPr>
          <w:vertAlign w:val="subscript"/>
        </w:rPr>
        <w:t>2</w:t>
      </w:r>
      <w:r w:rsidR="00573A8B" w:rsidRPr="00630668">
        <w:t>e</w:t>
      </w:r>
      <w:bookmarkEnd w:id="62"/>
    </w:p>
    <w:p w14:paraId="488F0CF6" w14:textId="77777777" w:rsidR="00573A8B" w:rsidRPr="005441AE" w:rsidRDefault="00573A8B" w:rsidP="00573A8B">
      <w:pPr>
        <w:rPr>
          <w:rFonts w:cs="Times New Roman"/>
          <w:szCs w:val="22"/>
        </w:rPr>
      </w:pPr>
      <w:r w:rsidRPr="005441AE">
        <w:rPr>
          <w:rFonts w:cs="Times New Roman"/>
          <w:szCs w:val="22"/>
        </w:rPr>
        <w:t xml:space="preserve">The main </w:t>
      </w:r>
      <w:r>
        <w:rPr>
          <w:rFonts w:cs="Times New Roman"/>
          <w:szCs w:val="22"/>
        </w:rPr>
        <w:t>species of refrigerants</w:t>
      </w:r>
      <w:r w:rsidRPr="005441AE">
        <w:rPr>
          <w:rFonts w:cs="Times New Roman"/>
          <w:szCs w:val="22"/>
        </w:rPr>
        <w:t xml:space="preserve"> in use today</w:t>
      </w:r>
      <w:r>
        <w:rPr>
          <w:rFonts w:cs="Times New Roman"/>
          <w:szCs w:val="22"/>
        </w:rPr>
        <w:t>, described below in order of proportion of the bank they comprise,</w:t>
      </w:r>
      <w:r w:rsidRPr="005441AE">
        <w:rPr>
          <w:rFonts w:cs="Times New Roman"/>
          <w:szCs w:val="22"/>
        </w:rPr>
        <w:t xml:space="preserve"> are:</w:t>
      </w:r>
    </w:p>
    <w:p w14:paraId="32F11AC6" w14:textId="288F3BC3" w:rsidR="00573A8B" w:rsidRPr="005441AE" w:rsidRDefault="00573A8B" w:rsidP="00FC735C">
      <w:pPr>
        <w:pStyle w:val="ListBullet"/>
        <w:numPr>
          <w:ilvl w:val="0"/>
          <w:numId w:val="27"/>
        </w:numPr>
        <w:ind w:left="357" w:hanging="357"/>
        <w:contextualSpacing w:val="0"/>
      </w:pPr>
      <w:r w:rsidRPr="005441AE">
        <w:t xml:space="preserve">HFCs (hydrofluorocarbons) </w:t>
      </w:r>
      <w:r>
        <w:t>(</w:t>
      </w:r>
      <w:r w:rsidRPr="00630668">
        <w:t>42,000 tonnes or 81% of the bank</w:t>
      </w:r>
      <w:r>
        <w:t xml:space="preserve">) are now the most common refrigerants. HFCs were rolled out from the </w:t>
      </w:r>
      <w:r w:rsidR="00B70C17">
        <w:t>early</w:t>
      </w:r>
      <w:r>
        <w:t xml:space="preserve"> 1990s to replace the earlier generation refrigerants, </w:t>
      </w:r>
      <w:r w:rsidRPr="005441AE">
        <w:t>HCFCs</w:t>
      </w:r>
      <w:r>
        <w:t xml:space="preserve"> and CFCs</w:t>
      </w:r>
      <w:r w:rsidR="00B70C17">
        <w:t xml:space="preserve"> </w:t>
      </w:r>
      <w:r>
        <w:t>discovered to be destroying the protective ozone layer</w:t>
      </w:r>
      <w:r w:rsidR="00A14795">
        <w:t>, and that in many cases had extremely high GWPs</w:t>
      </w:r>
      <w:r>
        <w:t>. While having no effect on the ozone layer, HFCs</w:t>
      </w:r>
      <w:r w:rsidRPr="005441AE">
        <w:t xml:space="preserve"> </w:t>
      </w:r>
      <w:r>
        <w:t xml:space="preserve">in common use </w:t>
      </w:r>
      <w:r w:rsidRPr="005441AE">
        <w:t>have GWP values</w:t>
      </w:r>
      <w:r>
        <w:t xml:space="preserve"> ranging from 675 for HFC-32 to 3922 for HFC-404A. HFCs are now subject to an international agreement to phase down their production and import gradually from 2019 towards a 2036 target of 15% of recent levels of use</w:t>
      </w:r>
      <w:bookmarkStart w:id="63" w:name="_Hlk508554087"/>
      <w:r w:rsidRPr="005441AE">
        <w:t>;</w:t>
      </w:r>
    </w:p>
    <w:bookmarkEnd w:id="63"/>
    <w:p w14:paraId="669CFCDD" w14:textId="1A76B734" w:rsidR="00573A8B" w:rsidRPr="005441AE" w:rsidRDefault="00573A8B" w:rsidP="00FC735C">
      <w:pPr>
        <w:pStyle w:val="ListBullet"/>
        <w:numPr>
          <w:ilvl w:val="0"/>
          <w:numId w:val="27"/>
        </w:numPr>
        <w:ind w:left="357" w:hanging="357"/>
        <w:contextualSpacing w:val="0"/>
      </w:pPr>
      <w:r w:rsidRPr="005441AE">
        <w:t>HCFCs (hydrochlorofluorocarbons)</w:t>
      </w:r>
      <w:r>
        <w:t xml:space="preserve"> and CFC (chlorofluorocarbons</w:t>
      </w:r>
      <w:r w:rsidR="00FE74F2">
        <w:t>)</w:t>
      </w:r>
      <w:r w:rsidRPr="005441AE">
        <w:t xml:space="preserve"> </w:t>
      </w:r>
      <w:r>
        <w:t>(8,</w:t>
      </w:r>
      <w:r w:rsidR="00CD4807">
        <w:t>5</w:t>
      </w:r>
      <w:r>
        <w:t>00</w:t>
      </w:r>
      <w:r w:rsidRPr="00630668">
        <w:t xml:space="preserve"> tonnes or 17% of the bank</w:t>
      </w:r>
      <w:r>
        <w:t xml:space="preserve">) </w:t>
      </w:r>
      <w:r w:rsidR="00D46996">
        <w:t xml:space="preserve">were </w:t>
      </w:r>
      <w:r w:rsidRPr="005441AE">
        <w:t>once the most common species of refrigerant</w:t>
      </w:r>
      <w:r>
        <w:t xml:space="preserve"> in use and</w:t>
      </w:r>
      <w:r w:rsidRPr="005441AE">
        <w:t xml:space="preserve"> </w:t>
      </w:r>
      <w:r w:rsidR="00D46996">
        <w:t>are</w:t>
      </w:r>
      <w:r w:rsidR="00D46996" w:rsidRPr="005441AE">
        <w:t xml:space="preserve"> </w:t>
      </w:r>
      <w:r w:rsidRPr="005441AE">
        <w:t>potent ozone depleting substance</w:t>
      </w:r>
      <w:r>
        <w:t xml:space="preserve">s. </w:t>
      </w:r>
      <w:r w:rsidR="00B70C17">
        <w:t xml:space="preserve">CFCs have been and </w:t>
      </w:r>
      <w:r w:rsidRPr="005441AE">
        <w:t>HCFCs are</w:t>
      </w:r>
      <w:r w:rsidR="00137F3D">
        <w:t xml:space="preserve"> being </w:t>
      </w:r>
      <w:r w:rsidRPr="005441AE">
        <w:t xml:space="preserve">phased out of use under </w:t>
      </w:r>
      <w:r>
        <w:t xml:space="preserve">the </w:t>
      </w:r>
      <w:r w:rsidRPr="005441AE">
        <w:t>Montreal Protocol</w:t>
      </w:r>
      <w:r>
        <w:t>, an agreement established in 1987. However significant volumes, particularly of HCFCs, are still employed in the stock of equipment and, due to the long life of some types of equipment, are expected to persist in the economy and the environment well towards the end of the projection period used in this study</w:t>
      </w:r>
      <w:r w:rsidRPr="005441AE">
        <w:t>;</w:t>
      </w:r>
    </w:p>
    <w:p w14:paraId="2F9D8972" w14:textId="4EB36059" w:rsidR="00573A8B" w:rsidRPr="00193B05" w:rsidRDefault="00137F3D" w:rsidP="00FC735C">
      <w:pPr>
        <w:pStyle w:val="ListBullet"/>
        <w:numPr>
          <w:ilvl w:val="0"/>
          <w:numId w:val="27"/>
        </w:numPr>
        <w:contextualSpacing w:val="0"/>
      </w:pPr>
      <w:r>
        <w:t>Natural refrigerants</w:t>
      </w:r>
      <w:r w:rsidR="00573A8B" w:rsidRPr="00193B05">
        <w:t xml:space="preserve"> </w:t>
      </w:r>
      <w:r>
        <w:t xml:space="preserve">are </w:t>
      </w:r>
      <w:r w:rsidR="00573A8B" w:rsidRPr="00193B05">
        <w:t>a group of refrigerants including ammonia, hydrocarbons and CO</w:t>
      </w:r>
      <w:r w:rsidR="00573A8B" w:rsidRPr="00193B05">
        <w:rPr>
          <w:vertAlign w:val="subscript"/>
        </w:rPr>
        <w:t>2</w:t>
      </w:r>
      <w:r w:rsidR="00573A8B" w:rsidRPr="00193B05">
        <w:t xml:space="preserve">, that have very low or zero GWP, but </w:t>
      </w:r>
      <w:r w:rsidR="00C613EB">
        <w:t xml:space="preserve">that may </w:t>
      </w:r>
      <w:r w:rsidR="00573A8B" w:rsidRPr="00193B05">
        <w:t>have other properties, such as flammability, toxicity or requirements for high operating pressures</w:t>
      </w:r>
      <w:r w:rsidR="00A14795">
        <w:t>,</w:t>
      </w:r>
      <w:r w:rsidR="00573A8B" w:rsidRPr="00193B05">
        <w:t xml:space="preserve"> that limit their use in some applications</w:t>
      </w:r>
      <w:r w:rsidR="00573A8B" w:rsidRPr="00193B05">
        <w:rPr>
          <w:rStyle w:val="FootnoteReference"/>
        </w:rPr>
        <w:footnoteReference w:id="39"/>
      </w:r>
      <w:r w:rsidR="00A14795">
        <w:t>.</w:t>
      </w:r>
      <w:r w:rsidR="00573A8B" w:rsidRPr="00193B05">
        <w:t xml:space="preserve"> The bank of natural refrigerants that have displaced HFCs and HCFCs in commercial refrigeration and mobile applications</w:t>
      </w:r>
      <w:r w:rsidR="00C613EB">
        <w:t xml:space="preserve"> between 2013 and 2016</w:t>
      </w:r>
      <w:r w:rsidR="00573A8B" w:rsidRPr="00193B05">
        <w:t xml:space="preserve"> is estimated at 740 tonnes or 1.5% of the bank. There is a further estimated 4,800 tonnes of ammonia in use in the cold food chain, the vast majority of which is in large chilling, blast freezing and ice making systems in the primary and secondary stages of the cold food chain, and large cold storage distribution centres.</w:t>
      </w:r>
    </w:p>
    <w:p w14:paraId="49AEA81D" w14:textId="534B180F" w:rsidR="00573A8B" w:rsidRPr="00630668" w:rsidRDefault="00137F3D" w:rsidP="00FC735C">
      <w:pPr>
        <w:pStyle w:val="ListBullet"/>
        <w:numPr>
          <w:ilvl w:val="0"/>
          <w:numId w:val="27"/>
        </w:numPr>
        <w:ind w:left="357" w:hanging="357"/>
        <w:contextualSpacing w:val="0"/>
        <w:rPr>
          <w:szCs w:val="22"/>
        </w:rPr>
      </w:pPr>
      <w:r>
        <w:t>HFOs (hydrofluoro</w:t>
      </w:r>
      <w:r w:rsidR="007C5C52">
        <w:t>-</w:t>
      </w:r>
      <w:r>
        <w:t>olefins) are</w:t>
      </w:r>
      <w:r w:rsidR="00573A8B">
        <w:t xml:space="preserve"> the newest generation of synthetic refrigerants that, in most cases, are mildly flammable, but exhibit many of the properties of thermal stability, non-toxicity and long life that HFCs provided, while also having very low GWPs (GWP of HFO-1234yf and HFO-1234ze is 5 or </w:t>
      </w:r>
      <w:r w:rsidR="00573A8B" w:rsidRPr="0048328C">
        <w:rPr>
          <w:rFonts w:cs="Times New Roman"/>
          <w:szCs w:val="22"/>
          <w:lang w:val="en-US"/>
        </w:rPr>
        <w:t>1</w:t>
      </w:r>
      <w:r w:rsidR="00573A8B" w:rsidRPr="0048328C">
        <w:rPr>
          <w:rFonts w:cs="Times New Roman"/>
          <w:szCs w:val="22"/>
          <w:vertAlign w:val="superscript"/>
          <w:lang w:val="en-US"/>
        </w:rPr>
        <w:t>AR5</w:t>
      </w:r>
      <w:r w:rsidR="00573A8B">
        <w:t>). HFOs are just beginning to enter into service internationally, initially in new motor vehicles</w:t>
      </w:r>
      <w:r w:rsidR="00A14795">
        <w:t>,</w:t>
      </w:r>
      <w:r w:rsidR="00606BCB">
        <w:t xml:space="preserve"> and </w:t>
      </w:r>
      <w:r w:rsidR="00573A8B">
        <w:t xml:space="preserve">chiller manufacturers are also </w:t>
      </w:r>
      <w:r w:rsidR="00FE3A48">
        <w:t>offering some models that</w:t>
      </w:r>
      <w:r w:rsidR="00573A8B">
        <w:t xml:space="preserve"> employ HFOs. In 2016 there was no significant volume of HFOs</w:t>
      </w:r>
      <w:r w:rsidR="00573A8B">
        <w:rPr>
          <w:rStyle w:val="FootnoteReference"/>
        </w:rPr>
        <w:footnoteReference w:id="40"/>
      </w:r>
      <w:r w:rsidR="00573A8B">
        <w:t xml:space="preserve"> in use in equipment in Australia although they are expected to grow their share of the bank quite rapidly.</w:t>
      </w:r>
    </w:p>
    <w:p w14:paraId="4C74483C" w14:textId="77777777" w:rsidR="00573A8B" w:rsidRPr="003D2C52" w:rsidRDefault="00573A8B" w:rsidP="00573A8B">
      <w:pPr>
        <w:rPr>
          <w:szCs w:val="22"/>
        </w:rPr>
      </w:pPr>
      <w:r w:rsidRPr="003D2C52">
        <w:rPr>
          <w:szCs w:val="22"/>
        </w:rPr>
        <w:t xml:space="preserve">The effects of </w:t>
      </w:r>
      <w:r>
        <w:rPr>
          <w:szCs w:val="22"/>
        </w:rPr>
        <w:t>regulation, the introduction of new generations of gases,</w:t>
      </w:r>
      <w:r w:rsidRPr="003D2C52">
        <w:rPr>
          <w:szCs w:val="22"/>
        </w:rPr>
        <w:t xml:space="preserve"> </w:t>
      </w:r>
      <w:r>
        <w:rPr>
          <w:szCs w:val="22"/>
        </w:rPr>
        <w:t xml:space="preserve">changing </w:t>
      </w:r>
      <w:r w:rsidRPr="003D2C52">
        <w:rPr>
          <w:szCs w:val="22"/>
        </w:rPr>
        <w:t xml:space="preserve">consumer demand </w:t>
      </w:r>
      <w:r>
        <w:rPr>
          <w:szCs w:val="22"/>
        </w:rPr>
        <w:t>and industry trends have all contributed to the make-up of the refrigerant bank in terms of the ways in which it is employed in the economy, and the refrigerant species it contains.</w:t>
      </w:r>
    </w:p>
    <w:p w14:paraId="24040EA0" w14:textId="370BAE49" w:rsidR="00573A8B" w:rsidRDefault="00573A8B" w:rsidP="00573A8B">
      <w:pPr>
        <w:spacing w:before="240"/>
        <w:rPr>
          <w:szCs w:val="22"/>
        </w:rPr>
      </w:pPr>
      <w:r>
        <w:rPr>
          <w:szCs w:val="22"/>
        </w:rPr>
        <w:t xml:space="preserve">The Cold Hard Facts series allows comparisons of the composition of the bank in 2006, 2012, and 2016, as illustrated in </w:t>
      </w:r>
      <w:r w:rsidRPr="00A23E59">
        <w:rPr>
          <w:i/>
          <w:szCs w:val="22"/>
        </w:rPr>
        <w:t xml:space="preserve">Figure </w:t>
      </w:r>
      <w:r w:rsidR="00036F8F">
        <w:rPr>
          <w:i/>
          <w:szCs w:val="22"/>
        </w:rPr>
        <w:t>6</w:t>
      </w:r>
      <w:r>
        <w:rPr>
          <w:szCs w:val="22"/>
        </w:rPr>
        <w:t xml:space="preserve"> below. </w:t>
      </w:r>
      <w:r w:rsidRPr="002744A2">
        <w:rPr>
          <w:szCs w:val="22"/>
        </w:rPr>
        <w:t>Comparing the composition of the</w:t>
      </w:r>
      <w:r w:rsidR="00A22E7C">
        <w:rPr>
          <w:szCs w:val="22"/>
        </w:rPr>
        <w:t xml:space="preserve"> bank across these benchmark years</w:t>
      </w:r>
      <w:r w:rsidRPr="002744A2">
        <w:rPr>
          <w:szCs w:val="22"/>
        </w:rPr>
        <w:t xml:space="preserve"> reveals </w:t>
      </w:r>
      <w:r>
        <w:rPr>
          <w:szCs w:val="22"/>
        </w:rPr>
        <w:t xml:space="preserve">important </w:t>
      </w:r>
      <w:r w:rsidRPr="002744A2">
        <w:rPr>
          <w:szCs w:val="22"/>
        </w:rPr>
        <w:t xml:space="preserve">changes. </w:t>
      </w:r>
    </w:p>
    <w:p w14:paraId="2D925408" w14:textId="77777777" w:rsidR="00573A8B" w:rsidRDefault="00573A8B" w:rsidP="00573A8B">
      <w:pPr>
        <w:rPr>
          <w:szCs w:val="22"/>
        </w:rPr>
      </w:pP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573A8B" w:rsidRPr="005D159D" w14:paraId="00C00364" w14:textId="77777777" w:rsidTr="0013680B">
        <w:tc>
          <w:tcPr>
            <w:tcW w:w="9716" w:type="dxa"/>
            <w:vAlign w:val="center"/>
          </w:tcPr>
          <w:p w14:paraId="61AE8F65" w14:textId="78F75EB5" w:rsidR="00573A8B" w:rsidRPr="005D159D" w:rsidRDefault="00573A8B" w:rsidP="0013680B">
            <w:pPr>
              <w:spacing w:after="120"/>
              <w:jc w:val="center"/>
              <w:rPr>
                <w:b/>
                <w:sz w:val="24"/>
              </w:rPr>
            </w:pPr>
            <w:r w:rsidRPr="005D159D">
              <w:rPr>
                <w:b/>
                <w:sz w:val="24"/>
              </w:rPr>
              <w:br w:type="page"/>
            </w:r>
            <w:r w:rsidR="005631FA">
              <w:rPr>
                <w:b/>
                <w:sz w:val="24"/>
              </w:rPr>
              <w:t>Bank by s</w:t>
            </w:r>
            <w:r w:rsidRPr="00573A8B">
              <w:rPr>
                <w:b/>
                <w:sz w:val="24"/>
              </w:rPr>
              <w:t xml:space="preserve">pecies 2006, 2012, 2016 </w:t>
            </w:r>
            <w:r w:rsidR="005631FA">
              <w:rPr>
                <w:b/>
                <w:sz w:val="24"/>
              </w:rPr>
              <w:t>(t</w:t>
            </w:r>
            <w:r>
              <w:rPr>
                <w:b/>
                <w:sz w:val="24"/>
              </w:rPr>
              <w:t>onnes)</w:t>
            </w:r>
          </w:p>
        </w:tc>
      </w:tr>
      <w:tr w:rsidR="00573A8B" w:rsidRPr="00BD20BC" w14:paraId="499D51BA" w14:textId="77777777" w:rsidTr="0013680B">
        <w:tc>
          <w:tcPr>
            <w:tcW w:w="9716" w:type="dxa"/>
            <w:vAlign w:val="center"/>
          </w:tcPr>
          <w:p w14:paraId="614EC3CE" w14:textId="77777777" w:rsidR="00573A8B" w:rsidRDefault="00573A8B" w:rsidP="0013680B">
            <w:pPr>
              <w:spacing w:before="60" w:after="60"/>
              <w:jc w:val="center"/>
              <w:rPr>
                <w:sz w:val="16"/>
                <w:szCs w:val="16"/>
              </w:rPr>
            </w:pPr>
          </w:p>
          <w:p w14:paraId="25BAA3AF" w14:textId="5D4FB66D" w:rsidR="00573A8B" w:rsidRDefault="0013680B" w:rsidP="0013680B">
            <w:pPr>
              <w:spacing w:before="60" w:after="60"/>
              <w:jc w:val="center"/>
              <w:rPr>
                <w:sz w:val="16"/>
                <w:szCs w:val="16"/>
              </w:rPr>
            </w:pPr>
            <w:r>
              <w:rPr>
                <w:noProof/>
                <w:lang w:val="en-AU" w:eastAsia="en-AU"/>
              </w:rPr>
              <w:drawing>
                <wp:inline distT="0" distB="0" distL="0" distR="0" wp14:anchorId="56164B6A" wp14:editId="3057F6DA">
                  <wp:extent cx="6030595" cy="263461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0595" cy="2634615"/>
                          </a:xfrm>
                          <a:prstGeom prst="rect">
                            <a:avLst/>
                          </a:prstGeom>
                        </pic:spPr>
                      </pic:pic>
                    </a:graphicData>
                  </a:graphic>
                </wp:inline>
              </w:drawing>
            </w:r>
          </w:p>
          <w:p w14:paraId="04263A75" w14:textId="77777777" w:rsidR="00573A8B" w:rsidRPr="00BD20BC" w:rsidRDefault="00573A8B" w:rsidP="0013680B">
            <w:pPr>
              <w:spacing w:before="60" w:after="60"/>
              <w:jc w:val="center"/>
              <w:rPr>
                <w:sz w:val="16"/>
                <w:szCs w:val="16"/>
              </w:rPr>
            </w:pPr>
          </w:p>
        </w:tc>
      </w:tr>
      <w:tr w:rsidR="00573A8B" w:rsidRPr="00573A8B" w14:paraId="63EEC47B" w14:textId="77777777" w:rsidTr="0013680B">
        <w:tc>
          <w:tcPr>
            <w:tcW w:w="9716" w:type="dxa"/>
            <w:vAlign w:val="center"/>
          </w:tcPr>
          <w:p w14:paraId="33552164" w14:textId="37EDBA1D" w:rsidR="00573A8B" w:rsidRPr="00BB16C6" w:rsidRDefault="00BB16C6" w:rsidP="00BB16C6">
            <w:pPr>
              <w:pStyle w:val="Caption"/>
              <w:rPr>
                <w:szCs w:val="22"/>
              </w:rPr>
            </w:pPr>
            <w:bookmarkStart w:id="64" w:name="_Toc525141337"/>
            <w:r w:rsidRPr="00BB16C6">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6</w:t>
            </w:r>
            <w:r w:rsidR="009D6843">
              <w:rPr>
                <w:noProof/>
              </w:rPr>
              <w:fldChar w:fldCharType="end"/>
            </w:r>
            <w:r w:rsidRPr="00BB16C6">
              <w:t xml:space="preserve">: </w:t>
            </w:r>
            <w:r w:rsidR="00573A8B" w:rsidRPr="00BB16C6">
              <w:rPr>
                <w:szCs w:val="22"/>
              </w:rPr>
              <w:t xml:space="preserve">Refrigerant </w:t>
            </w:r>
            <w:r w:rsidR="005631FA" w:rsidRPr="00BB16C6">
              <w:rPr>
                <w:szCs w:val="22"/>
              </w:rPr>
              <w:t>bank by s</w:t>
            </w:r>
            <w:r w:rsidR="00573A8B" w:rsidRPr="00BB16C6">
              <w:rPr>
                <w:szCs w:val="22"/>
              </w:rPr>
              <w:t>pecies 2006, 2012, 2016 in tonnes.</w:t>
            </w:r>
            <w:bookmarkEnd w:id="64"/>
          </w:p>
        </w:tc>
      </w:tr>
    </w:tbl>
    <w:p w14:paraId="59F483A4" w14:textId="500D020E" w:rsidR="00573A8B" w:rsidRDefault="00573A8B" w:rsidP="00573A8B">
      <w:pPr>
        <w:spacing w:before="0"/>
        <w:rPr>
          <w:sz w:val="20"/>
          <w:szCs w:val="20"/>
        </w:rPr>
      </w:pPr>
      <w:r w:rsidRPr="00116557">
        <w:rPr>
          <w:sz w:val="20"/>
          <w:szCs w:val="20"/>
        </w:rPr>
        <w:t>(Sources:</w:t>
      </w:r>
      <w:r>
        <w:rPr>
          <w:sz w:val="20"/>
          <w:szCs w:val="20"/>
        </w:rPr>
        <w:t xml:space="preserve"> CHF1, CHF2 and </w:t>
      </w:r>
      <w:r w:rsidR="007A1335">
        <w:rPr>
          <w:sz w:val="20"/>
          <w:szCs w:val="20"/>
        </w:rPr>
        <w:t>CHF3 RAC Stock model</w:t>
      </w:r>
      <w:r>
        <w:rPr>
          <w:sz w:val="20"/>
          <w:szCs w:val="20"/>
        </w:rPr>
        <w:t xml:space="preserve">) </w:t>
      </w:r>
    </w:p>
    <w:p w14:paraId="146B0612" w14:textId="77777777" w:rsidR="00573A8B" w:rsidRDefault="00573A8B" w:rsidP="009F2097">
      <w:pPr>
        <w:rPr>
          <w:szCs w:val="22"/>
        </w:rPr>
      </w:pPr>
    </w:p>
    <w:p w14:paraId="1DF6725E" w14:textId="49B6D74B" w:rsidR="0013680B" w:rsidRPr="00EC56EB" w:rsidRDefault="0013680B" w:rsidP="009F2097">
      <w:pPr>
        <w:rPr>
          <w:szCs w:val="22"/>
        </w:rPr>
      </w:pPr>
      <w:r>
        <w:rPr>
          <w:szCs w:val="22"/>
        </w:rPr>
        <w:t xml:space="preserve">The effect of the continuing boom in adoption of small </w:t>
      </w:r>
      <w:r w:rsidR="00A36D3C">
        <w:rPr>
          <w:szCs w:val="22"/>
        </w:rPr>
        <w:t xml:space="preserve">and medium </w:t>
      </w:r>
      <w:r>
        <w:rPr>
          <w:szCs w:val="22"/>
        </w:rPr>
        <w:t>AC, and the shift away from HCFCs, can be seen in the slow decline of HCFC-22 and the rapid growth of HFC-410A.</w:t>
      </w:r>
    </w:p>
    <w:p w14:paraId="128E30DB" w14:textId="143577BE" w:rsidR="0013680B" w:rsidRDefault="0013680B" w:rsidP="009F2097">
      <w:pPr>
        <w:rPr>
          <w:szCs w:val="22"/>
        </w:rPr>
      </w:pPr>
      <w:r>
        <w:rPr>
          <w:szCs w:val="22"/>
        </w:rPr>
        <w:t>Trends identified in CH</w:t>
      </w:r>
      <w:r w:rsidR="00137F3D">
        <w:rPr>
          <w:szCs w:val="22"/>
        </w:rPr>
        <w:t>F</w:t>
      </w:r>
      <w:r>
        <w:rPr>
          <w:szCs w:val="22"/>
        </w:rPr>
        <w:t xml:space="preserve">2 have continued with all of the main HFC species continuing to grow their share of the bank as HFC pre-charged equipment imports </w:t>
      </w:r>
      <w:r w:rsidR="00C613EB">
        <w:rPr>
          <w:szCs w:val="22"/>
        </w:rPr>
        <w:t xml:space="preserve">replace HCFC pre-charged imports </w:t>
      </w:r>
      <w:r>
        <w:rPr>
          <w:szCs w:val="22"/>
        </w:rPr>
        <w:t>and underpin increased service demand for HFCs overall.</w:t>
      </w:r>
    </w:p>
    <w:p w14:paraId="73F4F794" w14:textId="39C92143" w:rsidR="0013680B" w:rsidRDefault="0013680B" w:rsidP="009F2097">
      <w:pPr>
        <w:rPr>
          <w:szCs w:val="22"/>
        </w:rPr>
      </w:pPr>
      <w:r>
        <w:rPr>
          <w:szCs w:val="22"/>
        </w:rPr>
        <w:t xml:space="preserve">The move </w:t>
      </w:r>
      <w:r w:rsidRPr="001C4E28">
        <w:rPr>
          <w:szCs w:val="22"/>
        </w:rPr>
        <w:t xml:space="preserve">from HCFC-22 to HFC-410A, as the predominant refrigerant charge in small </w:t>
      </w:r>
      <w:r w:rsidR="00A36D3C" w:rsidRPr="001C4E28">
        <w:rPr>
          <w:szCs w:val="22"/>
        </w:rPr>
        <w:t xml:space="preserve">and medium </w:t>
      </w:r>
      <w:r w:rsidRPr="001C4E28">
        <w:rPr>
          <w:szCs w:val="22"/>
        </w:rPr>
        <w:t xml:space="preserve">stationary AC, started around 2005, at the time that small </w:t>
      </w:r>
      <w:r w:rsidR="00A36D3C" w:rsidRPr="001C4E28">
        <w:rPr>
          <w:szCs w:val="22"/>
        </w:rPr>
        <w:t xml:space="preserve">and medium </w:t>
      </w:r>
      <w:r w:rsidRPr="001C4E28">
        <w:rPr>
          <w:szCs w:val="22"/>
        </w:rPr>
        <w:t xml:space="preserve">AC sales first passed more than </w:t>
      </w:r>
      <w:r w:rsidR="00600295" w:rsidRPr="001C4E28">
        <w:rPr>
          <w:szCs w:val="22"/>
        </w:rPr>
        <w:t xml:space="preserve">one </w:t>
      </w:r>
      <w:r w:rsidRPr="001C4E28">
        <w:rPr>
          <w:szCs w:val="22"/>
        </w:rPr>
        <w:t>million units a year in Australia, a figure that has continued to climb to top more than 1.</w:t>
      </w:r>
      <w:r w:rsidR="001C4E28" w:rsidRPr="001C4E28">
        <w:rPr>
          <w:szCs w:val="22"/>
        </w:rPr>
        <w:t>3</w:t>
      </w:r>
      <w:r w:rsidRPr="001C4E28">
        <w:rPr>
          <w:szCs w:val="22"/>
        </w:rPr>
        <w:t xml:space="preserve"> million units in 201</w:t>
      </w:r>
      <w:r w:rsidR="001C4E28" w:rsidRPr="001C4E28">
        <w:rPr>
          <w:szCs w:val="22"/>
        </w:rPr>
        <w:t>7</w:t>
      </w:r>
      <w:r w:rsidRPr="001C4E28">
        <w:rPr>
          <w:szCs w:val="22"/>
        </w:rPr>
        <w:t xml:space="preserve">. This has built a stock of more than </w:t>
      </w:r>
      <w:r w:rsidR="00A36D3C" w:rsidRPr="001C4E28">
        <w:rPr>
          <w:szCs w:val="22"/>
        </w:rPr>
        <w:t>9</w:t>
      </w:r>
      <w:r w:rsidRPr="001C4E28">
        <w:rPr>
          <w:szCs w:val="22"/>
        </w:rPr>
        <w:t xml:space="preserve"> million HFC-410A charged pieces of equipment in the course of</w:t>
      </w:r>
      <w:r>
        <w:rPr>
          <w:szCs w:val="22"/>
        </w:rPr>
        <w:t xml:space="preserve"> the last decade, containing a bank of 18,</w:t>
      </w:r>
      <w:r w:rsidR="001C4E28">
        <w:rPr>
          <w:szCs w:val="22"/>
        </w:rPr>
        <w:t>400</w:t>
      </w:r>
      <w:r>
        <w:rPr>
          <w:szCs w:val="22"/>
        </w:rPr>
        <w:t xml:space="preserve"> tonnes of HFC-410A, representing 36% of the entire bank.</w:t>
      </w:r>
    </w:p>
    <w:p w14:paraId="17CAE78C" w14:textId="66EF775E" w:rsidR="0013680B" w:rsidRPr="002744A2" w:rsidRDefault="0013680B" w:rsidP="009F2097">
      <w:pPr>
        <w:rPr>
          <w:szCs w:val="22"/>
        </w:rPr>
      </w:pPr>
      <w:r>
        <w:rPr>
          <w:szCs w:val="22"/>
        </w:rPr>
        <w:t xml:space="preserve">This 670% growth in </w:t>
      </w:r>
      <w:r w:rsidRPr="002744A2">
        <w:rPr>
          <w:szCs w:val="22"/>
        </w:rPr>
        <w:t xml:space="preserve">HFC-410A from </w:t>
      </w:r>
      <w:r>
        <w:rPr>
          <w:szCs w:val="22"/>
        </w:rPr>
        <w:t xml:space="preserve">just </w:t>
      </w:r>
      <w:r w:rsidRPr="002744A2">
        <w:rPr>
          <w:szCs w:val="22"/>
        </w:rPr>
        <w:t>9</w:t>
      </w:r>
      <w:r>
        <w:rPr>
          <w:szCs w:val="22"/>
        </w:rPr>
        <w:t>%</w:t>
      </w:r>
      <w:r w:rsidRPr="002744A2">
        <w:rPr>
          <w:szCs w:val="22"/>
        </w:rPr>
        <w:t xml:space="preserve"> of the bank (2,782 tonnes) in 2006 to </w:t>
      </w:r>
      <w:r>
        <w:rPr>
          <w:szCs w:val="22"/>
        </w:rPr>
        <w:t>nearly 36%</w:t>
      </w:r>
      <w:r w:rsidRPr="002744A2">
        <w:rPr>
          <w:szCs w:val="22"/>
        </w:rPr>
        <w:t xml:space="preserve"> </w:t>
      </w:r>
      <w:r>
        <w:rPr>
          <w:szCs w:val="22"/>
        </w:rPr>
        <w:t>of the bank</w:t>
      </w:r>
      <w:r w:rsidRPr="002744A2">
        <w:rPr>
          <w:szCs w:val="22"/>
        </w:rPr>
        <w:t xml:space="preserve"> in 201</w:t>
      </w:r>
      <w:r>
        <w:rPr>
          <w:szCs w:val="22"/>
        </w:rPr>
        <w:t xml:space="preserve">6 is the stand out trend. The result is </w:t>
      </w:r>
      <w:r w:rsidRPr="002744A2">
        <w:rPr>
          <w:szCs w:val="22"/>
        </w:rPr>
        <w:t xml:space="preserve">that HFC-410A is now the largest </w:t>
      </w:r>
      <w:r>
        <w:rPr>
          <w:szCs w:val="22"/>
        </w:rPr>
        <w:t xml:space="preserve">single </w:t>
      </w:r>
      <w:r w:rsidRPr="002744A2">
        <w:rPr>
          <w:szCs w:val="22"/>
        </w:rPr>
        <w:t xml:space="preserve">component of the bank, </w:t>
      </w:r>
      <w:r>
        <w:rPr>
          <w:szCs w:val="22"/>
        </w:rPr>
        <w:t>surpassing</w:t>
      </w:r>
      <w:r w:rsidRPr="002744A2">
        <w:rPr>
          <w:szCs w:val="22"/>
        </w:rPr>
        <w:t xml:space="preserve"> HFC-134a</w:t>
      </w:r>
      <w:r>
        <w:rPr>
          <w:szCs w:val="22"/>
        </w:rPr>
        <w:t>. HFC-410A volumes are now more than double the declining bank of HCFC-22 that it was introduced to replace</w:t>
      </w:r>
      <w:r w:rsidR="00C613EB">
        <w:rPr>
          <w:szCs w:val="22"/>
        </w:rPr>
        <w:t xml:space="preserve"> in many applications</w:t>
      </w:r>
      <w:r w:rsidRPr="002744A2">
        <w:rPr>
          <w:szCs w:val="22"/>
        </w:rPr>
        <w:t xml:space="preserve">.  </w:t>
      </w:r>
    </w:p>
    <w:p w14:paraId="5E21A639" w14:textId="77777777" w:rsidR="0013680B" w:rsidRDefault="0013680B" w:rsidP="009F2097">
      <w:pPr>
        <w:rPr>
          <w:szCs w:val="22"/>
        </w:rPr>
      </w:pPr>
      <w:r>
        <w:rPr>
          <w:szCs w:val="22"/>
        </w:rPr>
        <w:t>The</w:t>
      </w:r>
      <w:r w:rsidRPr="002744A2">
        <w:rPr>
          <w:szCs w:val="22"/>
        </w:rPr>
        <w:t xml:space="preserve"> </w:t>
      </w:r>
      <w:r>
        <w:rPr>
          <w:szCs w:val="22"/>
        </w:rPr>
        <w:t xml:space="preserve">expansion of the HFC-410A portion of the bank has been met with </w:t>
      </w:r>
      <w:r w:rsidRPr="002744A2">
        <w:rPr>
          <w:szCs w:val="22"/>
        </w:rPr>
        <w:t>corresponding decline in the proportion of HCFC-22 in the bank, from 3</w:t>
      </w:r>
      <w:r>
        <w:rPr>
          <w:szCs w:val="22"/>
        </w:rPr>
        <w:t xml:space="preserve">7% </w:t>
      </w:r>
      <w:r w:rsidRPr="002744A2">
        <w:rPr>
          <w:szCs w:val="22"/>
        </w:rPr>
        <w:t>in 2006</w:t>
      </w:r>
      <w:r>
        <w:rPr>
          <w:szCs w:val="22"/>
        </w:rPr>
        <w:t xml:space="preserve"> </w:t>
      </w:r>
      <w:r w:rsidRPr="002744A2">
        <w:rPr>
          <w:szCs w:val="22"/>
        </w:rPr>
        <w:t xml:space="preserve">to </w:t>
      </w:r>
      <w:r>
        <w:rPr>
          <w:szCs w:val="22"/>
        </w:rPr>
        <w:t>1</w:t>
      </w:r>
      <w:r w:rsidRPr="002744A2">
        <w:rPr>
          <w:szCs w:val="22"/>
        </w:rPr>
        <w:t>6</w:t>
      </w:r>
      <w:r>
        <w:rPr>
          <w:szCs w:val="22"/>
        </w:rPr>
        <w:t>%</w:t>
      </w:r>
      <w:r w:rsidRPr="002744A2">
        <w:rPr>
          <w:szCs w:val="22"/>
        </w:rPr>
        <w:t xml:space="preserve"> in 201</w:t>
      </w:r>
      <w:r>
        <w:rPr>
          <w:szCs w:val="22"/>
        </w:rPr>
        <w:t xml:space="preserve">6. </w:t>
      </w:r>
    </w:p>
    <w:p w14:paraId="4BF2B3AB" w14:textId="312856A3" w:rsidR="0013680B" w:rsidRDefault="0013680B" w:rsidP="009F2097">
      <w:pPr>
        <w:rPr>
          <w:szCs w:val="22"/>
        </w:rPr>
      </w:pPr>
      <w:r w:rsidRPr="002744A2">
        <w:rPr>
          <w:szCs w:val="22"/>
        </w:rPr>
        <w:t>Previously HCFC-22 was the refrigerant of choice in air conditioning applications. Its use peaked in 2010 when it was estimated that more than 12,800 tonnes of HCFCs made up just over 30</w:t>
      </w:r>
      <w:r w:rsidR="00C9319D">
        <w:rPr>
          <w:szCs w:val="22"/>
        </w:rPr>
        <w:t>%</w:t>
      </w:r>
      <w:r w:rsidRPr="002744A2">
        <w:rPr>
          <w:szCs w:val="22"/>
        </w:rPr>
        <w:t xml:space="preserve"> of the bank in that year. In what is quite a sharp fall, the bank of HCFCs </w:t>
      </w:r>
      <w:r>
        <w:rPr>
          <w:szCs w:val="22"/>
        </w:rPr>
        <w:t>has reduced by nearly 4,300</w:t>
      </w:r>
      <w:r w:rsidRPr="002744A2">
        <w:rPr>
          <w:szCs w:val="22"/>
        </w:rPr>
        <w:t xml:space="preserve"> tonnes from that high point</w:t>
      </w:r>
      <w:r>
        <w:rPr>
          <w:szCs w:val="22"/>
        </w:rPr>
        <w:t xml:space="preserve">, or more than 33%, in the last 6 years. </w:t>
      </w:r>
    </w:p>
    <w:p w14:paraId="38E39498" w14:textId="10835382" w:rsidR="0013680B" w:rsidRDefault="0013680B" w:rsidP="0013680B">
      <w:pPr>
        <w:rPr>
          <w:szCs w:val="22"/>
        </w:rPr>
      </w:pPr>
      <w:r>
        <w:rPr>
          <w:szCs w:val="22"/>
        </w:rPr>
        <w:t xml:space="preserve">This was a predictable outcome of the </w:t>
      </w:r>
      <w:r w:rsidRPr="002744A2">
        <w:rPr>
          <w:szCs w:val="22"/>
        </w:rPr>
        <w:t xml:space="preserve">accelerated phase out of HCFC-22 </w:t>
      </w:r>
      <w:r>
        <w:rPr>
          <w:szCs w:val="22"/>
        </w:rPr>
        <w:t xml:space="preserve">adopted by Australia </w:t>
      </w:r>
      <w:r w:rsidR="00A63433">
        <w:rPr>
          <w:szCs w:val="22"/>
        </w:rPr>
        <w:t xml:space="preserve">in the mid-1990s </w:t>
      </w:r>
      <w:r w:rsidRPr="002744A2">
        <w:rPr>
          <w:szCs w:val="22"/>
        </w:rPr>
        <w:t>under</w:t>
      </w:r>
      <w:r>
        <w:rPr>
          <w:szCs w:val="22"/>
        </w:rPr>
        <w:t xml:space="preserve"> its commitment to</w:t>
      </w:r>
      <w:r w:rsidRPr="002744A2">
        <w:rPr>
          <w:szCs w:val="22"/>
        </w:rPr>
        <w:t xml:space="preserve"> the Montreal Protocol</w:t>
      </w:r>
      <w:r>
        <w:rPr>
          <w:szCs w:val="22"/>
        </w:rPr>
        <w:t xml:space="preserve"> which, in 201</w:t>
      </w:r>
      <w:r w:rsidR="00BF3142">
        <w:rPr>
          <w:szCs w:val="22"/>
        </w:rPr>
        <w:t>4</w:t>
      </w:r>
      <w:r>
        <w:rPr>
          <w:szCs w:val="22"/>
        </w:rPr>
        <w:t xml:space="preserve">, saw the import cap step down from 40 ODP tonnes to 10 ODP tonnes </w:t>
      </w:r>
      <w:r w:rsidRPr="00FE7030">
        <w:rPr>
          <w:szCs w:val="22"/>
        </w:rPr>
        <w:t>(</w:t>
      </w:r>
      <w:r>
        <w:rPr>
          <w:szCs w:val="22"/>
        </w:rPr>
        <w:t xml:space="preserve">equivalent to </w:t>
      </w:r>
      <w:r w:rsidRPr="00FE7030">
        <w:rPr>
          <w:szCs w:val="22"/>
        </w:rPr>
        <w:t xml:space="preserve">around 45 </w:t>
      </w:r>
      <w:r w:rsidR="00C613EB">
        <w:rPr>
          <w:szCs w:val="22"/>
        </w:rPr>
        <w:t xml:space="preserve">metric </w:t>
      </w:r>
      <w:r w:rsidRPr="00FE7030">
        <w:rPr>
          <w:szCs w:val="22"/>
        </w:rPr>
        <w:t xml:space="preserve">tonnes </w:t>
      </w:r>
      <w:r>
        <w:rPr>
          <w:szCs w:val="22"/>
        </w:rPr>
        <w:t xml:space="preserve">of HCFC-22 </w:t>
      </w:r>
      <w:r w:rsidRPr="00FE7030">
        <w:rPr>
          <w:szCs w:val="22"/>
        </w:rPr>
        <w:t xml:space="preserve">per annum), </w:t>
      </w:r>
      <w:r w:rsidR="00A63433">
        <w:rPr>
          <w:szCs w:val="22"/>
        </w:rPr>
        <w:t xml:space="preserve">and then to 2.5 ODP tonnes from 2016 </w:t>
      </w:r>
      <w:r w:rsidRPr="00FE7030">
        <w:rPr>
          <w:szCs w:val="22"/>
        </w:rPr>
        <w:t>before the final phase out of HCFCs in 20</w:t>
      </w:r>
      <w:r w:rsidR="00A63433">
        <w:rPr>
          <w:szCs w:val="22"/>
        </w:rPr>
        <w:t>30</w:t>
      </w:r>
      <w:r>
        <w:rPr>
          <w:szCs w:val="22"/>
        </w:rPr>
        <w:t xml:space="preserve">. This phase down of bulk imports was coupled with a ban on all imports of HCFC-22 pre-charged equipment that commenced in July 2010. </w:t>
      </w:r>
    </w:p>
    <w:p w14:paraId="0DC84D29" w14:textId="34351535" w:rsidR="0013680B" w:rsidRPr="00FE7030" w:rsidRDefault="0013680B" w:rsidP="0013680B">
      <w:pPr>
        <w:rPr>
          <w:szCs w:val="22"/>
        </w:rPr>
      </w:pPr>
      <w:r w:rsidRPr="00FE7030">
        <w:rPr>
          <w:szCs w:val="22"/>
        </w:rPr>
        <w:t xml:space="preserve">The sharp drop in the HCFC bank since 2010 should continue as a result of </w:t>
      </w:r>
      <w:r w:rsidR="00C613EB">
        <w:rPr>
          <w:szCs w:val="22"/>
        </w:rPr>
        <w:t xml:space="preserve">the </w:t>
      </w:r>
      <w:r w:rsidRPr="00FE7030">
        <w:rPr>
          <w:szCs w:val="22"/>
        </w:rPr>
        <w:t xml:space="preserve">large numbers of HCFC charged air conditioning units that were installed between 10 and 20 years ago, reaching the end of their useful life and being retired. </w:t>
      </w:r>
    </w:p>
    <w:p w14:paraId="5844CB60" w14:textId="66215CF1" w:rsidR="0013680B" w:rsidRDefault="00D63E58" w:rsidP="0013680B">
      <w:pPr>
        <w:rPr>
          <w:szCs w:val="22"/>
        </w:rPr>
      </w:pPr>
      <w:r w:rsidRPr="00D63E58">
        <w:rPr>
          <w:szCs w:val="22"/>
        </w:rPr>
        <w:t>Despite the ban on import and manufacture of HCFC RAC equipment, small quantities of HCFC pre-charged equipment are still being imported under special exemptions, mainly as replacement parts for condensing units to match evaporators of air conditioning units already installed. The import of space chillers charged with HCFC-123 continued until the end of 2015.</w:t>
      </w:r>
      <w:r>
        <w:rPr>
          <w:szCs w:val="22"/>
        </w:rPr>
        <w:t xml:space="preserve"> </w:t>
      </w:r>
      <w:r w:rsidR="0013680B" w:rsidRPr="00FE7030">
        <w:rPr>
          <w:szCs w:val="22"/>
        </w:rPr>
        <w:t xml:space="preserve">This </w:t>
      </w:r>
      <w:r w:rsidR="00541FEE">
        <w:rPr>
          <w:szCs w:val="22"/>
        </w:rPr>
        <w:t xml:space="preserve">small amount </w:t>
      </w:r>
      <w:r w:rsidR="0013680B" w:rsidRPr="00FE7030">
        <w:rPr>
          <w:szCs w:val="22"/>
        </w:rPr>
        <w:t xml:space="preserve">of equipment, </w:t>
      </w:r>
      <w:r w:rsidR="0013680B">
        <w:rPr>
          <w:szCs w:val="22"/>
        </w:rPr>
        <w:t>building on</w:t>
      </w:r>
      <w:r w:rsidR="0013680B" w:rsidRPr="00FE7030">
        <w:rPr>
          <w:szCs w:val="22"/>
        </w:rPr>
        <w:t xml:space="preserve"> the large numbers of HCFC </w:t>
      </w:r>
      <w:r w:rsidR="00A36D3C" w:rsidRPr="00A36D3C">
        <w:rPr>
          <w:szCs w:val="22"/>
        </w:rPr>
        <w:t>pre-charged equipment</w:t>
      </w:r>
      <w:r w:rsidR="0013680B" w:rsidRPr="00FE7030">
        <w:rPr>
          <w:szCs w:val="22"/>
        </w:rPr>
        <w:t xml:space="preserve"> imported up until as recently as 200</w:t>
      </w:r>
      <w:r w:rsidR="0013680B">
        <w:rPr>
          <w:szCs w:val="22"/>
        </w:rPr>
        <w:t>9</w:t>
      </w:r>
      <w:r w:rsidR="0013680B" w:rsidRPr="00FE7030">
        <w:rPr>
          <w:szCs w:val="22"/>
        </w:rPr>
        <w:t>-</w:t>
      </w:r>
      <w:r w:rsidR="0013680B">
        <w:rPr>
          <w:szCs w:val="22"/>
        </w:rPr>
        <w:t>10</w:t>
      </w:r>
      <w:r w:rsidR="00FE3A48">
        <w:rPr>
          <w:szCs w:val="22"/>
        </w:rPr>
        <w:t>,</w:t>
      </w:r>
      <w:r w:rsidR="0013680B" w:rsidRPr="00FE7030">
        <w:rPr>
          <w:szCs w:val="22"/>
        </w:rPr>
        <w:t xml:space="preserve"> indicates that the long tail of HCFC-22 bulk imports </w:t>
      </w:r>
      <w:r w:rsidR="00A36D3C">
        <w:rPr>
          <w:szCs w:val="22"/>
        </w:rPr>
        <w:t xml:space="preserve">will </w:t>
      </w:r>
      <w:r w:rsidR="0013680B" w:rsidRPr="00FE7030">
        <w:rPr>
          <w:szCs w:val="22"/>
        </w:rPr>
        <w:t>not be sufficient to meet the expected demand to service and repair the remaining in</w:t>
      </w:r>
      <w:r w:rsidR="00A36D3C">
        <w:rPr>
          <w:szCs w:val="22"/>
        </w:rPr>
        <w:t xml:space="preserve">stalled HCFC charged equipment without recycling. </w:t>
      </w:r>
    </w:p>
    <w:p w14:paraId="623B0587" w14:textId="55782BA6" w:rsidR="0013680B" w:rsidRPr="00FE7030" w:rsidRDefault="0013680B" w:rsidP="0013680B">
      <w:pPr>
        <w:rPr>
          <w:szCs w:val="22"/>
        </w:rPr>
      </w:pPr>
      <w:r w:rsidRPr="00FE7030">
        <w:rPr>
          <w:szCs w:val="22"/>
        </w:rPr>
        <w:t>Additional bulk HCFCs will be required for service and maintenance until at least 2025. In the case of HCFC</w:t>
      </w:r>
      <w:r w:rsidR="0054431E">
        <w:rPr>
          <w:szCs w:val="22"/>
        </w:rPr>
        <w:noBreakHyphen/>
      </w:r>
      <w:r w:rsidRPr="00FE7030">
        <w:rPr>
          <w:szCs w:val="22"/>
        </w:rPr>
        <w:t>123</w:t>
      </w:r>
      <w:r w:rsidR="00A14795">
        <w:rPr>
          <w:szCs w:val="22"/>
        </w:rPr>
        <w:t>,</w:t>
      </w:r>
      <w:r w:rsidRPr="00FE7030">
        <w:rPr>
          <w:szCs w:val="22"/>
        </w:rPr>
        <w:t xml:space="preserve"> which is employed in long lasting</w:t>
      </w:r>
      <w:r w:rsidR="00A14795">
        <w:rPr>
          <w:szCs w:val="22"/>
        </w:rPr>
        <w:t>,</w:t>
      </w:r>
      <w:r w:rsidRPr="00FE7030">
        <w:rPr>
          <w:szCs w:val="22"/>
        </w:rPr>
        <w:t xml:space="preserve"> large</w:t>
      </w:r>
      <w:r w:rsidR="00A14795">
        <w:rPr>
          <w:szCs w:val="22"/>
        </w:rPr>
        <w:t>,</w:t>
      </w:r>
      <w:r w:rsidRPr="00FE7030">
        <w:rPr>
          <w:szCs w:val="22"/>
        </w:rPr>
        <w:t xml:space="preserve"> and expensive chillers, the service </w:t>
      </w:r>
      <w:r w:rsidR="0054431E">
        <w:rPr>
          <w:szCs w:val="22"/>
        </w:rPr>
        <w:t>requirement</w:t>
      </w:r>
      <w:r w:rsidR="0054431E" w:rsidRPr="00FE7030">
        <w:rPr>
          <w:szCs w:val="22"/>
        </w:rPr>
        <w:t xml:space="preserve"> </w:t>
      </w:r>
      <w:r w:rsidRPr="00FE7030">
        <w:rPr>
          <w:szCs w:val="22"/>
        </w:rPr>
        <w:t>is likely to continue until possibly 203</w:t>
      </w:r>
      <w:r w:rsidR="00137F3D">
        <w:rPr>
          <w:szCs w:val="22"/>
        </w:rPr>
        <w:t>6</w:t>
      </w:r>
      <w:r w:rsidRPr="00FE7030">
        <w:rPr>
          <w:szCs w:val="22"/>
        </w:rPr>
        <w:t xml:space="preserve">. As such it is expected that more of the HCFCs recovered from EOL equipment will be </w:t>
      </w:r>
      <w:r>
        <w:rPr>
          <w:szCs w:val="22"/>
        </w:rPr>
        <w:t xml:space="preserve">recycled or </w:t>
      </w:r>
      <w:r w:rsidRPr="00FE7030">
        <w:rPr>
          <w:szCs w:val="22"/>
        </w:rPr>
        <w:t xml:space="preserve">stockpiled for </w:t>
      </w:r>
      <w:r w:rsidR="009F5EAE" w:rsidRPr="00FE7030">
        <w:rPr>
          <w:szCs w:val="22"/>
        </w:rPr>
        <w:t>reuse.</w:t>
      </w:r>
    </w:p>
    <w:p w14:paraId="0D4FFC37" w14:textId="4C302570" w:rsidR="0013680B" w:rsidRPr="008C190F" w:rsidRDefault="0013680B" w:rsidP="0013680B">
      <w:pPr>
        <w:rPr>
          <w:i/>
          <w:szCs w:val="22"/>
        </w:rPr>
      </w:pPr>
      <w:r>
        <w:rPr>
          <w:szCs w:val="22"/>
        </w:rPr>
        <w:t>T</w:t>
      </w:r>
      <w:r w:rsidRPr="002744A2">
        <w:rPr>
          <w:szCs w:val="22"/>
        </w:rPr>
        <w:t xml:space="preserve">he </w:t>
      </w:r>
      <w:r>
        <w:rPr>
          <w:szCs w:val="22"/>
        </w:rPr>
        <w:t xml:space="preserve">rate of change in </w:t>
      </w:r>
      <w:r w:rsidRPr="002744A2">
        <w:rPr>
          <w:szCs w:val="22"/>
        </w:rPr>
        <w:t>trend</w:t>
      </w:r>
      <w:r>
        <w:rPr>
          <w:szCs w:val="22"/>
        </w:rPr>
        <w:t>s</w:t>
      </w:r>
      <w:r w:rsidRPr="002744A2">
        <w:rPr>
          <w:szCs w:val="22"/>
        </w:rPr>
        <w:t xml:space="preserve"> </w:t>
      </w:r>
      <w:r>
        <w:rPr>
          <w:szCs w:val="22"/>
        </w:rPr>
        <w:t>for HCFCs provide</w:t>
      </w:r>
      <w:r w:rsidR="00472A27">
        <w:rPr>
          <w:szCs w:val="22"/>
        </w:rPr>
        <w:t>s</w:t>
      </w:r>
      <w:r>
        <w:rPr>
          <w:szCs w:val="22"/>
        </w:rPr>
        <w:t xml:space="preserve"> insight into the change in trend that should emerge with HFCs overall</w:t>
      </w:r>
      <w:r w:rsidR="00307938">
        <w:rPr>
          <w:szCs w:val="22"/>
        </w:rPr>
        <w:t>,</w:t>
      </w:r>
      <w:r>
        <w:rPr>
          <w:szCs w:val="22"/>
        </w:rPr>
        <w:t xml:space="preserve"> as the timetable </w:t>
      </w:r>
      <w:r w:rsidR="00307938">
        <w:rPr>
          <w:szCs w:val="22"/>
        </w:rPr>
        <w:t xml:space="preserve">agreed </w:t>
      </w:r>
      <w:r>
        <w:rPr>
          <w:szCs w:val="22"/>
        </w:rPr>
        <w:t>for a phase down of HFCs under the Kigali Amendment to the Montreal Protocol</w:t>
      </w:r>
      <w:r w:rsidR="00307938">
        <w:rPr>
          <w:szCs w:val="22"/>
        </w:rPr>
        <w:t xml:space="preserve"> progresses towards the 203</w:t>
      </w:r>
      <w:r w:rsidR="00BF12C1">
        <w:rPr>
          <w:szCs w:val="22"/>
        </w:rPr>
        <w:t>6</w:t>
      </w:r>
      <w:r w:rsidR="00307938">
        <w:rPr>
          <w:szCs w:val="22"/>
        </w:rPr>
        <w:t xml:space="preserve"> end date</w:t>
      </w:r>
      <w:r w:rsidRPr="002744A2">
        <w:rPr>
          <w:szCs w:val="22"/>
        </w:rPr>
        <w:t>.</w:t>
      </w:r>
      <w:r>
        <w:rPr>
          <w:szCs w:val="22"/>
        </w:rPr>
        <w:t xml:space="preserve"> Where suitable technical alternatives are available and affordable, they </w:t>
      </w:r>
      <w:r w:rsidR="00307938">
        <w:rPr>
          <w:szCs w:val="22"/>
        </w:rPr>
        <w:t>we</w:t>
      </w:r>
      <w:r>
        <w:rPr>
          <w:szCs w:val="22"/>
        </w:rPr>
        <w:t>re r</w:t>
      </w:r>
      <w:r w:rsidR="00307938">
        <w:rPr>
          <w:szCs w:val="22"/>
        </w:rPr>
        <w:t>eadi</w:t>
      </w:r>
      <w:r>
        <w:rPr>
          <w:szCs w:val="22"/>
        </w:rPr>
        <w:t>ly adopted. Where no suitable alternative was immediately available, decreasing supply and increasing prices have created an active recycling industry to supply reconditioned HCFC-22 and give equipment owners an option to get the longest possible operating life out of their equipment.</w:t>
      </w:r>
    </w:p>
    <w:p w14:paraId="508B7A3C" w14:textId="7443DE51" w:rsidR="0013680B" w:rsidRDefault="0013680B" w:rsidP="0013680B">
      <w:pPr>
        <w:rPr>
          <w:szCs w:val="22"/>
        </w:rPr>
      </w:pPr>
      <w:r>
        <w:rPr>
          <w:szCs w:val="22"/>
        </w:rPr>
        <w:t xml:space="preserve">Predicting the future rate of change in the bank of HCFCs is complicated by the amount of HCFC-22 reuse, the cost of maintaining older equipment and prices for recycled HCFC-22. </w:t>
      </w:r>
    </w:p>
    <w:p w14:paraId="11DD28BD" w14:textId="1104CBA9" w:rsidR="0013680B" w:rsidRPr="002744A2" w:rsidRDefault="0013680B" w:rsidP="0013680B">
      <w:pPr>
        <w:rPr>
          <w:szCs w:val="22"/>
        </w:rPr>
      </w:pPr>
      <w:r w:rsidRPr="002744A2">
        <w:rPr>
          <w:szCs w:val="22"/>
        </w:rPr>
        <w:t xml:space="preserve">HFC-134a is the second most abundant </w:t>
      </w:r>
      <w:r>
        <w:rPr>
          <w:szCs w:val="22"/>
        </w:rPr>
        <w:t>refrigerant in the 2016 bank</w:t>
      </w:r>
      <w:r w:rsidR="00472A27">
        <w:rPr>
          <w:szCs w:val="22"/>
        </w:rPr>
        <w:t>,</w:t>
      </w:r>
      <w:r>
        <w:rPr>
          <w:szCs w:val="22"/>
        </w:rPr>
        <w:t xml:space="preserve"> </w:t>
      </w:r>
      <w:r w:rsidRPr="002744A2">
        <w:rPr>
          <w:szCs w:val="22"/>
        </w:rPr>
        <w:t>growing steadily at around 3</w:t>
      </w:r>
      <w:r w:rsidR="00C9319D">
        <w:rPr>
          <w:szCs w:val="22"/>
        </w:rPr>
        <w:t>%</w:t>
      </w:r>
      <w:r w:rsidRPr="002744A2">
        <w:rPr>
          <w:szCs w:val="22"/>
        </w:rPr>
        <w:t xml:space="preserve"> per annum</w:t>
      </w:r>
      <w:r>
        <w:rPr>
          <w:szCs w:val="22"/>
        </w:rPr>
        <w:t xml:space="preserve">, </w:t>
      </w:r>
      <w:r w:rsidRPr="002744A2">
        <w:rPr>
          <w:szCs w:val="22"/>
        </w:rPr>
        <w:t>and now accounts for 3</w:t>
      </w:r>
      <w:r>
        <w:rPr>
          <w:szCs w:val="22"/>
        </w:rPr>
        <w:t>2%</w:t>
      </w:r>
      <w:r w:rsidRPr="002744A2">
        <w:rPr>
          <w:szCs w:val="22"/>
        </w:rPr>
        <w:t xml:space="preserve"> </w:t>
      </w:r>
      <w:r>
        <w:rPr>
          <w:szCs w:val="22"/>
        </w:rPr>
        <w:t>of the bank (</w:t>
      </w:r>
      <w:r w:rsidR="00307938" w:rsidRPr="00784657">
        <w:rPr>
          <w:i/>
          <w:szCs w:val="22"/>
        </w:rPr>
        <w:t>CHF2</w:t>
      </w:r>
      <w:r w:rsidRPr="00784657">
        <w:rPr>
          <w:i/>
          <w:szCs w:val="22"/>
        </w:rPr>
        <w:t xml:space="preserve"> 31%</w:t>
      </w:r>
      <w:r w:rsidRPr="002744A2">
        <w:rPr>
          <w:szCs w:val="22"/>
        </w:rPr>
        <w:t xml:space="preserve">). </w:t>
      </w:r>
    </w:p>
    <w:p w14:paraId="6C70A570" w14:textId="6A116334" w:rsidR="0013680B" w:rsidRPr="002744A2" w:rsidRDefault="0013680B" w:rsidP="0013680B">
      <w:pPr>
        <w:rPr>
          <w:szCs w:val="22"/>
        </w:rPr>
      </w:pPr>
      <w:r w:rsidRPr="002744A2">
        <w:rPr>
          <w:szCs w:val="22"/>
        </w:rPr>
        <w:t xml:space="preserve">HFC-404A has </w:t>
      </w:r>
      <w:r>
        <w:rPr>
          <w:szCs w:val="22"/>
        </w:rPr>
        <w:t xml:space="preserve">seen some growth </w:t>
      </w:r>
      <w:r w:rsidRPr="002744A2">
        <w:rPr>
          <w:szCs w:val="22"/>
        </w:rPr>
        <w:t>in overall tonnes</w:t>
      </w:r>
      <w:r>
        <w:rPr>
          <w:szCs w:val="22"/>
        </w:rPr>
        <w:t xml:space="preserve"> between 2012 and 2016, increasing by more than 1</w:t>
      </w:r>
      <w:r w:rsidR="00E3198C">
        <w:rPr>
          <w:szCs w:val="22"/>
        </w:rPr>
        <w:t>,</w:t>
      </w:r>
      <w:r>
        <w:rPr>
          <w:szCs w:val="22"/>
        </w:rPr>
        <w:t>100 tonnes, or 25%</w:t>
      </w:r>
      <w:r w:rsidRPr="002744A2">
        <w:rPr>
          <w:szCs w:val="22"/>
        </w:rPr>
        <w:t xml:space="preserve">, </w:t>
      </w:r>
      <w:r>
        <w:rPr>
          <w:szCs w:val="22"/>
        </w:rPr>
        <w:t xml:space="preserve">to reach </w:t>
      </w:r>
      <w:r w:rsidR="00BF12C1">
        <w:rPr>
          <w:szCs w:val="22"/>
        </w:rPr>
        <w:t>9</w:t>
      </w:r>
      <w:r>
        <w:rPr>
          <w:szCs w:val="22"/>
        </w:rPr>
        <w:t xml:space="preserve">% of the total bank, up from 7.5% in 2012, </w:t>
      </w:r>
      <w:r w:rsidRPr="002744A2">
        <w:rPr>
          <w:szCs w:val="22"/>
        </w:rPr>
        <w:t>however has declined from 11</w:t>
      </w:r>
      <w:r w:rsidR="00E3198C">
        <w:rPr>
          <w:szCs w:val="22"/>
        </w:rPr>
        <w:t>%</w:t>
      </w:r>
      <w:r w:rsidRPr="002744A2">
        <w:rPr>
          <w:szCs w:val="22"/>
        </w:rPr>
        <w:t xml:space="preserve"> of the </w:t>
      </w:r>
      <w:r>
        <w:rPr>
          <w:szCs w:val="22"/>
        </w:rPr>
        <w:t xml:space="preserve">smaller </w:t>
      </w:r>
      <w:r w:rsidRPr="002744A2">
        <w:rPr>
          <w:szCs w:val="22"/>
        </w:rPr>
        <w:t xml:space="preserve">bank in 2006. </w:t>
      </w:r>
      <w:r w:rsidR="00BF12C1">
        <w:rPr>
          <w:szCs w:val="22"/>
        </w:rPr>
        <w:t xml:space="preserve">Much of the stock where HFC-404A can be found has been redefined in the taxonomy </w:t>
      </w:r>
      <w:r w:rsidR="00BF12C1" w:rsidRPr="0054235D">
        <w:rPr>
          <w:szCs w:val="22"/>
        </w:rPr>
        <w:t xml:space="preserve">so the important message is </w:t>
      </w:r>
      <w:r w:rsidR="00FE74F2">
        <w:rPr>
          <w:szCs w:val="22"/>
        </w:rPr>
        <w:t xml:space="preserve">the </w:t>
      </w:r>
      <w:r w:rsidR="00BF12C1" w:rsidRPr="0054235D">
        <w:rPr>
          <w:szCs w:val="22"/>
        </w:rPr>
        <w:t>HFC-404A bank is still growing</w:t>
      </w:r>
      <w:r w:rsidR="0054235D" w:rsidRPr="0054235D">
        <w:rPr>
          <w:szCs w:val="22"/>
        </w:rPr>
        <w:t xml:space="preserve"> and accounts for 9% of the bank.</w:t>
      </w:r>
    </w:p>
    <w:p w14:paraId="38879E2B" w14:textId="5B975BAA" w:rsidR="0013680B" w:rsidRDefault="0013680B" w:rsidP="0013680B">
      <w:pPr>
        <w:rPr>
          <w:szCs w:val="22"/>
        </w:rPr>
      </w:pPr>
      <w:r w:rsidRPr="002744A2">
        <w:rPr>
          <w:szCs w:val="22"/>
        </w:rPr>
        <w:t xml:space="preserve">HFC-407C </w:t>
      </w:r>
      <w:r>
        <w:rPr>
          <w:szCs w:val="22"/>
        </w:rPr>
        <w:t>has also grown in volume by more than 25% since 2012, reaching some 1,289 tonnes in 2016, having grown steadily from around 700 tonnes in 2006 and has increased its proportion to 2.5%</w:t>
      </w:r>
      <w:r w:rsidR="00E3198C">
        <w:rPr>
          <w:szCs w:val="22"/>
        </w:rPr>
        <w:t xml:space="preserve"> </w:t>
      </w:r>
      <w:r>
        <w:rPr>
          <w:szCs w:val="22"/>
        </w:rPr>
        <w:t xml:space="preserve">of the bank, mostly as a result of having similar refrigeration characteristics </w:t>
      </w:r>
      <w:r w:rsidR="00E3198C">
        <w:rPr>
          <w:szCs w:val="22"/>
        </w:rPr>
        <w:t xml:space="preserve">as </w:t>
      </w:r>
      <w:r>
        <w:rPr>
          <w:szCs w:val="22"/>
        </w:rPr>
        <w:t>HCFC-22 which it is sometimes used to replace</w:t>
      </w:r>
      <w:r w:rsidRPr="002744A2">
        <w:rPr>
          <w:szCs w:val="22"/>
        </w:rPr>
        <w:t>.</w:t>
      </w:r>
    </w:p>
    <w:p w14:paraId="45CBA16D" w14:textId="5D2B917C" w:rsidR="0013680B" w:rsidRDefault="0013680B" w:rsidP="0013680B">
      <w:pPr>
        <w:rPr>
          <w:szCs w:val="22"/>
        </w:rPr>
      </w:pPr>
      <w:r>
        <w:rPr>
          <w:szCs w:val="22"/>
        </w:rPr>
        <w:t xml:space="preserve">The table below contains the data from which </w:t>
      </w:r>
      <w:r w:rsidR="00BB16C6">
        <w:rPr>
          <w:i/>
          <w:szCs w:val="22"/>
        </w:rPr>
        <w:t xml:space="preserve">Figure </w:t>
      </w:r>
      <w:r w:rsidR="00036F8F">
        <w:rPr>
          <w:i/>
          <w:szCs w:val="22"/>
        </w:rPr>
        <w:t>6</w:t>
      </w:r>
      <w:r>
        <w:rPr>
          <w:szCs w:val="22"/>
        </w:rPr>
        <w:t xml:space="preserve"> above was produced. The tabulated data of the bank by species notably shows the 2016 emergence of HFC-32 as a component of the overall bank. HFC-32 with a GWP of 6</w:t>
      </w:r>
      <w:r w:rsidR="00E3198C">
        <w:rPr>
          <w:szCs w:val="22"/>
        </w:rPr>
        <w:t>7</w:t>
      </w:r>
      <w:r>
        <w:rPr>
          <w:szCs w:val="22"/>
        </w:rPr>
        <w:t>5, as compared to HFC-410A with a GWP of 20</w:t>
      </w:r>
      <w:r w:rsidR="00E3198C">
        <w:rPr>
          <w:szCs w:val="22"/>
        </w:rPr>
        <w:t>88</w:t>
      </w:r>
      <w:r>
        <w:rPr>
          <w:szCs w:val="22"/>
        </w:rPr>
        <w:t>, is expected to cap the GWP intensity of the refrigerant bank in the</w:t>
      </w:r>
      <w:r w:rsidR="00307938">
        <w:rPr>
          <w:szCs w:val="22"/>
        </w:rPr>
        <w:t xml:space="preserve"> extensive</w:t>
      </w:r>
      <w:r>
        <w:rPr>
          <w:szCs w:val="22"/>
        </w:rPr>
        <w:t xml:space="preserve"> stock of small AC.</w:t>
      </w:r>
    </w:p>
    <w:p w14:paraId="45E47987" w14:textId="556D56C1" w:rsidR="005B25A4" w:rsidRDefault="005B25A4">
      <w:pPr>
        <w:spacing w:before="0"/>
        <w:jc w:val="left"/>
        <w:rPr>
          <w:i/>
          <w:szCs w:val="22"/>
        </w:rPr>
      </w:pPr>
    </w:p>
    <w:p w14:paraId="7938EF1A" w14:textId="69189305" w:rsidR="00AE0146" w:rsidRPr="001A5DDE" w:rsidRDefault="001A5DDE" w:rsidP="001A5DDE">
      <w:pPr>
        <w:pStyle w:val="Caption"/>
        <w:keepNext/>
        <w:rPr>
          <w:szCs w:val="22"/>
        </w:rPr>
      </w:pPr>
      <w:bookmarkStart w:id="65" w:name="_Toc525141407"/>
      <w:r w:rsidRPr="001A5DDE">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18</w:t>
      </w:r>
      <w:r w:rsidR="009D6843">
        <w:rPr>
          <w:noProof/>
        </w:rPr>
        <w:fldChar w:fldCharType="end"/>
      </w:r>
      <w:r w:rsidRPr="001A5DDE">
        <w:t xml:space="preserve">: </w:t>
      </w:r>
      <w:r w:rsidR="001D4D37" w:rsidRPr="001A5DDE">
        <w:rPr>
          <w:szCs w:val="22"/>
        </w:rPr>
        <w:t>Refrigerant bank 2006, 2012 and 2016 by mass in tonnes and share in percent.</w:t>
      </w:r>
      <w:bookmarkEnd w:id="65"/>
    </w:p>
    <w:tbl>
      <w:tblPr>
        <w:tblStyle w:val="TableGrid"/>
        <w:tblW w:w="0" w:type="auto"/>
        <w:tblLook w:val="04A0" w:firstRow="1" w:lastRow="0" w:firstColumn="1" w:lastColumn="0" w:noHBand="0" w:noVBand="1"/>
      </w:tblPr>
      <w:tblGrid>
        <w:gridCol w:w="1504"/>
        <w:gridCol w:w="1330"/>
        <w:gridCol w:w="1331"/>
        <w:gridCol w:w="1330"/>
        <w:gridCol w:w="1331"/>
        <w:gridCol w:w="1330"/>
        <w:gridCol w:w="1331"/>
      </w:tblGrid>
      <w:tr w:rsidR="001D4D37" w14:paraId="1950F1ED" w14:textId="77777777" w:rsidTr="00D6002F">
        <w:tc>
          <w:tcPr>
            <w:tcW w:w="1504" w:type="dxa"/>
            <w:vMerge w:val="restart"/>
            <w:shd w:val="clear" w:color="auto" w:fill="B6DDE8" w:themeFill="accent5" w:themeFillTint="66"/>
          </w:tcPr>
          <w:p w14:paraId="1E5F4EC1" w14:textId="77777777" w:rsidR="001D4D37" w:rsidRPr="00AE0146" w:rsidRDefault="001D4D37" w:rsidP="001D4D37">
            <w:pPr>
              <w:snapToGrid w:val="0"/>
              <w:spacing w:before="60" w:after="60"/>
              <w:rPr>
                <w:szCs w:val="22"/>
              </w:rPr>
            </w:pPr>
          </w:p>
        </w:tc>
        <w:tc>
          <w:tcPr>
            <w:tcW w:w="2661" w:type="dxa"/>
            <w:gridSpan w:val="2"/>
            <w:shd w:val="clear" w:color="auto" w:fill="B6DDE8" w:themeFill="accent5" w:themeFillTint="66"/>
            <w:vAlign w:val="center"/>
          </w:tcPr>
          <w:p w14:paraId="12C43FCD" w14:textId="048B1F4A" w:rsidR="001D4D37" w:rsidRPr="00AE0146" w:rsidRDefault="001D4D37" w:rsidP="001D4D37">
            <w:pPr>
              <w:snapToGrid w:val="0"/>
              <w:spacing w:before="60" w:after="60"/>
              <w:jc w:val="center"/>
              <w:rPr>
                <w:szCs w:val="22"/>
              </w:rPr>
            </w:pPr>
            <w:r>
              <w:rPr>
                <w:szCs w:val="22"/>
              </w:rPr>
              <w:t>2006</w:t>
            </w:r>
          </w:p>
        </w:tc>
        <w:tc>
          <w:tcPr>
            <w:tcW w:w="2661" w:type="dxa"/>
            <w:gridSpan w:val="2"/>
            <w:shd w:val="clear" w:color="auto" w:fill="B6DDE8" w:themeFill="accent5" w:themeFillTint="66"/>
            <w:vAlign w:val="center"/>
          </w:tcPr>
          <w:p w14:paraId="0B8E50A9" w14:textId="73116662" w:rsidR="001D4D37" w:rsidRPr="00AE0146" w:rsidRDefault="001D4D37" w:rsidP="001D4D37">
            <w:pPr>
              <w:snapToGrid w:val="0"/>
              <w:spacing w:before="60" w:after="60"/>
              <w:jc w:val="center"/>
              <w:rPr>
                <w:szCs w:val="22"/>
              </w:rPr>
            </w:pPr>
            <w:r>
              <w:rPr>
                <w:szCs w:val="22"/>
              </w:rPr>
              <w:t>2012</w:t>
            </w:r>
          </w:p>
        </w:tc>
        <w:tc>
          <w:tcPr>
            <w:tcW w:w="2661" w:type="dxa"/>
            <w:gridSpan w:val="2"/>
            <w:shd w:val="clear" w:color="auto" w:fill="B6DDE8" w:themeFill="accent5" w:themeFillTint="66"/>
            <w:vAlign w:val="center"/>
          </w:tcPr>
          <w:p w14:paraId="7030C05F" w14:textId="01E56283" w:rsidR="001D4D37" w:rsidRPr="00AE0146" w:rsidRDefault="001D4D37" w:rsidP="001D4D37">
            <w:pPr>
              <w:snapToGrid w:val="0"/>
              <w:spacing w:before="60" w:after="60"/>
              <w:jc w:val="center"/>
              <w:rPr>
                <w:szCs w:val="22"/>
              </w:rPr>
            </w:pPr>
            <w:r>
              <w:rPr>
                <w:szCs w:val="22"/>
              </w:rPr>
              <w:t>2016</w:t>
            </w:r>
          </w:p>
        </w:tc>
      </w:tr>
      <w:tr w:rsidR="001D4D37" w14:paraId="70627204" w14:textId="77777777" w:rsidTr="00D6002F">
        <w:tc>
          <w:tcPr>
            <w:tcW w:w="1504" w:type="dxa"/>
            <w:vMerge/>
            <w:shd w:val="clear" w:color="auto" w:fill="B6DDE8" w:themeFill="accent5" w:themeFillTint="66"/>
          </w:tcPr>
          <w:p w14:paraId="0280C61B" w14:textId="77777777" w:rsidR="001D4D37" w:rsidRPr="00AE0146" w:rsidRDefault="001D4D37" w:rsidP="001D4D37">
            <w:pPr>
              <w:snapToGrid w:val="0"/>
              <w:spacing w:before="60" w:after="60"/>
              <w:rPr>
                <w:szCs w:val="22"/>
              </w:rPr>
            </w:pPr>
          </w:p>
        </w:tc>
        <w:tc>
          <w:tcPr>
            <w:tcW w:w="1330" w:type="dxa"/>
            <w:shd w:val="clear" w:color="auto" w:fill="B6DDE8" w:themeFill="accent5" w:themeFillTint="66"/>
            <w:vAlign w:val="center"/>
          </w:tcPr>
          <w:p w14:paraId="213CA14C" w14:textId="201A6E22" w:rsidR="001D4D37" w:rsidRPr="00AE0146" w:rsidRDefault="001D4D37" w:rsidP="001D4D37">
            <w:pPr>
              <w:tabs>
                <w:tab w:val="left" w:pos="560"/>
              </w:tabs>
              <w:snapToGrid w:val="0"/>
              <w:spacing w:before="60" w:after="60"/>
              <w:jc w:val="center"/>
              <w:rPr>
                <w:szCs w:val="22"/>
              </w:rPr>
            </w:pPr>
            <w:r>
              <w:rPr>
                <w:szCs w:val="22"/>
              </w:rPr>
              <w:t>Tonnes</w:t>
            </w:r>
          </w:p>
        </w:tc>
        <w:tc>
          <w:tcPr>
            <w:tcW w:w="1331" w:type="dxa"/>
            <w:shd w:val="clear" w:color="auto" w:fill="B6DDE8" w:themeFill="accent5" w:themeFillTint="66"/>
            <w:vAlign w:val="center"/>
          </w:tcPr>
          <w:p w14:paraId="2E04AFE3" w14:textId="6439BF47" w:rsidR="001D4D37" w:rsidRPr="00AE0146" w:rsidRDefault="001D4D37" w:rsidP="001D4D37">
            <w:pPr>
              <w:snapToGrid w:val="0"/>
              <w:spacing w:before="60" w:after="60"/>
              <w:jc w:val="center"/>
              <w:rPr>
                <w:szCs w:val="22"/>
              </w:rPr>
            </w:pPr>
            <w:r w:rsidRPr="00AE0146">
              <w:rPr>
                <w:szCs w:val="22"/>
              </w:rPr>
              <w:t>Share (%)</w:t>
            </w:r>
          </w:p>
        </w:tc>
        <w:tc>
          <w:tcPr>
            <w:tcW w:w="1330" w:type="dxa"/>
            <w:shd w:val="clear" w:color="auto" w:fill="B6DDE8" w:themeFill="accent5" w:themeFillTint="66"/>
            <w:vAlign w:val="center"/>
          </w:tcPr>
          <w:p w14:paraId="04DC68B1" w14:textId="62CC44DF" w:rsidR="001D4D37" w:rsidRPr="00AE0146" w:rsidRDefault="001D4D37" w:rsidP="001D4D37">
            <w:pPr>
              <w:snapToGrid w:val="0"/>
              <w:spacing w:before="60" w:after="60"/>
              <w:jc w:val="center"/>
              <w:rPr>
                <w:szCs w:val="22"/>
              </w:rPr>
            </w:pPr>
            <w:r>
              <w:rPr>
                <w:szCs w:val="22"/>
              </w:rPr>
              <w:t>Tonnes</w:t>
            </w:r>
          </w:p>
        </w:tc>
        <w:tc>
          <w:tcPr>
            <w:tcW w:w="1331" w:type="dxa"/>
            <w:shd w:val="clear" w:color="auto" w:fill="B6DDE8" w:themeFill="accent5" w:themeFillTint="66"/>
            <w:vAlign w:val="center"/>
          </w:tcPr>
          <w:p w14:paraId="16A8FDE2" w14:textId="7590CEAB" w:rsidR="001D4D37" w:rsidRPr="00AE0146" w:rsidRDefault="001D4D37" w:rsidP="001D4D37">
            <w:pPr>
              <w:snapToGrid w:val="0"/>
              <w:spacing w:before="60" w:after="60"/>
              <w:jc w:val="center"/>
              <w:rPr>
                <w:szCs w:val="22"/>
              </w:rPr>
            </w:pPr>
            <w:r w:rsidRPr="00AE0146">
              <w:rPr>
                <w:szCs w:val="22"/>
              </w:rPr>
              <w:t>Share (%)</w:t>
            </w:r>
          </w:p>
        </w:tc>
        <w:tc>
          <w:tcPr>
            <w:tcW w:w="1330" w:type="dxa"/>
            <w:shd w:val="clear" w:color="auto" w:fill="B6DDE8" w:themeFill="accent5" w:themeFillTint="66"/>
            <w:vAlign w:val="center"/>
          </w:tcPr>
          <w:p w14:paraId="6C2087B0" w14:textId="763F0E24" w:rsidR="001D4D37" w:rsidRPr="00AE0146" w:rsidRDefault="001D4D37" w:rsidP="001D4D37">
            <w:pPr>
              <w:snapToGrid w:val="0"/>
              <w:spacing w:before="60" w:after="60"/>
              <w:jc w:val="center"/>
              <w:rPr>
                <w:szCs w:val="22"/>
              </w:rPr>
            </w:pPr>
            <w:r>
              <w:rPr>
                <w:szCs w:val="22"/>
              </w:rPr>
              <w:t>Tonnes</w:t>
            </w:r>
          </w:p>
        </w:tc>
        <w:tc>
          <w:tcPr>
            <w:tcW w:w="1331" w:type="dxa"/>
            <w:shd w:val="clear" w:color="auto" w:fill="B6DDE8" w:themeFill="accent5" w:themeFillTint="66"/>
            <w:vAlign w:val="center"/>
          </w:tcPr>
          <w:p w14:paraId="37025ACE" w14:textId="16F2860B" w:rsidR="001D4D37" w:rsidRPr="00AE0146" w:rsidRDefault="001D4D37" w:rsidP="001D4D37">
            <w:pPr>
              <w:snapToGrid w:val="0"/>
              <w:spacing w:before="60" w:after="60"/>
              <w:jc w:val="center"/>
              <w:rPr>
                <w:szCs w:val="22"/>
              </w:rPr>
            </w:pPr>
            <w:r w:rsidRPr="00AE0146">
              <w:rPr>
                <w:szCs w:val="22"/>
              </w:rPr>
              <w:t>Share (%)</w:t>
            </w:r>
          </w:p>
        </w:tc>
      </w:tr>
      <w:tr w:rsidR="000F49AE" w14:paraId="0FE87A27" w14:textId="77777777" w:rsidTr="000F49AE">
        <w:tc>
          <w:tcPr>
            <w:tcW w:w="1504" w:type="dxa"/>
            <w:vAlign w:val="center"/>
          </w:tcPr>
          <w:p w14:paraId="0BBCF3D9" w14:textId="41D4D515" w:rsidR="000F49AE" w:rsidRPr="00AE0146" w:rsidRDefault="000F49AE" w:rsidP="000F49AE">
            <w:pPr>
              <w:snapToGrid w:val="0"/>
              <w:spacing w:before="60" w:after="60"/>
              <w:rPr>
                <w:szCs w:val="22"/>
              </w:rPr>
            </w:pPr>
            <w:r w:rsidRPr="00AE0146">
              <w:rPr>
                <w:color w:val="000000"/>
                <w:szCs w:val="22"/>
                <w:lang w:val="en-AU"/>
              </w:rPr>
              <w:t>HCFC-22</w:t>
            </w:r>
          </w:p>
        </w:tc>
        <w:tc>
          <w:tcPr>
            <w:tcW w:w="1330" w:type="dxa"/>
            <w:vAlign w:val="center"/>
          </w:tcPr>
          <w:p w14:paraId="6AE390FD" w14:textId="1CFF584E" w:rsidR="000F49AE" w:rsidRPr="00AE0146" w:rsidRDefault="000F49AE" w:rsidP="000F49AE">
            <w:pPr>
              <w:snapToGrid w:val="0"/>
              <w:spacing w:before="60" w:after="60"/>
              <w:jc w:val="center"/>
              <w:rPr>
                <w:szCs w:val="22"/>
              </w:rPr>
            </w:pPr>
            <w:r w:rsidRPr="00AE0146">
              <w:rPr>
                <w:color w:val="000000"/>
                <w:szCs w:val="22"/>
                <w:lang w:val="en-AU"/>
              </w:rPr>
              <w:t>11,280</w:t>
            </w:r>
          </w:p>
        </w:tc>
        <w:tc>
          <w:tcPr>
            <w:tcW w:w="1331" w:type="dxa"/>
            <w:vAlign w:val="center"/>
          </w:tcPr>
          <w:p w14:paraId="373E2CDA" w14:textId="0AEB5B5E" w:rsidR="000F49AE" w:rsidRPr="00AE0146" w:rsidRDefault="000F49AE" w:rsidP="000F49AE">
            <w:pPr>
              <w:snapToGrid w:val="0"/>
              <w:spacing w:before="60" w:after="60"/>
              <w:jc w:val="center"/>
              <w:rPr>
                <w:szCs w:val="22"/>
              </w:rPr>
            </w:pPr>
            <w:r w:rsidRPr="00AE0146">
              <w:rPr>
                <w:color w:val="000000"/>
                <w:szCs w:val="22"/>
                <w:lang w:val="en-AU"/>
              </w:rPr>
              <w:t>37%</w:t>
            </w:r>
          </w:p>
        </w:tc>
        <w:tc>
          <w:tcPr>
            <w:tcW w:w="1330" w:type="dxa"/>
            <w:vAlign w:val="center"/>
          </w:tcPr>
          <w:p w14:paraId="674B733F" w14:textId="021CCD04" w:rsidR="000F49AE" w:rsidRPr="00AE0146" w:rsidRDefault="000F49AE" w:rsidP="000F49AE">
            <w:pPr>
              <w:snapToGrid w:val="0"/>
              <w:spacing w:before="60" w:after="60"/>
              <w:jc w:val="center"/>
              <w:rPr>
                <w:szCs w:val="22"/>
              </w:rPr>
            </w:pPr>
            <w:r w:rsidRPr="00AE0146">
              <w:rPr>
                <w:color w:val="000000"/>
                <w:szCs w:val="22"/>
                <w:lang w:val="en-AU"/>
              </w:rPr>
              <w:t>11,227</w:t>
            </w:r>
          </w:p>
        </w:tc>
        <w:tc>
          <w:tcPr>
            <w:tcW w:w="1331" w:type="dxa"/>
            <w:vAlign w:val="center"/>
          </w:tcPr>
          <w:p w14:paraId="54911FBD" w14:textId="25F1B7D8" w:rsidR="000F49AE" w:rsidRPr="00AE0146" w:rsidRDefault="000F49AE" w:rsidP="000F49AE">
            <w:pPr>
              <w:snapToGrid w:val="0"/>
              <w:spacing w:before="60" w:after="60"/>
              <w:jc w:val="center"/>
              <w:rPr>
                <w:szCs w:val="22"/>
              </w:rPr>
            </w:pPr>
            <w:r w:rsidRPr="00AE0146">
              <w:rPr>
                <w:color w:val="000000"/>
                <w:szCs w:val="22"/>
                <w:lang w:val="en-AU"/>
              </w:rPr>
              <w:t>25%</w:t>
            </w:r>
          </w:p>
        </w:tc>
        <w:tc>
          <w:tcPr>
            <w:tcW w:w="1330" w:type="dxa"/>
            <w:vAlign w:val="center"/>
          </w:tcPr>
          <w:p w14:paraId="5E7B660F" w14:textId="6CD5676E" w:rsidR="000F49AE" w:rsidRPr="00541FEE" w:rsidRDefault="000F49AE" w:rsidP="000F49AE">
            <w:pPr>
              <w:snapToGrid w:val="0"/>
              <w:spacing w:before="60" w:after="60"/>
              <w:jc w:val="center"/>
            </w:pPr>
            <w:r w:rsidRPr="00541FEE">
              <w:rPr>
                <w:color w:val="000000"/>
              </w:rPr>
              <w:t>8,283</w:t>
            </w:r>
          </w:p>
        </w:tc>
        <w:tc>
          <w:tcPr>
            <w:tcW w:w="1331" w:type="dxa"/>
            <w:vAlign w:val="bottom"/>
          </w:tcPr>
          <w:p w14:paraId="3F072378" w14:textId="2ED2A7B1" w:rsidR="000F49AE" w:rsidRPr="00541FEE" w:rsidRDefault="000F49AE" w:rsidP="000F49AE">
            <w:pPr>
              <w:snapToGrid w:val="0"/>
              <w:spacing w:before="60" w:after="60"/>
              <w:jc w:val="center"/>
            </w:pPr>
            <w:r w:rsidRPr="00541FEE">
              <w:rPr>
                <w:color w:val="000000"/>
              </w:rPr>
              <w:t>16%</w:t>
            </w:r>
          </w:p>
        </w:tc>
      </w:tr>
      <w:tr w:rsidR="000F49AE" w14:paraId="30D7976F" w14:textId="77777777" w:rsidTr="000F49AE">
        <w:tc>
          <w:tcPr>
            <w:tcW w:w="1504" w:type="dxa"/>
            <w:vAlign w:val="center"/>
          </w:tcPr>
          <w:p w14:paraId="64A2EF8D" w14:textId="76A5FE4C" w:rsidR="000F49AE" w:rsidRPr="00AE0146" w:rsidRDefault="000F49AE" w:rsidP="000F49AE">
            <w:pPr>
              <w:snapToGrid w:val="0"/>
              <w:spacing w:before="60" w:after="60"/>
              <w:rPr>
                <w:szCs w:val="22"/>
              </w:rPr>
            </w:pPr>
            <w:r w:rsidRPr="00AE0146">
              <w:rPr>
                <w:color w:val="000000"/>
                <w:szCs w:val="22"/>
                <w:lang w:val="en-AU"/>
              </w:rPr>
              <w:t>HCFC Mix</w:t>
            </w:r>
          </w:p>
        </w:tc>
        <w:tc>
          <w:tcPr>
            <w:tcW w:w="1330" w:type="dxa"/>
            <w:vAlign w:val="center"/>
          </w:tcPr>
          <w:p w14:paraId="59CCD5B4" w14:textId="59199B6D" w:rsidR="000F49AE" w:rsidRPr="00AE0146" w:rsidRDefault="000F49AE" w:rsidP="000F49AE">
            <w:pPr>
              <w:snapToGrid w:val="0"/>
              <w:spacing w:before="60" w:after="60"/>
              <w:jc w:val="center"/>
              <w:rPr>
                <w:szCs w:val="22"/>
              </w:rPr>
            </w:pPr>
            <w:r w:rsidRPr="00AE0146">
              <w:rPr>
                <w:color w:val="000000"/>
                <w:szCs w:val="22"/>
                <w:lang w:val="en-AU"/>
              </w:rPr>
              <w:t>1,000</w:t>
            </w:r>
          </w:p>
        </w:tc>
        <w:tc>
          <w:tcPr>
            <w:tcW w:w="1331" w:type="dxa"/>
            <w:vAlign w:val="center"/>
          </w:tcPr>
          <w:p w14:paraId="222F404C" w14:textId="466C7B24" w:rsidR="000F49AE" w:rsidRPr="00AE0146" w:rsidRDefault="000F49AE" w:rsidP="000F49AE">
            <w:pPr>
              <w:snapToGrid w:val="0"/>
              <w:spacing w:before="60" w:after="60"/>
              <w:jc w:val="center"/>
              <w:rPr>
                <w:szCs w:val="22"/>
              </w:rPr>
            </w:pPr>
            <w:r w:rsidRPr="00AE0146">
              <w:rPr>
                <w:color w:val="000000"/>
                <w:szCs w:val="22"/>
                <w:lang w:val="en-AU"/>
              </w:rPr>
              <w:t>3%</w:t>
            </w:r>
          </w:p>
        </w:tc>
        <w:tc>
          <w:tcPr>
            <w:tcW w:w="1330" w:type="dxa"/>
            <w:vAlign w:val="center"/>
          </w:tcPr>
          <w:p w14:paraId="09C2584A" w14:textId="4ABCE60D" w:rsidR="000F49AE" w:rsidRPr="00AE0146" w:rsidRDefault="000F49AE" w:rsidP="000F49AE">
            <w:pPr>
              <w:snapToGrid w:val="0"/>
              <w:spacing w:before="60" w:after="60"/>
              <w:jc w:val="center"/>
              <w:rPr>
                <w:szCs w:val="22"/>
              </w:rPr>
            </w:pPr>
            <w:r w:rsidRPr="00AE0146">
              <w:rPr>
                <w:color w:val="000000"/>
                <w:szCs w:val="22"/>
                <w:lang w:val="en-AU"/>
              </w:rPr>
              <w:t>201</w:t>
            </w:r>
          </w:p>
        </w:tc>
        <w:tc>
          <w:tcPr>
            <w:tcW w:w="1331" w:type="dxa"/>
            <w:vAlign w:val="center"/>
          </w:tcPr>
          <w:p w14:paraId="7FC1B697" w14:textId="4BD24F9F" w:rsidR="000F49AE" w:rsidRPr="00AE0146" w:rsidRDefault="000F49AE" w:rsidP="000F49AE">
            <w:pPr>
              <w:snapToGrid w:val="0"/>
              <w:spacing w:before="60" w:after="60"/>
              <w:jc w:val="center"/>
              <w:rPr>
                <w:szCs w:val="22"/>
              </w:rPr>
            </w:pPr>
            <w:r w:rsidRPr="00AE0146">
              <w:rPr>
                <w:color w:val="000000"/>
                <w:szCs w:val="22"/>
                <w:lang w:val="en-AU"/>
              </w:rPr>
              <w:t>0%</w:t>
            </w:r>
          </w:p>
        </w:tc>
        <w:tc>
          <w:tcPr>
            <w:tcW w:w="1330" w:type="dxa"/>
            <w:vAlign w:val="center"/>
          </w:tcPr>
          <w:p w14:paraId="4586C966" w14:textId="327B53D0" w:rsidR="000F49AE" w:rsidRPr="00541FEE" w:rsidRDefault="000F49AE" w:rsidP="000F49AE">
            <w:pPr>
              <w:snapToGrid w:val="0"/>
              <w:spacing w:before="60" w:after="60"/>
              <w:jc w:val="center"/>
            </w:pPr>
            <w:r w:rsidRPr="00541FEE">
              <w:rPr>
                <w:color w:val="000000"/>
              </w:rPr>
              <w:t>217</w:t>
            </w:r>
          </w:p>
        </w:tc>
        <w:tc>
          <w:tcPr>
            <w:tcW w:w="1331" w:type="dxa"/>
            <w:vAlign w:val="bottom"/>
          </w:tcPr>
          <w:p w14:paraId="5EE92259" w14:textId="1B5E4659" w:rsidR="000F49AE" w:rsidRPr="00541FEE" w:rsidRDefault="000F49AE" w:rsidP="000F49AE">
            <w:pPr>
              <w:snapToGrid w:val="0"/>
              <w:spacing w:before="60" w:after="60"/>
              <w:jc w:val="center"/>
            </w:pPr>
            <w:r w:rsidRPr="00541FEE">
              <w:rPr>
                <w:color w:val="000000"/>
              </w:rPr>
              <w:t>0.4%</w:t>
            </w:r>
          </w:p>
        </w:tc>
      </w:tr>
      <w:tr w:rsidR="000F49AE" w14:paraId="3050B254" w14:textId="77777777" w:rsidTr="000F49AE">
        <w:tc>
          <w:tcPr>
            <w:tcW w:w="1504" w:type="dxa"/>
            <w:vAlign w:val="center"/>
          </w:tcPr>
          <w:p w14:paraId="59D954C4" w14:textId="282193E7" w:rsidR="000F49AE" w:rsidRPr="00AE0146" w:rsidRDefault="000F49AE" w:rsidP="000F49AE">
            <w:pPr>
              <w:snapToGrid w:val="0"/>
              <w:spacing w:before="60" w:after="60"/>
              <w:rPr>
                <w:szCs w:val="22"/>
              </w:rPr>
            </w:pPr>
            <w:r w:rsidRPr="00AE0146">
              <w:rPr>
                <w:color w:val="000000"/>
                <w:szCs w:val="22"/>
                <w:lang w:val="en-AU"/>
              </w:rPr>
              <w:t>HFC-134a</w:t>
            </w:r>
          </w:p>
        </w:tc>
        <w:tc>
          <w:tcPr>
            <w:tcW w:w="1330" w:type="dxa"/>
            <w:vAlign w:val="center"/>
          </w:tcPr>
          <w:p w14:paraId="0195BC12" w14:textId="2B33C2CF" w:rsidR="000F49AE" w:rsidRPr="00AE0146" w:rsidRDefault="000F49AE" w:rsidP="000F49AE">
            <w:pPr>
              <w:snapToGrid w:val="0"/>
              <w:spacing w:before="60" w:after="60"/>
              <w:jc w:val="center"/>
              <w:rPr>
                <w:szCs w:val="22"/>
              </w:rPr>
            </w:pPr>
            <w:r w:rsidRPr="00AE0146">
              <w:rPr>
                <w:color w:val="000000"/>
                <w:szCs w:val="22"/>
                <w:lang w:val="en-AU"/>
              </w:rPr>
              <w:t>11,389</w:t>
            </w:r>
          </w:p>
        </w:tc>
        <w:tc>
          <w:tcPr>
            <w:tcW w:w="1331" w:type="dxa"/>
            <w:vAlign w:val="center"/>
          </w:tcPr>
          <w:p w14:paraId="685CC259" w14:textId="7BC55A62" w:rsidR="000F49AE" w:rsidRPr="00AE0146" w:rsidRDefault="000F49AE" w:rsidP="000F49AE">
            <w:pPr>
              <w:snapToGrid w:val="0"/>
              <w:spacing w:before="60" w:after="60"/>
              <w:jc w:val="center"/>
              <w:rPr>
                <w:szCs w:val="22"/>
              </w:rPr>
            </w:pPr>
            <w:r w:rsidRPr="00AE0146">
              <w:rPr>
                <w:color w:val="000000"/>
                <w:szCs w:val="22"/>
                <w:lang w:val="en-AU"/>
              </w:rPr>
              <w:t>37%</w:t>
            </w:r>
          </w:p>
        </w:tc>
        <w:tc>
          <w:tcPr>
            <w:tcW w:w="1330" w:type="dxa"/>
            <w:vAlign w:val="center"/>
          </w:tcPr>
          <w:p w14:paraId="4998B8EF" w14:textId="5D2963FA" w:rsidR="000F49AE" w:rsidRPr="00AE0146" w:rsidRDefault="000F49AE" w:rsidP="000F49AE">
            <w:pPr>
              <w:snapToGrid w:val="0"/>
              <w:spacing w:before="60" w:after="60"/>
              <w:jc w:val="center"/>
              <w:rPr>
                <w:szCs w:val="22"/>
              </w:rPr>
            </w:pPr>
            <w:r w:rsidRPr="00AE0146">
              <w:rPr>
                <w:color w:val="000000"/>
                <w:szCs w:val="22"/>
                <w:lang w:val="en-AU"/>
              </w:rPr>
              <w:t>13,432</w:t>
            </w:r>
          </w:p>
        </w:tc>
        <w:tc>
          <w:tcPr>
            <w:tcW w:w="1331" w:type="dxa"/>
            <w:vAlign w:val="center"/>
          </w:tcPr>
          <w:p w14:paraId="02FB7DA6" w14:textId="17ED49C3" w:rsidR="000F49AE" w:rsidRPr="00AE0146" w:rsidRDefault="000F49AE" w:rsidP="000F49AE">
            <w:pPr>
              <w:snapToGrid w:val="0"/>
              <w:spacing w:before="60" w:after="60"/>
              <w:jc w:val="center"/>
              <w:rPr>
                <w:szCs w:val="22"/>
              </w:rPr>
            </w:pPr>
            <w:r w:rsidRPr="00AE0146">
              <w:rPr>
                <w:color w:val="000000"/>
                <w:szCs w:val="22"/>
                <w:lang w:val="en-AU"/>
              </w:rPr>
              <w:t>30%</w:t>
            </w:r>
          </w:p>
        </w:tc>
        <w:tc>
          <w:tcPr>
            <w:tcW w:w="1330" w:type="dxa"/>
            <w:vAlign w:val="center"/>
          </w:tcPr>
          <w:p w14:paraId="050FEE19" w14:textId="2322A0EE" w:rsidR="000F49AE" w:rsidRPr="00541FEE" w:rsidRDefault="000F49AE" w:rsidP="000F49AE">
            <w:pPr>
              <w:snapToGrid w:val="0"/>
              <w:spacing w:before="60" w:after="60"/>
              <w:jc w:val="center"/>
            </w:pPr>
            <w:r w:rsidRPr="00541FEE">
              <w:rPr>
                <w:color w:val="000000"/>
              </w:rPr>
              <w:t>16,343</w:t>
            </w:r>
          </w:p>
        </w:tc>
        <w:tc>
          <w:tcPr>
            <w:tcW w:w="1331" w:type="dxa"/>
            <w:vAlign w:val="bottom"/>
          </w:tcPr>
          <w:p w14:paraId="4F2DEFAD" w14:textId="35245535" w:rsidR="000F49AE" w:rsidRPr="00541FEE" w:rsidRDefault="000F49AE" w:rsidP="000F49AE">
            <w:pPr>
              <w:snapToGrid w:val="0"/>
              <w:spacing w:before="60" w:after="60"/>
              <w:jc w:val="center"/>
            </w:pPr>
            <w:r w:rsidRPr="00541FEE">
              <w:rPr>
                <w:color w:val="000000"/>
              </w:rPr>
              <w:t>32%</w:t>
            </w:r>
          </w:p>
        </w:tc>
      </w:tr>
      <w:tr w:rsidR="000F49AE" w14:paraId="50C9C207" w14:textId="77777777" w:rsidTr="000F49AE">
        <w:tc>
          <w:tcPr>
            <w:tcW w:w="1504" w:type="dxa"/>
            <w:vAlign w:val="center"/>
          </w:tcPr>
          <w:p w14:paraId="22D6200D" w14:textId="20D42A82" w:rsidR="000F49AE" w:rsidRPr="00AE0146" w:rsidRDefault="000F49AE" w:rsidP="000F49AE">
            <w:pPr>
              <w:snapToGrid w:val="0"/>
              <w:spacing w:before="60" w:after="60"/>
              <w:rPr>
                <w:szCs w:val="22"/>
              </w:rPr>
            </w:pPr>
            <w:r w:rsidRPr="00AE0146">
              <w:rPr>
                <w:color w:val="000000"/>
                <w:szCs w:val="22"/>
                <w:lang w:val="en-AU"/>
              </w:rPr>
              <w:t>HFC-404A</w:t>
            </w:r>
          </w:p>
        </w:tc>
        <w:tc>
          <w:tcPr>
            <w:tcW w:w="1330" w:type="dxa"/>
            <w:vAlign w:val="center"/>
          </w:tcPr>
          <w:p w14:paraId="0B985CE8" w14:textId="066F6F95" w:rsidR="000F49AE" w:rsidRPr="00AE0146" w:rsidRDefault="000F49AE" w:rsidP="000F49AE">
            <w:pPr>
              <w:snapToGrid w:val="0"/>
              <w:spacing w:before="60" w:after="60"/>
              <w:jc w:val="center"/>
              <w:rPr>
                <w:szCs w:val="22"/>
              </w:rPr>
            </w:pPr>
            <w:r w:rsidRPr="00AE0146">
              <w:rPr>
                <w:color w:val="000000"/>
                <w:szCs w:val="22"/>
                <w:lang w:val="en-AU"/>
              </w:rPr>
              <w:t>3,412</w:t>
            </w:r>
          </w:p>
        </w:tc>
        <w:tc>
          <w:tcPr>
            <w:tcW w:w="1331" w:type="dxa"/>
            <w:vAlign w:val="center"/>
          </w:tcPr>
          <w:p w14:paraId="6F30DD03" w14:textId="7C185D00" w:rsidR="000F49AE" w:rsidRPr="00AE0146" w:rsidRDefault="000F49AE" w:rsidP="000F49AE">
            <w:pPr>
              <w:snapToGrid w:val="0"/>
              <w:spacing w:before="60" w:after="60"/>
              <w:jc w:val="center"/>
              <w:rPr>
                <w:szCs w:val="22"/>
              </w:rPr>
            </w:pPr>
            <w:r w:rsidRPr="00AE0146">
              <w:rPr>
                <w:color w:val="000000"/>
                <w:szCs w:val="22"/>
                <w:lang w:val="en-AU"/>
              </w:rPr>
              <w:t>11%</w:t>
            </w:r>
          </w:p>
        </w:tc>
        <w:tc>
          <w:tcPr>
            <w:tcW w:w="1330" w:type="dxa"/>
            <w:vAlign w:val="center"/>
          </w:tcPr>
          <w:p w14:paraId="409BA6CA" w14:textId="3FB915D8" w:rsidR="000F49AE" w:rsidRPr="00AE0146" w:rsidRDefault="000F49AE" w:rsidP="000F49AE">
            <w:pPr>
              <w:snapToGrid w:val="0"/>
              <w:spacing w:before="60" w:after="60"/>
              <w:jc w:val="center"/>
              <w:rPr>
                <w:szCs w:val="22"/>
              </w:rPr>
            </w:pPr>
            <w:r w:rsidRPr="00AE0146">
              <w:rPr>
                <w:color w:val="000000"/>
                <w:szCs w:val="22"/>
                <w:lang w:val="en-AU"/>
              </w:rPr>
              <w:t>3,306</w:t>
            </w:r>
            <w:r>
              <w:rPr>
                <w:color w:val="000000"/>
                <w:szCs w:val="22"/>
                <w:lang w:val="en-AU"/>
              </w:rPr>
              <w:t xml:space="preserve"> </w:t>
            </w:r>
            <w:r w:rsidRPr="00137F3D">
              <w:rPr>
                <w:color w:val="000000"/>
                <w:szCs w:val="22"/>
                <w:vertAlign w:val="superscript"/>
                <w:lang w:val="en-AU"/>
              </w:rPr>
              <w:t>(4)</w:t>
            </w:r>
          </w:p>
        </w:tc>
        <w:tc>
          <w:tcPr>
            <w:tcW w:w="1331" w:type="dxa"/>
            <w:vAlign w:val="center"/>
          </w:tcPr>
          <w:p w14:paraId="2E5A6009" w14:textId="294A5C3A" w:rsidR="000F49AE" w:rsidRPr="00AE0146" w:rsidRDefault="000F49AE" w:rsidP="000F49AE">
            <w:pPr>
              <w:snapToGrid w:val="0"/>
              <w:spacing w:before="60" w:after="60"/>
              <w:jc w:val="center"/>
              <w:rPr>
                <w:szCs w:val="22"/>
              </w:rPr>
            </w:pPr>
            <w:r w:rsidRPr="00AE0146">
              <w:rPr>
                <w:color w:val="000000"/>
                <w:szCs w:val="22"/>
                <w:lang w:val="en-AU"/>
              </w:rPr>
              <w:t>7%</w:t>
            </w:r>
          </w:p>
        </w:tc>
        <w:tc>
          <w:tcPr>
            <w:tcW w:w="1330" w:type="dxa"/>
            <w:vAlign w:val="center"/>
          </w:tcPr>
          <w:p w14:paraId="5C230C24" w14:textId="7CC63762" w:rsidR="000F49AE" w:rsidRPr="00541FEE" w:rsidRDefault="000F49AE" w:rsidP="000F49AE">
            <w:pPr>
              <w:snapToGrid w:val="0"/>
              <w:spacing w:before="60" w:after="60"/>
              <w:jc w:val="center"/>
            </w:pPr>
            <w:r w:rsidRPr="00541FEE">
              <w:rPr>
                <w:color w:val="000000"/>
              </w:rPr>
              <w:t>4,547</w:t>
            </w:r>
          </w:p>
        </w:tc>
        <w:tc>
          <w:tcPr>
            <w:tcW w:w="1331" w:type="dxa"/>
            <w:vAlign w:val="bottom"/>
          </w:tcPr>
          <w:p w14:paraId="479596DF" w14:textId="696A5BD2" w:rsidR="000F49AE" w:rsidRPr="00541FEE" w:rsidRDefault="000F49AE" w:rsidP="000F49AE">
            <w:pPr>
              <w:snapToGrid w:val="0"/>
              <w:spacing w:before="60" w:after="60"/>
              <w:jc w:val="center"/>
            </w:pPr>
            <w:r w:rsidRPr="00541FEE">
              <w:rPr>
                <w:color w:val="000000"/>
              </w:rPr>
              <w:t>9%</w:t>
            </w:r>
          </w:p>
        </w:tc>
      </w:tr>
      <w:tr w:rsidR="000F49AE" w14:paraId="11226B41" w14:textId="77777777" w:rsidTr="000F49AE">
        <w:tc>
          <w:tcPr>
            <w:tcW w:w="1504" w:type="dxa"/>
            <w:vAlign w:val="center"/>
          </w:tcPr>
          <w:p w14:paraId="6725584A" w14:textId="163263D5" w:rsidR="000F49AE" w:rsidRPr="00AE0146" w:rsidRDefault="000F49AE" w:rsidP="000F49AE">
            <w:pPr>
              <w:snapToGrid w:val="0"/>
              <w:spacing w:before="60" w:after="60"/>
              <w:rPr>
                <w:szCs w:val="22"/>
              </w:rPr>
            </w:pPr>
            <w:r w:rsidRPr="00AE0146">
              <w:rPr>
                <w:color w:val="000000"/>
                <w:szCs w:val="22"/>
                <w:lang w:val="en-AU"/>
              </w:rPr>
              <w:t>HFC-407C</w:t>
            </w:r>
          </w:p>
        </w:tc>
        <w:tc>
          <w:tcPr>
            <w:tcW w:w="1330" w:type="dxa"/>
            <w:vAlign w:val="center"/>
          </w:tcPr>
          <w:p w14:paraId="1EB8EF3E" w14:textId="262CA7EA" w:rsidR="000F49AE" w:rsidRPr="00AE0146" w:rsidRDefault="000F49AE" w:rsidP="000F49AE">
            <w:pPr>
              <w:snapToGrid w:val="0"/>
              <w:spacing w:before="60" w:after="60"/>
              <w:jc w:val="center"/>
              <w:rPr>
                <w:szCs w:val="22"/>
              </w:rPr>
            </w:pPr>
            <w:r w:rsidRPr="00AE0146">
              <w:rPr>
                <w:color w:val="000000"/>
                <w:szCs w:val="22"/>
                <w:lang w:val="en-AU"/>
              </w:rPr>
              <w:t>711</w:t>
            </w:r>
          </w:p>
        </w:tc>
        <w:tc>
          <w:tcPr>
            <w:tcW w:w="1331" w:type="dxa"/>
            <w:vAlign w:val="center"/>
          </w:tcPr>
          <w:p w14:paraId="37BEE7A1" w14:textId="1A328511" w:rsidR="000F49AE" w:rsidRPr="00AE0146" w:rsidRDefault="000F49AE" w:rsidP="000F49AE">
            <w:pPr>
              <w:snapToGrid w:val="0"/>
              <w:spacing w:before="60" w:after="60"/>
              <w:jc w:val="center"/>
              <w:rPr>
                <w:szCs w:val="22"/>
              </w:rPr>
            </w:pPr>
            <w:r w:rsidRPr="00AE0146">
              <w:rPr>
                <w:color w:val="000000"/>
                <w:szCs w:val="22"/>
                <w:lang w:val="en-AU"/>
              </w:rPr>
              <w:t>2%</w:t>
            </w:r>
          </w:p>
        </w:tc>
        <w:tc>
          <w:tcPr>
            <w:tcW w:w="1330" w:type="dxa"/>
            <w:vAlign w:val="center"/>
          </w:tcPr>
          <w:p w14:paraId="31C8D79E" w14:textId="1F27947A" w:rsidR="000F49AE" w:rsidRPr="00AE0146" w:rsidRDefault="000F49AE" w:rsidP="000F49AE">
            <w:pPr>
              <w:snapToGrid w:val="0"/>
              <w:spacing w:before="60" w:after="60"/>
              <w:jc w:val="center"/>
              <w:rPr>
                <w:szCs w:val="22"/>
              </w:rPr>
            </w:pPr>
            <w:r w:rsidRPr="00AE0146">
              <w:rPr>
                <w:color w:val="000000"/>
                <w:szCs w:val="22"/>
                <w:lang w:val="en-AU"/>
              </w:rPr>
              <w:t>1,017</w:t>
            </w:r>
          </w:p>
        </w:tc>
        <w:tc>
          <w:tcPr>
            <w:tcW w:w="1331" w:type="dxa"/>
            <w:vAlign w:val="center"/>
          </w:tcPr>
          <w:p w14:paraId="010490DC" w14:textId="4C77C1BE" w:rsidR="000F49AE" w:rsidRPr="00AE0146" w:rsidRDefault="000F49AE" w:rsidP="000F49AE">
            <w:pPr>
              <w:snapToGrid w:val="0"/>
              <w:spacing w:before="60" w:after="60"/>
              <w:jc w:val="center"/>
              <w:rPr>
                <w:szCs w:val="22"/>
              </w:rPr>
            </w:pPr>
            <w:r w:rsidRPr="00AE0146">
              <w:rPr>
                <w:color w:val="000000"/>
                <w:szCs w:val="22"/>
                <w:lang w:val="en-AU"/>
              </w:rPr>
              <w:t>2%</w:t>
            </w:r>
          </w:p>
        </w:tc>
        <w:tc>
          <w:tcPr>
            <w:tcW w:w="1330" w:type="dxa"/>
            <w:vAlign w:val="center"/>
          </w:tcPr>
          <w:p w14:paraId="2735EDD6" w14:textId="3E8C0F34" w:rsidR="000F49AE" w:rsidRPr="00541FEE" w:rsidRDefault="000F49AE" w:rsidP="000F49AE">
            <w:pPr>
              <w:snapToGrid w:val="0"/>
              <w:spacing w:before="60" w:after="60"/>
              <w:jc w:val="center"/>
            </w:pPr>
            <w:r w:rsidRPr="00541FEE">
              <w:rPr>
                <w:color w:val="000000"/>
              </w:rPr>
              <w:t>1,336</w:t>
            </w:r>
          </w:p>
        </w:tc>
        <w:tc>
          <w:tcPr>
            <w:tcW w:w="1331" w:type="dxa"/>
            <w:vAlign w:val="bottom"/>
          </w:tcPr>
          <w:p w14:paraId="5AF20122" w14:textId="3317349F" w:rsidR="000F49AE" w:rsidRPr="00541FEE" w:rsidRDefault="000F49AE" w:rsidP="000F49AE">
            <w:pPr>
              <w:snapToGrid w:val="0"/>
              <w:spacing w:before="60" w:after="60"/>
              <w:jc w:val="center"/>
            </w:pPr>
            <w:r w:rsidRPr="00541FEE">
              <w:rPr>
                <w:color w:val="000000"/>
              </w:rPr>
              <w:t>3%</w:t>
            </w:r>
          </w:p>
        </w:tc>
      </w:tr>
      <w:tr w:rsidR="000F49AE" w14:paraId="2BDE5958" w14:textId="77777777" w:rsidTr="000F49AE">
        <w:tc>
          <w:tcPr>
            <w:tcW w:w="1504" w:type="dxa"/>
            <w:vAlign w:val="center"/>
          </w:tcPr>
          <w:p w14:paraId="70795C00" w14:textId="10CE8135" w:rsidR="000F49AE" w:rsidRPr="00AE0146" w:rsidRDefault="000F49AE" w:rsidP="000F49AE">
            <w:pPr>
              <w:snapToGrid w:val="0"/>
              <w:spacing w:before="60" w:after="60"/>
              <w:rPr>
                <w:szCs w:val="22"/>
              </w:rPr>
            </w:pPr>
            <w:r w:rsidRPr="00AE0146">
              <w:rPr>
                <w:color w:val="000000"/>
                <w:szCs w:val="22"/>
                <w:lang w:val="en-AU"/>
              </w:rPr>
              <w:t>HFC-410A</w:t>
            </w:r>
          </w:p>
        </w:tc>
        <w:tc>
          <w:tcPr>
            <w:tcW w:w="1330" w:type="dxa"/>
            <w:vAlign w:val="center"/>
          </w:tcPr>
          <w:p w14:paraId="7ACB5F76" w14:textId="5D3F7FDB" w:rsidR="000F49AE" w:rsidRPr="00AE0146" w:rsidRDefault="000F49AE" w:rsidP="000F49AE">
            <w:pPr>
              <w:snapToGrid w:val="0"/>
              <w:spacing w:before="60" w:after="60"/>
              <w:jc w:val="center"/>
              <w:rPr>
                <w:szCs w:val="22"/>
              </w:rPr>
            </w:pPr>
            <w:r w:rsidRPr="00AE0146">
              <w:rPr>
                <w:color w:val="000000"/>
                <w:szCs w:val="22"/>
                <w:lang w:val="en-AU"/>
              </w:rPr>
              <w:t>2,783</w:t>
            </w:r>
          </w:p>
        </w:tc>
        <w:tc>
          <w:tcPr>
            <w:tcW w:w="1331" w:type="dxa"/>
            <w:vAlign w:val="center"/>
          </w:tcPr>
          <w:p w14:paraId="671A2E9F" w14:textId="6818D7D6" w:rsidR="000F49AE" w:rsidRPr="00AE0146" w:rsidRDefault="000F49AE" w:rsidP="000F49AE">
            <w:pPr>
              <w:snapToGrid w:val="0"/>
              <w:spacing w:before="60" w:after="60"/>
              <w:jc w:val="center"/>
              <w:rPr>
                <w:szCs w:val="22"/>
              </w:rPr>
            </w:pPr>
            <w:r w:rsidRPr="00AE0146">
              <w:rPr>
                <w:color w:val="000000"/>
                <w:szCs w:val="22"/>
                <w:lang w:val="en-AU"/>
              </w:rPr>
              <w:t>9%</w:t>
            </w:r>
          </w:p>
        </w:tc>
        <w:tc>
          <w:tcPr>
            <w:tcW w:w="1330" w:type="dxa"/>
            <w:vAlign w:val="center"/>
          </w:tcPr>
          <w:p w14:paraId="727B743B" w14:textId="1C1D206F" w:rsidR="000F49AE" w:rsidRPr="00AE0146" w:rsidRDefault="000F49AE" w:rsidP="000F49AE">
            <w:pPr>
              <w:snapToGrid w:val="0"/>
              <w:spacing w:before="60" w:after="60"/>
              <w:jc w:val="center"/>
              <w:rPr>
                <w:szCs w:val="22"/>
              </w:rPr>
            </w:pPr>
            <w:r w:rsidRPr="00AE0146">
              <w:rPr>
                <w:color w:val="000000"/>
                <w:szCs w:val="22"/>
                <w:lang w:val="en-AU"/>
              </w:rPr>
              <w:t>14,341</w:t>
            </w:r>
          </w:p>
        </w:tc>
        <w:tc>
          <w:tcPr>
            <w:tcW w:w="1331" w:type="dxa"/>
            <w:vAlign w:val="center"/>
          </w:tcPr>
          <w:p w14:paraId="0526FFE9" w14:textId="2472072F" w:rsidR="000F49AE" w:rsidRPr="00AE0146" w:rsidRDefault="000F49AE" w:rsidP="000F49AE">
            <w:pPr>
              <w:snapToGrid w:val="0"/>
              <w:spacing w:before="60" w:after="60"/>
              <w:jc w:val="center"/>
              <w:rPr>
                <w:szCs w:val="22"/>
              </w:rPr>
            </w:pPr>
            <w:r w:rsidRPr="00AE0146">
              <w:rPr>
                <w:color w:val="000000"/>
                <w:szCs w:val="22"/>
                <w:lang w:val="en-AU"/>
              </w:rPr>
              <w:t>32%</w:t>
            </w:r>
          </w:p>
        </w:tc>
        <w:tc>
          <w:tcPr>
            <w:tcW w:w="1330" w:type="dxa"/>
            <w:vAlign w:val="center"/>
          </w:tcPr>
          <w:p w14:paraId="44344684" w14:textId="6F6264EC" w:rsidR="000F49AE" w:rsidRPr="00541FEE" w:rsidRDefault="000F49AE" w:rsidP="000F49AE">
            <w:pPr>
              <w:snapToGrid w:val="0"/>
              <w:spacing w:before="60" w:after="60"/>
              <w:jc w:val="center"/>
            </w:pPr>
            <w:r w:rsidRPr="00541FEE">
              <w:rPr>
                <w:color w:val="000000"/>
              </w:rPr>
              <w:t>18,660</w:t>
            </w:r>
          </w:p>
        </w:tc>
        <w:tc>
          <w:tcPr>
            <w:tcW w:w="1331" w:type="dxa"/>
            <w:vAlign w:val="bottom"/>
          </w:tcPr>
          <w:p w14:paraId="24820AA0" w14:textId="5C5A84BB" w:rsidR="000F49AE" w:rsidRPr="00541FEE" w:rsidRDefault="000F49AE" w:rsidP="000F49AE">
            <w:pPr>
              <w:snapToGrid w:val="0"/>
              <w:spacing w:before="60" w:after="60"/>
              <w:jc w:val="center"/>
            </w:pPr>
            <w:r w:rsidRPr="00541FEE">
              <w:rPr>
                <w:color w:val="000000"/>
              </w:rPr>
              <w:t>36%</w:t>
            </w:r>
          </w:p>
        </w:tc>
      </w:tr>
      <w:tr w:rsidR="000F49AE" w14:paraId="49BB75FE" w14:textId="77777777" w:rsidTr="000F49AE">
        <w:tc>
          <w:tcPr>
            <w:tcW w:w="1504" w:type="dxa"/>
            <w:vAlign w:val="center"/>
          </w:tcPr>
          <w:p w14:paraId="0C1647CF" w14:textId="6A89DA76" w:rsidR="000F49AE" w:rsidRPr="00AE0146" w:rsidRDefault="000F49AE" w:rsidP="000F49AE">
            <w:pPr>
              <w:snapToGrid w:val="0"/>
              <w:spacing w:before="60" w:after="60"/>
              <w:rPr>
                <w:szCs w:val="22"/>
              </w:rPr>
            </w:pPr>
            <w:r w:rsidRPr="00AE0146">
              <w:rPr>
                <w:color w:val="000000"/>
                <w:szCs w:val="22"/>
                <w:lang w:val="en-AU"/>
              </w:rPr>
              <w:t>HFC-32</w:t>
            </w:r>
          </w:p>
        </w:tc>
        <w:tc>
          <w:tcPr>
            <w:tcW w:w="1330" w:type="dxa"/>
            <w:vAlign w:val="center"/>
          </w:tcPr>
          <w:p w14:paraId="4DCD8493" w14:textId="458EDFA5" w:rsidR="000F49AE" w:rsidRPr="00AE0146" w:rsidRDefault="000F49AE" w:rsidP="000F49AE">
            <w:pPr>
              <w:snapToGrid w:val="0"/>
              <w:spacing w:before="60" w:after="60"/>
              <w:jc w:val="center"/>
              <w:rPr>
                <w:szCs w:val="22"/>
              </w:rPr>
            </w:pPr>
            <w:r w:rsidRPr="00AE0146">
              <w:rPr>
                <w:color w:val="000000"/>
                <w:szCs w:val="22"/>
                <w:lang w:val="en-AU"/>
              </w:rPr>
              <w:t>0</w:t>
            </w:r>
          </w:p>
        </w:tc>
        <w:tc>
          <w:tcPr>
            <w:tcW w:w="1331" w:type="dxa"/>
            <w:vAlign w:val="center"/>
          </w:tcPr>
          <w:p w14:paraId="6063D3F7" w14:textId="1526A3AC" w:rsidR="000F49AE" w:rsidRPr="00AE0146" w:rsidRDefault="000F49AE" w:rsidP="000F49AE">
            <w:pPr>
              <w:snapToGrid w:val="0"/>
              <w:spacing w:before="60" w:after="60"/>
              <w:jc w:val="center"/>
              <w:rPr>
                <w:szCs w:val="22"/>
              </w:rPr>
            </w:pPr>
            <w:r w:rsidRPr="00AE0146">
              <w:rPr>
                <w:color w:val="000000"/>
                <w:szCs w:val="22"/>
                <w:lang w:val="en-AU"/>
              </w:rPr>
              <w:t>0%</w:t>
            </w:r>
          </w:p>
        </w:tc>
        <w:tc>
          <w:tcPr>
            <w:tcW w:w="1330" w:type="dxa"/>
            <w:vAlign w:val="center"/>
          </w:tcPr>
          <w:p w14:paraId="70C79F64" w14:textId="0661B216" w:rsidR="000F49AE" w:rsidRPr="00AE0146" w:rsidRDefault="000F49AE" w:rsidP="000F49AE">
            <w:pPr>
              <w:snapToGrid w:val="0"/>
              <w:spacing w:before="60" w:after="60"/>
              <w:jc w:val="center"/>
              <w:rPr>
                <w:szCs w:val="22"/>
              </w:rPr>
            </w:pPr>
            <w:r w:rsidRPr="00AE0146">
              <w:rPr>
                <w:color w:val="000000"/>
                <w:szCs w:val="22"/>
                <w:lang w:val="en-AU"/>
              </w:rPr>
              <w:t>0</w:t>
            </w:r>
          </w:p>
        </w:tc>
        <w:tc>
          <w:tcPr>
            <w:tcW w:w="1331" w:type="dxa"/>
            <w:vAlign w:val="center"/>
          </w:tcPr>
          <w:p w14:paraId="353AB86A" w14:textId="6CF9BD19" w:rsidR="000F49AE" w:rsidRPr="00AE0146" w:rsidRDefault="000F49AE" w:rsidP="000F49AE">
            <w:pPr>
              <w:snapToGrid w:val="0"/>
              <w:spacing w:before="60" w:after="60"/>
              <w:jc w:val="center"/>
              <w:rPr>
                <w:szCs w:val="22"/>
              </w:rPr>
            </w:pPr>
            <w:r w:rsidRPr="00AE0146">
              <w:rPr>
                <w:color w:val="000000"/>
                <w:szCs w:val="22"/>
                <w:lang w:val="en-AU"/>
              </w:rPr>
              <w:t>0%</w:t>
            </w:r>
          </w:p>
        </w:tc>
        <w:tc>
          <w:tcPr>
            <w:tcW w:w="1330" w:type="dxa"/>
            <w:vAlign w:val="center"/>
          </w:tcPr>
          <w:p w14:paraId="28C1825E" w14:textId="5E9A2DF8" w:rsidR="000F49AE" w:rsidRPr="00541FEE" w:rsidRDefault="000F49AE" w:rsidP="000F49AE">
            <w:pPr>
              <w:snapToGrid w:val="0"/>
              <w:spacing w:before="60" w:after="60"/>
              <w:jc w:val="center"/>
            </w:pPr>
            <w:r w:rsidRPr="00541FEE">
              <w:rPr>
                <w:color w:val="000000"/>
              </w:rPr>
              <w:t>1,035</w:t>
            </w:r>
          </w:p>
        </w:tc>
        <w:tc>
          <w:tcPr>
            <w:tcW w:w="1331" w:type="dxa"/>
            <w:vAlign w:val="bottom"/>
          </w:tcPr>
          <w:p w14:paraId="22B30B0B" w14:textId="172AE1F4" w:rsidR="000F49AE" w:rsidRPr="00541FEE" w:rsidRDefault="000F49AE" w:rsidP="000F49AE">
            <w:pPr>
              <w:snapToGrid w:val="0"/>
              <w:spacing w:before="60" w:after="60"/>
              <w:jc w:val="center"/>
            </w:pPr>
            <w:r w:rsidRPr="00541FEE">
              <w:rPr>
                <w:color w:val="000000"/>
              </w:rPr>
              <w:t>2%</w:t>
            </w:r>
          </w:p>
        </w:tc>
      </w:tr>
      <w:tr w:rsidR="000F49AE" w14:paraId="47910CBD" w14:textId="77777777" w:rsidTr="000F49AE">
        <w:tc>
          <w:tcPr>
            <w:tcW w:w="1504" w:type="dxa"/>
            <w:vAlign w:val="center"/>
          </w:tcPr>
          <w:p w14:paraId="37AA78AD" w14:textId="5C909372" w:rsidR="000F49AE" w:rsidRPr="00AE0146" w:rsidRDefault="000F49AE" w:rsidP="000F49AE">
            <w:pPr>
              <w:snapToGrid w:val="0"/>
              <w:spacing w:before="60" w:after="60"/>
              <w:rPr>
                <w:szCs w:val="22"/>
              </w:rPr>
            </w:pPr>
            <w:r w:rsidRPr="00AE0146">
              <w:rPr>
                <w:color w:val="000000"/>
                <w:szCs w:val="22"/>
                <w:lang w:val="en-AU"/>
              </w:rPr>
              <w:t>GWP&lt;2150</w:t>
            </w:r>
          </w:p>
        </w:tc>
        <w:tc>
          <w:tcPr>
            <w:tcW w:w="1330" w:type="dxa"/>
            <w:vAlign w:val="center"/>
          </w:tcPr>
          <w:p w14:paraId="21E451CD" w14:textId="31756012" w:rsidR="000F49AE" w:rsidRPr="00AE0146" w:rsidRDefault="000F49AE" w:rsidP="000F49AE">
            <w:pPr>
              <w:snapToGrid w:val="0"/>
              <w:spacing w:before="60" w:after="60"/>
              <w:jc w:val="center"/>
              <w:rPr>
                <w:szCs w:val="22"/>
              </w:rPr>
            </w:pPr>
            <w:r w:rsidRPr="00AE0146">
              <w:rPr>
                <w:color w:val="000000"/>
                <w:szCs w:val="22"/>
                <w:lang w:val="en-AU"/>
              </w:rPr>
              <w:t>0</w:t>
            </w:r>
          </w:p>
        </w:tc>
        <w:tc>
          <w:tcPr>
            <w:tcW w:w="1331" w:type="dxa"/>
            <w:vAlign w:val="center"/>
          </w:tcPr>
          <w:p w14:paraId="4F22EDDA" w14:textId="7EF35C57" w:rsidR="000F49AE" w:rsidRPr="00AE0146" w:rsidRDefault="000F49AE" w:rsidP="000F49AE">
            <w:pPr>
              <w:snapToGrid w:val="0"/>
              <w:spacing w:before="60" w:after="60"/>
              <w:jc w:val="center"/>
              <w:rPr>
                <w:szCs w:val="22"/>
              </w:rPr>
            </w:pPr>
            <w:r w:rsidRPr="00AE0146">
              <w:rPr>
                <w:color w:val="000000"/>
                <w:szCs w:val="22"/>
                <w:lang w:val="en-AU"/>
              </w:rPr>
              <w:t>0%</w:t>
            </w:r>
          </w:p>
        </w:tc>
        <w:tc>
          <w:tcPr>
            <w:tcW w:w="1330" w:type="dxa"/>
            <w:vAlign w:val="center"/>
          </w:tcPr>
          <w:p w14:paraId="0A0BAFDF" w14:textId="592A7296" w:rsidR="000F49AE" w:rsidRPr="00AE0146" w:rsidRDefault="000F49AE" w:rsidP="000F49AE">
            <w:pPr>
              <w:snapToGrid w:val="0"/>
              <w:spacing w:before="60" w:after="60"/>
              <w:jc w:val="center"/>
              <w:rPr>
                <w:szCs w:val="22"/>
              </w:rPr>
            </w:pPr>
            <w:r w:rsidRPr="00AE0146">
              <w:rPr>
                <w:color w:val="000000"/>
                <w:szCs w:val="22"/>
                <w:lang w:val="en-AU"/>
              </w:rPr>
              <w:t>0</w:t>
            </w:r>
          </w:p>
        </w:tc>
        <w:tc>
          <w:tcPr>
            <w:tcW w:w="1331" w:type="dxa"/>
            <w:vAlign w:val="center"/>
          </w:tcPr>
          <w:p w14:paraId="7D66B229" w14:textId="4C7ABD6E" w:rsidR="000F49AE" w:rsidRPr="00AE0146" w:rsidRDefault="000F49AE" w:rsidP="000F49AE">
            <w:pPr>
              <w:snapToGrid w:val="0"/>
              <w:spacing w:before="60" w:after="60"/>
              <w:jc w:val="center"/>
              <w:rPr>
                <w:szCs w:val="22"/>
              </w:rPr>
            </w:pPr>
            <w:r w:rsidRPr="00AE0146">
              <w:rPr>
                <w:color w:val="000000"/>
                <w:szCs w:val="22"/>
                <w:lang w:val="en-AU"/>
              </w:rPr>
              <w:t>0%</w:t>
            </w:r>
          </w:p>
        </w:tc>
        <w:tc>
          <w:tcPr>
            <w:tcW w:w="1330" w:type="dxa"/>
            <w:vAlign w:val="center"/>
          </w:tcPr>
          <w:p w14:paraId="67CDB8EA" w14:textId="071B27F1" w:rsidR="000F49AE" w:rsidRPr="00541FEE" w:rsidRDefault="000F49AE" w:rsidP="000F49AE">
            <w:pPr>
              <w:snapToGrid w:val="0"/>
              <w:spacing w:before="60" w:after="60"/>
              <w:jc w:val="center"/>
            </w:pPr>
            <w:r w:rsidRPr="00541FEE">
              <w:rPr>
                <w:color w:val="000000"/>
              </w:rPr>
              <w:t>336</w:t>
            </w:r>
          </w:p>
        </w:tc>
        <w:tc>
          <w:tcPr>
            <w:tcW w:w="1331" w:type="dxa"/>
            <w:vAlign w:val="bottom"/>
          </w:tcPr>
          <w:p w14:paraId="5A3BEA1C" w14:textId="725CDC30" w:rsidR="000F49AE" w:rsidRPr="00541FEE" w:rsidRDefault="000F49AE" w:rsidP="000F49AE">
            <w:pPr>
              <w:snapToGrid w:val="0"/>
              <w:spacing w:before="60" w:after="60"/>
              <w:jc w:val="center"/>
            </w:pPr>
            <w:r w:rsidRPr="00541FEE">
              <w:rPr>
                <w:color w:val="000000"/>
              </w:rPr>
              <w:t>0.7%</w:t>
            </w:r>
          </w:p>
        </w:tc>
      </w:tr>
      <w:tr w:rsidR="000F49AE" w14:paraId="71F6D9BF" w14:textId="77777777" w:rsidTr="000F49AE">
        <w:tc>
          <w:tcPr>
            <w:tcW w:w="1504" w:type="dxa"/>
            <w:vAlign w:val="center"/>
          </w:tcPr>
          <w:p w14:paraId="22A27CF6" w14:textId="7FD6C7EC" w:rsidR="000F49AE" w:rsidRPr="00AE0146" w:rsidRDefault="000F49AE" w:rsidP="000F49AE">
            <w:pPr>
              <w:snapToGrid w:val="0"/>
              <w:spacing w:before="60" w:after="60"/>
              <w:rPr>
                <w:szCs w:val="22"/>
              </w:rPr>
            </w:pPr>
            <w:r w:rsidRPr="00AE0146">
              <w:rPr>
                <w:color w:val="000000"/>
                <w:szCs w:val="22"/>
                <w:lang w:val="en-AU"/>
              </w:rPr>
              <w:t>GWP&lt;10</w:t>
            </w:r>
          </w:p>
        </w:tc>
        <w:tc>
          <w:tcPr>
            <w:tcW w:w="1330" w:type="dxa"/>
            <w:vAlign w:val="center"/>
          </w:tcPr>
          <w:p w14:paraId="4EA0BC16" w14:textId="6DC098D3" w:rsidR="000F49AE" w:rsidRPr="00AE0146" w:rsidRDefault="000F49AE" w:rsidP="000F49AE">
            <w:pPr>
              <w:snapToGrid w:val="0"/>
              <w:spacing w:before="60" w:after="60"/>
              <w:jc w:val="center"/>
              <w:rPr>
                <w:szCs w:val="22"/>
              </w:rPr>
            </w:pPr>
            <w:r w:rsidRPr="00AE0146">
              <w:rPr>
                <w:color w:val="000000"/>
                <w:szCs w:val="22"/>
                <w:lang w:val="en-AU"/>
              </w:rPr>
              <w:t>100</w:t>
            </w:r>
          </w:p>
        </w:tc>
        <w:tc>
          <w:tcPr>
            <w:tcW w:w="1331" w:type="dxa"/>
            <w:vAlign w:val="center"/>
          </w:tcPr>
          <w:p w14:paraId="075C8637" w14:textId="10B3CCAB" w:rsidR="000F49AE" w:rsidRPr="00AE0146" w:rsidRDefault="000F49AE" w:rsidP="000F49AE">
            <w:pPr>
              <w:snapToGrid w:val="0"/>
              <w:spacing w:before="60" w:after="60"/>
              <w:jc w:val="center"/>
              <w:rPr>
                <w:szCs w:val="22"/>
              </w:rPr>
            </w:pPr>
            <w:r w:rsidRPr="00AE0146">
              <w:rPr>
                <w:color w:val="000000"/>
                <w:szCs w:val="22"/>
                <w:lang w:val="en-AU"/>
              </w:rPr>
              <w:t>0%</w:t>
            </w:r>
          </w:p>
        </w:tc>
        <w:tc>
          <w:tcPr>
            <w:tcW w:w="1330" w:type="dxa"/>
            <w:vAlign w:val="center"/>
          </w:tcPr>
          <w:p w14:paraId="0395A6E1" w14:textId="5CBF72E4" w:rsidR="000F49AE" w:rsidRPr="00AE0146" w:rsidRDefault="000F49AE" w:rsidP="000F49AE">
            <w:pPr>
              <w:snapToGrid w:val="0"/>
              <w:spacing w:before="60" w:after="60"/>
              <w:jc w:val="center"/>
              <w:rPr>
                <w:szCs w:val="22"/>
              </w:rPr>
            </w:pPr>
            <w:r w:rsidRPr="00AE0146">
              <w:rPr>
                <w:color w:val="000000"/>
                <w:szCs w:val="22"/>
                <w:lang w:val="en-AU"/>
              </w:rPr>
              <w:t>799</w:t>
            </w:r>
          </w:p>
        </w:tc>
        <w:tc>
          <w:tcPr>
            <w:tcW w:w="1331" w:type="dxa"/>
            <w:vAlign w:val="center"/>
          </w:tcPr>
          <w:p w14:paraId="1F2FB060" w14:textId="37A78C90" w:rsidR="000F49AE" w:rsidRPr="00AE0146" w:rsidRDefault="000F49AE" w:rsidP="000F49AE">
            <w:pPr>
              <w:snapToGrid w:val="0"/>
              <w:spacing w:before="60" w:after="60"/>
              <w:jc w:val="center"/>
              <w:rPr>
                <w:szCs w:val="22"/>
              </w:rPr>
            </w:pPr>
            <w:r w:rsidRPr="00AE0146">
              <w:rPr>
                <w:color w:val="000000"/>
                <w:szCs w:val="22"/>
                <w:lang w:val="en-AU"/>
              </w:rPr>
              <w:t>2%</w:t>
            </w:r>
          </w:p>
        </w:tc>
        <w:tc>
          <w:tcPr>
            <w:tcW w:w="1330" w:type="dxa"/>
            <w:vAlign w:val="center"/>
          </w:tcPr>
          <w:p w14:paraId="038E13EB" w14:textId="6DA013B3" w:rsidR="000F49AE" w:rsidRPr="00541FEE" w:rsidRDefault="000F49AE" w:rsidP="000F49AE">
            <w:pPr>
              <w:snapToGrid w:val="0"/>
              <w:spacing w:before="60" w:after="60"/>
              <w:jc w:val="center"/>
            </w:pPr>
            <w:r w:rsidRPr="00541FEE">
              <w:rPr>
                <w:color w:val="000000"/>
              </w:rPr>
              <w:t>737</w:t>
            </w:r>
          </w:p>
        </w:tc>
        <w:tc>
          <w:tcPr>
            <w:tcW w:w="1331" w:type="dxa"/>
            <w:vAlign w:val="bottom"/>
          </w:tcPr>
          <w:p w14:paraId="7C9EC4F5" w14:textId="4E30CB37" w:rsidR="000F49AE" w:rsidRPr="00541FEE" w:rsidRDefault="000F49AE" w:rsidP="000F49AE">
            <w:pPr>
              <w:snapToGrid w:val="0"/>
              <w:spacing w:before="60" w:after="60"/>
              <w:jc w:val="center"/>
            </w:pPr>
            <w:r w:rsidRPr="00541FEE">
              <w:rPr>
                <w:color w:val="000000"/>
              </w:rPr>
              <w:t>1%</w:t>
            </w:r>
          </w:p>
        </w:tc>
      </w:tr>
      <w:tr w:rsidR="000F49AE" w14:paraId="05DD5C04" w14:textId="77777777" w:rsidTr="000F49AE">
        <w:tc>
          <w:tcPr>
            <w:tcW w:w="1504" w:type="dxa"/>
            <w:vAlign w:val="center"/>
          </w:tcPr>
          <w:p w14:paraId="260C6036" w14:textId="6D52BA82" w:rsidR="000F49AE" w:rsidRPr="00AE0146" w:rsidRDefault="000F49AE" w:rsidP="000F49AE">
            <w:pPr>
              <w:snapToGrid w:val="0"/>
              <w:spacing w:before="60" w:after="60"/>
              <w:rPr>
                <w:szCs w:val="22"/>
              </w:rPr>
            </w:pPr>
            <w:r w:rsidRPr="00AE0146">
              <w:rPr>
                <w:color w:val="000000"/>
                <w:szCs w:val="22"/>
                <w:lang w:val="en-AU"/>
              </w:rPr>
              <w:t> Total</w:t>
            </w:r>
          </w:p>
        </w:tc>
        <w:tc>
          <w:tcPr>
            <w:tcW w:w="1330" w:type="dxa"/>
            <w:vAlign w:val="center"/>
          </w:tcPr>
          <w:p w14:paraId="43D3B9C7" w14:textId="19C9FDD9" w:rsidR="000F49AE" w:rsidRPr="00AE0146" w:rsidRDefault="000F49AE" w:rsidP="000F49AE">
            <w:pPr>
              <w:snapToGrid w:val="0"/>
              <w:spacing w:before="60" w:after="60"/>
              <w:jc w:val="center"/>
              <w:rPr>
                <w:szCs w:val="22"/>
              </w:rPr>
            </w:pPr>
            <w:r w:rsidRPr="00AE0146">
              <w:rPr>
                <w:color w:val="000000"/>
                <w:szCs w:val="22"/>
                <w:lang w:val="en-AU"/>
              </w:rPr>
              <w:t>30,675</w:t>
            </w:r>
          </w:p>
        </w:tc>
        <w:tc>
          <w:tcPr>
            <w:tcW w:w="1331" w:type="dxa"/>
            <w:vAlign w:val="center"/>
          </w:tcPr>
          <w:p w14:paraId="2C8AF00B" w14:textId="751C219B" w:rsidR="000F49AE" w:rsidRPr="00AE0146" w:rsidRDefault="000F49AE" w:rsidP="000F49AE">
            <w:pPr>
              <w:snapToGrid w:val="0"/>
              <w:spacing w:before="60" w:after="60"/>
              <w:jc w:val="center"/>
              <w:rPr>
                <w:szCs w:val="22"/>
              </w:rPr>
            </w:pPr>
            <w:r w:rsidRPr="00AE0146">
              <w:rPr>
                <w:color w:val="000000"/>
                <w:szCs w:val="22"/>
                <w:lang w:val="en-AU"/>
              </w:rPr>
              <w:t>100%</w:t>
            </w:r>
          </w:p>
        </w:tc>
        <w:tc>
          <w:tcPr>
            <w:tcW w:w="1330" w:type="dxa"/>
            <w:vAlign w:val="center"/>
          </w:tcPr>
          <w:p w14:paraId="6927AD49" w14:textId="534224DA" w:rsidR="000F49AE" w:rsidRPr="00AE0146" w:rsidRDefault="000F49AE" w:rsidP="000F49AE">
            <w:pPr>
              <w:snapToGrid w:val="0"/>
              <w:spacing w:before="60" w:after="60"/>
              <w:jc w:val="center"/>
              <w:rPr>
                <w:szCs w:val="22"/>
              </w:rPr>
            </w:pPr>
            <w:r w:rsidRPr="00AE0146">
              <w:rPr>
                <w:color w:val="000000"/>
                <w:szCs w:val="22"/>
                <w:lang w:val="en-AU"/>
              </w:rPr>
              <w:t>44,323</w:t>
            </w:r>
          </w:p>
        </w:tc>
        <w:tc>
          <w:tcPr>
            <w:tcW w:w="1331" w:type="dxa"/>
            <w:vAlign w:val="center"/>
          </w:tcPr>
          <w:p w14:paraId="322FBAD0" w14:textId="2B8CAE9E" w:rsidR="000F49AE" w:rsidRPr="00AE0146" w:rsidRDefault="000F49AE" w:rsidP="000F49AE">
            <w:pPr>
              <w:snapToGrid w:val="0"/>
              <w:spacing w:before="60" w:after="60"/>
              <w:jc w:val="center"/>
              <w:rPr>
                <w:szCs w:val="22"/>
              </w:rPr>
            </w:pPr>
            <w:r w:rsidRPr="00AE0146">
              <w:rPr>
                <w:color w:val="000000"/>
                <w:szCs w:val="22"/>
                <w:lang w:val="en-AU"/>
              </w:rPr>
              <w:t>100%</w:t>
            </w:r>
          </w:p>
        </w:tc>
        <w:tc>
          <w:tcPr>
            <w:tcW w:w="1330" w:type="dxa"/>
            <w:vAlign w:val="center"/>
          </w:tcPr>
          <w:p w14:paraId="6C1E899D" w14:textId="753F877F" w:rsidR="000F49AE" w:rsidRPr="00541FEE" w:rsidRDefault="000F49AE" w:rsidP="000F49AE">
            <w:pPr>
              <w:snapToGrid w:val="0"/>
              <w:spacing w:before="60" w:after="60"/>
              <w:jc w:val="center"/>
            </w:pPr>
            <w:r w:rsidRPr="00541FEE">
              <w:rPr>
                <w:color w:val="000000"/>
              </w:rPr>
              <w:t>51,493</w:t>
            </w:r>
          </w:p>
        </w:tc>
        <w:tc>
          <w:tcPr>
            <w:tcW w:w="1331" w:type="dxa"/>
            <w:vAlign w:val="bottom"/>
          </w:tcPr>
          <w:p w14:paraId="6A9233E2" w14:textId="659E2098" w:rsidR="000F49AE" w:rsidRPr="00541FEE" w:rsidRDefault="000F49AE" w:rsidP="000F49AE">
            <w:pPr>
              <w:snapToGrid w:val="0"/>
              <w:spacing w:before="60" w:after="60"/>
              <w:jc w:val="center"/>
            </w:pPr>
            <w:r w:rsidRPr="00541FEE">
              <w:rPr>
                <w:color w:val="000000"/>
              </w:rPr>
              <w:t>100%</w:t>
            </w:r>
          </w:p>
        </w:tc>
      </w:tr>
    </w:tbl>
    <w:p w14:paraId="61F1F003" w14:textId="77777777" w:rsidR="00FF1430" w:rsidRDefault="00FF1430" w:rsidP="00FF1430">
      <w:pPr>
        <w:spacing w:before="0"/>
        <w:jc w:val="left"/>
        <w:rPr>
          <w:sz w:val="20"/>
          <w:szCs w:val="20"/>
        </w:rPr>
      </w:pPr>
    </w:p>
    <w:p w14:paraId="407791A6" w14:textId="68E630FB" w:rsidR="00FF1430" w:rsidRPr="001D4D37" w:rsidRDefault="00FF1430" w:rsidP="00FF1430">
      <w:pPr>
        <w:spacing w:before="0"/>
        <w:jc w:val="left"/>
        <w:rPr>
          <w:sz w:val="20"/>
          <w:szCs w:val="20"/>
        </w:rPr>
      </w:pPr>
      <w:r w:rsidRPr="001D4D37">
        <w:rPr>
          <w:sz w:val="20"/>
          <w:szCs w:val="20"/>
        </w:rPr>
        <w:t>Notes:</w:t>
      </w:r>
    </w:p>
    <w:p w14:paraId="461B5310" w14:textId="77777777" w:rsidR="00FF1430" w:rsidRPr="001D4D37" w:rsidRDefault="00FF1430" w:rsidP="00FF1430">
      <w:pPr>
        <w:pStyle w:val="ListParagraph"/>
        <w:numPr>
          <w:ilvl w:val="0"/>
          <w:numId w:val="11"/>
        </w:numPr>
        <w:spacing w:before="60" w:after="0" w:line="240" w:lineRule="auto"/>
        <w:ind w:left="357" w:hanging="357"/>
        <w:contextualSpacing w:val="0"/>
        <w:jc w:val="both"/>
        <w:rPr>
          <w:rFonts w:ascii="Times New Roman" w:hAnsi="Times New Roman"/>
          <w:sz w:val="20"/>
          <w:szCs w:val="20"/>
        </w:rPr>
      </w:pPr>
      <w:r w:rsidRPr="001D4D37">
        <w:rPr>
          <w:rFonts w:ascii="Times New Roman" w:hAnsi="Times New Roman"/>
          <w:sz w:val="20"/>
          <w:szCs w:val="20"/>
        </w:rPr>
        <w:t xml:space="preserve">The 2006 values in the table are estimates from </w:t>
      </w:r>
      <w:r w:rsidRPr="001D4D37">
        <w:rPr>
          <w:rFonts w:ascii="Times New Roman" w:hAnsi="Times New Roman"/>
          <w:i/>
          <w:sz w:val="20"/>
          <w:szCs w:val="20"/>
        </w:rPr>
        <w:t>“ODS and SGGs in Australia: A study of end uses, emissions and opportunities for reclamation”</w:t>
      </w:r>
      <w:r w:rsidRPr="001D4D37">
        <w:rPr>
          <w:rFonts w:ascii="Times New Roman" w:hAnsi="Times New Roman"/>
          <w:sz w:val="20"/>
          <w:szCs w:val="20"/>
        </w:rPr>
        <w:t>, prepared by Peter Brodribb and Michael McCann, 2008.</w:t>
      </w:r>
    </w:p>
    <w:p w14:paraId="214E6AC6" w14:textId="77777777" w:rsidR="00FF1430" w:rsidRPr="001D4D37" w:rsidRDefault="00FF1430" w:rsidP="00FF1430">
      <w:pPr>
        <w:pStyle w:val="ListParagraph"/>
        <w:numPr>
          <w:ilvl w:val="0"/>
          <w:numId w:val="11"/>
        </w:numPr>
        <w:spacing w:before="60" w:after="0" w:line="240" w:lineRule="auto"/>
        <w:ind w:left="357" w:hanging="357"/>
        <w:contextualSpacing w:val="0"/>
        <w:jc w:val="both"/>
        <w:rPr>
          <w:rFonts w:ascii="Times New Roman" w:hAnsi="Times New Roman"/>
          <w:sz w:val="20"/>
          <w:szCs w:val="20"/>
        </w:rPr>
      </w:pPr>
      <w:r w:rsidRPr="001D4D37">
        <w:rPr>
          <w:rFonts w:ascii="Times New Roman" w:hAnsi="Times New Roman"/>
          <w:sz w:val="20"/>
          <w:szCs w:val="20"/>
        </w:rPr>
        <w:t xml:space="preserve">Some CFCs are still present in the bank, in some very old domestic refrigerators for example, however are not included in the above table in their own right. Total CFCs in the bank are now estimated to be less than </w:t>
      </w:r>
      <w:r>
        <w:rPr>
          <w:rFonts w:ascii="Times New Roman" w:hAnsi="Times New Roman"/>
          <w:sz w:val="20"/>
          <w:szCs w:val="20"/>
        </w:rPr>
        <w:t>50</w:t>
      </w:r>
      <w:r w:rsidRPr="001D4D37">
        <w:rPr>
          <w:rFonts w:ascii="Times New Roman" w:hAnsi="Times New Roman"/>
          <w:sz w:val="20"/>
          <w:szCs w:val="20"/>
        </w:rPr>
        <w:t xml:space="preserve"> tonnes, are rapidly declining and have been included in the estimate of HCFC-22. Some relatively small quantities of HCFC blends used in air conditioning applications are also counted as HCFC-22.</w:t>
      </w:r>
    </w:p>
    <w:p w14:paraId="04BA9422" w14:textId="7B2649E2" w:rsidR="00AE0146" w:rsidRDefault="00FF1430" w:rsidP="00FF1430">
      <w:pPr>
        <w:pStyle w:val="ListParagraph"/>
        <w:numPr>
          <w:ilvl w:val="0"/>
          <w:numId w:val="11"/>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The category GWP less than 2</w:t>
      </w:r>
      <w:r w:rsidRPr="001D4D37">
        <w:rPr>
          <w:rFonts w:ascii="Times New Roman" w:hAnsi="Times New Roman"/>
          <w:sz w:val="20"/>
          <w:szCs w:val="20"/>
        </w:rPr>
        <w:t>150</w:t>
      </w:r>
      <w:r>
        <w:rPr>
          <w:rFonts w:ascii="Times New Roman" w:hAnsi="Times New Roman"/>
          <w:sz w:val="20"/>
          <w:szCs w:val="20"/>
        </w:rPr>
        <w:t xml:space="preserve"> comprises a variety of blends including HFC-407F, a variety of </w:t>
      </w:r>
      <w:r w:rsidRPr="00FF1430">
        <w:rPr>
          <w:rFonts w:ascii="Times New Roman" w:hAnsi="Times New Roman"/>
          <w:sz w:val="20"/>
          <w:szCs w:val="20"/>
        </w:rPr>
        <w:t xml:space="preserve">HCFC-22 </w:t>
      </w:r>
      <w:r w:rsidR="00472A27">
        <w:rPr>
          <w:rFonts w:ascii="Times New Roman" w:hAnsi="Times New Roman"/>
          <w:sz w:val="20"/>
          <w:szCs w:val="20"/>
        </w:rPr>
        <w:t>r</w:t>
      </w:r>
      <w:r w:rsidRPr="00FF1430">
        <w:rPr>
          <w:rFonts w:ascii="Times New Roman" w:hAnsi="Times New Roman"/>
          <w:sz w:val="20"/>
          <w:szCs w:val="20"/>
        </w:rPr>
        <w:t>eplacements</w:t>
      </w:r>
      <w:r w:rsidR="00472A27">
        <w:rPr>
          <w:rFonts w:ascii="Times New Roman" w:hAnsi="Times New Roman"/>
          <w:sz w:val="20"/>
          <w:szCs w:val="20"/>
        </w:rPr>
        <w:t>,</w:t>
      </w:r>
      <w:r>
        <w:rPr>
          <w:rFonts w:ascii="Times New Roman" w:hAnsi="Times New Roman"/>
          <w:sz w:val="20"/>
          <w:szCs w:val="20"/>
        </w:rPr>
        <w:t xml:space="preserve"> and emerging HFO blends such as </w:t>
      </w:r>
      <w:r w:rsidRPr="001D4D37">
        <w:rPr>
          <w:rFonts w:ascii="Times New Roman" w:hAnsi="Times New Roman"/>
          <w:sz w:val="20"/>
          <w:szCs w:val="20"/>
        </w:rPr>
        <w:t xml:space="preserve">HFC-448a and HFC-449a which are starting to </w:t>
      </w:r>
      <w:r w:rsidR="00472A27">
        <w:rPr>
          <w:rFonts w:ascii="Times New Roman" w:hAnsi="Times New Roman"/>
          <w:sz w:val="20"/>
          <w:szCs w:val="20"/>
        </w:rPr>
        <w:t>be used</w:t>
      </w:r>
      <w:r>
        <w:rPr>
          <w:rFonts w:ascii="Times New Roman" w:hAnsi="Times New Roman"/>
          <w:sz w:val="20"/>
          <w:szCs w:val="20"/>
        </w:rPr>
        <w:t xml:space="preserve"> for low temperature commercial refrigeration applications</w:t>
      </w:r>
      <w:r w:rsidRPr="001D4D37">
        <w:rPr>
          <w:rFonts w:ascii="Times New Roman" w:hAnsi="Times New Roman"/>
          <w:sz w:val="20"/>
          <w:szCs w:val="20"/>
        </w:rPr>
        <w:t>.</w:t>
      </w:r>
    </w:p>
    <w:p w14:paraId="752BB955" w14:textId="2A4571C2" w:rsidR="00AE0146" w:rsidRPr="00C46EC7" w:rsidRDefault="00137F3D" w:rsidP="00472A27">
      <w:pPr>
        <w:pStyle w:val="ListParagraph"/>
        <w:numPr>
          <w:ilvl w:val="0"/>
          <w:numId w:val="11"/>
        </w:numPr>
        <w:snapToGrid w:val="0"/>
        <w:spacing w:before="60" w:after="0" w:line="240" w:lineRule="auto"/>
        <w:contextualSpacing w:val="0"/>
        <w:jc w:val="both"/>
      </w:pPr>
      <w:r w:rsidRPr="00472A27">
        <w:rPr>
          <w:rFonts w:ascii="Times New Roman" w:hAnsi="Times New Roman"/>
          <w:sz w:val="20"/>
          <w:szCs w:val="20"/>
        </w:rPr>
        <w:t xml:space="preserve">Based on CHF3 methodology the bank of </w:t>
      </w:r>
      <w:r w:rsidR="00472A27" w:rsidRPr="00472A27">
        <w:rPr>
          <w:rFonts w:ascii="Times New Roman" w:hAnsi="Times New Roman"/>
          <w:sz w:val="20"/>
          <w:szCs w:val="20"/>
        </w:rPr>
        <w:t xml:space="preserve">HFC-404A in 2012 </w:t>
      </w:r>
      <w:r w:rsidRPr="00472A27">
        <w:rPr>
          <w:rFonts w:ascii="Times New Roman" w:hAnsi="Times New Roman"/>
          <w:sz w:val="20"/>
          <w:szCs w:val="20"/>
        </w:rPr>
        <w:t>would be higher. The number of walk in cool</w:t>
      </w:r>
      <w:r w:rsidR="00472A27" w:rsidRPr="00472A27">
        <w:rPr>
          <w:rFonts w:ascii="Times New Roman" w:hAnsi="Times New Roman"/>
          <w:sz w:val="20"/>
          <w:szCs w:val="20"/>
        </w:rPr>
        <w:t xml:space="preserve"> </w:t>
      </w:r>
      <w:r w:rsidRPr="00472A27">
        <w:rPr>
          <w:rFonts w:ascii="Times New Roman" w:hAnsi="Times New Roman"/>
          <w:sz w:val="20"/>
          <w:szCs w:val="20"/>
        </w:rPr>
        <w:t>rooms has been revised upward and</w:t>
      </w:r>
      <w:r w:rsidR="00F7360E">
        <w:rPr>
          <w:rFonts w:ascii="Times New Roman" w:hAnsi="Times New Roman"/>
          <w:sz w:val="20"/>
          <w:szCs w:val="20"/>
        </w:rPr>
        <w:t xml:space="preserve"> </w:t>
      </w:r>
      <w:r w:rsidR="00472A27">
        <w:rPr>
          <w:rFonts w:ascii="Times New Roman" w:hAnsi="Times New Roman"/>
          <w:sz w:val="20"/>
          <w:szCs w:val="20"/>
          <w:lang w:val="en-AU"/>
        </w:rPr>
        <w:t>t</w:t>
      </w:r>
      <w:r w:rsidR="00C46EC7" w:rsidRPr="00472A27">
        <w:rPr>
          <w:rFonts w:ascii="Times New Roman" w:hAnsi="Times New Roman"/>
          <w:sz w:val="20"/>
          <w:szCs w:val="20"/>
          <w:lang w:val="en-AU"/>
        </w:rPr>
        <w:t>his value is the published CHF2 bank of HFC-404A. The stock and bank value has been revised based on improved information. For example, the stock of self-contained refrigeration display cabinets and walk-in cool</w:t>
      </w:r>
      <w:r w:rsidR="00472A27">
        <w:rPr>
          <w:rFonts w:ascii="Times New Roman" w:hAnsi="Times New Roman"/>
          <w:sz w:val="20"/>
          <w:szCs w:val="20"/>
          <w:lang w:val="en-AU"/>
        </w:rPr>
        <w:t xml:space="preserve"> </w:t>
      </w:r>
      <w:r w:rsidR="00C46EC7" w:rsidRPr="00472A27">
        <w:rPr>
          <w:rFonts w:ascii="Times New Roman" w:hAnsi="Times New Roman"/>
          <w:sz w:val="20"/>
          <w:szCs w:val="20"/>
          <w:lang w:val="en-AU"/>
        </w:rPr>
        <w:t xml:space="preserve">rooms where revised upward. </w:t>
      </w:r>
    </w:p>
    <w:p w14:paraId="7CB16977" w14:textId="39287FE4" w:rsidR="00FF1430" w:rsidRPr="00A933C3" w:rsidRDefault="00FF1430" w:rsidP="00FF1430">
      <w:pPr>
        <w:rPr>
          <w:i/>
          <w:szCs w:val="22"/>
        </w:rPr>
      </w:pPr>
      <w:r>
        <w:rPr>
          <w:szCs w:val="22"/>
        </w:rPr>
        <w:t xml:space="preserve">Strong sales of small AC </w:t>
      </w:r>
      <w:r w:rsidR="0054235D">
        <w:rPr>
          <w:szCs w:val="22"/>
        </w:rPr>
        <w:t>are</w:t>
      </w:r>
      <w:r>
        <w:rPr>
          <w:szCs w:val="22"/>
        </w:rPr>
        <w:t xml:space="preserve"> expected to continue, however the rate of growth of HFC-410A in the bank should moderate as HFC-32 takes market share from HFC-410A charged equipment. </w:t>
      </w:r>
    </w:p>
    <w:p w14:paraId="3D280021" w14:textId="50D41E04" w:rsidR="00FF1430" w:rsidRDefault="00BB16C6" w:rsidP="00FF1430">
      <w:pPr>
        <w:rPr>
          <w:szCs w:val="22"/>
        </w:rPr>
      </w:pPr>
      <w:r>
        <w:rPr>
          <w:i/>
          <w:szCs w:val="22"/>
        </w:rPr>
        <w:t xml:space="preserve">Figure </w:t>
      </w:r>
      <w:r w:rsidR="00036F8F">
        <w:rPr>
          <w:i/>
          <w:szCs w:val="22"/>
        </w:rPr>
        <w:t>7</w:t>
      </w:r>
      <w:r w:rsidR="00FF1430">
        <w:rPr>
          <w:szCs w:val="22"/>
        </w:rPr>
        <w:t xml:space="preserve"> below illustrates the proportions of the main refrigerants in the bank, underlining the current dominance of HFC-410A (in </w:t>
      </w:r>
      <w:r w:rsidR="00C704CC">
        <w:rPr>
          <w:szCs w:val="22"/>
        </w:rPr>
        <w:t>blue</w:t>
      </w:r>
      <w:r w:rsidR="00FF1430">
        <w:rPr>
          <w:szCs w:val="22"/>
        </w:rPr>
        <w:t>).</w:t>
      </w:r>
    </w:p>
    <w:p w14:paraId="4299BC3E" w14:textId="38179FED" w:rsidR="00FF1430" w:rsidRDefault="00FF1430" w:rsidP="00FF1430">
      <w:pPr>
        <w:rPr>
          <w:szCs w:val="22"/>
        </w:rPr>
      </w:pPr>
      <w:r>
        <w:rPr>
          <w:szCs w:val="22"/>
        </w:rPr>
        <w:t xml:space="preserve">HFC-134a (in </w:t>
      </w:r>
      <w:r w:rsidR="00650D66">
        <w:rPr>
          <w:szCs w:val="22"/>
        </w:rPr>
        <w:t>green</w:t>
      </w:r>
      <w:r>
        <w:rPr>
          <w:szCs w:val="22"/>
        </w:rPr>
        <w:t xml:space="preserve">) makes up the second largest portion of the bank, and </w:t>
      </w:r>
      <w:r w:rsidR="00FE74F2">
        <w:rPr>
          <w:szCs w:val="22"/>
        </w:rPr>
        <w:t xml:space="preserve">is </w:t>
      </w:r>
      <w:r>
        <w:rPr>
          <w:szCs w:val="22"/>
        </w:rPr>
        <w:t>the primary refrigerant found in the majority of MAC systems.</w:t>
      </w:r>
    </w:p>
    <w:p w14:paraId="1ED77097" w14:textId="2C539107" w:rsidR="00FF1430" w:rsidRDefault="00FF1430" w:rsidP="00FF1430">
      <w:pPr>
        <w:rPr>
          <w:szCs w:val="22"/>
        </w:rPr>
      </w:pPr>
      <w:r>
        <w:rPr>
          <w:szCs w:val="22"/>
        </w:rPr>
        <w:t xml:space="preserve">While the largest part of the HFC-134a portion of the bank is contained in the estimated 18 million MAC systems in vehicles of all sizes, this refrigerant is also found in large commercial chillers for space cooling, </w:t>
      </w:r>
      <w:r w:rsidR="00307938">
        <w:rPr>
          <w:szCs w:val="22"/>
        </w:rPr>
        <w:t>a generation of</w:t>
      </w:r>
      <w:r>
        <w:rPr>
          <w:szCs w:val="22"/>
        </w:rPr>
        <w:t xml:space="preserve"> domestic refrigerators </w:t>
      </w:r>
      <w:r w:rsidR="00307938">
        <w:rPr>
          <w:szCs w:val="22"/>
        </w:rPr>
        <w:t xml:space="preserve">produced between the late 1990s and early 2010s, </w:t>
      </w:r>
      <w:r>
        <w:rPr>
          <w:szCs w:val="22"/>
        </w:rPr>
        <w:t>and medium temperature commercial refrigeration.</w:t>
      </w:r>
    </w:p>
    <w:p w14:paraId="2C18C6D4" w14:textId="16E67DC2" w:rsidR="00670A4E" w:rsidRDefault="00670A4E">
      <w:pPr>
        <w:spacing w:before="0"/>
        <w:jc w:val="left"/>
        <w:rPr>
          <w:szCs w:val="22"/>
        </w:rPr>
      </w:pPr>
      <w:bookmarkStart w:id="66" w:name="_Toc494190167"/>
      <w:r>
        <w:rPr>
          <w:szCs w:val="22"/>
        </w:rPr>
        <w:br w:type="page"/>
      </w: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13680B" w:rsidRPr="005D159D" w14:paraId="3A174629" w14:textId="77777777" w:rsidTr="0013680B">
        <w:tc>
          <w:tcPr>
            <w:tcW w:w="9716" w:type="dxa"/>
            <w:vAlign w:val="center"/>
          </w:tcPr>
          <w:p w14:paraId="4D90764D" w14:textId="3A581CE3" w:rsidR="0013680B" w:rsidRPr="005D159D" w:rsidRDefault="0013680B" w:rsidP="0013680B">
            <w:pPr>
              <w:spacing w:after="120"/>
              <w:jc w:val="center"/>
              <w:rPr>
                <w:b/>
                <w:sz w:val="24"/>
              </w:rPr>
            </w:pPr>
            <w:r w:rsidRPr="005D159D">
              <w:rPr>
                <w:b/>
                <w:sz w:val="24"/>
              </w:rPr>
              <w:br w:type="page"/>
            </w:r>
            <w:r w:rsidR="005631FA">
              <w:rPr>
                <w:b/>
                <w:sz w:val="24"/>
              </w:rPr>
              <w:t>2016 Bank by s</w:t>
            </w:r>
            <w:r w:rsidR="00FF1430" w:rsidRPr="00FF1430">
              <w:rPr>
                <w:b/>
                <w:sz w:val="24"/>
              </w:rPr>
              <w:t xml:space="preserve">pecies </w:t>
            </w:r>
            <w:r>
              <w:rPr>
                <w:b/>
                <w:sz w:val="24"/>
              </w:rPr>
              <w:t>(</w:t>
            </w:r>
            <w:r w:rsidR="00FF1430">
              <w:rPr>
                <w:b/>
                <w:sz w:val="24"/>
              </w:rPr>
              <w:t>% by mass</w:t>
            </w:r>
            <w:r>
              <w:rPr>
                <w:b/>
                <w:sz w:val="24"/>
              </w:rPr>
              <w:t>)</w:t>
            </w:r>
          </w:p>
        </w:tc>
      </w:tr>
      <w:tr w:rsidR="0013680B" w:rsidRPr="00BD20BC" w14:paraId="0B3C84EA" w14:textId="77777777" w:rsidTr="00683CA1">
        <w:tc>
          <w:tcPr>
            <w:tcW w:w="9716" w:type="dxa"/>
            <w:vAlign w:val="center"/>
          </w:tcPr>
          <w:p w14:paraId="29EB52BC" w14:textId="77777777" w:rsidR="0013680B" w:rsidRDefault="0013680B" w:rsidP="0013680B">
            <w:pPr>
              <w:spacing w:before="60" w:after="60"/>
              <w:jc w:val="center"/>
              <w:rPr>
                <w:sz w:val="16"/>
                <w:szCs w:val="16"/>
              </w:rPr>
            </w:pPr>
          </w:p>
          <w:p w14:paraId="43D1C6D8" w14:textId="33BBCCC7" w:rsidR="0013680B" w:rsidRDefault="00683CA1" w:rsidP="0013680B">
            <w:pPr>
              <w:spacing w:before="60" w:after="60"/>
              <w:jc w:val="center"/>
              <w:rPr>
                <w:sz w:val="16"/>
                <w:szCs w:val="16"/>
              </w:rPr>
            </w:pPr>
            <w:r>
              <w:rPr>
                <w:noProof/>
                <w:lang w:val="en-AU" w:eastAsia="en-AU"/>
              </w:rPr>
              <w:drawing>
                <wp:inline distT="0" distB="0" distL="0" distR="0" wp14:anchorId="46ABBA45" wp14:editId="3ADE8433">
                  <wp:extent cx="4342818" cy="4008544"/>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6928" cy="4012337"/>
                          </a:xfrm>
                          <a:prstGeom prst="rect">
                            <a:avLst/>
                          </a:prstGeom>
                        </pic:spPr>
                      </pic:pic>
                    </a:graphicData>
                  </a:graphic>
                </wp:inline>
              </w:drawing>
            </w:r>
          </w:p>
          <w:p w14:paraId="61C6306C" w14:textId="77777777" w:rsidR="0013680B" w:rsidRPr="00BD20BC" w:rsidRDefault="0013680B" w:rsidP="0013680B">
            <w:pPr>
              <w:spacing w:before="60" w:after="60"/>
              <w:jc w:val="center"/>
              <w:rPr>
                <w:sz w:val="16"/>
                <w:szCs w:val="16"/>
              </w:rPr>
            </w:pPr>
          </w:p>
        </w:tc>
      </w:tr>
      <w:tr w:rsidR="0013680B" w:rsidRPr="00573A8B" w14:paraId="1154FE85" w14:textId="77777777" w:rsidTr="0013680B">
        <w:tc>
          <w:tcPr>
            <w:tcW w:w="9716" w:type="dxa"/>
            <w:vAlign w:val="center"/>
          </w:tcPr>
          <w:p w14:paraId="2BC3CB24" w14:textId="0D809CB6" w:rsidR="0013680B" w:rsidRPr="00BB16C6" w:rsidRDefault="00BB16C6" w:rsidP="00BB16C6">
            <w:pPr>
              <w:pStyle w:val="Caption"/>
              <w:rPr>
                <w:szCs w:val="22"/>
              </w:rPr>
            </w:pPr>
            <w:bookmarkStart w:id="67" w:name="_Toc525141338"/>
            <w:r w:rsidRPr="00BB16C6">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7</w:t>
            </w:r>
            <w:r w:rsidR="009D6843">
              <w:rPr>
                <w:noProof/>
              </w:rPr>
              <w:fldChar w:fldCharType="end"/>
            </w:r>
            <w:r w:rsidR="0013680B" w:rsidRPr="00BB16C6">
              <w:rPr>
                <w:szCs w:val="22"/>
              </w:rPr>
              <w:t xml:space="preserve">: </w:t>
            </w:r>
            <w:r w:rsidR="00683CA1" w:rsidRPr="00BB16C6">
              <w:rPr>
                <w:szCs w:val="22"/>
              </w:rPr>
              <w:t xml:space="preserve">2016 </w:t>
            </w:r>
            <w:r w:rsidR="0013680B" w:rsidRPr="00BB16C6">
              <w:rPr>
                <w:szCs w:val="22"/>
              </w:rPr>
              <w:t xml:space="preserve">Refrigerant </w:t>
            </w:r>
            <w:r w:rsidR="005631FA" w:rsidRPr="00BB16C6">
              <w:rPr>
                <w:szCs w:val="22"/>
              </w:rPr>
              <w:t>b</w:t>
            </w:r>
            <w:r w:rsidR="0013680B" w:rsidRPr="00BB16C6">
              <w:rPr>
                <w:szCs w:val="22"/>
              </w:rPr>
              <w:t xml:space="preserve">ank by </w:t>
            </w:r>
            <w:r w:rsidR="005631FA" w:rsidRPr="00BB16C6">
              <w:rPr>
                <w:szCs w:val="22"/>
              </w:rPr>
              <w:t>s</w:t>
            </w:r>
            <w:r w:rsidR="00683CA1" w:rsidRPr="00BB16C6">
              <w:rPr>
                <w:szCs w:val="22"/>
              </w:rPr>
              <w:t>pecies</w:t>
            </w:r>
            <w:r w:rsidR="0013680B" w:rsidRPr="00BB16C6">
              <w:rPr>
                <w:szCs w:val="22"/>
              </w:rPr>
              <w:t xml:space="preserve"> in </w:t>
            </w:r>
            <w:r w:rsidR="00683CA1" w:rsidRPr="00BB16C6">
              <w:rPr>
                <w:szCs w:val="22"/>
              </w:rPr>
              <w:t>per cent by mass</w:t>
            </w:r>
            <w:r w:rsidR="0013680B" w:rsidRPr="00BB16C6">
              <w:rPr>
                <w:szCs w:val="22"/>
              </w:rPr>
              <w:t>.</w:t>
            </w:r>
            <w:bookmarkEnd w:id="67"/>
          </w:p>
        </w:tc>
      </w:tr>
    </w:tbl>
    <w:p w14:paraId="04B4F103" w14:textId="23CADFE6" w:rsidR="0013680B" w:rsidRDefault="0013680B" w:rsidP="0013680B">
      <w:pPr>
        <w:spacing w:before="0"/>
        <w:rPr>
          <w:sz w:val="20"/>
          <w:szCs w:val="20"/>
        </w:rPr>
      </w:pPr>
      <w:r w:rsidRPr="00116557">
        <w:rPr>
          <w:sz w:val="20"/>
          <w:szCs w:val="20"/>
        </w:rPr>
        <w:t>(Sources:</w:t>
      </w:r>
      <w:r>
        <w:rPr>
          <w:sz w:val="20"/>
          <w:szCs w:val="20"/>
        </w:rPr>
        <w:t xml:space="preserve"> </w:t>
      </w:r>
      <w:r w:rsidR="00332F83">
        <w:rPr>
          <w:sz w:val="20"/>
          <w:szCs w:val="20"/>
        </w:rPr>
        <w:t xml:space="preserve">CHF3 </w:t>
      </w:r>
      <w:r w:rsidR="0054235D">
        <w:rPr>
          <w:sz w:val="20"/>
          <w:szCs w:val="20"/>
        </w:rPr>
        <w:t xml:space="preserve">RAC </w:t>
      </w:r>
      <w:r w:rsidR="00332F83">
        <w:rPr>
          <w:sz w:val="20"/>
          <w:szCs w:val="20"/>
        </w:rPr>
        <w:t>Stock model</w:t>
      </w:r>
      <w:r>
        <w:rPr>
          <w:sz w:val="20"/>
          <w:szCs w:val="20"/>
        </w:rPr>
        <w:t xml:space="preserve">) </w:t>
      </w:r>
    </w:p>
    <w:p w14:paraId="2C8EB883" w14:textId="77777777" w:rsidR="0013680B" w:rsidRDefault="0013680B" w:rsidP="0054235D">
      <w:pPr>
        <w:rPr>
          <w:szCs w:val="22"/>
        </w:rPr>
      </w:pPr>
    </w:p>
    <w:p w14:paraId="625C9B54" w14:textId="4529E589" w:rsidR="00650D66" w:rsidRPr="00EB038C" w:rsidRDefault="00650D66" w:rsidP="0054235D">
      <w:pPr>
        <w:rPr>
          <w:szCs w:val="22"/>
        </w:rPr>
      </w:pPr>
      <w:r>
        <w:rPr>
          <w:szCs w:val="22"/>
        </w:rPr>
        <w:t xml:space="preserve">The third largest component of the </w:t>
      </w:r>
      <w:r w:rsidR="009F4CB3">
        <w:rPr>
          <w:szCs w:val="22"/>
        </w:rPr>
        <w:t>refrigerant bank</w:t>
      </w:r>
      <w:r>
        <w:rPr>
          <w:szCs w:val="22"/>
        </w:rPr>
        <w:t xml:space="preserve"> in 2016, HCFC-22 (in blue), has started to decline from its previously dominant position due to the </w:t>
      </w:r>
      <w:r w:rsidR="009B7B9F">
        <w:rPr>
          <w:szCs w:val="22"/>
        </w:rPr>
        <w:t xml:space="preserve">progressive </w:t>
      </w:r>
      <w:r>
        <w:rPr>
          <w:szCs w:val="22"/>
        </w:rPr>
        <w:t>phase</w:t>
      </w:r>
      <w:r w:rsidR="009B7B9F">
        <w:rPr>
          <w:szCs w:val="22"/>
        </w:rPr>
        <w:t xml:space="preserve">-out </w:t>
      </w:r>
      <w:r>
        <w:rPr>
          <w:szCs w:val="22"/>
        </w:rPr>
        <w:t>o</w:t>
      </w:r>
      <w:r w:rsidR="00472A27">
        <w:rPr>
          <w:szCs w:val="22"/>
        </w:rPr>
        <w:t>f</w:t>
      </w:r>
      <w:r>
        <w:rPr>
          <w:szCs w:val="22"/>
        </w:rPr>
        <w:t xml:space="preserve"> HCFC bulk imports, and the ban on pre-charged equipment imports containing HCF</w:t>
      </w:r>
      <w:r w:rsidR="00307938">
        <w:rPr>
          <w:szCs w:val="22"/>
        </w:rPr>
        <w:t>C</w:t>
      </w:r>
      <w:r>
        <w:rPr>
          <w:szCs w:val="22"/>
        </w:rPr>
        <w:t xml:space="preserve">s. These changes initiated a decline in the stock of equipment charged with this refrigerant. The larger part of </w:t>
      </w:r>
      <w:r w:rsidR="009B7B9F">
        <w:rPr>
          <w:szCs w:val="22"/>
        </w:rPr>
        <w:t xml:space="preserve">the HCFC </w:t>
      </w:r>
      <w:r>
        <w:rPr>
          <w:szCs w:val="22"/>
        </w:rPr>
        <w:t>bank is still found in small and medium AC.</w:t>
      </w:r>
    </w:p>
    <w:p w14:paraId="15BFC0EE" w14:textId="38908F07" w:rsidR="00650D66" w:rsidRPr="00630668" w:rsidRDefault="00650D66" w:rsidP="0054235D">
      <w:r w:rsidRPr="00381734">
        <w:t xml:space="preserve">None of the </w:t>
      </w:r>
      <w:r w:rsidR="00C12BE0">
        <w:t xml:space="preserve">HCFC and </w:t>
      </w:r>
      <w:r w:rsidR="00600295">
        <w:t>HFC</w:t>
      </w:r>
      <w:r w:rsidR="00C12BE0">
        <w:t xml:space="preserve"> </w:t>
      </w:r>
      <w:r w:rsidRPr="00381734">
        <w:t>refrigerants in the bank are manufactured in Australia. The replacement cost of this bank</w:t>
      </w:r>
      <w:r>
        <w:t xml:space="preserve"> for the end use</w:t>
      </w:r>
      <w:r w:rsidR="00472A27">
        <w:t>r</w:t>
      </w:r>
      <w:r>
        <w:t>s</w:t>
      </w:r>
      <w:r w:rsidRPr="00381734">
        <w:t xml:space="preserve"> is roughly estimated to be $</w:t>
      </w:r>
      <w:r w:rsidR="00AF1136">
        <w:t>2.9</w:t>
      </w:r>
      <w:r w:rsidRPr="00381734">
        <w:t xml:space="preserve"> billion based on current market prices </w:t>
      </w:r>
      <w:r w:rsidR="00781CC7">
        <w:t xml:space="preserve">to the end user </w:t>
      </w:r>
      <w:r w:rsidRPr="00381734">
        <w:t>(</w:t>
      </w:r>
      <w:r w:rsidRPr="00381734">
        <w:rPr>
          <w:i/>
        </w:rPr>
        <w:t>CHF2, $5.8 billion</w:t>
      </w:r>
      <w:r w:rsidRPr="00381734">
        <w:t>).</w:t>
      </w:r>
    </w:p>
    <w:p w14:paraId="78593503" w14:textId="52A5DB39" w:rsidR="00650D66" w:rsidRDefault="00650D66" w:rsidP="0054235D">
      <w:pPr>
        <w:rPr>
          <w:szCs w:val="22"/>
        </w:rPr>
      </w:pPr>
      <w:r>
        <w:rPr>
          <w:szCs w:val="22"/>
        </w:rPr>
        <w:t xml:space="preserve">From one view point the bank can be broadly characterised by its global warming potential. A large portion of the bank is comprised of </w:t>
      </w:r>
      <w:r w:rsidR="003955F1" w:rsidRPr="003955F1">
        <w:rPr>
          <w:szCs w:val="22"/>
        </w:rPr>
        <w:t>HCFC</w:t>
      </w:r>
      <w:r w:rsidR="003955F1">
        <w:rPr>
          <w:szCs w:val="22"/>
        </w:rPr>
        <w:t>s</w:t>
      </w:r>
      <w:r w:rsidR="003955F1" w:rsidRPr="003955F1">
        <w:rPr>
          <w:szCs w:val="22"/>
        </w:rPr>
        <w:t xml:space="preserve"> and HFC</w:t>
      </w:r>
      <w:r w:rsidR="003955F1">
        <w:rPr>
          <w:szCs w:val="22"/>
        </w:rPr>
        <w:t>s</w:t>
      </w:r>
      <w:r>
        <w:rPr>
          <w:szCs w:val="22"/>
        </w:rPr>
        <w:t xml:space="preserve"> with GWPs above 1</w:t>
      </w:r>
      <w:r w:rsidR="00240A0E">
        <w:rPr>
          <w:szCs w:val="22"/>
        </w:rPr>
        <w:t>4</w:t>
      </w:r>
      <w:r>
        <w:rPr>
          <w:szCs w:val="22"/>
        </w:rPr>
        <w:t xml:space="preserve">00. A small but growing portion of the bank </w:t>
      </w:r>
      <w:r w:rsidR="00781CC7">
        <w:rPr>
          <w:szCs w:val="22"/>
        </w:rPr>
        <w:t xml:space="preserve">of </w:t>
      </w:r>
      <w:r w:rsidR="003955F1">
        <w:rPr>
          <w:szCs w:val="22"/>
        </w:rPr>
        <w:t>HFCs</w:t>
      </w:r>
      <w:r>
        <w:rPr>
          <w:szCs w:val="22"/>
        </w:rPr>
        <w:t xml:space="preserve"> such as HFC-32 with a medium </w:t>
      </w:r>
      <w:r w:rsidR="00240A0E">
        <w:rPr>
          <w:szCs w:val="22"/>
        </w:rPr>
        <w:t xml:space="preserve">or reduced </w:t>
      </w:r>
      <w:r>
        <w:rPr>
          <w:szCs w:val="22"/>
        </w:rPr>
        <w:t>GWP of 675. There are a number of</w:t>
      </w:r>
      <w:r w:rsidRPr="00474787">
        <w:t xml:space="preserve"> emerging HFO</w:t>
      </w:r>
      <w:r>
        <w:t>/HFC</w:t>
      </w:r>
      <w:r w:rsidRPr="00474787">
        <w:t xml:space="preserve"> blends </w:t>
      </w:r>
      <w:r>
        <w:t xml:space="preserve">joining this </w:t>
      </w:r>
      <w:r w:rsidR="00240A0E">
        <w:t xml:space="preserve">reduced </w:t>
      </w:r>
      <w:r w:rsidRPr="00474787">
        <w:t>GWP</w:t>
      </w:r>
      <w:r>
        <w:t xml:space="preserve"> group that are being developed as </w:t>
      </w:r>
      <w:r w:rsidRPr="00474787">
        <w:t>replacements for very high GWP substances such as HFC-404A</w:t>
      </w:r>
      <w:r>
        <w:t xml:space="preserve">. </w:t>
      </w:r>
      <w:r>
        <w:rPr>
          <w:szCs w:val="22"/>
        </w:rPr>
        <w:t>And there is a bank of natural refrigerants with very low or zero GWP</w:t>
      </w:r>
      <w:r w:rsidR="00307938">
        <w:rPr>
          <w:szCs w:val="22"/>
        </w:rPr>
        <w:t xml:space="preserve"> that will soon also include HFOs</w:t>
      </w:r>
      <w:r>
        <w:rPr>
          <w:szCs w:val="22"/>
        </w:rPr>
        <w:t>.</w:t>
      </w:r>
    </w:p>
    <w:p w14:paraId="29A979D1" w14:textId="77777777" w:rsidR="00670A4E" w:rsidRDefault="00670A4E">
      <w:pPr>
        <w:spacing w:before="0"/>
        <w:jc w:val="left"/>
        <w:rPr>
          <w:szCs w:val="22"/>
        </w:rPr>
      </w:pPr>
      <w:r>
        <w:rPr>
          <w:szCs w:val="22"/>
        </w:rPr>
        <w:br w:type="page"/>
      </w:r>
    </w:p>
    <w:p w14:paraId="1153AA08" w14:textId="023AED2D" w:rsidR="00650D66" w:rsidRDefault="00650D66" w:rsidP="0054235D">
      <w:pPr>
        <w:rPr>
          <w:szCs w:val="22"/>
        </w:rPr>
      </w:pPr>
      <w:r>
        <w:rPr>
          <w:szCs w:val="22"/>
        </w:rPr>
        <w:t xml:space="preserve">These three segments of the bank, Low or </w:t>
      </w:r>
      <w:r w:rsidR="00240A0E">
        <w:rPr>
          <w:szCs w:val="22"/>
        </w:rPr>
        <w:t>z</w:t>
      </w:r>
      <w:r>
        <w:rPr>
          <w:szCs w:val="22"/>
        </w:rPr>
        <w:t xml:space="preserve">ero GWP, Medium </w:t>
      </w:r>
      <w:r w:rsidR="00240A0E">
        <w:rPr>
          <w:szCs w:val="22"/>
        </w:rPr>
        <w:t xml:space="preserve">or reduced </w:t>
      </w:r>
      <w:r>
        <w:rPr>
          <w:szCs w:val="22"/>
        </w:rPr>
        <w:t>GWP and High GWP are defined as follows:</w:t>
      </w:r>
    </w:p>
    <w:p w14:paraId="51AEA4C9" w14:textId="6CAA79A7" w:rsidR="00650D66" w:rsidRPr="00474787" w:rsidRDefault="00240A0E" w:rsidP="0054235D">
      <w:pPr>
        <w:pStyle w:val="ListParagraph"/>
        <w:numPr>
          <w:ilvl w:val="0"/>
          <w:numId w:val="30"/>
        </w:numPr>
        <w:spacing w:before="120" w:after="0" w:line="240" w:lineRule="auto"/>
        <w:ind w:left="357" w:hanging="357"/>
        <w:contextualSpacing w:val="0"/>
        <w:jc w:val="both"/>
        <w:rPr>
          <w:rFonts w:ascii="Times New Roman" w:hAnsi="Times New Roman"/>
        </w:rPr>
      </w:pPr>
      <w:r>
        <w:rPr>
          <w:rFonts w:ascii="Times New Roman" w:hAnsi="Times New Roman"/>
        </w:rPr>
        <w:t>L</w:t>
      </w:r>
      <w:r w:rsidR="00650D66" w:rsidRPr="00474787">
        <w:rPr>
          <w:rFonts w:ascii="Times New Roman" w:hAnsi="Times New Roman"/>
        </w:rPr>
        <w:t xml:space="preserve">ow or </w:t>
      </w:r>
      <w:r>
        <w:rPr>
          <w:rFonts w:ascii="Times New Roman" w:hAnsi="Times New Roman"/>
        </w:rPr>
        <w:t>z</w:t>
      </w:r>
      <w:r w:rsidR="00650D66">
        <w:rPr>
          <w:rFonts w:ascii="Times New Roman" w:hAnsi="Times New Roman"/>
        </w:rPr>
        <w:t>ero</w:t>
      </w:r>
      <w:r w:rsidR="00650D66" w:rsidRPr="00474787">
        <w:rPr>
          <w:rFonts w:ascii="Times New Roman" w:hAnsi="Times New Roman"/>
        </w:rPr>
        <w:t xml:space="preserve"> GWP </w:t>
      </w:r>
      <w:r w:rsidR="00650D66">
        <w:rPr>
          <w:rFonts w:ascii="Times New Roman" w:hAnsi="Times New Roman"/>
        </w:rPr>
        <w:t>refrigerants</w:t>
      </w:r>
      <w:r w:rsidR="00650D66" w:rsidRPr="00474787">
        <w:rPr>
          <w:rFonts w:ascii="Times New Roman" w:hAnsi="Times New Roman"/>
        </w:rPr>
        <w:t xml:space="preserve"> with a </w:t>
      </w:r>
      <w:r w:rsidR="00941BA9">
        <w:rPr>
          <w:rFonts w:ascii="Times New Roman" w:hAnsi="Times New Roman"/>
        </w:rPr>
        <w:t>GWP&lt;10</w:t>
      </w:r>
      <w:r w:rsidR="00650D66" w:rsidRPr="00474787">
        <w:rPr>
          <w:rFonts w:ascii="Times New Roman" w:hAnsi="Times New Roman"/>
        </w:rPr>
        <w:t xml:space="preserve">; </w:t>
      </w:r>
    </w:p>
    <w:p w14:paraId="33F48F7B" w14:textId="5BD4E5F3" w:rsidR="00650D66" w:rsidRPr="00474787" w:rsidRDefault="00650D66" w:rsidP="0054235D">
      <w:pPr>
        <w:pStyle w:val="ListParagraph"/>
        <w:numPr>
          <w:ilvl w:val="0"/>
          <w:numId w:val="30"/>
        </w:numPr>
        <w:spacing w:before="120" w:after="0" w:line="240" w:lineRule="auto"/>
        <w:ind w:left="357" w:hanging="357"/>
        <w:contextualSpacing w:val="0"/>
        <w:jc w:val="both"/>
        <w:rPr>
          <w:rFonts w:ascii="Times New Roman" w:hAnsi="Times New Roman"/>
        </w:rPr>
      </w:pPr>
      <w:r>
        <w:rPr>
          <w:rFonts w:ascii="Times New Roman" w:hAnsi="Times New Roman"/>
        </w:rPr>
        <w:t xml:space="preserve">Medium </w:t>
      </w:r>
      <w:r w:rsidR="00781CC7">
        <w:rPr>
          <w:rFonts w:ascii="Times New Roman" w:hAnsi="Times New Roman"/>
        </w:rPr>
        <w:t xml:space="preserve">or reduced </w:t>
      </w:r>
      <w:r w:rsidRPr="00474787">
        <w:rPr>
          <w:rFonts w:ascii="Times New Roman" w:hAnsi="Times New Roman"/>
        </w:rPr>
        <w:t xml:space="preserve">GWP </w:t>
      </w:r>
      <w:r>
        <w:rPr>
          <w:rFonts w:ascii="Times New Roman" w:hAnsi="Times New Roman"/>
        </w:rPr>
        <w:t>refrigerants</w:t>
      </w:r>
      <w:r w:rsidR="00240A0E">
        <w:rPr>
          <w:rStyle w:val="FootnoteReference"/>
        </w:rPr>
        <w:footnoteReference w:id="41"/>
      </w:r>
      <w:r>
        <w:rPr>
          <w:rFonts w:ascii="Times New Roman" w:hAnsi="Times New Roman"/>
        </w:rPr>
        <w:t xml:space="preserve"> </w:t>
      </w:r>
      <w:r w:rsidRPr="00474787">
        <w:rPr>
          <w:rFonts w:ascii="Times New Roman" w:hAnsi="Times New Roman"/>
        </w:rPr>
        <w:t>with a GWP ≥10 and &lt;1</w:t>
      </w:r>
      <w:r w:rsidR="00240A0E">
        <w:rPr>
          <w:rFonts w:ascii="Times New Roman" w:hAnsi="Times New Roman"/>
        </w:rPr>
        <w:t>400</w:t>
      </w:r>
      <w:r w:rsidRPr="00474787">
        <w:rPr>
          <w:rFonts w:ascii="Times New Roman" w:hAnsi="Times New Roman"/>
        </w:rPr>
        <w:t>, where the most common substance is HFC-32, and emerging HFO</w:t>
      </w:r>
      <w:r>
        <w:rPr>
          <w:rFonts w:ascii="Times New Roman" w:hAnsi="Times New Roman"/>
        </w:rPr>
        <w:t>/HFC</w:t>
      </w:r>
      <w:r w:rsidRPr="00474787">
        <w:rPr>
          <w:rFonts w:ascii="Times New Roman" w:hAnsi="Times New Roman"/>
        </w:rPr>
        <w:t xml:space="preserve"> blends; and,</w:t>
      </w:r>
    </w:p>
    <w:p w14:paraId="48314111" w14:textId="73578C3D" w:rsidR="00650D66" w:rsidRPr="00474787" w:rsidRDefault="00650D66" w:rsidP="0054235D">
      <w:pPr>
        <w:pStyle w:val="ListParagraph"/>
        <w:numPr>
          <w:ilvl w:val="0"/>
          <w:numId w:val="30"/>
        </w:numPr>
        <w:spacing w:before="120" w:after="0" w:line="240" w:lineRule="auto"/>
        <w:ind w:left="357" w:hanging="357"/>
        <w:contextualSpacing w:val="0"/>
        <w:jc w:val="both"/>
        <w:rPr>
          <w:rFonts w:ascii="Times New Roman" w:hAnsi="Times New Roman"/>
        </w:rPr>
      </w:pPr>
      <w:r w:rsidRPr="00474787">
        <w:rPr>
          <w:rFonts w:ascii="Times New Roman" w:hAnsi="Times New Roman"/>
        </w:rPr>
        <w:t xml:space="preserve">High GWP </w:t>
      </w:r>
      <w:r>
        <w:rPr>
          <w:rFonts w:ascii="Times New Roman" w:hAnsi="Times New Roman"/>
        </w:rPr>
        <w:t>refrigerants</w:t>
      </w:r>
      <w:r w:rsidRPr="00474787">
        <w:rPr>
          <w:rFonts w:ascii="Times New Roman" w:hAnsi="Times New Roman"/>
        </w:rPr>
        <w:t xml:space="preserve"> with a GWP</w:t>
      </w:r>
      <w:r w:rsidR="00240A0E">
        <w:rPr>
          <w:rFonts w:ascii="Times New Roman" w:hAnsi="Times New Roman"/>
        </w:rPr>
        <w:t xml:space="preserve"> </w:t>
      </w:r>
      <w:r w:rsidR="00240A0E" w:rsidRPr="00474787">
        <w:rPr>
          <w:rFonts w:ascii="Times New Roman" w:hAnsi="Times New Roman"/>
        </w:rPr>
        <w:t>≥</w:t>
      </w:r>
      <w:r w:rsidRPr="00474787">
        <w:rPr>
          <w:rFonts w:ascii="Times New Roman" w:hAnsi="Times New Roman"/>
        </w:rPr>
        <w:t>1,</w:t>
      </w:r>
      <w:r w:rsidR="00240A0E">
        <w:rPr>
          <w:rFonts w:ascii="Times New Roman" w:hAnsi="Times New Roman"/>
        </w:rPr>
        <w:t>4</w:t>
      </w:r>
      <w:r w:rsidRPr="00474787">
        <w:rPr>
          <w:rFonts w:ascii="Times New Roman" w:hAnsi="Times New Roman"/>
        </w:rPr>
        <w:t>00,</w:t>
      </w:r>
      <w:r>
        <w:rPr>
          <w:rFonts w:ascii="Times New Roman" w:hAnsi="Times New Roman"/>
        </w:rPr>
        <w:t xml:space="preserve"> presently </w:t>
      </w:r>
      <w:r w:rsidRPr="00474787">
        <w:rPr>
          <w:rFonts w:ascii="Times New Roman" w:hAnsi="Times New Roman"/>
        </w:rPr>
        <w:t>mak</w:t>
      </w:r>
      <w:r w:rsidR="00472A27">
        <w:rPr>
          <w:rFonts w:ascii="Times New Roman" w:hAnsi="Times New Roman"/>
        </w:rPr>
        <w:t>ing</w:t>
      </w:r>
      <w:r w:rsidRPr="00474787">
        <w:rPr>
          <w:rFonts w:ascii="Times New Roman" w:hAnsi="Times New Roman"/>
        </w:rPr>
        <w:t xml:space="preserve"> up the large majority of </w:t>
      </w:r>
      <w:r>
        <w:rPr>
          <w:rFonts w:ascii="Times New Roman" w:hAnsi="Times New Roman"/>
        </w:rPr>
        <w:t>the bank</w:t>
      </w:r>
      <w:r w:rsidRPr="00474787">
        <w:rPr>
          <w:rFonts w:ascii="Times New Roman" w:hAnsi="Times New Roman"/>
        </w:rPr>
        <w:t xml:space="preserve">. </w:t>
      </w:r>
    </w:p>
    <w:p w14:paraId="249A0BC9" w14:textId="74C86D9A" w:rsidR="00650D66" w:rsidRPr="00630668" w:rsidRDefault="00941BA9" w:rsidP="0054235D">
      <w:pPr>
        <w:rPr>
          <w:szCs w:val="22"/>
        </w:rPr>
      </w:pPr>
      <w:r>
        <w:rPr>
          <w:szCs w:val="22"/>
        </w:rPr>
        <w:t>If we include the 4,800 tonnes of ammonia not counted as the HCFC and HFC bank, around 10</w:t>
      </w:r>
      <w:r w:rsidR="00650D66">
        <w:rPr>
          <w:szCs w:val="22"/>
        </w:rPr>
        <w:t xml:space="preserve">% of the bank </w:t>
      </w:r>
      <w:r>
        <w:rPr>
          <w:szCs w:val="22"/>
        </w:rPr>
        <w:t xml:space="preserve">(incl. ammonia) </w:t>
      </w:r>
      <w:r w:rsidR="00650D66">
        <w:rPr>
          <w:szCs w:val="22"/>
        </w:rPr>
        <w:t xml:space="preserve">is made up of substances with </w:t>
      </w:r>
      <w:r>
        <w:rPr>
          <w:szCs w:val="22"/>
        </w:rPr>
        <w:t>GWP&lt;10</w:t>
      </w:r>
      <w:r w:rsidR="00650D66">
        <w:rPr>
          <w:szCs w:val="22"/>
        </w:rPr>
        <w:t xml:space="preserve">, and the rest is refrigerants with GWP &gt;10. </w:t>
      </w:r>
      <w:r w:rsidR="00C1021A">
        <w:rPr>
          <w:szCs w:val="22"/>
        </w:rPr>
        <w:t xml:space="preserve">Refer to </w:t>
      </w:r>
      <w:r w:rsidR="00650D66" w:rsidRPr="00941BA9">
        <w:rPr>
          <w:i/>
          <w:szCs w:val="22"/>
        </w:rPr>
        <w:t xml:space="preserve">Appendix </w:t>
      </w:r>
      <w:r w:rsidR="00C1021A">
        <w:rPr>
          <w:i/>
          <w:szCs w:val="22"/>
        </w:rPr>
        <w:t xml:space="preserve">A: Section </w:t>
      </w:r>
      <w:r w:rsidR="00C1021A" w:rsidRPr="00C1021A">
        <w:rPr>
          <w:i/>
          <w:szCs w:val="22"/>
        </w:rPr>
        <w:t>11.2.16</w:t>
      </w:r>
      <w:r w:rsidR="00C1021A">
        <w:rPr>
          <w:i/>
          <w:szCs w:val="22"/>
        </w:rPr>
        <w:t xml:space="preserve"> </w:t>
      </w:r>
      <w:r w:rsidR="00C1021A" w:rsidRPr="00C1021A">
        <w:rPr>
          <w:i/>
          <w:szCs w:val="22"/>
        </w:rPr>
        <w:t>GWPs and refrigerant compositions</w:t>
      </w:r>
      <w:r w:rsidR="00650D66">
        <w:rPr>
          <w:szCs w:val="22"/>
        </w:rPr>
        <w:t xml:space="preserve"> </w:t>
      </w:r>
      <w:r w:rsidR="00C1021A">
        <w:rPr>
          <w:szCs w:val="22"/>
        </w:rPr>
        <w:t xml:space="preserve">for a list of </w:t>
      </w:r>
      <w:r w:rsidR="00650D66">
        <w:rPr>
          <w:szCs w:val="22"/>
        </w:rPr>
        <w:t xml:space="preserve">the </w:t>
      </w:r>
      <w:r w:rsidR="00C1021A">
        <w:rPr>
          <w:szCs w:val="22"/>
        </w:rPr>
        <w:t xml:space="preserve">GWPs of the common </w:t>
      </w:r>
      <w:r w:rsidR="00650D66">
        <w:rPr>
          <w:szCs w:val="22"/>
        </w:rPr>
        <w:t>refrigerants employed in the bank in Australia.</w:t>
      </w:r>
    </w:p>
    <w:p w14:paraId="44C2D2FE" w14:textId="4AA06E6D" w:rsidR="00650D66" w:rsidRPr="0048328C" w:rsidRDefault="00650D66" w:rsidP="0054235D">
      <w:pPr>
        <w:pStyle w:val="ListBullet"/>
        <w:numPr>
          <w:ilvl w:val="0"/>
          <w:numId w:val="0"/>
        </w:numPr>
        <w:contextualSpacing w:val="0"/>
        <w:rPr>
          <w:szCs w:val="22"/>
        </w:rPr>
      </w:pPr>
      <w:r w:rsidRPr="0048328C">
        <w:rPr>
          <w:szCs w:val="22"/>
        </w:rPr>
        <w:t>This national bank of refrigerant in 2016</w:t>
      </w:r>
      <w:r w:rsidR="0037195F">
        <w:rPr>
          <w:szCs w:val="22"/>
        </w:rPr>
        <w:t xml:space="preserve">, as calculated by the CHF3 </w:t>
      </w:r>
      <w:r w:rsidR="002912EC">
        <w:rPr>
          <w:szCs w:val="22"/>
        </w:rPr>
        <w:t>RAC S</w:t>
      </w:r>
      <w:r w:rsidR="0037195F">
        <w:rPr>
          <w:szCs w:val="22"/>
        </w:rPr>
        <w:t>tock model,</w:t>
      </w:r>
      <w:r w:rsidRPr="0048328C">
        <w:rPr>
          <w:szCs w:val="22"/>
        </w:rPr>
        <w:t xml:space="preserve"> was equivalent to more than 98 million tonnes of CO</w:t>
      </w:r>
      <w:r w:rsidRPr="0048328C">
        <w:rPr>
          <w:szCs w:val="22"/>
          <w:vertAlign w:val="subscript"/>
        </w:rPr>
        <w:t>2</w:t>
      </w:r>
      <w:r w:rsidRPr="0048328C">
        <w:rPr>
          <w:szCs w:val="22"/>
        </w:rPr>
        <w:t xml:space="preserve"> </w:t>
      </w:r>
      <w:r w:rsidR="00E045F0">
        <w:rPr>
          <w:szCs w:val="22"/>
        </w:rPr>
        <w:t xml:space="preserve">(including ODS, </w:t>
      </w:r>
      <w:r w:rsidRPr="0048328C">
        <w:rPr>
          <w:i/>
          <w:szCs w:val="22"/>
        </w:rPr>
        <w:t>CHF2, 71.4 Mt CO</w:t>
      </w:r>
      <w:r w:rsidRPr="0048328C">
        <w:rPr>
          <w:i/>
          <w:szCs w:val="22"/>
          <w:vertAlign w:val="subscript"/>
        </w:rPr>
        <w:t>2</w:t>
      </w:r>
      <w:r w:rsidRPr="0048328C">
        <w:rPr>
          <w:i/>
          <w:szCs w:val="22"/>
        </w:rPr>
        <w:t>e</w:t>
      </w:r>
      <w:r w:rsidRPr="0048328C">
        <w:rPr>
          <w:szCs w:val="22"/>
        </w:rPr>
        <w:t xml:space="preserve">) and was estimated to emit a total of about </w:t>
      </w:r>
      <w:r w:rsidR="008E0071" w:rsidRPr="00E418B7">
        <w:rPr>
          <w:szCs w:val="22"/>
        </w:rPr>
        <w:t>6.</w:t>
      </w:r>
      <w:r w:rsidR="00470E87" w:rsidRPr="00E418B7">
        <w:rPr>
          <w:szCs w:val="22"/>
        </w:rPr>
        <w:t>4</w:t>
      </w:r>
      <w:r w:rsidRPr="00E418B7">
        <w:rPr>
          <w:szCs w:val="22"/>
        </w:rPr>
        <w:t xml:space="preserve"> million tonnes </w:t>
      </w:r>
      <w:r w:rsidRPr="0048328C">
        <w:rPr>
          <w:szCs w:val="22"/>
        </w:rPr>
        <w:t>of CO</w:t>
      </w:r>
      <w:r w:rsidRPr="0048328C">
        <w:rPr>
          <w:szCs w:val="22"/>
          <w:vertAlign w:val="subscript"/>
        </w:rPr>
        <w:t>2</w:t>
      </w:r>
      <w:r>
        <w:rPr>
          <w:szCs w:val="22"/>
        </w:rPr>
        <w:t>e</w:t>
      </w:r>
      <w:r w:rsidRPr="0048328C">
        <w:rPr>
          <w:szCs w:val="22"/>
        </w:rPr>
        <w:t xml:space="preserve"> to the atmosphere</w:t>
      </w:r>
      <w:r>
        <w:rPr>
          <w:szCs w:val="22"/>
        </w:rPr>
        <w:t xml:space="preserve"> in 2016</w:t>
      </w:r>
      <w:r w:rsidR="00DF372F">
        <w:rPr>
          <w:szCs w:val="22"/>
        </w:rPr>
        <w:t xml:space="preserve"> </w:t>
      </w:r>
      <w:r w:rsidR="00DF372F" w:rsidRPr="00B37CFE">
        <w:rPr>
          <w:szCs w:val="22"/>
        </w:rPr>
        <w:t>(</w:t>
      </w:r>
      <w:r w:rsidR="00DF372F" w:rsidRPr="00B37CFE">
        <w:rPr>
          <w:i/>
          <w:szCs w:val="22"/>
        </w:rPr>
        <w:t>CHF2 – 5.4 million tonnes)</w:t>
      </w:r>
      <w:r w:rsidRPr="0048328C">
        <w:rPr>
          <w:szCs w:val="22"/>
        </w:rPr>
        <w:t xml:space="preserve">. </w:t>
      </w:r>
    </w:p>
    <w:p w14:paraId="0125443A" w14:textId="0E75FA1F" w:rsidR="00650D66" w:rsidRDefault="00650D66" w:rsidP="0054235D">
      <w:pPr>
        <w:rPr>
          <w:szCs w:val="22"/>
        </w:rPr>
      </w:pPr>
      <w:r w:rsidRPr="00B37CFE">
        <w:rPr>
          <w:szCs w:val="22"/>
        </w:rPr>
        <w:t xml:space="preserve">The 2016 emissions were as a result of direct losses of some 3,300 </w:t>
      </w:r>
      <w:r w:rsidR="00F675EB">
        <w:rPr>
          <w:szCs w:val="22"/>
        </w:rPr>
        <w:t xml:space="preserve">metric </w:t>
      </w:r>
      <w:r w:rsidRPr="00B37CFE">
        <w:rPr>
          <w:szCs w:val="22"/>
        </w:rPr>
        <w:t xml:space="preserve">tonnes of refrigerant from operating equipment and the supply lines that service that equipment, the equivalent of </w:t>
      </w:r>
      <w:r w:rsidR="00DF372F" w:rsidRPr="00E0585B">
        <w:rPr>
          <w:szCs w:val="22"/>
        </w:rPr>
        <w:t>6.4</w:t>
      </w:r>
      <w:r w:rsidRPr="00E0585B">
        <w:rPr>
          <w:szCs w:val="22"/>
        </w:rPr>
        <w:t xml:space="preserve"> million</w:t>
      </w:r>
      <w:r w:rsidRPr="00B37CFE">
        <w:rPr>
          <w:szCs w:val="22"/>
        </w:rPr>
        <w:t xml:space="preserve"> tonnes of CO</w:t>
      </w:r>
      <w:r w:rsidRPr="00B37CFE">
        <w:rPr>
          <w:szCs w:val="22"/>
          <w:vertAlign w:val="subscript"/>
        </w:rPr>
        <w:t>2</w:t>
      </w:r>
      <w:r w:rsidRPr="00B37CFE">
        <w:rPr>
          <w:szCs w:val="22"/>
        </w:rPr>
        <w:t xml:space="preserve">. A further 1,900 metric tonnes of refrigerant, the equivalent of </w:t>
      </w:r>
      <w:r w:rsidRPr="00E0585B">
        <w:rPr>
          <w:szCs w:val="22"/>
        </w:rPr>
        <w:t>3.6 million</w:t>
      </w:r>
      <w:r w:rsidRPr="00B37CFE">
        <w:rPr>
          <w:szCs w:val="22"/>
        </w:rPr>
        <w:t xml:space="preserve"> tonnes of CO</w:t>
      </w:r>
      <w:r w:rsidRPr="00B37CFE">
        <w:rPr>
          <w:szCs w:val="22"/>
          <w:vertAlign w:val="subscript"/>
        </w:rPr>
        <w:t>2</w:t>
      </w:r>
      <w:r w:rsidRPr="00B37CFE">
        <w:rPr>
          <w:szCs w:val="22"/>
        </w:rPr>
        <w:t xml:space="preserve"> (</w:t>
      </w:r>
      <w:r w:rsidRPr="00B37CFE">
        <w:rPr>
          <w:i/>
          <w:szCs w:val="22"/>
        </w:rPr>
        <w:t>CHF2 – 2.8 million tonnes</w:t>
      </w:r>
      <w:r w:rsidRPr="00B37CFE">
        <w:rPr>
          <w:szCs w:val="22"/>
        </w:rPr>
        <w:t xml:space="preserve">) is lost to air </w:t>
      </w:r>
      <w:r w:rsidR="00353646">
        <w:rPr>
          <w:szCs w:val="22"/>
        </w:rPr>
        <w:t xml:space="preserve">or recovered </w:t>
      </w:r>
      <w:r w:rsidRPr="00B37CFE">
        <w:rPr>
          <w:szCs w:val="22"/>
        </w:rPr>
        <w:t>from equipment at the end of its service life.</w:t>
      </w:r>
      <w:r w:rsidR="00353646">
        <w:rPr>
          <w:szCs w:val="22"/>
        </w:rPr>
        <w:t xml:space="preserve"> Of the refrigerant </w:t>
      </w:r>
      <w:r w:rsidR="00353646" w:rsidRPr="00045F0E">
        <w:rPr>
          <w:szCs w:val="22"/>
        </w:rPr>
        <w:t xml:space="preserve">recovered, 210 </w:t>
      </w:r>
      <w:r w:rsidR="00F675EB">
        <w:rPr>
          <w:szCs w:val="22"/>
        </w:rPr>
        <w:t xml:space="preserve">metric </w:t>
      </w:r>
      <w:r w:rsidR="00353646" w:rsidRPr="00045F0E">
        <w:rPr>
          <w:szCs w:val="22"/>
        </w:rPr>
        <w:t xml:space="preserve">tonnes </w:t>
      </w:r>
      <w:r w:rsidR="00045F0E" w:rsidRPr="00045F0E">
        <w:rPr>
          <w:szCs w:val="22"/>
        </w:rPr>
        <w:t>of HCFC-22, the equivalent of 0.38 million tonnes of CO</w:t>
      </w:r>
      <w:r w:rsidR="00045F0E" w:rsidRPr="00045F0E">
        <w:rPr>
          <w:szCs w:val="22"/>
          <w:vertAlign w:val="subscript"/>
        </w:rPr>
        <w:t>2</w:t>
      </w:r>
      <w:r w:rsidR="00045F0E" w:rsidRPr="00045F0E">
        <w:rPr>
          <w:szCs w:val="22"/>
        </w:rPr>
        <w:t xml:space="preserve"> </w:t>
      </w:r>
      <w:r w:rsidR="00353646" w:rsidRPr="00045F0E">
        <w:rPr>
          <w:szCs w:val="22"/>
        </w:rPr>
        <w:t>was reclaimed to AHRI 700 standard and resold in 2016</w:t>
      </w:r>
      <w:r w:rsidR="00045F0E" w:rsidRPr="00045F0E">
        <w:rPr>
          <w:szCs w:val="22"/>
        </w:rPr>
        <w:t xml:space="preserve">. A further </w:t>
      </w:r>
      <w:r w:rsidR="00870552" w:rsidRPr="00045F0E">
        <w:rPr>
          <w:szCs w:val="22"/>
        </w:rPr>
        <w:t xml:space="preserve">350 </w:t>
      </w:r>
      <w:r w:rsidR="00F675EB">
        <w:rPr>
          <w:szCs w:val="22"/>
        </w:rPr>
        <w:t xml:space="preserve">metric </w:t>
      </w:r>
      <w:r w:rsidR="00045F0E" w:rsidRPr="00045F0E">
        <w:rPr>
          <w:szCs w:val="22"/>
        </w:rPr>
        <w:t xml:space="preserve">tonnes of CFCs, HCFCs and HFCs, the equivalent </w:t>
      </w:r>
      <w:r w:rsidR="00AD554E">
        <w:rPr>
          <w:szCs w:val="22"/>
        </w:rPr>
        <w:t xml:space="preserve">of </w:t>
      </w:r>
      <w:r w:rsidR="00045F0E" w:rsidRPr="00045F0E">
        <w:rPr>
          <w:szCs w:val="22"/>
        </w:rPr>
        <w:t>0.75 million tonnes of CO</w:t>
      </w:r>
      <w:r w:rsidR="00045F0E" w:rsidRPr="00045F0E">
        <w:rPr>
          <w:szCs w:val="22"/>
          <w:vertAlign w:val="subscript"/>
        </w:rPr>
        <w:t>2</w:t>
      </w:r>
      <w:r w:rsidR="00045F0E" w:rsidRPr="00045F0E">
        <w:rPr>
          <w:szCs w:val="22"/>
        </w:rPr>
        <w:t xml:space="preserve"> was </w:t>
      </w:r>
      <w:r w:rsidR="00367DAC" w:rsidRPr="00045F0E">
        <w:rPr>
          <w:szCs w:val="22"/>
        </w:rPr>
        <w:t>sent for destruction</w:t>
      </w:r>
      <w:r w:rsidR="003E47FD" w:rsidRPr="00045F0E">
        <w:rPr>
          <w:szCs w:val="22"/>
        </w:rPr>
        <w:t xml:space="preserve"> </w:t>
      </w:r>
      <w:r w:rsidR="00870552" w:rsidRPr="00045F0E">
        <w:rPr>
          <w:szCs w:val="22"/>
        </w:rPr>
        <w:t>by R</w:t>
      </w:r>
      <w:r w:rsidR="00045F0E" w:rsidRPr="00045F0E">
        <w:rPr>
          <w:szCs w:val="22"/>
        </w:rPr>
        <w:t xml:space="preserve">efrigerant </w:t>
      </w:r>
      <w:r w:rsidR="00870552" w:rsidRPr="00045F0E">
        <w:rPr>
          <w:szCs w:val="22"/>
        </w:rPr>
        <w:t>R</w:t>
      </w:r>
      <w:r w:rsidR="00045F0E" w:rsidRPr="00045F0E">
        <w:rPr>
          <w:szCs w:val="22"/>
        </w:rPr>
        <w:t xml:space="preserve">eclaim </w:t>
      </w:r>
      <w:r w:rsidR="00870552" w:rsidRPr="00045F0E">
        <w:rPr>
          <w:szCs w:val="22"/>
        </w:rPr>
        <w:t>A</w:t>
      </w:r>
      <w:r w:rsidR="00045F0E" w:rsidRPr="00045F0E">
        <w:rPr>
          <w:szCs w:val="22"/>
        </w:rPr>
        <w:t>ustralia</w:t>
      </w:r>
      <w:r w:rsidR="00870552" w:rsidRPr="00045F0E">
        <w:rPr>
          <w:szCs w:val="22"/>
        </w:rPr>
        <w:t xml:space="preserve"> </w:t>
      </w:r>
      <w:r w:rsidR="003E47FD" w:rsidRPr="00045F0E">
        <w:rPr>
          <w:szCs w:val="22"/>
        </w:rPr>
        <w:t>in 2016</w:t>
      </w:r>
      <w:r w:rsidR="00353646" w:rsidRPr="00045F0E">
        <w:rPr>
          <w:szCs w:val="22"/>
        </w:rPr>
        <w:t>.</w:t>
      </w:r>
      <w:r w:rsidR="00045F0E">
        <w:rPr>
          <w:rStyle w:val="FootnoteReference"/>
          <w:szCs w:val="22"/>
        </w:rPr>
        <w:footnoteReference w:id="42"/>
      </w:r>
    </w:p>
    <w:p w14:paraId="0DB71268" w14:textId="00ABE757" w:rsidR="00650D66" w:rsidRDefault="00650D66" w:rsidP="0054235D">
      <w:pPr>
        <w:rPr>
          <w:szCs w:val="22"/>
        </w:rPr>
      </w:pPr>
      <w:r>
        <w:rPr>
          <w:szCs w:val="22"/>
        </w:rPr>
        <w:t xml:space="preserve">Greenhouse gas emissions of the refrigerants employed in the stock of equipment are equal to only about </w:t>
      </w:r>
      <w:r w:rsidR="008E0071" w:rsidRPr="00EA2C32">
        <w:rPr>
          <w:szCs w:val="22"/>
        </w:rPr>
        <w:t>10.</w:t>
      </w:r>
      <w:r w:rsidR="00EA2C32" w:rsidRPr="00EA2C32">
        <w:rPr>
          <w:szCs w:val="22"/>
        </w:rPr>
        <w:t>8</w:t>
      </w:r>
      <w:r w:rsidRPr="00EA2C32">
        <w:rPr>
          <w:szCs w:val="22"/>
        </w:rPr>
        <w:t>% of the</w:t>
      </w:r>
      <w:r>
        <w:rPr>
          <w:szCs w:val="22"/>
        </w:rPr>
        <w:t xml:space="preserve"> total energy</w:t>
      </w:r>
      <w:r w:rsidR="00472A27">
        <w:rPr>
          <w:szCs w:val="22"/>
        </w:rPr>
        <w:t>-</w:t>
      </w:r>
      <w:r>
        <w:rPr>
          <w:szCs w:val="22"/>
        </w:rPr>
        <w:t xml:space="preserve">related emissions created by the stock of equipment as a result of electricity consumed to deliver cooling services. Energy related emissions are discussed in greater detail in </w:t>
      </w:r>
      <w:r w:rsidRPr="00EA2C32">
        <w:rPr>
          <w:i/>
          <w:szCs w:val="22"/>
        </w:rPr>
        <w:t xml:space="preserve">Section </w:t>
      </w:r>
      <w:r w:rsidR="00EA2C32">
        <w:rPr>
          <w:i/>
          <w:szCs w:val="22"/>
        </w:rPr>
        <w:t xml:space="preserve">9: </w:t>
      </w:r>
      <w:r w:rsidR="00EA2C32" w:rsidRPr="00EA2C32">
        <w:rPr>
          <w:i/>
          <w:szCs w:val="22"/>
        </w:rPr>
        <w:t>Energy and indirect emissions</w:t>
      </w:r>
      <w:r>
        <w:rPr>
          <w:szCs w:val="22"/>
        </w:rPr>
        <w:t>.</w:t>
      </w:r>
    </w:p>
    <w:p w14:paraId="68927C1F" w14:textId="77777777" w:rsidR="00650D66" w:rsidRDefault="00650D66" w:rsidP="00650D66">
      <w:pPr>
        <w:rPr>
          <w:szCs w:val="22"/>
        </w:rPr>
      </w:pPr>
    </w:p>
    <w:p w14:paraId="47262591" w14:textId="77777777" w:rsidR="002103FB" w:rsidRDefault="002103FB">
      <w:pPr>
        <w:spacing w:before="0"/>
        <w:jc w:val="left"/>
        <w:rPr>
          <w:rFonts w:ascii="Calibri" w:eastAsia="Times New Roman" w:hAnsi="Calibri" w:cs="Times New Roman"/>
          <w:b/>
          <w:bCs/>
          <w:i/>
          <w:iCs/>
          <w:sz w:val="28"/>
          <w:szCs w:val="28"/>
          <w:lang w:val="en-US"/>
        </w:rPr>
      </w:pPr>
      <w:r>
        <w:br w:type="page"/>
      </w:r>
    </w:p>
    <w:p w14:paraId="4349CF23" w14:textId="780DDEB8" w:rsidR="00650D66" w:rsidRPr="00EC56EB" w:rsidRDefault="00650D66" w:rsidP="006C6667">
      <w:pPr>
        <w:pStyle w:val="Heading2"/>
      </w:pPr>
      <w:bookmarkStart w:id="68" w:name="_Toc525141273"/>
      <w:r w:rsidRPr="00EC56EB">
        <w:t xml:space="preserve">Bank by </w:t>
      </w:r>
      <w:r w:rsidR="00C56F79">
        <w:t>c</w:t>
      </w:r>
      <w:r w:rsidRPr="00EC56EB">
        <w:t xml:space="preserve">lass of </w:t>
      </w:r>
      <w:r w:rsidR="00C56F79">
        <w:t>e</w:t>
      </w:r>
      <w:r w:rsidRPr="00EC56EB">
        <w:t>quipment</w:t>
      </w:r>
      <w:bookmarkEnd w:id="68"/>
    </w:p>
    <w:p w14:paraId="7A264470" w14:textId="5DD6ACBA" w:rsidR="00FF1430" w:rsidRDefault="00650D66" w:rsidP="00650D66">
      <w:pPr>
        <w:spacing w:before="60"/>
        <w:rPr>
          <w:szCs w:val="22"/>
        </w:rPr>
      </w:pPr>
      <w:r w:rsidRPr="002744A2">
        <w:rPr>
          <w:szCs w:val="22"/>
        </w:rPr>
        <w:t>Th</w:t>
      </w:r>
      <w:r>
        <w:rPr>
          <w:szCs w:val="22"/>
        </w:rPr>
        <w:t>e</w:t>
      </w:r>
      <w:r w:rsidRPr="002744A2">
        <w:rPr>
          <w:szCs w:val="22"/>
        </w:rPr>
        <w:t xml:space="preserve"> distribution of the bank o</w:t>
      </w:r>
      <w:r>
        <w:rPr>
          <w:szCs w:val="22"/>
        </w:rPr>
        <w:t>f</w:t>
      </w:r>
      <w:r w:rsidRPr="002744A2">
        <w:rPr>
          <w:szCs w:val="22"/>
        </w:rPr>
        <w:t xml:space="preserve"> working </w:t>
      </w:r>
      <w:r w:rsidR="009B7B9F">
        <w:rPr>
          <w:szCs w:val="22"/>
        </w:rPr>
        <w:t>refrigerants</w:t>
      </w:r>
      <w:r w:rsidR="009B7B9F" w:rsidRPr="002744A2">
        <w:rPr>
          <w:szCs w:val="22"/>
        </w:rPr>
        <w:t xml:space="preserve"> </w:t>
      </w:r>
      <w:r w:rsidRPr="002744A2">
        <w:rPr>
          <w:szCs w:val="22"/>
        </w:rPr>
        <w:t xml:space="preserve">across the major classes of equipment </w:t>
      </w:r>
      <w:r>
        <w:rPr>
          <w:szCs w:val="22"/>
        </w:rPr>
        <w:t>illustrates the predominance of air conditioning services delivered, with Stationary AC employing 6</w:t>
      </w:r>
      <w:r w:rsidR="00595DEE">
        <w:rPr>
          <w:szCs w:val="22"/>
        </w:rPr>
        <w:t>1</w:t>
      </w:r>
      <w:r>
        <w:rPr>
          <w:szCs w:val="22"/>
        </w:rPr>
        <w:t>% of the total bank, and Mobile AC a further 21%.</w:t>
      </w:r>
    </w:p>
    <w:p w14:paraId="503C21FC" w14:textId="77777777" w:rsidR="002D62EB" w:rsidRDefault="002D62EB" w:rsidP="002D62EB">
      <w:pPr>
        <w:rPr>
          <w:szCs w:val="22"/>
        </w:rPr>
      </w:pP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2D62EB" w:rsidRPr="005D159D" w14:paraId="041A45B9" w14:textId="77777777" w:rsidTr="00EB5196">
        <w:tc>
          <w:tcPr>
            <w:tcW w:w="9716" w:type="dxa"/>
            <w:vAlign w:val="center"/>
          </w:tcPr>
          <w:p w14:paraId="2DF0A5ED" w14:textId="17D681AA" w:rsidR="002D62EB" w:rsidRPr="005D159D" w:rsidRDefault="002D62EB" w:rsidP="00EB5196">
            <w:pPr>
              <w:spacing w:after="120"/>
              <w:jc w:val="center"/>
              <w:rPr>
                <w:b/>
                <w:sz w:val="24"/>
              </w:rPr>
            </w:pPr>
            <w:r w:rsidRPr="005D159D">
              <w:rPr>
                <w:b/>
                <w:sz w:val="24"/>
              </w:rPr>
              <w:br w:type="page"/>
            </w:r>
            <w:r w:rsidR="005631FA">
              <w:rPr>
                <w:b/>
                <w:sz w:val="24"/>
              </w:rPr>
              <w:t>2016 Bank by class of e</w:t>
            </w:r>
            <w:r w:rsidRPr="002D62EB">
              <w:rPr>
                <w:b/>
                <w:sz w:val="24"/>
              </w:rPr>
              <w:t xml:space="preserve">quipment </w:t>
            </w:r>
            <w:r w:rsidR="005631FA">
              <w:rPr>
                <w:b/>
                <w:sz w:val="24"/>
              </w:rPr>
              <w:t>(t</w:t>
            </w:r>
            <w:r>
              <w:rPr>
                <w:b/>
                <w:sz w:val="24"/>
              </w:rPr>
              <w:t>onnes and %)</w:t>
            </w:r>
          </w:p>
        </w:tc>
      </w:tr>
      <w:tr w:rsidR="002D62EB" w:rsidRPr="00BD20BC" w14:paraId="364F95FE" w14:textId="77777777" w:rsidTr="002D62EB">
        <w:tc>
          <w:tcPr>
            <w:tcW w:w="9716" w:type="dxa"/>
            <w:vAlign w:val="center"/>
          </w:tcPr>
          <w:p w14:paraId="7EF18EC3" w14:textId="77777777" w:rsidR="002D62EB" w:rsidRDefault="002D62EB" w:rsidP="00EB5196">
            <w:pPr>
              <w:spacing w:before="60" w:after="60"/>
              <w:jc w:val="center"/>
              <w:rPr>
                <w:sz w:val="16"/>
                <w:szCs w:val="16"/>
              </w:rPr>
            </w:pPr>
          </w:p>
          <w:p w14:paraId="13FED6C3" w14:textId="09F65654" w:rsidR="002D62EB" w:rsidRDefault="002D62EB" w:rsidP="00EB5196">
            <w:pPr>
              <w:spacing w:before="60" w:after="60"/>
              <w:jc w:val="center"/>
              <w:rPr>
                <w:sz w:val="16"/>
                <w:szCs w:val="16"/>
              </w:rPr>
            </w:pPr>
            <w:r>
              <w:rPr>
                <w:noProof/>
                <w:lang w:val="en-AU" w:eastAsia="en-AU"/>
              </w:rPr>
              <w:drawing>
                <wp:inline distT="0" distB="0" distL="0" distR="0" wp14:anchorId="4A5A94CE" wp14:editId="6DC1C0CC">
                  <wp:extent cx="4422024" cy="40970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7571" cy="4102159"/>
                          </a:xfrm>
                          <a:prstGeom prst="rect">
                            <a:avLst/>
                          </a:prstGeom>
                        </pic:spPr>
                      </pic:pic>
                    </a:graphicData>
                  </a:graphic>
                </wp:inline>
              </w:drawing>
            </w:r>
          </w:p>
          <w:p w14:paraId="3281BD80" w14:textId="77777777" w:rsidR="002D62EB" w:rsidRPr="00BD20BC" w:rsidRDefault="002D62EB" w:rsidP="00EB5196">
            <w:pPr>
              <w:spacing w:before="60" w:after="60"/>
              <w:jc w:val="center"/>
              <w:rPr>
                <w:sz w:val="16"/>
                <w:szCs w:val="16"/>
              </w:rPr>
            </w:pPr>
          </w:p>
        </w:tc>
      </w:tr>
      <w:tr w:rsidR="002D62EB" w:rsidRPr="00573A8B" w14:paraId="18D80B18" w14:textId="77777777" w:rsidTr="00EB5196">
        <w:tc>
          <w:tcPr>
            <w:tcW w:w="9716" w:type="dxa"/>
            <w:vAlign w:val="center"/>
          </w:tcPr>
          <w:p w14:paraId="2639F77C" w14:textId="0D2B0553" w:rsidR="002D62EB" w:rsidRPr="00BB16C6" w:rsidRDefault="00BB16C6" w:rsidP="00BB16C6">
            <w:pPr>
              <w:pStyle w:val="Caption"/>
              <w:rPr>
                <w:szCs w:val="22"/>
              </w:rPr>
            </w:pPr>
            <w:bookmarkStart w:id="69" w:name="_Toc525141339"/>
            <w:r w:rsidRPr="00BB16C6">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8</w:t>
            </w:r>
            <w:r w:rsidR="009D6843">
              <w:rPr>
                <w:noProof/>
              </w:rPr>
              <w:fldChar w:fldCharType="end"/>
            </w:r>
            <w:r w:rsidR="002D62EB" w:rsidRPr="00BB16C6">
              <w:rPr>
                <w:szCs w:val="22"/>
              </w:rPr>
              <w:t xml:space="preserve">: </w:t>
            </w:r>
            <w:r w:rsidR="005631FA" w:rsidRPr="00BB16C6">
              <w:rPr>
                <w:szCs w:val="22"/>
              </w:rPr>
              <w:t>Bank of refrigerants by c</w:t>
            </w:r>
            <w:r w:rsidR="002D62EB" w:rsidRPr="00BB16C6">
              <w:rPr>
                <w:szCs w:val="22"/>
              </w:rPr>
              <w:t xml:space="preserve">lass of </w:t>
            </w:r>
            <w:r w:rsidR="005631FA" w:rsidRPr="00BB16C6">
              <w:rPr>
                <w:szCs w:val="22"/>
              </w:rPr>
              <w:t>e</w:t>
            </w:r>
            <w:r w:rsidR="002D62EB" w:rsidRPr="00BB16C6">
              <w:rPr>
                <w:szCs w:val="22"/>
              </w:rPr>
              <w:t>quipment 2016 in tonnes and per cent.</w:t>
            </w:r>
            <w:bookmarkEnd w:id="69"/>
          </w:p>
        </w:tc>
      </w:tr>
    </w:tbl>
    <w:p w14:paraId="332E504A" w14:textId="7ECCA72D" w:rsidR="002D62EB" w:rsidRDefault="002D62EB" w:rsidP="002D62EB">
      <w:pPr>
        <w:spacing w:before="0"/>
        <w:rPr>
          <w:sz w:val="20"/>
          <w:szCs w:val="20"/>
        </w:rPr>
      </w:pPr>
      <w:r w:rsidRPr="00116557">
        <w:rPr>
          <w:sz w:val="20"/>
          <w:szCs w:val="20"/>
        </w:rPr>
        <w:t>(Sources:</w:t>
      </w:r>
      <w:r>
        <w:rPr>
          <w:sz w:val="20"/>
          <w:szCs w:val="20"/>
        </w:rPr>
        <w:t xml:space="preserve"> </w:t>
      </w:r>
      <w:r w:rsidR="00332F83">
        <w:rPr>
          <w:sz w:val="20"/>
          <w:szCs w:val="20"/>
        </w:rPr>
        <w:t xml:space="preserve">CHF3 </w:t>
      </w:r>
      <w:r w:rsidR="00941BA9">
        <w:rPr>
          <w:sz w:val="20"/>
          <w:szCs w:val="20"/>
        </w:rPr>
        <w:t xml:space="preserve">RAC </w:t>
      </w:r>
      <w:r w:rsidR="00332F83">
        <w:rPr>
          <w:sz w:val="20"/>
          <w:szCs w:val="20"/>
        </w:rPr>
        <w:t>Stock model</w:t>
      </w:r>
      <w:r>
        <w:rPr>
          <w:sz w:val="20"/>
          <w:szCs w:val="20"/>
        </w:rPr>
        <w:t xml:space="preserve">) </w:t>
      </w:r>
    </w:p>
    <w:p w14:paraId="12CB060B" w14:textId="3AF84350" w:rsidR="002D62EB" w:rsidRDefault="002D62EB" w:rsidP="002D62EB">
      <w:pPr>
        <w:snapToGrid w:val="0"/>
        <w:rPr>
          <w:szCs w:val="22"/>
        </w:rPr>
      </w:pPr>
    </w:p>
    <w:p w14:paraId="4B9B75FE" w14:textId="33464C28" w:rsidR="00650D66" w:rsidRDefault="00650D66" w:rsidP="002D62EB">
      <w:pPr>
        <w:snapToGrid w:val="0"/>
        <w:rPr>
          <w:szCs w:val="22"/>
        </w:rPr>
      </w:pPr>
      <w:r>
        <w:rPr>
          <w:szCs w:val="22"/>
        </w:rPr>
        <w:t>The bank in MAC is unchanged from the proportion it held in 2012 (</w:t>
      </w:r>
      <w:r w:rsidRPr="00852495">
        <w:rPr>
          <w:i/>
          <w:szCs w:val="22"/>
        </w:rPr>
        <w:t>CHF2 21%</w:t>
      </w:r>
      <w:r>
        <w:rPr>
          <w:szCs w:val="22"/>
        </w:rPr>
        <w:t xml:space="preserve">). </w:t>
      </w:r>
      <w:r w:rsidRPr="002744A2">
        <w:rPr>
          <w:szCs w:val="22"/>
        </w:rPr>
        <w:t xml:space="preserve">This </w:t>
      </w:r>
      <w:r>
        <w:rPr>
          <w:szCs w:val="22"/>
        </w:rPr>
        <w:t xml:space="preserve">refrigerant </w:t>
      </w:r>
      <w:r w:rsidRPr="002744A2">
        <w:rPr>
          <w:szCs w:val="22"/>
        </w:rPr>
        <w:t xml:space="preserve">is predominantly contained in a rolling stock </w:t>
      </w:r>
      <w:r w:rsidRPr="00DE2304">
        <w:rPr>
          <w:szCs w:val="22"/>
        </w:rPr>
        <w:t>of around 18 million registered vehicles of all types containing HFC-134a (</w:t>
      </w:r>
      <w:r w:rsidRPr="00357E57">
        <w:rPr>
          <w:szCs w:val="22"/>
        </w:rPr>
        <w:t>ABS 9309.0 2017</w:t>
      </w:r>
      <w:r w:rsidRPr="00DE2304">
        <w:rPr>
          <w:szCs w:val="22"/>
        </w:rPr>
        <w:t>).</w:t>
      </w:r>
      <w:r w:rsidRPr="002744A2">
        <w:rPr>
          <w:szCs w:val="22"/>
        </w:rPr>
        <w:t xml:space="preserve"> </w:t>
      </w:r>
    </w:p>
    <w:p w14:paraId="260A7741" w14:textId="0635903B" w:rsidR="00650D66" w:rsidRDefault="00650D66" w:rsidP="002D62EB">
      <w:pPr>
        <w:snapToGrid w:val="0"/>
        <w:rPr>
          <w:szCs w:val="22"/>
        </w:rPr>
      </w:pPr>
      <w:r>
        <w:rPr>
          <w:szCs w:val="22"/>
        </w:rPr>
        <w:t>The fact that MAC systems make up a similar proportion of the total bank in 2016 as compared to 2012 should not disguise the absolute growth in volumes with more than 1.1 million new vehicles being sold every year in the period, more than offsetting the estimated annual vehicle ret</w:t>
      </w:r>
      <w:r w:rsidR="00C46EC7">
        <w:rPr>
          <w:szCs w:val="22"/>
        </w:rPr>
        <w:t>irements of around 71</w:t>
      </w:r>
      <w:r w:rsidR="00154992">
        <w:rPr>
          <w:szCs w:val="22"/>
        </w:rPr>
        <w:t>5</w:t>
      </w:r>
      <w:r w:rsidR="00C46EC7">
        <w:rPr>
          <w:szCs w:val="22"/>
        </w:rPr>
        <w:t xml:space="preserve">,000 to </w:t>
      </w:r>
      <w:r w:rsidR="00154992">
        <w:rPr>
          <w:szCs w:val="22"/>
        </w:rPr>
        <w:t>800</w:t>
      </w:r>
      <w:r>
        <w:rPr>
          <w:szCs w:val="22"/>
        </w:rPr>
        <w:t>,000</w:t>
      </w:r>
      <w:r w:rsidR="00C46EC7">
        <w:rPr>
          <w:rStyle w:val="FootnoteReference"/>
          <w:szCs w:val="22"/>
        </w:rPr>
        <w:footnoteReference w:id="43"/>
      </w:r>
      <w:r>
        <w:rPr>
          <w:szCs w:val="22"/>
        </w:rPr>
        <w:t xml:space="preserve"> vehicles per annum in the period</w:t>
      </w:r>
      <w:r w:rsidRPr="002744A2">
        <w:rPr>
          <w:szCs w:val="22"/>
        </w:rPr>
        <w:t xml:space="preserve">. </w:t>
      </w:r>
    </w:p>
    <w:p w14:paraId="2C94CBB2" w14:textId="2C6A047C" w:rsidR="00154992" w:rsidRDefault="00154992" w:rsidP="00154992">
      <w:pPr>
        <w:snapToGrid w:val="0"/>
        <w:rPr>
          <w:szCs w:val="22"/>
        </w:rPr>
      </w:pPr>
      <w:r>
        <w:rPr>
          <w:szCs w:val="22"/>
        </w:rPr>
        <w:t>The MAC contribution to the bank is expected to change as vehicle manufacture</w:t>
      </w:r>
      <w:r w:rsidR="00472A27">
        <w:rPr>
          <w:szCs w:val="22"/>
        </w:rPr>
        <w:t>r</w:t>
      </w:r>
      <w:r>
        <w:rPr>
          <w:szCs w:val="22"/>
        </w:rPr>
        <w:t>s move to the use of HFOs or carbon dioxide in MAC and decreasing charge sizes. However, HFOs will take some years to replace HFCs in the majority of MAC. With the 2017 closure of the last car manufacturer in Australia,</w:t>
      </w:r>
      <w:r w:rsidR="00FE74F2">
        <w:rPr>
          <w:szCs w:val="22"/>
        </w:rPr>
        <w:t xml:space="preserve"> more</w:t>
      </w:r>
      <w:r>
        <w:rPr>
          <w:szCs w:val="22"/>
        </w:rPr>
        <w:t xml:space="preserve"> cars will be imported in coming years increasing the overall pre-charged equipment contribution to the bank, while bulk imports will be reduced by 160 tonnes.</w:t>
      </w:r>
    </w:p>
    <w:p w14:paraId="294911EF" w14:textId="07AFF6A4" w:rsidR="00650D66" w:rsidRDefault="00650D66" w:rsidP="002D62EB">
      <w:pPr>
        <w:snapToGrid w:val="0"/>
        <w:rPr>
          <w:szCs w:val="22"/>
        </w:rPr>
      </w:pPr>
      <w:r w:rsidRPr="002744A2">
        <w:rPr>
          <w:szCs w:val="22"/>
        </w:rPr>
        <w:t>The refrigerated cold food chain</w:t>
      </w:r>
      <w:r>
        <w:rPr>
          <w:szCs w:val="22"/>
        </w:rPr>
        <w:t>, which was historically the very reason that refrigeration technology was developed in the late 19</w:t>
      </w:r>
      <w:r w:rsidRPr="00C22AB4">
        <w:rPr>
          <w:szCs w:val="22"/>
          <w:vertAlign w:val="superscript"/>
        </w:rPr>
        <w:t>th</w:t>
      </w:r>
      <w:r>
        <w:rPr>
          <w:szCs w:val="22"/>
        </w:rPr>
        <w:t xml:space="preserve"> century, now</w:t>
      </w:r>
      <w:r w:rsidRPr="002744A2">
        <w:rPr>
          <w:szCs w:val="22"/>
        </w:rPr>
        <w:t xml:space="preserve"> accounts for </w:t>
      </w:r>
      <w:r w:rsidRPr="00DE2304">
        <w:rPr>
          <w:szCs w:val="22"/>
        </w:rPr>
        <w:t>14</w:t>
      </w:r>
      <w:r w:rsidR="00AF7054">
        <w:rPr>
          <w:szCs w:val="22"/>
        </w:rPr>
        <w:t>%</w:t>
      </w:r>
      <w:r w:rsidRPr="002744A2">
        <w:rPr>
          <w:szCs w:val="22"/>
        </w:rPr>
        <w:t xml:space="preserve"> of the total refrigerant bank</w:t>
      </w:r>
      <w:r>
        <w:rPr>
          <w:szCs w:val="22"/>
        </w:rPr>
        <w:t xml:space="preserve"> (</w:t>
      </w:r>
      <w:r w:rsidRPr="00852495">
        <w:rPr>
          <w:i/>
          <w:szCs w:val="22"/>
        </w:rPr>
        <w:t>CHF2 11%</w:t>
      </w:r>
      <w:r>
        <w:rPr>
          <w:szCs w:val="22"/>
        </w:rPr>
        <w:t>)</w:t>
      </w:r>
      <w:r w:rsidRPr="002744A2">
        <w:rPr>
          <w:szCs w:val="22"/>
        </w:rPr>
        <w:t xml:space="preserve">, with domestic refrigerators and freezers containing a further </w:t>
      </w:r>
      <w:r>
        <w:rPr>
          <w:szCs w:val="22"/>
        </w:rPr>
        <w:t>4% (</w:t>
      </w:r>
      <w:r w:rsidRPr="00852495">
        <w:rPr>
          <w:i/>
          <w:szCs w:val="22"/>
        </w:rPr>
        <w:t>CHF2 5%</w:t>
      </w:r>
      <w:r>
        <w:rPr>
          <w:szCs w:val="22"/>
        </w:rPr>
        <w:t>)</w:t>
      </w:r>
      <w:r w:rsidRPr="002744A2">
        <w:rPr>
          <w:szCs w:val="22"/>
        </w:rPr>
        <w:t>. Thus, all the refrigeration equipment essential in the transport and maintenance of food supplies and food quality</w:t>
      </w:r>
      <w:r>
        <w:rPr>
          <w:szCs w:val="22"/>
        </w:rPr>
        <w:t xml:space="preserve"> from farm paddock to household kitchen</w:t>
      </w:r>
      <w:r w:rsidRPr="002744A2">
        <w:rPr>
          <w:szCs w:val="22"/>
        </w:rPr>
        <w:t>, employ</w:t>
      </w:r>
      <w:r w:rsidR="00472A27">
        <w:rPr>
          <w:szCs w:val="22"/>
        </w:rPr>
        <w:t>s</w:t>
      </w:r>
      <w:r w:rsidRPr="002744A2">
        <w:rPr>
          <w:szCs w:val="22"/>
        </w:rPr>
        <w:t xml:space="preserve"> only 1</w:t>
      </w:r>
      <w:r>
        <w:rPr>
          <w:szCs w:val="22"/>
        </w:rPr>
        <w:t>8%</w:t>
      </w:r>
      <w:r w:rsidRPr="002744A2">
        <w:rPr>
          <w:szCs w:val="22"/>
        </w:rPr>
        <w:t xml:space="preserve"> of the total bank of </w:t>
      </w:r>
      <w:r w:rsidR="009B7B9F">
        <w:rPr>
          <w:szCs w:val="22"/>
        </w:rPr>
        <w:t xml:space="preserve">refrigerant </w:t>
      </w:r>
      <w:r>
        <w:rPr>
          <w:szCs w:val="22"/>
        </w:rPr>
        <w:t>(</w:t>
      </w:r>
      <w:r w:rsidRPr="00852495">
        <w:rPr>
          <w:i/>
          <w:szCs w:val="22"/>
        </w:rPr>
        <w:t>CHF2 16%</w:t>
      </w:r>
      <w:r>
        <w:rPr>
          <w:szCs w:val="22"/>
        </w:rPr>
        <w:t>)</w:t>
      </w:r>
      <w:r w:rsidRPr="002744A2">
        <w:rPr>
          <w:szCs w:val="22"/>
        </w:rPr>
        <w:t>.</w:t>
      </w:r>
    </w:p>
    <w:p w14:paraId="7341BC16" w14:textId="488CBFB5" w:rsidR="00650D66" w:rsidRDefault="00650D66" w:rsidP="002D62EB">
      <w:pPr>
        <w:snapToGrid w:val="0"/>
        <w:rPr>
          <w:szCs w:val="22"/>
        </w:rPr>
      </w:pPr>
      <w:r>
        <w:rPr>
          <w:szCs w:val="22"/>
        </w:rPr>
        <w:t xml:space="preserve">As recently as the </w:t>
      </w:r>
      <w:r w:rsidR="00AF7054">
        <w:rPr>
          <w:szCs w:val="22"/>
        </w:rPr>
        <w:t>late</w:t>
      </w:r>
      <w:r>
        <w:rPr>
          <w:szCs w:val="22"/>
        </w:rPr>
        <w:t xml:space="preserve"> 1970s, even though refrigerated </w:t>
      </w:r>
      <w:r w:rsidR="00AF7054">
        <w:rPr>
          <w:szCs w:val="22"/>
        </w:rPr>
        <w:t xml:space="preserve">commercial </w:t>
      </w:r>
      <w:r>
        <w:rPr>
          <w:szCs w:val="22"/>
        </w:rPr>
        <w:t xml:space="preserve">AC systems were starting to become common in new commercial buildings, the refrigerated cold food chain, from farm to family kitchen, and including hospitality venues, hotels, </w:t>
      </w:r>
      <w:r w:rsidR="009F5EAE">
        <w:rPr>
          <w:szCs w:val="22"/>
        </w:rPr>
        <w:t>commercial</w:t>
      </w:r>
      <w:r>
        <w:rPr>
          <w:szCs w:val="22"/>
        </w:rPr>
        <w:t xml:space="preserve"> kitchens and food wholesaler and retailers, </w:t>
      </w:r>
      <w:r w:rsidR="00A86AFD">
        <w:rPr>
          <w:szCs w:val="22"/>
        </w:rPr>
        <w:t xml:space="preserve">was the </w:t>
      </w:r>
      <w:r>
        <w:rPr>
          <w:szCs w:val="22"/>
        </w:rPr>
        <w:t>dominant application, employing the vast majority of refrigerants in the economy at that time.</w:t>
      </w:r>
    </w:p>
    <w:p w14:paraId="68C2D60F" w14:textId="77777777" w:rsidR="001A5814" w:rsidRDefault="001A5814" w:rsidP="002D62EB">
      <w:pPr>
        <w:snapToGrid w:val="0"/>
        <w:rPr>
          <w:szCs w:val="22"/>
        </w:rPr>
      </w:pPr>
    </w:p>
    <w:p w14:paraId="5C206C94" w14:textId="1838A676" w:rsidR="00CC3CEB" w:rsidRDefault="00CC3CEB" w:rsidP="002D62EB">
      <w:pPr>
        <w:snapToGrid w:val="0"/>
        <w:rPr>
          <w:szCs w:val="22"/>
        </w:rPr>
      </w:pPr>
    </w:p>
    <w:p w14:paraId="1A6E6580" w14:textId="77777777" w:rsidR="00CC3CEB" w:rsidRDefault="00CC3CEB" w:rsidP="002D62EB">
      <w:pPr>
        <w:snapToGrid w:val="0"/>
        <w:rPr>
          <w:szCs w:val="22"/>
        </w:rPr>
      </w:pPr>
    </w:p>
    <w:p w14:paraId="31419EBD" w14:textId="77777777" w:rsidR="00CC3CEB" w:rsidRDefault="00CC3CEB" w:rsidP="002D62EB">
      <w:pPr>
        <w:snapToGrid w:val="0"/>
        <w:rPr>
          <w:szCs w:val="22"/>
        </w:rPr>
      </w:pPr>
    </w:p>
    <w:p w14:paraId="3A7C345A" w14:textId="77777777" w:rsidR="00CC3CEB" w:rsidRDefault="00CC3CEB" w:rsidP="002D62EB">
      <w:pPr>
        <w:snapToGrid w:val="0"/>
        <w:rPr>
          <w:szCs w:val="22"/>
        </w:rPr>
      </w:pPr>
    </w:p>
    <w:p w14:paraId="3B420D0C" w14:textId="77777777" w:rsidR="00CC3CEB" w:rsidRDefault="00CC3CEB" w:rsidP="002D62EB">
      <w:pPr>
        <w:snapToGrid w:val="0"/>
        <w:rPr>
          <w:szCs w:val="22"/>
        </w:rPr>
      </w:pPr>
    </w:p>
    <w:p w14:paraId="43C74034" w14:textId="77777777" w:rsidR="00CC3CEB" w:rsidRDefault="00CC3CEB" w:rsidP="002D62EB">
      <w:pPr>
        <w:snapToGrid w:val="0"/>
        <w:rPr>
          <w:szCs w:val="22"/>
        </w:rPr>
      </w:pPr>
    </w:p>
    <w:p w14:paraId="5573DAB0" w14:textId="77777777" w:rsidR="00CC3CEB" w:rsidRDefault="00CC3CEB" w:rsidP="002D62EB">
      <w:pPr>
        <w:snapToGrid w:val="0"/>
        <w:rPr>
          <w:szCs w:val="22"/>
        </w:rPr>
      </w:pPr>
    </w:p>
    <w:p w14:paraId="1060828C" w14:textId="77777777" w:rsidR="00CC3CEB" w:rsidRDefault="00CC3CEB" w:rsidP="002D62EB">
      <w:pPr>
        <w:snapToGrid w:val="0"/>
        <w:rPr>
          <w:szCs w:val="22"/>
        </w:rPr>
      </w:pPr>
    </w:p>
    <w:p w14:paraId="4D8D7367" w14:textId="77777777" w:rsidR="00CC3CEB" w:rsidRDefault="00CC3CEB" w:rsidP="002D62EB">
      <w:pPr>
        <w:snapToGrid w:val="0"/>
        <w:rPr>
          <w:szCs w:val="22"/>
        </w:rPr>
      </w:pPr>
    </w:p>
    <w:p w14:paraId="2BF643CE" w14:textId="77777777" w:rsidR="00CC3CEB" w:rsidRDefault="00CC3CEB" w:rsidP="002D62EB">
      <w:pPr>
        <w:snapToGrid w:val="0"/>
        <w:rPr>
          <w:szCs w:val="22"/>
        </w:rPr>
      </w:pPr>
    </w:p>
    <w:p w14:paraId="7849E94C" w14:textId="77777777" w:rsidR="00CC3CEB" w:rsidRDefault="00CC3CEB" w:rsidP="002D62EB">
      <w:pPr>
        <w:snapToGrid w:val="0"/>
        <w:rPr>
          <w:szCs w:val="22"/>
        </w:rPr>
      </w:pPr>
    </w:p>
    <w:p w14:paraId="33F31719" w14:textId="77777777" w:rsidR="00CC3CEB" w:rsidRDefault="00CC3CEB" w:rsidP="002D62EB">
      <w:pPr>
        <w:snapToGrid w:val="0"/>
        <w:rPr>
          <w:szCs w:val="22"/>
        </w:rPr>
      </w:pPr>
    </w:p>
    <w:p w14:paraId="2AE34E31" w14:textId="77777777" w:rsidR="00CC3CEB" w:rsidRDefault="00CC3CEB" w:rsidP="002D62EB">
      <w:pPr>
        <w:snapToGrid w:val="0"/>
        <w:rPr>
          <w:szCs w:val="22"/>
        </w:rPr>
      </w:pPr>
    </w:p>
    <w:p w14:paraId="697C4B27" w14:textId="77777777" w:rsidR="00CC3CEB" w:rsidRDefault="00CC3CEB" w:rsidP="002D62EB">
      <w:pPr>
        <w:snapToGrid w:val="0"/>
        <w:rPr>
          <w:szCs w:val="22"/>
        </w:rPr>
      </w:pPr>
    </w:p>
    <w:p w14:paraId="64FB779D" w14:textId="77777777" w:rsidR="00CC3CEB" w:rsidRDefault="00CC3CEB" w:rsidP="002D62EB">
      <w:pPr>
        <w:snapToGrid w:val="0"/>
        <w:rPr>
          <w:szCs w:val="22"/>
        </w:rPr>
      </w:pPr>
    </w:p>
    <w:p w14:paraId="12D6C582" w14:textId="77777777" w:rsidR="00CC3CEB" w:rsidRDefault="00CC3CEB" w:rsidP="002D62EB">
      <w:pPr>
        <w:snapToGrid w:val="0"/>
        <w:rPr>
          <w:szCs w:val="22"/>
        </w:rPr>
      </w:pPr>
    </w:p>
    <w:p w14:paraId="7CEBD7B0" w14:textId="77777777" w:rsidR="00CC3CEB" w:rsidRDefault="00CC3CEB" w:rsidP="002D62EB">
      <w:pPr>
        <w:snapToGrid w:val="0"/>
        <w:rPr>
          <w:szCs w:val="22"/>
        </w:rPr>
      </w:pPr>
    </w:p>
    <w:p w14:paraId="15F80CF8" w14:textId="77777777" w:rsidR="00CC3CEB" w:rsidRDefault="00CC3CEB" w:rsidP="002D62EB">
      <w:pPr>
        <w:snapToGrid w:val="0"/>
        <w:rPr>
          <w:szCs w:val="22"/>
        </w:rPr>
      </w:pPr>
    </w:p>
    <w:p w14:paraId="67C9BFDD" w14:textId="77777777" w:rsidR="00CC3CEB" w:rsidRDefault="00CC3CEB" w:rsidP="002D62EB">
      <w:pPr>
        <w:snapToGrid w:val="0"/>
        <w:rPr>
          <w:szCs w:val="22"/>
        </w:rPr>
      </w:pPr>
    </w:p>
    <w:p w14:paraId="4D6BDED5" w14:textId="77777777" w:rsidR="00CC3CEB" w:rsidRDefault="00CC3CEB" w:rsidP="002D62EB">
      <w:pPr>
        <w:snapToGrid w:val="0"/>
        <w:rPr>
          <w:szCs w:val="22"/>
        </w:rPr>
      </w:pPr>
    </w:p>
    <w:p w14:paraId="6ADBD212" w14:textId="77777777" w:rsidR="00CC3CEB" w:rsidRDefault="00CC3CEB" w:rsidP="002D62EB">
      <w:pPr>
        <w:snapToGrid w:val="0"/>
        <w:rPr>
          <w:szCs w:val="22"/>
        </w:rPr>
      </w:pPr>
    </w:p>
    <w:p w14:paraId="3F5F79EB" w14:textId="77777777" w:rsidR="00CC3CEB" w:rsidRDefault="00CC3CEB" w:rsidP="002D62EB">
      <w:pPr>
        <w:snapToGrid w:val="0"/>
        <w:rPr>
          <w:szCs w:val="22"/>
        </w:rPr>
      </w:pPr>
    </w:p>
    <w:p w14:paraId="4B95C907" w14:textId="77777777" w:rsidR="00CC3CEB" w:rsidRDefault="00CC3CEB" w:rsidP="002D62EB">
      <w:pPr>
        <w:snapToGrid w:val="0"/>
        <w:rPr>
          <w:szCs w:val="22"/>
        </w:rPr>
      </w:pPr>
    </w:p>
    <w:p w14:paraId="422D6218" w14:textId="77777777" w:rsidR="00CC3CEB" w:rsidRDefault="00CC3CEB" w:rsidP="002D62EB">
      <w:pPr>
        <w:snapToGrid w:val="0"/>
        <w:rPr>
          <w:szCs w:val="22"/>
        </w:rPr>
      </w:pPr>
    </w:p>
    <w:p w14:paraId="674091DF" w14:textId="77777777" w:rsidR="00CC3CEB" w:rsidRDefault="00CC3CEB" w:rsidP="002D62EB">
      <w:pPr>
        <w:snapToGrid w:val="0"/>
        <w:rPr>
          <w:szCs w:val="22"/>
        </w:rPr>
      </w:pPr>
    </w:p>
    <w:p w14:paraId="3BD99606" w14:textId="6BCF2224" w:rsidR="00650D66" w:rsidRPr="00DB54EE" w:rsidRDefault="00C56F79" w:rsidP="00650D66">
      <w:pPr>
        <w:pStyle w:val="Heading2"/>
      </w:pPr>
      <w:bookmarkStart w:id="70" w:name="_Toc525141274"/>
      <w:r>
        <w:t>Mass flows in the b</w:t>
      </w:r>
      <w:r w:rsidR="00650D66" w:rsidRPr="00DB54EE">
        <w:t>ank</w:t>
      </w:r>
      <w:bookmarkEnd w:id="70"/>
    </w:p>
    <w:p w14:paraId="255D2BBD" w14:textId="0FAD3749" w:rsidR="00650D66" w:rsidRDefault="00650D66" w:rsidP="00650D66">
      <w:pPr>
        <w:rPr>
          <w:szCs w:val="22"/>
        </w:rPr>
      </w:pPr>
      <w:r>
        <w:rPr>
          <w:szCs w:val="22"/>
        </w:rPr>
        <w:t xml:space="preserve">There are two sources of growth in the bank, and two pathways by which refrigerants leave the bank. The two sources of growth are via imports of pre-charged equipment and secondly via imports of bulk refrigerant. The two pathways by which refrigerant leaves the bank are emissions to air through losses of refrigerant from the supply line, during service, from operating equipment, and from end-of-life equipment, and via </w:t>
      </w:r>
      <w:r w:rsidRPr="005F3947">
        <w:rPr>
          <w:szCs w:val="22"/>
        </w:rPr>
        <w:t>refrigerant being recovered and sent for destruction</w:t>
      </w:r>
      <w:r>
        <w:rPr>
          <w:szCs w:val="22"/>
        </w:rPr>
        <w:t xml:space="preserve"> </w:t>
      </w:r>
      <w:r w:rsidRPr="00475235">
        <w:rPr>
          <w:szCs w:val="22"/>
        </w:rPr>
        <w:t>by Montreal Protocol</w:t>
      </w:r>
      <w:r w:rsidR="00472A27">
        <w:rPr>
          <w:szCs w:val="22"/>
        </w:rPr>
        <w:t>-</w:t>
      </w:r>
      <w:r w:rsidRPr="00475235">
        <w:rPr>
          <w:szCs w:val="22"/>
        </w:rPr>
        <w:t>approved technology</w:t>
      </w:r>
      <w:r>
        <w:rPr>
          <w:szCs w:val="22"/>
        </w:rPr>
        <w:t xml:space="preserve"> such as an electric arc furnace. </w:t>
      </w:r>
    </w:p>
    <w:p w14:paraId="0263B70C" w14:textId="7D0B9D6D" w:rsidR="00650D66" w:rsidRDefault="00650D66" w:rsidP="00650D66">
      <w:pPr>
        <w:rPr>
          <w:szCs w:val="22"/>
        </w:rPr>
      </w:pPr>
      <w:r>
        <w:rPr>
          <w:szCs w:val="22"/>
        </w:rPr>
        <w:t xml:space="preserve">An increasing </w:t>
      </w:r>
      <w:r w:rsidR="00AF7054">
        <w:rPr>
          <w:szCs w:val="22"/>
        </w:rPr>
        <w:t xml:space="preserve">though very small </w:t>
      </w:r>
      <w:r>
        <w:rPr>
          <w:szCs w:val="22"/>
        </w:rPr>
        <w:t>portion of the bank is ‘recycled’, after being recovered, reconditioned and then reused. This practice does not increa</w:t>
      </w:r>
      <w:r w:rsidR="00F727EA">
        <w:rPr>
          <w:szCs w:val="22"/>
        </w:rPr>
        <w:t>se the overall size of the bank</w:t>
      </w:r>
      <w:r>
        <w:rPr>
          <w:szCs w:val="22"/>
        </w:rPr>
        <w:t>.</w:t>
      </w:r>
    </w:p>
    <w:p w14:paraId="4672027A" w14:textId="433E77EB" w:rsidR="00650D66" w:rsidRDefault="00650D66" w:rsidP="00650D66">
      <w:pPr>
        <w:rPr>
          <w:szCs w:val="22"/>
        </w:rPr>
      </w:pPr>
      <w:r>
        <w:rPr>
          <w:szCs w:val="22"/>
        </w:rPr>
        <w:t>A diagram illustrating the inputs to the bank, and the means by which refrigerant leaves the bank with values for calendar year 2016 is provided below showing the major influences on both the size and composition of the bank.</w:t>
      </w:r>
    </w:p>
    <w:p w14:paraId="3E1BD93A" w14:textId="77777777" w:rsidR="001A5814" w:rsidRDefault="001A5814" w:rsidP="001A5814">
      <w:pPr>
        <w:spacing w:before="60"/>
        <w:rPr>
          <w:szCs w:val="22"/>
        </w:rPr>
      </w:pP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1A5814" w:rsidRPr="005D159D" w14:paraId="7DBA6CAA" w14:textId="77777777" w:rsidTr="00ED04D3">
        <w:tc>
          <w:tcPr>
            <w:tcW w:w="9716" w:type="dxa"/>
            <w:vAlign w:val="center"/>
          </w:tcPr>
          <w:p w14:paraId="5C387A58" w14:textId="353B1989" w:rsidR="001A5814" w:rsidRPr="005D159D" w:rsidRDefault="001A5814" w:rsidP="00ED04D3">
            <w:pPr>
              <w:spacing w:after="120"/>
              <w:jc w:val="center"/>
              <w:rPr>
                <w:b/>
                <w:sz w:val="24"/>
              </w:rPr>
            </w:pPr>
            <w:r w:rsidRPr="005D159D">
              <w:rPr>
                <w:b/>
                <w:sz w:val="24"/>
              </w:rPr>
              <w:br w:type="page"/>
            </w:r>
            <w:r w:rsidRPr="001A5814">
              <w:rPr>
                <w:b/>
                <w:sz w:val="24"/>
              </w:rPr>
              <w:t>Bank and annual mass flows in 2016</w:t>
            </w:r>
          </w:p>
        </w:tc>
      </w:tr>
      <w:tr w:rsidR="001A5814" w:rsidRPr="00BD20BC" w14:paraId="4B701F7B" w14:textId="77777777" w:rsidTr="00ED04D3">
        <w:tc>
          <w:tcPr>
            <w:tcW w:w="9716" w:type="dxa"/>
            <w:vAlign w:val="center"/>
          </w:tcPr>
          <w:p w14:paraId="73E7A8C5" w14:textId="77777777" w:rsidR="001A5814" w:rsidRDefault="001A5814" w:rsidP="00ED04D3">
            <w:pPr>
              <w:spacing w:before="60" w:after="60"/>
              <w:jc w:val="center"/>
              <w:rPr>
                <w:sz w:val="16"/>
                <w:szCs w:val="16"/>
              </w:rPr>
            </w:pPr>
          </w:p>
          <w:p w14:paraId="194286E1" w14:textId="78AC0A8A" w:rsidR="001A5814" w:rsidRDefault="009B689E" w:rsidP="00ED04D3">
            <w:pPr>
              <w:spacing w:before="60" w:after="60"/>
              <w:jc w:val="center"/>
              <w:rPr>
                <w:sz w:val="16"/>
                <w:szCs w:val="16"/>
              </w:rPr>
            </w:pPr>
            <w:r w:rsidRPr="00E210A8">
              <w:rPr>
                <w:noProof/>
                <w:lang w:val="en-AU" w:eastAsia="en-AU"/>
              </w:rPr>
              <w:drawing>
                <wp:inline distT="0" distB="0" distL="0" distR="0" wp14:anchorId="1FF6EB65" wp14:editId="2CDE4156">
                  <wp:extent cx="4291643" cy="3156965"/>
                  <wp:effectExtent l="0" t="0" r="127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tretch>
                            <a:fillRect/>
                          </a:stretch>
                        </pic:blipFill>
                        <pic:spPr bwMode="auto">
                          <a:xfrm>
                            <a:off x="0" y="0"/>
                            <a:ext cx="4291643" cy="3156965"/>
                          </a:xfrm>
                          <a:prstGeom prst="rect">
                            <a:avLst/>
                          </a:prstGeom>
                          <a:noFill/>
                          <a:ln>
                            <a:noFill/>
                          </a:ln>
                        </pic:spPr>
                      </pic:pic>
                    </a:graphicData>
                  </a:graphic>
                </wp:inline>
              </w:drawing>
            </w:r>
          </w:p>
          <w:p w14:paraId="283D1C37" w14:textId="77777777" w:rsidR="001A5814" w:rsidRPr="00BD20BC" w:rsidRDefault="001A5814" w:rsidP="00ED04D3">
            <w:pPr>
              <w:spacing w:before="60" w:after="60"/>
              <w:jc w:val="center"/>
              <w:rPr>
                <w:sz w:val="16"/>
                <w:szCs w:val="16"/>
              </w:rPr>
            </w:pPr>
          </w:p>
        </w:tc>
      </w:tr>
      <w:tr w:rsidR="001A5814" w:rsidRPr="00573A8B" w14:paraId="3B5339C9" w14:textId="77777777" w:rsidTr="00ED04D3">
        <w:tc>
          <w:tcPr>
            <w:tcW w:w="9716" w:type="dxa"/>
            <w:vAlign w:val="center"/>
          </w:tcPr>
          <w:p w14:paraId="27747FB0" w14:textId="24FD6712" w:rsidR="001A5814" w:rsidRPr="00BB16C6" w:rsidRDefault="00BB16C6" w:rsidP="00BB16C6">
            <w:pPr>
              <w:pStyle w:val="Caption"/>
              <w:rPr>
                <w:szCs w:val="22"/>
              </w:rPr>
            </w:pPr>
            <w:bookmarkStart w:id="71" w:name="_Toc525141340"/>
            <w:r w:rsidRPr="00BB16C6">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9</w:t>
            </w:r>
            <w:r w:rsidR="009D6843">
              <w:rPr>
                <w:noProof/>
              </w:rPr>
              <w:fldChar w:fldCharType="end"/>
            </w:r>
            <w:r w:rsidR="001A5814" w:rsidRPr="00BB16C6">
              <w:rPr>
                <w:szCs w:val="22"/>
              </w:rPr>
              <w:t>: Mass flows in the Australian bank of working gases 2016.</w:t>
            </w:r>
            <w:bookmarkEnd w:id="71"/>
          </w:p>
        </w:tc>
      </w:tr>
    </w:tbl>
    <w:p w14:paraId="02DCAC5D" w14:textId="1B3D8622" w:rsidR="001A5814" w:rsidRDefault="001A5814" w:rsidP="001A5814">
      <w:pPr>
        <w:spacing w:before="0"/>
        <w:rPr>
          <w:sz w:val="20"/>
          <w:szCs w:val="20"/>
        </w:rPr>
      </w:pPr>
      <w:r w:rsidRPr="00116557">
        <w:rPr>
          <w:sz w:val="20"/>
          <w:szCs w:val="20"/>
        </w:rPr>
        <w:t>(Sources:</w:t>
      </w:r>
      <w:r>
        <w:rPr>
          <w:sz w:val="20"/>
          <w:szCs w:val="20"/>
        </w:rPr>
        <w:t xml:space="preserve"> </w:t>
      </w:r>
      <w:r w:rsidR="007A1335">
        <w:rPr>
          <w:sz w:val="20"/>
          <w:szCs w:val="20"/>
        </w:rPr>
        <w:t>CHF3 RAC Stock model</w:t>
      </w:r>
      <w:r>
        <w:rPr>
          <w:sz w:val="20"/>
          <w:szCs w:val="20"/>
        </w:rPr>
        <w:t xml:space="preserve">) </w:t>
      </w:r>
    </w:p>
    <w:p w14:paraId="66CD252E" w14:textId="4F2C25F9" w:rsidR="001A5814" w:rsidRDefault="001A5814" w:rsidP="001A5814">
      <w:pPr>
        <w:spacing w:before="0"/>
        <w:rPr>
          <w:szCs w:val="22"/>
        </w:rPr>
      </w:pPr>
    </w:p>
    <w:p w14:paraId="5C9ABEC2" w14:textId="77777777" w:rsidR="00650D66" w:rsidRDefault="00650D66" w:rsidP="009B689E">
      <w:pPr>
        <w:rPr>
          <w:szCs w:val="22"/>
        </w:rPr>
      </w:pPr>
      <w:r>
        <w:rPr>
          <w:szCs w:val="22"/>
        </w:rPr>
        <w:t>Each of the inputs to the bank can be broken down by species of refrigerant, in the case of bulk imports, and by type of equipment and species of refrigerant in the case of pre-charged imports (PCE).</w:t>
      </w:r>
    </w:p>
    <w:p w14:paraId="3794FD7B" w14:textId="77777777" w:rsidR="00650D66" w:rsidRDefault="00650D66" w:rsidP="009B689E">
      <w:pPr>
        <w:rPr>
          <w:szCs w:val="22"/>
        </w:rPr>
      </w:pPr>
      <w:r>
        <w:rPr>
          <w:szCs w:val="22"/>
        </w:rPr>
        <w:t>The mix of refrigerants added to the bank every year via imports of pre-charged equipment, and changes in the refrigerants employed in pre-charged equipment, is a leading indicator of the composition of the future bank, and thus future demand for bulk refrigerant imports.</w:t>
      </w:r>
    </w:p>
    <w:p w14:paraId="69CD2BD3" w14:textId="7E27F6F4" w:rsidR="00650D66" w:rsidRDefault="00650D66" w:rsidP="009B689E">
      <w:pPr>
        <w:rPr>
          <w:szCs w:val="22"/>
        </w:rPr>
      </w:pPr>
      <w:r>
        <w:rPr>
          <w:szCs w:val="22"/>
        </w:rPr>
        <w:t>Bulk refrigerant imports supply</w:t>
      </w:r>
      <w:r w:rsidR="00AF7054">
        <w:rPr>
          <w:szCs w:val="22"/>
        </w:rPr>
        <w:t xml:space="preserve"> </w:t>
      </w:r>
      <w:r w:rsidR="002912EC">
        <w:rPr>
          <w:szCs w:val="22"/>
        </w:rPr>
        <w:t>local equipment manufacturers</w:t>
      </w:r>
      <w:r>
        <w:rPr>
          <w:szCs w:val="22"/>
        </w:rPr>
        <w:t xml:space="preserve">, are used for charging new equipment that has been imported without any refrigerant charge, for </w:t>
      </w:r>
      <w:r w:rsidR="009B689E">
        <w:rPr>
          <w:szCs w:val="22"/>
        </w:rPr>
        <w:t>additional refrigerant for s</w:t>
      </w:r>
      <w:r>
        <w:rPr>
          <w:szCs w:val="22"/>
        </w:rPr>
        <w:t>ome types of pre-charged equipment</w:t>
      </w:r>
      <w:r w:rsidR="009B689E">
        <w:rPr>
          <w:rStyle w:val="FootnoteReference"/>
          <w:szCs w:val="22"/>
        </w:rPr>
        <w:footnoteReference w:id="44"/>
      </w:r>
      <w:r>
        <w:rPr>
          <w:szCs w:val="22"/>
        </w:rPr>
        <w:t xml:space="preserve"> that need additional refrigerant at installation and are used to service the stock of existing equipment.</w:t>
      </w:r>
    </w:p>
    <w:p w14:paraId="7F173D2D" w14:textId="77777777" w:rsidR="00650D66" w:rsidRDefault="00650D66" w:rsidP="009B689E">
      <w:pPr>
        <w:rPr>
          <w:szCs w:val="22"/>
        </w:rPr>
      </w:pPr>
      <w:r>
        <w:rPr>
          <w:szCs w:val="22"/>
        </w:rPr>
        <w:t xml:space="preserve">As older equipment tends to lose more refrigerant than new equipment, the composition of bulk imports will therefore tend to be weighted towards servicing the refrigerant charges in the older portions of the stock of equipment. </w:t>
      </w:r>
    </w:p>
    <w:p w14:paraId="3992ED65" w14:textId="55DD63B2" w:rsidR="00650D66" w:rsidRDefault="00650D66" w:rsidP="009B689E">
      <w:pPr>
        <w:rPr>
          <w:szCs w:val="22"/>
        </w:rPr>
      </w:pPr>
      <w:r>
        <w:rPr>
          <w:szCs w:val="22"/>
        </w:rPr>
        <w:t xml:space="preserve">As a reflection of service demand for existing equipment, bulk imports </w:t>
      </w:r>
      <w:r w:rsidR="00C16249">
        <w:rPr>
          <w:szCs w:val="22"/>
        </w:rPr>
        <w:t>are</w:t>
      </w:r>
      <w:r>
        <w:rPr>
          <w:szCs w:val="22"/>
        </w:rPr>
        <w:t xml:space="preserve"> </w:t>
      </w:r>
      <w:r w:rsidR="00AF7054">
        <w:rPr>
          <w:szCs w:val="22"/>
        </w:rPr>
        <w:t xml:space="preserve">therefore </w:t>
      </w:r>
      <w:r>
        <w:rPr>
          <w:szCs w:val="22"/>
        </w:rPr>
        <w:t>something of a lagging indicator of trends in the stock of equipment, and of the changing composition of the bank.</w:t>
      </w:r>
    </w:p>
    <w:p w14:paraId="54AA13E2" w14:textId="77777777" w:rsidR="00650D66" w:rsidRDefault="00650D66" w:rsidP="009B689E">
      <w:pPr>
        <w:rPr>
          <w:szCs w:val="22"/>
        </w:rPr>
      </w:pPr>
      <w:r>
        <w:rPr>
          <w:szCs w:val="22"/>
        </w:rPr>
        <w:t>A</w:t>
      </w:r>
      <w:r w:rsidRPr="00FC6F65">
        <w:rPr>
          <w:szCs w:val="22"/>
        </w:rPr>
        <w:t>t any time, a small portion of the bank is in equipment that</w:t>
      </w:r>
      <w:r>
        <w:rPr>
          <w:szCs w:val="22"/>
        </w:rPr>
        <w:t xml:space="preserve"> has been imported but that</w:t>
      </w:r>
      <w:r w:rsidRPr="00FC6F65">
        <w:rPr>
          <w:szCs w:val="22"/>
        </w:rPr>
        <w:t xml:space="preserve"> is not yet installed and operating. </w:t>
      </w:r>
      <w:r>
        <w:rPr>
          <w:szCs w:val="22"/>
        </w:rPr>
        <w:t xml:space="preserve">At any one time in 2016 this would equate to around 825 tonnes based on an average of having three months inventory on hand and ready to enter the market. </w:t>
      </w:r>
      <w:r w:rsidRPr="00FC6F65">
        <w:rPr>
          <w:szCs w:val="22"/>
        </w:rPr>
        <w:t xml:space="preserve">Additionally, </w:t>
      </w:r>
      <w:r>
        <w:rPr>
          <w:szCs w:val="22"/>
        </w:rPr>
        <w:t xml:space="preserve">if we make the same assumption of three months stock of bulk refrigerant, </w:t>
      </w:r>
      <w:r w:rsidRPr="00FC6F65">
        <w:rPr>
          <w:szCs w:val="22"/>
        </w:rPr>
        <w:t xml:space="preserve">there is </w:t>
      </w:r>
      <w:r>
        <w:rPr>
          <w:szCs w:val="22"/>
        </w:rPr>
        <w:t xml:space="preserve">around 860 tonnes of </w:t>
      </w:r>
      <w:r w:rsidRPr="00FC6F65">
        <w:rPr>
          <w:szCs w:val="22"/>
        </w:rPr>
        <w:t xml:space="preserve">bulk </w:t>
      </w:r>
      <w:r>
        <w:rPr>
          <w:szCs w:val="22"/>
        </w:rPr>
        <w:t>refrigerant</w:t>
      </w:r>
      <w:r w:rsidRPr="00FC6F65">
        <w:rPr>
          <w:szCs w:val="22"/>
        </w:rPr>
        <w:t xml:space="preserve"> in the supply chain </w:t>
      </w:r>
      <w:r>
        <w:rPr>
          <w:szCs w:val="22"/>
        </w:rPr>
        <w:t>and already on shore available for distribution into the service market. However, irrespective of the final date of import during any calendar year, all refrigerant imported in PCE and in bulk containers</w:t>
      </w:r>
      <w:r w:rsidRPr="00FC6F65">
        <w:rPr>
          <w:szCs w:val="22"/>
        </w:rPr>
        <w:t xml:space="preserve"> </w:t>
      </w:r>
      <w:r>
        <w:rPr>
          <w:szCs w:val="22"/>
        </w:rPr>
        <w:t xml:space="preserve">is </w:t>
      </w:r>
      <w:r w:rsidRPr="00FC6F65">
        <w:rPr>
          <w:szCs w:val="22"/>
        </w:rPr>
        <w:t>counted as forming part of</w:t>
      </w:r>
      <w:r>
        <w:rPr>
          <w:szCs w:val="22"/>
        </w:rPr>
        <w:t xml:space="preserve"> the bank in the year of import</w:t>
      </w:r>
      <w:r w:rsidRPr="00FC6F65">
        <w:rPr>
          <w:szCs w:val="22"/>
        </w:rPr>
        <w:t xml:space="preserve">. </w:t>
      </w:r>
    </w:p>
    <w:p w14:paraId="1BC996ED" w14:textId="77777777" w:rsidR="00650D66" w:rsidRDefault="00650D66" w:rsidP="009B689E">
      <w:pPr>
        <w:rPr>
          <w:b/>
          <w:szCs w:val="22"/>
        </w:rPr>
      </w:pPr>
    </w:p>
    <w:p w14:paraId="1FAFC310" w14:textId="77777777" w:rsidR="00650D66" w:rsidRPr="00865893" w:rsidRDefault="00650D66" w:rsidP="00650D66">
      <w:pPr>
        <w:pStyle w:val="Heading2"/>
        <w:rPr>
          <w:rFonts w:eastAsiaTheme="minorEastAsia"/>
        </w:rPr>
      </w:pPr>
      <w:bookmarkStart w:id="72" w:name="_Toc494661748"/>
      <w:bookmarkStart w:id="73" w:name="_Toc500750606"/>
      <w:bookmarkStart w:id="74" w:name="_Toc525141275"/>
      <w:r>
        <w:t>Pre-charged equipment imports</w:t>
      </w:r>
      <w:bookmarkEnd w:id="72"/>
      <w:bookmarkEnd w:id="73"/>
      <w:bookmarkEnd w:id="74"/>
      <w:r>
        <w:t xml:space="preserve"> </w:t>
      </w:r>
    </w:p>
    <w:p w14:paraId="34DB02CC" w14:textId="2946800D" w:rsidR="00650D66" w:rsidRDefault="00650D66" w:rsidP="00650D66">
      <w:pPr>
        <w:spacing w:before="240"/>
        <w:rPr>
          <w:szCs w:val="22"/>
        </w:rPr>
      </w:pPr>
      <w:r>
        <w:rPr>
          <w:szCs w:val="22"/>
        </w:rPr>
        <w:t xml:space="preserve">With manufacturing of RAC systems in Australia at multi-decadal lows, following the winding back of local </w:t>
      </w:r>
      <w:r w:rsidR="00C16249">
        <w:rPr>
          <w:szCs w:val="22"/>
        </w:rPr>
        <w:t>s</w:t>
      </w:r>
      <w:r>
        <w:rPr>
          <w:szCs w:val="22"/>
        </w:rPr>
        <w:t xml:space="preserve">tationary AC manufacturing and the closure of domestic refrigeration and vehicle manufacturing, it is the refrigerant in imported equipment that </w:t>
      </w:r>
      <w:r w:rsidR="00AF7054">
        <w:rPr>
          <w:szCs w:val="22"/>
        </w:rPr>
        <w:t xml:space="preserve">predominantly </w:t>
      </w:r>
      <w:r>
        <w:rPr>
          <w:szCs w:val="22"/>
        </w:rPr>
        <w:t>drives the overall composition of the bank. PCE imports can have an impact on the bank for decades ahead with some equipment imports expected to have working lives greater than 20 years.</w:t>
      </w:r>
    </w:p>
    <w:p w14:paraId="5107189C" w14:textId="4E959C74" w:rsidR="00650D66" w:rsidRDefault="00650D66" w:rsidP="00650D66">
      <w:pPr>
        <w:spacing w:before="240"/>
        <w:rPr>
          <w:szCs w:val="22"/>
        </w:rPr>
      </w:pPr>
      <w:r>
        <w:rPr>
          <w:szCs w:val="22"/>
        </w:rPr>
        <w:t>Pre-charged</w:t>
      </w:r>
      <w:r w:rsidRPr="00CB3BC3">
        <w:rPr>
          <w:szCs w:val="22"/>
        </w:rPr>
        <w:t xml:space="preserve"> equipment</w:t>
      </w:r>
      <w:r>
        <w:rPr>
          <w:szCs w:val="22"/>
        </w:rPr>
        <w:t xml:space="preserve"> imports of all sorts has been the </w:t>
      </w:r>
      <w:r w:rsidRPr="00CB3BC3">
        <w:rPr>
          <w:szCs w:val="22"/>
        </w:rPr>
        <w:t xml:space="preserve">major source of growth in </w:t>
      </w:r>
      <w:r>
        <w:rPr>
          <w:szCs w:val="22"/>
        </w:rPr>
        <w:t xml:space="preserve">the </w:t>
      </w:r>
      <w:r w:rsidR="009F4CB3">
        <w:rPr>
          <w:szCs w:val="22"/>
        </w:rPr>
        <w:t>refrigerant bank</w:t>
      </w:r>
      <w:r>
        <w:rPr>
          <w:szCs w:val="22"/>
        </w:rPr>
        <w:t>,</w:t>
      </w:r>
      <w:r w:rsidRPr="00CB3BC3">
        <w:rPr>
          <w:szCs w:val="22"/>
        </w:rPr>
        <w:t xml:space="preserve"> introducing an average of about 2,</w:t>
      </w:r>
      <w:r>
        <w:rPr>
          <w:szCs w:val="22"/>
        </w:rPr>
        <w:t>9</w:t>
      </w:r>
      <w:r w:rsidRPr="00CB3BC3">
        <w:rPr>
          <w:szCs w:val="22"/>
        </w:rPr>
        <w:t xml:space="preserve">00 tonnes </w:t>
      </w:r>
      <w:r>
        <w:rPr>
          <w:szCs w:val="22"/>
        </w:rPr>
        <w:t>of refrigerant</w:t>
      </w:r>
      <w:r w:rsidRPr="00CB3BC3">
        <w:rPr>
          <w:szCs w:val="22"/>
        </w:rPr>
        <w:t xml:space="preserve"> per annum during the last </w:t>
      </w:r>
      <w:r>
        <w:rPr>
          <w:szCs w:val="22"/>
        </w:rPr>
        <w:t>5</w:t>
      </w:r>
      <w:r w:rsidRPr="00CB3BC3">
        <w:rPr>
          <w:szCs w:val="22"/>
        </w:rPr>
        <w:t xml:space="preserve"> ye</w:t>
      </w:r>
      <w:r>
        <w:rPr>
          <w:szCs w:val="22"/>
        </w:rPr>
        <w:t>ars (</w:t>
      </w:r>
      <w:r w:rsidRPr="00DC2C75">
        <w:rPr>
          <w:i/>
          <w:szCs w:val="22"/>
        </w:rPr>
        <w:t>CHF2 five</w:t>
      </w:r>
      <w:r>
        <w:rPr>
          <w:i/>
          <w:szCs w:val="22"/>
        </w:rPr>
        <w:t>-</w:t>
      </w:r>
      <w:r w:rsidRPr="00DC2C75">
        <w:rPr>
          <w:i/>
          <w:szCs w:val="22"/>
        </w:rPr>
        <w:t>year average total PCE refrigerant imports ~2,500 tonnes</w:t>
      </w:r>
      <w:r>
        <w:rPr>
          <w:szCs w:val="22"/>
        </w:rPr>
        <w:t xml:space="preserve">). </w:t>
      </w:r>
    </w:p>
    <w:p w14:paraId="184803F9" w14:textId="63561F25" w:rsidR="00650D66" w:rsidRPr="00CB3BC3" w:rsidRDefault="00650D66" w:rsidP="00650D66">
      <w:pPr>
        <w:rPr>
          <w:szCs w:val="22"/>
        </w:rPr>
      </w:pPr>
      <w:r w:rsidRPr="00CB3BC3">
        <w:rPr>
          <w:szCs w:val="22"/>
        </w:rPr>
        <w:t>In total, in 201</w:t>
      </w:r>
      <w:r>
        <w:rPr>
          <w:szCs w:val="22"/>
        </w:rPr>
        <w:t>6</w:t>
      </w:r>
      <w:r w:rsidRPr="00CB3BC3">
        <w:rPr>
          <w:szCs w:val="22"/>
        </w:rPr>
        <w:t xml:space="preserve">, there were more than </w:t>
      </w:r>
      <w:r>
        <w:rPr>
          <w:szCs w:val="22"/>
        </w:rPr>
        <w:t>4.7</w:t>
      </w:r>
      <w:r w:rsidRPr="00CB3BC3">
        <w:rPr>
          <w:szCs w:val="22"/>
        </w:rPr>
        <w:t xml:space="preserve"> million devices pre-charged with HFCs imported to Australia and containing, in aggregate, a total of around </w:t>
      </w:r>
      <w:r>
        <w:rPr>
          <w:szCs w:val="22"/>
        </w:rPr>
        <w:t>3,127</w:t>
      </w:r>
      <w:r w:rsidRPr="00CB3BC3">
        <w:rPr>
          <w:szCs w:val="22"/>
        </w:rPr>
        <w:t xml:space="preserve"> tonnes of</w:t>
      </w:r>
      <w:r>
        <w:rPr>
          <w:szCs w:val="22"/>
        </w:rPr>
        <w:t xml:space="preserve"> </w:t>
      </w:r>
      <w:r w:rsidR="00C16249">
        <w:rPr>
          <w:szCs w:val="22"/>
        </w:rPr>
        <w:t>refrigerant</w:t>
      </w:r>
      <w:r>
        <w:rPr>
          <w:rStyle w:val="FootnoteReference"/>
          <w:szCs w:val="22"/>
        </w:rPr>
        <w:footnoteReference w:id="45"/>
      </w:r>
      <w:r>
        <w:rPr>
          <w:szCs w:val="22"/>
        </w:rPr>
        <w:t xml:space="preserve"> (</w:t>
      </w:r>
      <w:r w:rsidRPr="005B3CA2">
        <w:rPr>
          <w:i/>
          <w:szCs w:val="22"/>
        </w:rPr>
        <w:t>CHF2 – 3 million devices containing some 2,557 tonnes</w:t>
      </w:r>
      <w:r>
        <w:rPr>
          <w:szCs w:val="22"/>
        </w:rPr>
        <w:t>).</w:t>
      </w:r>
    </w:p>
    <w:p w14:paraId="1DCD1F22" w14:textId="5C9FEA73" w:rsidR="00650D66" w:rsidRPr="00CB3BC3" w:rsidRDefault="00650D66" w:rsidP="00650D66">
      <w:pPr>
        <w:rPr>
          <w:szCs w:val="22"/>
        </w:rPr>
      </w:pPr>
      <w:r w:rsidRPr="00CB3BC3">
        <w:rPr>
          <w:szCs w:val="22"/>
        </w:rPr>
        <w:t>Imports of PCE have been running at historically high levels for the last decade</w:t>
      </w:r>
      <w:r>
        <w:rPr>
          <w:szCs w:val="22"/>
        </w:rPr>
        <w:t xml:space="preserve"> and a half</w:t>
      </w:r>
      <w:r w:rsidRPr="00CB3BC3">
        <w:rPr>
          <w:szCs w:val="22"/>
        </w:rPr>
        <w:t xml:space="preserve">, </w:t>
      </w:r>
      <w:r>
        <w:rPr>
          <w:szCs w:val="22"/>
        </w:rPr>
        <w:t xml:space="preserve">largely </w:t>
      </w:r>
      <w:r w:rsidRPr="00CB3BC3">
        <w:rPr>
          <w:szCs w:val="22"/>
        </w:rPr>
        <w:t>as a result of the demand for small</w:t>
      </w:r>
      <w:r w:rsidR="00472A27">
        <w:rPr>
          <w:szCs w:val="22"/>
        </w:rPr>
        <w:t>,</w:t>
      </w:r>
      <w:r w:rsidRPr="00CB3BC3">
        <w:rPr>
          <w:szCs w:val="22"/>
        </w:rPr>
        <w:t xml:space="preserve"> wall</w:t>
      </w:r>
      <w:r w:rsidR="00472A27">
        <w:rPr>
          <w:szCs w:val="22"/>
        </w:rPr>
        <w:t>-</w:t>
      </w:r>
      <w:r w:rsidRPr="00CB3BC3">
        <w:rPr>
          <w:szCs w:val="22"/>
        </w:rPr>
        <w:t>hung</w:t>
      </w:r>
      <w:r w:rsidR="00472A27">
        <w:rPr>
          <w:szCs w:val="22"/>
        </w:rPr>
        <w:t>,</w:t>
      </w:r>
      <w:r w:rsidRPr="00CB3BC3">
        <w:rPr>
          <w:szCs w:val="22"/>
        </w:rPr>
        <w:t xml:space="preserve"> split air conditioning systems. </w:t>
      </w:r>
    </w:p>
    <w:p w14:paraId="61300D41" w14:textId="73C48C5C" w:rsidR="00650D66" w:rsidRDefault="00650D66" w:rsidP="00650D66">
      <w:pPr>
        <w:rPr>
          <w:szCs w:val="22"/>
        </w:rPr>
      </w:pPr>
      <w:r w:rsidRPr="00CB3BC3">
        <w:rPr>
          <w:szCs w:val="22"/>
        </w:rPr>
        <w:t xml:space="preserve">There were </w:t>
      </w:r>
      <w:r>
        <w:rPr>
          <w:szCs w:val="22"/>
        </w:rPr>
        <w:t>more</w:t>
      </w:r>
      <w:r w:rsidRPr="00CB3BC3">
        <w:rPr>
          <w:szCs w:val="22"/>
        </w:rPr>
        <w:t xml:space="preserve"> </w:t>
      </w:r>
      <w:r>
        <w:rPr>
          <w:szCs w:val="22"/>
        </w:rPr>
        <w:t>1.25 million</w:t>
      </w:r>
      <w:r w:rsidRPr="00CB3BC3">
        <w:rPr>
          <w:szCs w:val="22"/>
        </w:rPr>
        <w:t xml:space="preserve"> stationary air conditioning devices imported in 201</w:t>
      </w:r>
      <w:r>
        <w:rPr>
          <w:szCs w:val="22"/>
        </w:rPr>
        <w:t>6</w:t>
      </w:r>
      <w:r w:rsidRPr="00CB3BC3">
        <w:rPr>
          <w:szCs w:val="22"/>
        </w:rPr>
        <w:t xml:space="preserve">, accounting for more than </w:t>
      </w:r>
      <w:r>
        <w:rPr>
          <w:szCs w:val="22"/>
        </w:rPr>
        <w:t>2,325 tonnes</w:t>
      </w:r>
      <w:r w:rsidR="00C16249">
        <w:rPr>
          <w:szCs w:val="22"/>
        </w:rPr>
        <w:t xml:space="preserve"> of refrigerant</w:t>
      </w:r>
      <w:r>
        <w:rPr>
          <w:szCs w:val="22"/>
        </w:rPr>
        <w:t>, or 70%</w:t>
      </w:r>
      <w:r w:rsidRPr="00CB3BC3">
        <w:rPr>
          <w:szCs w:val="22"/>
        </w:rPr>
        <w:t xml:space="preserve"> of imported refrigerant contained in equipment in that year. </w:t>
      </w:r>
      <w:r>
        <w:rPr>
          <w:szCs w:val="22"/>
        </w:rPr>
        <w:t xml:space="preserve">More than 1.15 </w:t>
      </w:r>
      <w:r w:rsidR="00FE74F2">
        <w:rPr>
          <w:szCs w:val="22"/>
        </w:rPr>
        <w:t>million</w:t>
      </w:r>
      <w:r>
        <w:rPr>
          <w:szCs w:val="22"/>
        </w:rPr>
        <w:t xml:space="preserve"> of these stationary AC were classed as ‘residential’ devices that added more than 1,800 tonnes of </w:t>
      </w:r>
      <w:r w:rsidR="00C16249">
        <w:rPr>
          <w:szCs w:val="22"/>
        </w:rPr>
        <w:t xml:space="preserve">refrigerant </w:t>
      </w:r>
      <w:r>
        <w:rPr>
          <w:szCs w:val="22"/>
        </w:rPr>
        <w:t>to the bank.</w:t>
      </w:r>
    </w:p>
    <w:p w14:paraId="0B794F68" w14:textId="77777777" w:rsidR="00650D66" w:rsidRDefault="00650D66" w:rsidP="00650D66">
      <w:pPr>
        <w:rPr>
          <w:szCs w:val="22"/>
        </w:rPr>
      </w:pPr>
      <w:r>
        <w:rPr>
          <w:szCs w:val="22"/>
        </w:rPr>
        <w:t>This compares to PCE imports of both residential and commercial AC systems totalling slightly more than a million pieces in 2012, at the time containing around 1,688 tonnes of refrigerant in total.</w:t>
      </w:r>
    </w:p>
    <w:p w14:paraId="47E8059F" w14:textId="1E9078D0" w:rsidR="002103FB" w:rsidRDefault="002103FB">
      <w:pPr>
        <w:spacing w:before="0"/>
        <w:jc w:val="left"/>
        <w:rPr>
          <w:rFonts w:cs="Times New Roman"/>
          <w:szCs w:val="22"/>
          <w:lang w:val="en-US"/>
        </w:rPr>
      </w:pPr>
      <w:bookmarkStart w:id="75" w:name="OLE_LINK1"/>
      <w:r>
        <w:rPr>
          <w:rFonts w:cs="Times New Roman"/>
          <w:szCs w:val="22"/>
          <w:lang w:val="en-US"/>
        </w:rPr>
        <w:br w:type="page"/>
      </w:r>
    </w:p>
    <w:p w14:paraId="2777752B" w14:textId="77777777" w:rsidR="00650D66" w:rsidRDefault="00650D66" w:rsidP="00650D66">
      <w:pPr>
        <w:rPr>
          <w:rFonts w:cs="Times New Roman"/>
          <w:szCs w:val="22"/>
          <w:lang w:val="en-US"/>
        </w:rPr>
      </w:pPr>
    </w:p>
    <w:tbl>
      <w:tblPr>
        <w:tblW w:w="9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8"/>
      </w:tblGrid>
      <w:tr w:rsidR="00650D66" w:rsidRPr="00613398" w14:paraId="67D60B06" w14:textId="77777777" w:rsidTr="00EB5196">
        <w:tc>
          <w:tcPr>
            <w:tcW w:w="9748" w:type="dxa"/>
            <w:vAlign w:val="center"/>
          </w:tcPr>
          <w:p w14:paraId="2B2C917C" w14:textId="67C77982" w:rsidR="00650D66" w:rsidRPr="00613398" w:rsidRDefault="00650D66" w:rsidP="00EB5196">
            <w:pPr>
              <w:spacing w:after="120"/>
              <w:jc w:val="center"/>
              <w:rPr>
                <w:rFonts w:cs="Times New Roman"/>
                <w:b/>
              </w:rPr>
            </w:pPr>
            <w:r w:rsidRPr="00613398">
              <w:rPr>
                <w:rFonts w:cs="Times New Roman"/>
                <w:b/>
              </w:rPr>
              <w:br w:type="page"/>
            </w:r>
            <w:r>
              <w:rPr>
                <w:rFonts w:cs="Times New Roman"/>
                <w:b/>
              </w:rPr>
              <w:t>PCE i</w:t>
            </w:r>
            <w:r w:rsidR="005631FA">
              <w:rPr>
                <w:rFonts w:cs="Times New Roman"/>
                <w:b/>
              </w:rPr>
              <w:t>mports by application in 2016 (t</w:t>
            </w:r>
            <w:r>
              <w:rPr>
                <w:rFonts w:cs="Times New Roman"/>
                <w:b/>
              </w:rPr>
              <w:t>onnes and %)</w:t>
            </w:r>
          </w:p>
        </w:tc>
      </w:tr>
      <w:tr w:rsidR="00650D66" w:rsidRPr="000F7FAE" w14:paraId="6DDC1DFF" w14:textId="77777777" w:rsidTr="00EB5196">
        <w:tc>
          <w:tcPr>
            <w:tcW w:w="9748" w:type="dxa"/>
            <w:vAlign w:val="center"/>
          </w:tcPr>
          <w:p w14:paraId="1971E23D" w14:textId="77777777" w:rsidR="00650D66" w:rsidRPr="000F7FAE" w:rsidRDefault="00650D66" w:rsidP="00EB5196">
            <w:pPr>
              <w:spacing w:before="60" w:after="60"/>
              <w:jc w:val="center"/>
              <w:rPr>
                <w:sz w:val="16"/>
                <w:szCs w:val="16"/>
              </w:rPr>
            </w:pPr>
          </w:p>
          <w:p w14:paraId="4100F7B5" w14:textId="77777777" w:rsidR="00650D66" w:rsidRPr="000F7FAE" w:rsidRDefault="00650D66" w:rsidP="00EB5196">
            <w:pPr>
              <w:spacing w:before="60" w:after="60"/>
              <w:jc w:val="center"/>
              <w:rPr>
                <w:sz w:val="16"/>
                <w:szCs w:val="16"/>
              </w:rPr>
            </w:pPr>
            <w:r>
              <w:rPr>
                <w:noProof/>
                <w:lang w:val="en-AU" w:eastAsia="en-AU"/>
              </w:rPr>
              <w:drawing>
                <wp:inline distT="0" distB="0" distL="0" distR="0" wp14:anchorId="57FDF97A" wp14:editId="4558A745">
                  <wp:extent cx="5001028" cy="3266440"/>
                  <wp:effectExtent l="0" t="0" r="317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2116" cy="3286745"/>
                          </a:xfrm>
                          <a:prstGeom prst="rect">
                            <a:avLst/>
                          </a:prstGeom>
                        </pic:spPr>
                      </pic:pic>
                    </a:graphicData>
                  </a:graphic>
                </wp:inline>
              </w:drawing>
            </w:r>
          </w:p>
          <w:p w14:paraId="5D2BA169" w14:textId="77777777" w:rsidR="00650D66" w:rsidRPr="000F7FAE" w:rsidRDefault="00650D66" w:rsidP="00EB5196">
            <w:pPr>
              <w:spacing w:before="60" w:after="60"/>
              <w:jc w:val="center"/>
              <w:rPr>
                <w:sz w:val="16"/>
                <w:szCs w:val="16"/>
              </w:rPr>
            </w:pPr>
          </w:p>
        </w:tc>
      </w:tr>
      <w:tr w:rsidR="00650D66" w:rsidRPr="00923150" w14:paraId="7A164EBB" w14:textId="77777777" w:rsidTr="00EB5196">
        <w:tc>
          <w:tcPr>
            <w:tcW w:w="9748" w:type="dxa"/>
            <w:vAlign w:val="center"/>
          </w:tcPr>
          <w:p w14:paraId="3077AC36" w14:textId="5EFAB904" w:rsidR="00650D66" w:rsidRPr="00BB16C6" w:rsidRDefault="00BB16C6" w:rsidP="00BB16C6">
            <w:pPr>
              <w:pStyle w:val="Caption"/>
            </w:pPr>
            <w:bookmarkStart w:id="76" w:name="_Toc525141341"/>
            <w:r w:rsidRPr="00BB16C6">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10</w:t>
            </w:r>
            <w:r w:rsidR="009D6843">
              <w:rPr>
                <w:noProof/>
              </w:rPr>
              <w:fldChar w:fldCharType="end"/>
            </w:r>
            <w:r w:rsidR="00650D66" w:rsidRPr="00BB16C6">
              <w:rPr>
                <w:bCs w:val="0"/>
              </w:rPr>
              <w:t>: Tonnes of refrigerant in pre-charged equipment imports in 2016 dissected by application and per cent of annual imports.</w:t>
            </w:r>
            <w:bookmarkEnd w:id="76"/>
          </w:p>
        </w:tc>
      </w:tr>
    </w:tbl>
    <w:p w14:paraId="44D76833" w14:textId="77777777" w:rsidR="00650D66" w:rsidRDefault="00650D66" w:rsidP="00650D66">
      <w:pPr>
        <w:spacing w:before="0"/>
        <w:rPr>
          <w:szCs w:val="22"/>
        </w:rPr>
      </w:pPr>
      <w:r>
        <w:rPr>
          <w:szCs w:val="22"/>
        </w:rPr>
        <w:t>(Source: DoEE 2017)</w:t>
      </w:r>
    </w:p>
    <w:p w14:paraId="16C54791" w14:textId="77777777" w:rsidR="00650D66" w:rsidRDefault="00650D66" w:rsidP="00650D66">
      <w:pPr>
        <w:rPr>
          <w:rFonts w:cs="Times New Roman"/>
          <w:szCs w:val="22"/>
          <w:lang w:val="en-US"/>
        </w:rPr>
      </w:pPr>
    </w:p>
    <w:bookmarkEnd w:id="75"/>
    <w:p w14:paraId="295753C1" w14:textId="7DF23596" w:rsidR="00650D66" w:rsidRDefault="00650D66" w:rsidP="00650D66">
      <w:pPr>
        <w:rPr>
          <w:szCs w:val="22"/>
        </w:rPr>
      </w:pPr>
      <w:r w:rsidRPr="001E6117">
        <w:rPr>
          <w:szCs w:val="22"/>
        </w:rPr>
        <w:t>Single split systems sales</w:t>
      </w:r>
      <w:r>
        <w:rPr>
          <w:szCs w:val="22"/>
        </w:rPr>
        <w:t>,</w:t>
      </w:r>
      <w:r w:rsidRPr="001E6117">
        <w:rPr>
          <w:szCs w:val="22"/>
        </w:rPr>
        <w:t xml:space="preserve"> including wall</w:t>
      </w:r>
      <w:r w:rsidR="00472A27">
        <w:rPr>
          <w:szCs w:val="22"/>
        </w:rPr>
        <w:t>-</w:t>
      </w:r>
      <w:r w:rsidRPr="001E6117">
        <w:rPr>
          <w:szCs w:val="22"/>
        </w:rPr>
        <w:t xml:space="preserve">hung, cassette, consoles and ducted </w:t>
      </w:r>
      <w:r>
        <w:rPr>
          <w:szCs w:val="22"/>
        </w:rPr>
        <w:t xml:space="preserve">systems </w:t>
      </w:r>
      <w:r w:rsidRPr="001E6117">
        <w:rPr>
          <w:szCs w:val="22"/>
        </w:rPr>
        <w:t xml:space="preserve">have grown </w:t>
      </w:r>
      <w:r>
        <w:rPr>
          <w:szCs w:val="22"/>
        </w:rPr>
        <w:t>rapidly from 2012 to 2017 with annual sales reported of</w:t>
      </w:r>
      <w:r w:rsidRPr="001E6117">
        <w:rPr>
          <w:szCs w:val="22"/>
        </w:rPr>
        <w:t xml:space="preserve"> 833,000</w:t>
      </w:r>
      <w:r>
        <w:rPr>
          <w:szCs w:val="22"/>
        </w:rPr>
        <w:t xml:space="preserve"> in 2012</w:t>
      </w:r>
      <w:r w:rsidRPr="001E6117">
        <w:rPr>
          <w:szCs w:val="22"/>
        </w:rPr>
        <w:t>; 887,000</w:t>
      </w:r>
      <w:r>
        <w:rPr>
          <w:szCs w:val="22"/>
        </w:rPr>
        <w:t xml:space="preserve"> in 2013</w:t>
      </w:r>
      <w:r w:rsidRPr="001E6117">
        <w:rPr>
          <w:szCs w:val="22"/>
        </w:rPr>
        <w:t>; 934,000</w:t>
      </w:r>
      <w:r>
        <w:rPr>
          <w:szCs w:val="22"/>
        </w:rPr>
        <w:t>, in 2014</w:t>
      </w:r>
      <w:r w:rsidRPr="001E6117">
        <w:rPr>
          <w:szCs w:val="22"/>
        </w:rPr>
        <w:t>; 1,000,000</w:t>
      </w:r>
      <w:r>
        <w:rPr>
          <w:szCs w:val="22"/>
        </w:rPr>
        <w:t xml:space="preserve"> in 2015</w:t>
      </w:r>
      <w:r w:rsidRPr="001E6117">
        <w:rPr>
          <w:szCs w:val="22"/>
        </w:rPr>
        <w:t xml:space="preserve">; </w:t>
      </w:r>
      <w:r>
        <w:rPr>
          <w:szCs w:val="22"/>
        </w:rPr>
        <w:t xml:space="preserve">and </w:t>
      </w:r>
      <w:r w:rsidRPr="001E6117">
        <w:rPr>
          <w:szCs w:val="22"/>
        </w:rPr>
        <w:t>1,177,000</w:t>
      </w:r>
      <w:r>
        <w:rPr>
          <w:szCs w:val="22"/>
        </w:rPr>
        <w:t xml:space="preserve"> in 2016. In 2017 a record number of</w:t>
      </w:r>
      <w:r w:rsidRPr="001E6117">
        <w:rPr>
          <w:szCs w:val="22"/>
        </w:rPr>
        <w:t xml:space="preserve"> 1,356,000</w:t>
      </w:r>
      <w:r>
        <w:rPr>
          <w:szCs w:val="22"/>
        </w:rPr>
        <w:t xml:space="preserve"> single split systems were sold in Australia</w:t>
      </w:r>
      <w:r w:rsidRPr="001E6117">
        <w:rPr>
          <w:szCs w:val="22"/>
        </w:rPr>
        <w:t xml:space="preserve">. The overwhelming majority of split systems are single split systems comprising one indoor unit attached to one outdoor unit. </w:t>
      </w:r>
    </w:p>
    <w:p w14:paraId="1634D0EF" w14:textId="77777777" w:rsidR="00650D66" w:rsidRPr="001E6117" w:rsidRDefault="00650D66" w:rsidP="00650D66">
      <w:pPr>
        <w:rPr>
          <w:szCs w:val="22"/>
        </w:rPr>
      </w:pPr>
      <w:r w:rsidRPr="001E6117">
        <w:rPr>
          <w:szCs w:val="22"/>
        </w:rPr>
        <w:t xml:space="preserve">There has been significant growth in </w:t>
      </w:r>
      <w:r>
        <w:rPr>
          <w:szCs w:val="22"/>
        </w:rPr>
        <w:t xml:space="preserve">single split </w:t>
      </w:r>
      <w:r w:rsidRPr="00CC67D1">
        <w:rPr>
          <w:i/>
          <w:szCs w:val="22"/>
        </w:rPr>
        <w:t>ducted</w:t>
      </w:r>
      <w:r w:rsidRPr="001E6117">
        <w:rPr>
          <w:szCs w:val="22"/>
        </w:rPr>
        <w:t xml:space="preserve"> systems (included in </w:t>
      </w:r>
      <w:r>
        <w:rPr>
          <w:szCs w:val="22"/>
        </w:rPr>
        <w:t xml:space="preserve">the </w:t>
      </w:r>
      <w:r w:rsidRPr="001E6117">
        <w:rPr>
          <w:szCs w:val="22"/>
        </w:rPr>
        <w:t>above numbers) increasing from around 110,000 in 2012 to 197,000 in 2017. Some of the growth has come from compact bulk head units comprising 32% of sales by quantity in 2017 below 10 kWr versus 25% in 2012.</w:t>
      </w:r>
    </w:p>
    <w:p w14:paraId="03400EAF" w14:textId="52749F18" w:rsidR="00650D66" w:rsidRPr="001E6117" w:rsidRDefault="00650D66" w:rsidP="00650D66">
      <w:pPr>
        <w:rPr>
          <w:szCs w:val="22"/>
        </w:rPr>
      </w:pPr>
      <w:r>
        <w:rPr>
          <w:szCs w:val="22"/>
        </w:rPr>
        <w:t>M</w:t>
      </w:r>
      <w:r w:rsidRPr="001E6117">
        <w:rPr>
          <w:szCs w:val="22"/>
        </w:rPr>
        <w:t xml:space="preserve">ulti head split system (excluding VRV/F) sales have grown, from around 23,000 in 2012 and 2013 to </w:t>
      </w:r>
      <w:r>
        <w:rPr>
          <w:szCs w:val="22"/>
        </w:rPr>
        <w:t xml:space="preserve">around </w:t>
      </w:r>
      <w:r w:rsidRPr="001E6117">
        <w:rPr>
          <w:szCs w:val="22"/>
        </w:rPr>
        <w:t xml:space="preserve">40,000 </w:t>
      </w:r>
      <w:r>
        <w:rPr>
          <w:szCs w:val="22"/>
        </w:rPr>
        <w:t>in</w:t>
      </w:r>
      <w:r w:rsidR="00C16249">
        <w:rPr>
          <w:szCs w:val="22"/>
        </w:rPr>
        <w:t xml:space="preserve"> </w:t>
      </w:r>
      <w:r w:rsidRPr="001E6117">
        <w:rPr>
          <w:szCs w:val="22"/>
        </w:rPr>
        <w:t>2017. The ratio of indoor units to outdoor units sold is slowly increasing from a ratio of 1.03 in 2012 to 1.06 in 2017 as sales of multi-head units grows.</w:t>
      </w:r>
    </w:p>
    <w:p w14:paraId="4B800958" w14:textId="77777777" w:rsidR="00650D66" w:rsidRDefault="00650D66" w:rsidP="00650D66">
      <w:pPr>
        <w:rPr>
          <w:szCs w:val="22"/>
        </w:rPr>
      </w:pPr>
      <w:r>
        <w:rPr>
          <w:szCs w:val="22"/>
        </w:rPr>
        <w:t>Mobile AC systems were the second largest category of PCE, containing 17% of HFCs imported in equipment in 2016 and adding some 546 tonnes to the bank, followed by commercial, domestic and mobile refrigeration systems that added 162 tonnes of HFCs to the bank.</w:t>
      </w:r>
    </w:p>
    <w:p w14:paraId="09F35089" w14:textId="582BEBDA" w:rsidR="00650D66" w:rsidRDefault="00650D66" w:rsidP="00650D66">
      <w:pPr>
        <w:rPr>
          <w:szCs w:val="22"/>
        </w:rPr>
      </w:pPr>
      <w:r>
        <w:rPr>
          <w:szCs w:val="22"/>
        </w:rPr>
        <w:t>Unfortunately, a change in the system of collecting data on pre-charged equipment in</w:t>
      </w:r>
      <w:r w:rsidRPr="00CB3BC3">
        <w:rPr>
          <w:szCs w:val="22"/>
        </w:rPr>
        <w:t xml:space="preserve"> 201</w:t>
      </w:r>
      <w:r>
        <w:rPr>
          <w:szCs w:val="22"/>
        </w:rPr>
        <w:t>2 has now made it impractical to directly compare imports of air-conditioning equipment types from prior to 2012 with later imports.</w:t>
      </w:r>
      <w:r w:rsidRPr="00CB3BC3">
        <w:rPr>
          <w:szCs w:val="22"/>
        </w:rPr>
        <w:t xml:space="preserve"> </w:t>
      </w:r>
      <w:r>
        <w:rPr>
          <w:szCs w:val="22"/>
        </w:rPr>
        <w:t xml:space="preserve">Equipment </w:t>
      </w:r>
      <w:r w:rsidRPr="00CB3BC3">
        <w:rPr>
          <w:szCs w:val="22"/>
        </w:rPr>
        <w:t>reporting categories were aggregate</w:t>
      </w:r>
      <w:r>
        <w:rPr>
          <w:szCs w:val="22"/>
        </w:rPr>
        <w:t>d</w:t>
      </w:r>
      <w:r w:rsidRPr="00CB3BC3">
        <w:rPr>
          <w:szCs w:val="22"/>
        </w:rPr>
        <w:t xml:space="preserve">, so much of the detail is not available. </w:t>
      </w:r>
    </w:p>
    <w:p w14:paraId="566560E6" w14:textId="0CF7FCCD" w:rsidR="00650D66" w:rsidRDefault="009F5EAE" w:rsidP="00650D66">
      <w:pPr>
        <w:rPr>
          <w:szCs w:val="22"/>
        </w:rPr>
      </w:pPr>
      <w:r>
        <w:rPr>
          <w:szCs w:val="22"/>
        </w:rPr>
        <w:t>However,</w:t>
      </w:r>
      <w:r w:rsidR="00650D66">
        <w:rPr>
          <w:szCs w:val="22"/>
        </w:rPr>
        <w:t xml:space="preserve"> a</w:t>
      </w:r>
      <w:r w:rsidR="00650D66" w:rsidRPr="00CB3BC3">
        <w:rPr>
          <w:szCs w:val="22"/>
        </w:rPr>
        <w:t xml:space="preserve"> breakdown of </w:t>
      </w:r>
      <w:r w:rsidR="00650D66">
        <w:rPr>
          <w:szCs w:val="22"/>
        </w:rPr>
        <w:t xml:space="preserve">the major categories of pre-charged equipment imports reported </w:t>
      </w:r>
      <w:r w:rsidR="00650D66" w:rsidRPr="00CB3BC3">
        <w:rPr>
          <w:szCs w:val="22"/>
        </w:rPr>
        <w:t>from 20</w:t>
      </w:r>
      <w:r w:rsidR="00650D66">
        <w:rPr>
          <w:szCs w:val="22"/>
        </w:rPr>
        <w:t>13</w:t>
      </w:r>
      <w:r w:rsidR="00650D66" w:rsidRPr="00CB3BC3">
        <w:rPr>
          <w:szCs w:val="22"/>
        </w:rPr>
        <w:t xml:space="preserve"> to 201</w:t>
      </w:r>
      <w:r w:rsidR="00650D66">
        <w:rPr>
          <w:szCs w:val="22"/>
        </w:rPr>
        <w:t>6</w:t>
      </w:r>
      <w:r w:rsidR="00650D66" w:rsidRPr="00CB3BC3">
        <w:rPr>
          <w:szCs w:val="22"/>
        </w:rPr>
        <w:t xml:space="preserve"> is presented in </w:t>
      </w:r>
      <w:r w:rsidR="00650D66" w:rsidRPr="00CB3BC3">
        <w:rPr>
          <w:i/>
          <w:szCs w:val="22"/>
        </w:rPr>
        <w:t xml:space="preserve">Table </w:t>
      </w:r>
      <w:r w:rsidR="001A5DDE">
        <w:rPr>
          <w:i/>
          <w:szCs w:val="22"/>
        </w:rPr>
        <w:t>19</w:t>
      </w:r>
      <w:r w:rsidR="00650D66" w:rsidRPr="00CB3BC3">
        <w:rPr>
          <w:szCs w:val="22"/>
        </w:rPr>
        <w:t xml:space="preserve">. This demonstrates the </w:t>
      </w:r>
      <w:r w:rsidR="00650D66">
        <w:rPr>
          <w:szCs w:val="22"/>
        </w:rPr>
        <w:t xml:space="preserve">relative </w:t>
      </w:r>
      <w:r w:rsidR="00650D66" w:rsidRPr="00CB3BC3">
        <w:rPr>
          <w:szCs w:val="22"/>
        </w:rPr>
        <w:t>scale of stationary air conditioning imports</w:t>
      </w:r>
      <w:r w:rsidR="00650D66">
        <w:rPr>
          <w:szCs w:val="22"/>
        </w:rPr>
        <w:t>, as compared to other categories.</w:t>
      </w:r>
    </w:p>
    <w:p w14:paraId="5068AEBD" w14:textId="43190E75" w:rsidR="00650D66" w:rsidRPr="001A5DDE" w:rsidRDefault="001A5DDE" w:rsidP="002103FB">
      <w:pPr>
        <w:rPr>
          <w:szCs w:val="22"/>
        </w:rPr>
      </w:pPr>
      <w:bookmarkStart w:id="77" w:name="_Toc525141408"/>
      <w:r w:rsidRPr="001A5DDE">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19</w:t>
      </w:r>
      <w:r w:rsidR="009D6843">
        <w:rPr>
          <w:noProof/>
        </w:rPr>
        <w:fldChar w:fldCharType="end"/>
      </w:r>
      <w:r w:rsidRPr="001A5DDE">
        <w:t xml:space="preserve">: </w:t>
      </w:r>
      <w:r w:rsidR="00650D66" w:rsidRPr="001A5DDE">
        <w:rPr>
          <w:szCs w:val="22"/>
        </w:rPr>
        <w:t>Pieces of pre-charged equipment imported from 2013 to 2016.</w:t>
      </w:r>
      <w:bookmarkEnd w:id="77"/>
    </w:p>
    <w:tbl>
      <w:tblPr>
        <w:tblStyle w:val="TableGrid"/>
        <w:tblW w:w="9748" w:type="dxa"/>
        <w:tblInd w:w="-5" w:type="dxa"/>
        <w:tblLook w:val="04A0" w:firstRow="1" w:lastRow="0" w:firstColumn="1" w:lastColumn="0" w:noHBand="0" w:noVBand="1"/>
      </w:tblPr>
      <w:tblGrid>
        <w:gridCol w:w="3370"/>
        <w:gridCol w:w="1594"/>
        <w:gridCol w:w="1595"/>
        <w:gridCol w:w="1594"/>
        <w:gridCol w:w="1595"/>
      </w:tblGrid>
      <w:tr w:rsidR="00650D66" w14:paraId="0602AA9F" w14:textId="77777777" w:rsidTr="00D6002F">
        <w:trPr>
          <w:trHeight w:val="567"/>
        </w:trPr>
        <w:tc>
          <w:tcPr>
            <w:tcW w:w="3370" w:type="dxa"/>
            <w:shd w:val="clear" w:color="auto" w:fill="B6DDE8" w:themeFill="accent5" w:themeFillTint="66"/>
          </w:tcPr>
          <w:p w14:paraId="5B04766E" w14:textId="77777777" w:rsidR="00650D66" w:rsidRDefault="00650D66" w:rsidP="00EB5196">
            <w:pPr>
              <w:spacing w:after="120"/>
              <w:rPr>
                <w:szCs w:val="22"/>
              </w:rPr>
            </w:pPr>
          </w:p>
        </w:tc>
        <w:tc>
          <w:tcPr>
            <w:tcW w:w="1594" w:type="dxa"/>
            <w:shd w:val="clear" w:color="auto" w:fill="B6DDE8" w:themeFill="accent5" w:themeFillTint="66"/>
            <w:vAlign w:val="center"/>
          </w:tcPr>
          <w:p w14:paraId="554037C5" w14:textId="77777777" w:rsidR="00650D66" w:rsidRDefault="00650D66" w:rsidP="00EB5196">
            <w:pPr>
              <w:spacing w:after="120"/>
              <w:jc w:val="center"/>
              <w:rPr>
                <w:szCs w:val="22"/>
              </w:rPr>
            </w:pPr>
            <w:r>
              <w:rPr>
                <w:szCs w:val="22"/>
              </w:rPr>
              <w:t>2013</w:t>
            </w:r>
          </w:p>
        </w:tc>
        <w:tc>
          <w:tcPr>
            <w:tcW w:w="1595" w:type="dxa"/>
            <w:shd w:val="clear" w:color="auto" w:fill="B6DDE8" w:themeFill="accent5" w:themeFillTint="66"/>
            <w:vAlign w:val="center"/>
          </w:tcPr>
          <w:p w14:paraId="1BA86A4B" w14:textId="77777777" w:rsidR="00650D66" w:rsidRDefault="00650D66" w:rsidP="00EB5196">
            <w:pPr>
              <w:spacing w:after="120"/>
              <w:jc w:val="center"/>
              <w:rPr>
                <w:szCs w:val="22"/>
              </w:rPr>
            </w:pPr>
            <w:r>
              <w:rPr>
                <w:szCs w:val="22"/>
              </w:rPr>
              <w:t>2014</w:t>
            </w:r>
          </w:p>
        </w:tc>
        <w:tc>
          <w:tcPr>
            <w:tcW w:w="1594" w:type="dxa"/>
            <w:shd w:val="clear" w:color="auto" w:fill="B6DDE8" w:themeFill="accent5" w:themeFillTint="66"/>
            <w:vAlign w:val="center"/>
          </w:tcPr>
          <w:p w14:paraId="27027E0A" w14:textId="77777777" w:rsidR="00650D66" w:rsidRDefault="00650D66" w:rsidP="00EB5196">
            <w:pPr>
              <w:spacing w:after="120"/>
              <w:jc w:val="center"/>
              <w:rPr>
                <w:szCs w:val="22"/>
              </w:rPr>
            </w:pPr>
            <w:r>
              <w:rPr>
                <w:szCs w:val="22"/>
              </w:rPr>
              <w:t>2015</w:t>
            </w:r>
          </w:p>
        </w:tc>
        <w:tc>
          <w:tcPr>
            <w:tcW w:w="1595" w:type="dxa"/>
            <w:shd w:val="clear" w:color="auto" w:fill="B6DDE8" w:themeFill="accent5" w:themeFillTint="66"/>
            <w:vAlign w:val="center"/>
          </w:tcPr>
          <w:p w14:paraId="25AA015A" w14:textId="77777777" w:rsidR="00650D66" w:rsidRDefault="00650D66" w:rsidP="00EB5196">
            <w:pPr>
              <w:spacing w:after="120"/>
              <w:jc w:val="center"/>
              <w:rPr>
                <w:szCs w:val="22"/>
              </w:rPr>
            </w:pPr>
            <w:r>
              <w:rPr>
                <w:szCs w:val="22"/>
              </w:rPr>
              <w:t>2016</w:t>
            </w:r>
          </w:p>
        </w:tc>
      </w:tr>
      <w:tr w:rsidR="00650D66" w14:paraId="2F7D8E3F" w14:textId="77777777" w:rsidTr="00EB5196">
        <w:trPr>
          <w:trHeight w:val="567"/>
        </w:trPr>
        <w:tc>
          <w:tcPr>
            <w:tcW w:w="3370" w:type="dxa"/>
            <w:vAlign w:val="center"/>
          </w:tcPr>
          <w:p w14:paraId="2F584FD5" w14:textId="77777777" w:rsidR="00650D66" w:rsidRPr="000D5AC5" w:rsidRDefault="00650D66" w:rsidP="00EB5196">
            <w:pPr>
              <w:spacing w:before="60" w:after="60"/>
              <w:jc w:val="left"/>
              <w:rPr>
                <w:szCs w:val="22"/>
              </w:rPr>
            </w:pPr>
            <w:r w:rsidRPr="000D5AC5">
              <w:rPr>
                <w:color w:val="000000"/>
                <w:szCs w:val="22"/>
              </w:rPr>
              <w:t>Residential use air-conditioning</w:t>
            </w:r>
          </w:p>
        </w:tc>
        <w:tc>
          <w:tcPr>
            <w:tcW w:w="1594" w:type="dxa"/>
            <w:vAlign w:val="center"/>
          </w:tcPr>
          <w:p w14:paraId="69FB6F73" w14:textId="77777777" w:rsidR="00650D66" w:rsidRPr="000D5AC5" w:rsidRDefault="00650D66" w:rsidP="00EB5196">
            <w:pPr>
              <w:spacing w:before="60" w:after="60"/>
              <w:jc w:val="center"/>
              <w:rPr>
                <w:szCs w:val="22"/>
              </w:rPr>
            </w:pPr>
            <w:r w:rsidRPr="000D5AC5">
              <w:rPr>
                <w:color w:val="000000"/>
              </w:rPr>
              <w:t>1,005,503</w:t>
            </w:r>
          </w:p>
        </w:tc>
        <w:tc>
          <w:tcPr>
            <w:tcW w:w="1595" w:type="dxa"/>
            <w:vAlign w:val="center"/>
          </w:tcPr>
          <w:p w14:paraId="6DEF7D25" w14:textId="77777777" w:rsidR="00650D66" w:rsidRPr="000D5AC5" w:rsidRDefault="00650D66" w:rsidP="00EB5196">
            <w:pPr>
              <w:spacing w:before="60" w:after="60"/>
              <w:jc w:val="center"/>
              <w:rPr>
                <w:szCs w:val="22"/>
              </w:rPr>
            </w:pPr>
            <w:r w:rsidRPr="000D5AC5">
              <w:rPr>
                <w:color w:val="000000"/>
              </w:rPr>
              <w:t>1,066,378</w:t>
            </w:r>
          </w:p>
        </w:tc>
        <w:tc>
          <w:tcPr>
            <w:tcW w:w="1594" w:type="dxa"/>
            <w:vAlign w:val="center"/>
          </w:tcPr>
          <w:p w14:paraId="17A0E3A3" w14:textId="77777777" w:rsidR="00650D66" w:rsidRPr="000D5AC5" w:rsidRDefault="00650D66" w:rsidP="00EB5196">
            <w:pPr>
              <w:spacing w:before="60" w:after="60"/>
              <w:jc w:val="center"/>
              <w:rPr>
                <w:szCs w:val="22"/>
              </w:rPr>
            </w:pPr>
            <w:r w:rsidRPr="000D5AC5">
              <w:rPr>
                <w:color w:val="000000"/>
              </w:rPr>
              <w:t>1,168,421</w:t>
            </w:r>
          </w:p>
        </w:tc>
        <w:tc>
          <w:tcPr>
            <w:tcW w:w="1595" w:type="dxa"/>
            <w:vAlign w:val="center"/>
          </w:tcPr>
          <w:p w14:paraId="1249ACF9" w14:textId="77777777" w:rsidR="00650D66" w:rsidRPr="000D5AC5" w:rsidRDefault="00650D66" w:rsidP="00EB5196">
            <w:pPr>
              <w:spacing w:before="60" w:after="60"/>
              <w:jc w:val="center"/>
              <w:rPr>
                <w:szCs w:val="22"/>
              </w:rPr>
            </w:pPr>
            <w:r w:rsidRPr="000D5AC5">
              <w:rPr>
                <w:color w:val="000000"/>
              </w:rPr>
              <w:t>1,159,087</w:t>
            </w:r>
          </w:p>
        </w:tc>
      </w:tr>
      <w:tr w:rsidR="00650D66" w14:paraId="06B2D3D5" w14:textId="77777777" w:rsidTr="00EB5196">
        <w:trPr>
          <w:trHeight w:val="567"/>
        </w:trPr>
        <w:tc>
          <w:tcPr>
            <w:tcW w:w="3370" w:type="dxa"/>
            <w:vAlign w:val="center"/>
          </w:tcPr>
          <w:p w14:paraId="7EC6CCCB" w14:textId="77777777" w:rsidR="00650D66" w:rsidRPr="000D5AC5" w:rsidRDefault="00650D66" w:rsidP="00EB5196">
            <w:pPr>
              <w:spacing w:before="60" w:after="60"/>
              <w:jc w:val="left"/>
              <w:rPr>
                <w:szCs w:val="22"/>
              </w:rPr>
            </w:pPr>
            <w:r w:rsidRPr="000D5AC5">
              <w:rPr>
                <w:color w:val="000000"/>
                <w:szCs w:val="22"/>
              </w:rPr>
              <w:t>Commercial use air-conditioning</w:t>
            </w:r>
          </w:p>
        </w:tc>
        <w:tc>
          <w:tcPr>
            <w:tcW w:w="1594" w:type="dxa"/>
            <w:vAlign w:val="center"/>
          </w:tcPr>
          <w:p w14:paraId="2BAB73A5" w14:textId="77777777" w:rsidR="00650D66" w:rsidRPr="000D5AC5" w:rsidRDefault="00650D66" w:rsidP="00EB5196">
            <w:pPr>
              <w:spacing w:before="60" w:after="60"/>
              <w:jc w:val="center"/>
              <w:rPr>
                <w:szCs w:val="22"/>
              </w:rPr>
            </w:pPr>
            <w:r w:rsidRPr="000D5AC5">
              <w:rPr>
                <w:color w:val="000000"/>
              </w:rPr>
              <w:t>77,024</w:t>
            </w:r>
          </w:p>
        </w:tc>
        <w:tc>
          <w:tcPr>
            <w:tcW w:w="1595" w:type="dxa"/>
            <w:vAlign w:val="center"/>
          </w:tcPr>
          <w:p w14:paraId="6B8049FF" w14:textId="77777777" w:rsidR="00650D66" w:rsidRPr="000D5AC5" w:rsidRDefault="00650D66" w:rsidP="00EB5196">
            <w:pPr>
              <w:spacing w:before="60" w:after="60"/>
              <w:jc w:val="center"/>
              <w:rPr>
                <w:szCs w:val="22"/>
              </w:rPr>
            </w:pPr>
            <w:r w:rsidRPr="000D5AC5">
              <w:rPr>
                <w:color w:val="000000"/>
              </w:rPr>
              <w:t>67,660</w:t>
            </w:r>
          </w:p>
        </w:tc>
        <w:tc>
          <w:tcPr>
            <w:tcW w:w="1594" w:type="dxa"/>
            <w:vAlign w:val="center"/>
          </w:tcPr>
          <w:p w14:paraId="33A3994C" w14:textId="77777777" w:rsidR="00650D66" w:rsidRPr="000D5AC5" w:rsidRDefault="00650D66" w:rsidP="00EB5196">
            <w:pPr>
              <w:spacing w:before="60" w:after="60"/>
              <w:jc w:val="center"/>
              <w:rPr>
                <w:szCs w:val="22"/>
              </w:rPr>
            </w:pPr>
            <w:r w:rsidRPr="000D5AC5">
              <w:rPr>
                <w:color w:val="000000"/>
              </w:rPr>
              <w:t>114,803</w:t>
            </w:r>
          </w:p>
        </w:tc>
        <w:tc>
          <w:tcPr>
            <w:tcW w:w="1595" w:type="dxa"/>
            <w:vAlign w:val="center"/>
          </w:tcPr>
          <w:p w14:paraId="263CD48C" w14:textId="77777777" w:rsidR="00650D66" w:rsidRPr="000D5AC5" w:rsidRDefault="00650D66" w:rsidP="00EB5196">
            <w:pPr>
              <w:spacing w:before="60" w:after="60"/>
              <w:jc w:val="center"/>
              <w:rPr>
                <w:szCs w:val="22"/>
              </w:rPr>
            </w:pPr>
            <w:r w:rsidRPr="000D5AC5">
              <w:rPr>
                <w:color w:val="000000"/>
              </w:rPr>
              <w:t>99,169</w:t>
            </w:r>
          </w:p>
        </w:tc>
      </w:tr>
      <w:tr w:rsidR="00650D66" w14:paraId="1C15D7B0" w14:textId="77777777" w:rsidTr="00EB5196">
        <w:trPr>
          <w:trHeight w:val="567"/>
        </w:trPr>
        <w:tc>
          <w:tcPr>
            <w:tcW w:w="3370" w:type="dxa"/>
            <w:vAlign w:val="center"/>
          </w:tcPr>
          <w:p w14:paraId="1575451C" w14:textId="77777777" w:rsidR="00650D66" w:rsidRPr="000D5AC5" w:rsidRDefault="00650D66" w:rsidP="00EB5196">
            <w:pPr>
              <w:spacing w:before="60" w:after="60"/>
              <w:jc w:val="left"/>
              <w:rPr>
                <w:szCs w:val="22"/>
              </w:rPr>
            </w:pPr>
            <w:r w:rsidRPr="000D5AC5">
              <w:rPr>
                <w:color w:val="000000"/>
                <w:szCs w:val="22"/>
              </w:rPr>
              <w:t>Motor vehicle, watercraft or aircraft air-conditioning</w:t>
            </w:r>
          </w:p>
        </w:tc>
        <w:tc>
          <w:tcPr>
            <w:tcW w:w="1594" w:type="dxa"/>
            <w:vAlign w:val="center"/>
          </w:tcPr>
          <w:p w14:paraId="4EE8F586" w14:textId="77777777" w:rsidR="00650D66" w:rsidRPr="000D5AC5" w:rsidRDefault="00650D66" w:rsidP="00EB5196">
            <w:pPr>
              <w:spacing w:before="60" w:after="60"/>
              <w:jc w:val="center"/>
              <w:rPr>
                <w:szCs w:val="22"/>
              </w:rPr>
            </w:pPr>
            <w:r w:rsidRPr="000D5AC5">
              <w:rPr>
                <w:color w:val="000000"/>
              </w:rPr>
              <w:t>986,923</w:t>
            </w:r>
          </w:p>
        </w:tc>
        <w:tc>
          <w:tcPr>
            <w:tcW w:w="1595" w:type="dxa"/>
            <w:vAlign w:val="center"/>
          </w:tcPr>
          <w:p w14:paraId="5A1FF1EA" w14:textId="77777777" w:rsidR="00650D66" w:rsidRPr="000D5AC5" w:rsidRDefault="00650D66" w:rsidP="00EB5196">
            <w:pPr>
              <w:spacing w:before="60" w:after="60"/>
              <w:jc w:val="center"/>
              <w:rPr>
                <w:szCs w:val="22"/>
              </w:rPr>
            </w:pPr>
            <w:r w:rsidRPr="000D5AC5">
              <w:rPr>
                <w:color w:val="000000"/>
              </w:rPr>
              <w:t>919,906</w:t>
            </w:r>
          </w:p>
        </w:tc>
        <w:tc>
          <w:tcPr>
            <w:tcW w:w="1594" w:type="dxa"/>
            <w:vAlign w:val="center"/>
          </w:tcPr>
          <w:p w14:paraId="16908EDA" w14:textId="77777777" w:rsidR="00650D66" w:rsidRPr="000D5AC5" w:rsidRDefault="00650D66" w:rsidP="00EB5196">
            <w:pPr>
              <w:spacing w:before="60" w:after="60"/>
              <w:jc w:val="center"/>
              <w:rPr>
                <w:szCs w:val="22"/>
              </w:rPr>
            </w:pPr>
            <w:r w:rsidRPr="000D5AC5">
              <w:rPr>
                <w:color w:val="000000"/>
              </w:rPr>
              <w:t>995,687</w:t>
            </w:r>
          </w:p>
        </w:tc>
        <w:tc>
          <w:tcPr>
            <w:tcW w:w="1595" w:type="dxa"/>
            <w:vAlign w:val="center"/>
          </w:tcPr>
          <w:p w14:paraId="42C509CD" w14:textId="77777777" w:rsidR="00650D66" w:rsidRPr="000D5AC5" w:rsidRDefault="00650D66" w:rsidP="00EB5196">
            <w:pPr>
              <w:spacing w:before="60" w:after="60"/>
              <w:jc w:val="center"/>
              <w:rPr>
                <w:szCs w:val="22"/>
              </w:rPr>
            </w:pPr>
            <w:r w:rsidRPr="000D5AC5">
              <w:rPr>
                <w:color w:val="000000"/>
              </w:rPr>
              <w:t>924,854</w:t>
            </w:r>
          </w:p>
        </w:tc>
      </w:tr>
      <w:tr w:rsidR="00650D66" w14:paraId="2CDDCFD5" w14:textId="77777777" w:rsidTr="00EB5196">
        <w:trPr>
          <w:trHeight w:val="567"/>
        </w:trPr>
        <w:tc>
          <w:tcPr>
            <w:tcW w:w="3370" w:type="dxa"/>
            <w:vAlign w:val="center"/>
          </w:tcPr>
          <w:p w14:paraId="0D004917" w14:textId="77777777" w:rsidR="00650D66" w:rsidRPr="000D5AC5" w:rsidRDefault="00650D66" w:rsidP="00EB5196">
            <w:pPr>
              <w:spacing w:before="60" w:after="60"/>
              <w:jc w:val="left"/>
              <w:rPr>
                <w:szCs w:val="22"/>
              </w:rPr>
            </w:pPr>
            <w:r w:rsidRPr="000D5AC5">
              <w:rPr>
                <w:color w:val="000000"/>
                <w:szCs w:val="22"/>
              </w:rPr>
              <w:t>Domestic use refrigeration</w:t>
            </w:r>
          </w:p>
        </w:tc>
        <w:tc>
          <w:tcPr>
            <w:tcW w:w="1594" w:type="dxa"/>
            <w:vAlign w:val="center"/>
          </w:tcPr>
          <w:p w14:paraId="5F00BC23" w14:textId="77777777" w:rsidR="00650D66" w:rsidRPr="000D5AC5" w:rsidRDefault="00650D66" w:rsidP="00EB5196">
            <w:pPr>
              <w:spacing w:before="60" w:after="60"/>
              <w:jc w:val="center"/>
              <w:rPr>
                <w:szCs w:val="22"/>
              </w:rPr>
            </w:pPr>
            <w:r w:rsidRPr="000D5AC5">
              <w:rPr>
                <w:color w:val="000000"/>
              </w:rPr>
              <w:t>444,590</w:t>
            </w:r>
          </w:p>
        </w:tc>
        <w:tc>
          <w:tcPr>
            <w:tcW w:w="1595" w:type="dxa"/>
            <w:vAlign w:val="center"/>
          </w:tcPr>
          <w:p w14:paraId="3A3E812D" w14:textId="77777777" w:rsidR="00650D66" w:rsidRPr="000D5AC5" w:rsidRDefault="00650D66" w:rsidP="00EB5196">
            <w:pPr>
              <w:spacing w:before="60" w:after="60"/>
              <w:jc w:val="center"/>
              <w:rPr>
                <w:szCs w:val="22"/>
              </w:rPr>
            </w:pPr>
            <w:r w:rsidRPr="000D5AC5">
              <w:rPr>
                <w:color w:val="000000"/>
              </w:rPr>
              <w:t>319,614</w:t>
            </w:r>
          </w:p>
        </w:tc>
        <w:tc>
          <w:tcPr>
            <w:tcW w:w="1594" w:type="dxa"/>
            <w:vAlign w:val="center"/>
          </w:tcPr>
          <w:p w14:paraId="0AEE7BDC" w14:textId="77777777" w:rsidR="00650D66" w:rsidRPr="000D5AC5" w:rsidRDefault="00650D66" w:rsidP="00EB5196">
            <w:pPr>
              <w:spacing w:before="60" w:after="60"/>
              <w:jc w:val="center"/>
              <w:rPr>
                <w:szCs w:val="22"/>
              </w:rPr>
            </w:pPr>
            <w:r w:rsidRPr="000D5AC5">
              <w:rPr>
                <w:color w:val="000000"/>
              </w:rPr>
              <w:t>256,664</w:t>
            </w:r>
          </w:p>
        </w:tc>
        <w:tc>
          <w:tcPr>
            <w:tcW w:w="1595" w:type="dxa"/>
            <w:vAlign w:val="center"/>
          </w:tcPr>
          <w:p w14:paraId="7A125899" w14:textId="77777777" w:rsidR="00650D66" w:rsidRPr="000D5AC5" w:rsidRDefault="00650D66" w:rsidP="00EB5196">
            <w:pPr>
              <w:spacing w:before="60" w:after="60"/>
              <w:jc w:val="center"/>
              <w:rPr>
                <w:szCs w:val="22"/>
              </w:rPr>
            </w:pPr>
            <w:r w:rsidRPr="000D5AC5">
              <w:rPr>
                <w:color w:val="000000"/>
              </w:rPr>
              <w:t>257,985</w:t>
            </w:r>
          </w:p>
        </w:tc>
      </w:tr>
      <w:tr w:rsidR="00650D66" w14:paraId="17AB6182" w14:textId="77777777" w:rsidTr="00EB5196">
        <w:trPr>
          <w:trHeight w:val="567"/>
        </w:trPr>
        <w:tc>
          <w:tcPr>
            <w:tcW w:w="3370" w:type="dxa"/>
            <w:vAlign w:val="center"/>
          </w:tcPr>
          <w:p w14:paraId="547AE7BC" w14:textId="77777777" w:rsidR="00650D66" w:rsidRPr="000D5AC5" w:rsidRDefault="00650D66" w:rsidP="00EB5196">
            <w:pPr>
              <w:spacing w:before="60" w:after="60"/>
              <w:jc w:val="left"/>
              <w:rPr>
                <w:szCs w:val="22"/>
              </w:rPr>
            </w:pPr>
            <w:r w:rsidRPr="000D5AC5">
              <w:rPr>
                <w:color w:val="000000"/>
                <w:szCs w:val="22"/>
              </w:rPr>
              <w:t>Commercial use refrigeration</w:t>
            </w:r>
          </w:p>
        </w:tc>
        <w:tc>
          <w:tcPr>
            <w:tcW w:w="1594" w:type="dxa"/>
            <w:vAlign w:val="center"/>
          </w:tcPr>
          <w:p w14:paraId="0A18EA79" w14:textId="77777777" w:rsidR="00650D66" w:rsidRPr="000D5AC5" w:rsidRDefault="00650D66" w:rsidP="00EB5196">
            <w:pPr>
              <w:spacing w:before="60" w:after="60"/>
              <w:jc w:val="center"/>
              <w:rPr>
                <w:szCs w:val="22"/>
              </w:rPr>
            </w:pPr>
            <w:r w:rsidRPr="000D5AC5">
              <w:rPr>
                <w:color w:val="000000"/>
              </w:rPr>
              <w:t>110,446</w:t>
            </w:r>
          </w:p>
        </w:tc>
        <w:tc>
          <w:tcPr>
            <w:tcW w:w="1595" w:type="dxa"/>
            <w:vAlign w:val="center"/>
          </w:tcPr>
          <w:p w14:paraId="78E7C8E5" w14:textId="77777777" w:rsidR="00650D66" w:rsidRPr="000D5AC5" w:rsidRDefault="00650D66" w:rsidP="00EB5196">
            <w:pPr>
              <w:spacing w:before="60" w:after="60"/>
              <w:jc w:val="center"/>
              <w:rPr>
                <w:szCs w:val="22"/>
              </w:rPr>
            </w:pPr>
            <w:r w:rsidRPr="000D5AC5">
              <w:rPr>
                <w:color w:val="000000"/>
              </w:rPr>
              <w:t>91,456</w:t>
            </w:r>
          </w:p>
        </w:tc>
        <w:tc>
          <w:tcPr>
            <w:tcW w:w="1594" w:type="dxa"/>
            <w:vAlign w:val="center"/>
          </w:tcPr>
          <w:p w14:paraId="6F12E815" w14:textId="77777777" w:rsidR="00650D66" w:rsidRPr="000D5AC5" w:rsidRDefault="00650D66" w:rsidP="00EB5196">
            <w:pPr>
              <w:spacing w:before="60" w:after="60"/>
              <w:jc w:val="center"/>
              <w:rPr>
                <w:szCs w:val="22"/>
              </w:rPr>
            </w:pPr>
            <w:r w:rsidRPr="000D5AC5">
              <w:rPr>
                <w:color w:val="000000"/>
              </w:rPr>
              <w:t>117,922</w:t>
            </w:r>
          </w:p>
        </w:tc>
        <w:tc>
          <w:tcPr>
            <w:tcW w:w="1595" w:type="dxa"/>
            <w:vAlign w:val="center"/>
          </w:tcPr>
          <w:p w14:paraId="435E673D" w14:textId="77777777" w:rsidR="00650D66" w:rsidRPr="000D5AC5" w:rsidRDefault="00650D66" w:rsidP="00EB5196">
            <w:pPr>
              <w:spacing w:before="60" w:after="60"/>
              <w:jc w:val="center"/>
              <w:rPr>
                <w:szCs w:val="22"/>
              </w:rPr>
            </w:pPr>
            <w:r w:rsidRPr="000D5AC5">
              <w:rPr>
                <w:color w:val="000000"/>
              </w:rPr>
              <w:t>108,181</w:t>
            </w:r>
          </w:p>
        </w:tc>
      </w:tr>
      <w:tr w:rsidR="00650D66" w14:paraId="39C819BF" w14:textId="77777777" w:rsidTr="00EB5196">
        <w:trPr>
          <w:trHeight w:val="567"/>
        </w:trPr>
        <w:tc>
          <w:tcPr>
            <w:tcW w:w="3370" w:type="dxa"/>
            <w:vAlign w:val="center"/>
          </w:tcPr>
          <w:p w14:paraId="24C8839B" w14:textId="77777777" w:rsidR="00650D66" w:rsidRPr="000D5AC5" w:rsidRDefault="00650D66" w:rsidP="00EB5196">
            <w:pPr>
              <w:spacing w:before="60" w:after="60"/>
              <w:jc w:val="left"/>
              <w:rPr>
                <w:szCs w:val="22"/>
              </w:rPr>
            </w:pPr>
            <w:r w:rsidRPr="000D5AC5">
              <w:rPr>
                <w:color w:val="000000"/>
                <w:szCs w:val="22"/>
              </w:rPr>
              <w:t>Motor vehicle, watercraft or aircraft refrigeration</w:t>
            </w:r>
          </w:p>
        </w:tc>
        <w:tc>
          <w:tcPr>
            <w:tcW w:w="1594" w:type="dxa"/>
            <w:vAlign w:val="center"/>
          </w:tcPr>
          <w:p w14:paraId="3B6DA0CF" w14:textId="77777777" w:rsidR="00650D66" w:rsidRPr="000D5AC5" w:rsidRDefault="00650D66" w:rsidP="00EB5196">
            <w:pPr>
              <w:spacing w:before="60" w:after="60"/>
              <w:jc w:val="center"/>
              <w:rPr>
                <w:szCs w:val="22"/>
              </w:rPr>
            </w:pPr>
            <w:r w:rsidRPr="000D5AC5">
              <w:rPr>
                <w:color w:val="000000"/>
              </w:rPr>
              <w:t>68,219</w:t>
            </w:r>
          </w:p>
        </w:tc>
        <w:tc>
          <w:tcPr>
            <w:tcW w:w="1595" w:type="dxa"/>
            <w:vAlign w:val="center"/>
          </w:tcPr>
          <w:p w14:paraId="77BEF452" w14:textId="77777777" w:rsidR="00650D66" w:rsidRPr="000D5AC5" w:rsidRDefault="00650D66" w:rsidP="00EB5196">
            <w:pPr>
              <w:spacing w:before="60" w:after="60"/>
              <w:jc w:val="center"/>
              <w:rPr>
                <w:szCs w:val="22"/>
              </w:rPr>
            </w:pPr>
            <w:r w:rsidRPr="000D5AC5">
              <w:rPr>
                <w:color w:val="000000"/>
              </w:rPr>
              <w:t>62,719</w:t>
            </w:r>
          </w:p>
        </w:tc>
        <w:tc>
          <w:tcPr>
            <w:tcW w:w="1594" w:type="dxa"/>
            <w:vAlign w:val="center"/>
          </w:tcPr>
          <w:p w14:paraId="73AFE6CC" w14:textId="77777777" w:rsidR="00650D66" w:rsidRPr="000D5AC5" w:rsidRDefault="00650D66" w:rsidP="00EB5196">
            <w:pPr>
              <w:spacing w:before="60" w:after="60"/>
              <w:jc w:val="center"/>
              <w:rPr>
                <w:szCs w:val="22"/>
              </w:rPr>
            </w:pPr>
            <w:r w:rsidRPr="000D5AC5">
              <w:rPr>
                <w:color w:val="000000"/>
              </w:rPr>
              <w:t>105,626</w:t>
            </w:r>
          </w:p>
        </w:tc>
        <w:tc>
          <w:tcPr>
            <w:tcW w:w="1595" w:type="dxa"/>
            <w:vAlign w:val="center"/>
          </w:tcPr>
          <w:p w14:paraId="3E360770" w14:textId="77777777" w:rsidR="00650D66" w:rsidRPr="000D5AC5" w:rsidRDefault="00650D66" w:rsidP="00EB5196">
            <w:pPr>
              <w:spacing w:before="60" w:after="60"/>
              <w:jc w:val="center"/>
              <w:rPr>
                <w:szCs w:val="22"/>
              </w:rPr>
            </w:pPr>
            <w:r w:rsidRPr="000D5AC5">
              <w:rPr>
                <w:color w:val="000000"/>
              </w:rPr>
              <w:t>148,672</w:t>
            </w:r>
          </w:p>
        </w:tc>
      </w:tr>
      <w:tr w:rsidR="00650D66" w14:paraId="431A01A7" w14:textId="77777777" w:rsidTr="00EB5196">
        <w:trPr>
          <w:trHeight w:val="567"/>
        </w:trPr>
        <w:tc>
          <w:tcPr>
            <w:tcW w:w="3370" w:type="dxa"/>
            <w:vAlign w:val="center"/>
          </w:tcPr>
          <w:p w14:paraId="4C9087DB" w14:textId="77777777" w:rsidR="00650D66" w:rsidRPr="000D5AC5" w:rsidRDefault="00650D66" w:rsidP="00EB5196">
            <w:pPr>
              <w:spacing w:before="60" w:after="60"/>
              <w:jc w:val="left"/>
              <w:rPr>
                <w:szCs w:val="22"/>
              </w:rPr>
            </w:pPr>
            <w:r w:rsidRPr="000D5AC5">
              <w:rPr>
                <w:color w:val="000000"/>
                <w:szCs w:val="22"/>
              </w:rPr>
              <w:t>Commercial or domestic use heat pumps</w:t>
            </w:r>
          </w:p>
        </w:tc>
        <w:tc>
          <w:tcPr>
            <w:tcW w:w="1594" w:type="dxa"/>
            <w:vAlign w:val="center"/>
          </w:tcPr>
          <w:p w14:paraId="5FB8C3BC" w14:textId="77777777" w:rsidR="00650D66" w:rsidRPr="000D5AC5" w:rsidRDefault="00650D66" w:rsidP="00EB5196">
            <w:pPr>
              <w:spacing w:before="60" w:after="60"/>
              <w:jc w:val="center"/>
              <w:rPr>
                <w:szCs w:val="22"/>
              </w:rPr>
            </w:pPr>
            <w:r w:rsidRPr="000D5AC5">
              <w:rPr>
                <w:color w:val="000000"/>
              </w:rPr>
              <w:t>17,124</w:t>
            </w:r>
          </w:p>
        </w:tc>
        <w:tc>
          <w:tcPr>
            <w:tcW w:w="1595" w:type="dxa"/>
            <w:vAlign w:val="center"/>
          </w:tcPr>
          <w:p w14:paraId="4E39E1B5" w14:textId="77777777" w:rsidR="00650D66" w:rsidRPr="000D5AC5" w:rsidRDefault="00650D66" w:rsidP="00EB5196">
            <w:pPr>
              <w:spacing w:before="60" w:after="60"/>
              <w:jc w:val="center"/>
              <w:rPr>
                <w:szCs w:val="22"/>
              </w:rPr>
            </w:pPr>
            <w:r w:rsidRPr="000D5AC5">
              <w:rPr>
                <w:color w:val="000000"/>
              </w:rPr>
              <w:t>23,083</w:t>
            </w:r>
          </w:p>
        </w:tc>
        <w:tc>
          <w:tcPr>
            <w:tcW w:w="1594" w:type="dxa"/>
            <w:vAlign w:val="center"/>
          </w:tcPr>
          <w:p w14:paraId="1D94B180" w14:textId="77777777" w:rsidR="00650D66" w:rsidRPr="000D5AC5" w:rsidRDefault="00650D66" w:rsidP="00EB5196">
            <w:pPr>
              <w:spacing w:before="60" w:after="60"/>
              <w:jc w:val="center"/>
              <w:rPr>
                <w:szCs w:val="22"/>
              </w:rPr>
            </w:pPr>
            <w:r w:rsidRPr="000D5AC5">
              <w:rPr>
                <w:color w:val="000000"/>
              </w:rPr>
              <w:t>25,815</w:t>
            </w:r>
          </w:p>
        </w:tc>
        <w:tc>
          <w:tcPr>
            <w:tcW w:w="1595" w:type="dxa"/>
            <w:vAlign w:val="center"/>
          </w:tcPr>
          <w:p w14:paraId="6C6A3FAF" w14:textId="77777777" w:rsidR="00650D66" w:rsidRPr="000D5AC5" w:rsidRDefault="00650D66" w:rsidP="00EB5196">
            <w:pPr>
              <w:spacing w:before="60" w:after="60"/>
              <w:jc w:val="center"/>
              <w:rPr>
                <w:szCs w:val="22"/>
              </w:rPr>
            </w:pPr>
            <w:r w:rsidRPr="000D5AC5">
              <w:rPr>
                <w:color w:val="000000"/>
              </w:rPr>
              <w:t>35,125</w:t>
            </w:r>
          </w:p>
        </w:tc>
      </w:tr>
    </w:tbl>
    <w:p w14:paraId="57BE3EDB" w14:textId="77777777" w:rsidR="00650D66" w:rsidRPr="00F765DA" w:rsidRDefault="00650D66" w:rsidP="00650D66">
      <w:pPr>
        <w:spacing w:before="0"/>
        <w:rPr>
          <w:sz w:val="20"/>
          <w:szCs w:val="20"/>
        </w:rPr>
      </w:pPr>
      <w:r w:rsidRPr="00F765DA">
        <w:rPr>
          <w:sz w:val="20"/>
          <w:szCs w:val="20"/>
        </w:rPr>
        <w:t>(Source: DoEE 2017)</w:t>
      </w:r>
    </w:p>
    <w:p w14:paraId="22DDFCF7" w14:textId="77777777" w:rsidR="007C4568" w:rsidRDefault="007C4568" w:rsidP="00650D66">
      <w:pPr>
        <w:rPr>
          <w:szCs w:val="22"/>
        </w:rPr>
      </w:pPr>
    </w:p>
    <w:p w14:paraId="387E3392" w14:textId="2852FF66" w:rsidR="00650D66" w:rsidRDefault="00650D66" w:rsidP="00650D66">
      <w:pPr>
        <w:rPr>
          <w:szCs w:val="22"/>
        </w:rPr>
      </w:pPr>
      <w:r>
        <w:rPr>
          <w:szCs w:val="22"/>
        </w:rPr>
        <w:t>While individual pieces of MAC imports are approaching the numbers reported for Stationary AC, the much greater contribution to imported HFCs of pre-charged stationary AC is a result of the larger average charge sizes of stationary AC systems, which range from an average charge of 1.6 kg (</w:t>
      </w:r>
      <w:r w:rsidRPr="0099140E">
        <w:rPr>
          <w:i/>
          <w:szCs w:val="22"/>
        </w:rPr>
        <w:t>CHF2 1.7kg</w:t>
      </w:r>
      <w:r>
        <w:rPr>
          <w:szCs w:val="22"/>
        </w:rPr>
        <w:t xml:space="preserve">) in residential systems to average charges of 5 kg in commercial systems. By comparison the average charges in all MAC imported in 2016 were only </w:t>
      </w:r>
      <w:r w:rsidR="00F727EA">
        <w:rPr>
          <w:szCs w:val="22"/>
        </w:rPr>
        <w:t>620</w:t>
      </w:r>
      <w:r>
        <w:rPr>
          <w:szCs w:val="22"/>
        </w:rPr>
        <w:t xml:space="preserve"> grams (</w:t>
      </w:r>
      <w:r w:rsidRPr="0099140E">
        <w:rPr>
          <w:i/>
          <w:szCs w:val="22"/>
        </w:rPr>
        <w:t>CHF2 6</w:t>
      </w:r>
      <w:r>
        <w:rPr>
          <w:i/>
          <w:szCs w:val="22"/>
        </w:rPr>
        <w:t>2</w:t>
      </w:r>
      <w:r w:rsidRPr="0099140E">
        <w:rPr>
          <w:i/>
          <w:szCs w:val="22"/>
        </w:rPr>
        <w:t>5</w:t>
      </w:r>
      <w:r>
        <w:rPr>
          <w:i/>
          <w:szCs w:val="22"/>
        </w:rPr>
        <w:t xml:space="preserve"> </w:t>
      </w:r>
      <w:r w:rsidRPr="0099140E">
        <w:rPr>
          <w:i/>
          <w:szCs w:val="22"/>
        </w:rPr>
        <w:t>g</w:t>
      </w:r>
      <w:r>
        <w:rPr>
          <w:i/>
          <w:szCs w:val="22"/>
        </w:rPr>
        <w:t>ram</w:t>
      </w:r>
      <w:r w:rsidRPr="0099140E">
        <w:rPr>
          <w:i/>
          <w:szCs w:val="22"/>
        </w:rPr>
        <w:t>s</w:t>
      </w:r>
      <w:r>
        <w:rPr>
          <w:szCs w:val="22"/>
        </w:rPr>
        <w:t>).</w:t>
      </w:r>
    </w:p>
    <w:p w14:paraId="5C8D43FA" w14:textId="77777777" w:rsidR="00650D66" w:rsidRDefault="00650D66" w:rsidP="00650D66">
      <w:pPr>
        <w:spacing w:before="0"/>
        <w:jc w:val="left"/>
        <w:rPr>
          <w:szCs w:val="22"/>
        </w:rPr>
      </w:pPr>
    </w:p>
    <w:p w14:paraId="3275A2CA" w14:textId="11CAA05F" w:rsidR="00650D66" w:rsidRDefault="00650D66" w:rsidP="00650D66">
      <w:pPr>
        <w:spacing w:before="0"/>
        <w:jc w:val="left"/>
        <w:rPr>
          <w:szCs w:val="22"/>
        </w:rPr>
      </w:pPr>
      <w:r>
        <w:rPr>
          <w:szCs w:val="22"/>
        </w:rPr>
        <w:t>The dominance of stationary AC in PCE imports is reflected in the mix of refrigerant contained in those imports in 2016</w:t>
      </w:r>
      <w:r w:rsidR="00460EBE">
        <w:rPr>
          <w:szCs w:val="22"/>
        </w:rPr>
        <w:t>,</w:t>
      </w:r>
      <w:r>
        <w:rPr>
          <w:szCs w:val="22"/>
        </w:rPr>
        <w:t xml:space="preserve"> with the refrigerant of choice for stationary AC for the last decade, HFC-410A, dominating the mix. </w:t>
      </w:r>
    </w:p>
    <w:p w14:paraId="65F2F878" w14:textId="55AC8E36" w:rsidR="000073EB" w:rsidRDefault="000073EB">
      <w:pPr>
        <w:spacing w:before="0"/>
        <w:jc w:val="left"/>
        <w:rPr>
          <w:rFonts w:cs="Times New Roman"/>
          <w:szCs w:val="22"/>
          <w:lang w:val="en-US"/>
        </w:rPr>
      </w:pPr>
      <w:r>
        <w:rPr>
          <w:rFonts w:cs="Times New Roman"/>
          <w:szCs w:val="22"/>
          <w:lang w:val="en-US"/>
        </w:rPr>
        <w:br w:type="page"/>
      </w:r>
    </w:p>
    <w:tbl>
      <w:tblPr>
        <w:tblW w:w="9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8"/>
      </w:tblGrid>
      <w:tr w:rsidR="00650D66" w:rsidRPr="00613398" w14:paraId="03602CBA" w14:textId="77777777" w:rsidTr="00EB5196">
        <w:tc>
          <w:tcPr>
            <w:tcW w:w="9748" w:type="dxa"/>
            <w:vAlign w:val="center"/>
          </w:tcPr>
          <w:p w14:paraId="353312AC" w14:textId="77777777" w:rsidR="00650D66" w:rsidRPr="00613398" w:rsidRDefault="00650D66" w:rsidP="00EB5196">
            <w:pPr>
              <w:spacing w:after="120"/>
              <w:jc w:val="center"/>
              <w:rPr>
                <w:rFonts w:cs="Times New Roman"/>
                <w:b/>
              </w:rPr>
            </w:pPr>
            <w:r w:rsidRPr="00613398">
              <w:rPr>
                <w:rFonts w:cs="Times New Roman"/>
                <w:b/>
              </w:rPr>
              <w:br w:type="page"/>
            </w:r>
            <w:r>
              <w:rPr>
                <w:rFonts w:cs="Times New Roman"/>
                <w:b/>
              </w:rPr>
              <w:t>PCE imports by major species in 2016 (tonnes)</w:t>
            </w:r>
          </w:p>
        </w:tc>
      </w:tr>
      <w:tr w:rsidR="00650D66" w:rsidRPr="000F7FAE" w14:paraId="22D92D45" w14:textId="77777777" w:rsidTr="00D100E1">
        <w:tc>
          <w:tcPr>
            <w:tcW w:w="9748" w:type="dxa"/>
            <w:vAlign w:val="center"/>
          </w:tcPr>
          <w:p w14:paraId="1BA07FB0" w14:textId="77777777" w:rsidR="00650D66" w:rsidRPr="000F7FAE" w:rsidRDefault="00650D66" w:rsidP="00EB5196">
            <w:pPr>
              <w:spacing w:before="60" w:after="60"/>
              <w:jc w:val="center"/>
              <w:rPr>
                <w:sz w:val="16"/>
                <w:szCs w:val="16"/>
              </w:rPr>
            </w:pPr>
          </w:p>
          <w:p w14:paraId="774F4B8A" w14:textId="2E014B89" w:rsidR="00650D66" w:rsidRPr="000F7FAE" w:rsidRDefault="00D100E1" w:rsidP="00EB5196">
            <w:pPr>
              <w:spacing w:before="60" w:after="60"/>
              <w:jc w:val="center"/>
              <w:rPr>
                <w:sz w:val="16"/>
                <w:szCs w:val="16"/>
              </w:rPr>
            </w:pPr>
            <w:r>
              <w:rPr>
                <w:noProof/>
                <w:lang w:val="en-AU" w:eastAsia="en-AU"/>
              </w:rPr>
              <w:drawing>
                <wp:inline distT="0" distB="0" distL="0" distR="0" wp14:anchorId="02BB95D3" wp14:editId="7DF57F8E">
                  <wp:extent cx="5727600" cy="4140000"/>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600" cy="4140000"/>
                          </a:xfrm>
                          <a:prstGeom prst="rect">
                            <a:avLst/>
                          </a:prstGeom>
                        </pic:spPr>
                      </pic:pic>
                    </a:graphicData>
                  </a:graphic>
                </wp:inline>
              </w:drawing>
            </w:r>
          </w:p>
          <w:p w14:paraId="3811EDB6" w14:textId="77777777" w:rsidR="00650D66" w:rsidRPr="000F7FAE" w:rsidRDefault="00650D66" w:rsidP="00EB5196">
            <w:pPr>
              <w:spacing w:before="60" w:after="60"/>
              <w:jc w:val="center"/>
              <w:rPr>
                <w:sz w:val="16"/>
                <w:szCs w:val="16"/>
              </w:rPr>
            </w:pPr>
          </w:p>
        </w:tc>
      </w:tr>
      <w:tr w:rsidR="00650D66" w:rsidRPr="00923150" w14:paraId="26519F4C" w14:textId="77777777" w:rsidTr="00EB5196">
        <w:tc>
          <w:tcPr>
            <w:tcW w:w="9748" w:type="dxa"/>
            <w:vAlign w:val="center"/>
          </w:tcPr>
          <w:p w14:paraId="00AA74DB" w14:textId="5D53592E" w:rsidR="00650D66" w:rsidRPr="00BB16C6" w:rsidRDefault="00BB16C6" w:rsidP="00BB16C6">
            <w:pPr>
              <w:pStyle w:val="Caption"/>
            </w:pPr>
            <w:bookmarkStart w:id="78" w:name="_Toc525141342"/>
            <w:r w:rsidRPr="00BB16C6">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11</w:t>
            </w:r>
            <w:r w:rsidR="009D6843">
              <w:rPr>
                <w:noProof/>
              </w:rPr>
              <w:fldChar w:fldCharType="end"/>
            </w:r>
            <w:r w:rsidR="00650D66" w:rsidRPr="00BB16C6">
              <w:rPr>
                <w:bCs w:val="0"/>
              </w:rPr>
              <w:t>: Pre-charged equipment imports in 2016 dissected by major species in tonnes.</w:t>
            </w:r>
            <w:bookmarkEnd w:id="78"/>
          </w:p>
        </w:tc>
      </w:tr>
    </w:tbl>
    <w:p w14:paraId="2458E0C2" w14:textId="77777777" w:rsidR="00650D66" w:rsidRDefault="00650D66" w:rsidP="00650D66">
      <w:pPr>
        <w:spacing w:before="0"/>
        <w:jc w:val="left"/>
        <w:rPr>
          <w:szCs w:val="22"/>
        </w:rPr>
      </w:pPr>
    </w:p>
    <w:p w14:paraId="00B32FA9" w14:textId="77777777" w:rsidR="00650D66" w:rsidRDefault="00650D66" w:rsidP="00650D66">
      <w:pPr>
        <w:spacing w:before="0"/>
        <w:jc w:val="left"/>
        <w:rPr>
          <w:szCs w:val="22"/>
        </w:rPr>
      </w:pPr>
    </w:p>
    <w:p w14:paraId="75381290" w14:textId="30D67F34" w:rsidR="00650D66" w:rsidRDefault="00650D66" w:rsidP="00567A16">
      <w:pPr>
        <w:spacing w:before="0"/>
        <w:rPr>
          <w:szCs w:val="22"/>
        </w:rPr>
      </w:pPr>
      <w:r>
        <w:rPr>
          <w:szCs w:val="22"/>
        </w:rPr>
        <w:t>At the same time HFC-32 pre-charged equipment made up 13% of imports by refrigerant volume. HFC-32 was first imported in small stationary AC</w:t>
      </w:r>
      <w:r w:rsidR="00A86AFD">
        <w:rPr>
          <w:szCs w:val="22"/>
        </w:rPr>
        <w:t xml:space="preserve"> models in 2012 and rapidly bega</w:t>
      </w:r>
      <w:r>
        <w:rPr>
          <w:szCs w:val="22"/>
        </w:rPr>
        <w:t>n to take market share. This medium GWP refrigerant has begun to cap the strong growth trend in HFC-410A charged imports that emerged from 2006 to 2016. HFC-32 charged stationary AC devices in the stock of equipment now number more than 900,000.</w:t>
      </w:r>
    </w:p>
    <w:p w14:paraId="032D0E4C" w14:textId="77777777" w:rsidR="00650D66" w:rsidRDefault="00650D66" w:rsidP="00567A16">
      <w:pPr>
        <w:spacing w:before="0"/>
        <w:rPr>
          <w:szCs w:val="22"/>
        </w:rPr>
      </w:pPr>
    </w:p>
    <w:p w14:paraId="728A371F" w14:textId="7F75E974" w:rsidR="00650D66" w:rsidRDefault="00650D66" w:rsidP="00567A16">
      <w:pPr>
        <w:spacing w:before="0"/>
        <w:rPr>
          <w:szCs w:val="22"/>
        </w:rPr>
      </w:pPr>
      <w:r>
        <w:rPr>
          <w:szCs w:val="22"/>
        </w:rPr>
        <w:t xml:space="preserve">The rapid growth of the HFC-32 share of PCE imports can be seen in the chart below and </w:t>
      </w:r>
      <w:r w:rsidR="00B517E2">
        <w:rPr>
          <w:szCs w:val="22"/>
        </w:rPr>
        <w:t xml:space="preserve">is </w:t>
      </w:r>
      <w:r>
        <w:rPr>
          <w:szCs w:val="22"/>
        </w:rPr>
        <w:t xml:space="preserve">expected to continue to replace HFC-410A charged devices until HFC-32 becomes the dominant refrigerant in </w:t>
      </w:r>
      <w:r w:rsidR="00567A16">
        <w:rPr>
          <w:szCs w:val="22"/>
        </w:rPr>
        <w:t xml:space="preserve">the small AC: Split system segment </w:t>
      </w:r>
      <w:r>
        <w:rPr>
          <w:szCs w:val="22"/>
        </w:rPr>
        <w:t xml:space="preserve">by around </w:t>
      </w:r>
      <w:r w:rsidR="00567A16">
        <w:rPr>
          <w:szCs w:val="22"/>
        </w:rPr>
        <w:t>2022</w:t>
      </w:r>
      <w:r>
        <w:rPr>
          <w:szCs w:val="22"/>
        </w:rPr>
        <w:t>.</w:t>
      </w:r>
    </w:p>
    <w:p w14:paraId="3B71A556" w14:textId="28C5E5B2" w:rsidR="000073EB" w:rsidRDefault="000073EB">
      <w:pPr>
        <w:spacing w:before="0"/>
        <w:jc w:val="left"/>
        <w:rPr>
          <w:szCs w:val="22"/>
        </w:rPr>
      </w:pPr>
      <w:r>
        <w:rPr>
          <w:szCs w:val="22"/>
        </w:rP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650D66" w:rsidRPr="005D159D" w14:paraId="74A2A05E" w14:textId="77777777" w:rsidTr="00EB5196">
        <w:tc>
          <w:tcPr>
            <w:tcW w:w="9492" w:type="dxa"/>
            <w:vAlign w:val="center"/>
          </w:tcPr>
          <w:p w14:paraId="11E0B594" w14:textId="5B20BD1A" w:rsidR="00650D66" w:rsidRPr="005D159D" w:rsidRDefault="00650D66" w:rsidP="00EB5196">
            <w:pPr>
              <w:spacing w:after="120"/>
              <w:jc w:val="center"/>
              <w:rPr>
                <w:b/>
                <w:sz w:val="24"/>
              </w:rPr>
            </w:pPr>
            <w:r w:rsidRPr="005D159D">
              <w:rPr>
                <w:b/>
                <w:sz w:val="24"/>
              </w:rPr>
              <w:br w:type="page"/>
            </w:r>
            <w:r w:rsidR="005631FA">
              <w:rPr>
                <w:b/>
                <w:sz w:val="24"/>
              </w:rPr>
              <w:t>PCE i</w:t>
            </w:r>
            <w:r>
              <w:rPr>
                <w:b/>
                <w:sz w:val="24"/>
              </w:rPr>
              <w:t>mports by major species from 2006 to 2016</w:t>
            </w:r>
            <w:r w:rsidR="005631FA">
              <w:rPr>
                <w:b/>
                <w:sz w:val="24"/>
              </w:rPr>
              <w:t xml:space="preserve"> (tonnes)</w:t>
            </w:r>
            <w:r>
              <w:rPr>
                <w:b/>
                <w:sz w:val="24"/>
              </w:rPr>
              <w:t xml:space="preserve"> </w:t>
            </w:r>
            <w:r w:rsidRPr="00A33C35">
              <w:rPr>
                <w:b/>
                <w:sz w:val="24"/>
                <w:vertAlign w:val="superscript"/>
              </w:rPr>
              <w:t>(1)</w:t>
            </w:r>
            <w:r w:rsidRPr="005D159D">
              <w:rPr>
                <w:b/>
                <w:sz w:val="24"/>
              </w:rPr>
              <w:t xml:space="preserve"> </w:t>
            </w:r>
          </w:p>
        </w:tc>
      </w:tr>
      <w:tr w:rsidR="00650D66" w:rsidRPr="00BD20BC" w14:paraId="47B316FB" w14:textId="77777777" w:rsidTr="00EB5196">
        <w:tc>
          <w:tcPr>
            <w:tcW w:w="9492" w:type="dxa"/>
            <w:vAlign w:val="center"/>
          </w:tcPr>
          <w:p w14:paraId="1DEF196E" w14:textId="77777777" w:rsidR="00650D66" w:rsidRDefault="00650D66" w:rsidP="00EB5196">
            <w:pPr>
              <w:jc w:val="center"/>
              <w:rPr>
                <w:sz w:val="16"/>
                <w:szCs w:val="16"/>
              </w:rPr>
            </w:pPr>
          </w:p>
          <w:p w14:paraId="78AF5E5C" w14:textId="77777777" w:rsidR="00650D66" w:rsidRDefault="00650D66" w:rsidP="00EB5196">
            <w:pPr>
              <w:jc w:val="center"/>
              <w:rPr>
                <w:sz w:val="16"/>
                <w:szCs w:val="16"/>
              </w:rPr>
            </w:pPr>
            <w:r>
              <w:rPr>
                <w:noProof/>
                <w:lang w:val="en-AU" w:eastAsia="en-AU"/>
              </w:rPr>
              <w:drawing>
                <wp:inline distT="0" distB="0" distL="0" distR="0" wp14:anchorId="2EE292FF" wp14:editId="452E1681">
                  <wp:extent cx="6030595" cy="21031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0595" cy="2103120"/>
                          </a:xfrm>
                          <a:prstGeom prst="rect">
                            <a:avLst/>
                          </a:prstGeom>
                        </pic:spPr>
                      </pic:pic>
                    </a:graphicData>
                  </a:graphic>
                </wp:inline>
              </w:drawing>
            </w:r>
          </w:p>
          <w:p w14:paraId="7AC3E19C" w14:textId="77777777" w:rsidR="00650D66" w:rsidRPr="00BD20BC" w:rsidRDefault="00650D66" w:rsidP="00EB5196">
            <w:pPr>
              <w:jc w:val="center"/>
              <w:rPr>
                <w:sz w:val="16"/>
                <w:szCs w:val="16"/>
              </w:rPr>
            </w:pPr>
          </w:p>
        </w:tc>
      </w:tr>
      <w:tr w:rsidR="00650D66" w:rsidRPr="00042727" w14:paraId="675A33AD" w14:textId="77777777" w:rsidTr="00EB5196">
        <w:tc>
          <w:tcPr>
            <w:tcW w:w="9492" w:type="dxa"/>
            <w:vAlign w:val="center"/>
          </w:tcPr>
          <w:p w14:paraId="3C857805" w14:textId="2EC51325" w:rsidR="00650D66" w:rsidRPr="00BB16C6" w:rsidRDefault="00BB16C6" w:rsidP="00BB16C6">
            <w:pPr>
              <w:pStyle w:val="Caption"/>
              <w:rPr>
                <w:szCs w:val="22"/>
              </w:rPr>
            </w:pPr>
            <w:bookmarkStart w:id="79" w:name="_Toc494118060"/>
            <w:bookmarkStart w:id="80" w:name="_Toc525141343"/>
            <w:r w:rsidRPr="00BB16C6">
              <w:rPr>
                <w:szCs w:val="22"/>
              </w:rPr>
              <w:t xml:space="preserve">Figure </w:t>
            </w:r>
            <w:r w:rsidRPr="00BB16C6">
              <w:rPr>
                <w:szCs w:val="22"/>
              </w:rPr>
              <w:fldChar w:fldCharType="begin"/>
            </w:r>
            <w:r w:rsidRPr="00BB16C6">
              <w:rPr>
                <w:szCs w:val="22"/>
              </w:rPr>
              <w:instrText xml:space="preserve"> SEQ Figure \* ARABIC </w:instrText>
            </w:r>
            <w:r w:rsidRPr="00BB16C6">
              <w:rPr>
                <w:szCs w:val="22"/>
              </w:rPr>
              <w:fldChar w:fldCharType="separate"/>
            </w:r>
            <w:r w:rsidR="00715E05">
              <w:rPr>
                <w:noProof/>
                <w:szCs w:val="22"/>
              </w:rPr>
              <w:t>12</w:t>
            </w:r>
            <w:r w:rsidRPr="00BB16C6">
              <w:rPr>
                <w:szCs w:val="22"/>
              </w:rPr>
              <w:fldChar w:fldCharType="end"/>
            </w:r>
            <w:r w:rsidR="00650D66" w:rsidRPr="00BB16C6">
              <w:rPr>
                <w:szCs w:val="22"/>
              </w:rPr>
              <w:t>: HCFCs and HFCs in pre-charged equipment from 2006 to 2016 by species in tonnes</w:t>
            </w:r>
            <w:bookmarkEnd w:id="79"/>
            <w:r w:rsidR="00650D66" w:rsidRPr="00BB16C6">
              <w:rPr>
                <w:szCs w:val="22"/>
              </w:rPr>
              <w:t>.</w:t>
            </w:r>
            <w:bookmarkEnd w:id="80"/>
          </w:p>
        </w:tc>
      </w:tr>
    </w:tbl>
    <w:p w14:paraId="0A7D6837" w14:textId="77777777" w:rsidR="00650D66" w:rsidRDefault="00650D66" w:rsidP="00650D66">
      <w:pPr>
        <w:spacing w:before="0"/>
        <w:rPr>
          <w:sz w:val="20"/>
          <w:szCs w:val="20"/>
        </w:rPr>
      </w:pPr>
      <w:r w:rsidRPr="00116557">
        <w:rPr>
          <w:sz w:val="20"/>
          <w:szCs w:val="20"/>
        </w:rPr>
        <w:t xml:space="preserve">(Sources: </w:t>
      </w:r>
      <w:r>
        <w:rPr>
          <w:sz w:val="20"/>
          <w:szCs w:val="20"/>
        </w:rPr>
        <w:t>DoEE 2017)</w:t>
      </w:r>
    </w:p>
    <w:p w14:paraId="0813BCD5" w14:textId="4DCF9C4C" w:rsidR="00650D66" w:rsidRPr="00492E6B" w:rsidRDefault="00650D66" w:rsidP="00C1021A">
      <w:pPr>
        <w:pStyle w:val="ListParagraph"/>
        <w:numPr>
          <w:ilvl w:val="0"/>
          <w:numId w:val="28"/>
        </w:numPr>
        <w:spacing w:before="60" w:after="0" w:line="240" w:lineRule="auto"/>
        <w:contextualSpacing w:val="0"/>
        <w:rPr>
          <w:rFonts w:ascii="Times New Roman" w:hAnsi="Times New Roman"/>
        </w:rPr>
      </w:pPr>
      <w:r w:rsidRPr="00A33C35">
        <w:rPr>
          <w:rFonts w:ascii="Times New Roman" w:hAnsi="Times New Roman"/>
          <w:sz w:val="20"/>
          <w:szCs w:val="20"/>
        </w:rPr>
        <w:t xml:space="preserve">Refer to </w:t>
      </w:r>
      <w:r w:rsidR="00C1021A">
        <w:rPr>
          <w:rFonts w:ascii="Times New Roman" w:hAnsi="Times New Roman"/>
          <w:i/>
          <w:sz w:val="20"/>
          <w:szCs w:val="20"/>
        </w:rPr>
        <w:t>Appendix B3</w:t>
      </w:r>
      <w:r w:rsidRPr="00912F5A">
        <w:rPr>
          <w:rFonts w:ascii="Times New Roman" w:hAnsi="Times New Roman"/>
          <w:i/>
          <w:sz w:val="20"/>
          <w:szCs w:val="20"/>
        </w:rPr>
        <w:t xml:space="preserve">: </w:t>
      </w:r>
      <w:r w:rsidR="00C1021A" w:rsidRPr="00C1021A">
        <w:rPr>
          <w:rFonts w:ascii="Times New Roman" w:hAnsi="Times New Roman"/>
          <w:i/>
          <w:sz w:val="20"/>
          <w:szCs w:val="20"/>
        </w:rPr>
        <w:t>Bulk imports and pre-charged equipment imports</w:t>
      </w:r>
      <w:r w:rsidR="00C1021A">
        <w:rPr>
          <w:rFonts w:ascii="Times New Roman" w:hAnsi="Times New Roman"/>
          <w:i/>
          <w:sz w:val="20"/>
          <w:szCs w:val="20"/>
        </w:rPr>
        <w:t xml:space="preserve"> from 2006 to 2016</w:t>
      </w:r>
      <w:r>
        <w:rPr>
          <w:rFonts w:ascii="Times New Roman" w:hAnsi="Times New Roman"/>
          <w:sz w:val="20"/>
          <w:szCs w:val="20"/>
        </w:rPr>
        <w:t>,</w:t>
      </w:r>
      <w:r w:rsidRPr="00A33C35">
        <w:rPr>
          <w:rFonts w:ascii="Times New Roman" w:hAnsi="Times New Roman"/>
          <w:sz w:val="20"/>
          <w:szCs w:val="20"/>
        </w:rPr>
        <w:t xml:space="preserve"> for tabulated data.</w:t>
      </w:r>
    </w:p>
    <w:p w14:paraId="783FE95A" w14:textId="77777777" w:rsidR="00650D66" w:rsidRPr="00492E6B" w:rsidRDefault="00650D66" w:rsidP="00650D66">
      <w:pPr>
        <w:spacing w:before="60"/>
      </w:pPr>
    </w:p>
    <w:p w14:paraId="46E827D1" w14:textId="77777777" w:rsidR="00650D66" w:rsidRDefault="00650D66" w:rsidP="00AB4FD6">
      <w:pPr>
        <w:jc w:val="left"/>
        <w:rPr>
          <w:szCs w:val="22"/>
        </w:rPr>
      </w:pPr>
      <w:r>
        <w:rPr>
          <w:szCs w:val="22"/>
        </w:rPr>
        <w:t>HFC-134a has maintained a steady share of import volumes in PCE for the last ten years as can be seen in the chart above, although a rise in HFC-134a pre-charged imports has already become discernible in the last two years of the period, as vehicle manufacturing in the country declined.</w:t>
      </w:r>
    </w:p>
    <w:p w14:paraId="33786591" w14:textId="1AD59B3B" w:rsidR="00650D66" w:rsidRDefault="00650D66" w:rsidP="00AB4FD6">
      <w:pPr>
        <w:jc w:val="left"/>
        <w:rPr>
          <w:szCs w:val="22"/>
        </w:rPr>
      </w:pPr>
      <w:r>
        <w:rPr>
          <w:szCs w:val="22"/>
        </w:rPr>
        <w:t>An important trend apparent in this chart is the decline of HCFC imports to near zero over the period.</w:t>
      </w:r>
    </w:p>
    <w:p w14:paraId="0DB19154" w14:textId="77777777" w:rsidR="00650D66" w:rsidRDefault="00650D66" w:rsidP="00650D66">
      <w:pPr>
        <w:rPr>
          <w:szCs w:val="22"/>
        </w:rPr>
      </w:pPr>
    </w:p>
    <w:p w14:paraId="7020F770" w14:textId="77777777" w:rsidR="00650D66" w:rsidRDefault="00650D66" w:rsidP="00650D66">
      <w:pPr>
        <w:pStyle w:val="Heading2"/>
      </w:pPr>
      <w:bookmarkStart w:id="81" w:name="_Toc500750607"/>
      <w:bookmarkStart w:id="82" w:name="_Toc525141276"/>
      <w:r>
        <w:t>Bulk refrigerant imports</w:t>
      </w:r>
      <w:bookmarkEnd w:id="81"/>
      <w:bookmarkEnd w:id="82"/>
    </w:p>
    <w:p w14:paraId="3BC17F2B" w14:textId="77777777" w:rsidR="00650D66" w:rsidRDefault="00650D66" w:rsidP="00650D66">
      <w:pPr>
        <w:rPr>
          <w:szCs w:val="22"/>
        </w:rPr>
      </w:pPr>
      <w:r>
        <w:rPr>
          <w:szCs w:val="22"/>
        </w:rPr>
        <w:t xml:space="preserve">The second </w:t>
      </w:r>
      <w:r w:rsidRPr="007F3EA8">
        <w:rPr>
          <w:szCs w:val="22"/>
        </w:rPr>
        <w:t>source of growth in the bank is via the import of bulk refrigerant.</w:t>
      </w:r>
      <w:r>
        <w:rPr>
          <w:szCs w:val="22"/>
        </w:rPr>
        <w:t xml:space="preserve"> </w:t>
      </w:r>
      <w:r w:rsidRPr="007F3EA8">
        <w:rPr>
          <w:szCs w:val="22"/>
        </w:rPr>
        <w:t>A controlled substances licence is required to import bulk HCFCs and HFCs</w:t>
      </w:r>
      <w:r>
        <w:rPr>
          <w:szCs w:val="22"/>
        </w:rPr>
        <w:t>,</w:t>
      </w:r>
      <w:r w:rsidRPr="007F3EA8">
        <w:rPr>
          <w:szCs w:val="22"/>
        </w:rPr>
        <w:t xml:space="preserve"> and holders of these licences are required to report all imports. </w:t>
      </w:r>
    </w:p>
    <w:p w14:paraId="09387BA7" w14:textId="2FDAB347" w:rsidR="00650D66" w:rsidRPr="007F3EA8" w:rsidRDefault="00650D66" w:rsidP="00650D66">
      <w:pPr>
        <w:rPr>
          <w:szCs w:val="22"/>
        </w:rPr>
      </w:pPr>
      <w:r w:rsidRPr="007F3EA8">
        <w:rPr>
          <w:szCs w:val="22"/>
        </w:rPr>
        <w:t xml:space="preserve">Bulk imports of </w:t>
      </w:r>
      <w:r>
        <w:rPr>
          <w:szCs w:val="22"/>
        </w:rPr>
        <w:t>HFCs and HCFCs</w:t>
      </w:r>
      <w:r w:rsidRPr="007F3EA8">
        <w:rPr>
          <w:szCs w:val="22"/>
        </w:rPr>
        <w:t xml:space="preserve"> occur </w:t>
      </w:r>
      <w:r>
        <w:rPr>
          <w:szCs w:val="22"/>
        </w:rPr>
        <w:t xml:space="preserve">mainly </w:t>
      </w:r>
      <w:r w:rsidRPr="007F3EA8">
        <w:rPr>
          <w:szCs w:val="22"/>
        </w:rPr>
        <w:t>in tanks containing as much as 18 tonnes each. Bulk imports are b</w:t>
      </w:r>
      <w:r w:rsidR="00A86AFD">
        <w:rPr>
          <w:szCs w:val="22"/>
        </w:rPr>
        <w:t>r</w:t>
      </w:r>
      <w:r w:rsidRPr="007F3EA8">
        <w:rPr>
          <w:szCs w:val="22"/>
        </w:rPr>
        <w:t xml:space="preserve">ought into the country by </w:t>
      </w:r>
      <w:r>
        <w:rPr>
          <w:szCs w:val="22"/>
        </w:rPr>
        <w:t xml:space="preserve">43 </w:t>
      </w:r>
      <w:r w:rsidR="00B517E2">
        <w:rPr>
          <w:szCs w:val="22"/>
        </w:rPr>
        <w:t xml:space="preserve">HFC </w:t>
      </w:r>
      <w:r>
        <w:rPr>
          <w:szCs w:val="22"/>
        </w:rPr>
        <w:t xml:space="preserve">and 6 HCFC </w:t>
      </w:r>
      <w:r w:rsidRPr="007F3EA8">
        <w:rPr>
          <w:szCs w:val="22"/>
        </w:rPr>
        <w:t xml:space="preserve">licensed importers who decant the </w:t>
      </w:r>
      <w:r>
        <w:rPr>
          <w:szCs w:val="22"/>
        </w:rPr>
        <w:t>refrigerant</w:t>
      </w:r>
      <w:r w:rsidRPr="007F3EA8">
        <w:rPr>
          <w:szCs w:val="22"/>
        </w:rPr>
        <w:t xml:space="preserve"> into smaller tanks, ranging from 5 tonne mobile road tankers, to 12 kg cylinders used by </w:t>
      </w:r>
      <w:r>
        <w:rPr>
          <w:szCs w:val="22"/>
        </w:rPr>
        <w:t xml:space="preserve">installers </w:t>
      </w:r>
      <w:r w:rsidRPr="007F3EA8">
        <w:rPr>
          <w:szCs w:val="22"/>
        </w:rPr>
        <w:t xml:space="preserve">and </w:t>
      </w:r>
      <w:r>
        <w:rPr>
          <w:szCs w:val="22"/>
        </w:rPr>
        <w:t xml:space="preserve">service </w:t>
      </w:r>
      <w:r w:rsidRPr="007F3EA8">
        <w:rPr>
          <w:szCs w:val="22"/>
        </w:rPr>
        <w:t>technicians.</w:t>
      </w:r>
      <w:r>
        <w:rPr>
          <w:szCs w:val="22"/>
        </w:rPr>
        <w:t xml:space="preserve"> In 2012 there were only 17 licence holders in total.</w:t>
      </w:r>
      <w:r>
        <w:rPr>
          <w:rStyle w:val="FootnoteReference"/>
          <w:szCs w:val="22"/>
        </w:rPr>
        <w:footnoteReference w:id="46"/>
      </w:r>
    </w:p>
    <w:p w14:paraId="6FD4BCCF" w14:textId="2F1DE456" w:rsidR="002413D9" w:rsidRDefault="00650D66" w:rsidP="00650D66">
      <w:pPr>
        <w:rPr>
          <w:szCs w:val="22"/>
        </w:rPr>
      </w:pPr>
      <w:r>
        <w:rPr>
          <w:szCs w:val="22"/>
        </w:rPr>
        <w:t>The</w:t>
      </w:r>
      <w:r w:rsidRPr="007F3EA8">
        <w:rPr>
          <w:szCs w:val="22"/>
        </w:rPr>
        <w:t xml:space="preserve"> </w:t>
      </w:r>
      <w:r>
        <w:rPr>
          <w:szCs w:val="22"/>
        </w:rPr>
        <w:t>majority of</w:t>
      </w:r>
      <w:r w:rsidRPr="007F3EA8">
        <w:rPr>
          <w:szCs w:val="22"/>
        </w:rPr>
        <w:t xml:space="preserve"> bulk imports do not add to the </w:t>
      </w:r>
      <w:r w:rsidR="009F4CB3">
        <w:rPr>
          <w:szCs w:val="22"/>
        </w:rPr>
        <w:t>refrigerant bank</w:t>
      </w:r>
      <w:r w:rsidRPr="007F3EA8">
        <w:rPr>
          <w:szCs w:val="22"/>
        </w:rPr>
        <w:t xml:space="preserve">, </w:t>
      </w:r>
      <w:r>
        <w:rPr>
          <w:szCs w:val="22"/>
        </w:rPr>
        <w:t>as they are used</w:t>
      </w:r>
      <w:r w:rsidRPr="007F3EA8">
        <w:rPr>
          <w:szCs w:val="22"/>
        </w:rPr>
        <w:t xml:space="preserve"> </w:t>
      </w:r>
      <w:r>
        <w:rPr>
          <w:szCs w:val="22"/>
        </w:rPr>
        <w:t xml:space="preserve">simply </w:t>
      </w:r>
      <w:r w:rsidR="00B517E2">
        <w:rPr>
          <w:szCs w:val="22"/>
        </w:rPr>
        <w:t xml:space="preserve">to </w:t>
      </w:r>
      <w:r w:rsidRPr="007F3EA8">
        <w:rPr>
          <w:szCs w:val="22"/>
        </w:rPr>
        <w:t>replac</w:t>
      </w:r>
      <w:r w:rsidR="00B517E2">
        <w:rPr>
          <w:szCs w:val="22"/>
        </w:rPr>
        <w:t>e</w:t>
      </w:r>
      <w:r w:rsidRPr="007F3EA8">
        <w:rPr>
          <w:szCs w:val="22"/>
        </w:rPr>
        <w:t xml:space="preserve"> </w:t>
      </w:r>
      <w:r>
        <w:rPr>
          <w:szCs w:val="22"/>
        </w:rPr>
        <w:t>refrigerant</w:t>
      </w:r>
      <w:r w:rsidRPr="007F3EA8">
        <w:rPr>
          <w:szCs w:val="22"/>
        </w:rPr>
        <w:t xml:space="preserve"> lost</w:t>
      </w:r>
      <w:r>
        <w:rPr>
          <w:szCs w:val="22"/>
        </w:rPr>
        <w:t xml:space="preserve"> from installed equipment. Some bulk imports are also </w:t>
      </w:r>
      <w:r w:rsidR="003955F1">
        <w:rPr>
          <w:szCs w:val="22"/>
        </w:rPr>
        <w:t xml:space="preserve">used </w:t>
      </w:r>
      <w:r>
        <w:rPr>
          <w:szCs w:val="22"/>
        </w:rPr>
        <w:t>replacing HCFC refrigerant charges in older equipment in a retrofitting process as increased HCFC costs and repair costs make maintaining old equipment with HCFC charges less viable.</w:t>
      </w:r>
    </w:p>
    <w:p w14:paraId="4F5C37DA" w14:textId="2803E8FB" w:rsidR="002413D9" w:rsidRPr="007F3EA8" w:rsidRDefault="002413D9" w:rsidP="00476D50">
      <w:pPr>
        <w:rPr>
          <w:szCs w:val="22"/>
        </w:rPr>
      </w:pPr>
      <w:r>
        <w:rPr>
          <w:szCs w:val="22"/>
        </w:rPr>
        <w:t xml:space="preserve">In 2016 </w:t>
      </w:r>
      <w:r w:rsidR="00D9457B">
        <w:rPr>
          <w:szCs w:val="22"/>
        </w:rPr>
        <w:t xml:space="preserve">a total of </w:t>
      </w:r>
      <w:r>
        <w:rPr>
          <w:szCs w:val="22"/>
        </w:rPr>
        <w:t>3,60</w:t>
      </w:r>
      <w:r w:rsidR="00D9457B">
        <w:rPr>
          <w:szCs w:val="22"/>
        </w:rPr>
        <w:t>6</w:t>
      </w:r>
      <w:r>
        <w:rPr>
          <w:szCs w:val="22"/>
        </w:rPr>
        <w:t xml:space="preserve"> tonnes of HFCs and </w:t>
      </w:r>
      <w:r w:rsidRPr="00683899">
        <w:rPr>
          <w:szCs w:val="22"/>
        </w:rPr>
        <w:t>45 tonnes</w:t>
      </w:r>
      <w:r>
        <w:rPr>
          <w:szCs w:val="22"/>
        </w:rPr>
        <w:t xml:space="preserve"> of HCFCs were imported as bulk </w:t>
      </w:r>
      <w:r w:rsidR="00460EBE">
        <w:rPr>
          <w:szCs w:val="22"/>
        </w:rPr>
        <w:t>gas</w:t>
      </w:r>
      <w:r w:rsidR="00B517E2">
        <w:rPr>
          <w:szCs w:val="22"/>
        </w:rPr>
        <w:t>,</w:t>
      </w:r>
      <w:r>
        <w:rPr>
          <w:szCs w:val="22"/>
        </w:rPr>
        <w:t xml:space="preserve"> of which </w:t>
      </w:r>
      <w:r w:rsidR="00476D50">
        <w:rPr>
          <w:szCs w:val="22"/>
        </w:rPr>
        <w:t xml:space="preserve">1,120 tonnes (30%) </w:t>
      </w:r>
      <w:r w:rsidR="00406B47">
        <w:rPr>
          <w:szCs w:val="22"/>
        </w:rPr>
        <w:t>was</w:t>
      </w:r>
      <w:r w:rsidR="00476D50">
        <w:rPr>
          <w:szCs w:val="22"/>
        </w:rPr>
        <w:t xml:space="preserve"> used to</w:t>
      </w:r>
      <w:r w:rsidR="00476D50" w:rsidRPr="007F3EA8">
        <w:rPr>
          <w:szCs w:val="22"/>
        </w:rPr>
        <w:t xml:space="preserve"> charg</w:t>
      </w:r>
      <w:r w:rsidR="00476D50">
        <w:rPr>
          <w:szCs w:val="22"/>
        </w:rPr>
        <w:t>e</w:t>
      </w:r>
      <w:r w:rsidR="00476D50" w:rsidRPr="007F3EA8">
        <w:rPr>
          <w:szCs w:val="22"/>
        </w:rPr>
        <w:t xml:space="preserve"> new equipment manufactured in Australia</w:t>
      </w:r>
      <w:r w:rsidR="00476D50">
        <w:rPr>
          <w:szCs w:val="22"/>
        </w:rPr>
        <w:t xml:space="preserve"> or </w:t>
      </w:r>
      <w:r w:rsidR="00476D50" w:rsidRPr="00C66E0C">
        <w:rPr>
          <w:szCs w:val="22"/>
        </w:rPr>
        <w:t>to charge equipment imported without a charge of refrigerant (i.e. pre-charged with nitrogen)</w:t>
      </w:r>
      <w:r w:rsidR="00476D50">
        <w:rPr>
          <w:szCs w:val="22"/>
        </w:rPr>
        <w:t xml:space="preserve"> or </w:t>
      </w:r>
      <w:r w:rsidR="00476D50" w:rsidRPr="00C66E0C">
        <w:rPr>
          <w:szCs w:val="22"/>
        </w:rPr>
        <w:t>used in other applications such as fire protection syste</w:t>
      </w:r>
      <w:r w:rsidR="00476D50">
        <w:rPr>
          <w:szCs w:val="22"/>
        </w:rPr>
        <w:t xml:space="preserve">ms and foam blowing or exported as bulk refrigerant. Around 70% of all imports </w:t>
      </w:r>
      <w:r w:rsidR="00B517E2">
        <w:rPr>
          <w:szCs w:val="22"/>
        </w:rPr>
        <w:t>were</w:t>
      </w:r>
      <w:r w:rsidR="00B517E2" w:rsidRPr="007F3EA8">
        <w:rPr>
          <w:szCs w:val="22"/>
        </w:rPr>
        <w:t xml:space="preserve"> </w:t>
      </w:r>
      <w:r>
        <w:rPr>
          <w:szCs w:val="22"/>
        </w:rPr>
        <w:t>used</w:t>
      </w:r>
      <w:r w:rsidRPr="007F3EA8">
        <w:rPr>
          <w:szCs w:val="22"/>
        </w:rPr>
        <w:t xml:space="preserve"> to maintain the existing stock of </w:t>
      </w:r>
      <w:r w:rsidR="00663A41">
        <w:rPr>
          <w:szCs w:val="22"/>
        </w:rPr>
        <w:t xml:space="preserve">RAC </w:t>
      </w:r>
      <w:r w:rsidRPr="007F3EA8">
        <w:rPr>
          <w:szCs w:val="22"/>
        </w:rPr>
        <w:t xml:space="preserve">equipment. In other </w:t>
      </w:r>
      <w:r w:rsidRPr="00476D50">
        <w:rPr>
          <w:szCs w:val="22"/>
        </w:rPr>
        <w:t xml:space="preserve">words </w:t>
      </w:r>
      <w:r w:rsidR="00476D50" w:rsidRPr="00476D50">
        <w:rPr>
          <w:szCs w:val="22"/>
        </w:rPr>
        <w:t>around 7</w:t>
      </w:r>
      <w:r w:rsidRPr="00476D50">
        <w:rPr>
          <w:szCs w:val="22"/>
        </w:rPr>
        <w:t>0% of annual bulk imports are being used to replace refrigerant that is lost to air from working equipment every year.</w:t>
      </w:r>
      <w:r w:rsidRPr="007F3EA8">
        <w:rPr>
          <w:szCs w:val="22"/>
        </w:rPr>
        <w:t xml:space="preserve"> </w:t>
      </w:r>
    </w:p>
    <w:p w14:paraId="1FD77A58" w14:textId="5AFAF73C" w:rsidR="002413D9" w:rsidRDefault="002413D9" w:rsidP="002413D9">
      <w:pPr>
        <w:rPr>
          <w:szCs w:val="22"/>
        </w:rPr>
      </w:pPr>
      <w:r w:rsidRPr="00C66E0C">
        <w:rPr>
          <w:szCs w:val="22"/>
        </w:rPr>
        <w:t xml:space="preserve">Vehicle manufacturing in 2016 </w:t>
      </w:r>
      <w:r w:rsidR="007E0A92" w:rsidRPr="00C66E0C">
        <w:rPr>
          <w:szCs w:val="22"/>
        </w:rPr>
        <w:t>used</w:t>
      </w:r>
      <w:r w:rsidRPr="00C66E0C">
        <w:rPr>
          <w:szCs w:val="22"/>
        </w:rPr>
        <w:t xml:space="preserve"> about </w:t>
      </w:r>
      <w:r w:rsidR="00663A41" w:rsidRPr="00C66E0C">
        <w:rPr>
          <w:szCs w:val="22"/>
        </w:rPr>
        <w:t>100 </w:t>
      </w:r>
      <w:r w:rsidRPr="00C66E0C">
        <w:rPr>
          <w:szCs w:val="22"/>
        </w:rPr>
        <w:t>tonnes of HFC-134a, demand which was removed from the market by the end of 2017 with the closure of the last passenger vehicle manufactur</w:t>
      </w:r>
      <w:r w:rsidR="00A86AFD" w:rsidRPr="00C66E0C">
        <w:rPr>
          <w:szCs w:val="22"/>
        </w:rPr>
        <w:t>er</w:t>
      </w:r>
      <w:r w:rsidRPr="00C66E0C">
        <w:rPr>
          <w:szCs w:val="22"/>
        </w:rPr>
        <w:t xml:space="preserve"> in Australia. Approximately 1</w:t>
      </w:r>
      <w:r w:rsidR="00C66E0C" w:rsidRPr="00C66E0C">
        <w:rPr>
          <w:szCs w:val="22"/>
        </w:rPr>
        <w:t>87</w:t>
      </w:r>
      <w:r w:rsidRPr="00C66E0C">
        <w:rPr>
          <w:szCs w:val="22"/>
        </w:rPr>
        <w:t xml:space="preserve"> tonnes of HFC-410A </w:t>
      </w:r>
      <w:r w:rsidR="00B359B5" w:rsidRPr="00C66E0C">
        <w:rPr>
          <w:szCs w:val="22"/>
        </w:rPr>
        <w:t xml:space="preserve">and </w:t>
      </w:r>
      <w:r w:rsidR="006C0DB1">
        <w:rPr>
          <w:szCs w:val="22"/>
        </w:rPr>
        <w:t>84</w:t>
      </w:r>
      <w:r w:rsidR="00B359B5" w:rsidRPr="00C66E0C">
        <w:rPr>
          <w:szCs w:val="22"/>
        </w:rPr>
        <w:t xml:space="preserve"> tonnes of HFC-134a </w:t>
      </w:r>
      <w:r w:rsidRPr="00C66E0C">
        <w:rPr>
          <w:szCs w:val="22"/>
        </w:rPr>
        <w:t xml:space="preserve">was used in manufacturing </w:t>
      </w:r>
      <w:r w:rsidR="00B359B5" w:rsidRPr="00C66E0C">
        <w:rPr>
          <w:szCs w:val="22"/>
        </w:rPr>
        <w:t>commercial AC systems</w:t>
      </w:r>
      <w:r w:rsidR="006C0DB1">
        <w:rPr>
          <w:szCs w:val="22"/>
        </w:rPr>
        <w:t xml:space="preserve"> </w:t>
      </w:r>
      <w:r w:rsidR="00F368B3">
        <w:rPr>
          <w:szCs w:val="22"/>
        </w:rPr>
        <w:t xml:space="preserve">and </w:t>
      </w:r>
      <w:r w:rsidR="006C0DB1">
        <w:rPr>
          <w:szCs w:val="22"/>
        </w:rPr>
        <w:t>domestic hot water heat</w:t>
      </w:r>
      <w:r w:rsidR="003024FB">
        <w:rPr>
          <w:szCs w:val="22"/>
        </w:rPr>
        <w:t xml:space="preserve"> </w:t>
      </w:r>
      <w:r w:rsidR="006C0DB1">
        <w:rPr>
          <w:szCs w:val="22"/>
        </w:rPr>
        <w:t>pumps</w:t>
      </w:r>
      <w:r w:rsidR="00B359B5" w:rsidRPr="00C66E0C">
        <w:rPr>
          <w:szCs w:val="22"/>
        </w:rPr>
        <w:t>.</w:t>
      </w:r>
    </w:p>
    <w:p w14:paraId="45233247" w14:textId="2C3A8F4E" w:rsidR="00650D66" w:rsidRDefault="00650D66" w:rsidP="00650D66">
      <w:pPr>
        <w:rPr>
          <w:szCs w:val="22"/>
        </w:rPr>
      </w:pPr>
      <w:r>
        <w:rPr>
          <w:szCs w:val="22"/>
        </w:rPr>
        <w:t xml:space="preserve">Comparing total bulk imports in 2012 to 2016 is difficult because of the major stockpiling that took place in Australia in </w:t>
      </w:r>
      <w:r w:rsidR="00663A41">
        <w:rPr>
          <w:szCs w:val="22"/>
        </w:rPr>
        <w:t xml:space="preserve">the early part of </w:t>
      </w:r>
      <w:r>
        <w:rPr>
          <w:szCs w:val="22"/>
        </w:rPr>
        <w:t>2012</w:t>
      </w:r>
      <w:r w:rsidR="00663A41">
        <w:rPr>
          <w:szCs w:val="22"/>
        </w:rPr>
        <w:t xml:space="preserve"> and subsequent</w:t>
      </w:r>
      <w:r w:rsidR="00147DED">
        <w:rPr>
          <w:szCs w:val="22"/>
        </w:rPr>
        <w:t>ly</w:t>
      </w:r>
      <w:r w:rsidR="00663A41">
        <w:rPr>
          <w:szCs w:val="22"/>
        </w:rPr>
        <w:t xml:space="preserve"> reduced imports for some years afterwards</w:t>
      </w:r>
      <w:r>
        <w:rPr>
          <w:szCs w:val="22"/>
        </w:rPr>
        <w:t>.</w:t>
      </w:r>
    </w:p>
    <w:p w14:paraId="724CB797" w14:textId="77777777" w:rsidR="00650D66" w:rsidRDefault="00650D66" w:rsidP="00650D66">
      <w:pPr>
        <w:rPr>
          <w:szCs w:val="22"/>
        </w:rPr>
      </w:pPr>
      <w:r>
        <w:rPr>
          <w:szCs w:val="22"/>
        </w:rPr>
        <w:t>As the chart below shows actual annual imports over the period has seen large volume changes year on year.</w:t>
      </w:r>
    </w:p>
    <w:p w14:paraId="042C07FB" w14:textId="77777777" w:rsidR="00650D66" w:rsidRDefault="00650D66" w:rsidP="00650D66">
      <w:pPr>
        <w:spacing w:before="0"/>
        <w:jc w:val="left"/>
        <w:rPr>
          <w:szCs w:val="22"/>
        </w:rPr>
      </w:pPr>
    </w:p>
    <w:tbl>
      <w:tblPr>
        <w:tblW w:w="98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2"/>
      </w:tblGrid>
      <w:tr w:rsidR="00650D66" w:rsidRPr="005D159D" w14:paraId="75AAACD2" w14:textId="77777777" w:rsidTr="00EB5196">
        <w:tc>
          <w:tcPr>
            <w:tcW w:w="9822" w:type="dxa"/>
            <w:vAlign w:val="center"/>
          </w:tcPr>
          <w:p w14:paraId="283ADFDB" w14:textId="1BF998F4" w:rsidR="00650D66" w:rsidRPr="005D159D" w:rsidRDefault="00650D66" w:rsidP="00EB5196">
            <w:pPr>
              <w:spacing w:after="120"/>
              <w:jc w:val="center"/>
              <w:rPr>
                <w:b/>
                <w:sz w:val="24"/>
              </w:rPr>
            </w:pPr>
            <w:r w:rsidRPr="005D159D">
              <w:rPr>
                <w:b/>
                <w:sz w:val="24"/>
              </w:rPr>
              <w:br w:type="page"/>
            </w:r>
            <w:r>
              <w:rPr>
                <w:b/>
                <w:sz w:val="24"/>
              </w:rPr>
              <w:t>B</w:t>
            </w:r>
            <w:r w:rsidRPr="00094F77">
              <w:rPr>
                <w:b/>
                <w:sz w:val="24"/>
              </w:rPr>
              <w:t xml:space="preserve">ulk imports </w:t>
            </w:r>
            <w:r>
              <w:rPr>
                <w:b/>
                <w:sz w:val="24"/>
              </w:rPr>
              <w:t>of HFC</w:t>
            </w:r>
            <w:r w:rsidR="005631FA">
              <w:rPr>
                <w:b/>
                <w:sz w:val="24"/>
              </w:rPr>
              <w:t>s and HCFCs from 2012 to 2016 (t</w:t>
            </w:r>
            <w:r>
              <w:rPr>
                <w:b/>
                <w:sz w:val="24"/>
              </w:rPr>
              <w:t xml:space="preserve">onnes) </w:t>
            </w:r>
            <w:r w:rsidRPr="00A33C35">
              <w:rPr>
                <w:b/>
                <w:sz w:val="24"/>
                <w:vertAlign w:val="superscript"/>
              </w:rPr>
              <w:t>(1)</w:t>
            </w:r>
            <w:r w:rsidRPr="005D159D">
              <w:rPr>
                <w:b/>
                <w:sz w:val="24"/>
              </w:rPr>
              <w:t xml:space="preserve"> </w:t>
            </w:r>
          </w:p>
        </w:tc>
      </w:tr>
      <w:tr w:rsidR="00650D66" w:rsidRPr="00BD20BC" w14:paraId="4FAC791D" w14:textId="77777777" w:rsidTr="00EB5196">
        <w:tc>
          <w:tcPr>
            <w:tcW w:w="9822" w:type="dxa"/>
            <w:vAlign w:val="center"/>
          </w:tcPr>
          <w:p w14:paraId="2FB4F372" w14:textId="77777777" w:rsidR="00650D66" w:rsidRDefault="00650D66" w:rsidP="00EB5196">
            <w:pPr>
              <w:jc w:val="center"/>
              <w:rPr>
                <w:sz w:val="16"/>
                <w:szCs w:val="16"/>
              </w:rPr>
            </w:pPr>
          </w:p>
          <w:p w14:paraId="4BEC1955" w14:textId="77777777" w:rsidR="00650D66" w:rsidRDefault="00650D66" w:rsidP="00EB5196">
            <w:pPr>
              <w:jc w:val="center"/>
              <w:rPr>
                <w:sz w:val="16"/>
                <w:szCs w:val="16"/>
              </w:rPr>
            </w:pPr>
            <w:r>
              <w:rPr>
                <w:noProof/>
                <w:lang w:val="en-AU" w:eastAsia="en-AU"/>
              </w:rPr>
              <w:drawing>
                <wp:inline distT="0" distB="0" distL="0" distR="0" wp14:anchorId="1084753D" wp14:editId="44926BD1">
                  <wp:extent cx="6030595" cy="1842135"/>
                  <wp:effectExtent l="0" t="0" r="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0595" cy="1842135"/>
                          </a:xfrm>
                          <a:prstGeom prst="rect">
                            <a:avLst/>
                          </a:prstGeom>
                        </pic:spPr>
                      </pic:pic>
                    </a:graphicData>
                  </a:graphic>
                </wp:inline>
              </w:drawing>
            </w:r>
          </w:p>
          <w:p w14:paraId="3B949F35" w14:textId="77777777" w:rsidR="00650D66" w:rsidRPr="00BD20BC" w:rsidRDefault="00650D66" w:rsidP="00EB5196">
            <w:pPr>
              <w:jc w:val="center"/>
              <w:rPr>
                <w:sz w:val="16"/>
                <w:szCs w:val="16"/>
              </w:rPr>
            </w:pPr>
          </w:p>
        </w:tc>
      </w:tr>
      <w:tr w:rsidR="00650D66" w:rsidRPr="00042727" w14:paraId="281C0455" w14:textId="77777777" w:rsidTr="00EB5196">
        <w:tc>
          <w:tcPr>
            <w:tcW w:w="9822" w:type="dxa"/>
            <w:vAlign w:val="center"/>
          </w:tcPr>
          <w:p w14:paraId="26AF249B" w14:textId="6B8939BE" w:rsidR="00650D66" w:rsidRPr="00BB16C6" w:rsidRDefault="00BB16C6" w:rsidP="00BB16C6">
            <w:pPr>
              <w:pStyle w:val="Caption"/>
              <w:rPr>
                <w:szCs w:val="22"/>
              </w:rPr>
            </w:pPr>
            <w:bookmarkStart w:id="83" w:name="_Toc525141344"/>
            <w:r w:rsidRPr="00BB16C6">
              <w:rPr>
                <w:szCs w:val="22"/>
              </w:rPr>
              <w:t xml:space="preserve">Figure </w:t>
            </w:r>
            <w:r w:rsidRPr="00BB16C6">
              <w:rPr>
                <w:szCs w:val="22"/>
              </w:rPr>
              <w:fldChar w:fldCharType="begin"/>
            </w:r>
            <w:r w:rsidRPr="00BB16C6">
              <w:rPr>
                <w:szCs w:val="22"/>
              </w:rPr>
              <w:instrText xml:space="preserve"> SEQ Figure \* ARABIC </w:instrText>
            </w:r>
            <w:r w:rsidRPr="00BB16C6">
              <w:rPr>
                <w:szCs w:val="22"/>
              </w:rPr>
              <w:fldChar w:fldCharType="separate"/>
            </w:r>
            <w:r w:rsidR="00715E05">
              <w:rPr>
                <w:noProof/>
                <w:szCs w:val="22"/>
              </w:rPr>
              <w:t>13</w:t>
            </w:r>
            <w:r w:rsidRPr="00BB16C6">
              <w:rPr>
                <w:szCs w:val="22"/>
              </w:rPr>
              <w:fldChar w:fldCharType="end"/>
            </w:r>
            <w:r w:rsidRPr="00BB16C6">
              <w:rPr>
                <w:szCs w:val="22"/>
              </w:rPr>
              <w:t xml:space="preserve">: </w:t>
            </w:r>
            <w:r w:rsidR="00650D66" w:rsidRPr="00BB16C6">
              <w:rPr>
                <w:szCs w:val="22"/>
              </w:rPr>
              <w:t>Bulk imports of HFCs and HCFCs from 2012 to 2016, and 5 year average in tonnes.</w:t>
            </w:r>
            <w:bookmarkEnd w:id="83"/>
          </w:p>
        </w:tc>
      </w:tr>
    </w:tbl>
    <w:p w14:paraId="55DF094B" w14:textId="77777777" w:rsidR="00650D66" w:rsidRDefault="00650D66" w:rsidP="00650D66">
      <w:pPr>
        <w:spacing w:before="0"/>
        <w:rPr>
          <w:sz w:val="20"/>
          <w:szCs w:val="20"/>
        </w:rPr>
      </w:pPr>
      <w:r w:rsidRPr="00116557">
        <w:rPr>
          <w:sz w:val="20"/>
          <w:szCs w:val="20"/>
        </w:rPr>
        <w:t xml:space="preserve">(Sources: </w:t>
      </w:r>
      <w:r>
        <w:rPr>
          <w:sz w:val="20"/>
          <w:szCs w:val="20"/>
        </w:rPr>
        <w:t>DoEE 2017)</w:t>
      </w:r>
    </w:p>
    <w:p w14:paraId="687468F8" w14:textId="697D5F12" w:rsidR="00650D66" w:rsidRPr="005F5BFE" w:rsidRDefault="00650D66" w:rsidP="00C1021A">
      <w:pPr>
        <w:pStyle w:val="ListParagraph"/>
        <w:numPr>
          <w:ilvl w:val="0"/>
          <w:numId w:val="29"/>
        </w:numPr>
        <w:spacing w:before="60" w:after="0" w:line="240" w:lineRule="auto"/>
        <w:contextualSpacing w:val="0"/>
        <w:rPr>
          <w:rFonts w:ascii="Times New Roman" w:hAnsi="Times New Roman"/>
        </w:rPr>
      </w:pPr>
      <w:r w:rsidRPr="00A33C35">
        <w:rPr>
          <w:rFonts w:ascii="Times New Roman" w:hAnsi="Times New Roman"/>
          <w:sz w:val="20"/>
          <w:szCs w:val="20"/>
        </w:rPr>
        <w:t xml:space="preserve">Refer to </w:t>
      </w:r>
      <w:r w:rsidR="00C1021A" w:rsidRPr="00C1021A">
        <w:rPr>
          <w:rFonts w:ascii="Times New Roman" w:hAnsi="Times New Roman"/>
          <w:i/>
          <w:sz w:val="20"/>
          <w:szCs w:val="20"/>
        </w:rPr>
        <w:t xml:space="preserve">Appendix B3: Bulk imports and pre-charged equipment imports from 2006 to 2016, </w:t>
      </w:r>
      <w:r w:rsidRPr="00912F5A">
        <w:rPr>
          <w:rFonts w:ascii="Times New Roman" w:hAnsi="Times New Roman"/>
          <w:sz w:val="20"/>
          <w:szCs w:val="20"/>
        </w:rPr>
        <w:t>for tabulated data</w:t>
      </w:r>
      <w:r>
        <w:rPr>
          <w:rFonts w:ascii="Times New Roman" w:hAnsi="Times New Roman"/>
          <w:sz w:val="20"/>
          <w:szCs w:val="20"/>
        </w:rPr>
        <w:t xml:space="preserve"> in tonnes and CO</w:t>
      </w:r>
      <w:r w:rsidRPr="00912F5A">
        <w:rPr>
          <w:rFonts w:ascii="Times New Roman" w:hAnsi="Times New Roman"/>
          <w:sz w:val="20"/>
          <w:szCs w:val="20"/>
          <w:vertAlign w:val="subscript"/>
        </w:rPr>
        <w:t>2</w:t>
      </w:r>
      <w:r>
        <w:rPr>
          <w:rFonts w:ascii="Times New Roman" w:hAnsi="Times New Roman"/>
          <w:sz w:val="20"/>
          <w:szCs w:val="20"/>
        </w:rPr>
        <w:t>e</w:t>
      </w:r>
      <w:r w:rsidRPr="00912F5A">
        <w:rPr>
          <w:rFonts w:ascii="Times New Roman" w:hAnsi="Times New Roman"/>
          <w:sz w:val="20"/>
          <w:szCs w:val="20"/>
        </w:rPr>
        <w:t>.</w:t>
      </w:r>
    </w:p>
    <w:p w14:paraId="54EBF36B" w14:textId="77777777" w:rsidR="00650D66" w:rsidRDefault="00650D66" w:rsidP="00650D66">
      <w:pPr>
        <w:rPr>
          <w:szCs w:val="22"/>
        </w:rPr>
      </w:pPr>
    </w:p>
    <w:p w14:paraId="7AE63D57" w14:textId="6C76130B" w:rsidR="00650D66" w:rsidRPr="002744A2" w:rsidRDefault="00650D66" w:rsidP="00650D66">
      <w:pPr>
        <w:rPr>
          <w:szCs w:val="22"/>
        </w:rPr>
      </w:pPr>
      <w:r>
        <w:rPr>
          <w:szCs w:val="22"/>
        </w:rPr>
        <w:t>T</w:t>
      </w:r>
      <w:r w:rsidRPr="002744A2">
        <w:rPr>
          <w:szCs w:val="22"/>
        </w:rPr>
        <w:t xml:space="preserve">he announcements in mid-2011 of the impending introduction of the </w:t>
      </w:r>
      <w:r>
        <w:rPr>
          <w:szCs w:val="22"/>
        </w:rPr>
        <w:t xml:space="preserve">equivalent carbon </w:t>
      </w:r>
      <w:r w:rsidR="00663A41">
        <w:rPr>
          <w:szCs w:val="22"/>
        </w:rPr>
        <w:t xml:space="preserve">tax </w:t>
      </w:r>
      <w:r>
        <w:rPr>
          <w:szCs w:val="22"/>
        </w:rPr>
        <w:t>on HFC imports</w:t>
      </w:r>
      <w:r w:rsidRPr="002744A2">
        <w:rPr>
          <w:szCs w:val="22"/>
        </w:rPr>
        <w:t xml:space="preserve"> resulted in a significant increase in bulk imports </w:t>
      </w:r>
      <w:r>
        <w:rPr>
          <w:szCs w:val="22"/>
        </w:rPr>
        <w:t xml:space="preserve">of HFCs </w:t>
      </w:r>
      <w:r w:rsidRPr="002744A2">
        <w:rPr>
          <w:szCs w:val="22"/>
        </w:rPr>
        <w:t xml:space="preserve">in 2012, and strong growth in stocks held by businesses throughout the supply chain. </w:t>
      </w:r>
      <w:r>
        <w:rPr>
          <w:szCs w:val="22"/>
        </w:rPr>
        <w:t xml:space="preserve">This stockpiling event has had some significant impacts on the overall trends in composition of the bank, and of course on some aspects of market behaviour and pricing when the </w:t>
      </w:r>
      <w:r w:rsidR="00663A41">
        <w:rPr>
          <w:szCs w:val="22"/>
        </w:rPr>
        <w:t xml:space="preserve">equivalent carbon tax </w:t>
      </w:r>
      <w:r>
        <w:rPr>
          <w:szCs w:val="22"/>
        </w:rPr>
        <w:t xml:space="preserve">was repealed </w:t>
      </w:r>
      <w:r w:rsidR="00663A41">
        <w:rPr>
          <w:szCs w:val="22"/>
        </w:rPr>
        <w:t>two</w:t>
      </w:r>
      <w:r>
        <w:rPr>
          <w:szCs w:val="22"/>
        </w:rPr>
        <w:t xml:space="preserve"> year</w:t>
      </w:r>
      <w:r w:rsidR="00663A41">
        <w:rPr>
          <w:szCs w:val="22"/>
        </w:rPr>
        <w:t>s</w:t>
      </w:r>
      <w:r>
        <w:rPr>
          <w:szCs w:val="22"/>
        </w:rPr>
        <w:t xml:space="preserve"> after its introduction.</w:t>
      </w:r>
    </w:p>
    <w:p w14:paraId="6DCC1AE7" w14:textId="77777777" w:rsidR="00650D66" w:rsidRPr="002744A2" w:rsidRDefault="00650D66" w:rsidP="00650D66">
      <w:pPr>
        <w:rPr>
          <w:szCs w:val="22"/>
        </w:rPr>
      </w:pPr>
      <w:r>
        <w:rPr>
          <w:szCs w:val="22"/>
        </w:rPr>
        <w:t xml:space="preserve">At the time import </w:t>
      </w:r>
      <w:r w:rsidRPr="002744A2">
        <w:rPr>
          <w:szCs w:val="22"/>
        </w:rPr>
        <w:t>data indicate</w:t>
      </w:r>
      <w:r>
        <w:rPr>
          <w:szCs w:val="22"/>
        </w:rPr>
        <w:t>d</w:t>
      </w:r>
      <w:r w:rsidRPr="002744A2">
        <w:rPr>
          <w:szCs w:val="22"/>
        </w:rPr>
        <w:t xml:space="preserve"> total imports of all species of refrigerant gas in 2012 were equivalent to more than two and a half years of average supply of HCFCs and HFCs, or a total of more than 12,511 tonnes of HCFCs and HFCs. </w:t>
      </w:r>
    </w:p>
    <w:p w14:paraId="4A310A20" w14:textId="77777777" w:rsidR="00650D66" w:rsidRPr="002744A2" w:rsidRDefault="00650D66" w:rsidP="00650D66">
      <w:pPr>
        <w:rPr>
          <w:szCs w:val="22"/>
        </w:rPr>
      </w:pPr>
      <w:r w:rsidRPr="002744A2">
        <w:rPr>
          <w:szCs w:val="22"/>
        </w:rPr>
        <w:t xml:space="preserve">This was at a time when general activity in the sector was slower than previous years due to cool summers in 2010 and 2011, sluggish economic activity which led to reduced building and construction activity, and a </w:t>
      </w:r>
      <w:r>
        <w:rPr>
          <w:szCs w:val="22"/>
        </w:rPr>
        <w:t xml:space="preserve">general </w:t>
      </w:r>
      <w:r w:rsidRPr="002744A2">
        <w:rPr>
          <w:szCs w:val="22"/>
        </w:rPr>
        <w:t>slow-down in spending and investment during the 2011-12 financial year.</w:t>
      </w:r>
    </w:p>
    <w:p w14:paraId="7B63E0D4" w14:textId="3207404B" w:rsidR="00650D66" w:rsidRPr="002744A2" w:rsidRDefault="00650D66" w:rsidP="00650D66">
      <w:pPr>
        <w:rPr>
          <w:szCs w:val="22"/>
        </w:rPr>
      </w:pPr>
      <w:r w:rsidRPr="002744A2">
        <w:rPr>
          <w:szCs w:val="22"/>
        </w:rPr>
        <w:t>Total imports in 2012 were made up of 9,</w:t>
      </w:r>
      <w:r w:rsidR="00C66E0C">
        <w:rPr>
          <w:szCs w:val="22"/>
        </w:rPr>
        <w:t>244</w:t>
      </w:r>
      <w:r w:rsidRPr="002744A2">
        <w:rPr>
          <w:szCs w:val="22"/>
        </w:rPr>
        <w:t xml:space="preserve"> tonnes of bulk HFCs, 7</w:t>
      </w:r>
      <w:r w:rsidR="00C66E0C">
        <w:rPr>
          <w:szCs w:val="22"/>
        </w:rPr>
        <w:t>86</w:t>
      </w:r>
      <w:r w:rsidRPr="002744A2">
        <w:rPr>
          <w:szCs w:val="22"/>
        </w:rPr>
        <w:t xml:space="preserve"> tonnes of bulk HCFCs</w:t>
      </w:r>
      <w:r w:rsidR="001A12FD">
        <w:rPr>
          <w:rStyle w:val="FootnoteReference"/>
          <w:szCs w:val="22"/>
        </w:rPr>
        <w:footnoteReference w:id="47"/>
      </w:r>
      <w:r w:rsidRPr="002744A2">
        <w:rPr>
          <w:szCs w:val="22"/>
        </w:rPr>
        <w:t>, and 2,5</w:t>
      </w:r>
      <w:r w:rsidR="00C66E0C">
        <w:rPr>
          <w:szCs w:val="22"/>
        </w:rPr>
        <w:t>68</w:t>
      </w:r>
      <w:r w:rsidRPr="002744A2">
        <w:rPr>
          <w:szCs w:val="22"/>
        </w:rPr>
        <w:t xml:space="preserve"> tonnes </w:t>
      </w:r>
      <w:r>
        <w:rPr>
          <w:szCs w:val="22"/>
        </w:rPr>
        <w:t xml:space="preserve">of refrigerant contained in </w:t>
      </w:r>
      <w:r w:rsidRPr="002744A2">
        <w:rPr>
          <w:szCs w:val="22"/>
        </w:rPr>
        <w:t>pre-charged equipment. In the previous corresponding period only 3,152 tonnes of HFCs and 1,297 tonnes of HCFCs had been imported in bulk.</w:t>
      </w:r>
      <w:r>
        <w:rPr>
          <w:szCs w:val="22"/>
        </w:rPr>
        <w:t xml:space="preserve"> </w:t>
      </w:r>
      <w:r w:rsidRPr="002744A2">
        <w:rPr>
          <w:szCs w:val="22"/>
        </w:rPr>
        <w:t xml:space="preserve">HFC bulk imports </w:t>
      </w:r>
      <w:r>
        <w:rPr>
          <w:szCs w:val="22"/>
        </w:rPr>
        <w:t xml:space="preserve">in 2012 included </w:t>
      </w:r>
      <w:r w:rsidRPr="002744A2">
        <w:rPr>
          <w:szCs w:val="22"/>
        </w:rPr>
        <w:t>4,185 tonnes of HFC-134a, 2,155 tonnes of HFC-404A and 2,065 tonnes of HFC-410A.</w:t>
      </w:r>
      <w:r>
        <w:rPr>
          <w:rStyle w:val="FootnoteReference"/>
          <w:szCs w:val="22"/>
        </w:rPr>
        <w:footnoteReference w:id="48"/>
      </w:r>
    </w:p>
    <w:p w14:paraId="41B51DE0" w14:textId="1C3FCC67" w:rsidR="00650D66" w:rsidRDefault="00650D66" w:rsidP="00650D66">
      <w:pPr>
        <w:rPr>
          <w:szCs w:val="22"/>
        </w:rPr>
      </w:pPr>
      <w:r w:rsidRPr="002744A2">
        <w:rPr>
          <w:szCs w:val="22"/>
        </w:rPr>
        <w:t>Th</w:t>
      </w:r>
      <w:r>
        <w:rPr>
          <w:szCs w:val="22"/>
        </w:rPr>
        <w:t xml:space="preserve">is </w:t>
      </w:r>
      <w:r w:rsidRPr="002744A2">
        <w:rPr>
          <w:szCs w:val="22"/>
        </w:rPr>
        <w:t>stockpile (equivalent to more than 25</w:t>
      </w:r>
      <w:r w:rsidR="00C9319D">
        <w:rPr>
          <w:szCs w:val="22"/>
        </w:rPr>
        <w:t>%</w:t>
      </w:r>
      <w:r w:rsidRPr="002744A2">
        <w:rPr>
          <w:szCs w:val="22"/>
        </w:rPr>
        <w:t xml:space="preserve"> of the </w:t>
      </w:r>
      <w:r w:rsidR="009F4CB3">
        <w:rPr>
          <w:szCs w:val="22"/>
        </w:rPr>
        <w:t>refrigerant bank</w:t>
      </w:r>
      <w:r>
        <w:rPr>
          <w:szCs w:val="22"/>
        </w:rPr>
        <w:t xml:space="preserve"> at the time</w:t>
      </w:r>
      <w:r w:rsidRPr="002744A2">
        <w:rPr>
          <w:szCs w:val="22"/>
        </w:rPr>
        <w:t xml:space="preserve">) </w:t>
      </w:r>
      <w:r>
        <w:rPr>
          <w:szCs w:val="22"/>
        </w:rPr>
        <w:t xml:space="preserve">was predicted to result in </w:t>
      </w:r>
      <w:r w:rsidRPr="002744A2">
        <w:rPr>
          <w:szCs w:val="22"/>
        </w:rPr>
        <w:t xml:space="preserve">much lower than average imports for at least the 2012-13 and 2013-14 financial years, with a volume recovery </w:t>
      </w:r>
      <w:r>
        <w:rPr>
          <w:szCs w:val="22"/>
        </w:rPr>
        <w:t>expected</w:t>
      </w:r>
      <w:r w:rsidRPr="002744A2">
        <w:rPr>
          <w:szCs w:val="22"/>
        </w:rPr>
        <w:t xml:space="preserve"> during 2014-15.</w:t>
      </w:r>
      <w:r>
        <w:rPr>
          <w:szCs w:val="22"/>
        </w:rPr>
        <w:t xml:space="preserve"> It was noted at the time that, </w:t>
      </w:r>
      <w:r w:rsidRPr="002744A2">
        <w:rPr>
          <w:szCs w:val="22"/>
        </w:rPr>
        <w:t>to some extent</w:t>
      </w:r>
      <w:r>
        <w:rPr>
          <w:szCs w:val="22"/>
        </w:rPr>
        <w:t>,</w:t>
      </w:r>
      <w:r w:rsidRPr="002744A2">
        <w:rPr>
          <w:szCs w:val="22"/>
        </w:rPr>
        <w:t xml:space="preserve"> th</w:t>
      </w:r>
      <w:r>
        <w:rPr>
          <w:szCs w:val="22"/>
        </w:rPr>
        <w:t>e</w:t>
      </w:r>
      <w:r w:rsidRPr="002744A2">
        <w:rPr>
          <w:szCs w:val="22"/>
        </w:rPr>
        <w:t xml:space="preserve"> prediction depend</w:t>
      </w:r>
      <w:r>
        <w:rPr>
          <w:szCs w:val="22"/>
        </w:rPr>
        <w:t>ed</w:t>
      </w:r>
      <w:r w:rsidRPr="002744A2">
        <w:rPr>
          <w:szCs w:val="22"/>
        </w:rPr>
        <w:t xml:space="preserve"> on other trends in the industry including</w:t>
      </w:r>
      <w:r>
        <w:rPr>
          <w:szCs w:val="22"/>
        </w:rPr>
        <w:t xml:space="preserve"> the impact on leaks of</w:t>
      </w:r>
      <w:r w:rsidRPr="002744A2">
        <w:rPr>
          <w:szCs w:val="22"/>
        </w:rPr>
        <w:t xml:space="preserve"> improved refrigerant containment</w:t>
      </w:r>
      <w:r>
        <w:rPr>
          <w:szCs w:val="22"/>
        </w:rPr>
        <w:t xml:space="preserve"> (the focus in some sectors on improved containment also being an outcome of the </w:t>
      </w:r>
      <w:r w:rsidR="00663A41">
        <w:rPr>
          <w:szCs w:val="22"/>
        </w:rPr>
        <w:t xml:space="preserve">equivalent </w:t>
      </w:r>
      <w:r>
        <w:rPr>
          <w:szCs w:val="22"/>
        </w:rPr>
        <w:t xml:space="preserve">carbon </w:t>
      </w:r>
      <w:r w:rsidR="00663A41">
        <w:rPr>
          <w:szCs w:val="22"/>
        </w:rPr>
        <w:t>tax</w:t>
      </w:r>
      <w:r>
        <w:rPr>
          <w:szCs w:val="22"/>
        </w:rPr>
        <w:t>)</w:t>
      </w:r>
      <w:r w:rsidRPr="002744A2">
        <w:rPr>
          <w:szCs w:val="22"/>
        </w:rPr>
        <w:t xml:space="preserve">, </w:t>
      </w:r>
      <w:r>
        <w:rPr>
          <w:szCs w:val="22"/>
        </w:rPr>
        <w:t xml:space="preserve">increases in </w:t>
      </w:r>
      <w:r w:rsidRPr="002744A2">
        <w:rPr>
          <w:szCs w:val="22"/>
        </w:rPr>
        <w:t>reuse</w:t>
      </w:r>
      <w:r>
        <w:rPr>
          <w:szCs w:val="22"/>
        </w:rPr>
        <w:t xml:space="preserve"> of </w:t>
      </w:r>
      <w:r w:rsidR="00663A41">
        <w:rPr>
          <w:szCs w:val="22"/>
        </w:rPr>
        <w:t xml:space="preserve">refrigerant </w:t>
      </w:r>
      <w:r>
        <w:rPr>
          <w:szCs w:val="22"/>
        </w:rPr>
        <w:t>recovered from EOL equipment and during routine equipment service,</w:t>
      </w:r>
      <w:r w:rsidRPr="002744A2">
        <w:rPr>
          <w:szCs w:val="22"/>
        </w:rPr>
        <w:t xml:space="preserve"> and the overall level of economic activity, building and construction work, and refurbishment and equipment replacement rates.</w:t>
      </w:r>
    </w:p>
    <w:p w14:paraId="5C47F3C3" w14:textId="77777777" w:rsidR="00650D66" w:rsidRDefault="00650D66" w:rsidP="00650D66">
      <w:pPr>
        <w:rPr>
          <w:szCs w:val="22"/>
        </w:rPr>
      </w:pPr>
      <w:r>
        <w:rPr>
          <w:szCs w:val="22"/>
        </w:rPr>
        <w:t xml:space="preserve">Bulk refrigerant import data up to 2016 shows that the predicted import volume recovery did not really occur until the 2015-16 financial year, partly due to lower demand for service, as a result of dramatic reductions in leak rates in some equipment categories. </w:t>
      </w:r>
    </w:p>
    <w:p w14:paraId="4F5F746D" w14:textId="31A2053B" w:rsidR="00650D66" w:rsidRDefault="00650D66" w:rsidP="00650D66">
      <w:pPr>
        <w:rPr>
          <w:szCs w:val="22"/>
        </w:rPr>
      </w:pPr>
      <w:r>
        <w:rPr>
          <w:szCs w:val="22"/>
        </w:rPr>
        <w:t xml:space="preserve">While recovery and </w:t>
      </w:r>
      <w:r w:rsidR="00E02A30">
        <w:rPr>
          <w:szCs w:val="22"/>
        </w:rPr>
        <w:t xml:space="preserve">reclamation </w:t>
      </w:r>
      <w:r>
        <w:rPr>
          <w:szCs w:val="22"/>
        </w:rPr>
        <w:t xml:space="preserve">of HCFCs has become a fixture in the Australian supply chains, recovery and recycling of HFCs that was reported in some instances soon after the introduction of the equivalent </w:t>
      </w:r>
      <w:r w:rsidR="00663A41">
        <w:rPr>
          <w:szCs w:val="22"/>
        </w:rPr>
        <w:t>carbon tax</w:t>
      </w:r>
      <w:r w:rsidR="00BD4AE4">
        <w:rPr>
          <w:szCs w:val="22"/>
        </w:rPr>
        <w:t xml:space="preserve"> has declined</w:t>
      </w:r>
      <w:r>
        <w:rPr>
          <w:szCs w:val="22"/>
        </w:rPr>
        <w:t xml:space="preserve"> </w:t>
      </w:r>
      <w:r w:rsidR="00460EBE">
        <w:rPr>
          <w:szCs w:val="22"/>
        </w:rPr>
        <w:t>following</w:t>
      </w:r>
      <w:r>
        <w:rPr>
          <w:szCs w:val="22"/>
        </w:rPr>
        <w:t xml:space="preserve"> the repeal of the legislation</w:t>
      </w:r>
      <w:r w:rsidR="00460EBE">
        <w:rPr>
          <w:szCs w:val="22"/>
        </w:rPr>
        <w:t>. The removal of the equivalent carbon tax,</w:t>
      </w:r>
      <w:r>
        <w:rPr>
          <w:szCs w:val="22"/>
        </w:rPr>
        <w:t xml:space="preserve"> coupled with the multi-year stockpiles of HFCs in the country, quickly returned most HFC wholesale prices to being as cheap as they had ever been</w:t>
      </w:r>
      <w:r w:rsidR="00460EBE">
        <w:rPr>
          <w:szCs w:val="22"/>
        </w:rPr>
        <w:t xml:space="preserve">, making recovery and recycling of HFCs </w:t>
      </w:r>
      <w:r w:rsidR="00BD4AE4">
        <w:rPr>
          <w:szCs w:val="22"/>
        </w:rPr>
        <w:t xml:space="preserve">less </w:t>
      </w:r>
      <w:r w:rsidR="00460EBE">
        <w:rPr>
          <w:szCs w:val="22"/>
        </w:rPr>
        <w:t>economic</w:t>
      </w:r>
      <w:r w:rsidR="00BD4AE4">
        <w:rPr>
          <w:szCs w:val="22"/>
        </w:rPr>
        <w:t>al</w:t>
      </w:r>
      <w:r>
        <w:rPr>
          <w:szCs w:val="22"/>
        </w:rPr>
        <w:t>.</w:t>
      </w:r>
    </w:p>
    <w:p w14:paraId="1C026BB7" w14:textId="77777777" w:rsidR="00650D66" w:rsidRDefault="00650D66" w:rsidP="00650D66">
      <w:pPr>
        <w:rPr>
          <w:szCs w:val="22"/>
        </w:rPr>
      </w:pPr>
      <w:r>
        <w:rPr>
          <w:szCs w:val="22"/>
        </w:rPr>
        <w:t xml:space="preserve">To normalise the effects of the 2012 stockpiling a better comparison of changes in the trends in bulk imports might best be made by comparing average annual imports over a longer timeframe. </w:t>
      </w:r>
    </w:p>
    <w:p w14:paraId="23EB1776" w14:textId="16B52102" w:rsidR="00650D66" w:rsidRDefault="00650D66" w:rsidP="00650D66">
      <w:pPr>
        <w:rPr>
          <w:szCs w:val="22"/>
        </w:rPr>
      </w:pPr>
      <w:r>
        <w:rPr>
          <w:szCs w:val="22"/>
        </w:rPr>
        <w:t>In the five years from 2012 to 2016 an</w:t>
      </w:r>
      <w:r w:rsidRPr="007F3EA8">
        <w:rPr>
          <w:szCs w:val="22"/>
        </w:rPr>
        <w:t xml:space="preserve"> average </w:t>
      </w:r>
      <w:r>
        <w:rPr>
          <w:szCs w:val="22"/>
        </w:rPr>
        <w:t>of 3,325</w:t>
      </w:r>
      <w:r w:rsidRPr="007F3EA8">
        <w:rPr>
          <w:szCs w:val="22"/>
        </w:rPr>
        <w:t xml:space="preserve"> tonnes of HFCs</w:t>
      </w:r>
      <w:r>
        <w:rPr>
          <w:szCs w:val="22"/>
        </w:rPr>
        <w:t>, and 398 tonnes of HCFCs</w:t>
      </w:r>
      <w:r w:rsidRPr="007F3EA8">
        <w:rPr>
          <w:szCs w:val="22"/>
        </w:rPr>
        <w:t xml:space="preserve"> were imported</w:t>
      </w:r>
      <w:r>
        <w:rPr>
          <w:szCs w:val="22"/>
        </w:rPr>
        <w:t xml:space="preserve"> as bulk refrigerant (3,723 tonnes p</w:t>
      </w:r>
      <w:r w:rsidR="00DE3101">
        <w:rPr>
          <w:szCs w:val="22"/>
        </w:rPr>
        <w:t>er annum</w:t>
      </w:r>
      <w:r>
        <w:rPr>
          <w:szCs w:val="22"/>
        </w:rPr>
        <w:t xml:space="preserve"> in aggregate on average). This compares with </w:t>
      </w:r>
      <w:r>
        <w:rPr>
          <w:szCs w:val="22"/>
          <w:lang w:val="en-US"/>
        </w:rPr>
        <w:t>bulk imports for the 6 previous year</w:t>
      </w:r>
      <w:r w:rsidR="00406B47">
        <w:rPr>
          <w:szCs w:val="22"/>
          <w:lang w:val="en-US"/>
        </w:rPr>
        <w:t>s</w:t>
      </w:r>
      <w:r>
        <w:rPr>
          <w:szCs w:val="22"/>
          <w:lang w:val="en-US"/>
        </w:rPr>
        <w:t xml:space="preserve"> from 2006 to 2011 averaging about 2</w:t>
      </w:r>
      <w:r w:rsidR="00DE3101">
        <w:rPr>
          <w:szCs w:val="22"/>
          <w:lang w:val="en-US"/>
        </w:rPr>
        <w:t>,</w:t>
      </w:r>
      <w:r>
        <w:rPr>
          <w:szCs w:val="22"/>
          <w:lang w:val="en-US"/>
        </w:rPr>
        <w:t>900 tonnes per annum of HFCs</w:t>
      </w:r>
      <w:r w:rsidRPr="007F3EA8">
        <w:rPr>
          <w:szCs w:val="22"/>
        </w:rPr>
        <w:t xml:space="preserve">, </w:t>
      </w:r>
      <w:r>
        <w:rPr>
          <w:szCs w:val="22"/>
        </w:rPr>
        <w:t>and around 1</w:t>
      </w:r>
      <w:r w:rsidR="00DE3101">
        <w:rPr>
          <w:szCs w:val="22"/>
        </w:rPr>
        <w:t>,</w:t>
      </w:r>
      <w:r>
        <w:rPr>
          <w:szCs w:val="22"/>
        </w:rPr>
        <w:t>600 tonnes per annum of HCFCs (4,500 tonnes p</w:t>
      </w:r>
      <w:r w:rsidR="00DE3101">
        <w:rPr>
          <w:szCs w:val="22"/>
        </w:rPr>
        <w:t xml:space="preserve">er </w:t>
      </w:r>
      <w:r>
        <w:rPr>
          <w:szCs w:val="22"/>
        </w:rPr>
        <w:t>a</w:t>
      </w:r>
      <w:r w:rsidR="00DE3101">
        <w:rPr>
          <w:szCs w:val="22"/>
        </w:rPr>
        <w:t>nnum</w:t>
      </w:r>
      <w:r>
        <w:rPr>
          <w:szCs w:val="22"/>
        </w:rPr>
        <w:t xml:space="preserve"> in aggregate on average).</w:t>
      </w:r>
    </w:p>
    <w:p w14:paraId="0CEFC464" w14:textId="4ADE3DAA" w:rsidR="00650D66" w:rsidRDefault="00650D66" w:rsidP="00650D66">
      <w:pPr>
        <w:rPr>
          <w:szCs w:val="22"/>
        </w:rPr>
      </w:pPr>
      <w:r w:rsidRPr="006C6D76">
        <w:rPr>
          <w:szCs w:val="22"/>
        </w:rPr>
        <w:t xml:space="preserve">Because of </w:t>
      </w:r>
      <w:r w:rsidRPr="00BB16C6">
        <w:rPr>
          <w:szCs w:val="22"/>
        </w:rPr>
        <w:t>changes to the reporting of bulk imports in 2011, this decade</w:t>
      </w:r>
      <w:r w:rsidR="00406B47">
        <w:rPr>
          <w:szCs w:val="22"/>
        </w:rPr>
        <w:t>-</w:t>
      </w:r>
      <w:r w:rsidRPr="00BB16C6">
        <w:rPr>
          <w:szCs w:val="22"/>
        </w:rPr>
        <w:t>long trend in bulk imports of HFCs and HCFCs, illustrated in</w:t>
      </w:r>
      <w:r w:rsidRPr="00BB16C6">
        <w:rPr>
          <w:i/>
          <w:szCs w:val="22"/>
        </w:rPr>
        <w:t xml:space="preserve"> Figure </w:t>
      </w:r>
      <w:r w:rsidR="00BB16C6" w:rsidRPr="00BB16C6">
        <w:rPr>
          <w:i/>
          <w:szCs w:val="22"/>
        </w:rPr>
        <w:t>1</w:t>
      </w:r>
      <w:r w:rsidR="00036F8F">
        <w:rPr>
          <w:i/>
          <w:szCs w:val="22"/>
        </w:rPr>
        <w:t>4</w:t>
      </w:r>
      <w:r w:rsidRPr="00BB16C6">
        <w:rPr>
          <w:szCs w:val="22"/>
        </w:rPr>
        <w:t xml:space="preserve"> below, can</w:t>
      </w:r>
      <w:r>
        <w:rPr>
          <w:szCs w:val="22"/>
        </w:rPr>
        <w:t xml:space="preserve"> only be </w:t>
      </w:r>
      <w:r w:rsidR="009F5EAE">
        <w:rPr>
          <w:szCs w:val="22"/>
        </w:rPr>
        <w:t>calculated</w:t>
      </w:r>
      <w:r>
        <w:rPr>
          <w:szCs w:val="22"/>
        </w:rPr>
        <w:t xml:space="preserve"> </w:t>
      </w:r>
      <w:r w:rsidRPr="007F3EA8">
        <w:rPr>
          <w:szCs w:val="22"/>
        </w:rPr>
        <w:t>in kilo</w:t>
      </w:r>
      <w:r>
        <w:rPr>
          <w:szCs w:val="22"/>
        </w:rPr>
        <w:t xml:space="preserve"> </w:t>
      </w:r>
      <w:r w:rsidRPr="007F3EA8">
        <w:rPr>
          <w:szCs w:val="22"/>
        </w:rPr>
        <w:t xml:space="preserve">tonnes </w:t>
      </w:r>
      <w:r>
        <w:rPr>
          <w:szCs w:val="22"/>
        </w:rPr>
        <w:t>(kt</w:t>
      </w:r>
      <w:r w:rsidR="00663A41">
        <w:rPr>
          <w:szCs w:val="22"/>
        </w:rPr>
        <w:t xml:space="preserve"> or 1,000 tonnes</w:t>
      </w:r>
      <w:r>
        <w:rPr>
          <w:szCs w:val="22"/>
        </w:rPr>
        <w:t xml:space="preserve">) </w:t>
      </w:r>
      <w:r w:rsidRPr="007F3EA8">
        <w:rPr>
          <w:szCs w:val="22"/>
        </w:rPr>
        <w:t>of CO</w:t>
      </w:r>
      <w:r w:rsidRPr="007F3EA8">
        <w:rPr>
          <w:szCs w:val="22"/>
          <w:vertAlign w:val="subscript"/>
        </w:rPr>
        <w:t>2</w:t>
      </w:r>
      <w:r w:rsidRPr="007F3EA8">
        <w:rPr>
          <w:szCs w:val="22"/>
        </w:rPr>
        <w:t>e</w:t>
      </w:r>
      <w:r>
        <w:rPr>
          <w:szCs w:val="22"/>
        </w:rPr>
        <w:t>. The average over the entire period was 7,196 kt CO</w:t>
      </w:r>
      <w:r w:rsidRPr="00601E81">
        <w:rPr>
          <w:szCs w:val="22"/>
          <w:vertAlign w:val="subscript"/>
        </w:rPr>
        <w:t>2</w:t>
      </w:r>
      <w:r>
        <w:rPr>
          <w:szCs w:val="22"/>
        </w:rPr>
        <w:t>e of HFCs and 1,591 kt CO</w:t>
      </w:r>
      <w:r w:rsidRPr="00601E81">
        <w:rPr>
          <w:szCs w:val="22"/>
          <w:vertAlign w:val="subscript"/>
        </w:rPr>
        <w:t>2</w:t>
      </w:r>
      <w:r>
        <w:rPr>
          <w:szCs w:val="22"/>
        </w:rPr>
        <w:t>e of HCFCs.</w:t>
      </w:r>
    </w:p>
    <w:p w14:paraId="654DDE7B" w14:textId="77777777" w:rsidR="00650D66" w:rsidRDefault="00650D66" w:rsidP="00650D66">
      <w:pPr>
        <w:rPr>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650D66" w:rsidRPr="005D159D" w14:paraId="48562161" w14:textId="77777777" w:rsidTr="00DE3101">
        <w:tc>
          <w:tcPr>
            <w:tcW w:w="9639" w:type="dxa"/>
            <w:vAlign w:val="center"/>
          </w:tcPr>
          <w:p w14:paraId="775D10B0" w14:textId="615B481C" w:rsidR="00650D66" w:rsidRPr="005D159D" w:rsidRDefault="00650D66" w:rsidP="00EB5196">
            <w:pPr>
              <w:spacing w:after="120"/>
              <w:jc w:val="center"/>
              <w:rPr>
                <w:b/>
                <w:sz w:val="24"/>
              </w:rPr>
            </w:pPr>
            <w:r w:rsidRPr="005D159D">
              <w:rPr>
                <w:b/>
                <w:sz w:val="24"/>
              </w:rPr>
              <w:br w:type="page"/>
            </w:r>
            <w:r w:rsidRPr="006F0C7A">
              <w:rPr>
                <w:b/>
                <w:sz w:val="24"/>
              </w:rPr>
              <w:t xml:space="preserve">Trend of </w:t>
            </w:r>
            <w:r>
              <w:rPr>
                <w:b/>
                <w:sz w:val="24"/>
              </w:rPr>
              <w:t xml:space="preserve">HFC and HCFC </w:t>
            </w:r>
            <w:r w:rsidRPr="006F0C7A">
              <w:rPr>
                <w:b/>
                <w:sz w:val="24"/>
              </w:rPr>
              <w:t>bulk imports in kt CO</w:t>
            </w:r>
            <w:r w:rsidRPr="006F0C7A">
              <w:rPr>
                <w:b/>
                <w:sz w:val="24"/>
                <w:vertAlign w:val="subscript"/>
              </w:rPr>
              <w:t>2</w:t>
            </w:r>
            <w:r w:rsidRPr="006F0C7A">
              <w:rPr>
                <w:b/>
                <w:sz w:val="24"/>
              </w:rPr>
              <w:t>e</w:t>
            </w:r>
          </w:p>
        </w:tc>
      </w:tr>
      <w:tr w:rsidR="00650D66" w:rsidRPr="00BD20BC" w14:paraId="3F62FCCD" w14:textId="77777777" w:rsidTr="00DE3101">
        <w:tc>
          <w:tcPr>
            <w:tcW w:w="9639" w:type="dxa"/>
            <w:vAlign w:val="center"/>
          </w:tcPr>
          <w:p w14:paraId="2B4B6061" w14:textId="77777777" w:rsidR="00650D66" w:rsidRDefault="00650D66" w:rsidP="00EB5196">
            <w:pPr>
              <w:spacing w:before="60" w:after="60"/>
              <w:jc w:val="center"/>
              <w:rPr>
                <w:sz w:val="16"/>
                <w:szCs w:val="16"/>
              </w:rPr>
            </w:pPr>
          </w:p>
          <w:p w14:paraId="05BD306D" w14:textId="77777777" w:rsidR="00650D66" w:rsidRDefault="00650D66" w:rsidP="00EB5196">
            <w:pPr>
              <w:spacing w:before="60" w:after="60"/>
              <w:jc w:val="center"/>
              <w:rPr>
                <w:sz w:val="16"/>
                <w:szCs w:val="16"/>
              </w:rPr>
            </w:pPr>
            <w:r>
              <w:rPr>
                <w:noProof/>
                <w:lang w:val="en-AU" w:eastAsia="en-AU"/>
              </w:rPr>
              <w:drawing>
                <wp:inline distT="0" distB="0" distL="0" distR="0" wp14:anchorId="403F15C8" wp14:editId="14A0EA39">
                  <wp:extent cx="5866646" cy="226695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4216" cy="2277604"/>
                          </a:xfrm>
                          <a:prstGeom prst="rect">
                            <a:avLst/>
                          </a:prstGeom>
                        </pic:spPr>
                      </pic:pic>
                    </a:graphicData>
                  </a:graphic>
                </wp:inline>
              </w:drawing>
            </w:r>
          </w:p>
          <w:p w14:paraId="45F76824" w14:textId="77777777" w:rsidR="00650D66" w:rsidRPr="00BD20BC" w:rsidRDefault="00650D66" w:rsidP="00EB5196">
            <w:pPr>
              <w:spacing w:before="60" w:after="60"/>
              <w:jc w:val="center"/>
              <w:rPr>
                <w:sz w:val="16"/>
                <w:szCs w:val="16"/>
              </w:rPr>
            </w:pPr>
          </w:p>
        </w:tc>
      </w:tr>
      <w:tr w:rsidR="00650D66" w:rsidRPr="00042727" w14:paraId="4FE3A325" w14:textId="77777777" w:rsidTr="00DE3101">
        <w:tc>
          <w:tcPr>
            <w:tcW w:w="9639" w:type="dxa"/>
            <w:vAlign w:val="center"/>
          </w:tcPr>
          <w:p w14:paraId="53892880" w14:textId="2BD85132" w:rsidR="00650D66" w:rsidRPr="00BB16C6" w:rsidRDefault="00BB16C6" w:rsidP="00BB16C6">
            <w:pPr>
              <w:pStyle w:val="Caption"/>
              <w:rPr>
                <w:szCs w:val="22"/>
              </w:rPr>
            </w:pPr>
            <w:r w:rsidRPr="00BB16C6">
              <w:rPr>
                <w:szCs w:val="22"/>
              </w:rPr>
              <w:t xml:space="preserve">Figure </w:t>
            </w:r>
            <w:r w:rsidRPr="00BB16C6">
              <w:rPr>
                <w:szCs w:val="22"/>
              </w:rPr>
              <w:fldChar w:fldCharType="begin"/>
            </w:r>
            <w:r w:rsidRPr="00BB16C6">
              <w:rPr>
                <w:szCs w:val="22"/>
              </w:rPr>
              <w:instrText xml:space="preserve"> SEQ Figure \* ARABIC </w:instrText>
            </w:r>
            <w:r w:rsidRPr="00BB16C6">
              <w:rPr>
                <w:szCs w:val="22"/>
              </w:rPr>
              <w:fldChar w:fldCharType="separate"/>
            </w:r>
            <w:r w:rsidR="00715E05">
              <w:rPr>
                <w:noProof/>
                <w:szCs w:val="22"/>
              </w:rPr>
              <w:t>14</w:t>
            </w:r>
            <w:r w:rsidRPr="00BB16C6">
              <w:rPr>
                <w:szCs w:val="22"/>
              </w:rPr>
              <w:fldChar w:fldCharType="end"/>
            </w:r>
            <w:r w:rsidRPr="00BB16C6">
              <w:rPr>
                <w:szCs w:val="22"/>
              </w:rPr>
              <w:t xml:space="preserve">: </w:t>
            </w:r>
            <w:r w:rsidR="00650D66" w:rsidRPr="00BB16C6">
              <w:rPr>
                <w:szCs w:val="22"/>
              </w:rPr>
              <w:t>Trend of HFC and HCFC bulk imports in kt CO</w:t>
            </w:r>
            <w:r w:rsidR="00650D66" w:rsidRPr="00BB16C6">
              <w:rPr>
                <w:szCs w:val="22"/>
                <w:vertAlign w:val="subscript"/>
              </w:rPr>
              <w:t>2</w:t>
            </w:r>
            <w:r w:rsidR="00650D66" w:rsidRPr="00BB16C6">
              <w:rPr>
                <w:szCs w:val="22"/>
              </w:rPr>
              <w:t>e from 2008 to 2016.</w:t>
            </w:r>
          </w:p>
        </w:tc>
      </w:tr>
    </w:tbl>
    <w:p w14:paraId="3A42EFAB" w14:textId="77777777" w:rsidR="00BB16C6" w:rsidRDefault="00BB16C6" w:rsidP="00650D66">
      <w:pPr>
        <w:rPr>
          <w:szCs w:val="22"/>
        </w:rPr>
      </w:pPr>
    </w:p>
    <w:p w14:paraId="444B8DA2" w14:textId="77777777" w:rsidR="00670A4E" w:rsidRDefault="00670A4E">
      <w:pPr>
        <w:spacing w:before="0"/>
        <w:jc w:val="left"/>
        <w:rPr>
          <w:szCs w:val="22"/>
        </w:rPr>
      </w:pPr>
      <w:r>
        <w:rPr>
          <w:szCs w:val="22"/>
        </w:rPr>
        <w:br w:type="page"/>
      </w:r>
    </w:p>
    <w:p w14:paraId="1403EEBE" w14:textId="01A223FF" w:rsidR="00650D66" w:rsidRDefault="00650D66" w:rsidP="00650D66">
      <w:pPr>
        <w:rPr>
          <w:szCs w:val="22"/>
        </w:rPr>
      </w:pPr>
      <w:r>
        <w:rPr>
          <w:szCs w:val="22"/>
        </w:rPr>
        <w:t>This longer term view demonstrates that recent bulk imports are well below the decade average and reinforce industry reporting that the overall trend of bulk imports is down.</w:t>
      </w:r>
    </w:p>
    <w:p w14:paraId="75EAA831" w14:textId="4AF07C86" w:rsidR="00650D66" w:rsidRDefault="00650D66" w:rsidP="00650D66">
      <w:pPr>
        <w:rPr>
          <w:szCs w:val="22"/>
        </w:rPr>
      </w:pPr>
      <w:r>
        <w:rPr>
          <w:szCs w:val="22"/>
        </w:rPr>
        <w:t xml:space="preserve">Some of the decline in bulk imports </w:t>
      </w:r>
      <w:r w:rsidR="003024FB">
        <w:rPr>
          <w:szCs w:val="22"/>
        </w:rPr>
        <w:t xml:space="preserve">from </w:t>
      </w:r>
      <w:r>
        <w:rPr>
          <w:szCs w:val="22"/>
        </w:rPr>
        <w:t xml:space="preserve">2006 to 2016 can be attributed to reductions in OEM </w:t>
      </w:r>
      <w:r w:rsidR="00B73C33">
        <w:rPr>
          <w:szCs w:val="22"/>
        </w:rPr>
        <w:t>usage</w:t>
      </w:r>
      <w:r>
        <w:rPr>
          <w:szCs w:val="22"/>
        </w:rPr>
        <w:t xml:space="preserve"> as manufacturing of air conditioning and refrigeration equipment. Smaller stationary AC moved off shore (i.e. Kelvinator-Electrolux) as well as closures of manufacturers of ducted system (i.e. Carrier-Apac, Uni-Arie and others). Frigrite and Orford Refrigeration, major manufacturers of </w:t>
      </w:r>
      <w:r w:rsidR="009F5EAE">
        <w:rPr>
          <w:szCs w:val="22"/>
        </w:rPr>
        <w:t>refrigeration</w:t>
      </w:r>
      <w:r>
        <w:rPr>
          <w:szCs w:val="22"/>
        </w:rPr>
        <w:t xml:space="preserve"> display cases closed down, and domestic refrigeration (i.e. Electrolux and Fisher &amp; Paykel) moved off shore and transitioned to the use of HC refrigerant. Vehicle manufacturing halved before eventually ceasing in October 2017. Over that </w:t>
      </w:r>
      <w:r w:rsidR="00DE3101">
        <w:rPr>
          <w:szCs w:val="22"/>
        </w:rPr>
        <w:t>period,</w:t>
      </w:r>
      <w:r>
        <w:rPr>
          <w:szCs w:val="22"/>
        </w:rPr>
        <w:t xml:space="preserve"> we saw the </w:t>
      </w:r>
      <w:r w:rsidR="00DE3101">
        <w:rPr>
          <w:szCs w:val="22"/>
        </w:rPr>
        <w:t xml:space="preserve">scaling down and </w:t>
      </w:r>
      <w:r>
        <w:rPr>
          <w:szCs w:val="22"/>
        </w:rPr>
        <w:t>closure of the Mitsubishi, Holden, Ford and Toyota factories.</w:t>
      </w:r>
    </w:p>
    <w:p w14:paraId="46435058" w14:textId="5649A386" w:rsidR="00650D66" w:rsidRDefault="00BD4AE4" w:rsidP="00650D66">
      <w:pPr>
        <w:rPr>
          <w:szCs w:val="22"/>
        </w:rPr>
      </w:pPr>
      <w:r>
        <w:rPr>
          <w:szCs w:val="22"/>
        </w:rPr>
        <w:t>S</w:t>
      </w:r>
      <w:r w:rsidR="00650D66">
        <w:rPr>
          <w:szCs w:val="22"/>
        </w:rPr>
        <w:t>ome of the decline in demand for bulk imports may be attributed to better refrigerant management in some sectors, notably in the refrigerated cold food chain and in large commercial AC where a focus on leak reduction has been delivering greatly reduced direct emissions in some categories of equipment.</w:t>
      </w:r>
      <w:r>
        <w:rPr>
          <w:szCs w:val="22"/>
        </w:rPr>
        <w:t xml:space="preserve"> However,</w:t>
      </w:r>
      <w:r w:rsidRPr="00BD4AE4">
        <w:t xml:space="preserve"> </w:t>
      </w:r>
      <w:r w:rsidRPr="00BD4AE4">
        <w:rPr>
          <w:szCs w:val="22"/>
        </w:rPr>
        <w:t>better manufactured</w:t>
      </w:r>
      <w:r>
        <w:rPr>
          <w:szCs w:val="22"/>
        </w:rPr>
        <w:t xml:space="preserve"> equipment, in particular small and medium AC has contributed to significant drops in leak rates where small AC: Split system category has leaks of around 3.5% and service rate as low as 2.5% on the existing stock of HFC-410A models and lower rates on new HFC-32 equipment entering the fleet.</w:t>
      </w:r>
    </w:p>
    <w:p w14:paraId="1F6E1337" w14:textId="06E60264" w:rsidR="00650D66" w:rsidRDefault="00650D66" w:rsidP="00650D66">
      <w:pPr>
        <w:rPr>
          <w:szCs w:val="22"/>
        </w:rPr>
      </w:pPr>
      <w:r>
        <w:rPr>
          <w:szCs w:val="22"/>
        </w:rPr>
        <w:t xml:space="preserve">During the same period illustrated above, the steadily declining cap on HCFC imports, representing the limits Australia committed to under the Montreal Protocol, saw annual imports fall from 786 tonnes in 2012 to just </w:t>
      </w:r>
      <w:r w:rsidRPr="00E75187">
        <w:rPr>
          <w:szCs w:val="22"/>
        </w:rPr>
        <w:t>45</w:t>
      </w:r>
      <w:r>
        <w:rPr>
          <w:szCs w:val="22"/>
        </w:rPr>
        <w:t xml:space="preserve"> tonnes in 2016.</w:t>
      </w:r>
    </w:p>
    <w:p w14:paraId="5CE3F740" w14:textId="77777777" w:rsidR="00650D66" w:rsidRDefault="00650D66" w:rsidP="00650D66">
      <w:pPr>
        <w:rPr>
          <w:szCs w:val="22"/>
        </w:rPr>
      </w:pPr>
      <w:r w:rsidRPr="007F3EA8">
        <w:rPr>
          <w:szCs w:val="22"/>
        </w:rPr>
        <w:t>A significant rise in imports of HFC-410A, and a steady increase in imports of HFC-404A, is testament to the effect of restrictions on HCFC-22 imports (</w:t>
      </w:r>
      <w:r>
        <w:rPr>
          <w:szCs w:val="22"/>
        </w:rPr>
        <w:t>once the most widely</w:t>
      </w:r>
      <w:r w:rsidRPr="007F3EA8">
        <w:rPr>
          <w:szCs w:val="22"/>
        </w:rPr>
        <w:t xml:space="preserve"> used</w:t>
      </w:r>
      <w:r>
        <w:rPr>
          <w:szCs w:val="22"/>
        </w:rPr>
        <w:t xml:space="preserve"> refrigerant</w:t>
      </w:r>
      <w:r w:rsidRPr="007F3EA8">
        <w:rPr>
          <w:szCs w:val="22"/>
        </w:rPr>
        <w:t xml:space="preserve"> in stationary air conditioning equipment) </w:t>
      </w:r>
      <w:r>
        <w:rPr>
          <w:szCs w:val="22"/>
        </w:rPr>
        <w:t>during a decade when Australia saw an average of 1.1 million pre-charged residential and small commercial air conditioning systems imported every year.</w:t>
      </w:r>
    </w:p>
    <w:p w14:paraId="30913D06" w14:textId="6B55B485" w:rsidR="00650D66" w:rsidRPr="007F3EA8" w:rsidRDefault="00650D66" w:rsidP="00650D66">
      <w:pPr>
        <w:rPr>
          <w:szCs w:val="22"/>
        </w:rPr>
      </w:pPr>
      <w:r>
        <w:rPr>
          <w:szCs w:val="22"/>
        </w:rPr>
        <w:t xml:space="preserve">The continuing substantial bank of HCFCs is largely still employed in stationary AC more than the larger equipment segments, such as chillers and large commercial refrigeration plant, which have been </w:t>
      </w:r>
      <w:r w:rsidR="00DE3101" w:rsidRPr="007F3EA8">
        <w:rPr>
          <w:szCs w:val="22"/>
        </w:rPr>
        <w:t>migrat</w:t>
      </w:r>
      <w:r w:rsidR="00DE3101">
        <w:rPr>
          <w:szCs w:val="22"/>
        </w:rPr>
        <w:t>ing</w:t>
      </w:r>
      <w:r w:rsidR="00DE3101" w:rsidRPr="007F3EA8">
        <w:rPr>
          <w:szCs w:val="22"/>
        </w:rPr>
        <w:t xml:space="preserve"> </w:t>
      </w:r>
      <w:r w:rsidR="00DE3101">
        <w:rPr>
          <w:szCs w:val="22"/>
        </w:rPr>
        <w:t>away</w:t>
      </w:r>
      <w:r w:rsidRPr="007F3EA8">
        <w:rPr>
          <w:szCs w:val="22"/>
        </w:rPr>
        <w:t xml:space="preserve"> from HCFCs to HFCs</w:t>
      </w:r>
      <w:r>
        <w:rPr>
          <w:szCs w:val="22"/>
        </w:rPr>
        <w:t>, and natural refrigerants</w:t>
      </w:r>
      <w:r w:rsidRPr="007F3EA8">
        <w:rPr>
          <w:szCs w:val="22"/>
        </w:rPr>
        <w:t xml:space="preserve">. </w:t>
      </w:r>
    </w:p>
    <w:p w14:paraId="4EDEE2CD" w14:textId="4EBC7516" w:rsidR="00650D66" w:rsidRDefault="00650D66" w:rsidP="00650D66">
      <w:pPr>
        <w:rPr>
          <w:szCs w:val="22"/>
        </w:rPr>
      </w:pPr>
      <w:r>
        <w:rPr>
          <w:szCs w:val="22"/>
        </w:rPr>
        <w:t xml:space="preserve">Total HFC-410A imports in PCE </w:t>
      </w:r>
      <w:r w:rsidR="00760610">
        <w:rPr>
          <w:szCs w:val="22"/>
        </w:rPr>
        <w:t xml:space="preserve">started </w:t>
      </w:r>
      <w:r>
        <w:rPr>
          <w:szCs w:val="22"/>
        </w:rPr>
        <w:t xml:space="preserve">from a small base in 2006, </w:t>
      </w:r>
      <w:r w:rsidR="00760610">
        <w:rPr>
          <w:szCs w:val="22"/>
        </w:rPr>
        <w:t xml:space="preserve">and rose </w:t>
      </w:r>
      <w:r>
        <w:rPr>
          <w:szCs w:val="22"/>
        </w:rPr>
        <w:t xml:space="preserve">to more than 1,800 tonnes in 2016, accumulating to 17,100 tonnes over the 11 year period. Adding 40% of bulk imports of HFC-410A over the last five years to account for local manufacturing equates to a bank of at least 18,300 tonnes in 2016. </w:t>
      </w:r>
    </w:p>
    <w:p w14:paraId="57AFA139" w14:textId="2529BC8E" w:rsidR="00650D66" w:rsidRDefault="00650D66" w:rsidP="00650D66">
      <w:pPr>
        <w:rPr>
          <w:szCs w:val="22"/>
        </w:rPr>
      </w:pPr>
      <w:r>
        <w:rPr>
          <w:szCs w:val="22"/>
        </w:rPr>
        <w:t>T</w:t>
      </w:r>
      <w:r w:rsidRPr="007F3EA8">
        <w:rPr>
          <w:szCs w:val="22"/>
        </w:rPr>
        <w:t xml:space="preserve">his demonstrates how </w:t>
      </w:r>
      <w:r>
        <w:rPr>
          <w:szCs w:val="22"/>
        </w:rPr>
        <w:t xml:space="preserve">the </w:t>
      </w:r>
      <w:r w:rsidRPr="007F3EA8">
        <w:rPr>
          <w:szCs w:val="22"/>
        </w:rPr>
        <w:t xml:space="preserve">growth in the bank of HFC-410A was </w:t>
      </w:r>
      <w:r>
        <w:rPr>
          <w:szCs w:val="22"/>
        </w:rPr>
        <w:t xml:space="preserve">largely </w:t>
      </w:r>
      <w:r w:rsidRPr="007F3EA8">
        <w:rPr>
          <w:szCs w:val="22"/>
        </w:rPr>
        <w:t>driven by imports of equipment pre-charged with HFC-410A</w:t>
      </w:r>
      <w:r>
        <w:rPr>
          <w:szCs w:val="22"/>
        </w:rPr>
        <w:t>, which then in turn establishes long term demand for bulk refrigerant imports to service the stock of equipment</w:t>
      </w:r>
      <w:r w:rsidRPr="007F3EA8">
        <w:rPr>
          <w:szCs w:val="22"/>
        </w:rPr>
        <w:t>.</w:t>
      </w:r>
    </w:p>
    <w:p w14:paraId="2392840D" w14:textId="4B70A699" w:rsidR="00570810" w:rsidRPr="007F3EA8" w:rsidRDefault="00570810" w:rsidP="00570810">
      <w:pPr>
        <w:rPr>
          <w:szCs w:val="22"/>
        </w:rPr>
      </w:pPr>
      <w:r w:rsidRPr="0066195B">
        <w:rPr>
          <w:szCs w:val="22"/>
        </w:rPr>
        <w:t xml:space="preserve">To demonstrate the relative proportion of different HFCs </w:t>
      </w:r>
      <w:r w:rsidR="00460EBE">
        <w:rPr>
          <w:szCs w:val="22"/>
        </w:rPr>
        <w:t>imported</w:t>
      </w:r>
      <w:r w:rsidRPr="0066195B">
        <w:rPr>
          <w:szCs w:val="22"/>
        </w:rPr>
        <w:t xml:space="preserve"> since </w:t>
      </w:r>
      <w:r w:rsidRPr="00BB16C6">
        <w:rPr>
          <w:szCs w:val="22"/>
        </w:rPr>
        <w:t>2012,</w:t>
      </w:r>
      <w:r w:rsidRPr="00BB16C6">
        <w:rPr>
          <w:i/>
          <w:szCs w:val="22"/>
        </w:rPr>
        <w:t xml:space="preserve"> Figure </w:t>
      </w:r>
      <w:r w:rsidR="00BB16C6" w:rsidRPr="00BB16C6">
        <w:rPr>
          <w:i/>
          <w:szCs w:val="22"/>
        </w:rPr>
        <w:t>1</w:t>
      </w:r>
      <w:r w:rsidR="00036F8F">
        <w:rPr>
          <w:i/>
          <w:szCs w:val="22"/>
        </w:rPr>
        <w:t>5</w:t>
      </w:r>
      <w:r w:rsidRPr="00BB16C6">
        <w:rPr>
          <w:szCs w:val="22"/>
        </w:rPr>
        <w:t xml:space="preserve"> illustrates</w:t>
      </w:r>
      <w:r w:rsidRPr="007F3EA8">
        <w:rPr>
          <w:szCs w:val="22"/>
        </w:rPr>
        <w:t xml:space="preserve"> </w:t>
      </w:r>
      <w:r>
        <w:rPr>
          <w:szCs w:val="22"/>
        </w:rPr>
        <w:t xml:space="preserve">the five year </w:t>
      </w:r>
      <w:r w:rsidRPr="00B74655">
        <w:rPr>
          <w:i/>
          <w:szCs w:val="22"/>
        </w:rPr>
        <w:t>average</w:t>
      </w:r>
      <w:r>
        <w:rPr>
          <w:szCs w:val="22"/>
        </w:rPr>
        <w:t xml:space="preserve"> bulk imports of </w:t>
      </w:r>
      <w:r w:rsidRPr="007F3EA8">
        <w:rPr>
          <w:szCs w:val="22"/>
        </w:rPr>
        <w:t>HFC</w:t>
      </w:r>
      <w:r>
        <w:rPr>
          <w:szCs w:val="22"/>
        </w:rPr>
        <w:t>s by species in tonnes</w:t>
      </w:r>
      <w:r w:rsidRPr="007F3EA8">
        <w:rPr>
          <w:szCs w:val="22"/>
        </w:rPr>
        <w:t xml:space="preserve"> (this chart does not in</w:t>
      </w:r>
      <w:r>
        <w:rPr>
          <w:szCs w:val="22"/>
        </w:rPr>
        <w:t xml:space="preserve">clude imports of HCFCs). </w:t>
      </w:r>
    </w:p>
    <w:p w14:paraId="0981A625" w14:textId="4B790813" w:rsidR="000073EB" w:rsidRDefault="000073EB">
      <w:pPr>
        <w:spacing w:before="0"/>
        <w:jc w:val="left"/>
      </w:pPr>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570810" w:rsidRPr="005D159D" w14:paraId="045F3C9C" w14:textId="77777777" w:rsidTr="001E36B8">
        <w:tc>
          <w:tcPr>
            <w:tcW w:w="9492" w:type="dxa"/>
            <w:vAlign w:val="center"/>
          </w:tcPr>
          <w:p w14:paraId="31AAE6A6" w14:textId="2D343174" w:rsidR="00570810" w:rsidRPr="005D159D" w:rsidRDefault="00570810" w:rsidP="001E36B8">
            <w:pPr>
              <w:spacing w:after="120"/>
              <w:jc w:val="center"/>
              <w:rPr>
                <w:b/>
                <w:sz w:val="24"/>
              </w:rPr>
            </w:pPr>
            <w:r w:rsidRPr="005D159D">
              <w:rPr>
                <w:b/>
                <w:sz w:val="24"/>
              </w:rPr>
              <w:br w:type="page"/>
            </w:r>
            <w:r w:rsidR="005631FA">
              <w:rPr>
                <w:b/>
                <w:sz w:val="24"/>
              </w:rPr>
              <w:t>5 Year a</w:t>
            </w:r>
            <w:r>
              <w:rPr>
                <w:b/>
                <w:sz w:val="24"/>
              </w:rPr>
              <w:t>verage HFC bulk imports by species</w:t>
            </w:r>
            <w:r w:rsidRPr="005D159D">
              <w:rPr>
                <w:b/>
                <w:sz w:val="24"/>
              </w:rPr>
              <w:t xml:space="preserve"> </w:t>
            </w:r>
            <w:r w:rsidR="005631FA">
              <w:rPr>
                <w:b/>
                <w:sz w:val="24"/>
              </w:rPr>
              <w:t>(tonnes and %)</w:t>
            </w:r>
          </w:p>
        </w:tc>
      </w:tr>
      <w:tr w:rsidR="00570810" w:rsidRPr="00BD20BC" w14:paraId="12FD4D1A" w14:textId="77777777" w:rsidTr="001E36B8">
        <w:tc>
          <w:tcPr>
            <w:tcW w:w="9492" w:type="dxa"/>
            <w:vAlign w:val="center"/>
          </w:tcPr>
          <w:p w14:paraId="54A4D907" w14:textId="77777777" w:rsidR="00570810" w:rsidRDefault="00570810" w:rsidP="001E36B8">
            <w:pPr>
              <w:jc w:val="center"/>
              <w:rPr>
                <w:sz w:val="16"/>
                <w:szCs w:val="16"/>
              </w:rPr>
            </w:pPr>
            <w:r>
              <w:rPr>
                <w:noProof/>
                <w:sz w:val="16"/>
                <w:szCs w:val="16"/>
                <w:lang w:val="en-AU" w:eastAsia="en-AU"/>
              </w:rPr>
              <w:drawing>
                <wp:inline distT="0" distB="0" distL="0" distR="0" wp14:anchorId="3E6B2F02" wp14:editId="30F72689">
                  <wp:extent cx="5065440" cy="3768090"/>
                  <wp:effectExtent l="0" t="0" r="190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642" cy="3769728"/>
                          </a:xfrm>
                          <a:prstGeom prst="rect">
                            <a:avLst/>
                          </a:prstGeom>
                          <a:noFill/>
                        </pic:spPr>
                      </pic:pic>
                    </a:graphicData>
                  </a:graphic>
                </wp:inline>
              </w:drawing>
            </w:r>
          </w:p>
          <w:p w14:paraId="5326CFC3" w14:textId="77777777" w:rsidR="00570810" w:rsidRPr="00BD20BC" w:rsidRDefault="00570810" w:rsidP="001E36B8">
            <w:pPr>
              <w:jc w:val="center"/>
              <w:rPr>
                <w:sz w:val="16"/>
                <w:szCs w:val="16"/>
              </w:rPr>
            </w:pPr>
          </w:p>
        </w:tc>
      </w:tr>
      <w:tr w:rsidR="00570810" w:rsidRPr="00042727" w14:paraId="432EABAB" w14:textId="77777777" w:rsidTr="001E36B8">
        <w:tc>
          <w:tcPr>
            <w:tcW w:w="9492" w:type="dxa"/>
            <w:vAlign w:val="center"/>
          </w:tcPr>
          <w:p w14:paraId="1A838915" w14:textId="6A7256EC" w:rsidR="00570810" w:rsidRPr="005D159D" w:rsidRDefault="00570810" w:rsidP="001E36B8">
            <w:pPr>
              <w:spacing w:before="60" w:after="60"/>
              <w:rPr>
                <w:i/>
              </w:rPr>
            </w:pPr>
            <w:bookmarkStart w:id="84" w:name="_Toc494118054"/>
            <w:bookmarkStart w:id="85" w:name="_Toc525141346"/>
            <w:r w:rsidRPr="005D159D">
              <w:rPr>
                <w:i/>
                <w:sz w:val="20"/>
              </w:rPr>
              <w:t xml:space="preserve">Figure </w:t>
            </w:r>
            <w:r w:rsidRPr="005D159D">
              <w:rPr>
                <w:i/>
                <w:sz w:val="20"/>
              </w:rPr>
              <w:fldChar w:fldCharType="begin"/>
            </w:r>
            <w:r w:rsidRPr="005D159D">
              <w:rPr>
                <w:i/>
                <w:sz w:val="20"/>
              </w:rPr>
              <w:instrText xml:space="preserve"> SEQ Figure \* ARABIC </w:instrText>
            </w:r>
            <w:r w:rsidRPr="005D159D">
              <w:rPr>
                <w:i/>
                <w:sz w:val="20"/>
              </w:rPr>
              <w:fldChar w:fldCharType="separate"/>
            </w:r>
            <w:r w:rsidR="00715E05">
              <w:rPr>
                <w:i/>
                <w:noProof/>
                <w:sz w:val="20"/>
              </w:rPr>
              <w:t>15</w:t>
            </w:r>
            <w:r w:rsidRPr="005D159D">
              <w:rPr>
                <w:i/>
                <w:sz w:val="20"/>
              </w:rPr>
              <w:fldChar w:fldCharType="end"/>
            </w:r>
            <w:r w:rsidRPr="005D159D">
              <w:rPr>
                <w:i/>
                <w:sz w:val="20"/>
              </w:rPr>
              <w:t xml:space="preserve">: </w:t>
            </w:r>
            <w:bookmarkEnd w:id="84"/>
            <w:r w:rsidR="005631FA">
              <w:rPr>
                <w:i/>
                <w:sz w:val="20"/>
              </w:rPr>
              <w:t>Five ye</w:t>
            </w:r>
            <w:r w:rsidR="005631FA" w:rsidRPr="005631FA">
              <w:rPr>
                <w:i/>
                <w:sz w:val="20"/>
              </w:rPr>
              <w:t>ar average HFC bulk imports by species</w:t>
            </w:r>
            <w:r w:rsidR="00C80E0B">
              <w:rPr>
                <w:i/>
                <w:sz w:val="20"/>
              </w:rPr>
              <w:t xml:space="preserve"> in tonnes and per</w:t>
            </w:r>
            <w:r w:rsidR="005631FA">
              <w:rPr>
                <w:i/>
                <w:sz w:val="20"/>
              </w:rPr>
              <w:t>cent.</w:t>
            </w:r>
            <w:bookmarkEnd w:id="85"/>
          </w:p>
        </w:tc>
      </w:tr>
    </w:tbl>
    <w:p w14:paraId="707C8C12" w14:textId="77777777" w:rsidR="00570810" w:rsidRDefault="00570810" w:rsidP="00570810">
      <w:pPr>
        <w:spacing w:before="0"/>
        <w:rPr>
          <w:szCs w:val="22"/>
        </w:rPr>
      </w:pPr>
      <w:r w:rsidRPr="00116557">
        <w:rPr>
          <w:sz w:val="20"/>
          <w:szCs w:val="20"/>
        </w:rPr>
        <w:t>(Sources:</w:t>
      </w:r>
      <w:r>
        <w:rPr>
          <w:sz w:val="20"/>
          <w:szCs w:val="20"/>
        </w:rPr>
        <w:t xml:space="preserve"> DoEE 2017)</w:t>
      </w:r>
    </w:p>
    <w:p w14:paraId="6B0B3947" w14:textId="77777777" w:rsidR="007068E2" w:rsidRDefault="007068E2" w:rsidP="00570810">
      <w:pPr>
        <w:snapToGrid w:val="0"/>
        <w:rPr>
          <w:szCs w:val="22"/>
        </w:rPr>
      </w:pPr>
    </w:p>
    <w:p w14:paraId="7AD11EFA" w14:textId="27CFD42B" w:rsidR="00570810" w:rsidRDefault="00570810" w:rsidP="00570810">
      <w:pPr>
        <w:snapToGrid w:val="0"/>
        <w:rPr>
          <w:szCs w:val="22"/>
        </w:rPr>
      </w:pPr>
      <w:r>
        <w:rPr>
          <w:szCs w:val="22"/>
        </w:rPr>
        <w:t>C</w:t>
      </w:r>
      <w:r w:rsidRPr="007F3EA8">
        <w:rPr>
          <w:szCs w:val="22"/>
        </w:rPr>
        <w:t xml:space="preserve">harging new </w:t>
      </w:r>
      <w:r>
        <w:rPr>
          <w:szCs w:val="22"/>
        </w:rPr>
        <w:t xml:space="preserve">RCFC </w:t>
      </w:r>
      <w:r w:rsidRPr="007F3EA8">
        <w:rPr>
          <w:szCs w:val="22"/>
        </w:rPr>
        <w:t>equipment</w:t>
      </w:r>
      <w:r>
        <w:rPr>
          <w:szCs w:val="22"/>
        </w:rPr>
        <w:t xml:space="preserve"> and </w:t>
      </w:r>
      <w:r w:rsidRPr="007F3EA8">
        <w:rPr>
          <w:szCs w:val="22"/>
        </w:rPr>
        <w:t xml:space="preserve">replacing </w:t>
      </w:r>
      <w:r>
        <w:rPr>
          <w:szCs w:val="22"/>
        </w:rPr>
        <w:t>refrigerant</w:t>
      </w:r>
      <w:r w:rsidRPr="007F3EA8">
        <w:rPr>
          <w:szCs w:val="22"/>
        </w:rPr>
        <w:t xml:space="preserve"> that has been lost through leaks is estimated to account for </w:t>
      </w:r>
      <w:r w:rsidRPr="00D1682E">
        <w:rPr>
          <w:szCs w:val="22"/>
        </w:rPr>
        <w:t xml:space="preserve">approximately </w:t>
      </w:r>
      <w:r w:rsidR="00D1682E" w:rsidRPr="00D1682E">
        <w:rPr>
          <w:szCs w:val="22"/>
        </w:rPr>
        <w:t>3,174</w:t>
      </w:r>
      <w:r w:rsidRPr="00D1682E">
        <w:rPr>
          <w:szCs w:val="22"/>
        </w:rPr>
        <w:t xml:space="preserve"> tonnes</w:t>
      </w:r>
      <w:r w:rsidR="00D1682E" w:rsidRPr="00D1682E">
        <w:rPr>
          <w:szCs w:val="22"/>
        </w:rPr>
        <w:t xml:space="preserve"> (3,534 tonnes less OEM of 360 tonnes)</w:t>
      </w:r>
      <w:r w:rsidRPr="00D1682E">
        <w:rPr>
          <w:szCs w:val="22"/>
        </w:rPr>
        <w:t xml:space="preserve">, or </w:t>
      </w:r>
      <w:r w:rsidR="00D1682E" w:rsidRPr="00D1682E">
        <w:rPr>
          <w:szCs w:val="22"/>
        </w:rPr>
        <w:t>87</w:t>
      </w:r>
      <w:r w:rsidR="00C9319D" w:rsidRPr="00D1682E">
        <w:rPr>
          <w:szCs w:val="22"/>
        </w:rPr>
        <w:t>%</w:t>
      </w:r>
      <w:r w:rsidRPr="00D1682E">
        <w:rPr>
          <w:szCs w:val="22"/>
        </w:rPr>
        <w:t xml:space="preserve"> of all bulk imports </w:t>
      </w:r>
      <w:r w:rsidR="00D1682E" w:rsidRPr="00D1682E">
        <w:rPr>
          <w:szCs w:val="22"/>
        </w:rPr>
        <w:t xml:space="preserve">of 3,651 tonnes </w:t>
      </w:r>
      <w:r w:rsidRPr="00D1682E">
        <w:rPr>
          <w:szCs w:val="22"/>
        </w:rPr>
        <w:t>in 2016.</w:t>
      </w:r>
    </w:p>
    <w:p w14:paraId="439E4558" w14:textId="14EA3610" w:rsidR="00570810" w:rsidRPr="009E0BBC" w:rsidRDefault="00570810" w:rsidP="00570810">
      <w:pPr>
        <w:snapToGrid w:val="0"/>
        <w:rPr>
          <w:szCs w:val="22"/>
        </w:rPr>
      </w:pPr>
      <w:r w:rsidRPr="009E0BBC">
        <w:rPr>
          <w:szCs w:val="22"/>
        </w:rPr>
        <w:t>Servicing the second largest bank of equipment, MAC, is estimated to account for 570 tonnes, or almost 16</w:t>
      </w:r>
      <w:r w:rsidR="00C9319D">
        <w:rPr>
          <w:szCs w:val="22"/>
        </w:rPr>
        <w:t>%</w:t>
      </w:r>
      <w:r w:rsidRPr="009E0BBC">
        <w:rPr>
          <w:szCs w:val="22"/>
        </w:rPr>
        <w:t xml:space="preserve"> of all bulk imports in 2016</w:t>
      </w:r>
      <w:r w:rsidRPr="007F3EA8">
        <w:rPr>
          <w:szCs w:val="22"/>
        </w:rPr>
        <w:t>.</w:t>
      </w:r>
      <w:r>
        <w:rPr>
          <w:szCs w:val="22"/>
        </w:rPr>
        <w:t xml:space="preserve"> Refer to </w:t>
      </w:r>
      <w:r w:rsidRPr="009E0BBC">
        <w:rPr>
          <w:i/>
          <w:szCs w:val="22"/>
        </w:rPr>
        <w:t xml:space="preserve">Table </w:t>
      </w:r>
      <w:r w:rsidR="00BB16C6">
        <w:rPr>
          <w:i/>
          <w:szCs w:val="22"/>
        </w:rPr>
        <w:t>10</w:t>
      </w:r>
      <w:r w:rsidRPr="009E0BBC">
        <w:rPr>
          <w:i/>
          <w:szCs w:val="22"/>
        </w:rPr>
        <w:t xml:space="preserve">: Volumes of HFC-134a sold by calendar year (kgs) based on </w:t>
      </w:r>
      <w:r w:rsidR="00D1682E">
        <w:rPr>
          <w:i/>
          <w:szCs w:val="22"/>
        </w:rPr>
        <w:t>a</w:t>
      </w:r>
      <w:r w:rsidRPr="009E0BBC">
        <w:rPr>
          <w:i/>
          <w:szCs w:val="22"/>
        </w:rPr>
        <w:t>ftermarket supplier survey</w:t>
      </w:r>
      <w:r>
        <w:rPr>
          <w:i/>
          <w:szCs w:val="22"/>
        </w:rPr>
        <w:t>,</w:t>
      </w:r>
      <w:r w:rsidRPr="009E0BBC">
        <w:rPr>
          <w:szCs w:val="22"/>
        </w:rPr>
        <w:t xml:space="preserve"> in </w:t>
      </w:r>
      <w:r w:rsidRPr="009E0BBC">
        <w:rPr>
          <w:i/>
          <w:szCs w:val="22"/>
        </w:rPr>
        <w:t xml:space="preserve">Section </w:t>
      </w:r>
      <w:r w:rsidR="00BB16C6">
        <w:rPr>
          <w:i/>
          <w:szCs w:val="22"/>
        </w:rPr>
        <w:t>4.3</w:t>
      </w:r>
      <w:r>
        <w:rPr>
          <w:szCs w:val="22"/>
        </w:rPr>
        <w:t xml:space="preserve"> for </w:t>
      </w:r>
      <w:r w:rsidR="00CD5C81">
        <w:rPr>
          <w:szCs w:val="22"/>
        </w:rPr>
        <w:t xml:space="preserve">usage </w:t>
      </w:r>
      <w:r>
        <w:rPr>
          <w:szCs w:val="22"/>
        </w:rPr>
        <w:t>over the last 3 years.</w:t>
      </w:r>
    </w:p>
    <w:p w14:paraId="303D94AA" w14:textId="098905E6" w:rsidR="00EB0E9C" w:rsidRDefault="00EB0E9C" w:rsidP="00650D66">
      <w:pPr>
        <w:rPr>
          <w:szCs w:val="22"/>
        </w:rPr>
      </w:pPr>
    </w:p>
    <w:p w14:paraId="2ED9F0B3" w14:textId="466717C7" w:rsidR="00F9285D" w:rsidRPr="00F9285D" w:rsidRDefault="00F9285D" w:rsidP="00F9285D">
      <w:pPr>
        <w:pStyle w:val="Heading2"/>
      </w:pPr>
      <w:bookmarkStart w:id="86" w:name="_Toc525141277"/>
      <w:r>
        <w:t xml:space="preserve">Refrigerant </w:t>
      </w:r>
      <w:r w:rsidR="005631FA">
        <w:t>p</w:t>
      </w:r>
      <w:r w:rsidRPr="00F9285D">
        <w:t xml:space="preserve">rices and </w:t>
      </w:r>
      <w:r w:rsidR="005631FA">
        <w:t>m</w:t>
      </w:r>
      <w:r w:rsidRPr="00F9285D">
        <w:t xml:space="preserve">arket </w:t>
      </w:r>
      <w:r w:rsidR="005631FA">
        <w:t>b</w:t>
      </w:r>
      <w:r w:rsidRPr="00F9285D">
        <w:t>ehavior</w:t>
      </w:r>
      <w:bookmarkEnd w:id="86"/>
    </w:p>
    <w:p w14:paraId="17A44DE8" w14:textId="1335C8D2" w:rsidR="00F9285D" w:rsidRPr="00312AFA" w:rsidRDefault="0029179E" w:rsidP="00F9285D">
      <w:pPr>
        <w:rPr>
          <w:szCs w:val="22"/>
        </w:rPr>
      </w:pPr>
      <w:r>
        <w:rPr>
          <w:szCs w:val="22"/>
        </w:rPr>
        <w:t>W</w:t>
      </w:r>
      <w:r w:rsidR="00F9285D">
        <w:rPr>
          <w:szCs w:val="22"/>
        </w:rPr>
        <w:t>hile the</w:t>
      </w:r>
      <w:r w:rsidR="00406B47">
        <w:rPr>
          <w:szCs w:val="22"/>
        </w:rPr>
        <w:t xml:space="preserve"> 2012</w:t>
      </w:r>
      <w:r w:rsidR="00F9285D">
        <w:rPr>
          <w:szCs w:val="22"/>
        </w:rPr>
        <w:t xml:space="preserve"> stockpiling was an obvious reaction to the certainty of </w:t>
      </w:r>
      <w:r>
        <w:rPr>
          <w:szCs w:val="22"/>
        </w:rPr>
        <w:t xml:space="preserve">greatly </w:t>
      </w:r>
      <w:r w:rsidR="00F9285D">
        <w:rPr>
          <w:szCs w:val="22"/>
        </w:rPr>
        <w:t>increased prices, underlying changes in prices and the market reaction to price changes were far wider and had longer lasting effects than just the obvious stockpiling.</w:t>
      </w:r>
    </w:p>
    <w:p w14:paraId="5D93D87A" w14:textId="63C0DF0C" w:rsidR="00F9285D" w:rsidRDefault="00F9285D" w:rsidP="00F9285D">
      <w:pPr>
        <w:rPr>
          <w:szCs w:val="22"/>
        </w:rPr>
      </w:pPr>
      <w:r w:rsidRPr="008C3D51">
        <w:rPr>
          <w:szCs w:val="22"/>
        </w:rPr>
        <w:t xml:space="preserve">Since 2010 </w:t>
      </w:r>
      <w:r>
        <w:rPr>
          <w:szCs w:val="22"/>
        </w:rPr>
        <w:t xml:space="preserve">the </w:t>
      </w:r>
      <w:r w:rsidRPr="008C3D51">
        <w:rPr>
          <w:szCs w:val="22"/>
        </w:rPr>
        <w:t>price o</w:t>
      </w:r>
      <w:r>
        <w:rPr>
          <w:szCs w:val="22"/>
        </w:rPr>
        <w:t>f refrigerants in Australia has</w:t>
      </w:r>
      <w:r w:rsidRPr="008C3D51">
        <w:rPr>
          <w:szCs w:val="22"/>
        </w:rPr>
        <w:t xml:space="preserve"> been impacted by</w:t>
      </w:r>
      <w:r>
        <w:rPr>
          <w:szCs w:val="22"/>
        </w:rPr>
        <w:t xml:space="preserve"> a number of regulatory changes. The impact on refrigerant prices of the first two major regulatory changes in the last decade can be relatively easily discerned, while the third and most recent change </w:t>
      </w:r>
      <w:r w:rsidR="00D9457B">
        <w:rPr>
          <w:szCs w:val="22"/>
        </w:rPr>
        <w:t xml:space="preserve">(HFC phase down) </w:t>
      </w:r>
      <w:r>
        <w:rPr>
          <w:szCs w:val="22"/>
        </w:rPr>
        <w:t>has not yet commenced having any obvious impact on prices.</w:t>
      </w:r>
    </w:p>
    <w:p w14:paraId="5FBDDD3E" w14:textId="2EE4A808" w:rsidR="00F9285D" w:rsidRPr="008C3D51" w:rsidRDefault="00F9285D" w:rsidP="00F9285D">
      <w:pPr>
        <w:rPr>
          <w:szCs w:val="22"/>
        </w:rPr>
      </w:pPr>
      <w:r>
        <w:rPr>
          <w:szCs w:val="22"/>
        </w:rPr>
        <w:t>The first two significant regulatory impacts on price have been the step down o</w:t>
      </w:r>
      <w:r w:rsidR="00406B47">
        <w:rPr>
          <w:szCs w:val="22"/>
        </w:rPr>
        <w:t>f</w:t>
      </w:r>
      <w:r w:rsidRPr="008C3D51">
        <w:rPr>
          <w:szCs w:val="22"/>
        </w:rPr>
        <w:t xml:space="preserve"> import caps </w:t>
      </w:r>
      <w:r>
        <w:rPr>
          <w:szCs w:val="22"/>
        </w:rPr>
        <w:t xml:space="preserve">for </w:t>
      </w:r>
      <w:r w:rsidRPr="008C3D51">
        <w:rPr>
          <w:szCs w:val="22"/>
        </w:rPr>
        <w:t>HCFCs</w:t>
      </w:r>
      <w:r w:rsidR="00DE7230">
        <w:rPr>
          <w:szCs w:val="22"/>
        </w:rPr>
        <w:t xml:space="preserve"> and the introduction and then removal of the </w:t>
      </w:r>
      <w:r w:rsidR="00311794">
        <w:rPr>
          <w:szCs w:val="22"/>
        </w:rPr>
        <w:t>e</w:t>
      </w:r>
      <w:r w:rsidR="00DE7230">
        <w:rPr>
          <w:szCs w:val="22"/>
        </w:rPr>
        <w:t xml:space="preserve">quivalent </w:t>
      </w:r>
      <w:r w:rsidR="00311794">
        <w:rPr>
          <w:szCs w:val="22"/>
        </w:rPr>
        <w:t>c</w:t>
      </w:r>
      <w:r w:rsidR="00DE7230">
        <w:rPr>
          <w:szCs w:val="22"/>
        </w:rPr>
        <w:t xml:space="preserve">arbon </w:t>
      </w:r>
      <w:r w:rsidR="00311794">
        <w:rPr>
          <w:szCs w:val="22"/>
        </w:rPr>
        <w:t>tax. The import quota</w:t>
      </w:r>
      <w:r w:rsidR="00DE7230">
        <w:rPr>
          <w:szCs w:val="22"/>
        </w:rPr>
        <w:t xml:space="preserve"> for HCFCs</w:t>
      </w:r>
      <w:r w:rsidR="00460EBE">
        <w:rPr>
          <w:szCs w:val="22"/>
        </w:rPr>
        <w:t xml:space="preserve"> declined</w:t>
      </w:r>
      <w:r w:rsidRPr="008C3D51">
        <w:rPr>
          <w:szCs w:val="22"/>
        </w:rPr>
        <w:t xml:space="preserve"> to 40 ODP tonnes per annum (equivalent to </w:t>
      </w:r>
      <w:r w:rsidRPr="00024FAA">
        <w:rPr>
          <w:szCs w:val="22"/>
        </w:rPr>
        <w:t>727</w:t>
      </w:r>
      <w:r w:rsidRPr="00701F14">
        <w:rPr>
          <w:szCs w:val="22"/>
        </w:rPr>
        <w:t>.3</w:t>
      </w:r>
      <w:r w:rsidRPr="008C3D51">
        <w:rPr>
          <w:szCs w:val="22"/>
        </w:rPr>
        <w:t xml:space="preserve"> metric tonnes of HCFC-22</w:t>
      </w:r>
      <w:r>
        <w:rPr>
          <w:szCs w:val="22"/>
        </w:rPr>
        <w:t xml:space="preserve">) </w:t>
      </w:r>
      <w:r w:rsidRPr="008C3D51">
        <w:rPr>
          <w:szCs w:val="22"/>
        </w:rPr>
        <w:t>in 2012</w:t>
      </w:r>
      <w:r>
        <w:rPr>
          <w:szCs w:val="22"/>
        </w:rPr>
        <w:t xml:space="preserve">, and </w:t>
      </w:r>
      <w:r w:rsidR="00460EBE">
        <w:rPr>
          <w:szCs w:val="22"/>
        </w:rPr>
        <w:t xml:space="preserve">then </w:t>
      </w:r>
      <w:r w:rsidR="00FE6BFF">
        <w:rPr>
          <w:szCs w:val="22"/>
        </w:rPr>
        <w:t>to 10</w:t>
      </w:r>
      <w:r>
        <w:rPr>
          <w:szCs w:val="22"/>
        </w:rPr>
        <w:t xml:space="preserve"> </w:t>
      </w:r>
      <w:r w:rsidR="00FE6BFF">
        <w:rPr>
          <w:szCs w:val="22"/>
        </w:rPr>
        <w:t>ODP tonnes in 2014 and to 2.5 ODP tonnes in 2016</w:t>
      </w:r>
      <w:r w:rsidR="00DE7230">
        <w:rPr>
          <w:szCs w:val="22"/>
        </w:rPr>
        <w:t xml:space="preserve">. The </w:t>
      </w:r>
      <w:r w:rsidRPr="008C3D51">
        <w:rPr>
          <w:szCs w:val="22"/>
        </w:rPr>
        <w:t xml:space="preserve">introduction of the equivalent </w:t>
      </w:r>
      <w:r w:rsidR="00FE6BFF">
        <w:rPr>
          <w:szCs w:val="22"/>
        </w:rPr>
        <w:t>carbon tax</w:t>
      </w:r>
      <w:r w:rsidRPr="008C3D51">
        <w:rPr>
          <w:szCs w:val="22"/>
        </w:rPr>
        <w:t xml:space="preserve"> on </w:t>
      </w:r>
      <w:r>
        <w:rPr>
          <w:szCs w:val="22"/>
        </w:rPr>
        <w:t xml:space="preserve">HFCs on </w:t>
      </w:r>
      <w:r w:rsidRPr="008C3D51">
        <w:rPr>
          <w:szCs w:val="22"/>
        </w:rPr>
        <w:t>1 July 2012</w:t>
      </w:r>
      <w:r>
        <w:rPr>
          <w:szCs w:val="22"/>
        </w:rPr>
        <w:t xml:space="preserve"> </w:t>
      </w:r>
      <w:r w:rsidR="00DE7230" w:rsidRPr="008C3D51">
        <w:rPr>
          <w:szCs w:val="22"/>
        </w:rPr>
        <w:t xml:space="preserve">imposed a </w:t>
      </w:r>
      <w:r w:rsidR="00DE7230">
        <w:rPr>
          <w:szCs w:val="22"/>
        </w:rPr>
        <w:t>tax</w:t>
      </w:r>
      <w:r w:rsidR="00DE7230" w:rsidRPr="008C3D51">
        <w:rPr>
          <w:szCs w:val="22"/>
        </w:rPr>
        <w:t xml:space="preserve"> on any imported HFCs based on the gl</w:t>
      </w:r>
      <w:r w:rsidR="00DE7230">
        <w:rPr>
          <w:szCs w:val="22"/>
        </w:rPr>
        <w:t xml:space="preserve">obal warming potential of the refrigerant </w:t>
      </w:r>
      <w:r>
        <w:rPr>
          <w:szCs w:val="22"/>
        </w:rPr>
        <w:t xml:space="preserve">(and then its removal on </w:t>
      </w:r>
      <w:r w:rsidR="00FE6BFF">
        <w:rPr>
          <w:szCs w:val="22"/>
        </w:rPr>
        <w:t xml:space="preserve">1 </w:t>
      </w:r>
      <w:r>
        <w:rPr>
          <w:szCs w:val="22"/>
        </w:rPr>
        <w:t>July 2014)</w:t>
      </w:r>
      <w:r w:rsidRPr="008C3D51">
        <w:rPr>
          <w:szCs w:val="22"/>
        </w:rPr>
        <w:t xml:space="preserve"> </w:t>
      </w:r>
      <w:r w:rsidR="00DE7230">
        <w:rPr>
          <w:szCs w:val="22"/>
        </w:rPr>
        <w:t>produced significant and rapid changes in wholesale prices.</w:t>
      </w:r>
      <w:r>
        <w:rPr>
          <w:szCs w:val="22"/>
        </w:rPr>
        <w:t xml:space="preserve"> </w:t>
      </w:r>
      <w:r w:rsidR="000C325A">
        <w:rPr>
          <w:szCs w:val="22"/>
        </w:rPr>
        <w:t>Any changes in price of raw material were virtually insignificant relative to the price changes due to regulatory impacts.</w:t>
      </w:r>
    </w:p>
    <w:p w14:paraId="11DD6D71" w14:textId="0E3F83AC" w:rsidR="00F9285D" w:rsidRPr="008C3D51" w:rsidRDefault="00F9285D" w:rsidP="00F9285D">
      <w:pPr>
        <w:rPr>
          <w:szCs w:val="22"/>
        </w:rPr>
      </w:pPr>
      <w:r>
        <w:rPr>
          <w:szCs w:val="22"/>
        </w:rPr>
        <w:t xml:space="preserve">These </w:t>
      </w:r>
      <w:r w:rsidRPr="008C3D51">
        <w:rPr>
          <w:szCs w:val="22"/>
        </w:rPr>
        <w:t xml:space="preserve">events have provided valuable insight </w:t>
      </w:r>
      <w:r w:rsidR="00406B47">
        <w:rPr>
          <w:szCs w:val="22"/>
        </w:rPr>
        <w:t>in</w:t>
      </w:r>
      <w:r w:rsidRPr="008C3D51">
        <w:rPr>
          <w:szCs w:val="22"/>
        </w:rPr>
        <w:t xml:space="preserve">to changed industry and trade behaviour as a result of higher refrigerant prices. </w:t>
      </w:r>
    </w:p>
    <w:p w14:paraId="2E167DC9" w14:textId="3E1CEF1F" w:rsidR="00F9285D" w:rsidRPr="008C3D51" w:rsidRDefault="00F9285D" w:rsidP="00F9285D">
      <w:pPr>
        <w:rPr>
          <w:szCs w:val="22"/>
        </w:rPr>
      </w:pPr>
      <w:r w:rsidRPr="008C3D51">
        <w:rPr>
          <w:szCs w:val="22"/>
        </w:rPr>
        <w:t xml:space="preserve">For the five years prior to the introduction of the </w:t>
      </w:r>
      <w:r w:rsidR="00A004A8" w:rsidRPr="00A004A8">
        <w:rPr>
          <w:szCs w:val="22"/>
        </w:rPr>
        <w:t xml:space="preserve">equivalent carbon tax </w:t>
      </w:r>
      <w:r w:rsidRPr="008C3D51">
        <w:rPr>
          <w:szCs w:val="22"/>
        </w:rPr>
        <w:t>on refrigerant gases, HCFC-22, the most common HCFC in use, sold very consistently in the wh</w:t>
      </w:r>
      <w:r>
        <w:rPr>
          <w:szCs w:val="22"/>
        </w:rPr>
        <w:t>olesale market for between $20 to $30 per kg. In 2012 t</w:t>
      </w:r>
      <w:r w:rsidRPr="008C3D51">
        <w:rPr>
          <w:szCs w:val="22"/>
        </w:rPr>
        <w:t>he combination of the tightening of supply with t</w:t>
      </w:r>
      <w:r>
        <w:rPr>
          <w:szCs w:val="22"/>
        </w:rPr>
        <w:t xml:space="preserve">he reducing import cap on HCFCs, and </w:t>
      </w:r>
      <w:r w:rsidRPr="008C3D51">
        <w:rPr>
          <w:szCs w:val="22"/>
        </w:rPr>
        <w:t xml:space="preserve">the introduction of the </w:t>
      </w:r>
      <w:r w:rsidR="00A004A8" w:rsidRPr="00A004A8">
        <w:rPr>
          <w:szCs w:val="22"/>
        </w:rPr>
        <w:t>equivalent carbon tax</w:t>
      </w:r>
      <w:r w:rsidR="00A004A8">
        <w:rPr>
          <w:szCs w:val="22"/>
        </w:rPr>
        <w:t xml:space="preserve"> </w:t>
      </w:r>
      <w:r>
        <w:rPr>
          <w:szCs w:val="22"/>
        </w:rPr>
        <w:t>on HFCs,</w:t>
      </w:r>
      <w:r w:rsidRPr="008C3D51">
        <w:rPr>
          <w:szCs w:val="22"/>
        </w:rPr>
        <w:t xml:space="preserve"> provided the catalyst for HCFC-22 to rise abo</w:t>
      </w:r>
      <w:r>
        <w:rPr>
          <w:szCs w:val="22"/>
        </w:rPr>
        <w:t>ve $100 per kg</w:t>
      </w:r>
      <w:r w:rsidRPr="008C3D51">
        <w:rPr>
          <w:szCs w:val="22"/>
        </w:rPr>
        <w:t xml:space="preserve"> in a period of just three to four months in mid-2012. </w:t>
      </w:r>
    </w:p>
    <w:p w14:paraId="1AD396CB" w14:textId="37FC8E95" w:rsidR="00F9285D" w:rsidRPr="008C3D51" w:rsidRDefault="00F9285D" w:rsidP="00F9285D">
      <w:pPr>
        <w:rPr>
          <w:szCs w:val="22"/>
        </w:rPr>
      </w:pPr>
      <w:r w:rsidRPr="008C3D51">
        <w:rPr>
          <w:szCs w:val="22"/>
        </w:rPr>
        <w:t xml:space="preserve">The </w:t>
      </w:r>
      <w:r w:rsidR="00A004A8" w:rsidRPr="00A004A8">
        <w:rPr>
          <w:szCs w:val="22"/>
        </w:rPr>
        <w:t>equivalent carbon tax</w:t>
      </w:r>
      <w:r w:rsidRPr="008C3D51">
        <w:rPr>
          <w:szCs w:val="22"/>
        </w:rPr>
        <w:t xml:space="preserve"> contributed to this increase because, while HCFCs themse</w:t>
      </w:r>
      <w:r>
        <w:rPr>
          <w:szCs w:val="22"/>
        </w:rPr>
        <w:t xml:space="preserve">lves were not subject to the </w:t>
      </w:r>
      <w:r w:rsidR="00A004A8">
        <w:rPr>
          <w:szCs w:val="22"/>
        </w:rPr>
        <w:t>tax</w:t>
      </w:r>
      <w:r w:rsidRPr="008C3D51">
        <w:rPr>
          <w:szCs w:val="22"/>
        </w:rPr>
        <w:t xml:space="preserve">, </w:t>
      </w:r>
      <w:r>
        <w:rPr>
          <w:szCs w:val="22"/>
        </w:rPr>
        <w:t xml:space="preserve">the HFC refrigerants most commonly used to replace </w:t>
      </w:r>
      <w:r w:rsidRPr="008C3D51">
        <w:rPr>
          <w:szCs w:val="22"/>
        </w:rPr>
        <w:t>HCFC-22 were</w:t>
      </w:r>
      <w:r>
        <w:rPr>
          <w:szCs w:val="22"/>
        </w:rPr>
        <w:t xml:space="preserve"> subject to the </w:t>
      </w:r>
      <w:r w:rsidR="00A004A8">
        <w:rPr>
          <w:szCs w:val="22"/>
        </w:rPr>
        <w:t>tax</w:t>
      </w:r>
      <w:r w:rsidRPr="008C3D51">
        <w:rPr>
          <w:szCs w:val="22"/>
        </w:rPr>
        <w:t xml:space="preserve">. For example, HFC-404A prices rose from less than $20 per kg to as high as $150 per kg immediately following the imposition of the </w:t>
      </w:r>
      <w:r w:rsidR="00D9457B">
        <w:rPr>
          <w:szCs w:val="22"/>
        </w:rPr>
        <w:t>equivalent carbon tax</w:t>
      </w:r>
      <w:r w:rsidRPr="008C3D51">
        <w:rPr>
          <w:szCs w:val="22"/>
        </w:rPr>
        <w:t>.</w:t>
      </w:r>
    </w:p>
    <w:p w14:paraId="11AB34B3" w14:textId="7D69C0F4" w:rsidR="00F9285D" w:rsidRDefault="00F9285D" w:rsidP="00F9285D">
      <w:pPr>
        <w:rPr>
          <w:szCs w:val="22"/>
        </w:rPr>
      </w:pPr>
      <w:r w:rsidRPr="008C3D51">
        <w:rPr>
          <w:szCs w:val="22"/>
        </w:rPr>
        <w:t xml:space="preserve">This dramatic change in the market </w:t>
      </w:r>
      <w:r>
        <w:rPr>
          <w:szCs w:val="22"/>
        </w:rPr>
        <w:t xml:space="preserve">for both HCFCs and HFCs, at effectively the same time, </w:t>
      </w:r>
      <w:r w:rsidRPr="008C3D51">
        <w:rPr>
          <w:szCs w:val="22"/>
        </w:rPr>
        <w:t>had several flow-on effects.</w:t>
      </w:r>
    </w:p>
    <w:p w14:paraId="70116F85" w14:textId="77777777" w:rsidR="00F9285D" w:rsidRPr="008C3D51" w:rsidRDefault="00F9285D" w:rsidP="00F9285D">
      <w:pPr>
        <w:rPr>
          <w:szCs w:val="22"/>
        </w:rPr>
      </w:pPr>
      <w:r w:rsidRPr="008C3D51">
        <w:rPr>
          <w:szCs w:val="22"/>
        </w:rPr>
        <w:t xml:space="preserve">Firstly the majority of participants involved in the refrigerant supply chain, including those </w:t>
      </w:r>
      <w:r>
        <w:rPr>
          <w:szCs w:val="22"/>
        </w:rPr>
        <w:t xml:space="preserve">medium and large </w:t>
      </w:r>
      <w:r w:rsidRPr="008C3D51">
        <w:rPr>
          <w:szCs w:val="22"/>
        </w:rPr>
        <w:t xml:space="preserve">end users who were impacted by the price increases, started working to </w:t>
      </w:r>
      <w:r>
        <w:rPr>
          <w:szCs w:val="22"/>
        </w:rPr>
        <w:t>reduce leaks and refrigerant</w:t>
      </w:r>
      <w:r w:rsidRPr="008C3D51">
        <w:rPr>
          <w:szCs w:val="22"/>
        </w:rPr>
        <w:t xml:space="preserve"> handling losses for both HFCs and HCFCs. This was particularly apparent in the very largest users of refrigera</w:t>
      </w:r>
      <w:r>
        <w:rPr>
          <w:szCs w:val="22"/>
        </w:rPr>
        <w:t>nt</w:t>
      </w:r>
      <w:r w:rsidRPr="008C3D51">
        <w:rPr>
          <w:szCs w:val="22"/>
        </w:rPr>
        <w:t xml:space="preserve">s, for whom refrigeration is mission critical to their business plans, such as in the </w:t>
      </w:r>
      <w:r>
        <w:rPr>
          <w:szCs w:val="22"/>
        </w:rPr>
        <w:t xml:space="preserve">supermarket industry and elsewhere in the </w:t>
      </w:r>
      <w:r w:rsidRPr="008C3D51">
        <w:rPr>
          <w:szCs w:val="22"/>
        </w:rPr>
        <w:t>refrigerated cold food chain.</w:t>
      </w:r>
    </w:p>
    <w:p w14:paraId="06CF1FEA" w14:textId="31B902B3" w:rsidR="00F9285D" w:rsidRPr="008C3D51" w:rsidRDefault="00F9285D" w:rsidP="00F9285D">
      <w:pPr>
        <w:rPr>
          <w:szCs w:val="22"/>
        </w:rPr>
      </w:pPr>
      <w:r w:rsidRPr="008C3D51">
        <w:rPr>
          <w:szCs w:val="22"/>
        </w:rPr>
        <w:t>The market focus on leak reduction quickly demonstrated that leak reduction strategies, such as improved equipment containment, leak inspection and automatic leak detection devices, were very cost-effective, delivering ongoing savings to equipment operators. The effects of this very positive outcome are still apparent in the market today.</w:t>
      </w:r>
    </w:p>
    <w:p w14:paraId="7364F0A0" w14:textId="21A96585" w:rsidR="00F9285D" w:rsidRDefault="00F9285D" w:rsidP="00F9285D">
      <w:pPr>
        <w:rPr>
          <w:szCs w:val="22"/>
        </w:rPr>
      </w:pPr>
      <w:r w:rsidRPr="008C3D51">
        <w:rPr>
          <w:szCs w:val="22"/>
        </w:rPr>
        <w:t xml:space="preserve">Secondly, as a direct result of the increased value of the material, recovery of HCFCs, and </w:t>
      </w:r>
      <w:r>
        <w:rPr>
          <w:szCs w:val="22"/>
        </w:rPr>
        <w:t xml:space="preserve">of some </w:t>
      </w:r>
      <w:r w:rsidRPr="008C3D51">
        <w:rPr>
          <w:szCs w:val="22"/>
        </w:rPr>
        <w:t>HFCs</w:t>
      </w:r>
      <w:r w:rsidR="00406B47">
        <w:rPr>
          <w:szCs w:val="22"/>
        </w:rPr>
        <w:t>,</w:t>
      </w:r>
      <w:r w:rsidRPr="008C3D51">
        <w:rPr>
          <w:szCs w:val="22"/>
        </w:rPr>
        <w:t xml:space="preserve"> from equipment being </w:t>
      </w:r>
      <w:r>
        <w:rPr>
          <w:szCs w:val="22"/>
        </w:rPr>
        <w:t xml:space="preserve">upgraded </w:t>
      </w:r>
      <w:r w:rsidRPr="008C3D51">
        <w:rPr>
          <w:szCs w:val="22"/>
        </w:rPr>
        <w:t>or decommissioned</w:t>
      </w:r>
      <w:r w:rsidR="00406B47" w:rsidRPr="00406B47">
        <w:rPr>
          <w:szCs w:val="22"/>
        </w:rPr>
        <w:t xml:space="preserve"> </w:t>
      </w:r>
      <w:r w:rsidR="00406B47" w:rsidRPr="008C3D51">
        <w:rPr>
          <w:szCs w:val="22"/>
        </w:rPr>
        <w:t>increased</w:t>
      </w:r>
      <w:r w:rsidRPr="008C3D51">
        <w:rPr>
          <w:szCs w:val="22"/>
        </w:rPr>
        <w:t xml:space="preserve">. </w:t>
      </w:r>
    </w:p>
    <w:p w14:paraId="222360B6" w14:textId="4B59AADA" w:rsidR="00F9285D" w:rsidRPr="008C3D51" w:rsidRDefault="00F9285D" w:rsidP="00F9285D">
      <w:pPr>
        <w:rPr>
          <w:szCs w:val="22"/>
        </w:rPr>
      </w:pPr>
      <w:r w:rsidRPr="008C3D51">
        <w:rPr>
          <w:szCs w:val="22"/>
        </w:rPr>
        <w:t>While HFC prices subsequently stab</w:t>
      </w:r>
      <w:r>
        <w:rPr>
          <w:szCs w:val="22"/>
        </w:rPr>
        <w:t>ilised and then declined immediately</w:t>
      </w:r>
      <w:r w:rsidRPr="008C3D51">
        <w:rPr>
          <w:szCs w:val="22"/>
        </w:rPr>
        <w:t xml:space="preserve"> when the </w:t>
      </w:r>
      <w:r w:rsidR="00661F00" w:rsidRPr="00661F00">
        <w:rPr>
          <w:szCs w:val="22"/>
        </w:rPr>
        <w:t xml:space="preserve">equivalent carbon tax </w:t>
      </w:r>
      <w:r w:rsidRPr="008C3D51">
        <w:rPr>
          <w:szCs w:val="22"/>
        </w:rPr>
        <w:t>was abolished on 1 July 2014, HCF</w:t>
      </w:r>
      <w:r>
        <w:rPr>
          <w:szCs w:val="22"/>
        </w:rPr>
        <w:t>C prices have remained high. HCFCs are still averaging $100 per kg,</w:t>
      </w:r>
      <w:r w:rsidRPr="008C3D51">
        <w:rPr>
          <w:szCs w:val="22"/>
        </w:rPr>
        <w:t xml:space="preserve"> supported by </w:t>
      </w:r>
      <w:r>
        <w:rPr>
          <w:szCs w:val="22"/>
        </w:rPr>
        <w:t>the import restriction</w:t>
      </w:r>
      <w:r w:rsidRPr="008C3D51">
        <w:rPr>
          <w:szCs w:val="22"/>
        </w:rPr>
        <w:t xml:space="preserve">, </w:t>
      </w:r>
      <w:r>
        <w:rPr>
          <w:szCs w:val="22"/>
        </w:rPr>
        <w:t xml:space="preserve">and </w:t>
      </w:r>
      <w:r w:rsidRPr="008C3D51">
        <w:rPr>
          <w:szCs w:val="22"/>
        </w:rPr>
        <w:t>a stock of HCFC charged equipment with signifi</w:t>
      </w:r>
      <w:r>
        <w:rPr>
          <w:szCs w:val="22"/>
        </w:rPr>
        <w:t>cant remaining service life. An important outcome of the price spike for owners of HCFC charged equipment is</w:t>
      </w:r>
      <w:r w:rsidRPr="008C3D51">
        <w:rPr>
          <w:szCs w:val="22"/>
        </w:rPr>
        <w:t xml:space="preserve"> the fact that recycling and reconditioning processes</w:t>
      </w:r>
      <w:r>
        <w:rPr>
          <w:szCs w:val="22"/>
        </w:rPr>
        <w:t xml:space="preserve"> for HCFC-22, first widely adopted after </w:t>
      </w:r>
      <w:r w:rsidRPr="008C3D51">
        <w:rPr>
          <w:szCs w:val="22"/>
        </w:rPr>
        <w:t xml:space="preserve">the </w:t>
      </w:r>
      <w:r w:rsidR="00661F00" w:rsidRPr="00661F00">
        <w:rPr>
          <w:szCs w:val="22"/>
        </w:rPr>
        <w:t xml:space="preserve">equivalent carbon tax </w:t>
      </w:r>
      <w:r w:rsidRPr="008C3D51">
        <w:rPr>
          <w:szCs w:val="22"/>
        </w:rPr>
        <w:t xml:space="preserve">came into force, proved that recovery, </w:t>
      </w:r>
      <w:r w:rsidR="008A123E" w:rsidRPr="008C3D51">
        <w:rPr>
          <w:szCs w:val="22"/>
        </w:rPr>
        <w:t>rec</w:t>
      </w:r>
      <w:r w:rsidR="008A123E">
        <w:rPr>
          <w:szCs w:val="22"/>
        </w:rPr>
        <w:t>lamation</w:t>
      </w:r>
      <w:r w:rsidRPr="008C3D51">
        <w:rPr>
          <w:szCs w:val="22"/>
        </w:rPr>
        <w:t xml:space="preserve"> and reuse </w:t>
      </w:r>
      <w:r>
        <w:rPr>
          <w:szCs w:val="22"/>
        </w:rPr>
        <w:t xml:space="preserve">of HCFC-22 </w:t>
      </w:r>
      <w:r w:rsidRPr="008C3D51">
        <w:rPr>
          <w:szCs w:val="22"/>
        </w:rPr>
        <w:t xml:space="preserve">was profitable. </w:t>
      </w:r>
    </w:p>
    <w:p w14:paraId="4241FD7C" w14:textId="2F19AABC" w:rsidR="00F9285D" w:rsidRPr="008C3D51" w:rsidRDefault="00F9285D" w:rsidP="00F9285D">
      <w:pPr>
        <w:rPr>
          <w:szCs w:val="22"/>
        </w:rPr>
      </w:pPr>
      <w:r>
        <w:rPr>
          <w:szCs w:val="22"/>
        </w:rPr>
        <w:t xml:space="preserve">An </w:t>
      </w:r>
      <w:r w:rsidRPr="008C3D51">
        <w:rPr>
          <w:szCs w:val="22"/>
        </w:rPr>
        <w:t xml:space="preserve">active and effective HCFC recycling supply chain is in operation </w:t>
      </w:r>
      <w:r>
        <w:rPr>
          <w:szCs w:val="22"/>
        </w:rPr>
        <w:t xml:space="preserve">today, </w:t>
      </w:r>
      <w:r w:rsidRPr="008C3D51">
        <w:rPr>
          <w:szCs w:val="22"/>
        </w:rPr>
        <w:t>and it is estimated that it has recovered, rec</w:t>
      </w:r>
      <w:r w:rsidR="008A123E">
        <w:rPr>
          <w:szCs w:val="22"/>
        </w:rPr>
        <w:t>laimed</w:t>
      </w:r>
      <w:r w:rsidRPr="008C3D51">
        <w:rPr>
          <w:szCs w:val="22"/>
        </w:rPr>
        <w:t xml:space="preserve"> and delivered more than 210 tonnes</w:t>
      </w:r>
      <w:r>
        <w:rPr>
          <w:szCs w:val="22"/>
        </w:rPr>
        <w:t xml:space="preserve"> of HCFC-22</w:t>
      </w:r>
      <w:r w:rsidRPr="008C3D51">
        <w:rPr>
          <w:szCs w:val="22"/>
        </w:rPr>
        <w:t xml:space="preserve"> back to the market in 2016. Assuming that activity has avoided the release to air of at least some portion of the recycled HCFC and noting that the availability of the recycled </w:t>
      </w:r>
      <w:r w:rsidR="008A123E">
        <w:rPr>
          <w:szCs w:val="22"/>
        </w:rPr>
        <w:t xml:space="preserve">refrigerant </w:t>
      </w:r>
      <w:r w:rsidR="00701F14">
        <w:rPr>
          <w:szCs w:val="22"/>
        </w:rPr>
        <w:t xml:space="preserve">may </w:t>
      </w:r>
      <w:r w:rsidRPr="008C3D51">
        <w:rPr>
          <w:szCs w:val="22"/>
        </w:rPr>
        <w:t xml:space="preserve">have depressed demand for importation of virgin HFCs that might have been used to </w:t>
      </w:r>
      <w:r>
        <w:rPr>
          <w:szCs w:val="22"/>
        </w:rPr>
        <w:t xml:space="preserve">replace the HCFCs, this is overall a </w:t>
      </w:r>
      <w:r w:rsidRPr="008C3D51">
        <w:rPr>
          <w:szCs w:val="22"/>
        </w:rPr>
        <w:t>positive environmental outcome.</w:t>
      </w:r>
    </w:p>
    <w:p w14:paraId="75F84933" w14:textId="101B4997" w:rsidR="00F9285D" w:rsidRDefault="00F9285D" w:rsidP="00F9285D">
      <w:pPr>
        <w:rPr>
          <w:szCs w:val="22"/>
        </w:rPr>
      </w:pPr>
      <w:r>
        <w:rPr>
          <w:szCs w:val="22"/>
        </w:rPr>
        <w:t>For some</w:t>
      </w:r>
      <w:r w:rsidRPr="008C3D51">
        <w:rPr>
          <w:szCs w:val="22"/>
        </w:rPr>
        <w:t xml:space="preserve"> equipment owners who were not aware of the likely impact of the </w:t>
      </w:r>
      <w:r w:rsidR="00661F00" w:rsidRPr="00661F00">
        <w:rPr>
          <w:szCs w:val="22"/>
        </w:rPr>
        <w:t xml:space="preserve">equivalent carbon tax </w:t>
      </w:r>
      <w:r>
        <w:rPr>
          <w:szCs w:val="22"/>
        </w:rPr>
        <w:t>prior to its introduction</w:t>
      </w:r>
      <w:r w:rsidRPr="008C3D51">
        <w:rPr>
          <w:szCs w:val="22"/>
        </w:rPr>
        <w:t xml:space="preserve">, nor of the decreasing caps on HCFC imports, the period from 2012 to </w:t>
      </w:r>
      <w:r>
        <w:rPr>
          <w:szCs w:val="22"/>
        </w:rPr>
        <w:t>2014 b</w:t>
      </w:r>
      <w:r w:rsidR="008A123E">
        <w:rPr>
          <w:szCs w:val="22"/>
        </w:rPr>
        <w:t>r</w:t>
      </w:r>
      <w:r>
        <w:rPr>
          <w:szCs w:val="22"/>
        </w:rPr>
        <w:t xml:space="preserve">ought price shocks, </w:t>
      </w:r>
      <w:r w:rsidRPr="008C3D51">
        <w:rPr>
          <w:szCs w:val="22"/>
        </w:rPr>
        <w:t xml:space="preserve">changes in equipment buying behaviour and </w:t>
      </w:r>
      <w:r>
        <w:rPr>
          <w:szCs w:val="22"/>
        </w:rPr>
        <w:t xml:space="preserve">investigation of, if not investment in cutting edge </w:t>
      </w:r>
      <w:r w:rsidRPr="008C3D51">
        <w:rPr>
          <w:szCs w:val="22"/>
        </w:rPr>
        <w:t xml:space="preserve">developments in </w:t>
      </w:r>
      <w:r>
        <w:rPr>
          <w:szCs w:val="22"/>
        </w:rPr>
        <w:t xml:space="preserve">refrigeration </w:t>
      </w:r>
      <w:r w:rsidRPr="008C3D51">
        <w:rPr>
          <w:szCs w:val="22"/>
        </w:rPr>
        <w:t>technology.</w:t>
      </w:r>
    </w:p>
    <w:p w14:paraId="65EDE73B" w14:textId="0B61576D" w:rsidR="00F9285D" w:rsidRPr="008C3D51" w:rsidRDefault="00F9285D" w:rsidP="00F9285D">
      <w:pPr>
        <w:rPr>
          <w:szCs w:val="22"/>
        </w:rPr>
      </w:pPr>
      <w:r>
        <w:rPr>
          <w:szCs w:val="22"/>
        </w:rPr>
        <w:t>One</w:t>
      </w:r>
      <w:r w:rsidRPr="008C3D51">
        <w:rPr>
          <w:szCs w:val="22"/>
        </w:rPr>
        <w:t xml:space="preserve"> insight into the impact of the sudden quadrupli</w:t>
      </w:r>
      <w:r>
        <w:rPr>
          <w:szCs w:val="22"/>
        </w:rPr>
        <w:t>ng (or more) of refrigerant</w:t>
      </w:r>
      <w:r w:rsidR="00661F00">
        <w:rPr>
          <w:szCs w:val="22"/>
        </w:rPr>
        <w:t xml:space="preserve"> price</w:t>
      </w:r>
      <w:r w:rsidRPr="008C3D51">
        <w:rPr>
          <w:szCs w:val="22"/>
        </w:rPr>
        <w:t>s is available from the fishing industry. Most registered fishing trawlers in Australia, until 2012, had very hard working and often very</w:t>
      </w:r>
      <w:r w:rsidR="00D9457B">
        <w:rPr>
          <w:szCs w:val="22"/>
        </w:rPr>
        <w:t xml:space="preserve"> leaky on-board blast freezers </w:t>
      </w:r>
      <w:r w:rsidRPr="008C3D51">
        <w:rPr>
          <w:szCs w:val="22"/>
        </w:rPr>
        <w:t xml:space="preserve">and chillers that were charged with HCFC-22. These marine systems can often contain more than 500 kg of </w:t>
      </w:r>
      <w:r w:rsidR="00661F00">
        <w:rPr>
          <w:szCs w:val="22"/>
        </w:rPr>
        <w:t>refrigerant</w:t>
      </w:r>
      <w:r w:rsidRPr="008C3D51">
        <w:rPr>
          <w:szCs w:val="22"/>
        </w:rPr>
        <w:t xml:space="preserve">. </w:t>
      </w:r>
      <w:r w:rsidR="00661F00">
        <w:rPr>
          <w:szCs w:val="22"/>
        </w:rPr>
        <w:t>W</w:t>
      </w:r>
      <w:r w:rsidRPr="008C3D51">
        <w:rPr>
          <w:szCs w:val="22"/>
        </w:rPr>
        <w:t>ithout this equipment the fishing vessel cannot operate.</w:t>
      </w:r>
    </w:p>
    <w:p w14:paraId="72CC9E4B" w14:textId="2976C526" w:rsidR="00F9285D" w:rsidRPr="008C3D51" w:rsidRDefault="00F9285D" w:rsidP="00F9285D">
      <w:pPr>
        <w:rPr>
          <w:szCs w:val="22"/>
        </w:rPr>
      </w:pPr>
      <w:r w:rsidRPr="008C3D51">
        <w:rPr>
          <w:szCs w:val="22"/>
        </w:rPr>
        <w:t xml:space="preserve">Following the 2012 price rises there were stories circulating of trawler owners being caught after some accidental catastrophic loss of </w:t>
      </w:r>
      <w:r>
        <w:rPr>
          <w:szCs w:val="22"/>
        </w:rPr>
        <w:t xml:space="preserve">refrigerant </w:t>
      </w:r>
      <w:r w:rsidRPr="008C3D51">
        <w:rPr>
          <w:szCs w:val="22"/>
        </w:rPr>
        <w:t>from their systems and facing bills of more than $70,000 to re-</w:t>
      </w:r>
      <w:r w:rsidR="00661F00">
        <w:rPr>
          <w:szCs w:val="22"/>
        </w:rPr>
        <w:t>fill</w:t>
      </w:r>
      <w:r w:rsidRPr="008C3D51">
        <w:rPr>
          <w:szCs w:val="22"/>
        </w:rPr>
        <w:t xml:space="preserve"> their freezer systems. One result of this price shock was that parts of the industry participated in a research and development program to design, build, install and test a much more highly energy efficient and leak proof freezer system for prawn trawlers that did not use HCFCs.</w:t>
      </w:r>
      <w:r>
        <w:rPr>
          <w:szCs w:val="22"/>
        </w:rPr>
        <w:t xml:space="preserve"> This demonstrated technology is now being widely adapted in the fleet and provides a technology transition path for hundreds of heavy duty marine refrigeration systems.</w:t>
      </w:r>
      <w:r w:rsidR="00406B47">
        <w:rPr>
          <w:szCs w:val="22"/>
        </w:rPr>
        <w:t xml:space="preserve"> This i</w:t>
      </w:r>
      <w:r>
        <w:rPr>
          <w:szCs w:val="22"/>
        </w:rPr>
        <w:t xml:space="preserve">nnovation was a direct </w:t>
      </w:r>
      <w:r w:rsidRPr="008C3D51">
        <w:rPr>
          <w:szCs w:val="22"/>
        </w:rPr>
        <w:t>outcome from the strong price signal of 2012.</w:t>
      </w:r>
    </w:p>
    <w:p w14:paraId="1F8218F6" w14:textId="12589483" w:rsidR="00F9285D" w:rsidRPr="008C3D51" w:rsidRDefault="00F9285D" w:rsidP="00F9285D">
      <w:pPr>
        <w:rPr>
          <w:szCs w:val="22"/>
        </w:rPr>
      </w:pPr>
      <w:r w:rsidRPr="008C3D51">
        <w:rPr>
          <w:szCs w:val="22"/>
        </w:rPr>
        <w:t xml:space="preserve">By August 2014, following the repeal of the </w:t>
      </w:r>
      <w:r w:rsidR="00661F00">
        <w:rPr>
          <w:szCs w:val="22"/>
        </w:rPr>
        <w:t>equivalent carbon tax</w:t>
      </w:r>
      <w:r w:rsidRPr="008C3D51">
        <w:rPr>
          <w:szCs w:val="22"/>
        </w:rPr>
        <w:t xml:space="preserve">, HFC prices had readjusted with HFC-404A selling for $28 per kg </w:t>
      </w:r>
      <w:r>
        <w:rPr>
          <w:szCs w:val="22"/>
        </w:rPr>
        <w:t xml:space="preserve">(down from $150 per kg) </w:t>
      </w:r>
      <w:r w:rsidRPr="008C3D51">
        <w:rPr>
          <w:szCs w:val="22"/>
        </w:rPr>
        <w:t xml:space="preserve">and by 2016 HFC prices had returned to wholesale prices similar to prices in the market prior to introduction of the </w:t>
      </w:r>
      <w:r w:rsidR="00661F00">
        <w:rPr>
          <w:szCs w:val="22"/>
        </w:rPr>
        <w:t>equivalent carbon tax</w:t>
      </w:r>
      <w:r w:rsidRPr="008C3D51">
        <w:rPr>
          <w:szCs w:val="22"/>
        </w:rPr>
        <w:t>.  HCFC prices have however remained at close to $100 per kg.</w:t>
      </w:r>
    </w:p>
    <w:p w14:paraId="5D044E50" w14:textId="77777777" w:rsidR="00F9285D" w:rsidRPr="008C3D51" w:rsidRDefault="00F9285D" w:rsidP="00F9285D">
      <w:pPr>
        <w:snapToGrid w:val="0"/>
        <w:rPr>
          <w:szCs w:val="22"/>
        </w:rPr>
      </w:pPr>
    </w:p>
    <w:p w14:paraId="093D2EB4" w14:textId="64195EB7" w:rsidR="00F9285D" w:rsidRPr="005A6A77" w:rsidRDefault="005A6A77" w:rsidP="005A6A77">
      <w:pPr>
        <w:pStyle w:val="Caption"/>
        <w:rPr>
          <w:szCs w:val="22"/>
        </w:rPr>
      </w:pPr>
      <w:bookmarkStart w:id="87" w:name="_Toc525141409"/>
      <w:r w:rsidRPr="005A6A77">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20</w:t>
      </w:r>
      <w:r w:rsidR="009D6843">
        <w:rPr>
          <w:noProof/>
        </w:rPr>
        <w:fldChar w:fldCharType="end"/>
      </w:r>
      <w:r w:rsidR="00F9285D" w:rsidRPr="005A6A77">
        <w:rPr>
          <w:szCs w:val="22"/>
        </w:rPr>
        <w:t>: Average refrigerant prices in 2013 and 2016.</w:t>
      </w:r>
      <w:bookmarkEnd w:id="87"/>
    </w:p>
    <w:tbl>
      <w:tblPr>
        <w:tblStyle w:val="TableGrid"/>
        <w:tblW w:w="9634" w:type="dxa"/>
        <w:tblLook w:val="04A0" w:firstRow="1" w:lastRow="0" w:firstColumn="1" w:lastColumn="0" w:noHBand="0" w:noVBand="1"/>
      </w:tblPr>
      <w:tblGrid>
        <w:gridCol w:w="3397"/>
        <w:gridCol w:w="3118"/>
        <w:gridCol w:w="3119"/>
      </w:tblGrid>
      <w:tr w:rsidR="00F9285D" w:rsidRPr="008C3D51" w14:paraId="1FCB1925" w14:textId="77777777" w:rsidTr="00D6002F">
        <w:tc>
          <w:tcPr>
            <w:tcW w:w="3397" w:type="dxa"/>
            <w:shd w:val="clear" w:color="auto" w:fill="B6DDE8" w:themeFill="accent5" w:themeFillTint="66"/>
          </w:tcPr>
          <w:p w14:paraId="0B35687D" w14:textId="77777777" w:rsidR="00F9285D" w:rsidRPr="008C3D51" w:rsidRDefault="00F9285D" w:rsidP="00D6002F">
            <w:pPr>
              <w:spacing w:after="120"/>
              <w:rPr>
                <w:rFonts w:eastAsiaTheme="minorEastAsia"/>
                <w:szCs w:val="22"/>
              </w:rPr>
            </w:pPr>
          </w:p>
        </w:tc>
        <w:tc>
          <w:tcPr>
            <w:tcW w:w="3118" w:type="dxa"/>
            <w:shd w:val="clear" w:color="auto" w:fill="B6DDE8" w:themeFill="accent5" w:themeFillTint="66"/>
          </w:tcPr>
          <w:p w14:paraId="1AF646A0" w14:textId="77777777" w:rsidR="00F9285D" w:rsidRPr="008C3D51" w:rsidRDefault="00F9285D" w:rsidP="00D6002F">
            <w:pPr>
              <w:spacing w:after="120"/>
              <w:jc w:val="center"/>
              <w:rPr>
                <w:rFonts w:eastAsiaTheme="minorEastAsia"/>
                <w:szCs w:val="22"/>
              </w:rPr>
            </w:pPr>
            <w:r w:rsidRPr="008C3D51">
              <w:rPr>
                <w:rFonts w:eastAsiaTheme="minorEastAsia"/>
                <w:szCs w:val="22"/>
              </w:rPr>
              <w:t>2013</w:t>
            </w:r>
          </w:p>
        </w:tc>
        <w:tc>
          <w:tcPr>
            <w:tcW w:w="3119" w:type="dxa"/>
            <w:shd w:val="clear" w:color="auto" w:fill="B6DDE8" w:themeFill="accent5" w:themeFillTint="66"/>
          </w:tcPr>
          <w:p w14:paraId="750018FA" w14:textId="77777777" w:rsidR="00F9285D" w:rsidRPr="008C3D51" w:rsidRDefault="00F9285D" w:rsidP="00D6002F">
            <w:pPr>
              <w:spacing w:after="120"/>
              <w:jc w:val="center"/>
              <w:rPr>
                <w:rFonts w:eastAsiaTheme="minorEastAsia"/>
                <w:szCs w:val="22"/>
              </w:rPr>
            </w:pPr>
            <w:r w:rsidRPr="008C3D51">
              <w:rPr>
                <w:rFonts w:eastAsiaTheme="minorEastAsia"/>
                <w:szCs w:val="22"/>
              </w:rPr>
              <w:t>2016</w:t>
            </w:r>
          </w:p>
        </w:tc>
      </w:tr>
      <w:tr w:rsidR="00F9285D" w:rsidRPr="008C3D51" w14:paraId="3CB7C50E" w14:textId="77777777" w:rsidTr="00F9285D">
        <w:tc>
          <w:tcPr>
            <w:tcW w:w="3397" w:type="dxa"/>
            <w:vAlign w:val="bottom"/>
          </w:tcPr>
          <w:p w14:paraId="4D9070B0" w14:textId="77777777" w:rsidR="00F9285D" w:rsidRPr="008C3D51" w:rsidRDefault="00F9285D" w:rsidP="00F9285D">
            <w:pPr>
              <w:spacing w:before="60" w:after="60"/>
              <w:rPr>
                <w:rFonts w:eastAsiaTheme="minorEastAsia"/>
                <w:szCs w:val="22"/>
              </w:rPr>
            </w:pPr>
            <w:r w:rsidRPr="008C3D51">
              <w:rPr>
                <w:rFonts w:eastAsiaTheme="minorEastAsia"/>
                <w:szCs w:val="22"/>
              </w:rPr>
              <w:t>HCFC-22</w:t>
            </w:r>
          </w:p>
        </w:tc>
        <w:tc>
          <w:tcPr>
            <w:tcW w:w="3118" w:type="dxa"/>
          </w:tcPr>
          <w:p w14:paraId="393FFE62"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$107</w:t>
            </w:r>
          </w:p>
        </w:tc>
        <w:tc>
          <w:tcPr>
            <w:tcW w:w="3119" w:type="dxa"/>
          </w:tcPr>
          <w:p w14:paraId="670EC566"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$98</w:t>
            </w:r>
          </w:p>
        </w:tc>
      </w:tr>
      <w:tr w:rsidR="00F9285D" w:rsidRPr="008C3D51" w14:paraId="70B5B6F8" w14:textId="77777777" w:rsidTr="00F9285D">
        <w:tc>
          <w:tcPr>
            <w:tcW w:w="3397" w:type="dxa"/>
            <w:vAlign w:val="bottom"/>
          </w:tcPr>
          <w:p w14:paraId="710F6C3F" w14:textId="77777777" w:rsidR="00F9285D" w:rsidRPr="008C3D51" w:rsidRDefault="00F9285D" w:rsidP="00F9285D">
            <w:pPr>
              <w:spacing w:before="60" w:after="60"/>
              <w:rPr>
                <w:rFonts w:eastAsiaTheme="minorEastAsia"/>
                <w:szCs w:val="22"/>
              </w:rPr>
            </w:pPr>
            <w:r w:rsidRPr="008C3D51">
              <w:rPr>
                <w:rFonts w:eastAsiaTheme="minorEastAsia"/>
                <w:szCs w:val="22"/>
              </w:rPr>
              <w:t>HFC-134a</w:t>
            </w:r>
          </w:p>
        </w:tc>
        <w:tc>
          <w:tcPr>
            <w:tcW w:w="3118" w:type="dxa"/>
          </w:tcPr>
          <w:p w14:paraId="77B895A2"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$50</w:t>
            </w:r>
          </w:p>
        </w:tc>
        <w:tc>
          <w:tcPr>
            <w:tcW w:w="3119" w:type="dxa"/>
          </w:tcPr>
          <w:p w14:paraId="7F5165A7"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$18</w:t>
            </w:r>
          </w:p>
        </w:tc>
      </w:tr>
      <w:tr w:rsidR="00F9285D" w:rsidRPr="008C3D51" w14:paraId="3712C66C" w14:textId="77777777" w:rsidTr="00F9285D">
        <w:tc>
          <w:tcPr>
            <w:tcW w:w="3397" w:type="dxa"/>
            <w:vAlign w:val="bottom"/>
          </w:tcPr>
          <w:p w14:paraId="06393950" w14:textId="77777777" w:rsidR="00F9285D" w:rsidRPr="008C3D51" w:rsidRDefault="00F9285D" w:rsidP="00F9285D">
            <w:pPr>
              <w:spacing w:before="60" w:after="60"/>
              <w:rPr>
                <w:rFonts w:eastAsiaTheme="minorEastAsia"/>
                <w:szCs w:val="22"/>
              </w:rPr>
            </w:pPr>
            <w:r w:rsidRPr="008C3D51">
              <w:rPr>
                <w:rFonts w:eastAsiaTheme="minorEastAsia"/>
                <w:szCs w:val="22"/>
              </w:rPr>
              <w:t>HFC-404A/507A</w:t>
            </w:r>
          </w:p>
        </w:tc>
        <w:tc>
          <w:tcPr>
            <w:tcW w:w="3118" w:type="dxa"/>
          </w:tcPr>
          <w:p w14:paraId="5C587738"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$90</w:t>
            </w:r>
          </w:p>
        </w:tc>
        <w:tc>
          <w:tcPr>
            <w:tcW w:w="3119" w:type="dxa"/>
          </w:tcPr>
          <w:p w14:paraId="48E29249"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$20</w:t>
            </w:r>
          </w:p>
        </w:tc>
      </w:tr>
      <w:tr w:rsidR="00F9285D" w:rsidRPr="008C3D51" w14:paraId="32C8372D" w14:textId="77777777" w:rsidTr="00F9285D">
        <w:tc>
          <w:tcPr>
            <w:tcW w:w="3397" w:type="dxa"/>
            <w:vAlign w:val="bottom"/>
          </w:tcPr>
          <w:p w14:paraId="6652F725" w14:textId="77777777" w:rsidR="00F9285D" w:rsidRPr="008C3D51" w:rsidRDefault="00F9285D" w:rsidP="00F9285D">
            <w:pPr>
              <w:spacing w:before="60" w:after="60"/>
              <w:rPr>
                <w:rFonts w:eastAsiaTheme="minorEastAsia"/>
                <w:szCs w:val="22"/>
              </w:rPr>
            </w:pPr>
            <w:r w:rsidRPr="008C3D51">
              <w:rPr>
                <w:rFonts w:eastAsiaTheme="minorEastAsia"/>
                <w:szCs w:val="22"/>
              </w:rPr>
              <w:t>HFC-407C</w:t>
            </w:r>
          </w:p>
        </w:tc>
        <w:tc>
          <w:tcPr>
            <w:tcW w:w="3118" w:type="dxa"/>
          </w:tcPr>
          <w:p w14:paraId="17E04573"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$69</w:t>
            </w:r>
          </w:p>
        </w:tc>
        <w:tc>
          <w:tcPr>
            <w:tcW w:w="3119" w:type="dxa"/>
          </w:tcPr>
          <w:p w14:paraId="11D4FBB0"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$25</w:t>
            </w:r>
          </w:p>
        </w:tc>
      </w:tr>
      <w:tr w:rsidR="00F9285D" w:rsidRPr="008C3D51" w14:paraId="388CFBE3" w14:textId="77777777" w:rsidTr="00F9285D">
        <w:tc>
          <w:tcPr>
            <w:tcW w:w="3397" w:type="dxa"/>
            <w:vAlign w:val="bottom"/>
          </w:tcPr>
          <w:p w14:paraId="45F98194" w14:textId="77777777" w:rsidR="00F9285D" w:rsidRPr="008C3D51" w:rsidRDefault="00F9285D" w:rsidP="00F9285D">
            <w:pPr>
              <w:spacing w:before="60" w:after="60"/>
              <w:rPr>
                <w:rFonts w:eastAsiaTheme="minorEastAsia"/>
                <w:szCs w:val="22"/>
              </w:rPr>
            </w:pPr>
            <w:r w:rsidRPr="008C3D51">
              <w:rPr>
                <w:rFonts w:eastAsiaTheme="minorEastAsia"/>
                <w:szCs w:val="22"/>
              </w:rPr>
              <w:t>HFC-407A/407F</w:t>
            </w:r>
          </w:p>
        </w:tc>
        <w:tc>
          <w:tcPr>
            <w:tcW w:w="3118" w:type="dxa"/>
          </w:tcPr>
          <w:p w14:paraId="0FECE881"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$50</w:t>
            </w:r>
          </w:p>
        </w:tc>
        <w:tc>
          <w:tcPr>
            <w:tcW w:w="3119" w:type="dxa"/>
          </w:tcPr>
          <w:p w14:paraId="0EA05942"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$24</w:t>
            </w:r>
          </w:p>
        </w:tc>
      </w:tr>
      <w:tr w:rsidR="00F9285D" w:rsidRPr="008C3D51" w14:paraId="7C715369" w14:textId="77777777" w:rsidTr="00F9285D">
        <w:tc>
          <w:tcPr>
            <w:tcW w:w="3397" w:type="dxa"/>
            <w:vAlign w:val="bottom"/>
          </w:tcPr>
          <w:p w14:paraId="13A8152D" w14:textId="77777777" w:rsidR="00F9285D" w:rsidRPr="008C3D51" w:rsidRDefault="00F9285D" w:rsidP="00F9285D">
            <w:pPr>
              <w:spacing w:before="60" w:after="60"/>
              <w:rPr>
                <w:rFonts w:eastAsiaTheme="minorEastAsia"/>
                <w:szCs w:val="22"/>
              </w:rPr>
            </w:pPr>
            <w:r w:rsidRPr="008C3D51">
              <w:rPr>
                <w:rFonts w:eastAsiaTheme="minorEastAsia"/>
                <w:szCs w:val="22"/>
              </w:rPr>
              <w:t>HFC-410A</w:t>
            </w:r>
          </w:p>
        </w:tc>
        <w:tc>
          <w:tcPr>
            <w:tcW w:w="3118" w:type="dxa"/>
          </w:tcPr>
          <w:p w14:paraId="32410D6E"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$71</w:t>
            </w:r>
          </w:p>
        </w:tc>
        <w:tc>
          <w:tcPr>
            <w:tcW w:w="3119" w:type="dxa"/>
          </w:tcPr>
          <w:p w14:paraId="04AD03A4"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$22</w:t>
            </w:r>
          </w:p>
        </w:tc>
      </w:tr>
      <w:tr w:rsidR="00F9285D" w:rsidRPr="008C3D51" w14:paraId="414243BB" w14:textId="77777777" w:rsidTr="00F9285D">
        <w:tc>
          <w:tcPr>
            <w:tcW w:w="3397" w:type="dxa"/>
            <w:vAlign w:val="bottom"/>
          </w:tcPr>
          <w:p w14:paraId="2299E320" w14:textId="77777777" w:rsidR="00F9285D" w:rsidRPr="008C3D51" w:rsidRDefault="00F9285D" w:rsidP="00F9285D">
            <w:pPr>
              <w:spacing w:before="60" w:after="60"/>
              <w:rPr>
                <w:rFonts w:eastAsiaTheme="minorEastAsia"/>
                <w:szCs w:val="22"/>
              </w:rPr>
            </w:pPr>
            <w:r w:rsidRPr="008C3D51">
              <w:rPr>
                <w:rFonts w:eastAsiaTheme="minorEastAsia"/>
                <w:szCs w:val="22"/>
              </w:rPr>
              <w:t>All HCFC-22/CFC Replacements</w:t>
            </w:r>
          </w:p>
        </w:tc>
        <w:tc>
          <w:tcPr>
            <w:tcW w:w="3118" w:type="dxa"/>
          </w:tcPr>
          <w:p w14:paraId="04AAFF65"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$111</w:t>
            </w:r>
          </w:p>
        </w:tc>
        <w:tc>
          <w:tcPr>
            <w:tcW w:w="3119" w:type="dxa"/>
          </w:tcPr>
          <w:p w14:paraId="2F148515"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$45</w:t>
            </w:r>
          </w:p>
        </w:tc>
      </w:tr>
      <w:tr w:rsidR="00F9285D" w:rsidRPr="008C3D51" w14:paraId="3A0943F0" w14:textId="77777777" w:rsidTr="00F9285D">
        <w:trPr>
          <w:trHeight w:val="269"/>
        </w:trPr>
        <w:tc>
          <w:tcPr>
            <w:tcW w:w="3397" w:type="dxa"/>
            <w:vAlign w:val="bottom"/>
          </w:tcPr>
          <w:p w14:paraId="262D3341" w14:textId="77777777" w:rsidR="00F9285D" w:rsidRPr="008C3D51" w:rsidRDefault="00F9285D" w:rsidP="00F9285D">
            <w:pPr>
              <w:spacing w:before="60" w:after="60"/>
              <w:rPr>
                <w:rFonts w:eastAsiaTheme="minorEastAsia"/>
                <w:szCs w:val="22"/>
              </w:rPr>
            </w:pPr>
            <w:r w:rsidRPr="008C3D51">
              <w:rPr>
                <w:rFonts w:eastAsiaTheme="minorEastAsia"/>
                <w:szCs w:val="22"/>
              </w:rPr>
              <w:t>HFC-32</w:t>
            </w:r>
          </w:p>
        </w:tc>
        <w:tc>
          <w:tcPr>
            <w:tcW w:w="3118" w:type="dxa"/>
          </w:tcPr>
          <w:p w14:paraId="2F1401AE"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n.a.</w:t>
            </w:r>
          </w:p>
        </w:tc>
        <w:tc>
          <w:tcPr>
            <w:tcW w:w="3119" w:type="dxa"/>
          </w:tcPr>
          <w:p w14:paraId="2D914B7A" w14:textId="77777777" w:rsidR="00F9285D" w:rsidRPr="008C3D51" w:rsidRDefault="00F9285D" w:rsidP="00F9285D">
            <w:pPr>
              <w:spacing w:before="60" w:after="60"/>
              <w:jc w:val="center"/>
              <w:rPr>
                <w:rFonts w:eastAsiaTheme="minorEastAsia"/>
                <w:szCs w:val="22"/>
              </w:rPr>
            </w:pPr>
            <w:r w:rsidRPr="008C3D51">
              <w:rPr>
                <w:rFonts w:eastAsiaTheme="minorEastAsia"/>
                <w:szCs w:val="22"/>
              </w:rPr>
              <w:t>$44</w:t>
            </w:r>
          </w:p>
        </w:tc>
      </w:tr>
    </w:tbl>
    <w:p w14:paraId="4D20C406" w14:textId="77777777" w:rsidR="00F9285D" w:rsidRDefault="00F9285D" w:rsidP="00F9285D">
      <w:pPr>
        <w:rPr>
          <w:sz w:val="18"/>
          <w:szCs w:val="18"/>
        </w:rPr>
      </w:pPr>
      <w:r w:rsidRPr="00312AFA">
        <w:rPr>
          <w:sz w:val="18"/>
          <w:szCs w:val="18"/>
        </w:rPr>
        <w:t xml:space="preserve">Notes: </w:t>
      </w:r>
      <w:r w:rsidRPr="00312AFA">
        <w:rPr>
          <w:sz w:val="18"/>
          <w:szCs w:val="18"/>
        </w:rPr>
        <w:tab/>
      </w:r>
    </w:p>
    <w:p w14:paraId="10802602" w14:textId="3FB9B1F7" w:rsidR="00F9285D" w:rsidRPr="00201C55" w:rsidRDefault="00F9285D" w:rsidP="00FC735C">
      <w:pPr>
        <w:pStyle w:val="ListParagraph"/>
        <w:numPr>
          <w:ilvl w:val="0"/>
          <w:numId w:val="38"/>
        </w:numPr>
        <w:spacing w:before="60" w:after="0" w:line="240" w:lineRule="auto"/>
        <w:ind w:left="357" w:hanging="357"/>
        <w:contextualSpacing w:val="0"/>
        <w:rPr>
          <w:rFonts w:ascii="Times New Roman" w:hAnsi="Times New Roman"/>
          <w:sz w:val="20"/>
          <w:szCs w:val="20"/>
        </w:rPr>
      </w:pPr>
      <w:r w:rsidRPr="00201C55">
        <w:rPr>
          <w:rFonts w:ascii="Times New Roman" w:hAnsi="Times New Roman"/>
          <w:sz w:val="20"/>
          <w:szCs w:val="20"/>
        </w:rPr>
        <w:t xml:space="preserve">Average prices based on sales </w:t>
      </w:r>
      <w:r w:rsidR="008A123E">
        <w:rPr>
          <w:rFonts w:ascii="Times New Roman" w:hAnsi="Times New Roman"/>
          <w:sz w:val="20"/>
          <w:szCs w:val="20"/>
        </w:rPr>
        <w:t>by</w:t>
      </w:r>
      <w:r w:rsidRPr="00201C55">
        <w:rPr>
          <w:rFonts w:ascii="Times New Roman" w:hAnsi="Times New Roman"/>
          <w:sz w:val="20"/>
          <w:szCs w:val="20"/>
        </w:rPr>
        <w:t xml:space="preserve"> major wholesalers to contractors.</w:t>
      </w:r>
    </w:p>
    <w:p w14:paraId="1F3EC9B5" w14:textId="4C760A5C" w:rsidR="00F9285D" w:rsidRPr="00201C55" w:rsidRDefault="00F9285D" w:rsidP="00FC735C">
      <w:pPr>
        <w:pStyle w:val="ListParagraph"/>
        <w:numPr>
          <w:ilvl w:val="0"/>
          <w:numId w:val="38"/>
        </w:numPr>
        <w:spacing w:before="60" w:after="0" w:line="240" w:lineRule="auto"/>
        <w:ind w:left="357" w:hanging="357"/>
        <w:contextualSpacing w:val="0"/>
        <w:rPr>
          <w:rFonts w:ascii="Times New Roman" w:hAnsi="Times New Roman"/>
          <w:sz w:val="20"/>
          <w:szCs w:val="20"/>
        </w:rPr>
      </w:pPr>
      <w:r w:rsidRPr="00201C55">
        <w:rPr>
          <w:rFonts w:ascii="Times New Roman" w:hAnsi="Times New Roman"/>
          <w:sz w:val="20"/>
          <w:szCs w:val="20"/>
        </w:rPr>
        <w:t>Prices exclude GST and include levies and taxes.</w:t>
      </w:r>
    </w:p>
    <w:p w14:paraId="358E26E5" w14:textId="77777777" w:rsidR="00F9285D" w:rsidRDefault="00F9285D" w:rsidP="00650D66">
      <w:pPr>
        <w:rPr>
          <w:szCs w:val="22"/>
        </w:rPr>
      </w:pPr>
    </w:p>
    <w:p w14:paraId="07C8DDE1" w14:textId="6778572B" w:rsidR="00650D66" w:rsidRDefault="00650D66" w:rsidP="005F4673">
      <w:pPr>
        <w:pStyle w:val="Heading2"/>
      </w:pPr>
      <w:bookmarkStart w:id="88" w:name="_Toc494661757"/>
      <w:bookmarkStart w:id="89" w:name="_Toc500764396"/>
      <w:bookmarkStart w:id="90" w:name="_Toc525141278"/>
      <w:r>
        <w:t xml:space="preserve">CHF2 </w:t>
      </w:r>
      <w:r w:rsidR="00406B47">
        <w:t>b</w:t>
      </w:r>
      <w:r>
        <w:t xml:space="preserve">ank </w:t>
      </w:r>
      <w:r w:rsidR="005631FA">
        <w:t>p</w:t>
      </w:r>
      <w:r w:rsidRPr="00807CA8">
        <w:t xml:space="preserve">rojections </w:t>
      </w:r>
      <w:bookmarkEnd w:id="88"/>
      <w:bookmarkEnd w:id="89"/>
      <w:r>
        <w:t xml:space="preserve">and </w:t>
      </w:r>
      <w:r w:rsidR="005631FA">
        <w:t>p</w:t>
      </w:r>
      <w:r>
        <w:t>redictions</w:t>
      </w:r>
      <w:bookmarkEnd w:id="90"/>
    </w:p>
    <w:p w14:paraId="3FF4AFDE" w14:textId="7425F9E5" w:rsidR="00650D66" w:rsidRPr="0078619C" w:rsidRDefault="00650D66" w:rsidP="00650D66">
      <w:pPr>
        <w:rPr>
          <w:szCs w:val="22"/>
        </w:rPr>
      </w:pPr>
      <w:r>
        <w:rPr>
          <w:szCs w:val="22"/>
        </w:rPr>
        <w:t>In CHF2, r</w:t>
      </w:r>
      <w:r w:rsidRPr="0078619C">
        <w:rPr>
          <w:szCs w:val="22"/>
        </w:rPr>
        <w:t>etirement and replacement rates for equipment types, coupled with assessments about the rate of change in equipment design</w:t>
      </w:r>
      <w:r>
        <w:rPr>
          <w:szCs w:val="22"/>
        </w:rPr>
        <w:t>,</w:t>
      </w:r>
      <w:r w:rsidRPr="0078619C">
        <w:rPr>
          <w:szCs w:val="22"/>
        </w:rPr>
        <w:t xml:space="preserve"> </w:t>
      </w:r>
      <w:r>
        <w:rPr>
          <w:szCs w:val="22"/>
        </w:rPr>
        <w:t>plus</w:t>
      </w:r>
      <w:r w:rsidRPr="0078619C">
        <w:rPr>
          <w:szCs w:val="22"/>
        </w:rPr>
        <w:t xml:space="preserve"> </w:t>
      </w:r>
      <w:r>
        <w:rPr>
          <w:szCs w:val="22"/>
        </w:rPr>
        <w:t>expectations for refrigerant</w:t>
      </w:r>
      <w:r w:rsidRPr="0078619C">
        <w:rPr>
          <w:szCs w:val="22"/>
        </w:rPr>
        <w:t xml:space="preserve"> charges moving to lower GWP </w:t>
      </w:r>
      <w:r>
        <w:rPr>
          <w:szCs w:val="22"/>
        </w:rPr>
        <w:t>refrigerants</w:t>
      </w:r>
      <w:r w:rsidRPr="0078619C">
        <w:rPr>
          <w:szCs w:val="22"/>
        </w:rPr>
        <w:t xml:space="preserve">, </w:t>
      </w:r>
      <w:r>
        <w:rPr>
          <w:szCs w:val="22"/>
        </w:rPr>
        <w:t>were</w:t>
      </w:r>
      <w:r w:rsidRPr="0078619C">
        <w:rPr>
          <w:szCs w:val="22"/>
        </w:rPr>
        <w:t xml:space="preserve"> used to pr</w:t>
      </w:r>
      <w:r>
        <w:rPr>
          <w:szCs w:val="22"/>
        </w:rPr>
        <w:t>oject</w:t>
      </w:r>
      <w:r w:rsidRPr="0078619C">
        <w:rPr>
          <w:szCs w:val="22"/>
        </w:rPr>
        <w:t xml:space="preserve"> </w:t>
      </w:r>
      <w:r>
        <w:rPr>
          <w:szCs w:val="22"/>
        </w:rPr>
        <w:t xml:space="preserve">changes to </w:t>
      </w:r>
      <w:r w:rsidRPr="0078619C">
        <w:rPr>
          <w:szCs w:val="22"/>
        </w:rPr>
        <w:t xml:space="preserve">the </w:t>
      </w:r>
      <w:r>
        <w:rPr>
          <w:szCs w:val="22"/>
        </w:rPr>
        <w:t xml:space="preserve">composition of the </w:t>
      </w:r>
      <w:r w:rsidRPr="0078619C">
        <w:rPr>
          <w:szCs w:val="22"/>
        </w:rPr>
        <w:t xml:space="preserve">bank in each </w:t>
      </w:r>
      <w:r>
        <w:rPr>
          <w:szCs w:val="22"/>
        </w:rPr>
        <w:t xml:space="preserve">equipment </w:t>
      </w:r>
      <w:r w:rsidRPr="0078619C">
        <w:rPr>
          <w:szCs w:val="22"/>
        </w:rPr>
        <w:t>segment for the five years from 2013 to 201</w:t>
      </w:r>
      <w:r>
        <w:rPr>
          <w:szCs w:val="22"/>
        </w:rPr>
        <w:t>7</w:t>
      </w:r>
      <w:r w:rsidRPr="0078619C">
        <w:rPr>
          <w:szCs w:val="22"/>
        </w:rPr>
        <w:t xml:space="preserve">. </w:t>
      </w:r>
      <w:r>
        <w:rPr>
          <w:szCs w:val="22"/>
        </w:rPr>
        <w:t>These predictions were made while the market for refrigerants w</w:t>
      </w:r>
      <w:r w:rsidR="00244B21">
        <w:rPr>
          <w:szCs w:val="22"/>
        </w:rPr>
        <w:t>as</w:t>
      </w:r>
      <w:r>
        <w:rPr>
          <w:szCs w:val="22"/>
        </w:rPr>
        <w:t xml:space="preserve"> subject to the equivalent</w:t>
      </w:r>
      <w:r w:rsidR="00244B21">
        <w:rPr>
          <w:szCs w:val="22"/>
        </w:rPr>
        <w:t xml:space="preserve"> carbon tax</w:t>
      </w:r>
      <w:r>
        <w:rPr>
          <w:szCs w:val="22"/>
        </w:rPr>
        <w:t>, which was subsequently repealed.</w:t>
      </w:r>
    </w:p>
    <w:p w14:paraId="4217A966" w14:textId="3BB4254E" w:rsidR="00650D66" w:rsidRDefault="00650D66" w:rsidP="00650D66">
      <w:r>
        <w:rPr>
          <w:szCs w:val="22"/>
        </w:rPr>
        <w:t>Changes predicted in the refrigerant employed in each segment w</w:t>
      </w:r>
      <w:r w:rsidR="00244B21">
        <w:rPr>
          <w:szCs w:val="22"/>
        </w:rPr>
        <w:t>ere</w:t>
      </w:r>
      <w:r>
        <w:rPr>
          <w:szCs w:val="22"/>
        </w:rPr>
        <w:t xml:space="preserve"> then used to produce a </w:t>
      </w:r>
      <w:r w:rsidRPr="0078619C">
        <w:rPr>
          <w:szCs w:val="22"/>
        </w:rPr>
        <w:t xml:space="preserve">projection for the entire </w:t>
      </w:r>
      <w:r w:rsidR="009F4CB3">
        <w:rPr>
          <w:szCs w:val="22"/>
        </w:rPr>
        <w:t>refrigerant bank</w:t>
      </w:r>
      <w:r w:rsidRPr="0078619C">
        <w:rPr>
          <w:szCs w:val="22"/>
        </w:rPr>
        <w:t xml:space="preserve"> between 2013 and </w:t>
      </w:r>
      <w:r w:rsidRPr="00BF6679">
        <w:rPr>
          <w:szCs w:val="22"/>
        </w:rPr>
        <w:t xml:space="preserve">2017 as seen in </w:t>
      </w:r>
      <w:r w:rsidRPr="00BF6679">
        <w:rPr>
          <w:i/>
          <w:szCs w:val="22"/>
        </w:rPr>
        <w:t xml:space="preserve">Figure </w:t>
      </w:r>
      <w:r w:rsidR="00036F8F" w:rsidRPr="00BF6679">
        <w:rPr>
          <w:i/>
          <w:szCs w:val="22"/>
        </w:rPr>
        <w:t>1</w:t>
      </w:r>
      <w:r w:rsidR="00C80E0B" w:rsidRPr="00BF6679">
        <w:rPr>
          <w:i/>
          <w:szCs w:val="22"/>
        </w:rPr>
        <w:t>6</w:t>
      </w:r>
      <w:r w:rsidRPr="00BF6679">
        <w:rPr>
          <w:szCs w:val="22"/>
        </w:rPr>
        <w:t>, as originally</w:t>
      </w:r>
      <w:r>
        <w:rPr>
          <w:szCs w:val="22"/>
        </w:rPr>
        <w:t xml:space="preserve"> </w:t>
      </w:r>
      <w:r>
        <w:t>published in CHF2 and reproduced below</w:t>
      </w:r>
      <w:r>
        <w:rPr>
          <w:szCs w:val="22"/>
        </w:rPr>
        <w:t xml:space="preserve">. Note that </w:t>
      </w:r>
      <w:r w:rsidRPr="0078619C">
        <w:rPr>
          <w:szCs w:val="22"/>
        </w:rPr>
        <w:t xml:space="preserve">data from 2010 to 2012 </w:t>
      </w:r>
      <w:r>
        <w:rPr>
          <w:szCs w:val="22"/>
        </w:rPr>
        <w:t>was</w:t>
      </w:r>
      <w:r w:rsidRPr="0078619C">
        <w:rPr>
          <w:szCs w:val="22"/>
        </w:rPr>
        <w:t xml:space="preserve"> actua</w:t>
      </w:r>
      <w:r>
        <w:rPr>
          <w:szCs w:val="22"/>
        </w:rPr>
        <w:t>l data at the time</w:t>
      </w:r>
      <w:r w:rsidRPr="0078619C">
        <w:rPr>
          <w:szCs w:val="22"/>
        </w:rPr>
        <w:t>.</w:t>
      </w:r>
    </w:p>
    <w:p w14:paraId="20CA8CEB" w14:textId="11D389A8" w:rsidR="00650D66" w:rsidRDefault="00650D66" w:rsidP="00650D66"/>
    <w:p w14:paraId="7B54C007" w14:textId="71CEEEFE" w:rsidR="00E81F20" w:rsidRDefault="00E81F20" w:rsidP="00650D66"/>
    <w:p w14:paraId="2AB36C54" w14:textId="404F9547" w:rsidR="00E81F20" w:rsidRDefault="00E81F20" w:rsidP="00650D66"/>
    <w:p w14:paraId="481E9890" w14:textId="58CFA8FF" w:rsidR="00E81F20" w:rsidRDefault="00E81F20" w:rsidP="00650D66"/>
    <w:p w14:paraId="319332ED" w14:textId="77158456" w:rsidR="00E81F20" w:rsidRDefault="00E81F20" w:rsidP="00650D66"/>
    <w:p w14:paraId="0F82DA12" w14:textId="29F49DB6" w:rsidR="00E81F20" w:rsidRDefault="00E81F20" w:rsidP="00650D66"/>
    <w:p w14:paraId="2853194C" w14:textId="77777777" w:rsidR="00E81F20" w:rsidRDefault="00E81F20" w:rsidP="00650D66"/>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650D66" w:rsidRPr="005D159D" w14:paraId="54760759" w14:textId="77777777" w:rsidTr="00EB0E9C">
        <w:tc>
          <w:tcPr>
            <w:tcW w:w="9492" w:type="dxa"/>
            <w:vAlign w:val="center"/>
          </w:tcPr>
          <w:p w14:paraId="158CC534" w14:textId="77777777" w:rsidR="00650D66" w:rsidRPr="005D159D" w:rsidRDefault="00650D66" w:rsidP="00EB5196">
            <w:pPr>
              <w:spacing w:after="120"/>
              <w:jc w:val="center"/>
              <w:rPr>
                <w:b/>
                <w:sz w:val="24"/>
              </w:rPr>
            </w:pPr>
            <w:r w:rsidRPr="005D159D">
              <w:rPr>
                <w:b/>
                <w:sz w:val="24"/>
              </w:rPr>
              <w:br w:type="page"/>
            </w:r>
            <w:r>
              <w:rPr>
                <w:b/>
                <w:sz w:val="24"/>
              </w:rPr>
              <w:t>Projected refrigerant bank by species from 2012 to 2017</w:t>
            </w:r>
            <w:r w:rsidRPr="005D159D">
              <w:rPr>
                <w:b/>
                <w:sz w:val="24"/>
              </w:rPr>
              <w:t xml:space="preserve"> </w:t>
            </w:r>
          </w:p>
        </w:tc>
      </w:tr>
      <w:tr w:rsidR="00650D66" w:rsidRPr="00BD20BC" w14:paraId="3A6BA7F5" w14:textId="77777777" w:rsidTr="00EB0E9C">
        <w:tc>
          <w:tcPr>
            <w:tcW w:w="9492" w:type="dxa"/>
            <w:vAlign w:val="center"/>
          </w:tcPr>
          <w:p w14:paraId="4F04C8A8" w14:textId="77777777" w:rsidR="00650D66" w:rsidRDefault="00650D66" w:rsidP="00EB5196">
            <w:pPr>
              <w:jc w:val="center"/>
              <w:rPr>
                <w:sz w:val="16"/>
                <w:szCs w:val="16"/>
              </w:rPr>
            </w:pPr>
          </w:p>
          <w:p w14:paraId="0592C162" w14:textId="77777777" w:rsidR="00650D66" w:rsidRDefault="00650D66" w:rsidP="00EB5196">
            <w:pPr>
              <w:jc w:val="center"/>
              <w:rPr>
                <w:sz w:val="16"/>
                <w:szCs w:val="16"/>
              </w:rPr>
            </w:pPr>
            <w:r>
              <w:rPr>
                <w:noProof/>
                <w:lang w:val="en-AU" w:eastAsia="en-AU"/>
              </w:rPr>
              <w:drawing>
                <wp:inline distT="0" distB="0" distL="0" distR="0" wp14:anchorId="00F182B2" wp14:editId="4C2F9F3C">
                  <wp:extent cx="6017260" cy="2971800"/>
                  <wp:effectExtent l="0" t="0" r="254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1172BD" w14:textId="77777777" w:rsidR="00650D66" w:rsidRPr="00BD20BC" w:rsidRDefault="00650D66" w:rsidP="00EB5196">
            <w:pPr>
              <w:jc w:val="center"/>
              <w:rPr>
                <w:sz w:val="16"/>
                <w:szCs w:val="16"/>
              </w:rPr>
            </w:pPr>
          </w:p>
        </w:tc>
      </w:tr>
      <w:tr w:rsidR="00650D66" w:rsidRPr="00042727" w14:paraId="4A0097E6" w14:textId="77777777" w:rsidTr="00EB0E9C">
        <w:tc>
          <w:tcPr>
            <w:tcW w:w="9492" w:type="dxa"/>
            <w:vAlign w:val="center"/>
          </w:tcPr>
          <w:p w14:paraId="4F17400A" w14:textId="6C47928C" w:rsidR="00650D66" w:rsidRPr="00C80E0B" w:rsidRDefault="00C80E0B" w:rsidP="00C80E0B">
            <w:pPr>
              <w:pStyle w:val="Caption"/>
            </w:pPr>
            <w:bookmarkStart w:id="91" w:name="_Toc494118067"/>
            <w:bookmarkStart w:id="92" w:name="_Toc525141347"/>
            <w:r w:rsidRPr="00C80E0B">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16</w:t>
            </w:r>
            <w:r w:rsidR="009D6843">
              <w:rPr>
                <w:noProof/>
              </w:rPr>
              <w:fldChar w:fldCharType="end"/>
            </w:r>
            <w:r w:rsidRPr="00C80E0B">
              <w:t xml:space="preserve">: </w:t>
            </w:r>
            <w:r w:rsidR="00650D66" w:rsidRPr="00C80E0B">
              <w:rPr>
                <w:sz w:val="20"/>
              </w:rPr>
              <w:t xml:space="preserve">Projected development </w:t>
            </w:r>
            <w:r w:rsidR="00907B20">
              <w:rPr>
                <w:sz w:val="20"/>
              </w:rPr>
              <w:t xml:space="preserve">- </w:t>
            </w:r>
            <w:r w:rsidR="00650D66" w:rsidRPr="00C80E0B">
              <w:rPr>
                <w:sz w:val="20"/>
              </w:rPr>
              <w:t>refrigerant bank trend by species from 2012 to 2017 (2010 to 2012 actual)</w:t>
            </w:r>
            <w:bookmarkEnd w:id="91"/>
            <w:r>
              <w:rPr>
                <w:sz w:val="20"/>
              </w:rPr>
              <w:t>.</w:t>
            </w:r>
            <w:bookmarkEnd w:id="92"/>
          </w:p>
        </w:tc>
      </w:tr>
    </w:tbl>
    <w:p w14:paraId="13D02B59" w14:textId="77777777" w:rsidR="00650D66" w:rsidRDefault="00650D66" w:rsidP="00650D66">
      <w:pPr>
        <w:spacing w:before="0"/>
        <w:rPr>
          <w:szCs w:val="22"/>
        </w:rPr>
      </w:pPr>
      <w:r w:rsidRPr="00116557">
        <w:rPr>
          <w:sz w:val="20"/>
          <w:szCs w:val="20"/>
        </w:rPr>
        <w:t xml:space="preserve">(Sources: </w:t>
      </w:r>
      <w:r>
        <w:rPr>
          <w:sz w:val="20"/>
          <w:szCs w:val="20"/>
        </w:rPr>
        <w:t>DSEWPaC 2013b)</w:t>
      </w:r>
    </w:p>
    <w:p w14:paraId="341BB22D" w14:textId="0EB4EE1B" w:rsidR="00650D66" w:rsidRPr="00B03D2E" w:rsidRDefault="00650D66" w:rsidP="00650D66">
      <w:pPr>
        <w:spacing w:before="240"/>
        <w:rPr>
          <w:szCs w:val="22"/>
        </w:rPr>
      </w:pPr>
      <w:r>
        <w:rPr>
          <w:szCs w:val="22"/>
        </w:rPr>
        <w:t>Because t</w:t>
      </w:r>
      <w:r w:rsidRPr="00B03D2E">
        <w:rPr>
          <w:szCs w:val="22"/>
        </w:rPr>
        <w:t xml:space="preserve">here are significant differences in </w:t>
      </w:r>
      <w:r>
        <w:rPr>
          <w:szCs w:val="22"/>
        </w:rPr>
        <w:t xml:space="preserve">the </w:t>
      </w:r>
      <w:r w:rsidRPr="00B03D2E">
        <w:rPr>
          <w:szCs w:val="22"/>
        </w:rPr>
        <w:t xml:space="preserve">volumes of working </w:t>
      </w:r>
      <w:r w:rsidR="00244B21">
        <w:rPr>
          <w:szCs w:val="22"/>
        </w:rPr>
        <w:t>refrigerant</w:t>
      </w:r>
      <w:r w:rsidR="00244B21" w:rsidRPr="00B03D2E">
        <w:rPr>
          <w:szCs w:val="22"/>
        </w:rPr>
        <w:t xml:space="preserve"> </w:t>
      </w:r>
      <w:r w:rsidRPr="00B03D2E">
        <w:rPr>
          <w:szCs w:val="22"/>
        </w:rPr>
        <w:t xml:space="preserve">required to achieve similar levels of </w:t>
      </w:r>
      <w:r>
        <w:rPr>
          <w:szCs w:val="22"/>
        </w:rPr>
        <w:t>thermal transfer</w:t>
      </w:r>
      <w:r w:rsidRPr="00B03D2E">
        <w:rPr>
          <w:szCs w:val="22"/>
        </w:rPr>
        <w:t xml:space="preserve"> when using some ‘natural’ versus some synthetic refrigerants</w:t>
      </w:r>
      <w:r w:rsidR="00406B47">
        <w:rPr>
          <w:szCs w:val="22"/>
        </w:rPr>
        <w:t>,</w:t>
      </w:r>
      <w:r>
        <w:rPr>
          <w:szCs w:val="22"/>
        </w:rPr>
        <w:t xml:space="preserve"> </w:t>
      </w:r>
      <w:r w:rsidRPr="00B03D2E">
        <w:rPr>
          <w:szCs w:val="22"/>
        </w:rPr>
        <w:t>modelling of the ‘natural’ refrigerants (CO</w:t>
      </w:r>
      <w:r w:rsidRPr="00BE78D9">
        <w:rPr>
          <w:szCs w:val="22"/>
          <w:vertAlign w:val="subscript"/>
        </w:rPr>
        <w:t>2</w:t>
      </w:r>
      <w:r w:rsidRPr="00B03D2E">
        <w:rPr>
          <w:szCs w:val="22"/>
        </w:rPr>
        <w:t xml:space="preserve">, hydrocarbons and ammonia) is done by expressing them in terms of the tonnes of HFCs or HCFCs they are expected to replace, rather than the actual (smaller volume in the case of hydrocarbons) volumes of natural refrigerants employed. This provides a more accurate picture of the proportion of the </w:t>
      </w:r>
      <w:r>
        <w:rPr>
          <w:szCs w:val="22"/>
        </w:rPr>
        <w:t xml:space="preserve">energy services provided by the bank </w:t>
      </w:r>
      <w:r w:rsidRPr="00B03D2E">
        <w:rPr>
          <w:szCs w:val="22"/>
        </w:rPr>
        <w:t xml:space="preserve">that </w:t>
      </w:r>
      <w:r>
        <w:rPr>
          <w:szCs w:val="22"/>
        </w:rPr>
        <w:t>natural refrigerants will deliver</w:t>
      </w:r>
      <w:r w:rsidRPr="00B03D2E">
        <w:rPr>
          <w:szCs w:val="22"/>
        </w:rPr>
        <w:t xml:space="preserve">. </w:t>
      </w:r>
    </w:p>
    <w:p w14:paraId="258F2EB5" w14:textId="574486B1" w:rsidR="00650D66" w:rsidRDefault="00650D66" w:rsidP="00650D66">
      <w:pPr>
        <w:rPr>
          <w:szCs w:val="22"/>
        </w:rPr>
      </w:pPr>
      <w:r w:rsidRPr="00B03D2E">
        <w:rPr>
          <w:szCs w:val="22"/>
        </w:rPr>
        <w:t xml:space="preserve">These projections </w:t>
      </w:r>
      <w:r>
        <w:rPr>
          <w:szCs w:val="22"/>
        </w:rPr>
        <w:t xml:space="preserve">predicted a </w:t>
      </w:r>
      <w:r w:rsidRPr="00B03D2E">
        <w:rPr>
          <w:szCs w:val="22"/>
        </w:rPr>
        <w:t xml:space="preserve">strong decline in the main HCFC presently employed in the bank, HCFC-22, from an estimate of approximately 11,300 tonnes at the commencement of 2012 down to a </w:t>
      </w:r>
      <w:r w:rsidR="0076403F">
        <w:rPr>
          <w:szCs w:val="22"/>
        </w:rPr>
        <w:t xml:space="preserve">2016 and </w:t>
      </w:r>
      <w:r w:rsidRPr="00B03D2E">
        <w:rPr>
          <w:szCs w:val="22"/>
        </w:rPr>
        <w:t xml:space="preserve">2017 estimate of approximately </w:t>
      </w:r>
      <w:r w:rsidR="0076403F">
        <w:rPr>
          <w:szCs w:val="22"/>
        </w:rPr>
        <w:t xml:space="preserve">6,300 and </w:t>
      </w:r>
      <w:r w:rsidRPr="00B03D2E">
        <w:rPr>
          <w:szCs w:val="22"/>
        </w:rPr>
        <w:t>5,600 tonnes</w:t>
      </w:r>
      <w:r w:rsidR="0076403F">
        <w:rPr>
          <w:szCs w:val="22"/>
        </w:rPr>
        <w:t xml:space="preserve"> respectively</w:t>
      </w:r>
      <w:r>
        <w:rPr>
          <w:szCs w:val="22"/>
        </w:rPr>
        <w:t>.</w:t>
      </w:r>
      <w:r w:rsidRPr="00B03D2E">
        <w:rPr>
          <w:szCs w:val="22"/>
        </w:rPr>
        <w:t xml:space="preserve"> </w:t>
      </w:r>
    </w:p>
    <w:p w14:paraId="00FF9EBD" w14:textId="736E093D" w:rsidR="00650D66" w:rsidRDefault="008A123E" w:rsidP="00650D66">
      <w:pPr>
        <w:rPr>
          <w:szCs w:val="22"/>
        </w:rPr>
      </w:pPr>
      <w:r>
        <w:rPr>
          <w:szCs w:val="22"/>
        </w:rPr>
        <w:t>This prediction has proven to be an over estimation of the rate of decline with the actual HCFC-22 in the bank now estimated to be more than 35% higher at 8,500 tonnes in 2016. The larger than expected bank can be partly attributed to the degree of recovery and reclamation of HCFC-22 in the market, and the high capital cost to replace medium and large RAC equipment.</w:t>
      </w:r>
      <w:r w:rsidR="00EB0E9C">
        <w:rPr>
          <w:rStyle w:val="FootnoteReference"/>
          <w:szCs w:val="22"/>
        </w:rPr>
        <w:footnoteReference w:id="49"/>
      </w:r>
      <w:r w:rsidR="001C6DDD">
        <w:rPr>
          <w:szCs w:val="22"/>
        </w:rPr>
        <w:t xml:space="preserve"> </w:t>
      </w:r>
    </w:p>
    <w:p w14:paraId="697968FD" w14:textId="6EA8DD2B" w:rsidR="00650D66" w:rsidRDefault="00650D66" w:rsidP="00650D66">
      <w:pPr>
        <w:rPr>
          <w:szCs w:val="22"/>
        </w:rPr>
      </w:pPr>
      <w:r>
        <w:rPr>
          <w:szCs w:val="22"/>
        </w:rPr>
        <w:t xml:space="preserve">The CHF2 projections predicted </w:t>
      </w:r>
      <w:r w:rsidRPr="00B03D2E">
        <w:rPr>
          <w:szCs w:val="22"/>
        </w:rPr>
        <w:t xml:space="preserve">the overall bank </w:t>
      </w:r>
      <w:r>
        <w:rPr>
          <w:szCs w:val="22"/>
        </w:rPr>
        <w:t xml:space="preserve">would </w:t>
      </w:r>
      <w:r w:rsidRPr="00B03D2E">
        <w:rPr>
          <w:szCs w:val="22"/>
        </w:rPr>
        <w:t>grow</w:t>
      </w:r>
      <w:r>
        <w:rPr>
          <w:szCs w:val="22"/>
        </w:rPr>
        <w:t xml:space="preserve"> steadily from 43,500 tonnes </w:t>
      </w:r>
      <w:r w:rsidRPr="00B03D2E">
        <w:rPr>
          <w:szCs w:val="22"/>
        </w:rPr>
        <w:t xml:space="preserve">to more than </w:t>
      </w:r>
      <w:r w:rsidR="00311813">
        <w:rPr>
          <w:szCs w:val="22"/>
        </w:rPr>
        <w:t>45,700</w:t>
      </w:r>
      <w:r w:rsidR="001C6DDD">
        <w:rPr>
          <w:szCs w:val="22"/>
        </w:rPr>
        <w:t xml:space="preserve"> and </w:t>
      </w:r>
      <w:r w:rsidRPr="00B03D2E">
        <w:rPr>
          <w:szCs w:val="22"/>
        </w:rPr>
        <w:t>46,7</w:t>
      </w:r>
      <w:r w:rsidR="003404B7">
        <w:rPr>
          <w:szCs w:val="22"/>
        </w:rPr>
        <w:t>00</w:t>
      </w:r>
      <w:r w:rsidRPr="00B03D2E">
        <w:rPr>
          <w:szCs w:val="22"/>
        </w:rPr>
        <w:t xml:space="preserve"> tonnes</w:t>
      </w:r>
      <w:r>
        <w:rPr>
          <w:szCs w:val="22"/>
        </w:rPr>
        <w:t xml:space="preserve"> in 201</w:t>
      </w:r>
      <w:r w:rsidR="001C6DDD">
        <w:rPr>
          <w:szCs w:val="22"/>
        </w:rPr>
        <w:t>6 and 201</w:t>
      </w:r>
      <w:r>
        <w:rPr>
          <w:szCs w:val="22"/>
        </w:rPr>
        <w:t>7</w:t>
      </w:r>
      <w:r w:rsidR="001C6DDD">
        <w:rPr>
          <w:szCs w:val="22"/>
        </w:rPr>
        <w:t xml:space="preserve"> respectively</w:t>
      </w:r>
      <w:r w:rsidRPr="00B03D2E">
        <w:rPr>
          <w:szCs w:val="22"/>
        </w:rPr>
        <w:t xml:space="preserve">. </w:t>
      </w:r>
    </w:p>
    <w:p w14:paraId="71BD91D1" w14:textId="4E1F4159" w:rsidR="00650D66" w:rsidRDefault="00650D66" w:rsidP="00650D66">
      <w:pPr>
        <w:rPr>
          <w:szCs w:val="22"/>
        </w:rPr>
      </w:pPr>
      <w:r>
        <w:rPr>
          <w:szCs w:val="22"/>
        </w:rPr>
        <w:t xml:space="preserve">This was an underestimation of the rate of growth of the </w:t>
      </w:r>
      <w:r w:rsidR="009F4CB3">
        <w:rPr>
          <w:szCs w:val="22"/>
        </w:rPr>
        <w:t>refrigerant bank</w:t>
      </w:r>
      <w:r>
        <w:rPr>
          <w:szCs w:val="22"/>
        </w:rPr>
        <w:t xml:space="preserve"> with the 2017 bank currently estimated to be </w:t>
      </w:r>
      <w:r w:rsidR="003404B7">
        <w:rPr>
          <w:szCs w:val="22"/>
        </w:rPr>
        <w:t>around 14</w:t>
      </w:r>
      <w:r>
        <w:rPr>
          <w:szCs w:val="22"/>
        </w:rPr>
        <w:t>% larger than predicted at approximately 52,000 tonnes. This can be partly attributed to underestimating the continuing strong growth of small and medium commercial AC sales which we had expected would moderate. However strong growth throughout the period in the construction of new apartments, the willingness of householders to install multiple split AC systems in homes and continued strong growth in sales of small AC into small and medium business premises of all types has seen sales of AC continue to climb.</w:t>
      </w:r>
    </w:p>
    <w:p w14:paraId="108FF76A" w14:textId="3049F0E4" w:rsidR="00650D66" w:rsidRDefault="00650D66" w:rsidP="00650D66">
      <w:pPr>
        <w:rPr>
          <w:szCs w:val="22"/>
        </w:rPr>
      </w:pPr>
      <w:r w:rsidRPr="00B03D2E">
        <w:rPr>
          <w:szCs w:val="22"/>
        </w:rPr>
        <w:t xml:space="preserve">HFC-134a and HFC-410A </w:t>
      </w:r>
      <w:r>
        <w:rPr>
          <w:szCs w:val="22"/>
        </w:rPr>
        <w:t>wer</w:t>
      </w:r>
      <w:r w:rsidRPr="00B03D2E">
        <w:rPr>
          <w:szCs w:val="22"/>
        </w:rPr>
        <w:t xml:space="preserve">e projected to continue to grow (the latter particularly so) and together </w:t>
      </w:r>
      <w:r>
        <w:rPr>
          <w:szCs w:val="22"/>
        </w:rPr>
        <w:t>were</w:t>
      </w:r>
      <w:r w:rsidRPr="00B03D2E">
        <w:rPr>
          <w:szCs w:val="22"/>
        </w:rPr>
        <w:t xml:space="preserve"> expected to comprise nearly 70</w:t>
      </w:r>
      <w:r w:rsidR="00C9319D">
        <w:rPr>
          <w:szCs w:val="22"/>
        </w:rPr>
        <w:t>%</w:t>
      </w:r>
      <w:r w:rsidRPr="00B03D2E">
        <w:rPr>
          <w:szCs w:val="22"/>
        </w:rPr>
        <w:t xml:space="preserve"> of the </w:t>
      </w:r>
      <w:r w:rsidR="009F4CB3">
        <w:rPr>
          <w:szCs w:val="22"/>
        </w:rPr>
        <w:t>refrigerant bank</w:t>
      </w:r>
      <w:r w:rsidRPr="00B03D2E">
        <w:rPr>
          <w:szCs w:val="22"/>
        </w:rPr>
        <w:t xml:space="preserve"> by 2017. This projection</w:t>
      </w:r>
      <w:r>
        <w:rPr>
          <w:szCs w:val="22"/>
        </w:rPr>
        <w:t xml:space="preserve"> has proved to be roughly correct with the predicted trend being realised, although the combined volume of HFC-134a and HFC-410A was actually greater than expected but still only made up about </w:t>
      </w:r>
      <w:r w:rsidRPr="00271506">
        <w:rPr>
          <w:szCs w:val="22"/>
        </w:rPr>
        <w:t>69%</w:t>
      </w:r>
      <w:r>
        <w:rPr>
          <w:szCs w:val="22"/>
        </w:rPr>
        <w:t xml:space="preserve"> of the much larger than expected bank in 201</w:t>
      </w:r>
      <w:r w:rsidR="003404B7">
        <w:rPr>
          <w:szCs w:val="22"/>
        </w:rPr>
        <w:t>6 and 2017</w:t>
      </w:r>
      <w:r w:rsidRPr="00B03D2E">
        <w:rPr>
          <w:szCs w:val="22"/>
        </w:rPr>
        <w:t>.</w:t>
      </w:r>
    </w:p>
    <w:p w14:paraId="7E1353FA" w14:textId="201ACE5F" w:rsidR="00650D66" w:rsidRDefault="00650D66" w:rsidP="00650D66">
      <w:pPr>
        <w:rPr>
          <w:szCs w:val="22"/>
        </w:rPr>
      </w:pPr>
      <w:r>
        <w:rPr>
          <w:szCs w:val="22"/>
        </w:rPr>
        <w:t>Based on what was known of manufacturers</w:t>
      </w:r>
      <w:r w:rsidR="00406B47">
        <w:rPr>
          <w:szCs w:val="22"/>
        </w:rPr>
        <w:t>’</w:t>
      </w:r>
      <w:r>
        <w:rPr>
          <w:szCs w:val="22"/>
        </w:rPr>
        <w:t xml:space="preserve"> plans for the introduction of HFC-32 at the time, and partly due to the higher energy efficiencies that c</w:t>
      </w:r>
      <w:r w:rsidR="00406B47">
        <w:rPr>
          <w:szCs w:val="22"/>
        </w:rPr>
        <w:t>an</w:t>
      </w:r>
      <w:r>
        <w:rPr>
          <w:szCs w:val="22"/>
        </w:rPr>
        <w:t xml:space="preserve"> be achieved with HFC-32</w:t>
      </w:r>
      <w:r w:rsidR="00DE2E99">
        <w:rPr>
          <w:szCs w:val="22"/>
        </w:rPr>
        <w:t xml:space="preserve"> in high </w:t>
      </w:r>
      <w:r w:rsidR="009F5EAE">
        <w:rPr>
          <w:szCs w:val="22"/>
        </w:rPr>
        <w:t>ambient</w:t>
      </w:r>
      <w:r w:rsidR="00DE2E99">
        <w:rPr>
          <w:szCs w:val="22"/>
        </w:rPr>
        <w:t xml:space="preserve"> regions</w:t>
      </w:r>
      <w:r>
        <w:rPr>
          <w:szCs w:val="22"/>
        </w:rPr>
        <w:t>, the use</w:t>
      </w:r>
      <w:r w:rsidRPr="003018C6">
        <w:rPr>
          <w:szCs w:val="22"/>
        </w:rPr>
        <w:t xml:space="preserve"> of HFC</w:t>
      </w:r>
      <w:r w:rsidR="00244B21">
        <w:rPr>
          <w:szCs w:val="22"/>
        </w:rPr>
        <w:noBreakHyphen/>
      </w:r>
      <w:r w:rsidRPr="003018C6">
        <w:rPr>
          <w:szCs w:val="22"/>
        </w:rPr>
        <w:t xml:space="preserve">32 </w:t>
      </w:r>
      <w:r>
        <w:rPr>
          <w:szCs w:val="22"/>
        </w:rPr>
        <w:t>was</w:t>
      </w:r>
      <w:r w:rsidRPr="003018C6">
        <w:rPr>
          <w:szCs w:val="22"/>
        </w:rPr>
        <w:t xml:space="preserve"> </w:t>
      </w:r>
      <w:r>
        <w:rPr>
          <w:szCs w:val="22"/>
        </w:rPr>
        <w:t>projected</w:t>
      </w:r>
      <w:r w:rsidRPr="003018C6">
        <w:rPr>
          <w:szCs w:val="22"/>
        </w:rPr>
        <w:t xml:space="preserve"> to increase as a stand-alone refrigerant</w:t>
      </w:r>
      <w:r>
        <w:rPr>
          <w:szCs w:val="22"/>
        </w:rPr>
        <w:t xml:space="preserve"> despite what were, at the time, </w:t>
      </w:r>
      <w:r w:rsidR="00583005">
        <w:rPr>
          <w:szCs w:val="22"/>
        </w:rPr>
        <w:t xml:space="preserve">challenging </w:t>
      </w:r>
      <w:r w:rsidR="0097083E">
        <w:rPr>
          <w:szCs w:val="22"/>
        </w:rPr>
        <w:t xml:space="preserve">skills </w:t>
      </w:r>
      <w:r>
        <w:rPr>
          <w:szCs w:val="22"/>
        </w:rPr>
        <w:t xml:space="preserve">barriers due to the mild flammability of the refrigerant. </w:t>
      </w:r>
      <w:r w:rsidR="00114831">
        <w:rPr>
          <w:szCs w:val="22"/>
        </w:rPr>
        <w:t>Nevertheless,</w:t>
      </w:r>
      <w:r>
        <w:rPr>
          <w:szCs w:val="22"/>
        </w:rPr>
        <w:t xml:space="preserve"> dedicated efforts by the industry, working through standards processes</w:t>
      </w:r>
      <w:r w:rsidR="00583005">
        <w:rPr>
          <w:szCs w:val="22"/>
        </w:rPr>
        <w:t xml:space="preserve"> and conducting training courses</w:t>
      </w:r>
      <w:r>
        <w:rPr>
          <w:szCs w:val="22"/>
        </w:rPr>
        <w:t>, cleared the way for the introduction of an entirely new class of refrigerants with mild flammability (A2L refrigerants) and HFC-32 charged AC exhibited remarkable growth</w:t>
      </w:r>
      <w:r w:rsidR="00406B47">
        <w:rPr>
          <w:szCs w:val="22"/>
        </w:rPr>
        <w:t>,</w:t>
      </w:r>
      <w:r>
        <w:rPr>
          <w:szCs w:val="22"/>
        </w:rPr>
        <w:t xml:space="preserve"> with the 2012 projection of some </w:t>
      </w:r>
      <w:r w:rsidR="003404B7">
        <w:rPr>
          <w:szCs w:val="22"/>
        </w:rPr>
        <w:t>188</w:t>
      </w:r>
      <w:r>
        <w:rPr>
          <w:szCs w:val="22"/>
        </w:rPr>
        <w:t xml:space="preserve"> tonnes of HFC</w:t>
      </w:r>
      <w:r w:rsidR="00244B21">
        <w:rPr>
          <w:szCs w:val="22"/>
        </w:rPr>
        <w:noBreakHyphen/>
      </w:r>
      <w:r>
        <w:rPr>
          <w:szCs w:val="22"/>
        </w:rPr>
        <w:t xml:space="preserve">32 in the bank by 2017 falling well short of </w:t>
      </w:r>
      <w:r w:rsidR="00406B47">
        <w:rPr>
          <w:szCs w:val="22"/>
        </w:rPr>
        <w:t xml:space="preserve">the </w:t>
      </w:r>
      <w:r>
        <w:rPr>
          <w:szCs w:val="22"/>
        </w:rPr>
        <w:t xml:space="preserve">current estimate of more than 1,800 tonnes in the bank in 2017. </w:t>
      </w:r>
    </w:p>
    <w:p w14:paraId="4689A00C" w14:textId="77777777" w:rsidR="00650D66" w:rsidRDefault="00650D66" w:rsidP="00650D66">
      <w:pPr>
        <w:rPr>
          <w:szCs w:val="22"/>
        </w:rPr>
      </w:pPr>
      <w:r w:rsidRPr="00B03D2E">
        <w:rPr>
          <w:szCs w:val="22"/>
        </w:rPr>
        <w:t xml:space="preserve">HFC-404A </w:t>
      </w:r>
      <w:r>
        <w:rPr>
          <w:szCs w:val="22"/>
        </w:rPr>
        <w:t>was</w:t>
      </w:r>
      <w:r w:rsidRPr="00B03D2E">
        <w:rPr>
          <w:szCs w:val="22"/>
        </w:rPr>
        <w:t xml:space="preserve"> projected to decline by about 30</w:t>
      </w:r>
      <w:r>
        <w:rPr>
          <w:szCs w:val="22"/>
        </w:rPr>
        <w:t xml:space="preserve">% </w:t>
      </w:r>
      <w:r w:rsidRPr="00B03D2E">
        <w:rPr>
          <w:szCs w:val="22"/>
        </w:rPr>
        <w:t>in the period to 2017. The industry ha</w:t>
      </w:r>
      <w:r>
        <w:rPr>
          <w:szCs w:val="22"/>
        </w:rPr>
        <w:t>d</w:t>
      </w:r>
      <w:r w:rsidRPr="00B03D2E">
        <w:rPr>
          <w:szCs w:val="22"/>
        </w:rPr>
        <w:t xml:space="preserve"> been moving away from use of this </w:t>
      </w:r>
      <w:r>
        <w:rPr>
          <w:szCs w:val="22"/>
        </w:rPr>
        <w:t xml:space="preserve">refrigerant in the </w:t>
      </w:r>
      <w:r w:rsidRPr="00B03D2E">
        <w:rPr>
          <w:szCs w:val="22"/>
        </w:rPr>
        <w:t xml:space="preserve">few years </w:t>
      </w:r>
      <w:r>
        <w:rPr>
          <w:szCs w:val="22"/>
        </w:rPr>
        <w:t>prior to 2012 in</w:t>
      </w:r>
      <w:r w:rsidRPr="00B03D2E">
        <w:rPr>
          <w:szCs w:val="22"/>
        </w:rPr>
        <w:t xml:space="preserve"> preference for ‘natural’ refrigerants (CO</w:t>
      </w:r>
      <w:r w:rsidRPr="00BE78D9">
        <w:rPr>
          <w:szCs w:val="22"/>
          <w:vertAlign w:val="subscript"/>
        </w:rPr>
        <w:t>2</w:t>
      </w:r>
      <w:r w:rsidRPr="00B03D2E">
        <w:rPr>
          <w:szCs w:val="22"/>
        </w:rPr>
        <w:t xml:space="preserve">, hydrocarbons and ammonia), and other HFCs such as HFC-134a on medium temperature commercial refrigeration applications. </w:t>
      </w:r>
    </w:p>
    <w:p w14:paraId="28CDBA83" w14:textId="4644BFA5" w:rsidR="00650D66" w:rsidRDefault="00650D66" w:rsidP="00650D66">
      <w:pPr>
        <w:rPr>
          <w:szCs w:val="22"/>
        </w:rPr>
      </w:pPr>
      <w:r>
        <w:rPr>
          <w:szCs w:val="22"/>
        </w:rPr>
        <w:t>This projection proved to be wrong and HFC-404A in the bank has actually grown by 30% from roughly 3,300 tonnes to 4,400 tonnes. This growth can partly be explained by the stockpiling of this refrigerant that took place in 201</w:t>
      </w:r>
      <w:r w:rsidR="003404B7">
        <w:rPr>
          <w:szCs w:val="22"/>
        </w:rPr>
        <w:t>2</w:t>
      </w:r>
      <w:r>
        <w:rPr>
          <w:szCs w:val="22"/>
        </w:rPr>
        <w:t xml:space="preserve"> in the lead up to the introduction of the equivalent </w:t>
      </w:r>
      <w:r w:rsidR="00244B21">
        <w:rPr>
          <w:szCs w:val="22"/>
        </w:rPr>
        <w:t>carbon tax</w:t>
      </w:r>
      <w:r w:rsidR="00406B47">
        <w:rPr>
          <w:szCs w:val="22"/>
        </w:rPr>
        <w:t>,</w:t>
      </w:r>
      <w:r>
        <w:rPr>
          <w:szCs w:val="22"/>
        </w:rPr>
        <w:t xml:space="preserve"> which saw more than 2,155 tonnes of HFC-404A imported </w:t>
      </w:r>
      <w:r w:rsidR="00244B21">
        <w:rPr>
          <w:szCs w:val="22"/>
        </w:rPr>
        <w:t xml:space="preserve">ahead of the tax </w:t>
      </w:r>
      <w:r>
        <w:rPr>
          <w:szCs w:val="22"/>
        </w:rPr>
        <w:t xml:space="preserve">on this high GWP refrigerant. </w:t>
      </w:r>
    </w:p>
    <w:p w14:paraId="7778F85F" w14:textId="6EABAFBF" w:rsidR="00650D66" w:rsidRPr="00B03D2E" w:rsidRDefault="00650D66" w:rsidP="00650D66">
      <w:pPr>
        <w:rPr>
          <w:szCs w:val="22"/>
        </w:rPr>
      </w:pPr>
      <w:r>
        <w:rPr>
          <w:szCs w:val="22"/>
        </w:rPr>
        <w:t xml:space="preserve">When the </w:t>
      </w:r>
      <w:r w:rsidR="00244B21">
        <w:rPr>
          <w:szCs w:val="22"/>
        </w:rPr>
        <w:t xml:space="preserve">tax </w:t>
      </w:r>
      <w:r>
        <w:rPr>
          <w:szCs w:val="22"/>
        </w:rPr>
        <w:t>was repealed the price of HFC-404A immediately returned to a very competitive wholesale price which has had the effect of extending the life of HFC-404A charged equipment in the market</w:t>
      </w:r>
      <w:r w:rsidR="00406B47">
        <w:rPr>
          <w:szCs w:val="22"/>
        </w:rPr>
        <w:t>,</w:t>
      </w:r>
      <w:r>
        <w:rPr>
          <w:szCs w:val="22"/>
        </w:rPr>
        <w:t xml:space="preserve"> where it is widely used in </w:t>
      </w:r>
      <w:r w:rsidR="003404B7">
        <w:rPr>
          <w:szCs w:val="22"/>
        </w:rPr>
        <w:t xml:space="preserve">medium commercial refrigeration </w:t>
      </w:r>
      <w:r>
        <w:rPr>
          <w:szCs w:val="22"/>
        </w:rPr>
        <w:t xml:space="preserve">systems </w:t>
      </w:r>
      <w:r w:rsidR="003404B7">
        <w:rPr>
          <w:szCs w:val="22"/>
        </w:rPr>
        <w:t xml:space="preserve">with remote condensers </w:t>
      </w:r>
      <w:r>
        <w:rPr>
          <w:szCs w:val="22"/>
        </w:rPr>
        <w:t>in the cold food chain. This high GWP refrigerant</w:t>
      </w:r>
      <w:r w:rsidR="00244B21">
        <w:rPr>
          <w:szCs w:val="22"/>
        </w:rPr>
        <w:t>’</w:t>
      </w:r>
      <w:r>
        <w:rPr>
          <w:szCs w:val="22"/>
        </w:rPr>
        <w:t xml:space="preserve">s affordability following the price collapse after the removal of the carbon </w:t>
      </w:r>
      <w:r w:rsidR="00244B21">
        <w:rPr>
          <w:szCs w:val="22"/>
        </w:rPr>
        <w:t>tax</w:t>
      </w:r>
      <w:r>
        <w:rPr>
          <w:szCs w:val="22"/>
        </w:rPr>
        <w:t xml:space="preserve"> has driven a growing stock of equipment using this refrigerant.</w:t>
      </w:r>
    </w:p>
    <w:p w14:paraId="6C7B58EC" w14:textId="71FA845D" w:rsidR="00DE2E99" w:rsidRDefault="00650D66" w:rsidP="00650D66">
      <w:pPr>
        <w:rPr>
          <w:szCs w:val="22"/>
        </w:rPr>
      </w:pPr>
      <w:r w:rsidRPr="00B03D2E">
        <w:rPr>
          <w:szCs w:val="22"/>
        </w:rPr>
        <w:t xml:space="preserve">HFC-407C </w:t>
      </w:r>
      <w:r>
        <w:rPr>
          <w:szCs w:val="22"/>
        </w:rPr>
        <w:t>was</w:t>
      </w:r>
      <w:r w:rsidRPr="00B03D2E">
        <w:rPr>
          <w:szCs w:val="22"/>
        </w:rPr>
        <w:t xml:space="preserve"> also projected to decline, as it was already being substituted with HFC-410A by equipment manufacturers (local and overseas) prior to the introduction of the carbon </w:t>
      </w:r>
      <w:r w:rsidR="00244B21">
        <w:rPr>
          <w:szCs w:val="22"/>
        </w:rPr>
        <w:t>tax on</w:t>
      </w:r>
      <w:r w:rsidRPr="00B03D2E">
        <w:rPr>
          <w:szCs w:val="22"/>
        </w:rPr>
        <w:t xml:space="preserve"> HFCs. </w:t>
      </w:r>
      <w:r w:rsidR="00DE2E99">
        <w:rPr>
          <w:szCs w:val="22"/>
        </w:rPr>
        <w:t>The prediction of HFC-407C of 1,410 tonnes in 2016 and 1,310 tonnes in 2017, align</w:t>
      </w:r>
      <w:r w:rsidR="00406B47">
        <w:rPr>
          <w:szCs w:val="22"/>
        </w:rPr>
        <w:t>s</w:t>
      </w:r>
      <w:r w:rsidR="00DE2E99">
        <w:rPr>
          <w:szCs w:val="22"/>
        </w:rPr>
        <w:t xml:space="preserve"> with the </w:t>
      </w:r>
      <w:r w:rsidR="007A1335">
        <w:rPr>
          <w:szCs w:val="22"/>
        </w:rPr>
        <w:t>CHF3 RAC Stock model</w:t>
      </w:r>
      <w:r w:rsidR="00DE2E99">
        <w:rPr>
          <w:szCs w:val="22"/>
        </w:rPr>
        <w:t xml:space="preserve"> at 1,340 tonnes </w:t>
      </w:r>
      <w:r w:rsidR="00314033">
        <w:rPr>
          <w:szCs w:val="22"/>
        </w:rPr>
        <w:t>in 2017.</w:t>
      </w:r>
    </w:p>
    <w:p w14:paraId="5256BE6B" w14:textId="2F9C9698" w:rsidR="00B41630" w:rsidRDefault="00B41630" w:rsidP="00650D66">
      <w:pPr>
        <w:rPr>
          <w:szCs w:val="22"/>
        </w:rPr>
      </w:pPr>
      <w:r w:rsidRPr="0086637C">
        <w:rPr>
          <w:szCs w:val="22"/>
        </w:rPr>
        <w:t>Driven largely by legislative changes in Europe</w:t>
      </w:r>
      <w:r>
        <w:rPr>
          <w:szCs w:val="22"/>
        </w:rPr>
        <w:t>, t</w:t>
      </w:r>
      <w:r w:rsidRPr="00B41630">
        <w:rPr>
          <w:szCs w:val="22"/>
        </w:rPr>
        <w:t xml:space="preserve">he European directive on mobile air conditioning systems (Directive 2006/40/EC) aimed at reducing emissions from air conditioning systems fitted to passenger cars mandates that impacted vehicles must use a refrigerant gas with a GWP of 150 or less. In practical terms, the use of HFC-134a is not permitted for </w:t>
      </w:r>
      <w:r w:rsidR="00701F14">
        <w:rPr>
          <w:szCs w:val="22"/>
        </w:rPr>
        <w:t xml:space="preserve">charging </w:t>
      </w:r>
      <w:r w:rsidRPr="00B41630">
        <w:rPr>
          <w:szCs w:val="22"/>
        </w:rPr>
        <w:t>newly type-approved vehicles sold in the European Union from January 2011, and all new vehicles sold from January 2017.</w:t>
      </w:r>
      <w:r>
        <w:rPr>
          <w:szCs w:val="22"/>
        </w:rPr>
        <w:t xml:space="preserve"> More recently t</w:t>
      </w:r>
      <w:r w:rsidRPr="00B41630">
        <w:rPr>
          <w:szCs w:val="22"/>
        </w:rPr>
        <w:t xml:space="preserve">he </w:t>
      </w:r>
      <w:r w:rsidR="00A54AB3">
        <w:rPr>
          <w:szCs w:val="22"/>
        </w:rPr>
        <w:t xml:space="preserve">US </w:t>
      </w:r>
      <w:r>
        <w:rPr>
          <w:szCs w:val="22"/>
        </w:rPr>
        <w:t>E</w:t>
      </w:r>
      <w:r w:rsidRPr="00B41630">
        <w:rPr>
          <w:szCs w:val="22"/>
        </w:rPr>
        <w:t>nvironmental Protection Agency (</w:t>
      </w:r>
      <w:r>
        <w:rPr>
          <w:szCs w:val="22"/>
        </w:rPr>
        <w:t xml:space="preserve">US </w:t>
      </w:r>
      <w:r w:rsidRPr="00B41630">
        <w:rPr>
          <w:szCs w:val="22"/>
        </w:rPr>
        <w:t xml:space="preserve">EPA) and the </w:t>
      </w:r>
      <w:r w:rsidR="00A54AB3">
        <w:rPr>
          <w:szCs w:val="22"/>
        </w:rPr>
        <w:t xml:space="preserve">US </w:t>
      </w:r>
      <w:r w:rsidRPr="00B41630">
        <w:rPr>
          <w:szCs w:val="22"/>
        </w:rPr>
        <w:t xml:space="preserve">Department of Transportation’s National Highway Traffic Safety Administration (NHTSA) </w:t>
      </w:r>
      <w:r>
        <w:rPr>
          <w:szCs w:val="22"/>
        </w:rPr>
        <w:t xml:space="preserve">implemented a program to </w:t>
      </w:r>
      <w:r w:rsidRPr="00B41630">
        <w:rPr>
          <w:szCs w:val="22"/>
        </w:rPr>
        <w:t xml:space="preserve">reduce greenhouse gas emissions and improve fuel economy for </w:t>
      </w:r>
      <w:r w:rsidR="00D05BA5" w:rsidRPr="00B41630">
        <w:rPr>
          <w:szCs w:val="22"/>
        </w:rPr>
        <w:t>light-duty vehicle</w:t>
      </w:r>
      <w:r w:rsidR="00D05BA5">
        <w:rPr>
          <w:szCs w:val="22"/>
        </w:rPr>
        <w:t>s</w:t>
      </w:r>
      <w:r w:rsidR="00D05BA5" w:rsidRPr="00B41630">
        <w:rPr>
          <w:szCs w:val="22"/>
        </w:rPr>
        <w:t xml:space="preserve"> </w:t>
      </w:r>
      <w:r w:rsidR="00D05BA5">
        <w:rPr>
          <w:szCs w:val="22"/>
        </w:rPr>
        <w:t xml:space="preserve">with </w:t>
      </w:r>
      <w:r w:rsidRPr="00B41630">
        <w:rPr>
          <w:szCs w:val="22"/>
        </w:rPr>
        <w:t>model years 2017 through 2025.</w:t>
      </w:r>
      <w:r>
        <w:rPr>
          <w:szCs w:val="22"/>
        </w:rPr>
        <w:t xml:space="preserve"> </w:t>
      </w:r>
      <w:r w:rsidR="00D05BA5">
        <w:rPr>
          <w:szCs w:val="22"/>
        </w:rPr>
        <w:t>This program induced many</w:t>
      </w:r>
      <w:r>
        <w:rPr>
          <w:szCs w:val="22"/>
        </w:rPr>
        <w:t xml:space="preserve"> automotive suppliers </w:t>
      </w:r>
      <w:r w:rsidR="00D05BA5">
        <w:rPr>
          <w:szCs w:val="22"/>
        </w:rPr>
        <w:t xml:space="preserve">to </w:t>
      </w:r>
      <w:r>
        <w:rPr>
          <w:szCs w:val="22"/>
        </w:rPr>
        <w:t xml:space="preserve">transition </w:t>
      </w:r>
      <w:r w:rsidR="00D05BA5">
        <w:rPr>
          <w:szCs w:val="22"/>
        </w:rPr>
        <w:t xml:space="preserve">mobile AC of effected vehicles </w:t>
      </w:r>
      <w:r>
        <w:rPr>
          <w:szCs w:val="22"/>
        </w:rPr>
        <w:t>to HFO</w:t>
      </w:r>
      <w:r w:rsidR="00D05BA5">
        <w:rPr>
          <w:szCs w:val="22"/>
        </w:rPr>
        <w:t xml:space="preserve">-1234yf </w:t>
      </w:r>
      <w:r>
        <w:rPr>
          <w:szCs w:val="22"/>
        </w:rPr>
        <w:t xml:space="preserve">to assist in achieving </w:t>
      </w:r>
      <w:r w:rsidR="00D05BA5">
        <w:rPr>
          <w:szCs w:val="22"/>
        </w:rPr>
        <w:t xml:space="preserve">the emission </w:t>
      </w:r>
      <w:r w:rsidR="009F5EAE">
        <w:rPr>
          <w:szCs w:val="22"/>
        </w:rPr>
        <w:t>targets</w:t>
      </w:r>
      <w:r>
        <w:rPr>
          <w:szCs w:val="22"/>
        </w:rPr>
        <w:t xml:space="preserve"> under this scheme.</w:t>
      </w:r>
    </w:p>
    <w:p w14:paraId="2292130B" w14:textId="63DBD28D" w:rsidR="00650D66" w:rsidRPr="0086637C" w:rsidRDefault="00650D66" w:rsidP="00650D66">
      <w:pPr>
        <w:rPr>
          <w:szCs w:val="22"/>
        </w:rPr>
      </w:pPr>
      <w:r w:rsidRPr="00B03D2E">
        <w:rPr>
          <w:szCs w:val="22"/>
        </w:rPr>
        <w:t xml:space="preserve">HFOs </w:t>
      </w:r>
      <w:r>
        <w:rPr>
          <w:szCs w:val="22"/>
        </w:rPr>
        <w:t>were</w:t>
      </w:r>
      <w:r w:rsidRPr="00B03D2E">
        <w:rPr>
          <w:szCs w:val="22"/>
        </w:rPr>
        <w:t xml:space="preserve"> predicted to enter the </w:t>
      </w:r>
      <w:r w:rsidR="00406B47">
        <w:rPr>
          <w:szCs w:val="22"/>
        </w:rPr>
        <w:t xml:space="preserve">Australian </w:t>
      </w:r>
      <w:r w:rsidRPr="00B03D2E">
        <w:rPr>
          <w:szCs w:val="22"/>
        </w:rPr>
        <w:t>market around 2015 as import</w:t>
      </w:r>
      <w:r>
        <w:rPr>
          <w:szCs w:val="22"/>
        </w:rPr>
        <w:t xml:space="preserve">s of new </w:t>
      </w:r>
      <w:r w:rsidRPr="00B03D2E">
        <w:rPr>
          <w:szCs w:val="22"/>
        </w:rPr>
        <w:t>vehicles charged with HFO-1234yf arrive</w:t>
      </w:r>
      <w:r>
        <w:rPr>
          <w:szCs w:val="22"/>
        </w:rPr>
        <w:t>d</w:t>
      </w:r>
      <w:r w:rsidRPr="00B03D2E">
        <w:rPr>
          <w:szCs w:val="22"/>
        </w:rPr>
        <w:t xml:space="preserve"> in Australia and some early adopters t</w:t>
      </w:r>
      <w:r>
        <w:rPr>
          <w:szCs w:val="22"/>
        </w:rPr>
        <w:t>ook</w:t>
      </w:r>
      <w:r w:rsidRPr="00B03D2E">
        <w:rPr>
          <w:szCs w:val="22"/>
        </w:rPr>
        <w:t xml:space="preserve"> up HFOs in some stationary applications. It </w:t>
      </w:r>
      <w:r>
        <w:rPr>
          <w:szCs w:val="22"/>
        </w:rPr>
        <w:t>w</w:t>
      </w:r>
      <w:r w:rsidRPr="00B03D2E">
        <w:rPr>
          <w:szCs w:val="22"/>
        </w:rPr>
        <w:t xml:space="preserve">as noted </w:t>
      </w:r>
      <w:r>
        <w:rPr>
          <w:szCs w:val="22"/>
        </w:rPr>
        <w:t xml:space="preserve">at the time </w:t>
      </w:r>
      <w:r w:rsidRPr="00B03D2E">
        <w:rPr>
          <w:szCs w:val="22"/>
        </w:rPr>
        <w:t>that a significant proportion of HFC-134a charged applications could potentially use HFOs if the</w:t>
      </w:r>
      <w:r>
        <w:rPr>
          <w:szCs w:val="22"/>
        </w:rPr>
        <w:t xml:space="preserve"> refrigerants</w:t>
      </w:r>
      <w:r w:rsidRPr="00B03D2E">
        <w:rPr>
          <w:szCs w:val="22"/>
        </w:rPr>
        <w:t xml:space="preserve"> were at least comparable in price, and if the HFC-134a equipment </w:t>
      </w:r>
      <w:r w:rsidR="00FE74F2">
        <w:rPr>
          <w:szCs w:val="22"/>
        </w:rPr>
        <w:t>was</w:t>
      </w:r>
      <w:r w:rsidRPr="00B03D2E">
        <w:rPr>
          <w:szCs w:val="22"/>
        </w:rPr>
        <w:t xml:space="preserve"> </w:t>
      </w:r>
      <w:r w:rsidR="00DE7230">
        <w:rPr>
          <w:szCs w:val="22"/>
        </w:rPr>
        <w:t xml:space="preserve">redesigned to account for the higher flammability of the HFO replacement. </w:t>
      </w:r>
      <w:r w:rsidRPr="00B03D2E">
        <w:rPr>
          <w:szCs w:val="22"/>
        </w:rPr>
        <w:t xml:space="preserve"> </w:t>
      </w:r>
      <w:r>
        <w:rPr>
          <w:szCs w:val="22"/>
        </w:rPr>
        <w:t xml:space="preserve"> </w:t>
      </w:r>
    </w:p>
    <w:p w14:paraId="58F145B7" w14:textId="42C2F5A3" w:rsidR="00650D66" w:rsidRPr="0086637C" w:rsidRDefault="00650D66" w:rsidP="00650D66">
      <w:pPr>
        <w:rPr>
          <w:szCs w:val="22"/>
        </w:rPr>
      </w:pPr>
      <w:r w:rsidRPr="0086637C">
        <w:rPr>
          <w:szCs w:val="22"/>
        </w:rPr>
        <w:t xml:space="preserve">The species that </w:t>
      </w:r>
      <w:r>
        <w:rPr>
          <w:szCs w:val="22"/>
        </w:rPr>
        <w:t>was</w:t>
      </w:r>
      <w:r w:rsidRPr="0086637C">
        <w:rPr>
          <w:szCs w:val="22"/>
        </w:rPr>
        <w:t xml:space="preserve"> expected to be </w:t>
      </w:r>
      <w:r>
        <w:rPr>
          <w:szCs w:val="22"/>
        </w:rPr>
        <w:t>most widely employed by 2016, primarily in MAC, wa</w:t>
      </w:r>
      <w:r w:rsidRPr="0086637C">
        <w:rPr>
          <w:szCs w:val="22"/>
        </w:rPr>
        <w:t xml:space="preserve">s HFO-1234yf with </w:t>
      </w:r>
      <w:r w:rsidRPr="00821034">
        <w:rPr>
          <w:szCs w:val="22"/>
        </w:rPr>
        <w:t xml:space="preserve">a GWP of </w:t>
      </w:r>
      <w:r w:rsidR="00821034" w:rsidRPr="00821034">
        <w:rPr>
          <w:szCs w:val="22"/>
        </w:rPr>
        <w:t>5</w:t>
      </w:r>
      <w:r w:rsidRPr="0086637C">
        <w:rPr>
          <w:szCs w:val="22"/>
        </w:rPr>
        <w:t>.</w:t>
      </w:r>
      <w:r w:rsidR="00821034">
        <w:rPr>
          <w:rStyle w:val="FootnoteReference"/>
          <w:szCs w:val="22"/>
        </w:rPr>
        <w:footnoteReference w:id="50"/>
      </w:r>
      <w:r w:rsidRPr="0086637C">
        <w:rPr>
          <w:szCs w:val="22"/>
        </w:rPr>
        <w:t xml:space="preserve"> As well as being marketed for use in mobile air conditioning systems, HFO-1234yf </w:t>
      </w:r>
      <w:r>
        <w:rPr>
          <w:szCs w:val="22"/>
        </w:rPr>
        <w:t xml:space="preserve">was </w:t>
      </w:r>
      <w:r w:rsidRPr="0086637C">
        <w:rPr>
          <w:szCs w:val="22"/>
        </w:rPr>
        <w:t xml:space="preserve">promoted by international suppliers as being suitable </w:t>
      </w:r>
      <w:r>
        <w:rPr>
          <w:szCs w:val="22"/>
        </w:rPr>
        <w:t xml:space="preserve">for </w:t>
      </w:r>
      <w:r w:rsidRPr="0086637C">
        <w:rPr>
          <w:szCs w:val="22"/>
        </w:rPr>
        <w:t>beverage vending machines and domestic refrigeration.</w:t>
      </w:r>
    </w:p>
    <w:p w14:paraId="6555FC1C" w14:textId="0FDBA0CC" w:rsidR="00D05BA5" w:rsidRDefault="009F5EAE" w:rsidP="00650D66">
      <w:pPr>
        <w:rPr>
          <w:szCs w:val="22"/>
        </w:rPr>
      </w:pPr>
      <w:r>
        <w:rPr>
          <w:szCs w:val="22"/>
        </w:rPr>
        <w:t>However,</w:t>
      </w:r>
      <w:r w:rsidR="00650D66">
        <w:rPr>
          <w:szCs w:val="22"/>
        </w:rPr>
        <w:t xml:space="preserve"> this projection proved to be largely wrong with almost no HFOs being seen in the market in new cars by 2016, although some large auto service chains are equipped and ready to handle HFOs in MAC and wholesale suppliers are holding some stocks of HFOs. </w:t>
      </w:r>
      <w:r w:rsidR="00650D66" w:rsidRPr="00D6232E">
        <w:rPr>
          <w:szCs w:val="22"/>
        </w:rPr>
        <w:t>This situation is expected to change relatively quickly in the years ahead</w:t>
      </w:r>
      <w:r w:rsidR="00D05BA5">
        <w:rPr>
          <w:szCs w:val="22"/>
        </w:rPr>
        <w:t>.</w:t>
      </w:r>
    </w:p>
    <w:p w14:paraId="66617539" w14:textId="236A3C78" w:rsidR="00650D66" w:rsidRDefault="00650D66" w:rsidP="00650D66">
      <w:pPr>
        <w:rPr>
          <w:szCs w:val="22"/>
        </w:rPr>
      </w:pPr>
      <w:r>
        <w:rPr>
          <w:szCs w:val="22"/>
        </w:rPr>
        <w:t>While the introduction of HFO</w:t>
      </w:r>
      <w:r w:rsidRPr="00B03D2E">
        <w:rPr>
          <w:szCs w:val="22"/>
        </w:rPr>
        <w:t>-1234yf</w:t>
      </w:r>
      <w:r>
        <w:rPr>
          <w:szCs w:val="22"/>
        </w:rPr>
        <w:t xml:space="preserve"> in MAC has not progressed at the projected rates, large chiller manufacturers are now offering chiller models that employ HFO-1234ze (</w:t>
      </w:r>
      <w:r w:rsidRPr="00821034">
        <w:rPr>
          <w:szCs w:val="22"/>
        </w:rPr>
        <w:t xml:space="preserve">GWP </w:t>
      </w:r>
      <w:r w:rsidR="00314033" w:rsidRPr="00821034">
        <w:rPr>
          <w:szCs w:val="22"/>
        </w:rPr>
        <w:t xml:space="preserve">of </w:t>
      </w:r>
      <w:r w:rsidR="00821034" w:rsidRPr="00821034">
        <w:rPr>
          <w:szCs w:val="22"/>
        </w:rPr>
        <w:t>5</w:t>
      </w:r>
      <w:r w:rsidRPr="00821034">
        <w:rPr>
          <w:szCs w:val="22"/>
        </w:rPr>
        <w:t>),</w:t>
      </w:r>
      <w:r>
        <w:rPr>
          <w:szCs w:val="22"/>
        </w:rPr>
        <w:t xml:space="preserve"> although the impact of this development on the bank of HFC-134a employed in chillers, which are designed to have very long service lives, will take some years to be noticeable.</w:t>
      </w:r>
    </w:p>
    <w:p w14:paraId="43DAF428" w14:textId="3F6BE096" w:rsidR="00650D66" w:rsidRPr="00162F3A" w:rsidRDefault="00650D66" w:rsidP="00650D66">
      <w:pPr>
        <w:rPr>
          <w:szCs w:val="22"/>
        </w:rPr>
      </w:pPr>
      <w:r w:rsidRPr="0086637C">
        <w:rPr>
          <w:szCs w:val="22"/>
        </w:rPr>
        <w:t>Importantly</w:t>
      </w:r>
      <w:r w:rsidR="00372156">
        <w:rPr>
          <w:szCs w:val="22"/>
        </w:rPr>
        <w:t>,</w:t>
      </w:r>
      <w:r w:rsidRPr="0086637C">
        <w:rPr>
          <w:szCs w:val="22"/>
        </w:rPr>
        <w:t xml:space="preserve"> blends of both the HFOs with proprietary mixes of other gases, mostly blends of HFCs, are being trialled in stationary RAC applications. These new blends with GWPs of 200 to </w:t>
      </w:r>
      <w:r w:rsidR="00314033">
        <w:rPr>
          <w:szCs w:val="22"/>
        </w:rPr>
        <w:t>6</w:t>
      </w:r>
      <w:r w:rsidRPr="0086637C">
        <w:rPr>
          <w:szCs w:val="22"/>
        </w:rPr>
        <w:t>00 are still relatively high</w:t>
      </w:r>
      <w:r w:rsidR="00372156">
        <w:rPr>
          <w:szCs w:val="22"/>
        </w:rPr>
        <w:t xml:space="preserve"> GWPs</w:t>
      </w:r>
      <w:r w:rsidRPr="0086637C">
        <w:rPr>
          <w:szCs w:val="22"/>
        </w:rPr>
        <w:t xml:space="preserve"> but a great improvement on the current HFC refrigerants where the most common products have GWPs ranging from 1,300 to as high as 3,260.</w:t>
      </w:r>
    </w:p>
    <w:p w14:paraId="41D58450" w14:textId="45D9DEF0" w:rsidR="00650D66" w:rsidRPr="00DA668D" w:rsidRDefault="00650D66" w:rsidP="00650D66">
      <w:pPr>
        <w:rPr>
          <w:szCs w:val="22"/>
        </w:rPr>
      </w:pPr>
      <w:r w:rsidRPr="00DA668D">
        <w:rPr>
          <w:szCs w:val="22"/>
        </w:rPr>
        <w:t>CO</w:t>
      </w:r>
      <w:r w:rsidRPr="00DA668D">
        <w:rPr>
          <w:szCs w:val="22"/>
          <w:vertAlign w:val="subscript"/>
        </w:rPr>
        <w:t>2</w:t>
      </w:r>
      <w:r w:rsidRPr="00DA668D">
        <w:rPr>
          <w:szCs w:val="22"/>
        </w:rPr>
        <w:t xml:space="preserve"> and hydrocarbons were expected to grow to an equivalent tonnage of approximately 2,797 tonnes in 2017, or 6% of the total refrigerant bank. This prediction proved wrong, partly due to an overestimation of the volumes of HCs employed in the bank in 2012, but also due to </w:t>
      </w:r>
      <w:r w:rsidR="00314033">
        <w:rPr>
          <w:szCs w:val="22"/>
        </w:rPr>
        <w:t>t</w:t>
      </w:r>
      <w:r w:rsidRPr="00DA668D">
        <w:rPr>
          <w:szCs w:val="22"/>
        </w:rPr>
        <w:t xml:space="preserve">he much more rapid expansion of the bank of </w:t>
      </w:r>
      <w:r w:rsidR="005F35DA">
        <w:rPr>
          <w:szCs w:val="22"/>
        </w:rPr>
        <w:t>HFCs</w:t>
      </w:r>
      <w:r w:rsidRPr="00DA668D">
        <w:rPr>
          <w:szCs w:val="22"/>
        </w:rPr>
        <w:t xml:space="preserve">. As a </w:t>
      </w:r>
      <w:r w:rsidR="009F5EAE" w:rsidRPr="00DA668D">
        <w:rPr>
          <w:szCs w:val="22"/>
        </w:rPr>
        <w:t>result,</w:t>
      </w:r>
      <w:r w:rsidRPr="00DA668D">
        <w:rPr>
          <w:szCs w:val="22"/>
        </w:rPr>
        <w:t xml:space="preserve"> CHF3 estimates </w:t>
      </w:r>
      <w:r w:rsidRPr="0033573A">
        <w:rPr>
          <w:szCs w:val="22"/>
        </w:rPr>
        <w:t>that in 2016 CO</w:t>
      </w:r>
      <w:r w:rsidRPr="0033573A">
        <w:rPr>
          <w:szCs w:val="22"/>
          <w:vertAlign w:val="subscript"/>
        </w:rPr>
        <w:t>2</w:t>
      </w:r>
      <w:r w:rsidRPr="0033573A">
        <w:rPr>
          <w:szCs w:val="22"/>
        </w:rPr>
        <w:t xml:space="preserve"> and hydrocarbons had grown to an equivalent tonnage of approximately </w:t>
      </w:r>
      <w:r w:rsidR="0033573A" w:rsidRPr="0033573A">
        <w:rPr>
          <w:szCs w:val="22"/>
        </w:rPr>
        <w:t>700</w:t>
      </w:r>
      <w:r w:rsidR="00314033" w:rsidRPr="0033573A">
        <w:rPr>
          <w:szCs w:val="22"/>
        </w:rPr>
        <w:t xml:space="preserve"> actual tonnes </w:t>
      </w:r>
      <w:r w:rsidRPr="0033573A">
        <w:rPr>
          <w:szCs w:val="22"/>
        </w:rPr>
        <w:t>in 201</w:t>
      </w:r>
      <w:r w:rsidR="00114831" w:rsidRPr="0033573A">
        <w:rPr>
          <w:szCs w:val="22"/>
        </w:rPr>
        <w:t>6</w:t>
      </w:r>
      <w:r w:rsidRPr="0033573A">
        <w:rPr>
          <w:szCs w:val="22"/>
        </w:rPr>
        <w:t xml:space="preserve">, or </w:t>
      </w:r>
      <w:r w:rsidR="0033573A" w:rsidRPr="0033573A">
        <w:rPr>
          <w:szCs w:val="22"/>
        </w:rPr>
        <w:t>1.4</w:t>
      </w:r>
      <w:r w:rsidRPr="0033573A">
        <w:rPr>
          <w:szCs w:val="22"/>
        </w:rPr>
        <w:t>% of the total</w:t>
      </w:r>
      <w:r w:rsidRPr="00DA668D">
        <w:rPr>
          <w:szCs w:val="22"/>
        </w:rPr>
        <w:t xml:space="preserve"> refrigerant bank</w:t>
      </w:r>
      <w:r w:rsidR="00114831">
        <w:rPr>
          <w:szCs w:val="22"/>
        </w:rPr>
        <w:t xml:space="preserve">, and </w:t>
      </w:r>
      <w:r w:rsidR="00372156">
        <w:rPr>
          <w:szCs w:val="22"/>
        </w:rPr>
        <w:t xml:space="preserve">natural refrigerants are </w:t>
      </w:r>
      <w:r w:rsidR="00114831">
        <w:rPr>
          <w:szCs w:val="22"/>
        </w:rPr>
        <w:t xml:space="preserve">10% of the bank if we include the </w:t>
      </w:r>
      <w:r w:rsidR="0033573A">
        <w:rPr>
          <w:szCs w:val="22"/>
        </w:rPr>
        <w:t>estimated 4,800 tonnes of ammonia</w:t>
      </w:r>
      <w:r w:rsidR="00114831">
        <w:rPr>
          <w:szCs w:val="22"/>
        </w:rPr>
        <w:t>.</w:t>
      </w:r>
    </w:p>
    <w:p w14:paraId="3741CC7A" w14:textId="5F655129" w:rsidR="00650D66" w:rsidRPr="00D6232E" w:rsidRDefault="00650D66" w:rsidP="00650D66">
      <w:pPr>
        <w:rPr>
          <w:szCs w:val="22"/>
        </w:rPr>
      </w:pPr>
      <w:r w:rsidRPr="00D6232E">
        <w:rPr>
          <w:szCs w:val="22"/>
        </w:rPr>
        <w:t xml:space="preserve">At the time of conducting the research for CHF1 and CHF2, ammonia refrigerant had already been long established in most of the larger cold storage facilities, because of both the energy efficiency benefits it provides in large plant, and because of its low cost and ready availability. The focus of CHF1 and CHF2 was primarily on the use of synthetic greenhouse gas </w:t>
      </w:r>
      <w:r w:rsidR="0033573A" w:rsidRPr="00D6232E">
        <w:rPr>
          <w:szCs w:val="22"/>
        </w:rPr>
        <w:t>refrigerants and</w:t>
      </w:r>
      <w:r w:rsidRPr="00D6232E">
        <w:rPr>
          <w:szCs w:val="22"/>
        </w:rPr>
        <w:t xml:space="preserve"> including those parts of the stock of equipment where natural refrigerants were replacing </w:t>
      </w:r>
      <w:r w:rsidR="0033573A">
        <w:rPr>
          <w:szCs w:val="22"/>
        </w:rPr>
        <w:t>high GWP refrigerants</w:t>
      </w:r>
      <w:r w:rsidRPr="00D6232E">
        <w:rPr>
          <w:szCs w:val="22"/>
        </w:rPr>
        <w:t xml:space="preserve">. </w:t>
      </w:r>
    </w:p>
    <w:p w14:paraId="3C6916F3" w14:textId="2893BEAC" w:rsidR="00650D66" w:rsidRDefault="00650D66" w:rsidP="00650D66">
      <w:pPr>
        <w:rPr>
          <w:szCs w:val="22"/>
        </w:rPr>
      </w:pPr>
      <w:r w:rsidRPr="00D6232E">
        <w:rPr>
          <w:szCs w:val="22"/>
        </w:rPr>
        <w:t>As ammonia was not thought at the time to have a significant role in displacing SGGs, the full extent of ammonia refrigerant use was not reflected in the starting point of this illustration above (</w:t>
      </w:r>
      <w:r w:rsidRPr="00D6232E">
        <w:rPr>
          <w:i/>
          <w:szCs w:val="22"/>
        </w:rPr>
        <w:t xml:space="preserve">Figure </w:t>
      </w:r>
      <w:r w:rsidR="00036F8F">
        <w:rPr>
          <w:i/>
          <w:szCs w:val="22"/>
        </w:rPr>
        <w:t>1</w:t>
      </w:r>
      <w:r w:rsidR="00290841">
        <w:rPr>
          <w:i/>
          <w:szCs w:val="22"/>
        </w:rPr>
        <w:t>6</w:t>
      </w:r>
      <w:r w:rsidRPr="00D6232E">
        <w:rPr>
          <w:szCs w:val="22"/>
        </w:rPr>
        <w:t>), nor in projections of future refrigerant mix in the bank. Expected new uses of ammonia in applications outside cold storage facilities, such as in industrial process refrigeration, only represented 0.2</w:t>
      </w:r>
      <w:r w:rsidR="00C9319D">
        <w:rPr>
          <w:szCs w:val="22"/>
        </w:rPr>
        <w:t>%</w:t>
      </w:r>
      <w:r w:rsidRPr="00D6232E">
        <w:rPr>
          <w:szCs w:val="22"/>
        </w:rPr>
        <w:t xml:space="preserve"> of the bank, equating to approximately 89 tonnes of ammonia at the time, and was not visible on the scale of this illustration. Since that time use of ammonia in newer </w:t>
      </w:r>
      <w:r w:rsidR="00314033">
        <w:rPr>
          <w:szCs w:val="22"/>
        </w:rPr>
        <w:t>commercial r</w:t>
      </w:r>
      <w:r w:rsidRPr="00D6232E">
        <w:rPr>
          <w:szCs w:val="22"/>
        </w:rPr>
        <w:t xml:space="preserve">efrigeration </w:t>
      </w:r>
      <w:r w:rsidR="00314033">
        <w:rPr>
          <w:szCs w:val="22"/>
        </w:rPr>
        <w:t>applications</w:t>
      </w:r>
      <w:r w:rsidR="00372156">
        <w:rPr>
          <w:szCs w:val="22"/>
        </w:rPr>
        <w:t>,</w:t>
      </w:r>
      <w:r w:rsidR="00314033">
        <w:rPr>
          <w:szCs w:val="22"/>
        </w:rPr>
        <w:t xml:space="preserve"> larger than 3</w:t>
      </w:r>
      <w:r w:rsidRPr="00D6232E">
        <w:rPr>
          <w:szCs w:val="22"/>
        </w:rPr>
        <w:t>0</w:t>
      </w:r>
      <w:r w:rsidR="00314033">
        <w:rPr>
          <w:szCs w:val="22"/>
        </w:rPr>
        <w:t xml:space="preserve"> </w:t>
      </w:r>
      <w:r w:rsidRPr="00D6232E">
        <w:rPr>
          <w:szCs w:val="22"/>
        </w:rPr>
        <w:t>kW, has started to expand. This wider adoption of ammonia in areas of the cold food chain was not predicted in 2012.</w:t>
      </w:r>
    </w:p>
    <w:p w14:paraId="430A3E82" w14:textId="3BC073F6" w:rsidR="00FF1430" w:rsidRDefault="00FF1430" w:rsidP="00FF1430">
      <w:pPr>
        <w:spacing w:before="60"/>
        <w:rPr>
          <w:szCs w:val="22"/>
        </w:rPr>
      </w:pPr>
    </w:p>
    <w:p w14:paraId="612D6780" w14:textId="25E8901D" w:rsidR="00FF1430" w:rsidRDefault="00FF1430" w:rsidP="00FF1430">
      <w:pPr>
        <w:spacing w:before="60"/>
        <w:rPr>
          <w:szCs w:val="22"/>
        </w:rPr>
      </w:pPr>
    </w:p>
    <w:p w14:paraId="2F12334B" w14:textId="77777777" w:rsidR="00494690" w:rsidRDefault="00494690">
      <w:pPr>
        <w:spacing w:before="0"/>
        <w:jc w:val="left"/>
        <w:rPr>
          <w:rFonts w:ascii="Calibri" w:eastAsia="Times New Roman" w:hAnsi="Calibri" w:cs="Times New Roman"/>
          <w:b/>
          <w:bCs/>
          <w:kern w:val="32"/>
          <w:sz w:val="32"/>
          <w:szCs w:val="32"/>
          <w:lang w:val="en-US"/>
        </w:rPr>
      </w:pPr>
      <w:bookmarkStart w:id="93" w:name="_Toc494661755"/>
      <w:bookmarkStart w:id="94" w:name="_Toc500764394"/>
      <w:r>
        <w:br w:type="page"/>
      </w:r>
    </w:p>
    <w:p w14:paraId="546198A8" w14:textId="2B10657D" w:rsidR="00494690" w:rsidRDefault="00494690" w:rsidP="00494690">
      <w:pPr>
        <w:pStyle w:val="Heading1"/>
      </w:pPr>
      <w:bookmarkStart w:id="95" w:name="_Toc525141279"/>
      <w:r>
        <w:t>Natural r</w:t>
      </w:r>
      <w:r w:rsidRPr="0047253B">
        <w:t>efrigerant</w:t>
      </w:r>
      <w:r>
        <w:t>s</w:t>
      </w:r>
      <w:bookmarkEnd w:id="93"/>
      <w:bookmarkEnd w:id="94"/>
      <w:bookmarkEnd w:id="95"/>
    </w:p>
    <w:p w14:paraId="3F2A3A13" w14:textId="15F80094" w:rsidR="00494690" w:rsidRDefault="00494690" w:rsidP="00494690">
      <w:pPr>
        <w:rPr>
          <w:szCs w:val="22"/>
        </w:rPr>
      </w:pPr>
      <w:r>
        <w:rPr>
          <w:szCs w:val="22"/>
        </w:rPr>
        <w:t xml:space="preserve">The total mass of natural </w:t>
      </w:r>
      <w:r w:rsidRPr="00263A62">
        <w:rPr>
          <w:szCs w:val="22"/>
        </w:rPr>
        <w:t xml:space="preserve">refrigerants employed in the bank </w:t>
      </w:r>
      <w:r>
        <w:rPr>
          <w:szCs w:val="22"/>
        </w:rPr>
        <w:t xml:space="preserve">for </w:t>
      </w:r>
      <w:r w:rsidRPr="00263A62">
        <w:rPr>
          <w:szCs w:val="22"/>
        </w:rPr>
        <w:t xml:space="preserve">refrigeration and air conditioning would otherwise require approximately 5,400 tonnes of high GWP </w:t>
      </w:r>
      <w:r w:rsidR="00125BFF">
        <w:rPr>
          <w:szCs w:val="22"/>
        </w:rPr>
        <w:t xml:space="preserve">refrigerants </w:t>
      </w:r>
      <w:r>
        <w:rPr>
          <w:szCs w:val="22"/>
        </w:rPr>
        <w:t>to deliver the same amount of cooling services</w:t>
      </w:r>
      <w:r w:rsidRPr="00263A62">
        <w:rPr>
          <w:szCs w:val="22"/>
        </w:rPr>
        <w:t>, equivalent to as much as 8</w:t>
      </w:r>
      <w:r w:rsidR="00C9319D">
        <w:rPr>
          <w:szCs w:val="22"/>
        </w:rPr>
        <w:t>%</w:t>
      </w:r>
      <w:r>
        <w:rPr>
          <w:szCs w:val="22"/>
        </w:rPr>
        <w:t xml:space="preserve"> of the total</w:t>
      </w:r>
      <w:r w:rsidRPr="00263A62">
        <w:rPr>
          <w:szCs w:val="22"/>
        </w:rPr>
        <w:t xml:space="preserve"> GWP bank.</w:t>
      </w:r>
      <w:r>
        <w:rPr>
          <w:szCs w:val="22"/>
        </w:rPr>
        <w:t xml:space="preserve"> The physical tonnes of natural refrigerants employed in the bank w</w:t>
      </w:r>
      <w:r w:rsidR="00125BFF">
        <w:rPr>
          <w:szCs w:val="22"/>
        </w:rPr>
        <w:t>as</w:t>
      </w:r>
      <w:r>
        <w:rPr>
          <w:szCs w:val="22"/>
        </w:rPr>
        <w:t xml:space="preserve"> estimated at 4,800 tonnes in 2012.</w:t>
      </w:r>
    </w:p>
    <w:p w14:paraId="5202CAF6" w14:textId="009BC86C" w:rsidR="00494690" w:rsidRDefault="00494690" w:rsidP="00494690">
      <w:pPr>
        <w:rPr>
          <w:szCs w:val="22"/>
        </w:rPr>
      </w:pPr>
      <w:r>
        <w:rPr>
          <w:szCs w:val="22"/>
        </w:rPr>
        <w:t>G</w:t>
      </w:r>
      <w:r w:rsidRPr="00263A62">
        <w:rPr>
          <w:szCs w:val="22"/>
        </w:rPr>
        <w:t xml:space="preserve">rowth has been observed </w:t>
      </w:r>
      <w:r>
        <w:rPr>
          <w:szCs w:val="22"/>
        </w:rPr>
        <w:t>in the use of all natural refrigerants between 2012 and 2016</w:t>
      </w:r>
      <w:r w:rsidRPr="00263A62">
        <w:rPr>
          <w:szCs w:val="22"/>
        </w:rPr>
        <w:t xml:space="preserve">. </w:t>
      </w:r>
      <w:r>
        <w:rPr>
          <w:szCs w:val="22"/>
        </w:rPr>
        <w:t>The g</w:t>
      </w:r>
      <w:r w:rsidRPr="00263A62">
        <w:rPr>
          <w:szCs w:val="22"/>
        </w:rPr>
        <w:t>rowth is particularly notable in the use of CO</w:t>
      </w:r>
      <w:r w:rsidRPr="00263A62">
        <w:rPr>
          <w:szCs w:val="22"/>
          <w:vertAlign w:val="subscript"/>
        </w:rPr>
        <w:t>2</w:t>
      </w:r>
      <w:r w:rsidRPr="00263A62">
        <w:rPr>
          <w:szCs w:val="22"/>
        </w:rPr>
        <w:t xml:space="preserve"> </w:t>
      </w:r>
      <w:r>
        <w:rPr>
          <w:szCs w:val="22"/>
        </w:rPr>
        <w:t xml:space="preserve">(up 59%) driven by </w:t>
      </w:r>
      <w:r w:rsidRPr="00263A62">
        <w:rPr>
          <w:szCs w:val="22"/>
        </w:rPr>
        <w:t>cascade systems</w:t>
      </w:r>
      <w:r>
        <w:rPr>
          <w:szCs w:val="22"/>
        </w:rPr>
        <w:t xml:space="preserve"> in the supermarket industry</w:t>
      </w:r>
      <w:r w:rsidRPr="00263A62">
        <w:rPr>
          <w:szCs w:val="22"/>
        </w:rPr>
        <w:t xml:space="preserve">, and in hydrocarbons </w:t>
      </w:r>
      <w:r w:rsidR="007068E2">
        <w:rPr>
          <w:szCs w:val="22"/>
        </w:rPr>
        <w:t>(up 77%</w:t>
      </w:r>
      <w:r w:rsidR="007068E2" w:rsidRPr="00263A62">
        <w:rPr>
          <w:szCs w:val="22"/>
        </w:rPr>
        <w:t>)</w:t>
      </w:r>
      <w:r w:rsidR="007068E2">
        <w:rPr>
          <w:szCs w:val="22"/>
        </w:rPr>
        <w:t xml:space="preserve"> </w:t>
      </w:r>
      <w:r>
        <w:rPr>
          <w:szCs w:val="22"/>
        </w:rPr>
        <w:t xml:space="preserve">including </w:t>
      </w:r>
      <w:r w:rsidRPr="00263A62">
        <w:rPr>
          <w:szCs w:val="22"/>
        </w:rPr>
        <w:t>HC-600a, HC-290 and HC-436</w:t>
      </w:r>
      <w:r>
        <w:rPr>
          <w:szCs w:val="22"/>
        </w:rPr>
        <w:t xml:space="preserve"> due to penetration in domestic refrigeration and self-contained commercial refrigeration equipment and as a result of retrofitting of HCs in older mobile air conditioning systems. However, these two refrigerants were growing rapidly off very small banks in comparison to the overall bank of refrigerants.</w:t>
      </w:r>
    </w:p>
    <w:p w14:paraId="503113F6" w14:textId="23FA33BA" w:rsidR="00494690" w:rsidRDefault="00494690" w:rsidP="00494690">
      <w:pPr>
        <w:rPr>
          <w:szCs w:val="22"/>
        </w:rPr>
      </w:pPr>
      <w:r>
        <w:rPr>
          <w:szCs w:val="22"/>
        </w:rPr>
        <w:t xml:space="preserve">On the other hand, the bank of ammonia has seen comparatively slow growth, increasing 9% over the period. Applications employing ammonia refrigerant have been in wide use for decades, particularly in large cold stores and distributions centres in the refrigerated cold food chain. As such growth of the ammonia bank is starting from a relatively large base (as compared to the volumes of the other natural refrigerants in use). In line with the trend across most RAC systems, ammonia refrigeration systems are also being designed with smaller and smaller refrigerant charges. Thus, even while the energy services delivered by ammonia charged systems are increasing, the rate at which the bank of this zero GWP refrigerant has expanded has been slower than the </w:t>
      </w:r>
      <w:r w:rsidR="00372156">
        <w:rPr>
          <w:szCs w:val="22"/>
        </w:rPr>
        <w:t xml:space="preserve">rate of </w:t>
      </w:r>
      <w:r>
        <w:rPr>
          <w:szCs w:val="22"/>
        </w:rPr>
        <w:t>growth in refrigeration services delivered.</w:t>
      </w:r>
    </w:p>
    <w:p w14:paraId="05D7A0FC" w14:textId="77777777" w:rsidR="00494690" w:rsidRDefault="00494690" w:rsidP="00494690">
      <w:pPr>
        <w:rPr>
          <w:szCs w:val="22"/>
        </w:rPr>
      </w:pPr>
      <w:r>
        <w:rPr>
          <w:szCs w:val="22"/>
        </w:rPr>
        <w:t xml:space="preserve">Importantly, increased demand for ammonia charged systems from large end-users in the cold food chain has been somewhat constrained by the capacity of the RAC industry to design and deliver these systems. The design and engineering skills required are quite specialised. Like many complex niche technologies, increasing demand cannot necessarily be matched with readily available service providers due to the extensive technical expertise required to design, install and maintain this complex technology. Some of these skills can only be developed over many years of experience in the field. </w:t>
      </w:r>
    </w:p>
    <w:p w14:paraId="3C478424" w14:textId="77777777" w:rsidR="00494690" w:rsidRDefault="00494690" w:rsidP="00494690">
      <w:pPr>
        <w:rPr>
          <w:szCs w:val="22"/>
        </w:rPr>
      </w:pPr>
    </w:p>
    <w:p w14:paraId="1EA53372" w14:textId="7CDCCD84" w:rsidR="00494690" w:rsidRPr="000226CB" w:rsidRDefault="005A6A77" w:rsidP="005A6A77">
      <w:pPr>
        <w:pStyle w:val="Caption"/>
        <w:rPr>
          <w:i w:val="0"/>
          <w:szCs w:val="22"/>
        </w:rPr>
      </w:pPr>
      <w:bookmarkStart w:id="96" w:name="_Toc494118091"/>
      <w:bookmarkStart w:id="97" w:name="_Toc525141410"/>
      <w:r>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21</w:t>
      </w:r>
      <w:r w:rsidR="009D6843">
        <w:rPr>
          <w:noProof/>
        </w:rPr>
        <w:fldChar w:fldCharType="end"/>
      </w:r>
      <w:r w:rsidR="00494690" w:rsidRPr="000226CB">
        <w:rPr>
          <w:i w:val="0"/>
          <w:szCs w:val="22"/>
        </w:rPr>
        <w:t xml:space="preserve">: </w:t>
      </w:r>
      <w:r w:rsidR="00494690">
        <w:rPr>
          <w:i w:val="0"/>
          <w:szCs w:val="22"/>
        </w:rPr>
        <w:t>Low GWP refrigerant bank 2012 and 2016</w:t>
      </w:r>
      <w:r w:rsidR="00494690" w:rsidRPr="000226CB">
        <w:rPr>
          <w:i w:val="0"/>
          <w:szCs w:val="22"/>
        </w:rPr>
        <w:t xml:space="preserve"> in tonnes</w:t>
      </w:r>
      <w:bookmarkEnd w:id="96"/>
      <w:r w:rsidR="00494690">
        <w:rPr>
          <w:i w:val="0"/>
          <w:szCs w:val="22"/>
        </w:rPr>
        <w:t>.</w:t>
      </w:r>
      <w:bookmarkEnd w:id="97"/>
    </w:p>
    <w:tbl>
      <w:tblPr>
        <w:tblW w:w="9796" w:type="dxa"/>
        <w:tblInd w:w="-10" w:type="dxa"/>
        <w:tblLook w:val="04A0" w:firstRow="1" w:lastRow="0" w:firstColumn="1" w:lastColumn="0" w:noHBand="0" w:noVBand="1"/>
      </w:tblPr>
      <w:tblGrid>
        <w:gridCol w:w="2478"/>
        <w:gridCol w:w="2439"/>
        <w:gridCol w:w="2439"/>
        <w:gridCol w:w="2440"/>
      </w:tblGrid>
      <w:tr w:rsidR="00D6002F" w:rsidRPr="00D6002F" w14:paraId="4F3960C7" w14:textId="77777777" w:rsidTr="00D6002F">
        <w:trPr>
          <w:trHeight w:val="567"/>
        </w:trPr>
        <w:tc>
          <w:tcPr>
            <w:tcW w:w="2478" w:type="dxa"/>
            <w:tcBorders>
              <w:top w:val="single" w:sz="8" w:space="0" w:color="auto"/>
              <w:left w:val="single" w:sz="8" w:space="0" w:color="auto"/>
              <w:bottom w:val="single" w:sz="8" w:space="0" w:color="auto"/>
              <w:right w:val="single" w:sz="8" w:space="0" w:color="000000" w:themeColor="text1"/>
            </w:tcBorders>
            <w:shd w:val="clear" w:color="000000" w:fill="B6DDE8" w:themeFill="accent5" w:themeFillTint="66"/>
            <w:vAlign w:val="center"/>
            <w:hideMark/>
          </w:tcPr>
          <w:p w14:paraId="42B35223" w14:textId="77777777" w:rsidR="00494690" w:rsidRPr="00D6002F" w:rsidRDefault="00494690" w:rsidP="00D6002F">
            <w:pPr>
              <w:spacing w:after="120"/>
              <w:rPr>
                <w:rFonts w:eastAsia="Times New Roman" w:cs="Times New Roman"/>
                <w:color w:val="000000" w:themeColor="text1"/>
                <w:szCs w:val="22"/>
                <w:lang w:val="en-US"/>
              </w:rPr>
            </w:pPr>
            <w:r w:rsidRPr="00D6002F">
              <w:rPr>
                <w:rFonts w:eastAsia="Times New Roman" w:cs="Times New Roman"/>
                <w:color w:val="000000" w:themeColor="text1"/>
                <w:szCs w:val="22"/>
              </w:rPr>
              <w:t>Species</w:t>
            </w:r>
          </w:p>
        </w:tc>
        <w:tc>
          <w:tcPr>
            <w:tcW w:w="2439" w:type="dxa"/>
            <w:tcBorders>
              <w:top w:val="single" w:sz="8" w:space="0" w:color="auto"/>
              <w:left w:val="single" w:sz="8" w:space="0" w:color="000000" w:themeColor="text1"/>
              <w:bottom w:val="single" w:sz="8" w:space="0" w:color="auto"/>
              <w:right w:val="single" w:sz="8" w:space="0" w:color="000000" w:themeColor="text1"/>
            </w:tcBorders>
            <w:shd w:val="clear" w:color="000000" w:fill="B6DDE8" w:themeFill="accent5" w:themeFillTint="66"/>
            <w:vAlign w:val="center"/>
            <w:hideMark/>
          </w:tcPr>
          <w:p w14:paraId="7462EB9E" w14:textId="77777777" w:rsidR="00494690" w:rsidRPr="00D6002F" w:rsidRDefault="00494690" w:rsidP="00D6002F">
            <w:pPr>
              <w:spacing w:after="120"/>
              <w:jc w:val="center"/>
              <w:rPr>
                <w:rFonts w:eastAsia="Times New Roman" w:cs="Times New Roman"/>
                <w:color w:val="000000" w:themeColor="text1"/>
                <w:szCs w:val="22"/>
                <w:lang w:val="en-US"/>
              </w:rPr>
            </w:pPr>
            <w:r w:rsidRPr="00D6002F">
              <w:rPr>
                <w:rFonts w:eastAsia="Times New Roman" w:cs="Times New Roman"/>
                <w:color w:val="000000" w:themeColor="text1"/>
                <w:szCs w:val="22"/>
              </w:rPr>
              <w:t>Bank 2012           (Tonnes)</w:t>
            </w:r>
          </w:p>
        </w:tc>
        <w:tc>
          <w:tcPr>
            <w:tcW w:w="2439" w:type="dxa"/>
            <w:tcBorders>
              <w:top w:val="single" w:sz="8" w:space="0" w:color="auto"/>
              <w:left w:val="single" w:sz="8" w:space="0" w:color="000000" w:themeColor="text1"/>
              <w:bottom w:val="single" w:sz="8" w:space="0" w:color="auto"/>
              <w:right w:val="single" w:sz="8" w:space="0" w:color="000000" w:themeColor="text1"/>
            </w:tcBorders>
            <w:shd w:val="clear" w:color="000000" w:fill="B6DDE8" w:themeFill="accent5" w:themeFillTint="66"/>
            <w:vAlign w:val="center"/>
            <w:hideMark/>
          </w:tcPr>
          <w:p w14:paraId="11F6039D" w14:textId="77777777" w:rsidR="00494690" w:rsidRPr="00D6002F" w:rsidRDefault="00494690" w:rsidP="00D6002F">
            <w:pPr>
              <w:spacing w:after="120"/>
              <w:jc w:val="center"/>
              <w:rPr>
                <w:rFonts w:eastAsia="Times New Roman" w:cs="Times New Roman"/>
                <w:color w:val="000000" w:themeColor="text1"/>
                <w:szCs w:val="22"/>
                <w:lang w:val="en-US"/>
              </w:rPr>
            </w:pPr>
            <w:r w:rsidRPr="00D6002F">
              <w:rPr>
                <w:rFonts w:eastAsia="Times New Roman" w:cs="Times New Roman"/>
                <w:color w:val="000000" w:themeColor="text1"/>
                <w:szCs w:val="22"/>
                <w:lang w:val="en-US"/>
              </w:rPr>
              <w:t>Bank 2016         (Tonnes)</w:t>
            </w:r>
          </w:p>
        </w:tc>
        <w:tc>
          <w:tcPr>
            <w:tcW w:w="2440" w:type="dxa"/>
            <w:tcBorders>
              <w:top w:val="single" w:sz="8" w:space="0" w:color="auto"/>
              <w:left w:val="single" w:sz="8" w:space="0" w:color="000000" w:themeColor="text1"/>
              <w:bottom w:val="single" w:sz="8" w:space="0" w:color="auto"/>
              <w:right w:val="single" w:sz="8" w:space="0" w:color="auto"/>
            </w:tcBorders>
            <w:shd w:val="clear" w:color="000000" w:fill="B6DDE8" w:themeFill="accent5" w:themeFillTint="66"/>
            <w:vAlign w:val="center"/>
            <w:hideMark/>
          </w:tcPr>
          <w:p w14:paraId="25F55137" w14:textId="77777777" w:rsidR="00494690" w:rsidRPr="00D6002F" w:rsidRDefault="00494690" w:rsidP="00D6002F">
            <w:pPr>
              <w:spacing w:after="120"/>
              <w:jc w:val="center"/>
              <w:rPr>
                <w:rFonts w:eastAsia="Times New Roman" w:cs="Times New Roman"/>
                <w:color w:val="000000" w:themeColor="text1"/>
                <w:szCs w:val="22"/>
                <w:lang w:val="en-US"/>
              </w:rPr>
            </w:pPr>
            <w:r w:rsidRPr="00D6002F">
              <w:rPr>
                <w:rFonts w:eastAsia="Times New Roman" w:cs="Times New Roman"/>
                <w:color w:val="000000" w:themeColor="text1"/>
                <w:szCs w:val="22"/>
                <w:lang w:val="en-US"/>
              </w:rPr>
              <w:t>Change (%)</w:t>
            </w:r>
          </w:p>
        </w:tc>
      </w:tr>
      <w:tr w:rsidR="00494690" w:rsidRPr="00F2408B" w14:paraId="03BE78F7" w14:textId="77777777" w:rsidTr="000F7A90">
        <w:trPr>
          <w:trHeight w:val="567"/>
        </w:trPr>
        <w:tc>
          <w:tcPr>
            <w:tcW w:w="2478" w:type="dxa"/>
            <w:tcBorders>
              <w:top w:val="nil"/>
              <w:left w:val="single" w:sz="8" w:space="0" w:color="000000"/>
              <w:bottom w:val="single" w:sz="8" w:space="0" w:color="000000"/>
              <w:right w:val="single" w:sz="8" w:space="0" w:color="000000"/>
            </w:tcBorders>
            <w:shd w:val="clear" w:color="auto" w:fill="auto"/>
            <w:vAlign w:val="center"/>
            <w:hideMark/>
          </w:tcPr>
          <w:p w14:paraId="67429C2A" w14:textId="77777777" w:rsidR="00494690" w:rsidRPr="00F2408B" w:rsidRDefault="00494690" w:rsidP="000F7A90">
            <w:pPr>
              <w:spacing w:before="0"/>
              <w:rPr>
                <w:rFonts w:eastAsia="Times New Roman" w:cs="Times New Roman"/>
                <w:color w:val="000000"/>
                <w:szCs w:val="22"/>
                <w:lang w:val="en-US"/>
              </w:rPr>
            </w:pPr>
            <w:r w:rsidRPr="00F2408B">
              <w:rPr>
                <w:rFonts w:eastAsia="Times New Roman" w:cs="Times New Roman"/>
                <w:color w:val="000000"/>
                <w:szCs w:val="22"/>
              </w:rPr>
              <w:t>CO</w:t>
            </w:r>
            <w:r w:rsidRPr="00F2408B">
              <w:rPr>
                <w:rFonts w:eastAsia="Times New Roman" w:cs="Times New Roman"/>
                <w:color w:val="000000"/>
                <w:szCs w:val="22"/>
                <w:vertAlign w:val="subscript"/>
              </w:rPr>
              <w:t>2</w:t>
            </w:r>
          </w:p>
        </w:tc>
        <w:tc>
          <w:tcPr>
            <w:tcW w:w="2439" w:type="dxa"/>
            <w:tcBorders>
              <w:top w:val="nil"/>
              <w:left w:val="nil"/>
              <w:bottom w:val="single" w:sz="8" w:space="0" w:color="000000"/>
              <w:right w:val="single" w:sz="8" w:space="0" w:color="000000"/>
            </w:tcBorders>
            <w:shd w:val="clear" w:color="auto" w:fill="auto"/>
            <w:vAlign w:val="center"/>
            <w:hideMark/>
          </w:tcPr>
          <w:p w14:paraId="016DEA5A"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rPr>
              <w:t>80</w:t>
            </w:r>
          </w:p>
        </w:tc>
        <w:tc>
          <w:tcPr>
            <w:tcW w:w="2439" w:type="dxa"/>
            <w:tcBorders>
              <w:top w:val="nil"/>
              <w:left w:val="nil"/>
              <w:bottom w:val="single" w:sz="8" w:space="0" w:color="000000"/>
              <w:right w:val="single" w:sz="8" w:space="0" w:color="000000"/>
            </w:tcBorders>
            <w:shd w:val="clear" w:color="auto" w:fill="auto"/>
            <w:vAlign w:val="center"/>
            <w:hideMark/>
          </w:tcPr>
          <w:p w14:paraId="70C4322B"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lang w:val="en-US"/>
              </w:rPr>
              <w:t> </w:t>
            </w:r>
            <w:r>
              <w:rPr>
                <w:rFonts w:eastAsia="Times New Roman" w:cs="Times New Roman"/>
                <w:color w:val="000000"/>
                <w:szCs w:val="22"/>
                <w:lang w:val="en-US"/>
              </w:rPr>
              <w:t>127</w:t>
            </w:r>
          </w:p>
        </w:tc>
        <w:tc>
          <w:tcPr>
            <w:tcW w:w="2440" w:type="dxa"/>
            <w:tcBorders>
              <w:top w:val="nil"/>
              <w:left w:val="nil"/>
              <w:bottom w:val="single" w:sz="8" w:space="0" w:color="000000"/>
              <w:right w:val="single" w:sz="8" w:space="0" w:color="000000"/>
            </w:tcBorders>
            <w:shd w:val="clear" w:color="auto" w:fill="auto"/>
            <w:vAlign w:val="center"/>
            <w:hideMark/>
          </w:tcPr>
          <w:p w14:paraId="31C593A9"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lang w:val="en-US"/>
              </w:rPr>
              <w:t> </w:t>
            </w:r>
            <w:r>
              <w:rPr>
                <w:rFonts w:eastAsia="Times New Roman" w:cs="Times New Roman"/>
                <w:color w:val="000000"/>
                <w:szCs w:val="22"/>
                <w:lang w:val="en-US"/>
              </w:rPr>
              <w:t>59%</w:t>
            </w:r>
          </w:p>
        </w:tc>
      </w:tr>
      <w:tr w:rsidR="00494690" w:rsidRPr="00F2408B" w14:paraId="55081E9B" w14:textId="77777777" w:rsidTr="000F7A90">
        <w:trPr>
          <w:trHeight w:val="567"/>
        </w:trPr>
        <w:tc>
          <w:tcPr>
            <w:tcW w:w="2478" w:type="dxa"/>
            <w:tcBorders>
              <w:top w:val="nil"/>
              <w:left w:val="single" w:sz="8" w:space="0" w:color="000000"/>
              <w:bottom w:val="single" w:sz="8" w:space="0" w:color="000000"/>
              <w:right w:val="single" w:sz="8" w:space="0" w:color="000000"/>
            </w:tcBorders>
            <w:shd w:val="clear" w:color="auto" w:fill="auto"/>
            <w:vAlign w:val="center"/>
            <w:hideMark/>
          </w:tcPr>
          <w:p w14:paraId="3D33428B" w14:textId="77777777" w:rsidR="00494690" w:rsidRPr="00F2408B" w:rsidRDefault="00494690" w:rsidP="000F7A90">
            <w:pPr>
              <w:spacing w:before="0"/>
              <w:rPr>
                <w:rFonts w:eastAsia="Times New Roman" w:cs="Times New Roman"/>
                <w:color w:val="000000"/>
                <w:szCs w:val="22"/>
                <w:lang w:val="en-US"/>
              </w:rPr>
            </w:pPr>
            <w:r w:rsidRPr="00F2408B">
              <w:rPr>
                <w:rFonts w:eastAsia="Times New Roman" w:cs="Times New Roman"/>
                <w:color w:val="000000"/>
                <w:szCs w:val="22"/>
              </w:rPr>
              <w:t>Ammonia (R717)</w:t>
            </w:r>
          </w:p>
        </w:tc>
        <w:tc>
          <w:tcPr>
            <w:tcW w:w="2439" w:type="dxa"/>
            <w:tcBorders>
              <w:top w:val="nil"/>
              <w:left w:val="nil"/>
              <w:bottom w:val="single" w:sz="8" w:space="0" w:color="000000"/>
              <w:right w:val="single" w:sz="8" w:space="0" w:color="000000"/>
            </w:tcBorders>
            <w:shd w:val="clear" w:color="auto" w:fill="auto"/>
            <w:vAlign w:val="center"/>
            <w:hideMark/>
          </w:tcPr>
          <w:p w14:paraId="728CABC7"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rPr>
              <w:t>4,400</w:t>
            </w:r>
          </w:p>
        </w:tc>
        <w:tc>
          <w:tcPr>
            <w:tcW w:w="2439" w:type="dxa"/>
            <w:tcBorders>
              <w:top w:val="nil"/>
              <w:left w:val="nil"/>
              <w:bottom w:val="single" w:sz="8" w:space="0" w:color="000000"/>
              <w:right w:val="single" w:sz="8" w:space="0" w:color="000000"/>
            </w:tcBorders>
            <w:shd w:val="clear" w:color="auto" w:fill="auto"/>
            <w:vAlign w:val="center"/>
            <w:hideMark/>
          </w:tcPr>
          <w:p w14:paraId="19A6F6F8"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lang w:val="en-US"/>
              </w:rPr>
              <w:t> </w:t>
            </w:r>
            <w:r>
              <w:rPr>
                <w:rFonts w:eastAsia="Times New Roman" w:cs="Times New Roman"/>
                <w:color w:val="000000"/>
                <w:szCs w:val="22"/>
                <w:lang w:val="en-US"/>
              </w:rPr>
              <w:t>4,800</w:t>
            </w:r>
          </w:p>
        </w:tc>
        <w:tc>
          <w:tcPr>
            <w:tcW w:w="2440" w:type="dxa"/>
            <w:tcBorders>
              <w:top w:val="nil"/>
              <w:left w:val="nil"/>
              <w:bottom w:val="single" w:sz="8" w:space="0" w:color="000000"/>
              <w:right w:val="single" w:sz="8" w:space="0" w:color="000000"/>
            </w:tcBorders>
            <w:shd w:val="clear" w:color="auto" w:fill="auto"/>
            <w:vAlign w:val="center"/>
            <w:hideMark/>
          </w:tcPr>
          <w:p w14:paraId="355D3D5E"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lang w:val="en-US"/>
              </w:rPr>
              <w:t> </w:t>
            </w:r>
            <w:r>
              <w:rPr>
                <w:rFonts w:eastAsia="Times New Roman" w:cs="Times New Roman"/>
                <w:color w:val="000000"/>
                <w:szCs w:val="22"/>
                <w:lang w:val="en-US"/>
              </w:rPr>
              <w:t>9%</w:t>
            </w:r>
          </w:p>
        </w:tc>
      </w:tr>
      <w:tr w:rsidR="00494690" w:rsidRPr="00F2408B" w14:paraId="77235D14" w14:textId="77777777" w:rsidTr="000F7A90">
        <w:trPr>
          <w:trHeight w:val="567"/>
        </w:trPr>
        <w:tc>
          <w:tcPr>
            <w:tcW w:w="2478" w:type="dxa"/>
            <w:tcBorders>
              <w:top w:val="nil"/>
              <w:left w:val="single" w:sz="8" w:space="0" w:color="000000"/>
              <w:bottom w:val="single" w:sz="8" w:space="0" w:color="000000"/>
              <w:right w:val="single" w:sz="8" w:space="0" w:color="000000"/>
            </w:tcBorders>
            <w:shd w:val="clear" w:color="auto" w:fill="auto"/>
            <w:vAlign w:val="center"/>
            <w:hideMark/>
          </w:tcPr>
          <w:p w14:paraId="338B09E2" w14:textId="77777777" w:rsidR="00494690" w:rsidRPr="00F2408B" w:rsidRDefault="00494690" w:rsidP="000F7A90">
            <w:pPr>
              <w:spacing w:before="0"/>
              <w:rPr>
                <w:rFonts w:eastAsia="Times New Roman" w:cs="Times New Roman"/>
                <w:color w:val="000000"/>
                <w:szCs w:val="22"/>
                <w:lang w:val="en-US"/>
              </w:rPr>
            </w:pPr>
            <w:r w:rsidRPr="00F2408B">
              <w:rPr>
                <w:rFonts w:eastAsia="Times New Roman" w:cs="Times New Roman"/>
                <w:color w:val="000000"/>
                <w:szCs w:val="22"/>
              </w:rPr>
              <w:t>Hydrocarbons</w:t>
            </w:r>
          </w:p>
        </w:tc>
        <w:tc>
          <w:tcPr>
            <w:tcW w:w="2439" w:type="dxa"/>
            <w:tcBorders>
              <w:top w:val="nil"/>
              <w:left w:val="nil"/>
              <w:bottom w:val="single" w:sz="8" w:space="0" w:color="000000"/>
              <w:right w:val="single" w:sz="8" w:space="0" w:color="000000"/>
            </w:tcBorders>
            <w:shd w:val="clear" w:color="auto" w:fill="auto"/>
            <w:vAlign w:val="center"/>
            <w:hideMark/>
          </w:tcPr>
          <w:p w14:paraId="7806FA51"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rPr>
              <w:t>320</w:t>
            </w:r>
          </w:p>
        </w:tc>
        <w:tc>
          <w:tcPr>
            <w:tcW w:w="2439" w:type="dxa"/>
            <w:tcBorders>
              <w:top w:val="nil"/>
              <w:left w:val="nil"/>
              <w:bottom w:val="single" w:sz="8" w:space="0" w:color="000000"/>
              <w:right w:val="single" w:sz="8" w:space="0" w:color="000000"/>
            </w:tcBorders>
            <w:shd w:val="clear" w:color="auto" w:fill="auto"/>
            <w:vAlign w:val="center"/>
            <w:hideMark/>
          </w:tcPr>
          <w:p w14:paraId="3EBDDFC0" w14:textId="77777777" w:rsidR="00494690" w:rsidRPr="00F2408B" w:rsidRDefault="00494690" w:rsidP="000F7A90">
            <w:pPr>
              <w:spacing w:before="0"/>
              <w:jc w:val="center"/>
              <w:rPr>
                <w:rFonts w:eastAsia="Times New Roman" w:cs="Times New Roman"/>
                <w:color w:val="000000"/>
                <w:szCs w:val="22"/>
                <w:lang w:val="en-US"/>
              </w:rPr>
            </w:pPr>
            <w:r>
              <w:rPr>
                <w:rFonts w:eastAsia="Times New Roman" w:cs="Times New Roman"/>
                <w:color w:val="000000"/>
                <w:szCs w:val="22"/>
                <w:lang w:val="en-US"/>
              </w:rPr>
              <w:t>566</w:t>
            </w:r>
          </w:p>
        </w:tc>
        <w:tc>
          <w:tcPr>
            <w:tcW w:w="2440" w:type="dxa"/>
            <w:tcBorders>
              <w:top w:val="nil"/>
              <w:left w:val="nil"/>
              <w:bottom w:val="single" w:sz="8" w:space="0" w:color="000000"/>
              <w:right w:val="single" w:sz="8" w:space="0" w:color="000000"/>
            </w:tcBorders>
            <w:shd w:val="clear" w:color="auto" w:fill="auto"/>
            <w:vAlign w:val="center"/>
            <w:hideMark/>
          </w:tcPr>
          <w:p w14:paraId="153D9900"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lang w:val="en-US"/>
              </w:rPr>
              <w:t> </w:t>
            </w:r>
            <w:r>
              <w:rPr>
                <w:rFonts w:eastAsia="Times New Roman" w:cs="Times New Roman"/>
                <w:color w:val="000000"/>
                <w:szCs w:val="22"/>
                <w:lang w:val="en-US"/>
              </w:rPr>
              <w:t>77%</w:t>
            </w:r>
          </w:p>
        </w:tc>
      </w:tr>
      <w:tr w:rsidR="00494690" w:rsidRPr="00F2408B" w14:paraId="1851D56D" w14:textId="77777777" w:rsidTr="000F7A90">
        <w:trPr>
          <w:trHeight w:val="567"/>
        </w:trPr>
        <w:tc>
          <w:tcPr>
            <w:tcW w:w="2478" w:type="dxa"/>
            <w:tcBorders>
              <w:top w:val="nil"/>
              <w:left w:val="single" w:sz="8" w:space="0" w:color="000000"/>
              <w:bottom w:val="single" w:sz="8" w:space="0" w:color="000000"/>
              <w:right w:val="single" w:sz="8" w:space="0" w:color="000000"/>
            </w:tcBorders>
            <w:shd w:val="clear" w:color="auto" w:fill="auto"/>
            <w:vAlign w:val="center"/>
            <w:hideMark/>
          </w:tcPr>
          <w:p w14:paraId="22B6BE6E" w14:textId="77777777" w:rsidR="00494690" w:rsidRPr="00F2408B" w:rsidRDefault="00494690" w:rsidP="000F7A90">
            <w:pPr>
              <w:spacing w:before="0"/>
              <w:rPr>
                <w:rFonts w:eastAsia="Times New Roman" w:cs="Times New Roman"/>
                <w:color w:val="000000"/>
                <w:szCs w:val="22"/>
                <w:lang w:val="en-US"/>
              </w:rPr>
            </w:pPr>
            <w:r w:rsidRPr="00F2408B">
              <w:rPr>
                <w:rFonts w:eastAsia="Times New Roman" w:cs="Times New Roman"/>
                <w:color w:val="000000"/>
                <w:szCs w:val="22"/>
              </w:rPr>
              <w:t xml:space="preserve">Total </w:t>
            </w:r>
            <w:r w:rsidRPr="00F2408B">
              <w:rPr>
                <w:rFonts w:eastAsia="Times New Roman" w:cs="Times New Roman"/>
                <w:color w:val="000000"/>
                <w:sz w:val="20"/>
                <w:szCs w:val="20"/>
                <w:vertAlign w:val="superscript"/>
              </w:rPr>
              <w:t>(1)</w:t>
            </w:r>
          </w:p>
        </w:tc>
        <w:tc>
          <w:tcPr>
            <w:tcW w:w="2439" w:type="dxa"/>
            <w:tcBorders>
              <w:top w:val="nil"/>
              <w:left w:val="nil"/>
              <w:bottom w:val="single" w:sz="8" w:space="0" w:color="000000"/>
              <w:right w:val="single" w:sz="8" w:space="0" w:color="000000"/>
            </w:tcBorders>
            <w:shd w:val="clear" w:color="auto" w:fill="auto"/>
            <w:vAlign w:val="center"/>
            <w:hideMark/>
          </w:tcPr>
          <w:p w14:paraId="57B446AB"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rPr>
              <w:t>4,800</w:t>
            </w:r>
          </w:p>
        </w:tc>
        <w:tc>
          <w:tcPr>
            <w:tcW w:w="2439" w:type="dxa"/>
            <w:tcBorders>
              <w:top w:val="nil"/>
              <w:left w:val="nil"/>
              <w:bottom w:val="single" w:sz="8" w:space="0" w:color="000000"/>
              <w:right w:val="single" w:sz="8" w:space="0" w:color="000000"/>
            </w:tcBorders>
            <w:shd w:val="clear" w:color="auto" w:fill="auto"/>
            <w:vAlign w:val="center"/>
            <w:hideMark/>
          </w:tcPr>
          <w:p w14:paraId="3A07FD9D"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lang w:val="en-US"/>
              </w:rPr>
              <w:t> </w:t>
            </w:r>
            <w:r>
              <w:rPr>
                <w:rFonts w:eastAsia="Times New Roman" w:cs="Times New Roman"/>
                <w:color w:val="000000"/>
                <w:szCs w:val="22"/>
                <w:lang w:val="en-US"/>
              </w:rPr>
              <w:t>5,366</w:t>
            </w:r>
          </w:p>
        </w:tc>
        <w:tc>
          <w:tcPr>
            <w:tcW w:w="2440" w:type="dxa"/>
            <w:tcBorders>
              <w:top w:val="nil"/>
              <w:left w:val="nil"/>
              <w:bottom w:val="single" w:sz="8" w:space="0" w:color="000000"/>
              <w:right w:val="single" w:sz="8" w:space="0" w:color="000000"/>
            </w:tcBorders>
            <w:shd w:val="clear" w:color="auto" w:fill="auto"/>
            <w:vAlign w:val="center"/>
            <w:hideMark/>
          </w:tcPr>
          <w:p w14:paraId="5F9954AA" w14:textId="77777777" w:rsidR="00494690" w:rsidRPr="00F2408B" w:rsidRDefault="00494690" w:rsidP="000F7A90">
            <w:pPr>
              <w:spacing w:before="0"/>
              <w:jc w:val="center"/>
              <w:rPr>
                <w:rFonts w:eastAsia="Times New Roman" w:cs="Times New Roman"/>
                <w:color w:val="000000"/>
                <w:szCs w:val="22"/>
                <w:lang w:val="en-US"/>
              </w:rPr>
            </w:pPr>
            <w:r w:rsidRPr="00F2408B">
              <w:rPr>
                <w:rFonts w:eastAsia="Times New Roman" w:cs="Times New Roman"/>
                <w:color w:val="000000"/>
                <w:szCs w:val="22"/>
                <w:lang w:val="en-US"/>
              </w:rPr>
              <w:t> </w:t>
            </w:r>
            <w:r>
              <w:rPr>
                <w:rFonts w:eastAsia="Times New Roman" w:cs="Times New Roman"/>
                <w:color w:val="000000"/>
                <w:szCs w:val="22"/>
                <w:lang w:val="en-US"/>
              </w:rPr>
              <w:t>14%</w:t>
            </w:r>
          </w:p>
        </w:tc>
      </w:tr>
    </w:tbl>
    <w:p w14:paraId="16757E02" w14:textId="77777777" w:rsidR="00494690" w:rsidRDefault="00494690" w:rsidP="00D6002F">
      <w:pPr>
        <w:pStyle w:val="ListParagraph"/>
        <w:numPr>
          <w:ilvl w:val="0"/>
          <w:numId w:val="57"/>
        </w:numPr>
        <w:spacing w:before="60" w:after="0"/>
        <w:contextualSpacing w:val="0"/>
        <w:rPr>
          <w:rFonts w:ascii="Times New Roman" w:hAnsi="Times New Roman"/>
          <w:sz w:val="20"/>
          <w:szCs w:val="20"/>
        </w:rPr>
      </w:pPr>
      <w:r w:rsidRPr="005169C2">
        <w:rPr>
          <w:rFonts w:ascii="Times New Roman" w:hAnsi="Times New Roman"/>
          <w:sz w:val="20"/>
          <w:szCs w:val="20"/>
        </w:rPr>
        <w:t>Sources: In-confidence market survey of all major participants provided actual 201</w:t>
      </w:r>
      <w:r>
        <w:rPr>
          <w:rFonts w:ascii="Times New Roman" w:hAnsi="Times New Roman"/>
          <w:sz w:val="20"/>
          <w:szCs w:val="20"/>
        </w:rPr>
        <w:t>6</w:t>
      </w:r>
      <w:r w:rsidRPr="005169C2">
        <w:rPr>
          <w:rFonts w:ascii="Times New Roman" w:hAnsi="Times New Roman"/>
          <w:sz w:val="20"/>
          <w:szCs w:val="20"/>
        </w:rPr>
        <w:t xml:space="preserve"> market volumes, which was used to derive estimates of the natural refrigerant bank by type</w:t>
      </w:r>
      <w:r>
        <w:rPr>
          <w:rFonts w:ascii="Times New Roman" w:hAnsi="Times New Roman"/>
          <w:sz w:val="20"/>
          <w:szCs w:val="20"/>
        </w:rPr>
        <w:t>.</w:t>
      </w:r>
    </w:p>
    <w:p w14:paraId="346FCA2D" w14:textId="77777777" w:rsidR="00494690" w:rsidRDefault="00494690" w:rsidP="00494690">
      <w:pPr>
        <w:spacing w:before="60"/>
        <w:rPr>
          <w:sz w:val="20"/>
          <w:szCs w:val="20"/>
        </w:rPr>
      </w:pPr>
    </w:p>
    <w:p w14:paraId="3FABE3B5" w14:textId="77777777" w:rsidR="00494690" w:rsidRPr="006B6E2A" w:rsidRDefault="00494690" w:rsidP="00494690">
      <w:pPr>
        <w:spacing w:before="60"/>
        <w:rPr>
          <w:sz w:val="20"/>
          <w:szCs w:val="20"/>
        </w:rPr>
      </w:pPr>
    </w:p>
    <w:p w14:paraId="404B7BE8" w14:textId="03D69101" w:rsidR="00494690" w:rsidRPr="00494690" w:rsidRDefault="005631FA" w:rsidP="00494690">
      <w:pPr>
        <w:pStyle w:val="Heading2"/>
      </w:pPr>
      <w:bookmarkStart w:id="98" w:name="_Toc525141280"/>
      <w:r>
        <w:t>Ammonia r</w:t>
      </w:r>
      <w:r w:rsidR="00494690" w:rsidRPr="00494690">
        <w:t>efrigerant</w:t>
      </w:r>
      <w:bookmarkEnd w:id="98"/>
    </w:p>
    <w:p w14:paraId="2ADD555D" w14:textId="77777777" w:rsidR="00494690" w:rsidRPr="00263A62" w:rsidRDefault="00494690" w:rsidP="00494690">
      <w:pPr>
        <w:rPr>
          <w:rFonts w:cs="Times New Roman"/>
          <w:szCs w:val="22"/>
        </w:rPr>
      </w:pPr>
      <w:r w:rsidRPr="00263A62">
        <w:rPr>
          <w:rFonts w:cs="Times New Roman"/>
          <w:szCs w:val="22"/>
        </w:rPr>
        <w:t>Ammonia, known in the industry as R717, makes up by far the largest portion of the nat</w:t>
      </w:r>
      <w:r>
        <w:rPr>
          <w:rFonts w:cs="Times New Roman"/>
          <w:szCs w:val="22"/>
        </w:rPr>
        <w:t>ural refrigerants in the bank.</w:t>
      </w:r>
      <w:r w:rsidRPr="00263A62">
        <w:rPr>
          <w:rStyle w:val="FootnoteReference"/>
          <w:rFonts w:cs="Times New Roman"/>
          <w:szCs w:val="22"/>
        </w:rPr>
        <w:footnoteReference w:id="51"/>
      </w:r>
      <w:r>
        <w:rPr>
          <w:rFonts w:cs="Times New Roman"/>
          <w:szCs w:val="22"/>
        </w:rPr>
        <w:t xml:space="preserve"> H</w:t>
      </w:r>
      <w:r w:rsidRPr="00263A62">
        <w:rPr>
          <w:rFonts w:cs="Times New Roman"/>
          <w:szCs w:val="22"/>
        </w:rPr>
        <w:t xml:space="preserve">owever, because ammonia is manufactured domestically and there is no requirement to report use of ammonia as a refrigerant to any central agency, estimates of the </w:t>
      </w:r>
      <w:r>
        <w:rPr>
          <w:rFonts w:cs="Times New Roman"/>
          <w:szCs w:val="22"/>
        </w:rPr>
        <w:t>total ammonia bank have to be derived</w:t>
      </w:r>
      <w:r w:rsidRPr="00263A62">
        <w:rPr>
          <w:rFonts w:cs="Times New Roman"/>
          <w:szCs w:val="22"/>
        </w:rPr>
        <w:t xml:space="preserve"> from </w:t>
      </w:r>
      <w:r>
        <w:rPr>
          <w:rFonts w:cs="Times New Roman"/>
          <w:szCs w:val="22"/>
        </w:rPr>
        <w:t xml:space="preserve">a combination of data sources including a consumption survey of the key suppliers, a partial survey of operating facilities and secondary sources of </w:t>
      </w:r>
      <w:r w:rsidRPr="00263A62">
        <w:rPr>
          <w:rFonts w:cs="Times New Roman"/>
          <w:szCs w:val="22"/>
        </w:rPr>
        <w:t>information.</w:t>
      </w:r>
    </w:p>
    <w:p w14:paraId="0820A1B6" w14:textId="77777777" w:rsidR="00494690" w:rsidRPr="00263A62" w:rsidRDefault="00494690" w:rsidP="00494690">
      <w:pPr>
        <w:rPr>
          <w:rFonts w:cs="Times New Roman"/>
          <w:szCs w:val="22"/>
        </w:rPr>
      </w:pPr>
      <w:r w:rsidRPr="00263A62">
        <w:rPr>
          <w:rFonts w:cs="Times New Roman"/>
          <w:szCs w:val="22"/>
        </w:rPr>
        <w:t xml:space="preserve">The main applications where ammonia systems are found include cold storage facilities (typically 5,000 to </w:t>
      </w:r>
      <w:r>
        <w:rPr>
          <w:rFonts w:cs="Times New Roman"/>
          <w:szCs w:val="22"/>
        </w:rPr>
        <w:t>1,000</w:t>
      </w:r>
      <w:r w:rsidRPr="00263A62">
        <w:rPr>
          <w:rFonts w:cs="Times New Roman"/>
          <w:szCs w:val="22"/>
        </w:rPr>
        <w:t>,000 m</w:t>
      </w:r>
      <w:r w:rsidRPr="00263A62">
        <w:rPr>
          <w:rFonts w:cs="Times New Roman"/>
          <w:szCs w:val="22"/>
          <w:vertAlign w:val="superscript"/>
        </w:rPr>
        <w:t>3</w:t>
      </w:r>
      <w:r w:rsidRPr="00263A62">
        <w:rPr>
          <w:rFonts w:cs="Times New Roman"/>
          <w:szCs w:val="22"/>
        </w:rPr>
        <w:t xml:space="preserve">), large chilling, </w:t>
      </w:r>
      <w:r>
        <w:rPr>
          <w:rFonts w:cs="Times New Roman"/>
          <w:szCs w:val="22"/>
        </w:rPr>
        <w:t xml:space="preserve">blast </w:t>
      </w:r>
      <w:r w:rsidRPr="00263A62">
        <w:rPr>
          <w:rFonts w:cs="Times New Roman"/>
          <w:szCs w:val="22"/>
        </w:rPr>
        <w:t xml:space="preserve">freezing and ice making systems in the primary and secondary stages of the cold food chain, and some chemical processes and mining air conditioning applications. </w:t>
      </w:r>
    </w:p>
    <w:p w14:paraId="66E87D2F" w14:textId="0689D87D" w:rsidR="00494690" w:rsidRPr="00263A62" w:rsidRDefault="00494690" w:rsidP="00494690">
      <w:pPr>
        <w:rPr>
          <w:rFonts w:cs="Times New Roman"/>
          <w:szCs w:val="22"/>
        </w:rPr>
      </w:pPr>
      <w:r w:rsidRPr="00643909">
        <w:rPr>
          <w:rFonts w:cs="Times New Roman"/>
          <w:szCs w:val="22"/>
        </w:rPr>
        <w:t xml:space="preserve">There is an estimated 14.8 to 15.1 </w:t>
      </w:r>
      <w:r w:rsidR="00880F7F">
        <w:rPr>
          <w:rFonts w:cs="Times New Roman"/>
          <w:szCs w:val="22"/>
        </w:rPr>
        <w:t xml:space="preserve">million </w:t>
      </w:r>
      <w:r w:rsidRPr="00643909">
        <w:rPr>
          <w:rFonts w:cs="Times New Roman"/>
          <w:szCs w:val="22"/>
        </w:rPr>
        <w:t>m</w:t>
      </w:r>
      <w:r w:rsidRPr="00643909">
        <w:rPr>
          <w:rFonts w:cs="Times New Roman"/>
          <w:szCs w:val="22"/>
          <w:vertAlign w:val="superscript"/>
        </w:rPr>
        <w:t>3</w:t>
      </w:r>
      <w:r w:rsidRPr="00643909">
        <w:rPr>
          <w:rFonts w:cs="Times New Roman"/>
          <w:szCs w:val="22"/>
        </w:rPr>
        <w:t xml:space="preserve"> of cold</w:t>
      </w:r>
      <w:r w:rsidRPr="00263A62">
        <w:rPr>
          <w:rFonts w:cs="Times New Roman"/>
          <w:szCs w:val="22"/>
        </w:rPr>
        <w:t xml:space="preserve"> storage space operating on ammonia systems. Assuming a benchmark obt</w:t>
      </w:r>
      <w:r>
        <w:rPr>
          <w:rFonts w:cs="Times New Roman"/>
          <w:szCs w:val="22"/>
        </w:rPr>
        <w:t>ained from industry sources of 29</w:t>
      </w:r>
      <w:r w:rsidRPr="00263A62">
        <w:rPr>
          <w:rFonts w:cs="Times New Roman"/>
          <w:szCs w:val="22"/>
        </w:rPr>
        <w:t xml:space="preserve"> kg per 1,000 m</w:t>
      </w:r>
      <w:r w:rsidRPr="00263A62">
        <w:rPr>
          <w:rFonts w:cs="Times New Roman"/>
          <w:szCs w:val="22"/>
          <w:vertAlign w:val="superscript"/>
        </w:rPr>
        <w:t>3</w:t>
      </w:r>
      <w:r w:rsidRPr="00263A62">
        <w:rPr>
          <w:rFonts w:cs="Times New Roman"/>
          <w:szCs w:val="22"/>
        </w:rPr>
        <w:t xml:space="preserve"> of storage space, this equates to around </w:t>
      </w:r>
      <w:r w:rsidRPr="00643909">
        <w:rPr>
          <w:rFonts w:cs="Times New Roman"/>
          <w:szCs w:val="22"/>
        </w:rPr>
        <w:t>430 to 450 tonnes of ammonia</w:t>
      </w:r>
      <w:r w:rsidRPr="00263A62">
        <w:rPr>
          <w:rFonts w:cs="Times New Roman"/>
          <w:szCs w:val="22"/>
        </w:rPr>
        <w:t xml:space="preserve"> in cold stores.</w:t>
      </w:r>
      <w:r w:rsidRPr="00263A62">
        <w:rPr>
          <w:rStyle w:val="FootnoteReference"/>
          <w:rFonts w:cs="Times New Roman"/>
          <w:szCs w:val="22"/>
        </w:rPr>
        <w:footnoteReference w:id="52"/>
      </w:r>
      <w:r w:rsidRPr="00263A62">
        <w:rPr>
          <w:rFonts w:cs="Times New Roman"/>
          <w:szCs w:val="22"/>
        </w:rPr>
        <w:t xml:space="preserve">  </w:t>
      </w:r>
    </w:p>
    <w:p w14:paraId="00176B84" w14:textId="77777777" w:rsidR="00494690" w:rsidRPr="00263A62" w:rsidRDefault="00494690" w:rsidP="00494690">
      <w:pPr>
        <w:rPr>
          <w:rFonts w:cs="Times New Roman"/>
          <w:szCs w:val="22"/>
        </w:rPr>
      </w:pPr>
      <w:r w:rsidRPr="00263A62">
        <w:rPr>
          <w:rFonts w:cs="Times New Roman"/>
          <w:szCs w:val="22"/>
        </w:rPr>
        <w:t xml:space="preserve">Other applications where large charges of ammonia </w:t>
      </w:r>
      <w:r>
        <w:rPr>
          <w:rFonts w:cs="Times New Roman"/>
          <w:szCs w:val="22"/>
        </w:rPr>
        <w:t xml:space="preserve">systems </w:t>
      </w:r>
      <w:r w:rsidRPr="00263A62">
        <w:rPr>
          <w:rFonts w:cs="Times New Roman"/>
          <w:szCs w:val="22"/>
        </w:rPr>
        <w:t xml:space="preserve">can be found in single installations are in high volume blast freezing applications that are extremely </w:t>
      </w:r>
      <w:r>
        <w:rPr>
          <w:rFonts w:cs="Times New Roman"/>
          <w:szCs w:val="22"/>
        </w:rPr>
        <w:t xml:space="preserve">energy </w:t>
      </w:r>
      <w:r w:rsidRPr="00263A62">
        <w:rPr>
          <w:rFonts w:cs="Times New Roman"/>
          <w:szCs w:val="22"/>
        </w:rPr>
        <w:t xml:space="preserve">intensive, requiring snap freezing of large masses of perishable goods such as in meat processing, poultry processing and other primary and secondary processes in the refrigerated cold food chain (i.e. vegetables, dairy, beverages, frozen foods). </w:t>
      </w:r>
    </w:p>
    <w:p w14:paraId="1D844899" w14:textId="77777777" w:rsidR="00494690" w:rsidRPr="00263A62" w:rsidRDefault="00494690" w:rsidP="00494690">
      <w:pPr>
        <w:rPr>
          <w:rFonts w:cs="Times New Roman"/>
          <w:szCs w:val="22"/>
        </w:rPr>
      </w:pPr>
      <w:r w:rsidRPr="00263A62">
        <w:rPr>
          <w:rFonts w:cs="Times New Roman"/>
          <w:szCs w:val="22"/>
        </w:rPr>
        <w:t>Some individual meat processing facilities are known to contain up to 150 tonnes of ammonia.</w:t>
      </w:r>
      <w:r>
        <w:rPr>
          <w:rStyle w:val="FootnoteReference"/>
          <w:rFonts w:cs="Times New Roman"/>
          <w:szCs w:val="22"/>
        </w:rPr>
        <w:footnoteReference w:id="53"/>
      </w:r>
      <w:r w:rsidRPr="00263A62">
        <w:rPr>
          <w:rFonts w:cs="Times New Roman"/>
          <w:szCs w:val="22"/>
        </w:rPr>
        <w:t xml:space="preserve"> </w:t>
      </w:r>
      <w:r>
        <w:rPr>
          <w:rFonts w:cs="Times New Roman"/>
          <w:szCs w:val="22"/>
        </w:rPr>
        <w:t>In June 2017 t</w:t>
      </w:r>
      <w:r w:rsidRPr="00263A62">
        <w:rPr>
          <w:rFonts w:cs="Times New Roman"/>
          <w:szCs w:val="22"/>
        </w:rPr>
        <w:t xml:space="preserve">here </w:t>
      </w:r>
      <w:r>
        <w:rPr>
          <w:rFonts w:cs="Times New Roman"/>
          <w:szCs w:val="22"/>
        </w:rPr>
        <w:t>were 105</w:t>
      </w:r>
      <w:r w:rsidRPr="00263A62">
        <w:rPr>
          <w:rFonts w:cs="Times New Roman"/>
          <w:szCs w:val="22"/>
        </w:rPr>
        <w:t xml:space="preserve"> meat/poultry processing facilities in Australia that employ more than 20 </w:t>
      </w:r>
      <w:r>
        <w:rPr>
          <w:rFonts w:cs="Times New Roman"/>
          <w:szCs w:val="22"/>
        </w:rPr>
        <w:t xml:space="preserve">and less than 200 </w:t>
      </w:r>
      <w:r w:rsidRPr="00263A62">
        <w:rPr>
          <w:rFonts w:cs="Times New Roman"/>
          <w:szCs w:val="22"/>
        </w:rPr>
        <w:t>people</w:t>
      </w:r>
      <w:r>
        <w:rPr>
          <w:rFonts w:cs="Times New Roman"/>
          <w:szCs w:val="22"/>
        </w:rPr>
        <w:t xml:space="preserve">, and 54 that employ more than 200 </w:t>
      </w:r>
      <w:r w:rsidRPr="00D674CE">
        <w:rPr>
          <w:rFonts w:cs="Times New Roman"/>
          <w:szCs w:val="22"/>
        </w:rPr>
        <w:t>people (ABS 8165.0).</w:t>
      </w:r>
      <w:r w:rsidRPr="00263A62">
        <w:rPr>
          <w:rFonts w:cs="Times New Roman"/>
          <w:szCs w:val="22"/>
        </w:rPr>
        <w:t xml:space="preserve"> </w:t>
      </w:r>
    </w:p>
    <w:p w14:paraId="76E1DE69" w14:textId="64C673D4" w:rsidR="00494690" w:rsidRDefault="00494690" w:rsidP="00494690">
      <w:pPr>
        <w:rPr>
          <w:rFonts w:cs="Times New Roman"/>
          <w:szCs w:val="22"/>
        </w:rPr>
      </w:pPr>
      <w:r>
        <w:rPr>
          <w:rFonts w:cs="Times New Roman"/>
          <w:szCs w:val="22"/>
        </w:rPr>
        <w:t>Large ammonia systems are also found in some industrial and mining applications where full time engineering staff are at hand and overall cooling loads are high. For instance, in some fertiliser plants, metal processing facilities</w:t>
      </w:r>
      <w:r w:rsidR="00372156">
        <w:rPr>
          <w:rFonts w:cs="Times New Roman"/>
          <w:szCs w:val="22"/>
        </w:rPr>
        <w:t>,</w:t>
      </w:r>
      <w:r>
        <w:rPr>
          <w:rFonts w:cs="Times New Roman"/>
          <w:szCs w:val="22"/>
        </w:rPr>
        <w:t xml:space="preserve"> and in providing chilled water for cooling underground mining operations.</w:t>
      </w:r>
    </w:p>
    <w:p w14:paraId="521E5EE6" w14:textId="77777777" w:rsidR="00494690" w:rsidRPr="00263A62" w:rsidRDefault="00494690" w:rsidP="00494690">
      <w:pPr>
        <w:rPr>
          <w:rFonts w:cs="Times New Roman"/>
          <w:szCs w:val="22"/>
        </w:rPr>
      </w:pPr>
      <w:r w:rsidRPr="00263A62">
        <w:rPr>
          <w:rFonts w:cs="Times New Roman"/>
          <w:szCs w:val="22"/>
        </w:rPr>
        <w:t xml:space="preserve">A survey of suppliers of bulk ammonia estimated 545 tonnes was delivered to customers in 2012 and, based on the research undertaken on </w:t>
      </w:r>
      <w:r>
        <w:rPr>
          <w:rFonts w:cs="Times New Roman"/>
          <w:szCs w:val="22"/>
        </w:rPr>
        <w:t>ammonia charged refrigeration facilities, an</w:t>
      </w:r>
      <w:r w:rsidRPr="00263A62">
        <w:rPr>
          <w:rFonts w:cs="Times New Roman"/>
          <w:szCs w:val="22"/>
        </w:rPr>
        <w:t xml:space="preserve"> estimate of</w:t>
      </w:r>
      <w:r>
        <w:rPr>
          <w:rFonts w:cs="Times New Roman"/>
          <w:szCs w:val="22"/>
        </w:rPr>
        <w:t xml:space="preserve"> the ammonia bank</w:t>
      </w:r>
      <w:r w:rsidRPr="00263A62">
        <w:rPr>
          <w:rFonts w:cs="Times New Roman"/>
          <w:szCs w:val="22"/>
        </w:rPr>
        <w:t xml:space="preserve"> in 2012 was 4,400 tonnes in total.</w:t>
      </w:r>
    </w:p>
    <w:p w14:paraId="722B8806" w14:textId="7B643EC1" w:rsidR="00494690" w:rsidRDefault="00494690" w:rsidP="00494690">
      <w:pPr>
        <w:rPr>
          <w:rFonts w:cs="Times New Roman"/>
          <w:szCs w:val="22"/>
        </w:rPr>
      </w:pPr>
      <w:r>
        <w:rPr>
          <w:rFonts w:cs="Times New Roman"/>
          <w:szCs w:val="22"/>
        </w:rPr>
        <w:t>Since that time a</w:t>
      </w:r>
      <w:r w:rsidRPr="00263A62">
        <w:rPr>
          <w:rFonts w:cs="Times New Roman"/>
          <w:szCs w:val="22"/>
        </w:rPr>
        <w:t xml:space="preserve"> survey of the major suppliers of ammonia</w:t>
      </w:r>
      <w:r>
        <w:rPr>
          <w:rFonts w:cs="Times New Roman"/>
          <w:szCs w:val="22"/>
        </w:rPr>
        <w:t xml:space="preserve"> has been </w:t>
      </w:r>
      <w:r w:rsidRPr="00263A62">
        <w:rPr>
          <w:rFonts w:cs="Times New Roman"/>
          <w:szCs w:val="22"/>
        </w:rPr>
        <w:t>repeated annually from 2014 to 2016</w:t>
      </w:r>
      <w:r>
        <w:rPr>
          <w:rFonts w:cs="Times New Roman"/>
          <w:szCs w:val="22"/>
        </w:rPr>
        <w:t xml:space="preserve"> and</w:t>
      </w:r>
      <w:r w:rsidRPr="00263A62">
        <w:rPr>
          <w:rFonts w:cs="Times New Roman"/>
          <w:szCs w:val="22"/>
        </w:rPr>
        <w:t xml:space="preserve"> reported an average of 709 tonnes sold</w:t>
      </w:r>
      <w:r>
        <w:rPr>
          <w:rFonts w:cs="Times New Roman"/>
          <w:szCs w:val="22"/>
        </w:rPr>
        <w:t xml:space="preserve"> </w:t>
      </w:r>
      <w:r w:rsidRPr="00263A62">
        <w:rPr>
          <w:rFonts w:cs="Times New Roman"/>
          <w:szCs w:val="22"/>
        </w:rPr>
        <w:t xml:space="preserve">during those </w:t>
      </w:r>
      <w:r>
        <w:rPr>
          <w:rFonts w:cs="Times New Roman"/>
          <w:szCs w:val="22"/>
        </w:rPr>
        <w:t xml:space="preserve">three </w:t>
      </w:r>
      <w:r w:rsidRPr="00263A62">
        <w:rPr>
          <w:rFonts w:cs="Times New Roman"/>
          <w:szCs w:val="22"/>
        </w:rPr>
        <w:t>years.</w:t>
      </w:r>
    </w:p>
    <w:p w14:paraId="0B0E52A8" w14:textId="77777777" w:rsidR="00494690" w:rsidRPr="00263A62" w:rsidRDefault="00494690" w:rsidP="00494690">
      <w:pPr>
        <w:rPr>
          <w:rFonts w:cs="Times New Roman"/>
          <w:szCs w:val="22"/>
        </w:rPr>
      </w:pPr>
    </w:p>
    <w:p w14:paraId="3F85AFE7" w14:textId="070265DD" w:rsidR="00494690" w:rsidRPr="005A6A77" w:rsidRDefault="005A6A77" w:rsidP="005A6A77">
      <w:pPr>
        <w:pStyle w:val="Caption"/>
        <w:keepNext/>
        <w:rPr>
          <w:szCs w:val="22"/>
          <w:lang w:val="en-AU"/>
        </w:rPr>
      </w:pPr>
      <w:bookmarkStart w:id="99" w:name="_Toc525141411"/>
      <w:r w:rsidRPr="005A6A77">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22</w:t>
      </w:r>
      <w:r w:rsidR="009D6843">
        <w:rPr>
          <w:noProof/>
        </w:rPr>
        <w:fldChar w:fldCharType="end"/>
      </w:r>
      <w:r w:rsidRPr="005A6A77">
        <w:t xml:space="preserve">: </w:t>
      </w:r>
      <w:r w:rsidR="00494690" w:rsidRPr="005A6A77">
        <w:rPr>
          <w:szCs w:val="22"/>
          <w:lang w:val="en-AU"/>
        </w:rPr>
        <w:t>Volumes of ammonia sold by calendar year (tonnes) based on supplier survey.</w:t>
      </w:r>
      <w:bookmarkEnd w:id="99"/>
    </w:p>
    <w:tbl>
      <w:tblPr>
        <w:tblStyle w:val="TableGrid"/>
        <w:tblW w:w="9790" w:type="dxa"/>
        <w:tblInd w:w="-5" w:type="dxa"/>
        <w:tblLook w:val="04A0" w:firstRow="1" w:lastRow="0" w:firstColumn="1" w:lastColumn="0" w:noHBand="0" w:noVBand="1"/>
      </w:tblPr>
      <w:tblGrid>
        <w:gridCol w:w="3027"/>
        <w:gridCol w:w="3022"/>
        <w:gridCol w:w="3741"/>
      </w:tblGrid>
      <w:tr w:rsidR="00494690" w:rsidRPr="00D6002F" w14:paraId="628B6366" w14:textId="77777777" w:rsidTr="0033573A">
        <w:tc>
          <w:tcPr>
            <w:tcW w:w="3027" w:type="dxa"/>
            <w:shd w:val="clear" w:color="auto" w:fill="B6DDE8" w:themeFill="accent5" w:themeFillTint="66"/>
            <w:vAlign w:val="center"/>
          </w:tcPr>
          <w:p w14:paraId="06BA0597" w14:textId="77777777" w:rsidR="00494690" w:rsidRPr="00D6002F" w:rsidRDefault="00494690" w:rsidP="00D6002F">
            <w:pPr>
              <w:spacing w:after="120"/>
              <w:jc w:val="center"/>
              <w:rPr>
                <w:color w:val="000000" w:themeColor="text1"/>
                <w:szCs w:val="22"/>
              </w:rPr>
            </w:pPr>
            <w:r w:rsidRPr="00D6002F">
              <w:rPr>
                <w:color w:val="000000" w:themeColor="text1"/>
                <w:szCs w:val="22"/>
              </w:rPr>
              <w:t>2014</w:t>
            </w:r>
          </w:p>
        </w:tc>
        <w:tc>
          <w:tcPr>
            <w:tcW w:w="3022" w:type="dxa"/>
            <w:shd w:val="clear" w:color="auto" w:fill="B6DDE8" w:themeFill="accent5" w:themeFillTint="66"/>
            <w:vAlign w:val="center"/>
          </w:tcPr>
          <w:p w14:paraId="29752F13" w14:textId="77777777" w:rsidR="00494690" w:rsidRPr="00D6002F" w:rsidRDefault="00494690" w:rsidP="00D6002F">
            <w:pPr>
              <w:spacing w:after="120"/>
              <w:jc w:val="center"/>
              <w:rPr>
                <w:color w:val="000000" w:themeColor="text1"/>
                <w:szCs w:val="22"/>
              </w:rPr>
            </w:pPr>
            <w:r w:rsidRPr="00D6002F">
              <w:rPr>
                <w:color w:val="000000" w:themeColor="text1"/>
                <w:szCs w:val="22"/>
              </w:rPr>
              <w:t>2015</w:t>
            </w:r>
          </w:p>
        </w:tc>
        <w:tc>
          <w:tcPr>
            <w:tcW w:w="3741" w:type="dxa"/>
            <w:shd w:val="clear" w:color="auto" w:fill="B6DDE8" w:themeFill="accent5" w:themeFillTint="66"/>
            <w:vAlign w:val="center"/>
          </w:tcPr>
          <w:p w14:paraId="0F9BAEBE" w14:textId="77777777" w:rsidR="00494690" w:rsidRPr="00D6002F" w:rsidRDefault="00494690" w:rsidP="00D6002F">
            <w:pPr>
              <w:spacing w:after="120"/>
              <w:jc w:val="center"/>
              <w:rPr>
                <w:color w:val="000000" w:themeColor="text1"/>
                <w:szCs w:val="22"/>
              </w:rPr>
            </w:pPr>
            <w:r w:rsidRPr="00D6002F">
              <w:rPr>
                <w:color w:val="000000" w:themeColor="text1"/>
                <w:szCs w:val="22"/>
              </w:rPr>
              <w:t>2016</w:t>
            </w:r>
          </w:p>
        </w:tc>
      </w:tr>
      <w:tr w:rsidR="00494690" w:rsidRPr="00263A62" w14:paraId="084B51A1" w14:textId="77777777" w:rsidTr="000F7A90">
        <w:tc>
          <w:tcPr>
            <w:tcW w:w="3027" w:type="dxa"/>
            <w:vAlign w:val="center"/>
          </w:tcPr>
          <w:p w14:paraId="1871189F" w14:textId="77777777" w:rsidR="00494690" w:rsidRPr="00263A62" w:rsidRDefault="00494690" w:rsidP="000F7A90">
            <w:pPr>
              <w:spacing w:after="120"/>
              <w:jc w:val="center"/>
              <w:rPr>
                <w:szCs w:val="22"/>
                <w:lang w:val="en-AU"/>
              </w:rPr>
            </w:pPr>
            <w:r w:rsidRPr="00263A62">
              <w:rPr>
                <w:color w:val="000000"/>
                <w:szCs w:val="22"/>
              </w:rPr>
              <w:t>837.1</w:t>
            </w:r>
          </w:p>
        </w:tc>
        <w:tc>
          <w:tcPr>
            <w:tcW w:w="3022" w:type="dxa"/>
            <w:vAlign w:val="center"/>
          </w:tcPr>
          <w:p w14:paraId="45CA5A10" w14:textId="77777777" w:rsidR="00494690" w:rsidRPr="00263A62" w:rsidRDefault="00494690" w:rsidP="000F7A90">
            <w:pPr>
              <w:spacing w:after="120"/>
              <w:jc w:val="center"/>
              <w:rPr>
                <w:szCs w:val="22"/>
                <w:lang w:val="en-AU"/>
              </w:rPr>
            </w:pPr>
            <w:r w:rsidRPr="00263A62">
              <w:rPr>
                <w:color w:val="000000"/>
                <w:szCs w:val="22"/>
              </w:rPr>
              <w:t>712.4</w:t>
            </w:r>
          </w:p>
        </w:tc>
        <w:tc>
          <w:tcPr>
            <w:tcW w:w="3741" w:type="dxa"/>
            <w:vAlign w:val="center"/>
          </w:tcPr>
          <w:p w14:paraId="7EEDEA88" w14:textId="77777777" w:rsidR="00494690" w:rsidRPr="00263A62" w:rsidRDefault="00494690" w:rsidP="000F7A90">
            <w:pPr>
              <w:spacing w:after="120"/>
              <w:jc w:val="center"/>
              <w:rPr>
                <w:szCs w:val="22"/>
                <w:lang w:val="en-AU"/>
              </w:rPr>
            </w:pPr>
            <w:r w:rsidRPr="00263A62">
              <w:rPr>
                <w:color w:val="000000"/>
                <w:szCs w:val="22"/>
              </w:rPr>
              <w:t>577.2</w:t>
            </w:r>
          </w:p>
        </w:tc>
      </w:tr>
    </w:tbl>
    <w:p w14:paraId="4C874875" w14:textId="77777777" w:rsidR="00494690" w:rsidRPr="0034191A" w:rsidRDefault="00494690" w:rsidP="00494690">
      <w:pPr>
        <w:spacing w:before="60" w:after="60"/>
        <w:rPr>
          <w:rFonts w:cs="Times New Roman"/>
          <w:sz w:val="20"/>
          <w:szCs w:val="20"/>
          <w:lang w:val="en-AU"/>
        </w:rPr>
      </w:pPr>
      <w:r w:rsidRPr="0034191A">
        <w:rPr>
          <w:rFonts w:cs="Times New Roman"/>
          <w:sz w:val="20"/>
          <w:szCs w:val="20"/>
          <w:lang w:val="en-AU"/>
        </w:rPr>
        <w:t>Notes:</w:t>
      </w:r>
    </w:p>
    <w:p w14:paraId="7CF38877" w14:textId="2494D9F3" w:rsidR="00494690" w:rsidRPr="0034191A" w:rsidRDefault="00494690" w:rsidP="0034191A">
      <w:pPr>
        <w:pStyle w:val="ListParagraph"/>
        <w:numPr>
          <w:ilvl w:val="0"/>
          <w:numId w:val="61"/>
        </w:numPr>
        <w:spacing w:before="60" w:after="60" w:line="240" w:lineRule="auto"/>
        <w:contextualSpacing w:val="0"/>
        <w:jc w:val="both"/>
        <w:rPr>
          <w:rFonts w:ascii="Times New Roman" w:hAnsi="Times New Roman"/>
          <w:sz w:val="20"/>
          <w:szCs w:val="20"/>
          <w:lang w:val="en-AU"/>
        </w:rPr>
      </w:pPr>
      <w:r w:rsidRPr="0034191A">
        <w:rPr>
          <w:rFonts w:ascii="Times New Roman" w:hAnsi="Times New Roman"/>
          <w:sz w:val="20"/>
          <w:szCs w:val="20"/>
          <w:lang w:val="en-AU"/>
        </w:rPr>
        <w:t>Volumes exclude non-HVAC&amp;R applications.</w:t>
      </w:r>
    </w:p>
    <w:p w14:paraId="25C746E0" w14:textId="7D7A1358" w:rsidR="00494690" w:rsidRPr="0034191A" w:rsidRDefault="00494690" w:rsidP="0034191A">
      <w:pPr>
        <w:pStyle w:val="ListParagraph"/>
        <w:numPr>
          <w:ilvl w:val="0"/>
          <w:numId w:val="61"/>
        </w:numPr>
        <w:spacing w:before="60" w:after="60" w:line="240" w:lineRule="auto"/>
        <w:contextualSpacing w:val="0"/>
        <w:jc w:val="both"/>
        <w:rPr>
          <w:rFonts w:ascii="Times New Roman" w:hAnsi="Times New Roman"/>
          <w:sz w:val="20"/>
          <w:szCs w:val="20"/>
          <w:lang w:val="en-AU"/>
        </w:rPr>
      </w:pPr>
      <w:r w:rsidRPr="0034191A">
        <w:rPr>
          <w:rFonts w:ascii="Times New Roman" w:hAnsi="Times New Roman"/>
          <w:sz w:val="20"/>
          <w:szCs w:val="20"/>
          <w:lang w:val="en-AU"/>
        </w:rPr>
        <w:t>Survey participants include major participants at the top of the supply chain as well as suppliers further down the supply chain, however these suppliers were not double counted.</w:t>
      </w:r>
    </w:p>
    <w:p w14:paraId="277191ED" w14:textId="77777777" w:rsidR="0034191A" w:rsidRDefault="0034191A" w:rsidP="00494690">
      <w:pPr>
        <w:rPr>
          <w:rFonts w:cs="Times New Roman"/>
          <w:szCs w:val="22"/>
        </w:rPr>
      </w:pPr>
    </w:p>
    <w:p w14:paraId="68F6CCC6" w14:textId="4F450F87" w:rsidR="00494690" w:rsidRDefault="00494690" w:rsidP="00494690">
      <w:pPr>
        <w:rPr>
          <w:rFonts w:cs="Times New Roman"/>
          <w:szCs w:val="22"/>
        </w:rPr>
      </w:pPr>
      <w:r w:rsidRPr="00263A62">
        <w:rPr>
          <w:rFonts w:cs="Times New Roman"/>
          <w:szCs w:val="22"/>
        </w:rPr>
        <w:t xml:space="preserve">Noting that ammonia systems, due to regulatory requirements and design considerations, enjoy very low leak rates, it can be concluded that </w:t>
      </w:r>
      <w:r w:rsidR="00440437">
        <w:rPr>
          <w:rFonts w:cs="Times New Roman"/>
          <w:szCs w:val="22"/>
        </w:rPr>
        <w:t>most</w:t>
      </w:r>
      <w:r w:rsidRPr="00263A62">
        <w:rPr>
          <w:rFonts w:cs="Times New Roman"/>
          <w:szCs w:val="22"/>
        </w:rPr>
        <w:t xml:space="preserve"> of the ammonia sold every year is being employed in new ammonia refrigeration systems.</w:t>
      </w:r>
    </w:p>
    <w:p w14:paraId="5F1ABA1E" w14:textId="4FC86341" w:rsidR="00494690" w:rsidRDefault="00234F03" w:rsidP="00494690">
      <w:pPr>
        <w:rPr>
          <w:rFonts w:cs="Times New Roman"/>
          <w:szCs w:val="22"/>
        </w:rPr>
      </w:pPr>
      <w:r>
        <w:rPr>
          <w:rFonts w:cs="Times New Roman"/>
          <w:szCs w:val="22"/>
        </w:rPr>
        <w:t>T</w:t>
      </w:r>
      <w:r w:rsidR="00494690">
        <w:rPr>
          <w:rFonts w:cs="Times New Roman"/>
          <w:szCs w:val="22"/>
        </w:rPr>
        <w:t>he bank is estimated to have only grown by around 100 tonnes per annum. Although this is considerably less than the annual volumes reported as sold, market intelligence suggests that a significant proportion of ammonia sold in the past few years is going into new systems installed at existing enterprises, replacing old ammonia systems. What is more, the new systems have smaller refrigerant charges than the systems being replaced, contributing in part to the relatively slow growth of the bank, even while the service providers in this segment are reported to be operating at full capacity.</w:t>
      </w:r>
    </w:p>
    <w:p w14:paraId="1F630A36" w14:textId="77777777" w:rsidR="00494690" w:rsidRDefault="00494690" w:rsidP="00494690">
      <w:pPr>
        <w:rPr>
          <w:rFonts w:cs="Times New Roman"/>
          <w:szCs w:val="22"/>
        </w:rPr>
      </w:pPr>
      <w:r>
        <w:rPr>
          <w:rFonts w:cs="Times New Roman"/>
          <w:szCs w:val="22"/>
        </w:rPr>
        <w:t xml:space="preserve">The new ‘packaged’ designs are characterised by smaller </w:t>
      </w:r>
      <w:r w:rsidRPr="009D48B3">
        <w:rPr>
          <w:rFonts w:cs="Times New Roman"/>
          <w:szCs w:val="22"/>
        </w:rPr>
        <w:t>ammonia</w:t>
      </w:r>
      <w:r>
        <w:rPr>
          <w:rFonts w:cs="Times New Roman"/>
          <w:szCs w:val="22"/>
        </w:rPr>
        <w:t xml:space="preserve"> charges, reduced piping, ease of maintenance and installation, and </w:t>
      </w:r>
      <w:r w:rsidRPr="009D48B3">
        <w:rPr>
          <w:rFonts w:cs="Times New Roman"/>
          <w:szCs w:val="22"/>
        </w:rPr>
        <w:t>safer start-up</w:t>
      </w:r>
      <w:r>
        <w:rPr>
          <w:rFonts w:cs="Times New Roman"/>
          <w:szCs w:val="22"/>
        </w:rPr>
        <w:t xml:space="preserve"> routines,</w:t>
      </w:r>
      <w:r w:rsidRPr="009D48B3">
        <w:rPr>
          <w:rFonts w:cs="Times New Roman"/>
          <w:szCs w:val="22"/>
        </w:rPr>
        <w:t xml:space="preserve"> </w:t>
      </w:r>
      <w:r>
        <w:rPr>
          <w:rFonts w:cs="Times New Roman"/>
          <w:szCs w:val="22"/>
        </w:rPr>
        <w:t xml:space="preserve">all of which </w:t>
      </w:r>
      <w:r w:rsidRPr="009D48B3">
        <w:rPr>
          <w:rFonts w:cs="Times New Roman"/>
          <w:szCs w:val="22"/>
        </w:rPr>
        <w:t>help make low-charge</w:t>
      </w:r>
      <w:r>
        <w:rPr>
          <w:rFonts w:cs="Times New Roman"/>
          <w:szCs w:val="22"/>
        </w:rPr>
        <w:t xml:space="preserve"> </w:t>
      </w:r>
      <w:r w:rsidRPr="009D48B3">
        <w:rPr>
          <w:rFonts w:cs="Times New Roman"/>
          <w:szCs w:val="22"/>
        </w:rPr>
        <w:t>ammonia packaged units appealing</w:t>
      </w:r>
      <w:r>
        <w:rPr>
          <w:rFonts w:cs="Times New Roman"/>
          <w:szCs w:val="22"/>
        </w:rPr>
        <w:t xml:space="preserve"> </w:t>
      </w:r>
      <w:r w:rsidRPr="009D48B3">
        <w:rPr>
          <w:rFonts w:cs="Times New Roman"/>
          <w:szCs w:val="22"/>
        </w:rPr>
        <w:t>to end users and technicians.</w:t>
      </w:r>
      <w:r>
        <w:rPr>
          <w:rFonts w:cs="Times New Roman"/>
          <w:szCs w:val="22"/>
        </w:rPr>
        <w:t xml:space="preserve"> Compared to the conventional older large charge ammonia designs, the modern, small charge ammonia plants are proving to be readily </w:t>
      </w:r>
      <w:r w:rsidRPr="00DB5A1B">
        <w:rPr>
          <w:rFonts w:cs="Times New Roman"/>
          <w:szCs w:val="22"/>
        </w:rPr>
        <w:t xml:space="preserve">adaptable to a </w:t>
      </w:r>
      <w:r>
        <w:rPr>
          <w:rFonts w:cs="Times New Roman"/>
          <w:szCs w:val="22"/>
        </w:rPr>
        <w:t xml:space="preserve">large range of applications and </w:t>
      </w:r>
      <w:r w:rsidRPr="00DB5A1B">
        <w:rPr>
          <w:rFonts w:cs="Times New Roman"/>
          <w:szCs w:val="22"/>
        </w:rPr>
        <w:t>site layouts,</w:t>
      </w:r>
      <w:r>
        <w:rPr>
          <w:rFonts w:cs="Times New Roman"/>
          <w:szCs w:val="22"/>
        </w:rPr>
        <w:t xml:space="preserve"> with high degree of mobility.</w:t>
      </w:r>
      <w:r>
        <w:rPr>
          <w:rStyle w:val="FootnoteReference"/>
          <w:rFonts w:cs="Times New Roman"/>
          <w:szCs w:val="22"/>
        </w:rPr>
        <w:footnoteReference w:id="54"/>
      </w:r>
    </w:p>
    <w:p w14:paraId="358B7004" w14:textId="6463BEB1" w:rsidR="00494690" w:rsidRDefault="00494690" w:rsidP="00494690">
      <w:pPr>
        <w:rPr>
          <w:rFonts w:cs="Times New Roman"/>
          <w:szCs w:val="22"/>
        </w:rPr>
      </w:pPr>
      <w:r>
        <w:rPr>
          <w:rFonts w:cs="Times New Roman"/>
          <w:szCs w:val="22"/>
        </w:rPr>
        <w:t>Most importantly from a business perspective, the a</w:t>
      </w:r>
      <w:r w:rsidRPr="00DB5A1B">
        <w:rPr>
          <w:rFonts w:cs="Times New Roman"/>
          <w:szCs w:val="22"/>
        </w:rPr>
        <w:t xml:space="preserve">nnual energy consumption </w:t>
      </w:r>
      <w:r>
        <w:rPr>
          <w:rFonts w:cs="Times New Roman"/>
          <w:szCs w:val="22"/>
        </w:rPr>
        <w:t xml:space="preserve">of the new ammonia systems can </w:t>
      </w:r>
      <w:r w:rsidR="00372156">
        <w:rPr>
          <w:rFonts w:cs="Times New Roman"/>
          <w:szCs w:val="22"/>
        </w:rPr>
        <w:t>be</w:t>
      </w:r>
      <w:r>
        <w:rPr>
          <w:rFonts w:cs="Times New Roman"/>
          <w:szCs w:val="22"/>
        </w:rPr>
        <w:t xml:space="preserve"> as little as one third of </w:t>
      </w:r>
      <w:r w:rsidR="00982721">
        <w:rPr>
          <w:rFonts w:cs="Times New Roman"/>
          <w:szCs w:val="22"/>
        </w:rPr>
        <w:t xml:space="preserve">the older </w:t>
      </w:r>
      <w:r w:rsidRPr="00DB5A1B">
        <w:rPr>
          <w:rFonts w:cs="Times New Roman"/>
          <w:szCs w:val="22"/>
        </w:rPr>
        <w:t>HFC</w:t>
      </w:r>
      <w:r>
        <w:rPr>
          <w:rFonts w:cs="Times New Roman"/>
          <w:szCs w:val="22"/>
        </w:rPr>
        <w:t>/HCFC</w:t>
      </w:r>
      <w:r w:rsidRPr="00DB5A1B">
        <w:rPr>
          <w:rFonts w:cs="Times New Roman"/>
          <w:szCs w:val="22"/>
        </w:rPr>
        <w:t xml:space="preserve"> based systems</w:t>
      </w:r>
      <w:r>
        <w:rPr>
          <w:rFonts w:cs="Times New Roman"/>
          <w:szCs w:val="22"/>
        </w:rPr>
        <w:t>. The capital cost of the new systems is also substantially lower than traditional designs with the smaller</w:t>
      </w:r>
      <w:r w:rsidRPr="00DB5A1B">
        <w:rPr>
          <w:rFonts w:cs="Times New Roman"/>
          <w:szCs w:val="22"/>
        </w:rPr>
        <w:t xml:space="preserve"> ammonia</w:t>
      </w:r>
      <w:r>
        <w:rPr>
          <w:rFonts w:cs="Times New Roman"/>
          <w:szCs w:val="22"/>
        </w:rPr>
        <w:t xml:space="preserve"> plants now able to compete head-to-head with</w:t>
      </w:r>
      <w:r w:rsidRPr="00DB5A1B">
        <w:rPr>
          <w:rFonts w:cs="Times New Roman"/>
          <w:szCs w:val="22"/>
        </w:rPr>
        <w:t xml:space="preserve"> 100</w:t>
      </w:r>
      <w:r>
        <w:rPr>
          <w:rFonts w:cs="Times New Roman"/>
          <w:szCs w:val="22"/>
        </w:rPr>
        <w:t xml:space="preserve"> </w:t>
      </w:r>
      <w:r w:rsidRPr="00DB5A1B">
        <w:rPr>
          <w:rFonts w:cs="Times New Roman"/>
          <w:szCs w:val="22"/>
        </w:rPr>
        <w:t>kW</w:t>
      </w:r>
      <w:r>
        <w:rPr>
          <w:rFonts w:cs="Times New Roman"/>
          <w:szCs w:val="22"/>
        </w:rPr>
        <w:t>r</w:t>
      </w:r>
      <w:r w:rsidRPr="00DB5A1B">
        <w:rPr>
          <w:rFonts w:cs="Times New Roman"/>
          <w:szCs w:val="22"/>
        </w:rPr>
        <w:t xml:space="preserve"> HFC-based systems</w:t>
      </w:r>
      <w:r>
        <w:rPr>
          <w:rFonts w:cs="Times New Roman"/>
          <w:szCs w:val="22"/>
        </w:rPr>
        <w:t>. Combined with the strong energy saving returns, small charge packaged ammonia systems –w</w:t>
      </w:r>
      <w:r w:rsidRPr="00DB5A1B">
        <w:rPr>
          <w:rFonts w:cs="Times New Roman"/>
          <w:szCs w:val="22"/>
        </w:rPr>
        <w:t>hether</w:t>
      </w:r>
      <w:r>
        <w:rPr>
          <w:rFonts w:cs="Times New Roman"/>
          <w:szCs w:val="22"/>
        </w:rPr>
        <w:t xml:space="preserve"> new plant or retrofitted – are able to pay for themselves within </w:t>
      </w:r>
      <w:r w:rsidRPr="00DB5A1B">
        <w:rPr>
          <w:rFonts w:cs="Times New Roman"/>
          <w:szCs w:val="22"/>
        </w:rPr>
        <w:t>3 to 6 years based on energy savings alone.</w:t>
      </w:r>
    </w:p>
    <w:p w14:paraId="41551E59" w14:textId="77777777" w:rsidR="00494690" w:rsidRDefault="00494690" w:rsidP="00494690">
      <w:pPr>
        <w:rPr>
          <w:rFonts w:cs="Times New Roman"/>
          <w:szCs w:val="22"/>
        </w:rPr>
      </w:pPr>
      <w:r>
        <w:rPr>
          <w:rFonts w:cs="Times New Roman"/>
          <w:szCs w:val="22"/>
        </w:rPr>
        <w:t>From a business planning perspective ammonia is also an attractive option because ammonia charged systems are essentially</w:t>
      </w:r>
      <w:r w:rsidRPr="00DB5A1B">
        <w:rPr>
          <w:rFonts w:cs="Times New Roman"/>
          <w:szCs w:val="22"/>
        </w:rPr>
        <w:t xml:space="preserve"> future proof</w:t>
      </w:r>
      <w:r>
        <w:rPr>
          <w:rFonts w:cs="Times New Roman"/>
          <w:szCs w:val="22"/>
        </w:rPr>
        <w:t>ed against the effect of HFC restrictions</w:t>
      </w:r>
      <w:r w:rsidRPr="00DB5A1B">
        <w:rPr>
          <w:rFonts w:cs="Times New Roman"/>
          <w:szCs w:val="22"/>
        </w:rPr>
        <w:t>.</w:t>
      </w:r>
    </w:p>
    <w:p w14:paraId="797A0E73" w14:textId="4026CBA1" w:rsidR="00494690" w:rsidRDefault="00494690" w:rsidP="00494690">
      <w:pPr>
        <w:rPr>
          <w:rFonts w:cs="Times New Roman"/>
          <w:szCs w:val="22"/>
        </w:rPr>
      </w:pPr>
      <w:r>
        <w:rPr>
          <w:rFonts w:cs="Times New Roman"/>
          <w:szCs w:val="22"/>
        </w:rPr>
        <w:t>In this particular segment of the industry it is generally</w:t>
      </w:r>
      <w:r w:rsidRPr="00D674CE">
        <w:rPr>
          <w:rFonts w:cs="Times New Roman"/>
          <w:szCs w:val="22"/>
        </w:rPr>
        <w:t xml:space="preserve"> acknowledged</w:t>
      </w:r>
      <w:r>
        <w:rPr>
          <w:rFonts w:cs="Times New Roman"/>
          <w:szCs w:val="22"/>
        </w:rPr>
        <w:t xml:space="preserve"> t</w:t>
      </w:r>
      <w:r w:rsidRPr="00D674CE">
        <w:rPr>
          <w:rFonts w:cs="Times New Roman"/>
          <w:szCs w:val="22"/>
        </w:rPr>
        <w:t xml:space="preserve">hat the technicians </w:t>
      </w:r>
      <w:r>
        <w:rPr>
          <w:rFonts w:cs="Times New Roman"/>
          <w:szCs w:val="22"/>
        </w:rPr>
        <w:t xml:space="preserve">available </w:t>
      </w:r>
      <w:r w:rsidRPr="00D674CE">
        <w:rPr>
          <w:rFonts w:cs="Times New Roman"/>
          <w:szCs w:val="22"/>
        </w:rPr>
        <w:t xml:space="preserve">to handle </w:t>
      </w:r>
      <w:r>
        <w:rPr>
          <w:rFonts w:cs="Times New Roman"/>
          <w:szCs w:val="22"/>
        </w:rPr>
        <w:t>ammonia</w:t>
      </w:r>
      <w:r w:rsidRPr="00D674CE">
        <w:rPr>
          <w:rFonts w:cs="Times New Roman"/>
          <w:szCs w:val="22"/>
        </w:rPr>
        <w:t xml:space="preserve"> refrigerant</w:t>
      </w:r>
      <w:r>
        <w:rPr>
          <w:rFonts w:cs="Times New Roman"/>
          <w:szCs w:val="22"/>
        </w:rPr>
        <w:t xml:space="preserve"> sy</w:t>
      </w:r>
      <w:r w:rsidR="005E112C">
        <w:rPr>
          <w:rFonts w:cs="Times New Roman"/>
          <w:szCs w:val="22"/>
        </w:rPr>
        <w:t>stems are operating at capacity</w:t>
      </w:r>
      <w:r>
        <w:rPr>
          <w:rFonts w:cs="Times New Roman"/>
          <w:szCs w:val="22"/>
        </w:rPr>
        <w:t xml:space="preserve">. </w:t>
      </w:r>
    </w:p>
    <w:p w14:paraId="5A8954FA" w14:textId="61978203" w:rsidR="00494690" w:rsidRDefault="00494690" w:rsidP="00494690">
      <w:pPr>
        <w:rPr>
          <w:rFonts w:cs="Times New Roman"/>
          <w:szCs w:val="22"/>
        </w:rPr>
      </w:pPr>
      <w:r>
        <w:rPr>
          <w:rFonts w:cs="Times New Roman"/>
          <w:szCs w:val="22"/>
        </w:rPr>
        <w:t>While the relative simpl</w:t>
      </w:r>
      <w:r w:rsidRPr="006C2DD7">
        <w:rPr>
          <w:rFonts w:cs="Times New Roman"/>
          <w:szCs w:val="22"/>
        </w:rPr>
        <w:t xml:space="preserve">icity </w:t>
      </w:r>
      <w:r>
        <w:rPr>
          <w:rFonts w:cs="Times New Roman"/>
          <w:szCs w:val="22"/>
        </w:rPr>
        <w:t xml:space="preserve">and safety </w:t>
      </w:r>
      <w:r w:rsidRPr="006C2DD7">
        <w:rPr>
          <w:rFonts w:cs="Times New Roman"/>
          <w:szCs w:val="22"/>
        </w:rPr>
        <w:t>of</w:t>
      </w:r>
      <w:r>
        <w:rPr>
          <w:rFonts w:cs="Times New Roman"/>
          <w:szCs w:val="22"/>
        </w:rPr>
        <w:t xml:space="preserve"> new </w:t>
      </w:r>
      <w:r w:rsidR="00DE7230">
        <w:rPr>
          <w:rFonts w:cs="Times New Roman"/>
          <w:szCs w:val="22"/>
        </w:rPr>
        <w:t xml:space="preserve">ammonia </w:t>
      </w:r>
      <w:r>
        <w:rPr>
          <w:rFonts w:cs="Times New Roman"/>
          <w:szCs w:val="22"/>
        </w:rPr>
        <w:t>designs does make it easier to train technicians</w:t>
      </w:r>
      <w:r w:rsidR="00DE7230">
        <w:rPr>
          <w:rFonts w:cs="Times New Roman"/>
          <w:szCs w:val="22"/>
        </w:rPr>
        <w:t>,</w:t>
      </w:r>
      <w:r>
        <w:rPr>
          <w:rFonts w:cs="Times New Roman"/>
          <w:szCs w:val="22"/>
        </w:rPr>
        <w:t xml:space="preserve"> the trend to more compact, cheaper and safer systems also mean that this market could experience </w:t>
      </w:r>
      <w:r w:rsidR="00DE7230">
        <w:rPr>
          <w:rFonts w:cs="Times New Roman"/>
          <w:szCs w:val="22"/>
        </w:rPr>
        <w:t xml:space="preserve">rapidly </w:t>
      </w:r>
      <w:r>
        <w:rPr>
          <w:rFonts w:cs="Times New Roman"/>
          <w:szCs w:val="22"/>
        </w:rPr>
        <w:t xml:space="preserve">rising demand in capacities below 50 kW, opening up a much wider range of applications along the cold food chain. If this trend meets with a </w:t>
      </w:r>
      <w:r w:rsidR="00DE7230">
        <w:rPr>
          <w:rFonts w:cs="Times New Roman"/>
          <w:szCs w:val="22"/>
        </w:rPr>
        <w:t xml:space="preserve">limited </w:t>
      </w:r>
      <w:r w:rsidRPr="006C2DD7">
        <w:rPr>
          <w:rFonts w:cs="Times New Roman"/>
          <w:szCs w:val="22"/>
        </w:rPr>
        <w:t xml:space="preserve">supply of qualified </w:t>
      </w:r>
      <w:r w:rsidR="005D1B7B" w:rsidRPr="006C2DD7">
        <w:rPr>
          <w:rFonts w:cs="Times New Roman"/>
          <w:szCs w:val="22"/>
        </w:rPr>
        <w:t>technicians,</w:t>
      </w:r>
      <w:r>
        <w:rPr>
          <w:rFonts w:cs="Times New Roman"/>
          <w:szCs w:val="22"/>
        </w:rPr>
        <w:t xml:space="preserve"> then industry constraints could </w:t>
      </w:r>
      <w:r w:rsidR="00DE7230">
        <w:rPr>
          <w:rFonts w:cs="Times New Roman"/>
          <w:szCs w:val="22"/>
        </w:rPr>
        <w:t>limit</w:t>
      </w:r>
      <w:r>
        <w:rPr>
          <w:rFonts w:cs="Times New Roman"/>
          <w:szCs w:val="22"/>
        </w:rPr>
        <w:t xml:space="preserve"> an important opportunity for segments of the cold food chain to move away from </w:t>
      </w:r>
      <w:r w:rsidR="00234F03">
        <w:rPr>
          <w:rFonts w:cs="Times New Roman"/>
          <w:szCs w:val="22"/>
        </w:rPr>
        <w:t xml:space="preserve">the </w:t>
      </w:r>
      <w:r>
        <w:rPr>
          <w:rFonts w:cs="Times New Roman"/>
          <w:szCs w:val="22"/>
        </w:rPr>
        <w:t>use of HFCs in the decade ahead.</w:t>
      </w:r>
      <w:r w:rsidR="00DE7230">
        <w:rPr>
          <w:rFonts w:cs="Times New Roman"/>
          <w:szCs w:val="22"/>
        </w:rPr>
        <w:t xml:space="preserve"> The recent opening of a privately funded dedicated ammonia refrigeration training facility in Sydney is an important step towards overcoming the skills bottleneck.</w:t>
      </w:r>
    </w:p>
    <w:p w14:paraId="618DD6C1" w14:textId="0EC8E74A" w:rsidR="00494690" w:rsidRDefault="00494690" w:rsidP="00494690">
      <w:pPr>
        <w:rPr>
          <w:rFonts w:cs="Times New Roman"/>
          <w:szCs w:val="22"/>
        </w:rPr>
      </w:pPr>
      <w:r>
        <w:rPr>
          <w:rFonts w:cs="Times New Roman"/>
          <w:szCs w:val="22"/>
        </w:rPr>
        <w:t>The acceleration of wider ammonia adoption is also likely to benefit from l</w:t>
      </w:r>
      <w:r w:rsidRPr="00DB5A1B">
        <w:rPr>
          <w:rFonts w:cs="Times New Roman"/>
          <w:szCs w:val="22"/>
        </w:rPr>
        <w:t>ow-charge packaged</w:t>
      </w:r>
      <w:r>
        <w:rPr>
          <w:rFonts w:cs="Times New Roman"/>
          <w:szCs w:val="22"/>
        </w:rPr>
        <w:t xml:space="preserve"> </w:t>
      </w:r>
      <w:r w:rsidRPr="00DB5A1B">
        <w:rPr>
          <w:rFonts w:cs="Times New Roman"/>
          <w:szCs w:val="22"/>
        </w:rPr>
        <w:t>ammonia units for industrial applications</w:t>
      </w:r>
      <w:r>
        <w:rPr>
          <w:rFonts w:cs="Times New Roman"/>
          <w:szCs w:val="22"/>
        </w:rPr>
        <w:t xml:space="preserve"> where </w:t>
      </w:r>
      <w:r w:rsidRPr="005E112C">
        <w:rPr>
          <w:rFonts w:cs="Times New Roman"/>
          <w:szCs w:val="22"/>
        </w:rPr>
        <w:t>ammonia-CO</w:t>
      </w:r>
      <w:r w:rsidRPr="005E112C">
        <w:rPr>
          <w:rFonts w:cs="Times New Roman"/>
          <w:szCs w:val="22"/>
          <w:vertAlign w:val="subscript"/>
        </w:rPr>
        <w:t>2</w:t>
      </w:r>
      <w:r w:rsidRPr="005E112C">
        <w:rPr>
          <w:rFonts w:cs="Times New Roman"/>
          <w:szCs w:val="22"/>
        </w:rPr>
        <w:t xml:space="preserve"> cascade systems</w:t>
      </w:r>
      <w:r>
        <w:rPr>
          <w:rFonts w:cs="Times New Roman"/>
          <w:szCs w:val="22"/>
        </w:rPr>
        <w:t xml:space="preserve"> are </w:t>
      </w:r>
      <w:r w:rsidR="005E112C">
        <w:rPr>
          <w:rFonts w:cs="Times New Roman"/>
          <w:szCs w:val="22"/>
        </w:rPr>
        <w:t xml:space="preserve">sometimes </w:t>
      </w:r>
      <w:r>
        <w:rPr>
          <w:rFonts w:cs="Times New Roman"/>
          <w:szCs w:val="22"/>
        </w:rPr>
        <w:t>employed.</w:t>
      </w:r>
    </w:p>
    <w:p w14:paraId="1974A573" w14:textId="634A3277" w:rsidR="00494690" w:rsidRDefault="00494690" w:rsidP="00494690">
      <w:pPr>
        <w:rPr>
          <w:rFonts w:cs="Times New Roman"/>
          <w:szCs w:val="22"/>
        </w:rPr>
      </w:pPr>
      <w:r>
        <w:rPr>
          <w:rFonts w:cs="Times New Roman"/>
          <w:szCs w:val="22"/>
        </w:rPr>
        <w:t>Wider demonstration of these systems could see substantial demand arising from other food industry trends such as the rise of ready-made meal business</w:t>
      </w:r>
      <w:r w:rsidR="00372156">
        <w:rPr>
          <w:rFonts w:cs="Times New Roman"/>
          <w:szCs w:val="22"/>
        </w:rPr>
        <w:t>es</w:t>
      </w:r>
      <w:r>
        <w:rPr>
          <w:rFonts w:cs="Times New Roman"/>
          <w:szCs w:val="22"/>
        </w:rPr>
        <w:t xml:space="preserve"> like Lite n Easy. Other segments of the cold food chain that could move rapidly to these systems, where there is both new investment and existing plant being taken off HFC charged equipment, include </w:t>
      </w:r>
      <w:r w:rsidRPr="00A31EE4">
        <w:rPr>
          <w:rFonts w:cs="Times New Roman"/>
          <w:szCs w:val="22"/>
        </w:rPr>
        <w:t>beverage process</w:t>
      </w:r>
      <w:r w:rsidR="00372156">
        <w:rPr>
          <w:rFonts w:cs="Times New Roman"/>
          <w:szCs w:val="22"/>
        </w:rPr>
        <w:t>or</w:t>
      </w:r>
      <w:r w:rsidRPr="00A31EE4">
        <w:rPr>
          <w:rFonts w:cs="Times New Roman"/>
          <w:szCs w:val="22"/>
        </w:rPr>
        <w:t>s (</w:t>
      </w:r>
      <w:r>
        <w:rPr>
          <w:rFonts w:cs="Times New Roman"/>
          <w:szCs w:val="22"/>
        </w:rPr>
        <w:t xml:space="preserve">e.g. </w:t>
      </w:r>
      <w:r w:rsidRPr="00A31EE4">
        <w:rPr>
          <w:rFonts w:cs="Times New Roman"/>
          <w:szCs w:val="22"/>
        </w:rPr>
        <w:t>dairy, beer, soft drinks)</w:t>
      </w:r>
      <w:r>
        <w:rPr>
          <w:rFonts w:cs="Times New Roman"/>
          <w:szCs w:val="22"/>
        </w:rPr>
        <w:t xml:space="preserve">, packaged frozen food producers, ice cream makers, </w:t>
      </w:r>
      <w:r w:rsidR="00372156">
        <w:rPr>
          <w:rFonts w:cs="Times New Roman"/>
          <w:szCs w:val="22"/>
        </w:rPr>
        <w:t xml:space="preserve">and </w:t>
      </w:r>
      <w:r w:rsidRPr="00A31EE4">
        <w:rPr>
          <w:rFonts w:cs="Times New Roman"/>
          <w:szCs w:val="22"/>
        </w:rPr>
        <w:t>vegetable processing plants (</w:t>
      </w:r>
      <w:r>
        <w:rPr>
          <w:rFonts w:cs="Times New Roman"/>
          <w:szCs w:val="22"/>
        </w:rPr>
        <w:t xml:space="preserve">e.g. </w:t>
      </w:r>
      <w:r w:rsidR="00234F03">
        <w:rPr>
          <w:rFonts w:cs="Times New Roman"/>
          <w:szCs w:val="22"/>
        </w:rPr>
        <w:t>potato chip</w:t>
      </w:r>
      <w:r>
        <w:rPr>
          <w:rFonts w:cs="Times New Roman"/>
          <w:szCs w:val="22"/>
        </w:rPr>
        <w:t xml:space="preserve"> lines, peas, broccoli, etc.)</w:t>
      </w:r>
    </w:p>
    <w:p w14:paraId="2326FD4B" w14:textId="52827B36" w:rsidR="00494690" w:rsidRDefault="00494690" w:rsidP="00494690">
      <w:pPr>
        <w:rPr>
          <w:rFonts w:cs="Times New Roman"/>
          <w:szCs w:val="22"/>
        </w:rPr>
      </w:pPr>
      <w:r>
        <w:rPr>
          <w:rFonts w:cs="Times New Roman"/>
          <w:szCs w:val="22"/>
        </w:rPr>
        <w:t xml:space="preserve">It should also be noted that large-scale heating </w:t>
      </w:r>
      <w:r w:rsidRPr="009D48B3">
        <w:rPr>
          <w:rFonts w:cs="Times New Roman"/>
          <w:szCs w:val="22"/>
        </w:rPr>
        <w:t>projects are proving fertile ground</w:t>
      </w:r>
      <w:r>
        <w:rPr>
          <w:rFonts w:cs="Times New Roman"/>
          <w:szCs w:val="22"/>
        </w:rPr>
        <w:t xml:space="preserve"> </w:t>
      </w:r>
      <w:r w:rsidRPr="009D48B3">
        <w:rPr>
          <w:rFonts w:cs="Times New Roman"/>
          <w:szCs w:val="22"/>
        </w:rPr>
        <w:t>for ammonia</w:t>
      </w:r>
      <w:r>
        <w:rPr>
          <w:rFonts w:cs="Times New Roman"/>
          <w:szCs w:val="22"/>
        </w:rPr>
        <w:t xml:space="preserve"> charged systems in colder climates in Europe. Industrial heat pump </w:t>
      </w:r>
      <w:r w:rsidRPr="009D48B3">
        <w:rPr>
          <w:rFonts w:cs="Times New Roman"/>
          <w:szCs w:val="22"/>
        </w:rPr>
        <w:t>manufacturer Mayekawa</w:t>
      </w:r>
      <w:r>
        <w:rPr>
          <w:rFonts w:cs="Times New Roman"/>
          <w:szCs w:val="22"/>
        </w:rPr>
        <w:t xml:space="preserve"> reported ammonia charged industrial heating applications are demonstrating similar efficiencies to cooling technologies. While the Australian climate may limit the growth of this market, it points to rapid technological development in ammonia systems.</w:t>
      </w:r>
    </w:p>
    <w:p w14:paraId="2AFBDF81" w14:textId="565EA633" w:rsidR="00494690" w:rsidRPr="00263A62" w:rsidRDefault="00494690" w:rsidP="00494690">
      <w:pPr>
        <w:rPr>
          <w:rFonts w:cs="Times New Roman"/>
          <w:szCs w:val="22"/>
        </w:rPr>
      </w:pPr>
    </w:p>
    <w:p w14:paraId="1BBA3095" w14:textId="25255D76" w:rsidR="00494690" w:rsidRPr="00494690" w:rsidRDefault="005631FA" w:rsidP="00494690">
      <w:pPr>
        <w:pStyle w:val="Heading2"/>
      </w:pPr>
      <w:bookmarkStart w:id="100" w:name="_Toc525141281"/>
      <w:r>
        <w:t>Carbon dioxide r</w:t>
      </w:r>
      <w:r w:rsidR="00494690" w:rsidRPr="00494690">
        <w:t>efrigerant</w:t>
      </w:r>
      <w:bookmarkEnd w:id="100"/>
      <w:r w:rsidR="00494690" w:rsidRPr="00494690">
        <w:t xml:space="preserve"> </w:t>
      </w:r>
    </w:p>
    <w:p w14:paraId="50E67A00" w14:textId="57A5101A" w:rsidR="00494690" w:rsidRDefault="00494690" w:rsidP="00494690">
      <w:pPr>
        <w:rPr>
          <w:rFonts w:cs="Times New Roman"/>
          <w:lang w:val="en-AU"/>
        </w:rPr>
      </w:pPr>
      <w:r>
        <w:rPr>
          <w:rFonts w:cs="Times New Roman"/>
          <w:szCs w:val="22"/>
        </w:rPr>
        <w:t>Commercial refrigeration systems employing CO</w:t>
      </w:r>
      <w:r w:rsidRPr="00202149">
        <w:rPr>
          <w:rFonts w:cs="Times New Roman"/>
          <w:szCs w:val="22"/>
          <w:vertAlign w:val="subscript"/>
        </w:rPr>
        <w:t>2</w:t>
      </w:r>
      <w:r>
        <w:rPr>
          <w:rFonts w:cs="Times New Roman"/>
          <w:szCs w:val="22"/>
        </w:rPr>
        <w:t xml:space="preserve"> refrigerant have been proliferating in Australia during the last decade. </w:t>
      </w:r>
      <w:r w:rsidRPr="00263A62">
        <w:rPr>
          <w:rFonts w:cs="Times New Roman"/>
          <w:szCs w:val="22"/>
        </w:rPr>
        <w:t xml:space="preserve">There are </w:t>
      </w:r>
      <w:r>
        <w:rPr>
          <w:rFonts w:cs="Times New Roman"/>
          <w:szCs w:val="22"/>
        </w:rPr>
        <w:t>now more than 800</w:t>
      </w:r>
      <w:r w:rsidRPr="00263A62">
        <w:rPr>
          <w:rFonts w:cs="Times New Roman"/>
          <w:szCs w:val="22"/>
        </w:rPr>
        <w:t xml:space="preserve"> supermarket refrigeration systems containing CO</w:t>
      </w:r>
      <w:r w:rsidRPr="00263A62">
        <w:rPr>
          <w:rFonts w:cs="Times New Roman"/>
          <w:szCs w:val="22"/>
          <w:vertAlign w:val="subscript"/>
        </w:rPr>
        <w:t>2</w:t>
      </w:r>
      <w:r w:rsidRPr="00263A62">
        <w:rPr>
          <w:rFonts w:cs="Times New Roman"/>
          <w:szCs w:val="22"/>
        </w:rPr>
        <w:t>, the majority of these (&gt;9</w:t>
      </w:r>
      <w:r>
        <w:rPr>
          <w:rFonts w:cs="Times New Roman"/>
          <w:szCs w:val="22"/>
        </w:rPr>
        <w:t>5</w:t>
      </w:r>
      <w:r w:rsidR="00C9319D">
        <w:rPr>
          <w:rFonts w:cs="Times New Roman"/>
          <w:szCs w:val="22"/>
        </w:rPr>
        <w:t>%</w:t>
      </w:r>
      <w:r w:rsidRPr="00263A62">
        <w:rPr>
          <w:rFonts w:cs="Times New Roman"/>
          <w:szCs w:val="22"/>
        </w:rPr>
        <w:t xml:space="preserve">) are </w:t>
      </w:r>
      <w:r>
        <w:rPr>
          <w:rFonts w:cs="Times New Roman"/>
          <w:szCs w:val="22"/>
        </w:rPr>
        <w:t>HFC/CO</w:t>
      </w:r>
      <w:r w:rsidRPr="00202149">
        <w:rPr>
          <w:rFonts w:cs="Times New Roman"/>
          <w:szCs w:val="22"/>
          <w:vertAlign w:val="subscript"/>
        </w:rPr>
        <w:t>2</w:t>
      </w:r>
      <w:r>
        <w:rPr>
          <w:rFonts w:cs="Times New Roman"/>
          <w:szCs w:val="22"/>
        </w:rPr>
        <w:t xml:space="preserve"> cascade systems </w:t>
      </w:r>
      <w:r w:rsidRPr="003E3993">
        <w:rPr>
          <w:rFonts w:cs="Times New Roman"/>
          <w:lang w:val="en-AU"/>
        </w:rPr>
        <w:t xml:space="preserve">that </w:t>
      </w:r>
      <w:r>
        <w:rPr>
          <w:rFonts w:cs="Times New Roman"/>
          <w:lang w:val="en-AU"/>
        </w:rPr>
        <w:t>employ</w:t>
      </w:r>
      <w:r w:rsidRPr="003E3993">
        <w:rPr>
          <w:rFonts w:cs="Times New Roman"/>
          <w:lang w:val="en-AU"/>
        </w:rPr>
        <w:t xml:space="preserve"> a</w:t>
      </w:r>
      <w:r>
        <w:rPr>
          <w:rFonts w:cs="Times New Roman"/>
          <w:lang w:val="en-AU"/>
        </w:rPr>
        <w:t xml:space="preserve"> </w:t>
      </w:r>
      <w:r w:rsidRPr="003E3993">
        <w:rPr>
          <w:rFonts w:cs="Times New Roman"/>
          <w:lang w:val="en-AU"/>
        </w:rPr>
        <w:t xml:space="preserve">high GWP HFC in </w:t>
      </w:r>
      <w:r>
        <w:rPr>
          <w:rFonts w:cs="Times New Roman"/>
          <w:lang w:val="en-AU"/>
        </w:rPr>
        <w:t>the primary cooling loop</w:t>
      </w:r>
      <w:r w:rsidRPr="003E3993">
        <w:rPr>
          <w:rFonts w:cs="Times New Roman"/>
          <w:lang w:val="en-AU"/>
        </w:rPr>
        <w:t xml:space="preserve">, and </w:t>
      </w:r>
      <w:r>
        <w:rPr>
          <w:rFonts w:cs="Times New Roman"/>
          <w:lang w:val="en-AU"/>
        </w:rPr>
        <w:t xml:space="preserve">a </w:t>
      </w:r>
      <w:r w:rsidRPr="003E3993">
        <w:rPr>
          <w:rFonts w:cs="Times New Roman"/>
          <w:lang w:val="en-AU"/>
        </w:rPr>
        <w:t>charge of CO</w:t>
      </w:r>
      <w:r w:rsidRPr="003E3993">
        <w:rPr>
          <w:rFonts w:cs="Times New Roman"/>
          <w:vertAlign w:val="subscript"/>
          <w:lang w:val="en-AU"/>
        </w:rPr>
        <w:t>2</w:t>
      </w:r>
      <w:r w:rsidRPr="003E3993">
        <w:rPr>
          <w:rFonts w:cs="Times New Roman"/>
          <w:lang w:val="en-AU"/>
        </w:rPr>
        <w:t xml:space="preserve"> in a secondary </w:t>
      </w:r>
      <w:r>
        <w:rPr>
          <w:rFonts w:cs="Times New Roman"/>
          <w:lang w:val="en-AU"/>
        </w:rPr>
        <w:t>refrigerant circuit. These systems are very effective in large supermarkets employing as much as 1,000 kg of refrigerants, of which around two-thirds will be HFC-134a and one-third CO</w:t>
      </w:r>
      <w:r w:rsidRPr="00D50792">
        <w:rPr>
          <w:rFonts w:cs="Times New Roman"/>
          <w:vertAlign w:val="subscript"/>
          <w:lang w:val="en-AU"/>
        </w:rPr>
        <w:t>2</w:t>
      </w:r>
      <w:r>
        <w:rPr>
          <w:rFonts w:cs="Times New Roman"/>
          <w:lang w:val="en-AU"/>
        </w:rPr>
        <w:t xml:space="preserve">. </w:t>
      </w:r>
    </w:p>
    <w:p w14:paraId="34E342D8" w14:textId="77777777" w:rsidR="00494690" w:rsidRDefault="00494690" w:rsidP="00494690">
      <w:pPr>
        <w:rPr>
          <w:rFonts w:cs="Times New Roman"/>
          <w:szCs w:val="22"/>
        </w:rPr>
      </w:pPr>
      <w:r>
        <w:rPr>
          <w:rFonts w:cs="Times New Roman"/>
          <w:szCs w:val="22"/>
        </w:rPr>
        <w:t>CO</w:t>
      </w:r>
      <w:r w:rsidRPr="00BD26A4">
        <w:rPr>
          <w:rFonts w:cs="Times New Roman"/>
          <w:szCs w:val="22"/>
          <w:vertAlign w:val="subscript"/>
        </w:rPr>
        <w:t>2</w:t>
      </w:r>
      <w:r>
        <w:rPr>
          <w:rFonts w:cs="Times New Roman"/>
          <w:szCs w:val="22"/>
        </w:rPr>
        <w:t xml:space="preserve"> cascade and ‘CO</w:t>
      </w:r>
      <w:r w:rsidRPr="00BD26A4">
        <w:rPr>
          <w:rFonts w:cs="Times New Roman"/>
          <w:szCs w:val="22"/>
          <w:vertAlign w:val="subscript"/>
        </w:rPr>
        <w:t>2</w:t>
      </w:r>
      <w:r>
        <w:rPr>
          <w:rFonts w:cs="Times New Roman"/>
          <w:szCs w:val="22"/>
        </w:rPr>
        <w:t xml:space="preserve"> only’ systems are displacing considerable HFC refrigerant use, particularly in supermarkets and applications where the energy efficiency of these systems makes them increasingly attractive as rising electricity costs erode profit margins. </w:t>
      </w:r>
    </w:p>
    <w:p w14:paraId="0D882114" w14:textId="19230ABD" w:rsidR="00494690" w:rsidRDefault="00494690" w:rsidP="00494690">
      <w:pPr>
        <w:rPr>
          <w:rFonts w:cs="Times New Roman"/>
          <w:szCs w:val="22"/>
        </w:rPr>
      </w:pPr>
      <w:r>
        <w:rPr>
          <w:rFonts w:cs="Times New Roman"/>
          <w:szCs w:val="22"/>
        </w:rPr>
        <w:t>This is not a trend confined to just the major supermarket chains. Drakes Supermarkets in South Australia is an example of an independent supermarket operator committed to ‘CO</w:t>
      </w:r>
      <w:r w:rsidRPr="008E2899">
        <w:rPr>
          <w:rFonts w:cs="Times New Roman"/>
          <w:szCs w:val="22"/>
          <w:vertAlign w:val="subscript"/>
        </w:rPr>
        <w:t>2</w:t>
      </w:r>
      <w:r>
        <w:rPr>
          <w:rFonts w:cs="Times New Roman"/>
          <w:szCs w:val="22"/>
        </w:rPr>
        <w:t xml:space="preserve"> only’ systems or ‘CO</w:t>
      </w:r>
      <w:r w:rsidRPr="00BD26A4">
        <w:rPr>
          <w:rFonts w:cs="Times New Roman"/>
          <w:szCs w:val="22"/>
          <w:vertAlign w:val="subscript"/>
        </w:rPr>
        <w:t>2</w:t>
      </w:r>
      <w:r>
        <w:rPr>
          <w:rFonts w:cs="Times New Roman"/>
          <w:szCs w:val="22"/>
        </w:rPr>
        <w:t xml:space="preserve"> trans-critical’ systems as they are referred to by engineers.</w:t>
      </w:r>
      <w:r w:rsidRPr="00263A62">
        <w:rPr>
          <w:rFonts w:cs="Times New Roman"/>
          <w:szCs w:val="22"/>
        </w:rPr>
        <w:t xml:space="preserve"> </w:t>
      </w:r>
      <w:r>
        <w:rPr>
          <w:rFonts w:cs="Times New Roman"/>
          <w:szCs w:val="22"/>
        </w:rPr>
        <w:t xml:space="preserve">With the majority of their 60 stores </w:t>
      </w:r>
      <w:r w:rsidR="00372156">
        <w:rPr>
          <w:rFonts w:cs="Times New Roman"/>
          <w:szCs w:val="22"/>
        </w:rPr>
        <w:t xml:space="preserve">located </w:t>
      </w:r>
      <w:r>
        <w:rPr>
          <w:rFonts w:cs="Times New Roman"/>
          <w:szCs w:val="22"/>
        </w:rPr>
        <w:t xml:space="preserve">in South Australia, </w:t>
      </w:r>
      <w:r w:rsidR="00A562BD">
        <w:rPr>
          <w:rFonts w:cs="Times New Roman"/>
          <w:szCs w:val="22"/>
        </w:rPr>
        <w:t xml:space="preserve">a </w:t>
      </w:r>
      <w:r>
        <w:rPr>
          <w:rFonts w:cs="Times New Roman"/>
          <w:szCs w:val="22"/>
        </w:rPr>
        <w:t>region with high</w:t>
      </w:r>
      <w:r w:rsidR="00A562BD">
        <w:rPr>
          <w:rFonts w:cs="Times New Roman"/>
          <w:szCs w:val="22"/>
        </w:rPr>
        <w:t xml:space="preserve"> electricity prices</w:t>
      </w:r>
      <w:r>
        <w:rPr>
          <w:rFonts w:cs="Times New Roman"/>
          <w:szCs w:val="22"/>
        </w:rPr>
        <w:t>, Drakes reports savings of between 20% and 25% on operating costs in supermarkets fitted with CO</w:t>
      </w:r>
      <w:r w:rsidRPr="00E458EF">
        <w:rPr>
          <w:rFonts w:cs="Times New Roman"/>
          <w:szCs w:val="22"/>
          <w:vertAlign w:val="subscript"/>
        </w:rPr>
        <w:t>2</w:t>
      </w:r>
      <w:r>
        <w:rPr>
          <w:rFonts w:cs="Times New Roman"/>
          <w:szCs w:val="22"/>
        </w:rPr>
        <w:t xml:space="preserve"> trans-critical systems as compared to those with </w:t>
      </w:r>
      <w:r w:rsidR="00701F14">
        <w:rPr>
          <w:rFonts w:cs="Times New Roman"/>
          <w:szCs w:val="22"/>
        </w:rPr>
        <w:t xml:space="preserve">older </w:t>
      </w:r>
      <w:r>
        <w:rPr>
          <w:rFonts w:cs="Times New Roman"/>
          <w:szCs w:val="22"/>
        </w:rPr>
        <w:t xml:space="preserve">HFC charged systems. </w:t>
      </w:r>
    </w:p>
    <w:p w14:paraId="3A69B01E" w14:textId="0F40235C" w:rsidR="00494690" w:rsidRDefault="00494690" w:rsidP="00494690">
      <w:pPr>
        <w:rPr>
          <w:rFonts w:cs="Times New Roman"/>
          <w:szCs w:val="22"/>
        </w:rPr>
      </w:pPr>
      <w:r>
        <w:rPr>
          <w:rFonts w:cs="Times New Roman"/>
          <w:szCs w:val="22"/>
        </w:rPr>
        <w:t>Since their first investment in CO</w:t>
      </w:r>
      <w:r w:rsidRPr="00E458EF">
        <w:rPr>
          <w:rFonts w:cs="Times New Roman"/>
          <w:szCs w:val="22"/>
          <w:vertAlign w:val="subscript"/>
        </w:rPr>
        <w:t>2</w:t>
      </w:r>
      <w:r>
        <w:rPr>
          <w:rFonts w:cs="Times New Roman"/>
          <w:szCs w:val="22"/>
        </w:rPr>
        <w:t xml:space="preserve"> systems in 2007, Drakes has fitted out 14 stores with these more capital intensive systems, but as owner operators, captured the strong returns on the total cost of ownership which includes operating costs, including electricity and refrigerant </w:t>
      </w:r>
      <w:r w:rsidR="003B795E">
        <w:rPr>
          <w:rFonts w:cs="Times New Roman"/>
          <w:szCs w:val="22"/>
        </w:rPr>
        <w:t>us</w:t>
      </w:r>
      <w:r w:rsidR="00AC10A1">
        <w:rPr>
          <w:rFonts w:cs="Times New Roman"/>
          <w:szCs w:val="22"/>
        </w:rPr>
        <w:t xml:space="preserve">age </w:t>
      </w:r>
      <w:r>
        <w:rPr>
          <w:rFonts w:cs="Times New Roman"/>
          <w:szCs w:val="22"/>
        </w:rPr>
        <w:t>over the life of the equipment. In 2018 they were planning to have three additional stores fitted with CO</w:t>
      </w:r>
      <w:r w:rsidRPr="00E458EF">
        <w:rPr>
          <w:rFonts w:cs="Times New Roman"/>
          <w:szCs w:val="22"/>
          <w:vertAlign w:val="subscript"/>
        </w:rPr>
        <w:t>2</w:t>
      </w:r>
      <w:r>
        <w:rPr>
          <w:rFonts w:cs="Times New Roman"/>
          <w:szCs w:val="22"/>
        </w:rPr>
        <w:t xml:space="preserve"> trans-critical systems</w:t>
      </w:r>
      <w:r w:rsidR="0034191A">
        <w:rPr>
          <w:rFonts w:cs="Times New Roman"/>
          <w:szCs w:val="22"/>
        </w:rPr>
        <w:t xml:space="preserve"> </w:t>
      </w:r>
      <w:r>
        <w:rPr>
          <w:rFonts w:cs="Times New Roman"/>
          <w:szCs w:val="22"/>
        </w:rPr>
        <w:t>in the first quarter of the year.</w:t>
      </w:r>
    </w:p>
    <w:p w14:paraId="03963D0D" w14:textId="7A2385DE" w:rsidR="00494690" w:rsidRDefault="00494690" w:rsidP="00494690">
      <w:pPr>
        <w:rPr>
          <w:rFonts w:cs="Times New Roman"/>
          <w:szCs w:val="22"/>
        </w:rPr>
      </w:pPr>
      <w:r>
        <w:rPr>
          <w:rFonts w:cs="Times New Roman"/>
          <w:lang w:val="en-AU"/>
        </w:rPr>
        <w:t>The active adoption of cascade</w:t>
      </w:r>
      <w:r w:rsidRPr="007378D2">
        <w:rPr>
          <w:rFonts w:cs="Times New Roman"/>
          <w:lang w:val="en-AU"/>
        </w:rPr>
        <w:t xml:space="preserve"> refrigeration</w:t>
      </w:r>
      <w:r>
        <w:rPr>
          <w:rFonts w:cs="Times New Roman"/>
          <w:lang w:val="en-AU"/>
        </w:rPr>
        <w:t>,</w:t>
      </w:r>
      <w:r w:rsidRPr="007378D2">
        <w:rPr>
          <w:rFonts w:cs="Times New Roman"/>
          <w:lang w:val="en-AU"/>
        </w:rPr>
        <w:t xml:space="preserve"> </w:t>
      </w:r>
      <w:r>
        <w:rPr>
          <w:rFonts w:cs="Times New Roman"/>
          <w:lang w:val="en-AU"/>
        </w:rPr>
        <w:t>and steady growth in ‘CO</w:t>
      </w:r>
      <w:r w:rsidRPr="00096BF0">
        <w:rPr>
          <w:rFonts w:cs="Times New Roman"/>
          <w:vertAlign w:val="subscript"/>
          <w:lang w:val="en-AU"/>
        </w:rPr>
        <w:t>2</w:t>
      </w:r>
      <w:r>
        <w:rPr>
          <w:rFonts w:cs="Times New Roman"/>
          <w:lang w:val="en-AU"/>
        </w:rPr>
        <w:t xml:space="preserve"> only’ </w:t>
      </w:r>
      <w:r w:rsidRPr="007378D2">
        <w:rPr>
          <w:rFonts w:cs="Times New Roman"/>
          <w:lang w:val="en-AU"/>
        </w:rPr>
        <w:t xml:space="preserve">systems </w:t>
      </w:r>
      <w:r>
        <w:rPr>
          <w:rFonts w:cs="Times New Roman"/>
          <w:lang w:val="en-AU"/>
        </w:rPr>
        <w:t xml:space="preserve">by the supermarket sector is discussed further in </w:t>
      </w:r>
      <w:r w:rsidRPr="008E2899">
        <w:rPr>
          <w:rFonts w:cs="Times New Roman"/>
          <w:i/>
          <w:lang w:val="en-AU"/>
        </w:rPr>
        <w:t xml:space="preserve">Section </w:t>
      </w:r>
      <w:r w:rsidR="00BB16C6">
        <w:rPr>
          <w:rFonts w:cs="Times New Roman"/>
          <w:i/>
          <w:lang w:val="en-AU"/>
        </w:rPr>
        <w:t>4.4.3</w:t>
      </w:r>
      <w:r w:rsidRPr="008E2899">
        <w:rPr>
          <w:rFonts w:cs="Times New Roman"/>
          <w:i/>
          <w:lang w:val="en-AU"/>
        </w:rPr>
        <w:t xml:space="preserve"> RCFC3 Supermarkets</w:t>
      </w:r>
      <w:r>
        <w:rPr>
          <w:rFonts w:cs="Times New Roman"/>
          <w:lang w:val="en-AU"/>
        </w:rPr>
        <w:t>.</w:t>
      </w:r>
      <w:r w:rsidRPr="00096BF0">
        <w:rPr>
          <w:rFonts w:cs="Times New Roman"/>
          <w:lang w:val="en-AU"/>
        </w:rPr>
        <w:t xml:space="preserve"> </w:t>
      </w:r>
      <w:r w:rsidRPr="00263A62">
        <w:rPr>
          <w:rFonts w:cs="Times New Roman"/>
          <w:szCs w:val="22"/>
        </w:rPr>
        <w:t>CO</w:t>
      </w:r>
      <w:r w:rsidRPr="00263A62">
        <w:rPr>
          <w:rFonts w:cs="Times New Roman"/>
          <w:szCs w:val="22"/>
          <w:vertAlign w:val="subscript"/>
        </w:rPr>
        <w:t>2</w:t>
      </w:r>
      <w:r>
        <w:rPr>
          <w:rFonts w:cs="Times New Roman"/>
          <w:szCs w:val="22"/>
        </w:rPr>
        <w:t xml:space="preserve"> systems are also </w:t>
      </w:r>
      <w:r w:rsidRPr="00263A62">
        <w:rPr>
          <w:rFonts w:cs="Times New Roman"/>
          <w:szCs w:val="22"/>
        </w:rPr>
        <w:t>be</w:t>
      </w:r>
      <w:r>
        <w:rPr>
          <w:rFonts w:cs="Times New Roman"/>
          <w:szCs w:val="22"/>
        </w:rPr>
        <w:t>ing employed</w:t>
      </w:r>
      <w:r w:rsidRPr="00263A62">
        <w:rPr>
          <w:rFonts w:cs="Times New Roman"/>
          <w:szCs w:val="22"/>
        </w:rPr>
        <w:t xml:space="preserve"> in small</w:t>
      </w:r>
      <w:r>
        <w:rPr>
          <w:rFonts w:cs="Times New Roman"/>
          <w:szCs w:val="22"/>
        </w:rPr>
        <w:t>er</w:t>
      </w:r>
      <w:r w:rsidRPr="00263A62">
        <w:rPr>
          <w:rFonts w:cs="Times New Roman"/>
          <w:szCs w:val="22"/>
        </w:rPr>
        <w:t xml:space="preserve"> numbers in large licensed clubs and food process</w:t>
      </w:r>
      <w:r>
        <w:rPr>
          <w:rFonts w:cs="Times New Roman"/>
          <w:szCs w:val="22"/>
        </w:rPr>
        <w:t>ing</w:t>
      </w:r>
      <w:r w:rsidRPr="00263A62">
        <w:rPr>
          <w:rFonts w:cs="Times New Roman"/>
          <w:szCs w:val="22"/>
        </w:rPr>
        <w:t xml:space="preserve"> applications.</w:t>
      </w:r>
    </w:p>
    <w:p w14:paraId="35B0E082" w14:textId="77777777" w:rsidR="00494690" w:rsidRPr="00263A62" w:rsidRDefault="00494690" w:rsidP="00494690">
      <w:pPr>
        <w:rPr>
          <w:rFonts w:cs="Times New Roman"/>
          <w:szCs w:val="22"/>
        </w:rPr>
      </w:pPr>
      <w:r w:rsidRPr="00263A62">
        <w:rPr>
          <w:rFonts w:cs="Times New Roman"/>
          <w:szCs w:val="22"/>
        </w:rPr>
        <w:t>The supply chain for CO</w:t>
      </w:r>
      <w:r w:rsidRPr="00263A62">
        <w:rPr>
          <w:rFonts w:cs="Times New Roman"/>
          <w:szCs w:val="22"/>
          <w:vertAlign w:val="subscript"/>
        </w:rPr>
        <w:t>2</w:t>
      </w:r>
      <w:r w:rsidRPr="00263A62">
        <w:rPr>
          <w:rFonts w:cs="Times New Roman"/>
          <w:szCs w:val="22"/>
        </w:rPr>
        <w:t xml:space="preserve"> is very complex with multiple steps, comprising many resellers, and sup</w:t>
      </w:r>
      <w:r>
        <w:rPr>
          <w:rFonts w:cs="Times New Roman"/>
          <w:szCs w:val="22"/>
        </w:rPr>
        <w:t>pliers sometimes going direct to end users, or with</w:t>
      </w:r>
      <w:r w:rsidRPr="00263A62">
        <w:rPr>
          <w:rFonts w:cs="Times New Roman"/>
          <w:szCs w:val="22"/>
        </w:rPr>
        <w:t xml:space="preserve"> end users purchasing CO</w:t>
      </w:r>
      <w:r w:rsidRPr="00263A62">
        <w:rPr>
          <w:rFonts w:cs="Times New Roman"/>
          <w:szCs w:val="22"/>
          <w:vertAlign w:val="subscript"/>
        </w:rPr>
        <w:t>2</w:t>
      </w:r>
      <w:r w:rsidRPr="00263A62">
        <w:rPr>
          <w:rFonts w:cs="Times New Roman"/>
          <w:szCs w:val="22"/>
        </w:rPr>
        <w:t xml:space="preserve"> from </w:t>
      </w:r>
      <w:r>
        <w:rPr>
          <w:rFonts w:cs="Times New Roman"/>
          <w:szCs w:val="22"/>
        </w:rPr>
        <w:t>further up the supply chain at the wholesale level</w:t>
      </w:r>
      <w:r w:rsidRPr="00263A62">
        <w:rPr>
          <w:rFonts w:cs="Times New Roman"/>
          <w:szCs w:val="22"/>
        </w:rPr>
        <w:t xml:space="preserve"> as part of a project</w:t>
      </w:r>
      <w:r>
        <w:rPr>
          <w:rFonts w:cs="Times New Roman"/>
          <w:szCs w:val="22"/>
        </w:rPr>
        <w:t xml:space="preserve"> or new development</w:t>
      </w:r>
      <w:r w:rsidRPr="00263A62">
        <w:rPr>
          <w:rFonts w:cs="Times New Roman"/>
          <w:szCs w:val="22"/>
        </w:rPr>
        <w:t xml:space="preserve">. Expert Group collects sales data from many of the </w:t>
      </w:r>
      <w:r>
        <w:rPr>
          <w:rFonts w:cs="Times New Roman"/>
          <w:szCs w:val="22"/>
        </w:rPr>
        <w:t xml:space="preserve">supply chain </w:t>
      </w:r>
      <w:r w:rsidRPr="00263A62">
        <w:rPr>
          <w:rFonts w:cs="Times New Roman"/>
          <w:szCs w:val="22"/>
        </w:rPr>
        <w:t xml:space="preserve">participants and estimates the average </w:t>
      </w:r>
      <w:r>
        <w:rPr>
          <w:rFonts w:cs="Times New Roman"/>
          <w:szCs w:val="22"/>
        </w:rPr>
        <w:t xml:space="preserve">sales </w:t>
      </w:r>
      <w:r w:rsidRPr="00263A62">
        <w:rPr>
          <w:rFonts w:cs="Times New Roman"/>
          <w:szCs w:val="22"/>
        </w:rPr>
        <w:t xml:space="preserve">volume over the last three years is </w:t>
      </w:r>
      <w:r>
        <w:rPr>
          <w:rFonts w:cs="Times New Roman"/>
          <w:szCs w:val="22"/>
        </w:rPr>
        <w:t xml:space="preserve">approximately </w:t>
      </w:r>
      <w:r w:rsidRPr="00263A62">
        <w:rPr>
          <w:rFonts w:cs="Times New Roman"/>
          <w:szCs w:val="22"/>
        </w:rPr>
        <w:t>120 tonnes per annum</w:t>
      </w:r>
      <w:r>
        <w:rPr>
          <w:rFonts w:cs="Times New Roman"/>
          <w:szCs w:val="22"/>
        </w:rPr>
        <w:t xml:space="preserve"> (</w:t>
      </w:r>
      <w:r w:rsidRPr="00D6232E">
        <w:rPr>
          <w:rFonts w:cs="Times New Roman"/>
          <w:i/>
          <w:szCs w:val="22"/>
        </w:rPr>
        <w:t>CHF2 ~70 tonnes</w:t>
      </w:r>
      <w:r>
        <w:rPr>
          <w:rFonts w:cs="Times New Roman"/>
          <w:i/>
          <w:szCs w:val="22"/>
        </w:rPr>
        <w:t xml:space="preserve"> per annum</w:t>
      </w:r>
      <w:r>
        <w:rPr>
          <w:rFonts w:cs="Times New Roman"/>
          <w:szCs w:val="22"/>
        </w:rPr>
        <w:t>)</w:t>
      </w:r>
      <w:r w:rsidRPr="00263A62">
        <w:rPr>
          <w:rFonts w:cs="Times New Roman"/>
          <w:szCs w:val="22"/>
        </w:rPr>
        <w:t xml:space="preserve">.   </w:t>
      </w:r>
    </w:p>
    <w:p w14:paraId="5DA1AB53" w14:textId="77777777" w:rsidR="00494690" w:rsidRDefault="00494690" w:rsidP="00494690">
      <w:pPr>
        <w:rPr>
          <w:rFonts w:cs="Times New Roman"/>
          <w:szCs w:val="22"/>
        </w:rPr>
      </w:pPr>
      <w:r w:rsidRPr="00263A62">
        <w:rPr>
          <w:rFonts w:cs="Times New Roman"/>
          <w:szCs w:val="22"/>
        </w:rPr>
        <w:t>Although aggregate supplies of CO</w:t>
      </w:r>
      <w:r w:rsidRPr="00263A62">
        <w:rPr>
          <w:rFonts w:cs="Times New Roman"/>
          <w:szCs w:val="22"/>
          <w:vertAlign w:val="subscript"/>
        </w:rPr>
        <w:t>2</w:t>
      </w:r>
      <w:r w:rsidRPr="00263A62">
        <w:rPr>
          <w:rFonts w:cs="Times New Roman"/>
          <w:szCs w:val="22"/>
        </w:rPr>
        <w:t xml:space="preserve"> were estimated to be </w:t>
      </w:r>
      <w:r>
        <w:rPr>
          <w:rFonts w:cs="Times New Roman"/>
          <w:szCs w:val="22"/>
        </w:rPr>
        <w:t>12</w:t>
      </w:r>
      <w:r w:rsidRPr="00263A62">
        <w:rPr>
          <w:rFonts w:cs="Times New Roman"/>
          <w:szCs w:val="22"/>
        </w:rPr>
        <w:t>0 tonnes in 201</w:t>
      </w:r>
      <w:r>
        <w:rPr>
          <w:rFonts w:cs="Times New Roman"/>
          <w:szCs w:val="22"/>
        </w:rPr>
        <w:t>6</w:t>
      </w:r>
      <w:r w:rsidRPr="00263A62">
        <w:rPr>
          <w:rFonts w:cs="Times New Roman"/>
          <w:szCs w:val="22"/>
        </w:rPr>
        <w:t xml:space="preserve"> the installed base of equipment suggests that a portion of this gas is carried in the supply line, and on site as back-up supplies in manifolded cylinder pallets (i.e. Manpacks) to cover catastrophic failures (i.e. compressor fail</w:t>
      </w:r>
      <w:r>
        <w:rPr>
          <w:rFonts w:cs="Times New Roman"/>
          <w:szCs w:val="22"/>
        </w:rPr>
        <w:t xml:space="preserve">ures or ruptures of gas lines). </w:t>
      </w:r>
    </w:p>
    <w:p w14:paraId="1E366FAA" w14:textId="7E19027D" w:rsidR="00494690" w:rsidRDefault="00494690" w:rsidP="00494690">
      <w:pPr>
        <w:rPr>
          <w:rFonts w:cs="Times New Roman"/>
          <w:szCs w:val="22"/>
        </w:rPr>
      </w:pPr>
      <w:r>
        <w:rPr>
          <w:rFonts w:cs="Times New Roman"/>
          <w:szCs w:val="22"/>
        </w:rPr>
        <w:t>While designs of CO</w:t>
      </w:r>
      <w:r w:rsidRPr="00320F34">
        <w:rPr>
          <w:rFonts w:cs="Times New Roman"/>
          <w:szCs w:val="22"/>
          <w:vertAlign w:val="subscript"/>
        </w:rPr>
        <w:t>2</w:t>
      </w:r>
      <w:r>
        <w:rPr>
          <w:rFonts w:cs="Times New Roman"/>
          <w:szCs w:val="22"/>
        </w:rPr>
        <w:t xml:space="preserve"> systems are improving, owners and </w:t>
      </w:r>
      <w:r w:rsidRPr="00263A62">
        <w:rPr>
          <w:rFonts w:cs="Times New Roman"/>
          <w:szCs w:val="22"/>
        </w:rPr>
        <w:t>suppliers of CO</w:t>
      </w:r>
      <w:r w:rsidRPr="00263A62">
        <w:rPr>
          <w:rFonts w:cs="Times New Roman"/>
          <w:szCs w:val="22"/>
          <w:vertAlign w:val="subscript"/>
        </w:rPr>
        <w:t>2</w:t>
      </w:r>
      <w:r w:rsidRPr="00263A62">
        <w:rPr>
          <w:rFonts w:cs="Times New Roman"/>
          <w:szCs w:val="22"/>
        </w:rPr>
        <w:t xml:space="preserve"> refrigerant </w:t>
      </w:r>
      <w:r>
        <w:rPr>
          <w:rFonts w:cs="Times New Roman"/>
          <w:szCs w:val="22"/>
        </w:rPr>
        <w:t>report</w:t>
      </w:r>
      <w:r w:rsidRPr="00263A62">
        <w:rPr>
          <w:rFonts w:cs="Times New Roman"/>
          <w:szCs w:val="22"/>
        </w:rPr>
        <w:t xml:space="preserve"> the systems occasionally suffer gas line</w:t>
      </w:r>
      <w:r>
        <w:rPr>
          <w:rFonts w:cs="Times New Roman"/>
          <w:szCs w:val="22"/>
        </w:rPr>
        <w:t xml:space="preserve"> or seal</w:t>
      </w:r>
      <w:r w:rsidRPr="00263A62">
        <w:rPr>
          <w:rFonts w:cs="Times New Roman"/>
          <w:szCs w:val="22"/>
        </w:rPr>
        <w:t xml:space="preserve"> failures and lose their entire charge</w:t>
      </w:r>
      <w:r>
        <w:rPr>
          <w:rFonts w:cs="Times New Roman"/>
          <w:szCs w:val="22"/>
        </w:rPr>
        <w:t xml:space="preserve">, as </w:t>
      </w:r>
      <w:r w:rsidRPr="00263A62">
        <w:rPr>
          <w:rFonts w:cs="Times New Roman"/>
          <w:szCs w:val="22"/>
        </w:rPr>
        <w:t>CO</w:t>
      </w:r>
      <w:r w:rsidRPr="00263A62">
        <w:rPr>
          <w:rFonts w:cs="Times New Roman"/>
          <w:szCs w:val="22"/>
          <w:vertAlign w:val="subscript"/>
        </w:rPr>
        <w:t>2</w:t>
      </w:r>
      <w:r w:rsidRPr="00263A62">
        <w:rPr>
          <w:rFonts w:cs="Times New Roman"/>
          <w:szCs w:val="22"/>
        </w:rPr>
        <w:t xml:space="preserve"> systems have very high operating pressures. These factors </w:t>
      </w:r>
      <w:r>
        <w:rPr>
          <w:rFonts w:cs="Times New Roman"/>
          <w:szCs w:val="22"/>
        </w:rPr>
        <w:t xml:space="preserve">lead </w:t>
      </w:r>
      <w:r w:rsidRPr="00263A62">
        <w:rPr>
          <w:rFonts w:cs="Times New Roman"/>
          <w:szCs w:val="22"/>
        </w:rPr>
        <w:t xml:space="preserve">to </w:t>
      </w:r>
      <w:r>
        <w:rPr>
          <w:rFonts w:cs="Times New Roman"/>
          <w:szCs w:val="22"/>
        </w:rPr>
        <w:t xml:space="preserve">the current </w:t>
      </w:r>
      <w:r w:rsidRPr="00263A62">
        <w:rPr>
          <w:rFonts w:cs="Times New Roman"/>
          <w:szCs w:val="22"/>
        </w:rPr>
        <w:t xml:space="preserve">estimate </w:t>
      </w:r>
      <w:r>
        <w:rPr>
          <w:rFonts w:cs="Times New Roman"/>
          <w:szCs w:val="22"/>
        </w:rPr>
        <w:t xml:space="preserve">of </w:t>
      </w:r>
      <w:r w:rsidRPr="00263A62">
        <w:rPr>
          <w:rFonts w:cs="Times New Roman"/>
          <w:szCs w:val="22"/>
        </w:rPr>
        <w:t xml:space="preserve">a relatively small </w:t>
      </w:r>
      <w:r w:rsidR="009F4CB3">
        <w:rPr>
          <w:rFonts w:cs="Times New Roman"/>
          <w:szCs w:val="22"/>
        </w:rPr>
        <w:t>refrigerant bank</w:t>
      </w:r>
      <w:r w:rsidRPr="00263A62">
        <w:rPr>
          <w:rFonts w:cs="Times New Roman"/>
          <w:szCs w:val="22"/>
        </w:rPr>
        <w:t xml:space="preserve"> of CO</w:t>
      </w:r>
      <w:r w:rsidRPr="00263A62">
        <w:rPr>
          <w:rFonts w:cs="Times New Roman"/>
          <w:szCs w:val="22"/>
          <w:vertAlign w:val="subscript"/>
        </w:rPr>
        <w:t>2</w:t>
      </w:r>
      <w:r w:rsidRPr="00263A62">
        <w:rPr>
          <w:rFonts w:cs="Times New Roman"/>
          <w:szCs w:val="22"/>
        </w:rPr>
        <w:t xml:space="preserve"> refrigerant of around </w:t>
      </w:r>
      <w:r>
        <w:rPr>
          <w:rFonts w:cs="Times New Roman"/>
          <w:szCs w:val="22"/>
        </w:rPr>
        <w:t>1</w:t>
      </w:r>
      <w:r w:rsidR="00A562BD">
        <w:rPr>
          <w:rFonts w:cs="Times New Roman"/>
          <w:szCs w:val="22"/>
        </w:rPr>
        <w:t>27</w:t>
      </w:r>
      <w:r w:rsidRPr="00263A62">
        <w:rPr>
          <w:rFonts w:cs="Times New Roman"/>
          <w:szCs w:val="22"/>
        </w:rPr>
        <w:t xml:space="preserve"> tonnes. </w:t>
      </w:r>
    </w:p>
    <w:p w14:paraId="29667E70" w14:textId="77777777" w:rsidR="00494690" w:rsidRPr="00263A62" w:rsidRDefault="00494690" w:rsidP="00494690">
      <w:pPr>
        <w:rPr>
          <w:rFonts w:cs="Times New Roman"/>
          <w:szCs w:val="22"/>
        </w:rPr>
      </w:pPr>
      <w:r w:rsidRPr="00263A62">
        <w:rPr>
          <w:rFonts w:cs="Times New Roman"/>
          <w:szCs w:val="22"/>
        </w:rPr>
        <w:t xml:space="preserve">It should be noted that whilst a loss of charge is very inconvenient for the end user, the environmental impact is relatively insignificant as the refrigerant has a GWP of 1. </w:t>
      </w:r>
    </w:p>
    <w:p w14:paraId="5C0D5292" w14:textId="51747B38" w:rsidR="00494690" w:rsidRDefault="00494690" w:rsidP="00494690">
      <w:pPr>
        <w:rPr>
          <w:rFonts w:cs="Times New Roman"/>
          <w:szCs w:val="22"/>
        </w:rPr>
      </w:pPr>
      <w:r>
        <w:rPr>
          <w:rFonts w:cs="Times New Roman"/>
          <w:szCs w:val="22"/>
        </w:rPr>
        <w:t xml:space="preserve">It is expected that with the now extensive base of installed </w:t>
      </w:r>
      <w:r w:rsidRPr="00263A62">
        <w:rPr>
          <w:rFonts w:cs="Times New Roman"/>
          <w:szCs w:val="22"/>
        </w:rPr>
        <w:t>CO</w:t>
      </w:r>
      <w:r w:rsidRPr="00263A62">
        <w:rPr>
          <w:rFonts w:cs="Times New Roman"/>
          <w:szCs w:val="22"/>
          <w:vertAlign w:val="subscript"/>
        </w:rPr>
        <w:t>2</w:t>
      </w:r>
      <w:r w:rsidRPr="00263A62">
        <w:rPr>
          <w:rFonts w:cs="Times New Roman"/>
          <w:szCs w:val="22"/>
        </w:rPr>
        <w:t xml:space="preserve"> refrigerant technology</w:t>
      </w:r>
      <w:r>
        <w:rPr>
          <w:rFonts w:cs="Times New Roman"/>
          <w:szCs w:val="22"/>
        </w:rPr>
        <w:t xml:space="preserve"> in enterprises with full-time engineering support, the technology and the</w:t>
      </w:r>
      <w:r w:rsidRPr="00263A62">
        <w:rPr>
          <w:rFonts w:cs="Times New Roman"/>
          <w:szCs w:val="22"/>
        </w:rPr>
        <w:t xml:space="preserve"> expertise </w:t>
      </w:r>
      <w:r>
        <w:rPr>
          <w:rFonts w:cs="Times New Roman"/>
          <w:szCs w:val="22"/>
        </w:rPr>
        <w:t>to design and operate them will continue to evolve rapidly and be employed in</w:t>
      </w:r>
      <w:r w:rsidRPr="00263A62">
        <w:rPr>
          <w:rFonts w:cs="Times New Roman"/>
          <w:szCs w:val="22"/>
        </w:rPr>
        <w:t xml:space="preserve"> a wide</w:t>
      </w:r>
      <w:r>
        <w:rPr>
          <w:rFonts w:cs="Times New Roman"/>
          <w:szCs w:val="22"/>
        </w:rPr>
        <w:t>r</w:t>
      </w:r>
      <w:r w:rsidRPr="00263A62">
        <w:rPr>
          <w:rFonts w:cs="Times New Roman"/>
          <w:szCs w:val="22"/>
        </w:rPr>
        <w:t xml:space="preserve"> range of applications </w:t>
      </w:r>
      <w:r>
        <w:rPr>
          <w:rFonts w:cs="Times New Roman"/>
          <w:szCs w:val="22"/>
        </w:rPr>
        <w:t>in the cold food chain, including large food process</w:t>
      </w:r>
      <w:r w:rsidR="00372156">
        <w:rPr>
          <w:rFonts w:cs="Times New Roman"/>
          <w:szCs w:val="22"/>
        </w:rPr>
        <w:t>or</w:t>
      </w:r>
      <w:r>
        <w:rPr>
          <w:rFonts w:cs="Times New Roman"/>
          <w:szCs w:val="22"/>
        </w:rPr>
        <w:t>s. CO</w:t>
      </w:r>
      <w:r w:rsidRPr="00BD26A4">
        <w:rPr>
          <w:rFonts w:cs="Times New Roman"/>
          <w:szCs w:val="22"/>
          <w:vertAlign w:val="subscript"/>
        </w:rPr>
        <w:t>2</w:t>
      </w:r>
      <w:r>
        <w:rPr>
          <w:rFonts w:cs="Times New Roman"/>
          <w:szCs w:val="22"/>
        </w:rPr>
        <w:t xml:space="preserve"> systems are also being used in</w:t>
      </w:r>
      <w:r w:rsidRPr="00263A62">
        <w:rPr>
          <w:rFonts w:cs="Times New Roman"/>
          <w:szCs w:val="22"/>
        </w:rPr>
        <w:t xml:space="preserve"> truck and automotive air conditioning</w:t>
      </w:r>
      <w:r>
        <w:rPr>
          <w:rFonts w:cs="Times New Roman"/>
          <w:szCs w:val="22"/>
        </w:rPr>
        <w:t>,</w:t>
      </w:r>
      <w:r w:rsidRPr="00263A62">
        <w:rPr>
          <w:rFonts w:cs="Times New Roman"/>
          <w:szCs w:val="22"/>
        </w:rPr>
        <w:t xml:space="preserve"> </w:t>
      </w:r>
      <w:r>
        <w:rPr>
          <w:rFonts w:cs="Times New Roman"/>
          <w:szCs w:val="22"/>
        </w:rPr>
        <w:t xml:space="preserve">small </w:t>
      </w:r>
      <w:r w:rsidRPr="00263A62">
        <w:rPr>
          <w:rFonts w:cs="Times New Roman"/>
          <w:szCs w:val="22"/>
        </w:rPr>
        <w:t>refrigerated vending machines</w:t>
      </w:r>
      <w:r>
        <w:rPr>
          <w:rFonts w:cs="Times New Roman"/>
          <w:szCs w:val="22"/>
        </w:rPr>
        <w:t xml:space="preserve"> and merchandisers</w:t>
      </w:r>
      <w:r w:rsidRPr="00263A62">
        <w:rPr>
          <w:rFonts w:cs="Times New Roman"/>
          <w:szCs w:val="22"/>
        </w:rPr>
        <w:t xml:space="preserve">, hot water heat pumps and </w:t>
      </w:r>
      <w:r>
        <w:rPr>
          <w:rFonts w:cs="Times New Roman"/>
          <w:szCs w:val="22"/>
        </w:rPr>
        <w:t xml:space="preserve">for </w:t>
      </w:r>
      <w:r w:rsidRPr="00263A62">
        <w:rPr>
          <w:rFonts w:cs="Times New Roman"/>
          <w:szCs w:val="22"/>
        </w:rPr>
        <w:t xml:space="preserve">refrigerated containers known as </w:t>
      </w:r>
      <w:r w:rsidR="005E6CCA">
        <w:rPr>
          <w:rFonts w:cs="Times New Roman"/>
          <w:szCs w:val="22"/>
        </w:rPr>
        <w:t>r</w:t>
      </w:r>
      <w:r w:rsidRPr="00263A62">
        <w:rPr>
          <w:rFonts w:cs="Times New Roman"/>
          <w:szCs w:val="22"/>
        </w:rPr>
        <w:t xml:space="preserve">eefers. One such </w:t>
      </w:r>
      <w:r>
        <w:rPr>
          <w:rFonts w:cs="Times New Roman"/>
          <w:szCs w:val="22"/>
        </w:rPr>
        <w:t xml:space="preserve">new small scale </w:t>
      </w:r>
      <w:r w:rsidRPr="00263A62">
        <w:rPr>
          <w:rFonts w:cs="Times New Roman"/>
          <w:szCs w:val="22"/>
        </w:rPr>
        <w:t>example</w:t>
      </w:r>
      <w:r>
        <w:rPr>
          <w:rFonts w:cs="Times New Roman"/>
          <w:szCs w:val="22"/>
        </w:rPr>
        <w:t xml:space="preserve"> of a CO</w:t>
      </w:r>
      <w:r w:rsidRPr="00320F34">
        <w:rPr>
          <w:rFonts w:cs="Times New Roman"/>
          <w:szCs w:val="22"/>
          <w:vertAlign w:val="subscript"/>
        </w:rPr>
        <w:t>2</w:t>
      </w:r>
      <w:r>
        <w:rPr>
          <w:rFonts w:cs="Times New Roman"/>
          <w:szCs w:val="22"/>
        </w:rPr>
        <w:t xml:space="preserve"> application</w:t>
      </w:r>
      <w:r w:rsidRPr="00263A62">
        <w:rPr>
          <w:rFonts w:cs="Times New Roman"/>
          <w:szCs w:val="22"/>
        </w:rPr>
        <w:t xml:space="preserve"> is the EcoCute technology</w:t>
      </w:r>
      <w:r>
        <w:rPr>
          <w:rFonts w:cs="Times New Roman"/>
          <w:szCs w:val="22"/>
        </w:rPr>
        <w:t>,</w:t>
      </w:r>
      <w:r w:rsidRPr="00263A62">
        <w:rPr>
          <w:rFonts w:cs="Times New Roman"/>
          <w:szCs w:val="22"/>
        </w:rPr>
        <w:t xml:space="preserve"> widely available in Europe and Japan</w:t>
      </w:r>
      <w:r>
        <w:rPr>
          <w:rFonts w:cs="Times New Roman"/>
          <w:szCs w:val="22"/>
        </w:rPr>
        <w:t>,</w:t>
      </w:r>
      <w:r w:rsidRPr="00263A62">
        <w:rPr>
          <w:rFonts w:cs="Times New Roman"/>
          <w:szCs w:val="22"/>
        </w:rPr>
        <w:t xml:space="preserve"> that uses CO</w:t>
      </w:r>
      <w:r w:rsidRPr="00263A62">
        <w:rPr>
          <w:rFonts w:cs="Times New Roman"/>
          <w:szCs w:val="22"/>
          <w:vertAlign w:val="subscript"/>
        </w:rPr>
        <w:t>2</w:t>
      </w:r>
      <w:r w:rsidRPr="00263A62">
        <w:rPr>
          <w:rFonts w:cs="Times New Roman"/>
          <w:szCs w:val="22"/>
        </w:rPr>
        <w:t xml:space="preserve"> refrigerant technology on hot water heat pumps to achieve high efficiencies and low</w:t>
      </w:r>
      <w:r w:rsidR="005E6CCA">
        <w:rPr>
          <w:rFonts w:cs="Times New Roman"/>
          <w:szCs w:val="22"/>
        </w:rPr>
        <w:t>er</w:t>
      </w:r>
      <w:r w:rsidRPr="00263A62">
        <w:rPr>
          <w:rFonts w:cs="Times New Roman"/>
          <w:szCs w:val="22"/>
        </w:rPr>
        <w:t xml:space="preserve"> running costs.</w:t>
      </w:r>
      <w:r w:rsidRPr="00263A62">
        <w:rPr>
          <w:rStyle w:val="FootnoteReference"/>
          <w:rFonts w:cs="Times New Roman"/>
          <w:szCs w:val="22"/>
        </w:rPr>
        <w:footnoteReference w:id="55"/>
      </w:r>
      <w:r w:rsidRPr="00263A62">
        <w:rPr>
          <w:rFonts w:cs="Times New Roman"/>
          <w:szCs w:val="22"/>
        </w:rPr>
        <w:t xml:space="preserve"> </w:t>
      </w:r>
    </w:p>
    <w:p w14:paraId="06259A9C" w14:textId="40AC196F" w:rsidR="00494690" w:rsidRPr="00263A62" w:rsidRDefault="00494690" w:rsidP="00494690">
      <w:pPr>
        <w:rPr>
          <w:rFonts w:cs="Times New Roman"/>
          <w:szCs w:val="22"/>
        </w:rPr>
      </w:pPr>
      <w:r w:rsidRPr="00263A62">
        <w:rPr>
          <w:rFonts w:cs="Times New Roman"/>
          <w:szCs w:val="22"/>
        </w:rPr>
        <w:t>In Europe and the US some end users and manufacturers of CO</w:t>
      </w:r>
      <w:r w:rsidRPr="00263A62">
        <w:rPr>
          <w:rFonts w:cs="Times New Roman"/>
          <w:szCs w:val="22"/>
          <w:vertAlign w:val="subscript"/>
        </w:rPr>
        <w:t>2</w:t>
      </w:r>
      <w:r w:rsidRPr="00263A62">
        <w:rPr>
          <w:rFonts w:cs="Times New Roman"/>
          <w:szCs w:val="22"/>
        </w:rPr>
        <w:t xml:space="preserve"> equipment are predicting CO</w:t>
      </w:r>
      <w:r w:rsidRPr="00263A62">
        <w:rPr>
          <w:rFonts w:cs="Times New Roman"/>
          <w:szCs w:val="22"/>
          <w:vertAlign w:val="subscript"/>
        </w:rPr>
        <w:t>2</w:t>
      </w:r>
      <w:r w:rsidRPr="00263A62">
        <w:rPr>
          <w:rFonts w:cs="Times New Roman"/>
          <w:szCs w:val="22"/>
        </w:rPr>
        <w:t xml:space="preserve"> will increasingly enter the industrial arena and are expecting ammonia systems to face increased competition from CO</w:t>
      </w:r>
      <w:r w:rsidRPr="00263A62">
        <w:rPr>
          <w:rFonts w:cs="Times New Roman"/>
          <w:szCs w:val="22"/>
          <w:vertAlign w:val="subscript"/>
        </w:rPr>
        <w:t>2</w:t>
      </w:r>
      <w:r w:rsidRPr="00263A62">
        <w:rPr>
          <w:rFonts w:cs="Times New Roman"/>
          <w:szCs w:val="22"/>
        </w:rPr>
        <w:t xml:space="preserve"> trans</w:t>
      </w:r>
      <w:r>
        <w:rPr>
          <w:rFonts w:cs="Times New Roman"/>
          <w:szCs w:val="22"/>
        </w:rPr>
        <w:t>-</w:t>
      </w:r>
      <w:r w:rsidRPr="00263A62">
        <w:rPr>
          <w:rFonts w:cs="Times New Roman"/>
          <w:szCs w:val="22"/>
        </w:rPr>
        <w:t>critical systems in the industrial sphere, while foreseeing strong growth in ammonia heat pumps (i.e. low-charge packaged ammonia systems).</w:t>
      </w:r>
      <w:r w:rsidRPr="00263A62">
        <w:rPr>
          <w:rStyle w:val="FootnoteReference"/>
          <w:rFonts w:cs="Times New Roman"/>
          <w:szCs w:val="22"/>
        </w:rPr>
        <w:footnoteReference w:id="56"/>
      </w:r>
      <w:r>
        <w:rPr>
          <w:rFonts w:cs="Times New Roman"/>
          <w:szCs w:val="22"/>
        </w:rPr>
        <w:t xml:space="preserve"> </w:t>
      </w:r>
    </w:p>
    <w:p w14:paraId="6BA917E7" w14:textId="77777777" w:rsidR="00494690" w:rsidRDefault="00494690" w:rsidP="00494690">
      <w:pPr>
        <w:rPr>
          <w:rFonts w:cs="Times New Roman"/>
          <w:szCs w:val="22"/>
        </w:rPr>
      </w:pPr>
      <w:r w:rsidRPr="00263A62">
        <w:rPr>
          <w:rFonts w:cs="Times New Roman"/>
          <w:szCs w:val="22"/>
        </w:rPr>
        <w:t>Recent innovations developed by eq</w:t>
      </w:r>
      <w:r>
        <w:rPr>
          <w:rFonts w:cs="Times New Roman"/>
          <w:szCs w:val="22"/>
        </w:rPr>
        <w:t>uipment suppliers include demonstrations of micro-cascade air-</w:t>
      </w:r>
      <w:r w:rsidRPr="00263A62">
        <w:rPr>
          <w:rFonts w:cs="Times New Roman"/>
          <w:szCs w:val="22"/>
        </w:rPr>
        <w:t xml:space="preserve">cooled condensing units available in capacities from </w:t>
      </w:r>
      <w:r>
        <w:rPr>
          <w:rFonts w:cs="Times New Roman"/>
          <w:szCs w:val="22"/>
        </w:rPr>
        <w:t xml:space="preserve">capacities as small as </w:t>
      </w:r>
      <w:r w:rsidRPr="00263A62">
        <w:rPr>
          <w:rFonts w:cs="Times New Roman"/>
          <w:szCs w:val="22"/>
        </w:rPr>
        <w:t xml:space="preserve">2.5 kWr </w:t>
      </w:r>
      <w:r>
        <w:rPr>
          <w:rFonts w:cs="Times New Roman"/>
          <w:szCs w:val="22"/>
        </w:rPr>
        <w:t xml:space="preserve">and </w:t>
      </w:r>
      <w:r w:rsidRPr="00263A62">
        <w:rPr>
          <w:rFonts w:cs="Times New Roman"/>
          <w:szCs w:val="22"/>
        </w:rPr>
        <w:t>upwards. These units offer hybrid refrigeration (HFC-134a/CO</w:t>
      </w:r>
      <w:r w:rsidRPr="00263A62">
        <w:rPr>
          <w:rFonts w:cs="Times New Roman"/>
          <w:szCs w:val="22"/>
          <w:vertAlign w:val="subscript"/>
        </w:rPr>
        <w:t>2</w:t>
      </w:r>
      <w:r w:rsidRPr="00263A62">
        <w:rPr>
          <w:rFonts w:cs="Times New Roman"/>
          <w:szCs w:val="22"/>
        </w:rPr>
        <w:t>) systems for use in smaller sites and have potential for application across a broad range of commercial refrigeration applications.</w:t>
      </w:r>
      <w:r>
        <w:rPr>
          <w:rFonts w:cs="Times New Roman"/>
          <w:szCs w:val="22"/>
        </w:rPr>
        <w:t xml:space="preserve"> </w:t>
      </w:r>
    </w:p>
    <w:p w14:paraId="5106F2D3" w14:textId="77777777" w:rsidR="00494690" w:rsidRPr="00D6232E" w:rsidRDefault="00494690" w:rsidP="00494690">
      <w:pPr>
        <w:rPr>
          <w:rFonts w:cs="Times New Roman"/>
          <w:szCs w:val="22"/>
        </w:rPr>
      </w:pPr>
    </w:p>
    <w:p w14:paraId="129E76E0" w14:textId="3EB5DECF" w:rsidR="00494690" w:rsidRPr="00263A62" w:rsidRDefault="00494690" w:rsidP="00494690">
      <w:pPr>
        <w:pStyle w:val="Heading2"/>
      </w:pPr>
      <w:bookmarkStart w:id="101" w:name="_Toc525141282"/>
      <w:r>
        <w:t xml:space="preserve">Hydrocarbon </w:t>
      </w:r>
      <w:r w:rsidR="005631FA">
        <w:t>r</w:t>
      </w:r>
      <w:r>
        <w:t>efrigerant</w:t>
      </w:r>
      <w:bookmarkEnd w:id="101"/>
    </w:p>
    <w:p w14:paraId="64432A44" w14:textId="2EF2EF6A" w:rsidR="00494690" w:rsidRDefault="00494690" w:rsidP="00494690">
      <w:pPr>
        <w:rPr>
          <w:rFonts w:cs="Times New Roman"/>
          <w:szCs w:val="22"/>
        </w:rPr>
      </w:pPr>
      <w:r w:rsidRPr="00263A62">
        <w:rPr>
          <w:rFonts w:cs="Times New Roman"/>
          <w:szCs w:val="22"/>
        </w:rPr>
        <w:t xml:space="preserve">The majority of hydrocarbons are employed in </w:t>
      </w:r>
      <w:r>
        <w:rPr>
          <w:rFonts w:cs="Times New Roman"/>
          <w:szCs w:val="22"/>
        </w:rPr>
        <w:t xml:space="preserve">very </w:t>
      </w:r>
      <w:r w:rsidRPr="00263A62">
        <w:rPr>
          <w:rFonts w:cs="Times New Roman"/>
          <w:szCs w:val="22"/>
        </w:rPr>
        <w:t>small charge systems such as domestic refrigerators</w:t>
      </w:r>
      <w:r>
        <w:rPr>
          <w:rFonts w:cs="Times New Roman"/>
          <w:szCs w:val="22"/>
        </w:rPr>
        <w:t xml:space="preserve">, self-contained commercial refrigeration equipment and </w:t>
      </w:r>
      <w:r w:rsidR="005E6CCA">
        <w:rPr>
          <w:rFonts w:cs="Times New Roman"/>
          <w:szCs w:val="22"/>
        </w:rPr>
        <w:t xml:space="preserve">retrofitted </w:t>
      </w:r>
      <w:r w:rsidRPr="00263A62">
        <w:rPr>
          <w:rFonts w:cs="Times New Roman"/>
          <w:szCs w:val="22"/>
        </w:rPr>
        <w:t xml:space="preserve">automotive systems. </w:t>
      </w:r>
    </w:p>
    <w:p w14:paraId="7FB96A0F" w14:textId="4FB8F3BC" w:rsidR="00494690" w:rsidRDefault="00494690" w:rsidP="00494690">
      <w:pPr>
        <w:rPr>
          <w:szCs w:val="22"/>
        </w:rPr>
      </w:pPr>
      <w:r>
        <w:rPr>
          <w:szCs w:val="22"/>
        </w:rPr>
        <w:t xml:space="preserve">The growth of hydrocarbon charged domestic refrigerators and freezers in the stock has accelerated dramatically since 2012, with </w:t>
      </w:r>
      <w:r w:rsidRPr="00747B68">
        <w:rPr>
          <w:szCs w:val="22"/>
        </w:rPr>
        <w:t>nearly 4.7 million devices (~24%) containing HC-600a in 2016 (</w:t>
      </w:r>
      <w:r w:rsidRPr="00747B68">
        <w:rPr>
          <w:i/>
          <w:szCs w:val="22"/>
        </w:rPr>
        <w:t>CHF2, 1.</w:t>
      </w:r>
      <w:r w:rsidR="005E6CCA" w:rsidRPr="00747B68">
        <w:rPr>
          <w:i/>
          <w:szCs w:val="22"/>
        </w:rPr>
        <w:t>1</w:t>
      </w:r>
      <w:r w:rsidR="005E6CCA">
        <w:rPr>
          <w:i/>
          <w:szCs w:val="22"/>
        </w:rPr>
        <w:t> </w:t>
      </w:r>
      <w:r w:rsidRPr="00747B68">
        <w:rPr>
          <w:i/>
          <w:szCs w:val="22"/>
        </w:rPr>
        <w:t>million, ~7%</w:t>
      </w:r>
      <w:r w:rsidRPr="00747B68">
        <w:rPr>
          <w:szCs w:val="22"/>
        </w:rPr>
        <w:t>)</w:t>
      </w:r>
      <w:r>
        <w:rPr>
          <w:szCs w:val="22"/>
        </w:rPr>
        <w:t xml:space="preserve">.  </w:t>
      </w:r>
    </w:p>
    <w:p w14:paraId="0726CF38" w14:textId="0CE7930E" w:rsidR="00494690" w:rsidRPr="00263A62" w:rsidRDefault="00494690" w:rsidP="00494690">
      <w:pPr>
        <w:rPr>
          <w:rFonts w:cs="Times New Roman"/>
          <w:szCs w:val="22"/>
        </w:rPr>
      </w:pPr>
      <w:r w:rsidRPr="00263A62">
        <w:rPr>
          <w:rFonts w:cs="Times New Roman"/>
          <w:szCs w:val="22"/>
        </w:rPr>
        <w:t>A small survey of 66 fridge-freezers in a large retail outlet was undertaken at the end of 201</w:t>
      </w:r>
      <w:r>
        <w:rPr>
          <w:rFonts w:cs="Times New Roman"/>
          <w:szCs w:val="22"/>
        </w:rPr>
        <w:t>0</w:t>
      </w:r>
      <w:r w:rsidRPr="00263A62">
        <w:rPr>
          <w:rFonts w:cs="Times New Roman"/>
          <w:szCs w:val="22"/>
        </w:rPr>
        <w:t>. Fifty-one products were found to contain HFC-134a (Fisher &amp; Paykel, Samsung, LG, Kelvinator and Westinghouse). Fifteen products (29</w:t>
      </w:r>
      <w:r w:rsidR="00C9319D">
        <w:rPr>
          <w:rFonts w:cs="Times New Roman"/>
          <w:szCs w:val="22"/>
        </w:rPr>
        <w:t>%</w:t>
      </w:r>
      <w:r w:rsidRPr="00263A62">
        <w:rPr>
          <w:rFonts w:cs="Times New Roman"/>
          <w:szCs w:val="22"/>
        </w:rPr>
        <w:t>) contained HC-600a (Electrolux, Westinghouse, Hisense and some larger LG models).</w:t>
      </w:r>
    </w:p>
    <w:p w14:paraId="76E83DEE" w14:textId="5408F8EA" w:rsidR="00494690" w:rsidRPr="00263A62" w:rsidRDefault="00494690" w:rsidP="00494690">
      <w:pPr>
        <w:rPr>
          <w:rFonts w:cs="Times New Roman"/>
          <w:szCs w:val="22"/>
        </w:rPr>
      </w:pPr>
      <w:r w:rsidRPr="00263A62">
        <w:rPr>
          <w:rFonts w:cs="Times New Roman"/>
          <w:szCs w:val="22"/>
        </w:rPr>
        <w:t>In a follow up survey in 2013 of seventy-six products in the same store 54</w:t>
      </w:r>
      <w:r w:rsidR="00C9319D">
        <w:rPr>
          <w:rFonts w:cs="Times New Roman"/>
          <w:szCs w:val="22"/>
        </w:rPr>
        <w:t>%</w:t>
      </w:r>
      <w:r w:rsidRPr="00263A62">
        <w:rPr>
          <w:rFonts w:cs="Times New Roman"/>
          <w:szCs w:val="22"/>
        </w:rPr>
        <w:t xml:space="preserve"> of products contained hydrocarbon refrigerant. Notably more brands had converted to HC-600a, including Electrolux, Westinghouse, Hisense, Fisher &amp; Paykel, Sharp, Panasonic and some larger LG models. </w:t>
      </w:r>
    </w:p>
    <w:p w14:paraId="469CC234" w14:textId="77420325" w:rsidR="00494690" w:rsidRDefault="00494690" w:rsidP="00494690">
      <w:pPr>
        <w:rPr>
          <w:rFonts w:cs="Times New Roman"/>
          <w:szCs w:val="22"/>
        </w:rPr>
      </w:pPr>
      <w:r w:rsidRPr="00254E0F">
        <w:rPr>
          <w:szCs w:val="22"/>
        </w:rPr>
        <w:t xml:space="preserve">A retail survey of domestic refrigeration and freezer stock on the floor of a leading retailer conducted in July 2017 found just 6 models out of 123 inspected (&lt;5%) charged with HFC 134a. This strong trend first noted in CHF2 is expected to see the migration of all new sales of domestic equipment to HC charges approach &gt;95% during 2018.  </w:t>
      </w:r>
    </w:p>
    <w:p w14:paraId="06D330B7" w14:textId="056B5EAC" w:rsidR="00494690" w:rsidRDefault="00494690" w:rsidP="00494690">
      <w:pPr>
        <w:rPr>
          <w:rFonts w:cs="Times New Roman"/>
          <w:szCs w:val="22"/>
        </w:rPr>
      </w:pPr>
      <w:r w:rsidRPr="005B5C2C">
        <w:rPr>
          <w:rFonts w:cs="Times New Roman"/>
          <w:szCs w:val="22"/>
        </w:rPr>
        <w:t>The use of hyd</w:t>
      </w:r>
      <w:r>
        <w:rPr>
          <w:rFonts w:cs="Times New Roman"/>
          <w:szCs w:val="22"/>
        </w:rPr>
        <w:t xml:space="preserve">rocarbons (HC-600a and HC-290) </w:t>
      </w:r>
      <w:r w:rsidRPr="005B5C2C">
        <w:rPr>
          <w:rFonts w:cs="Times New Roman"/>
          <w:szCs w:val="22"/>
        </w:rPr>
        <w:t xml:space="preserve">is now </w:t>
      </w:r>
      <w:r>
        <w:rPr>
          <w:rFonts w:cs="Times New Roman"/>
          <w:szCs w:val="22"/>
        </w:rPr>
        <w:t xml:space="preserve">also </w:t>
      </w:r>
      <w:r w:rsidRPr="005B5C2C">
        <w:rPr>
          <w:rFonts w:cs="Times New Roman"/>
          <w:szCs w:val="22"/>
        </w:rPr>
        <w:t xml:space="preserve">firmly established as </w:t>
      </w:r>
      <w:r w:rsidR="005E6CCA">
        <w:rPr>
          <w:rFonts w:cs="Times New Roman"/>
          <w:szCs w:val="22"/>
        </w:rPr>
        <w:t xml:space="preserve">an </w:t>
      </w:r>
      <w:r w:rsidRPr="005B5C2C">
        <w:rPr>
          <w:rFonts w:cs="Times New Roman"/>
          <w:szCs w:val="22"/>
        </w:rPr>
        <w:t xml:space="preserve">option for buyers of new small commercial </w:t>
      </w:r>
      <w:r>
        <w:rPr>
          <w:rFonts w:cs="Times New Roman"/>
          <w:szCs w:val="22"/>
        </w:rPr>
        <w:t xml:space="preserve">refrigeration </w:t>
      </w:r>
      <w:r w:rsidRPr="005B5C2C">
        <w:rPr>
          <w:rFonts w:cs="Times New Roman"/>
          <w:szCs w:val="22"/>
        </w:rPr>
        <w:t>equipment in Australia</w:t>
      </w:r>
      <w:r>
        <w:rPr>
          <w:rFonts w:cs="Times New Roman"/>
          <w:szCs w:val="22"/>
        </w:rPr>
        <w:t>.</w:t>
      </w:r>
    </w:p>
    <w:p w14:paraId="6F009E91" w14:textId="4AD5B718" w:rsidR="00494690" w:rsidRDefault="00494690" w:rsidP="00494690">
      <w:pPr>
        <w:rPr>
          <w:rFonts w:cs="Times New Roman"/>
          <w:szCs w:val="22"/>
        </w:rPr>
      </w:pPr>
      <w:r>
        <w:rPr>
          <w:rFonts w:cs="Times New Roman"/>
          <w:szCs w:val="22"/>
        </w:rPr>
        <w:t>A</w:t>
      </w:r>
      <w:r w:rsidRPr="005B5C2C">
        <w:rPr>
          <w:rFonts w:cs="Times New Roman"/>
          <w:szCs w:val="22"/>
        </w:rPr>
        <w:t xml:space="preserve"> trend that had barely started in 2012, </w:t>
      </w:r>
      <w:r>
        <w:rPr>
          <w:rFonts w:cs="Times New Roman"/>
          <w:szCs w:val="22"/>
        </w:rPr>
        <w:t>s</w:t>
      </w:r>
      <w:r w:rsidRPr="005B5C2C">
        <w:rPr>
          <w:rFonts w:cs="Times New Roman"/>
          <w:szCs w:val="22"/>
        </w:rPr>
        <w:t xml:space="preserve">maller self-contained </w:t>
      </w:r>
      <w:r>
        <w:rPr>
          <w:rFonts w:cs="Times New Roman"/>
          <w:szCs w:val="22"/>
        </w:rPr>
        <w:t xml:space="preserve">commercial refrigeration </w:t>
      </w:r>
      <w:r w:rsidRPr="005B5C2C">
        <w:rPr>
          <w:rFonts w:cs="Times New Roman"/>
          <w:szCs w:val="22"/>
        </w:rPr>
        <w:t xml:space="preserve">equipment is the leader in this trend with sales of new HC charged equipment in this category increasing more than 30 times (up 3000%) since 2012, or nearly 20,000 units in 2016 compared to a </w:t>
      </w:r>
      <w:r>
        <w:rPr>
          <w:rFonts w:cs="Times New Roman"/>
          <w:szCs w:val="22"/>
        </w:rPr>
        <w:t>little over 600 units in 2012. The range of HC charged commercial refrigeration e</w:t>
      </w:r>
      <w:r w:rsidRPr="005B5C2C">
        <w:rPr>
          <w:rFonts w:cs="Times New Roman"/>
          <w:szCs w:val="22"/>
        </w:rPr>
        <w:t>quipment being sold include</w:t>
      </w:r>
      <w:r w:rsidR="00E13F35">
        <w:rPr>
          <w:rFonts w:cs="Times New Roman"/>
          <w:szCs w:val="22"/>
        </w:rPr>
        <w:t>s</w:t>
      </w:r>
      <w:r w:rsidRPr="005B5C2C">
        <w:rPr>
          <w:rFonts w:cs="Times New Roman"/>
          <w:szCs w:val="22"/>
        </w:rPr>
        <w:t xml:space="preserve"> upright and horizontal freezer cabinets, refrigerated </w:t>
      </w:r>
      <w:r>
        <w:rPr>
          <w:rFonts w:cs="Times New Roman"/>
          <w:szCs w:val="22"/>
        </w:rPr>
        <w:t xml:space="preserve">retail </w:t>
      </w:r>
      <w:r w:rsidRPr="005B5C2C">
        <w:rPr>
          <w:rFonts w:cs="Times New Roman"/>
          <w:szCs w:val="22"/>
        </w:rPr>
        <w:t>display cabinets, wine coolers and ice cream merchandisers.</w:t>
      </w:r>
      <w:r>
        <w:rPr>
          <w:rFonts w:cs="Times New Roman"/>
          <w:szCs w:val="22"/>
        </w:rPr>
        <w:t xml:space="preserve"> This strong trend is continuing with volumes in 2017 estimated to be more than 30,000 pieces, up a further 50% on 2016.</w:t>
      </w:r>
    </w:p>
    <w:p w14:paraId="05D00276" w14:textId="77777777" w:rsidR="00494690" w:rsidRDefault="00494690" w:rsidP="00494690">
      <w:pPr>
        <w:rPr>
          <w:rFonts w:cs="Times New Roman"/>
          <w:szCs w:val="22"/>
        </w:rPr>
      </w:pPr>
      <w:r w:rsidRPr="00263A62">
        <w:rPr>
          <w:rFonts w:cs="Times New Roman"/>
          <w:szCs w:val="22"/>
        </w:rPr>
        <w:t xml:space="preserve">Self-contained refrigeration display cabinets containing small charges of hydrocarbon refrigerant can </w:t>
      </w:r>
      <w:r>
        <w:rPr>
          <w:rFonts w:cs="Times New Roman"/>
          <w:szCs w:val="22"/>
        </w:rPr>
        <w:t xml:space="preserve">now </w:t>
      </w:r>
      <w:r w:rsidRPr="00263A62">
        <w:rPr>
          <w:rFonts w:cs="Times New Roman"/>
          <w:szCs w:val="22"/>
        </w:rPr>
        <w:t xml:space="preserve">be found in the majority of the </w:t>
      </w:r>
      <w:r>
        <w:rPr>
          <w:rFonts w:cs="Times New Roman"/>
          <w:szCs w:val="22"/>
        </w:rPr>
        <w:t>490</w:t>
      </w:r>
      <w:r w:rsidRPr="00263A62">
        <w:rPr>
          <w:rFonts w:cs="Times New Roman"/>
          <w:szCs w:val="22"/>
        </w:rPr>
        <w:t xml:space="preserve"> Aldi supermarkets</w:t>
      </w:r>
      <w:r>
        <w:rPr>
          <w:rStyle w:val="FootnoteReference"/>
          <w:rFonts w:cs="Times New Roman"/>
          <w:szCs w:val="22"/>
        </w:rPr>
        <w:footnoteReference w:id="57"/>
      </w:r>
      <w:r w:rsidRPr="00263A62">
        <w:rPr>
          <w:rFonts w:cs="Times New Roman"/>
          <w:szCs w:val="22"/>
        </w:rPr>
        <w:t xml:space="preserve"> </w:t>
      </w:r>
      <w:r>
        <w:rPr>
          <w:rFonts w:cs="Times New Roman"/>
          <w:szCs w:val="22"/>
        </w:rPr>
        <w:t xml:space="preserve">(up to 36 individual cases per store with a charge equal to or less than 150 grams in each case) </w:t>
      </w:r>
      <w:r w:rsidRPr="00263A62">
        <w:rPr>
          <w:rFonts w:cs="Times New Roman"/>
          <w:szCs w:val="22"/>
        </w:rPr>
        <w:t xml:space="preserve">currently operating in Australia. </w:t>
      </w:r>
    </w:p>
    <w:p w14:paraId="17FB1DFE" w14:textId="282A60EE" w:rsidR="00494690" w:rsidRPr="00263A62" w:rsidRDefault="00494690" w:rsidP="00494690">
      <w:pPr>
        <w:rPr>
          <w:rFonts w:cs="Times New Roman"/>
          <w:szCs w:val="22"/>
        </w:rPr>
      </w:pPr>
      <w:r>
        <w:rPr>
          <w:rFonts w:cs="Times New Roman"/>
          <w:szCs w:val="22"/>
        </w:rPr>
        <w:t>Even with this rapid sales growth in self-contained commercial refrigeration equipment, the high efficiency of the refrigerant, and the small charge sizes has resulted in a 2016 estimate of the bank of HC employed in commercial refrigeration of just 10 tonnes.</w:t>
      </w:r>
    </w:p>
    <w:p w14:paraId="17BA6ACC" w14:textId="4EC2D264" w:rsidR="00494690" w:rsidRDefault="00494690" w:rsidP="00494690">
      <w:pPr>
        <w:rPr>
          <w:rFonts w:cs="Times New Roman"/>
          <w:szCs w:val="22"/>
        </w:rPr>
      </w:pPr>
      <w:r>
        <w:rPr>
          <w:rFonts w:cs="Times New Roman"/>
          <w:szCs w:val="22"/>
        </w:rPr>
        <w:t>The total actual hydrocarbon refrigerant bank is estimated at 565 tonnes in 2016 (</w:t>
      </w:r>
      <w:r w:rsidR="00F13F58">
        <w:rPr>
          <w:rFonts w:cs="Times New Roman"/>
          <w:szCs w:val="22"/>
        </w:rPr>
        <w:t>1,215</w:t>
      </w:r>
      <w:r>
        <w:rPr>
          <w:rFonts w:cs="Times New Roman"/>
          <w:szCs w:val="22"/>
        </w:rPr>
        <w:t xml:space="preserve"> tonnes equivalent charge) comprising 379 tonnes in Domestic Refrigeration</w:t>
      </w:r>
      <w:r w:rsidR="00E13F35">
        <w:rPr>
          <w:rFonts w:cs="Times New Roman"/>
          <w:szCs w:val="22"/>
        </w:rPr>
        <w:t>,</w:t>
      </w:r>
      <w:r>
        <w:rPr>
          <w:rFonts w:cs="Times New Roman"/>
          <w:szCs w:val="22"/>
        </w:rPr>
        <w:t xml:space="preserve"> 170 tonnes in Mobile AC</w:t>
      </w:r>
      <w:r w:rsidR="00E13F35">
        <w:rPr>
          <w:rFonts w:cs="Times New Roman"/>
          <w:szCs w:val="22"/>
        </w:rPr>
        <w:t>,</w:t>
      </w:r>
      <w:r>
        <w:rPr>
          <w:rFonts w:cs="Times New Roman"/>
          <w:szCs w:val="22"/>
        </w:rPr>
        <w:t xml:space="preserve"> 10 tonnes in commercial refrigeration</w:t>
      </w:r>
      <w:r w:rsidR="00E13F35">
        <w:rPr>
          <w:rFonts w:cs="Times New Roman"/>
          <w:szCs w:val="22"/>
        </w:rPr>
        <w:t>,</w:t>
      </w:r>
      <w:r>
        <w:rPr>
          <w:rFonts w:cs="Times New Roman"/>
          <w:szCs w:val="22"/>
        </w:rPr>
        <w:t xml:space="preserve"> and, 6 tonnes in Stationary AC, including hot water heat pumps. </w:t>
      </w:r>
    </w:p>
    <w:p w14:paraId="659FDF8F" w14:textId="4C2D924F" w:rsidR="00494690" w:rsidRPr="00263A62" w:rsidRDefault="00494690" w:rsidP="00494690">
      <w:pPr>
        <w:rPr>
          <w:rFonts w:cs="Times New Roman"/>
          <w:szCs w:val="22"/>
        </w:rPr>
      </w:pPr>
      <w:r w:rsidRPr="00263A62">
        <w:rPr>
          <w:rFonts w:cs="Times New Roman"/>
          <w:szCs w:val="22"/>
        </w:rPr>
        <w:t xml:space="preserve">A survey of the major suppliers of </w:t>
      </w:r>
      <w:r>
        <w:rPr>
          <w:rFonts w:cs="Times New Roman"/>
          <w:szCs w:val="22"/>
        </w:rPr>
        <w:t xml:space="preserve">hydrocarbon refrigerant </w:t>
      </w:r>
      <w:r w:rsidRPr="00263A62">
        <w:rPr>
          <w:rFonts w:cs="Times New Roman"/>
          <w:szCs w:val="22"/>
        </w:rPr>
        <w:t xml:space="preserve">from 2014 to 2016 </w:t>
      </w:r>
      <w:r>
        <w:rPr>
          <w:rFonts w:cs="Times New Roman"/>
          <w:szCs w:val="22"/>
        </w:rPr>
        <w:t xml:space="preserve">shown in </w:t>
      </w:r>
      <w:r w:rsidRPr="00254E0F">
        <w:rPr>
          <w:rFonts w:cs="Times New Roman"/>
          <w:i/>
          <w:szCs w:val="22"/>
        </w:rPr>
        <w:t xml:space="preserve">Table </w:t>
      </w:r>
      <w:r w:rsidR="005A6A77">
        <w:rPr>
          <w:rFonts w:cs="Times New Roman"/>
          <w:i/>
          <w:szCs w:val="22"/>
        </w:rPr>
        <w:t>23</w:t>
      </w:r>
      <w:r>
        <w:rPr>
          <w:rFonts w:cs="Times New Roman"/>
          <w:szCs w:val="22"/>
        </w:rPr>
        <w:t xml:space="preserve"> </w:t>
      </w:r>
      <w:r w:rsidRPr="00263A62">
        <w:rPr>
          <w:rFonts w:cs="Times New Roman"/>
          <w:szCs w:val="22"/>
        </w:rPr>
        <w:t xml:space="preserve">reported an average of </w:t>
      </w:r>
      <w:r>
        <w:rPr>
          <w:rFonts w:cs="Times New Roman"/>
          <w:szCs w:val="22"/>
        </w:rPr>
        <w:t>77</w:t>
      </w:r>
      <w:r w:rsidRPr="00263A62">
        <w:rPr>
          <w:rFonts w:cs="Times New Roman"/>
          <w:szCs w:val="22"/>
        </w:rPr>
        <w:t xml:space="preserve"> tonnes sold annually during those </w:t>
      </w:r>
      <w:r>
        <w:rPr>
          <w:rFonts w:cs="Times New Roman"/>
          <w:szCs w:val="22"/>
        </w:rPr>
        <w:t xml:space="preserve">three </w:t>
      </w:r>
      <w:r w:rsidRPr="00263A62">
        <w:rPr>
          <w:rFonts w:cs="Times New Roman"/>
          <w:szCs w:val="22"/>
        </w:rPr>
        <w:t>years.</w:t>
      </w:r>
      <w:r>
        <w:rPr>
          <w:rFonts w:cs="Times New Roman"/>
          <w:szCs w:val="22"/>
        </w:rPr>
        <w:t xml:space="preserve"> Supply volumes are down from the previous survey of 105.9 tonnes in 2012. Total bulk HC refrigerant sales ha</w:t>
      </w:r>
      <w:r w:rsidR="005E6CCA">
        <w:rPr>
          <w:rFonts w:cs="Times New Roman"/>
          <w:szCs w:val="22"/>
        </w:rPr>
        <w:t>ve</w:t>
      </w:r>
      <w:r>
        <w:rPr>
          <w:rFonts w:cs="Times New Roman"/>
          <w:szCs w:val="22"/>
        </w:rPr>
        <w:t xml:space="preserve"> been impacted by two main factors, the closure of the Electrolux domestic refrigerator factory in Orange in April 2016, and the repeal of the carbon tax that resulted in a reversal of the high price of HFC-134a. Following the Electrolux closure, the majority of hydrocarbon refrigerant (&gt;70%) is supplied to the automotive aftermarket sector with around 15% in the Cold Food Chain, and less than 10% into Stationary AC applications including hot water heat pumps. </w:t>
      </w:r>
    </w:p>
    <w:p w14:paraId="41506DC8" w14:textId="77777777" w:rsidR="00494690" w:rsidRPr="00263A62" w:rsidRDefault="00494690" w:rsidP="00494690">
      <w:pPr>
        <w:rPr>
          <w:rFonts w:cs="Times New Roman"/>
          <w:szCs w:val="22"/>
        </w:rPr>
      </w:pPr>
    </w:p>
    <w:p w14:paraId="45905CA9" w14:textId="63692DEC" w:rsidR="00494690" w:rsidRPr="005A6A77" w:rsidRDefault="005A6A77" w:rsidP="005A6A77">
      <w:pPr>
        <w:pStyle w:val="Caption"/>
        <w:keepNext/>
        <w:rPr>
          <w:szCs w:val="22"/>
          <w:lang w:val="en-AU"/>
        </w:rPr>
      </w:pPr>
      <w:bookmarkStart w:id="102" w:name="_Toc525141412"/>
      <w:r w:rsidRPr="005A6A77">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23</w:t>
      </w:r>
      <w:r w:rsidR="009D6843">
        <w:rPr>
          <w:noProof/>
        </w:rPr>
        <w:fldChar w:fldCharType="end"/>
      </w:r>
      <w:r w:rsidRPr="005A6A77">
        <w:t xml:space="preserve">: </w:t>
      </w:r>
      <w:r w:rsidR="00494690" w:rsidRPr="005A6A77">
        <w:rPr>
          <w:szCs w:val="22"/>
          <w:lang w:val="en-AU"/>
        </w:rPr>
        <w:t>Volumes of hydrocarbon sold by calendar year (tonnes) based on supplier survey.</w:t>
      </w:r>
      <w:bookmarkEnd w:id="102"/>
    </w:p>
    <w:tbl>
      <w:tblPr>
        <w:tblStyle w:val="TableGrid"/>
        <w:tblW w:w="9790" w:type="dxa"/>
        <w:tblInd w:w="-5" w:type="dxa"/>
        <w:tblLook w:val="04A0" w:firstRow="1" w:lastRow="0" w:firstColumn="1" w:lastColumn="0" w:noHBand="0" w:noVBand="1"/>
      </w:tblPr>
      <w:tblGrid>
        <w:gridCol w:w="3027"/>
        <w:gridCol w:w="3022"/>
        <w:gridCol w:w="3741"/>
      </w:tblGrid>
      <w:tr w:rsidR="00D6002F" w:rsidRPr="00D6002F" w14:paraId="7D759777" w14:textId="77777777" w:rsidTr="00D6002F">
        <w:tc>
          <w:tcPr>
            <w:tcW w:w="3027" w:type="dxa"/>
            <w:tcBorders>
              <w:right w:val="single" w:sz="4" w:space="0" w:color="000000"/>
            </w:tcBorders>
            <w:shd w:val="clear" w:color="auto" w:fill="B6DDE8" w:themeFill="accent5" w:themeFillTint="66"/>
            <w:vAlign w:val="center"/>
          </w:tcPr>
          <w:p w14:paraId="4E3F926A" w14:textId="77777777" w:rsidR="00494690" w:rsidRPr="00D6002F" w:rsidRDefault="00494690" w:rsidP="00D6002F">
            <w:pPr>
              <w:spacing w:after="120"/>
              <w:jc w:val="center"/>
              <w:rPr>
                <w:color w:val="000000" w:themeColor="text1"/>
                <w:szCs w:val="22"/>
                <w:lang w:val="en-AU"/>
              </w:rPr>
            </w:pPr>
            <w:r w:rsidRPr="00D6002F">
              <w:rPr>
                <w:color w:val="000000" w:themeColor="text1"/>
                <w:szCs w:val="22"/>
                <w:lang w:val="en-AU"/>
              </w:rPr>
              <w:t>2014</w:t>
            </w:r>
          </w:p>
        </w:tc>
        <w:tc>
          <w:tcPr>
            <w:tcW w:w="3022" w:type="dxa"/>
            <w:tcBorders>
              <w:left w:val="single" w:sz="4" w:space="0" w:color="000000"/>
              <w:right w:val="single" w:sz="4" w:space="0" w:color="000000"/>
            </w:tcBorders>
            <w:shd w:val="clear" w:color="auto" w:fill="B6DDE8" w:themeFill="accent5" w:themeFillTint="66"/>
            <w:vAlign w:val="center"/>
          </w:tcPr>
          <w:p w14:paraId="77E0D03C" w14:textId="77777777" w:rsidR="00494690" w:rsidRPr="00D6002F" w:rsidRDefault="00494690" w:rsidP="00D6002F">
            <w:pPr>
              <w:spacing w:after="120"/>
              <w:jc w:val="center"/>
              <w:rPr>
                <w:color w:val="000000" w:themeColor="text1"/>
                <w:szCs w:val="22"/>
                <w:lang w:val="en-AU"/>
              </w:rPr>
            </w:pPr>
            <w:r w:rsidRPr="00D6002F">
              <w:rPr>
                <w:color w:val="000000" w:themeColor="text1"/>
                <w:szCs w:val="22"/>
                <w:lang w:val="en-AU"/>
              </w:rPr>
              <w:t>2015</w:t>
            </w:r>
          </w:p>
        </w:tc>
        <w:tc>
          <w:tcPr>
            <w:tcW w:w="3741" w:type="dxa"/>
            <w:tcBorders>
              <w:left w:val="single" w:sz="4" w:space="0" w:color="000000"/>
            </w:tcBorders>
            <w:shd w:val="clear" w:color="auto" w:fill="B6DDE8" w:themeFill="accent5" w:themeFillTint="66"/>
            <w:vAlign w:val="center"/>
          </w:tcPr>
          <w:p w14:paraId="06A184F0" w14:textId="77777777" w:rsidR="00494690" w:rsidRPr="00D6002F" w:rsidRDefault="00494690" w:rsidP="00D6002F">
            <w:pPr>
              <w:spacing w:after="120"/>
              <w:jc w:val="center"/>
              <w:rPr>
                <w:color w:val="000000" w:themeColor="text1"/>
                <w:szCs w:val="22"/>
                <w:lang w:val="en-AU"/>
              </w:rPr>
            </w:pPr>
            <w:r w:rsidRPr="00D6002F">
              <w:rPr>
                <w:color w:val="000000" w:themeColor="text1"/>
                <w:szCs w:val="22"/>
                <w:lang w:val="en-AU"/>
              </w:rPr>
              <w:t>2016</w:t>
            </w:r>
          </w:p>
        </w:tc>
      </w:tr>
      <w:tr w:rsidR="00494690" w:rsidRPr="00263A62" w14:paraId="5AAD4DD8" w14:textId="77777777" w:rsidTr="000F7A90">
        <w:tc>
          <w:tcPr>
            <w:tcW w:w="3027" w:type="dxa"/>
            <w:vAlign w:val="center"/>
          </w:tcPr>
          <w:p w14:paraId="2340BDD9" w14:textId="77777777" w:rsidR="00494690" w:rsidRPr="00263A62" w:rsidRDefault="00494690" w:rsidP="000F7A90">
            <w:pPr>
              <w:spacing w:after="120"/>
              <w:jc w:val="center"/>
              <w:rPr>
                <w:szCs w:val="22"/>
                <w:lang w:val="en-AU"/>
              </w:rPr>
            </w:pPr>
            <w:r w:rsidRPr="00263A62">
              <w:rPr>
                <w:szCs w:val="22"/>
              </w:rPr>
              <w:t>82.1</w:t>
            </w:r>
          </w:p>
        </w:tc>
        <w:tc>
          <w:tcPr>
            <w:tcW w:w="3022" w:type="dxa"/>
            <w:vAlign w:val="center"/>
          </w:tcPr>
          <w:p w14:paraId="05BFED00" w14:textId="77777777" w:rsidR="00494690" w:rsidRPr="00263A62" w:rsidRDefault="00494690" w:rsidP="000F7A90">
            <w:pPr>
              <w:spacing w:after="120"/>
              <w:jc w:val="center"/>
              <w:rPr>
                <w:szCs w:val="22"/>
                <w:lang w:val="en-AU"/>
              </w:rPr>
            </w:pPr>
            <w:r w:rsidRPr="00263A62">
              <w:rPr>
                <w:szCs w:val="22"/>
              </w:rPr>
              <w:t>75.3</w:t>
            </w:r>
          </w:p>
        </w:tc>
        <w:tc>
          <w:tcPr>
            <w:tcW w:w="3741" w:type="dxa"/>
            <w:vAlign w:val="center"/>
          </w:tcPr>
          <w:p w14:paraId="2EF3D133" w14:textId="77777777" w:rsidR="00494690" w:rsidRPr="00263A62" w:rsidRDefault="00494690" w:rsidP="000F7A90">
            <w:pPr>
              <w:spacing w:after="120"/>
              <w:jc w:val="center"/>
              <w:rPr>
                <w:szCs w:val="22"/>
                <w:lang w:val="en-AU"/>
              </w:rPr>
            </w:pPr>
            <w:r w:rsidRPr="00263A62">
              <w:rPr>
                <w:szCs w:val="22"/>
              </w:rPr>
              <w:t>72.0</w:t>
            </w:r>
          </w:p>
        </w:tc>
      </w:tr>
    </w:tbl>
    <w:p w14:paraId="459039C6" w14:textId="77777777" w:rsidR="00494690" w:rsidRPr="00263A62" w:rsidRDefault="00494690" w:rsidP="00494690">
      <w:pPr>
        <w:spacing w:before="60" w:after="60"/>
        <w:rPr>
          <w:rFonts w:cs="Times New Roman"/>
          <w:szCs w:val="22"/>
          <w:lang w:val="en-AU"/>
        </w:rPr>
      </w:pPr>
      <w:r w:rsidRPr="00263A62">
        <w:rPr>
          <w:rFonts w:cs="Times New Roman"/>
          <w:szCs w:val="22"/>
          <w:lang w:val="en-AU"/>
        </w:rPr>
        <w:t>Notes:</w:t>
      </w:r>
    </w:p>
    <w:p w14:paraId="490546C2" w14:textId="230E221E" w:rsidR="00494690" w:rsidRPr="00254E0F" w:rsidRDefault="00494690" w:rsidP="00FC735C">
      <w:pPr>
        <w:pStyle w:val="ListParagraph"/>
        <w:numPr>
          <w:ilvl w:val="0"/>
          <w:numId w:val="39"/>
        </w:numPr>
        <w:spacing w:before="60" w:after="60" w:line="240" w:lineRule="auto"/>
        <w:contextualSpacing w:val="0"/>
        <w:jc w:val="both"/>
        <w:rPr>
          <w:rFonts w:ascii="Times New Roman" w:hAnsi="Times New Roman"/>
          <w:sz w:val="20"/>
          <w:szCs w:val="20"/>
          <w:lang w:val="en-AU"/>
        </w:rPr>
      </w:pPr>
      <w:r w:rsidRPr="00263A62">
        <w:rPr>
          <w:rFonts w:ascii="Times New Roman" w:hAnsi="Times New Roman"/>
          <w:sz w:val="20"/>
          <w:szCs w:val="20"/>
          <w:lang w:val="en-AU"/>
        </w:rPr>
        <w:t>Survey participants include all current suppliers of HC.</w:t>
      </w:r>
    </w:p>
    <w:p w14:paraId="65ED709D" w14:textId="5FAD7CFF" w:rsidR="00494690" w:rsidRDefault="00494690">
      <w:pPr>
        <w:spacing w:before="0"/>
        <w:jc w:val="left"/>
        <w:rPr>
          <w:szCs w:val="22"/>
        </w:rPr>
      </w:pPr>
    </w:p>
    <w:p w14:paraId="475D5E09" w14:textId="77777777" w:rsidR="00FF1430" w:rsidRDefault="00FF1430" w:rsidP="00FF1430">
      <w:pPr>
        <w:spacing w:before="60"/>
        <w:rPr>
          <w:szCs w:val="22"/>
        </w:rPr>
      </w:pPr>
    </w:p>
    <w:p w14:paraId="4500C229" w14:textId="77777777" w:rsidR="00FF1430" w:rsidRPr="00FF1430" w:rsidRDefault="00FF1430" w:rsidP="00FF1430">
      <w:pPr>
        <w:spacing w:before="60"/>
        <w:rPr>
          <w:szCs w:val="22"/>
        </w:rPr>
      </w:pPr>
    </w:p>
    <w:p w14:paraId="3465AD91" w14:textId="77777777" w:rsidR="00FF1430" w:rsidRPr="00FF1430" w:rsidRDefault="00FF1430" w:rsidP="00FF1430">
      <w:pPr>
        <w:spacing w:before="60"/>
        <w:rPr>
          <w:szCs w:val="22"/>
        </w:rPr>
      </w:pPr>
    </w:p>
    <w:p w14:paraId="13F89246" w14:textId="7B0CC81B" w:rsidR="002F0B13" w:rsidRPr="00FF1430" w:rsidRDefault="002F0B13" w:rsidP="00FF1430">
      <w:pPr>
        <w:spacing w:before="60"/>
        <w:rPr>
          <w:rFonts w:ascii="Calibri" w:eastAsia="Times New Roman" w:hAnsi="Calibri" w:cs="Times New Roman"/>
          <w:b/>
          <w:bCs/>
          <w:kern w:val="32"/>
          <w:sz w:val="32"/>
          <w:szCs w:val="32"/>
          <w:lang w:val="en-US"/>
        </w:rPr>
      </w:pPr>
      <w:r w:rsidRPr="00FF1430">
        <w:rPr>
          <w:sz w:val="18"/>
          <w:szCs w:val="18"/>
        </w:rPr>
        <w:br w:type="page"/>
      </w:r>
    </w:p>
    <w:p w14:paraId="57E62842" w14:textId="3A261A8B" w:rsidR="0067683B" w:rsidRDefault="005631FA" w:rsidP="0067683B">
      <w:pPr>
        <w:pStyle w:val="Heading1"/>
      </w:pPr>
      <w:bookmarkStart w:id="103" w:name="_Toc525141283"/>
      <w:r>
        <w:t>The future bank – p</w:t>
      </w:r>
      <w:r w:rsidR="0067683B">
        <w:t xml:space="preserve">rojections of </w:t>
      </w:r>
      <w:r w:rsidR="00361A82">
        <w:t xml:space="preserve">the </w:t>
      </w:r>
      <w:r>
        <w:t>b</w:t>
      </w:r>
      <w:r w:rsidR="0067683B">
        <w:t>ank to 2030</w:t>
      </w:r>
      <w:bookmarkEnd w:id="66"/>
      <w:bookmarkEnd w:id="103"/>
    </w:p>
    <w:p w14:paraId="427E00CF" w14:textId="2F73EFD1" w:rsidR="002F0B13" w:rsidRDefault="002F0B13" w:rsidP="002F0B13">
      <w:pPr>
        <w:rPr>
          <w:rFonts w:cs="Times New Roman"/>
        </w:rPr>
      </w:pPr>
      <w:r>
        <w:rPr>
          <w:rFonts w:cs="Times New Roman"/>
        </w:rPr>
        <w:t xml:space="preserve">The </w:t>
      </w:r>
      <w:r w:rsidR="009F4CB3">
        <w:rPr>
          <w:rFonts w:cs="Times New Roman"/>
        </w:rPr>
        <w:t>refrigerant bank</w:t>
      </w:r>
      <w:r>
        <w:rPr>
          <w:rFonts w:cs="Times New Roman"/>
        </w:rPr>
        <w:t xml:space="preserve"> in the economy is determined by the mix and type of RAC equipment employed. The aggregate charges of the stock of equipment make up the bank, and in turn determine the mix of bulk imports required for servicing that bank.</w:t>
      </w:r>
    </w:p>
    <w:p w14:paraId="76F1DA3D" w14:textId="0798F52E" w:rsidR="002F0B13" w:rsidRPr="001B78C4" w:rsidRDefault="002F0B13" w:rsidP="002F0B13">
      <w:pPr>
        <w:rPr>
          <w:rFonts w:cs="Times New Roman"/>
        </w:rPr>
      </w:pPr>
      <w:r w:rsidRPr="001B78C4">
        <w:rPr>
          <w:rFonts w:cs="Times New Roman"/>
        </w:rPr>
        <w:t xml:space="preserve">The Australian industry has already successfully transitioned through two generations of </w:t>
      </w:r>
      <w:r w:rsidR="00BE01D9">
        <w:rPr>
          <w:rFonts w:cs="Times New Roman"/>
        </w:rPr>
        <w:t xml:space="preserve">post WWII synthetic </w:t>
      </w:r>
      <w:r w:rsidRPr="001B78C4">
        <w:rPr>
          <w:rFonts w:cs="Times New Roman"/>
        </w:rPr>
        <w:t xml:space="preserve">thermal media, effectively eliminating CFCs from the economy, and </w:t>
      </w:r>
      <w:r>
        <w:rPr>
          <w:rFonts w:cs="Times New Roman"/>
        </w:rPr>
        <w:t xml:space="preserve">is </w:t>
      </w:r>
      <w:r w:rsidRPr="001B78C4">
        <w:rPr>
          <w:rFonts w:cs="Times New Roman"/>
        </w:rPr>
        <w:t>on track to</w:t>
      </w:r>
      <w:r>
        <w:rPr>
          <w:rFonts w:cs="Times New Roman"/>
        </w:rPr>
        <w:t xml:space="preserve"> phase out </w:t>
      </w:r>
      <w:r w:rsidR="005E1951">
        <w:rPr>
          <w:rFonts w:cs="Times New Roman"/>
        </w:rPr>
        <w:t xml:space="preserve">use </w:t>
      </w:r>
      <w:r>
        <w:rPr>
          <w:rFonts w:cs="Times New Roman"/>
        </w:rPr>
        <w:t xml:space="preserve">of virgin </w:t>
      </w:r>
      <w:r w:rsidRPr="001B78C4">
        <w:rPr>
          <w:rFonts w:cs="Times New Roman"/>
        </w:rPr>
        <w:t xml:space="preserve">HCFCs </w:t>
      </w:r>
      <w:r w:rsidR="00F6400F">
        <w:rPr>
          <w:rFonts w:cs="Times New Roman"/>
        </w:rPr>
        <w:t xml:space="preserve">by 2030 in accordance with the </w:t>
      </w:r>
      <w:r w:rsidRPr="001B78C4">
        <w:rPr>
          <w:rFonts w:cs="Times New Roman"/>
        </w:rPr>
        <w:t>Montreal Protocol.</w:t>
      </w:r>
    </w:p>
    <w:p w14:paraId="374E5C95" w14:textId="1AC15FF9" w:rsidR="002F0B13" w:rsidRPr="001B78C4" w:rsidRDefault="002F0B13" w:rsidP="002F0B13">
      <w:pPr>
        <w:rPr>
          <w:rFonts w:cs="Times New Roman"/>
        </w:rPr>
      </w:pPr>
      <w:r>
        <w:rPr>
          <w:rFonts w:cs="Times New Roman"/>
        </w:rPr>
        <w:t xml:space="preserve">Natural refrigerants and </w:t>
      </w:r>
      <w:r w:rsidR="00502144">
        <w:rPr>
          <w:rFonts w:cs="Times New Roman"/>
        </w:rPr>
        <w:t xml:space="preserve">the </w:t>
      </w:r>
      <w:r>
        <w:rPr>
          <w:rFonts w:cs="Times New Roman"/>
        </w:rPr>
        <w:t>fo</w:t>
      </w:r>
      <w:r w:rsidR="00BE01D9">
        <w:rPr>
          <w:rFonts w:cs="Times New Roman"/>
        </w:rPr>
        <w:t>u</w:t>
      </w:r>
      <w:r>
        <w:rPr>
          <w:rFonts w:cs="Times New Roman"/>
        </w:rPr>
        <w:t xml:space="preserve">rth </w:t>
      </w:r>
      <w:r w:rsidRPr="001B78C4">
        <w:rPr>
          <w:rFonts w:cs="Times New Roman"/>
        </w:rPr>
        <w:t>generation of</w:t>
      </w:r>
      <w:r w:rsidR="00502144">
        <w:rPr>
          <w:rFonts w:cs="Times New Roman"/>
        </w:rPr>
        <w:t xml:space="preserve"> synthetic </w:t>
      </w:r>
      <w:r w:rsidRPr="001B78C4">
        <w:rPr>
          <w:rFonts w:cs="Times New Roman"/>
        </w:rPr>
        <w:t xml:space="preserve">refrigerants are </w:t>
      </w:r>
      <w:r>
        <w:rPr>
          <w:rFonts w:cs="Times New Roman"/>
        </w:rPr>
        <w:t xml:space="preserve">now starting to </w:t>
      </w:r>
      <w:r w:rsidR="00502144">
        <w:rPr>
          <w:rFonts w:cs="Times New Roman"/>
        </w:rPr>
        <w:t xml:space="preserve">be seen in a wider array of </w:t>
      </w:r>
      <w:r>
        <w:rPr>
          <w:rFonts w:cs="Times New Roman"/>
        </w:rPr>
        <w:t>application</w:t>
      </w:r>
      <w:r w:rsidR="00502144">
        <w:rPr>
          <w:rFonts w:cs="Times New Roman"/>
        </w:rPr>
        <w:t>s than ever before</w:t>
      </w:r>
      <w:r w:rsidRPr="001B78C4">
        <w:rPr>
          <w:rFonts w:cs="Times New Roman"/>
        </w:rPr>
        <w:t>.</w:t>
      </w:r>
    </w:p>
    <w:p w14:paraId="544294DF" w14:textId="13EDCB7F" w:rsidR="002F0B13" w:rsidRDefault="00290841" w:rsidP="002F0B13">
      <w:pPr>
        <w:rPr>
          <w:noProof/>
          <w:szCs w:val="22"/>
          <w:lang w:val="en-US"/>
        </w:rPr>
      </w:pPr>
      <w:r>
        <w:rPr>
          <w:i/>
          <w:noProof/>
          <w:szCs w:val="22"/>
          <w:lang w:val="en-US"/>
        </w:rPr>
        <w:t xml:space="preserve">Figure </w:t>
      </w:r>
      <w:r w:rsidR="00036F8F">
        <w:rPr>
          <w:i/>
          <w:noProof/>
          <w:szCs w:val="22"/>
          <w:lang w:val="en-US"/>
        </w:rPr>
        <w:t>1</w:t>
      </w:r>
      <w:r>
        <w:rPr>
          <w:i/>
          <w:noProof/>
          <w:szCs w:val="22"/>
          <w:lang w:val="en-US"/>
        </w:rPr>
        <w:t>7</w:t>
      </w:r>
      <w:r w:rsidR="002F0B13">
        <w:rPr>
          <w:noProof/>
          <w:szCs w:val="22"/>
          <w:lang w:val="en-US"/>
        </w:rPr>
        <w:t xml:space="preserve"> illustrates the evolution of refrigerant species and how they are managed under international environmental protocols. </w:t>
      </w:r>
    </w:p>
    <w:p w14:paraId="13C8A7C4" w14:textId="632C4A98" w:rsidR="00290841" w:rsidRDefault="00290841" w:rsidP="00290841">
      <w:pPr>
        <w:keepNext/>
        <w:spacing w:before="0"/>
        <w:jc w:val="left"/>
      </w:pPr>
    </w:p>
    <w:p w14:paraId="171F6808" w14:textId="10DD5189" w:rsidR="002F0B13" w:rsidRPr="00290841" w:rsidRDefault="00290841" w:rsidP="00290841">
      <w:pPr>
        <w:pStyle w:val="Caption"/>
        <w:jc w:val="left"/>
      </w:pPr>
      <w:bookmarkStart w:id="104" w:name="_Toc525141348"/>
      <w:r w:rsidRPr="00290841">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17</w:t>
      </w:r>
      <w:r w:rsidR="009D6843">
        <w:rPr>
          <w:noProof/>
        </w:rPr>
        <w:fldChar w:fldCharType="end"/>
      </w:r>
      <w:r w:rsidRPr="00290841">
        <w:t xml:space="preserve">: </w:t>
      </w:r>
      <w:r w:rsidR="002F0B13" w:rsidRPr="00290841">
        <w:t>Refrigerant types and international industrial gas management regimes.</w:t>
      </w:r>
      <w:bookmarkEnd w:id="104"/>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2"/>
        <w:gridCol w:w="2410"/>
        <w:gridCol w:w="2410"/>
        <w:gridCol w:w="2417"/>
      </w:tblGrid>
      <w:tr w:rsidR="002F0B13" w:rsidRPr="00923150" w14:paraId="6EED9513" w14:textId="77777777" w:rsidTr="0013680B">
        <w:tc>
          <w:tcPr>
            <w:tcW w:w="9759" w:type="dxa"/>
            <w:gridSpan w:val="4"/>
            <w:tcBorders>
              <w:bottom w:val="single" w:sz="4" w:space="0" w:color="000000"/>
            </w:tcBorders>
            <w:shd w:val="clear" w:color="auto" w:fill="0C0C0C"/>
            <w:vAlign w:val="center"/>
          </w:tcPr>
          <w:p w14:paraId="2AE6AFA8" w14:textId="77777777" w:rsidR="002F0B13" w:rsidRPr="00923150" w:rsidRDefault="002F0B13" w:rsidP="0013680B">
            <w:pPr>
              <w:spacing w:after="120"/>
              <w:jc w:val="center"/>
              <w:rPr>
                <w:b/>
              </w:rPr>
            </w:pPr>
            <w:r>
              <w:br w:type="page"/>
            </w:r>
            <w:r>
              <w:rPr>
                <w:b/>
              </w:rPr>
              <w:t>Refrigerant types and progression of synthetic refrigerants</w:t>
            </w:r>
          </w:p>
        </w:tc>
      </w:tr>
      <w:tr w:rsidR="002F0B13" w:rsidRPr="008A4DA9" w14:paraId="6FC2871C" w14:textId="77777777" w:rsidTr="0013680B">
        <w:tc>
          <w:tcPr>
            <w:tcW w:w="9759" w:type="dxa"/>
            <w:gridSpan w:val="4"/>
            <w:shd w:val="clear" w:color="auto" w:fill="CCFFFF"/>
            <w:vAlign w:val="center"/>
          </w:tcPr>
          <w:p w14:paraId="2B7CD9F6" w14:textId="77777777" w:rsidR="002F0B13" w:rsidRPr="008A4DA9" w:rsidRDefault="002F0B13" w:rsidP="0013680B">
            <w:pPr>
              <w:spacing w:after="120"/>
              <w:jc w:val="center"/>
              <w:rPr>
                <w:b/>
                <w:szCs w:val="22"/>
              </w:rPr>
            </w:pPr>
            <w:r w:rsidRPr="008A4DA9">
              <w:rPr>
                <w:b/>
                <w:szCs w:val="22"/>
              </w:rPr>
              <w:t>Natural refrigerants</w:t>
            </w:r>
            <w:r>
              <w:rPr>
                <w:b/>
                <w:szCs w:val="22"/>
              </w:rPr>
              <w:t xml:space="preserve"> </w:t>
            </w:r>
            <w:r w:rsidRPr="001A49D2">
              <w:rPr>
                <w:b/>
                <w:szCs w:val="22"/>
                <w:vertAlign w:val="superscript"/>
              </w:rPr>
              <w:t>(1)</w:t>
            </w:r>
          </w:p>
        </w:tc>
      </w:tr>
      <w:tr w:rsidR="002F0B13" w:rsidRPr="00BD20BC" w14:paraId="10EEA313" w14:textId="77777777" w:rsidTr="0013680B">
        <w:tc>
          <w:tcPr>
            <w:tcW w:w="9759" w:type="dxa"/>
            <w:gridSpan w:val="4"/>
            <w:vAlign w:val="center"/>
          </w:tcPr>
          <w:p w14:paraId="14C627B9" w14:textId="0C7DB87A" w:rsidR="002F0B13" w:rsidRPr="00BD20BC" w:rsidRDefault="002F0B13" w:rsidP="0013680B">
            <w:pPr>
              <w:jc w:val="center"/>
              <w:rPr>
                <w:sz w:val="16"/>
                <w:szCs w:val="16"/>
              </w:rPr>
            </w:pPr>
            <w:r w:rsidRPr="008C06A0">
              <w:rPr>
                <w:noProof/>
                <w:sz w:val="16"/>
                <w:szCs w:val="16"/>
                <w:lang w:val="en-AU" w:eastAsia="en-AU"/>
              </w:rPr>
              <w:drawing>
                <wp:inline distT="0" distB="0" distL="0" distR="0" wp14:anchorId="2B1DF107" wp14:editId="36B46765">
                  <wp:extent cx="5336603" cy="945699"/>
                  <wp:effectExtent l="0" t="19050" r="0" b="83185"/>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r w:rsidR="002F0B13" w:rsidRPr="008A4DA9" w14:paraId="5785B7A8" w14:textId="77777777" w:rsidTr="0013680B">
        <w:tc>
          <w:tcPr>
            <w:tcW w:w="9759" w:type="dxa"/>
            <w:gridSpan w:val="4"/>
            <w:shd w:val="clear" w:color="auto" w:fill="CCFFFF"/>
            <w:vAlign w:val="center"/>
          </w:tcPr>
          <w:p w14:paraId="2DF2D297" w14:textId="77777777" w:rsidR="002F0B13" w:rsidRPr="008A4DA9" w:rsidRDefault="002F0B13" w:rsidP="0013680B">
            <w:pPr>
              <w:spacing w:after="120"/>
              <w:jc w:val="center"/>
              <w:rPr>
                <w:b/>
                <w:szCs w:val="22"/>
              </w:rPr>
            </w:pPr>
            <w:r w:rsidRPr="008A4DA9">
              <w:rPr>
                <w:b/>
                <w:szCs w:val="22"/>
              </w:rPr>
              <w:t>Synthetic refrigerants</w:t>
            </w:r>
          </w:p>
        </w:tc>
      </w:tr>
      <w:tr w:rsidR="002F0B13" w:rsidRPr="008B7409" w14:paraId="464C9FCC" w14:textId="77777777" w:rsidTr="0013680B">
        <w:tc>
          <w:tcPr>
            <w:tcW w:w="4932" w:type="dxa"/>
            <w:gridSpan w:val="2"/>
            <w:vAlign w:val="center"/>
          </w:tcPr>
          <w:p w14:paraId="3FE388D7" w14:textId="77777777" w:rsidR="002F0B13" w:rsidRPr="008B7409" w:rsidRDefault="002F0B13" w:rsidP="0013680B">
            <w:pPr>
              <w:spacing w:after="120"/>
              <w:jc w:val="center"/>
              <w:rPr>
                <w:b/>
                <w:sz w:val="20"/>
                <w:szCs w:val="20"/>
              </w:rPr>
            </w:pPr>
            <w:r w:rsidRPr="008B7409">
              <w:rPr>
                <w:b/>
                <w:sz w:val="20"/>
                <w:szCs w:val="20"/>
              </w:rPr>
              <w:t>Montreal Protocol (</w:t>
            </w:r>
            <w:r>
              <w:rPr>
                <w:b/>
                <w:sz w:val="20"/>
                <w:szCs w:val="20"/>
              </w:rPr>
              <w:t xml:space="preserve">in response to </w:t>
            </w:r>
            <w:r w:rsidRPr="008B7409">
              <w:rPr>
                <w:b/>
                <w:sz w:val="20"/>
                <w:szCs w:val="20"/>
              </w:rPr>
              <w:t>ODP)</w:t>
            </w:r>
          </w:p>
        </w:tc>
        <w:tc>
          <w:tcPr>
            <w:tcW w:w="4827" w:type="dxa"/>
            <w:gridSpan w:val="2"/>
            <w:vAlign w:val="center"/>
          </w:tcPr>
          <w:p w14:paraId="17056DA9" w14:textId="30E2B5E2" w:rsidR="002F0B13" w:rsidRPr="008B7409" w:rsidRDefault="006A1B65" w:rsidP="00FC7FC4">
            <w:pPr>
              <w:spacing w:after="120"/>
              <w:jc w:val="center"/>
              <w:rPr>
                <w:b/>
                <w:sz w:val="20"/>
                <w:szCs w:val="20"/>
              </w:rPr>
            </w:pPr>
            <w:r w:rsidRPr="006A1B65">
              <w:rPr>
                <w:b/>
                <w:sz w:val="20"/>
                <w:szCs w:val="20"/>
              </w:rPr>
              <w:t>Kigali Amendment to the Montreal Protocol</w:t>
            </w:r>
            <w:r>
              <w:rPr>
                <w:b/>
                <w:sz w:val="20"/>
                <w:szCs w:val="20"/>
              </w:rPr>
              <w:t xml:space="preserve"> </w:t>
            </w:r>
            <w:r w:rsidRPr="00B147A0">
              <w:rPr>
                <w:b/>
                <w:sz w:val="20"/>
                <w:szCs w:val="20"/>
              </w:rPr>
              <w:t>(in response to GWP)</w:t>
            </w:r>
          </w:p>
        </w:tc>
      </w:tr>
      <w:tr w:rsidR="002F0B13" w:rsidRPr="00BD20BC" w14:paraId="4E204C13" w14:textId="77777777" w:rsidTr="0013680B">
        <w:tc>
          <w:tcPr>
            <w:tcW w:w="9759" w:type="dxa"/>
            <w:gridSpan w:val="4"/>
            <w:vAlign w:val="center"/>
          </w:tcPr>
          <w:p w14:paraId="049B1FD1" w14:textId="4E1AE8C7" w:rsidR="002F0B13" w:rsidRPr="00BD20BC" w:rsidRDefault="002F0B13" w:rsidP="0013680B">
            <w:pPr>
              <w:jc w:val="center"/>
              <w:rPr>
                <w:sz w:val="16"/>
                <w:szCs w:val="16"/>
              </w:rPr>
            </w:pPr>
            <w:r w:rsidRPr="00707D8D">
              <w:rPr>
                <w:noProof/>
                <w:sz w:val="16"/>
                <w:szCs w:val="16"/>
                <w:lang w:val="en-AU" w:eastAsia="en-AU"/>
              </w:rPr>
              <w:drawing>
                <wp:inline distT="0" distB="0" distL="0" distR="0" wp14:anchorId="41EF5CF7" wp14:editId="16CE5051">
                  <wp:extent cx="5977890" cy="406400"/>
                  <wp:effectExtent l="57150" t="19050" r="41910" b="6985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2F0B13" w:rsidRPr="00BD20BC" w14:paraId="2F751271" w14:textId="77777777" w:rsidTr="0013680B">
        <w:tc>
          <w:tcPr>
            <w:tcW w:w="2522" w:type="dxa"/>
            <w:vMerge w:val="restart"/>
          </w:tcPr>
          <w:p w14:paraId="481342C1" w14:textId="77777777" w:rsidR="002F0B13" w:rsidRPr="00B96D2D" w:rsidRDefault="002F0B13" w:rsidP="0013680B">
            <w:pPr>
              <w:jc w:val="center"/>
              <w:rPr>
                <w:b/>
                <w:sz w:val="20"/>
                <w:szCs w:val="20"/>
              </w:rPr>
            </w:pPr>
            <w:r w:rsidRPr="00B96D2D">
              <w:rPr>
                <w:b/>
                <w:sz w:val="20"/>
                <w:szCs w:val="20"/>
              </w:rPr>
              <w:t>1st Generation</w:t>
            </w:r>
          </w:p>
          <w:p w14:paraId="25F4B564" w14:textId="77777777" w:rsidR="002F0B13" w:rsidRDefault="002F0B13" w:rsidP="0013680B">
            <w:pPr>
              <w:jc w:val="center"/>
              <w:rPr>
                <w:sz w:val="20"/>
                <w:szCs w:val="20"/>
              </w:rPr>
            </w:pPr>
            <w:r>
              <w:rPr>
                <w:sz w:val="20"/>
                <w:szCs w:val="20"/>
              </w:rPr>
              <w:t>CFC-12</w:t>
            </w:r>
          </w:p>
          <w:p w14:paraId="37DF778C" w14:textId="72FA8D1D" w:rsidR="002F0B13" w:rsidRDefault="002F0B13" w:rsidP="0013680B">
            <w:pPr>
              <w:jc w:val="center"/>
              <w:rPr>
                <w:sz w:val="20"/>
                <w:szCs w:val="20"/>
              </w:rPr>
            </w:pPr>
            <w:r>
              <w:rPr>
                <w:sz w:val="20"/>
                <w:szCs w:val="20"/>
              </w:rPr>
              <w:t>GWP &gt; 10000</w:t>
            </w:r>
          </w:p>
          <w:p w14:paraId="12FA14DF" w14:textId="77777777" w:rsidR="002F0B13" w:rsidRPr="00B96D2D" w:rsidRDefault="002F0B13" w:rsidP="0013680B">
            <w:pPr>
              <w:jc w:val="center"/>
              <w:rPr>
                <w:b/>
                <w:sz w:val="20"/>
                <w:szCs w:val="20"/>
              </w:rPr>
            </w:pPr>
            <w:r>
              <w:rPr>
                <w:sz w:val="20"/>
                <w:szCs w:val="20"/>
              </w:rPr>
              <w:t>ODP = 1</w:t>
            </w:r>
          </w:p>
        </w:tc>
        <w:tc>
          <w:tcPr>
            <w:tcW w:w="2410" w:type="dxa"/>
            <w:vMerge w:val="restart"/>
          </w:tcPr>
          <w:p w14:paraId="1EFF6EC7" w14:textId="77777777" w:rsidR="002F0B13" w:rsidRPr="00B96D2D" w:rsidRDefault="002F0B13" w:rsidP="0013680B">
            <w:pPr>
              <w:jc w:val="center"/>
              <w:rPr>
                <w:b/>
                <w:sz w:val="20"/>
                <w:szCs w:val="20"/>
              </w:rPr>
            </w:pPr>
            <w:r w:rsidRPr="00B96D2D">
              <w:rPr>
                <w:b/>
                <w:sz w:val="20"/>
                <w:szCs w:val="20"/>
              </w:rPr>
              <w:t>2nd Generation</w:t>
            </w:r>
          </w:p>
          <w:p w14:paraId="484991DF" w14:textId="77777777" w:rsidR="002F0B13" w:rsidRDefault="002F0B13" w:rsidP="0013680B">
            <w:pPr>
              <w:jc w:val="center"/>
              <w:rPr>
                <w:sz w:val="20"/>
                <w:szCs w:val="20"/>
              </w:rPr>
            </w:pPr>
            <w:r>
              <w:rPr>
                <w:sz w:val="20"/>
                <w:szCs w:val="20"/>
              </w:rPr>
              <w:t>HCFC-22</w:t>
            </w:r>
          </w:p>
          <w:p w14:paraId="496E0016" w14:textId="11048441" w:rsidR="002F0B13" w:rsidRDefault="002F0B13" w:rsidP="0013680B">
            <w:pPr>
              <w:jc w:val="center"/>
              <w:rPr>
                <w:sz w:val="20"/>
                <w:szCs w:val="20"/>
              </w:rPr>
            </w:pPr>
            <w:r>
              <w:rPr>
                <w:sz w:val="20"/>
                <w:szCs w:val="20"/>
              </w:rPr>
              <w:t>GWP = 1810</w:t>
            </w:r>
          </w:p>
          <w:p w14:paraId="1C06314C" w14:textId="77777777" w:rsidR="002F0B13" w:rsidRPr="00B96D2D" w:rsidRDefault="002F0B13" w:rsidP="0013680B">
            <w:pPr>
              <w:jc w:val="center"/>
              <w:rPr>
                <w:b/>
                <w:sz w:val="20"/>
                <w:szCs w:val="20"/>
              </w:rPr>
            </w:pPr>
            <w:r>
              <w:rPr>
                <w:sz w:val="20"/>
                <w:szCs w:val="20"/>
              </w:rPr>
              <w:t>ODP = 0.055</w:t>
            </w:r>
          </w:p>
        </w:tc>
        <w:tc>
          <w:tcPr>
            <w:tcW w:w="2410" w:type="dxa"/>
          </w:tcPr>
          <w:p w14:paraId="349DFA44" w14:textId="77777777" w:rsidR="002F0B13" w:rsidRPr="00B96D2D" w:rsidRDefault="002F0B13" w:rsidP="0013680B">
            <w:pPr>
              <w:spacing w:after="120"/>
              <w:jc w:val="center"/>
              <w:rPr>
                <w:b/>
                <w:sz w:val="20"/>
                <w:szCs w:val="20"/>
              </w:rPr>
            </w:pPr>
            <w:r w:rsidRPr="00B96D2D">
              <w:rPr>
                <w:b/>
                <w:sz w:val="20"/>
                <w:szCs w:val="20"/>
              </w:rPr>
              <w:t>3rd Generation</w:t>
            </w:r>
          </w:p>
          <w:p w14:paraId="2B96CB63" w14:textId="77777777" w:rsidR="002F0B13" w:rsidRDefault="002F0B13" w:rsidP="0013680B">
            <w:pPr>
              <w:spacing w:after="120"/>
              <w:jc w:val="center"/>
              <w:rPr>
                <w:sz w:val="20"/>
                <w:szCs w:val="20"/>
              </w:rPr>
            </w:pPr>
            <w:r>
              <w:rPr>
                <w:sz w:val="20"/>
                <w:szCs w:val="20"/>
              </w:rPr>
              <w:t>HFC-404A</w:t>
            </w:r>
          </w:p>
          <w:p w14:paraId="53054FC8" w14:textId="755268AF" w:rsidR="002F0B13" w:rsidRDefault="002F0B13" w:rsidP="0013680B">
            <w:pPr>
              <w:spacing w:after="120"/>
              <w:jc w:val="center"/>
              <w:rPr>
                <w:sz w:val="20"/>
                <w:szCs w:val="20"/>
              </w:rPr>
            </w:pPr>
            <w:r>
              <w:rPr>
                <w:sz w:val="20"/>
                <w:szCs w:val="20"/>
              </w:rPr>
              <w:t>GWP = 3922</w:t>
            </w:r>
          </w:p>
          <w:p w14:paraId="0DD29C0D" w14:textId="77777777" w:rsidR="002F0B13" w:rsidRDefault="002F0B13" w:rsidP="0013680B">
            <w:pPr>
              <w:spacing w:after="120"/>
              <w:jc w:val="center"/>
              <w:rPr>
                <w:sz w:val="20"/>
                <w:szCs w:val="20"/>
              </w:rPr>
            </w:pPr>
            <w:r>
              <w:rPr>
                <w:sz w:val="20"/>
                <w:szCs w:val="20"/>
              </w:rPr>
              <w:t>ODP = 0</w:t>
            </w:r>
          </w:p>
          <w:p w14:paraId="63B963E1" w14:textId="7586EED1" w:rsidR="002F0B13" w:rsidRPr="00B96D2D" w:rsidRDefault="002F0B13" w:rsidP="0013680B">
            <w:pPr>
              <w:spacing w:after="120"/>
              <w:jc w:val="center"/>
              <w:rPr>
                <w:b/>
                <w:sz w:val="20"/>
                <w:szCs w:val="20"/>
              </w:rPr>
            </w:pPr>
            <w:r>
              <w:rPr>
                <w:sz w:val="20"/>
                <w:szCs w:val="20"/>
              </w:rPr>
              <w:t xml:space="preserve">GWP </w:t>
            </w:r>
            <w:r>
              <w:rPr>
                <w:rFonts w:cs="Times New Roman"/>
                <w:sz w:val="20"/>
                <w:szCs w:val="20"/>
              </w:rPr>
              <w:t>≥</w:t>
            </w:r>
            <w:r>
              <w:rPr>
                <w:sz w:val="20"/>
                <w:szCs w:val="20"/>
              </w:rPr>
              <w:t xml:space="preserve"> 1430</w:t>
            </w:r>
          </w:p>
        </w:tc>
        <w:tc>
          <w:tcPr>
            <w:tcW w:w="2417" w:type="dxa"/>
          </w:tcPr>
          <w:p w14:paraId="5A39A1AD" w14:textId="77777777" w:rsidR="002F0B13" w:rsidRPr="00B96D2D" w:rsidRDefault="002F0B13" w:rsidP="0013680B">
            <w:pPr>
              <w:spacing w:after="120"/>
              <w:jc w:val="center"/>
              <w:rPr>
                <w:b/>
                <w:sz w:val="20"/>
                <w:szCs w:val="20"/>
              </w:rPr>
            </w:pPr>
            <w:r w:rsidRPr="00B96D2D">
              <w:rPr>
                <w:b/>
                <w:sz w:val="20"/>
                <w:szCs w:val="20"/>
              </w:rPr>
              <w:t>4th Generation</w:t>
            </w:r>
          </w:p>
          <w:p w14:paraId="6FFC5C1C" w14:textId="77777777" w:rsidR="002F0B13" w:rsidRDefault="002F0B13" w:rsidP="0013680B">
            <w:pPr>
              <w:spacing w:after="120"/>
              <w:jc w:val="center"/>
              <w:rPr>
                <w:sz w:val="20"/>
                <w:szCs w:val="20"/>
              </w:rPr>
            </w:pPr>
            <w:r>
              <w:rPr>
                <w:sz w:val="20"/>
                <w:szCs w:val="20"/>
              </w:rPr>
              <w:t>HFO-1234yf</w:t>
            </w:r>
          </w:p>
          <w:p w14:paraId="3F669E73" w14:textId="77777777" w:rsidR="002F0B13" w:rsidRDefault="002F0B13" w:rsidP="0013680B">
            <w:pPr>
              <w:spacing w:after="120"/>
              <w:jc w:val="center"/>
              <w:rPr>
                <w:sz w:val="20"/>
                <w:szCs w:val="20"/>
              </w:rPr>
            </w:pPr>
            <w:r>
              <w:rPr>
                <w:sz w:val="20"/>
                <w:szCs w:val="20"/>
              </w:rPr>
              <w:t>ODP = 0</w:t>
            </w:r>
          </w:p>
          <w:p w14:paraId="5ED97A6A" w14:textId="77777777" w:rsidR="002F0B13" w:rsidRDefault="002F0B13" w:rsidP="0013680B">
            <w:pPr>
              <w:spacing w:after="120"/>
              <w:jc w:val="center"/>
              <w:rPr>
                <w:sz w:val="20"/>
                <w:szCs w:val="20"/>
              </w:rPr>
            </w:pPr>
            <w:r>
              <w:rPr>
                <w:sz w:val="20"/>
                <w:szCs w:val="20"/>
              </w:rPr>
              <w:t>GWP &lt; 10</w:t>
            </w:r>
          </w:p>
          <w:p w14:paraId="583A3023" w14:textId="77777777" w:rsidR="002F0B13" w:rsidRDefault="002F0B13" w:rsidP="0013680B">
            <w:pPr>
              <w:spacing w:after="120"/>
              <w:jc w:val="center"/>
              <w:rPr>
                <w:sz w:val="20"/>
                <w:szCs w:val="20"/>
              </w:rPr>
            </w:pPr>
            <w:r>
              <w:rPr>
                <w:sz w:val="20"/>
                <w:szCs w:val="20"/>
              </w:rPr>
              <w:t>HFO blends</w:t>
            </w:r>
          </w:p>
          <w:p w14:paraId="4B55A3AD" w14:textId="77777777" w:rsidR="002F0B13" w:rsidRPr="0045057A" w:rsidRDefault="002F0B13" w:rsidP="0013680B">
            <w:pPr>
              <w:spacing w:after="120"/>
              <w:jc w:val="center"/>
              <w:rPr>
                <w:sz w:val="20"/>
                <w:szCs w:val="20"/>
              </w:rPr>
            </w:pPr>
            <w:r>
              <w:rPr>
                <w:sz w:val="20"/>
                <w:szCs w:val="20"/>
              </w:rPr>
              <w:t>GWP &lt; 1430</w:t>
            </w:r>
          </w:p>
        </w:tc>
      </w:tr>
      <w:tr w:rsidR="002F0B13" w:rsidRPr="00B96D2D" w14:paraId="2B3E8188" w14:textId="77777777" w:rsidTr="0013680B">
        <w:tc>
          <w:tcPr>
            <w:tcW w:w="2522" w:type="dxa"/>
            <w:vMerge/>
            <w:tcBorders>
              <w:bottom w:val="single" w:sz="4" w:space="0" w:color="000000"/>
            </w:tcBorders>
          </w:tcPr>
          <w:p w14:paraId="395156C9" w14:textId="77777777" w:rsidR="002F0B13" w:rsidRPr="00BD20BC" w:rsidRDefault="002F0B13" w:rsidP="0013680B">
            <w:pPr>
              <w:jc w:val="center"/>
              <w:rPr>
                <w:sz w:val="16"/>
                <w:szCs w:val="16"/>
              </w:rPr>
            </w:pPr>
          </w:p>
        </w:tc>
        <w:tc>
          <w:tcPr>
            <w:tcW w:w="2410" w:type="dxa"/>
            <w:vMerge/>
            <w:tcBorders>
              <w:bottom w:val="single" w:sz="4" w:space="0" w:color="000000"/>
            </w:tcBorders>
          </w:tcPr>
          <w:p w14:paraId="007B3FC7" w14:textId="77777777" w:rsidR="002F0B13" w:rsidRPr="00BD20BC" w:rsidRDefault="002F0B13" w:rsidP="0013680B">
            <w:pPr>
              <w:jc w:val="center"/>
              <w:rPr>
                <w:sz w:val="16"/>
                <w:szCs w:val="16"/>
              </w:rPr>
            </w:pPr>
          </w:p>
        </w:tc>
        <w:tc>
          <w:tcPr>
            <w:tcW w:w="4827" w:type="dxa"/>
            <w:gridSpan w:val="2"/>
            <w:tcBorders>
              <w:bottom w:val="single" w:sz="4" w:space="0" w:color="000000"/>
            </w:tcBorders>
          </w:tcPr>
          <w:p w14:paraId="134A7835" w14:textId="77777777" w:rsidR="002F0B13" w:rsidRDefault="002F0B13" w:rsidP="0013680B">
            <w:pPr>
              <w:spacing w:after="120"/>
              <w:jc w:val="center"/>
              <w:rPr>
                <w:sz w:val="20"/>
                <w:szCs w:val="20"/>
              </w:rPr>
            </w:pPr>
            <w:r w:rsidRPr="00B96D2D">
              <w:rPr>
                <w:b/>
                <w:sz w:val="20"/>
                <w:szCs w:val="20"/>
              </w:rPr>
              <w:t>3.5 Generation</w:t>
            </w:r>
            <w:r>
              <w:rPr>
                <w:sz w:val="20"/>
                <w:szCs w:val="20"/>
              </w:rPr>
              <w:t xml:space="preserve"> </w:t>
            </w:r>
          </w:p>
          <w:p w14:paraId="2AF2449A" w14:textId="5484C1D5" w:rsidR="002F0B13" w:rsidRPr="00B96D2D" w:rsidRDefault="002F0B13" w:rsidP="0013680B">
            <w:pPr>
              <w:spacing w:after="120"/>
              <w:jc w:val="center"/>
              <w:rPr>
                <w:sz w:val="20"/>
                <w:szCs w:val="20"/>
              </w:rPr>
            </w:pPr>
            <w:r w:rsidRPr="0045057A">
              <w:rPr>
                <w:sz w:val="20"/>
                <w:szCs w:val="20"/>
              </w:rPr>
              <w:t>HFC-407F (GWP of 1825)</w:t>
            </w:r>
            <w:r>
              <w:rPr>
                <w:sz w:val="20"/>
                <w:szCs w:val="20"/>
              </w:rPr>
              <w:t xml:space="preserve"> </w:t>
            </w:r>
          </w:p>
        </w:tc>
      </w:tr>
    </w:tbl>
    <w:p w14:paraId="21247340" w14:textId="1F16FD10" w:rsidR="005E1951" w:rsidRPr="005E1951" w:rsidRDefault="005E1951" w:rsidP="005E1951">
      <w:pPr>
        <w:spacing w:before="60"/>
        <w:rPr>
          <w:sz w:val="20"/>
          <w:szCs w:val="20"/>
        </w:rPr>
      </w:pPr>
      <w:r>
        <w:rPr>
          <w:sz w:val="20"/>
          <w:szCs w:val="20"/>
        </w:rPr>
        <w:t>Notes:</w:t>
      </w:r>
    </w:p>
    <w:p w14:paraId="17FBF55E" w14:textId="040CF69A" w:rsidR="002F0B13" w:rsidRPr="005E1951" w:rsidRDefault="002F0B13" w:rsidP="00D6002F">
      <w:pPr>
        <w:pStyle w:val="ListParagraph"/>
        <w:numPr>
          <w:ilvl w:val="0"/>
          <w:numId w:val="58"/>
        </w:numPr>
        <w:spacing w:before="60" w:after="0" w:line="240" w:lineRule="auto"/>
        <w:contextualSpacing w:val="0"/>
        <w:jc w:val="both"/>
        <w:rPr>
          <w:rFonts w:ascii="Times New Roman" w:hAnsi="Times New Roman"/>
          <w:sz w:val="20"/>
          <w:szCs w:val="20"/>
        </w:rPr>
      </w:pPr>
      <w:r w:rsidRPr="005E1951">
        <w:rPr>
          <w:rFonts w:ascii="Times New Roman" w:hAnsi="Times New Roman"/>
          <w:sz w:val="20"/>
          <w:szCs w:val="20"/>
        </w:rPr>
        <w:t xml:space="preserve">The term ‘natural’ implies the origin of the fluids, i.e. gases that are used as natural refrigerants occur in nature as a result of geological and/or biological processes, unlike fluorinated refrigerants that are synthesized chemicals. However natural refrigerants are all industrially produced and </w:t>
      </w:r>
      <w:r w:rsidR="005E1951" w:rsidRPr="005E1951">
        <w:rPr>
          <w:rFonts w:ascii="Times New Roman" w:hAnsi="Times New Roman"/>
          <w:sz w:val="20"/>
          <w:szCs w:val="20"/>
        </w:rPr>
        <w:t>processed and</w:t>
      </w:r>
      <w:r w:rsidRPr="005E1951">
        <w:rPr>
          <w:rFonts w:ascii="Times New Roman" w:hAnsi="Times New Roman"/>
          <w:sz w:val="20"/>
          <w:szCs w:val="20"/>
        </w:rPr>
        <w:t xml:space="preserve"> transported in large and small pressure vessels to market.</w:t>
      </w:r>
    </w:p>
    <w:p w14:paraId="15A18D3D" w14:textId="499E0469" w:rsidR="002F0B13" w:rsidRDefault="002F0B13" w:rsidP="002F0B13">
      <w:r>
        <w:t xml:space="preserve">Having engineered a transition away from ozone depleting refrigerants, the global industry and </w:t>
      </w:r>
      <w:r w:rsidR="009F5EAE">
        <w:t>governments</w:t>
      </w:r>
      <w:r>
        <w:t xml:space="preserve"> have now agreed a phase down of HFCs, effectively seeking a transition to lower GWP refrigerants to further reduce the impact of direct refrigerant emissions from the industry on global warming.</w:t>
      </w:r>
    </w:p>
    <w:p w14:paraId="71B41667" w14:textId="26B1C376" w:rsidR="002F0B13" w:rsidRDefault="002F0B13" w:rsidP="002F0B13">
      <w:r>
        <w:t xml:space="preserve">This new driver of technological change is resulting in an increasing diversity of refrigerants in the bank as lower GWP refrigerants are engineered or proven in specific applications. It is this requirement to reduce demand for HFCs that is going to be the main influence on the </w:t>
      </w:r>
      <w:r w:rsidR="009F5EAE">
        <w:t>future</w:t>
      </w:r>
      <w:r>
        <w:t xml:space="preserve"> bank.</w:t>
      </w:r>
    </w:p>
    <w:p w14:paraId="24CC64EE" w14:textId="005D2CD8" w:rsidR="002F0B13" w:rsidRPr="00456997" w:rsidRDefault="002F0B13" w:rsidP="002F0B13">
      <w:pPr>
        <w:rPr>
          <w:szCs w:val="22"/>
          <w:lang w:val="en-US"/>
        </w:rPr>
      </w:pPr>
      <w:r w:rsidRPr="00456997">
        <w:t xml:space="preserve">A simple visual has been prepared in </w:t>
      </w:r>
      <w:r w:rsidR="00290841" w:rsidRPr="00290841">
        <w:rPr>
          <w:i/>
        </w:rPr>
        <w:t>Table 24</w:t>
      </w:r>
      <w:r w:rsidRPr="00456997">
        <w:t xml:space="preserve"> for major equipment class</w:t>
      </w:r>
      <w:r w:rsidR="007A1335">
        <w:t>es</w:t>
      </w:r>
      <w:r w:rsidRPr="00456997">
        <w:t xml:space="preserve"> to provide technology signals (green, amber and red) to indicate the general suitability</w:t>
      </w:r>
      <w:r>
        <w:t xml:space="preserve"> for transition to lower GWP HFCs, or away from HFCs to an alternative refrigerant</w:t>
      </w:r>
      <w:r w:rsidRPr="00456997">
        <w:t xml:space="preserve">. </w:t>
      </w:r>
      <w:r w:rsidRPr="00456997">
        <w:rPr>
          <w:szCs w:val="22"/>
          <w:lang w:val="en-US"/>
        </w:rPr>
        <w:t xml:space="preserve">This framework, along with interviews of technical experts </w:t>
      </w:r>
      <w:r w:rsidR="00E13F35">
        <w:rPr>
          <w:szCs w:val="22"/>
          <w:lang w:val="en-US"/>
        </w:rPr>
        <w:t>from</w:t>
      </w:r>
      <w:r w:rsidR="00E13F35" w:rsidRPr="00456997">
        <w:rPr>
          <w:szCs w:val="22"/>
          <w:lang w:val="en-US"/>
        </w:rPr>
        <w:t xml:space="preserve"> </w:t>
      </w:r>
      <w:r w:rsidRPr="00456997">
        <w:rPr>
          <w:szCs w:val="22"/>
          <w:lang w:val="en-US"/>
        </w:rPr>
        <w:t xml:space="preserve">global equipment suppliers form the basis for predicting new </w:t>
      </w:r>
      <w:r>
        <w:rPr>
          <w:szCs w:val="22"/>
          <w:lang w:val="en-US"/>
        </w:rPr>
        <w:t xml:space="preserve">equipment </w:t>
      </w:r>
      <w:r w:rsidRPr="00456997">
        <w:rPr>
          <w:szCs w:val="22"/>
          <w:lang w:val="en-US"/>
        </w:rPr>
        <w:t>sales mix projection</w:t>
      </w:r>
      <w:r>
        <w:rPr>
          <w:szCs w:val="22"/>
          <w:lang w:val="en-US"/>
        </w:rPr>
        <w:t>s</w:t>
      </w:r>
      <w:r w:rsidRPr="00456997">
        <w:rPr>
          <w:szCs w:val="22"/>
          <w:lang w:val="en-US"/>
        </w:rPr>
        <w:t xml:space="preserve"> to 2030</w:t>
      </w:r>
      <w:r>
        <w:rPr>
          <w:szCs w:val="22"/>
          <w:lang w:val="en-US"/>
        </w:rPr>
        <w:t>, which in turn lead to</w:t>
      </w:r>
      <w:r w:rsidR="00E13F35">
        <w:rPr>
          <w:szCs w:val="22"/>
          <w:lang w:val="en-US"/>
        </w:rPr>
        <w:t xml:space="preserve"> the</w:t>
      </w:r>
      <w:r>
        <w:rPr>
          <w:szCs w:val="22"/>
          <w:lang w:val="en-US"/>
        </w:rPr>
        <w:t xml:space="preserve"> projections below of the future composition of the bank</w:t>
      </w:r>
      <w:r w:rsidRPr="00456997">
        <w:rPr>
          <w:szCs w:val="22"/>
          <w:lang w:val="en-US"/>
        </w:rPr>
        <w:t xml:space="preserve">.   </w:t>
      </w:r>
    </w:p>
    <w:p w14:paraId="5048CD82" w14:textId="77777777" w:rsidR="002F0B13" w:rsidRDefault="002F0B13" w:rsidP="00670A4E">
      <w:pPr>
        <w:spacing w:before="0"/>
        <w:rPr>
          <w:rFonts w:eastAsia="Times New Roman" w:cs="Times New Roman"/>
          <w:lang w:val="en-US"/>
        </w:rPr>
      </w:pPr>
    </w:p>
    <w:p w14:paraId="4AE37031" w14:textId="77777777" w:rsidR="00EC76EA" w:rsidRDefault="00EC76EA">
      <w:pPr>
        <w:spacing w:before="0"/>
        <w:jc w:val="left"/>
        <w:rPr>
          <w:rFonts w:eastAsia="Times New Roman" w:cs="Times New Roman"/>
          <w:bCs/>
          <w:i/>
          <w:szCs w:val="20"/>
          <w:lang w:val="en-US"/>
        </w:rPr>
      </w:pPr>
      <w:bookmarkStart w:id="105" w:name="_Toc525141413"/>
      <w:r>
        <w:br w:type="page"/>
      </w:r>
    </w:p>
    <w:p w14:paraId="1400E645" w14:textId="71C5C354" w:rsidR="002F0B13" w:rsidRPr="005A6A77" w:rsidRDefault="005A6A77" w:rsidP="005A6A77">
      <w:pPr>
        <w:pStyle w:val="Caption"/>
        <w:keepNext/>
        <w:rPr>
          <w:szCs w:val="22"/>
        </w:rPr>
      </w:pPr>
      <w:r w:rsidRPr="005A6A77">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24</w:t>
      </w:r>
      <w:r w:rsidR="009D6843">
        <w:rPr>
          <w:noProof/>
        </w:rPr>
        <w:fldChar w:fldCharType="end"/>
      </w:r>
      <w:r w:rsidRPr="005A6A77">
        <w:t xml:space="preserve">: </w:t>
      </w:r>
      <w:r w:rsidR="005631FA" w:rsidRPr="005A6A77">
        <w:rPr>
          <w:szCs w:val="22"/>
        </w:rPr>
        <w:t>Summary of technology opportunities for new equipment by GWP t</w:t>
      </w:r>
      <w:r w:rsidR="002F0B13" w:rsidRPr="005A6A77">
        <w:rPr>
          <w:szCs w:val="22"/>
        </w:rPr>
        <w:t>hreshold in 2018.</w:t>
      </w:r>
      <w:bookmarkEnd w:id="105"/>
    </w:p>
    <w:tbl>
      <w:tblPr>
        <w:tblStyle w:val="TableGrid"/>
        <w:tblW w:w="9759" w:type="dxa"/>
        <w:tblInd w:w="-5" w:type="dxa"/>
        <w:tblLayout w:type="fixed"/>
        <w:tblLook w:val="04A0" w:firstRow="1" w:lastRow="0" w:firstColumn="1" w:lastColumn="0" w:noHBand="0" w:noVBand="1"/>
      </w:tblPr>
      <w:tblGrid>
        <w:gridCol w:w="1672"/>
        <w:gridCol w:w="1560"/>
        <w:gridCol w:w="1631"/>
        <w:gridCol w:w="1632"/>
        <w:gridCol w:w="1632"/>
        <w:gridCol w:w="1632"/>
      </w:tblGrid>
      <w:tr w:rsidR="002F0B13" w:rsidRPr="00B06341" w14:paraId="287ABB6E" w14:textId="77777777" w:rsidTr="0013680B">
        <w:tc>
          <w:tcPr>
            <w:tcW w:w="3232" w:type="dxa"/>
            <w:gridSpan w:val="2"/>
            <w:vMerge w:val="restart"/>
            <w:tcBorders>
              <w:right w:val="single" w:sz="4" w:space="0" w:color="FFFFFF" w:themeColor="background1"/>
            </w:tcBorders>
            <w:shd w:val="clear" w:color="auto" w:fill="0C0C0C"/>
            <w:vAlign w:val="center"/>
          </w:tcPr>
          <w:p w14:paraId="018EAA14" w14:textId="77777777" w:rsidR="002F0B13" w:rsidRPr="00B06341" w:rsidRDefault="002F0B13" w:rsidP="0013680B">
            <w:pPr>
              <w:spacing w:before="60" w:after="60"/>
              <w:jc w:val="left"/>
              <w:rPr>
                <w:bCs/>
                <w:i/>
                <w:szCs w:val="22"/>
                <w:lang w:val="en-US"/>
              </w:rPr>
            </w:pPr>
            <w:r w:rsidRPr="00B06341">
              <w:rPr>
                <w:bCs/>
                <w:i/>
                <w:szCs w:val="22"/>
                <w:lang w:val="en-US"/>
              </w:rPr>
              <w:t>New equipment</w:t>
            </w:r>
          </w:p>
        </w:tc>
        <w:tc>
          <w:tcPr>
            <w:tcW w:w="6527" w:type="dxa"/>
            <w:gridSpan w:val="4"/>
            <w:tcBorders>
              <w:left w:val="single" w:sz="4" w:space="0" w:color="FFFFFF" w:themeColor="background1"/>
              <w:bottom w:val="single" w:sz="4" w:space="0" w:color="FFFFFF" w:themeColor="background1"/>
            </w:tcBorders>
            <w:shd w:val="clear" w:color="auto" w:fill="0C0C0C"/>
            <w:vAlign w:val="center"/>
          </w:tcPr>
          <w:p w14:paraId="591F7FE8" w14:textId="77777777" w:rsidR="002F0B13" w:rsidRPr="00B06341" w:rsidRDefault="002F0B13" w:rsidP="0013680B">
            <w:pPr>
              <w:spacing w:before="60" w:after="60"/>
              <w:jc w:val="center"/>
              <w:rPr>
                <w:bCs/>
                <w:i/>
                <w:szCs w:val="22"/>
                <w:lang w:val="en-US"/>
              </w:rPr>
            </w:pPr>
            <w:r w:rsidRPr="00B06341">
              <w:rPr>
                <w:bCs/>
                <w:i/>
                <w:szCs w:val="22"/>
                <w:lang w:val="en-US"/>
              </w:rPr>
              <w:t>New equipment technical capability (GWP threshold)</w:t>
            </w:r>
          </w:p>
        </w:tc>
      </w:tr>
      <w:tr w:rsidR="002F0B13" w:rsidRPr="00474B83" w14:paraId="20C90539" w14:textId="77777777" w:rsidTr="007A1335">
        <w:tc>
          <w:tcPr>
            <w:tcW w:w="3232" w:type="dxa"/>
            <w:gridSpan w:val="2"/>
            <w:vMerge/>
            <w:tcBorders>
              <w:right w:val="single" w:sz="4" w:space="0" w:color="FFFFFF" w:themeColor="background1"/>
            </w:tcBorders>
            <w:shd w:val="clear" w:color="auto" w:fill="0C0C0C"/>
            <w:vAlign w:val="bottom"/>
          </w:tcPr>
          <w:p w14:paraId="0775293B" w14:textId="77777777" w:rsidR="002F0B13" w:rsidRPr="00474B83" w:rsidRDefault="002F0B13" w:rsidP="0013680B">
            <w:pPr>
              <w:spacing w:before="60" w:after="60"/>
              <w:jc w:val="left"/>
              <w:rPr>
                <w:szCs w:val="22"/>
              </w:rPr>
            </w:pPr>
          </w:p>
        </w:tc>
        <w:tc>
          <w:tcPr>
            <w:tcW w:w="1631"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C0C0C"/>
            <w:vAlign w:val="center"/>
          </w:tcPr>
          <w:p w14:paraId="34BB6DBD" w14:textId="77777777" w:rsidR="002F0B13" w:rsidRPr="00474B83" w:rsidRDefault="002F0B13" w:rsidP="0013680B">
            <w:pPr>
              <w:spacing w:before="60" w:after="60"/>
              <w:jc w:val="center"/>
              <w:rPr>
                <w:szCs w:val="22"/>
              </w:rPr>
            </w:pPr>
            <w:r w:rsidRPr="00474B83">
              <w:rPr>
                <w:color w:val="FFFFFF"/>
                <w:szCs w:val="22"/>
              </w:rPr>
              <w:t>150</w:t>
            </w:r>
          </w:p>
        </w:tc>
        <w:tc>
          <w:tcPr>
            <w:tcW w:w="1632"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C0C0C"/>
            <w:vAlign w:val="center"/>
          </w:tcPr>
          <w:p w14:paraId="156DB312" w14:textId="77777777" w:rsidR="002F0B13" w:rsidRPr="00474B83" w:rsidRDefault="002F0B13" w:rsidP="0013680B">
            <w:pPr>
              <w:spacing w:before="60" w:after="60"/>
              <w:jc w:val="center"/>
              <w:rPr>
                <w:szCs w:val="22"/>
              </w:rPr>
            </w:pPr>
            <w:r w:rsidRPr="00474B83">
              <w:rPr>
                <w:color w:val="FFFFFF"/>
                <w:szCs w:val="22"/>
              </w:rPr>
              <w:t>750</w:t>
            </w:r>
          </w:p>
        </w:tc>
        <w:tc>
          <w:tcPr>
            <w:tcW w:w="1632"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C0C0C"/>
            <w:vAlign w:val="center"/>
          </w:tcPr>
          <w:p w14:paraId="2C7B70FD" w14:textId="77777777" w:rsidR="002F0B13" w:rsidRPr="00474B83" w:rsidRDefault="002F0B13" w:rsidP="0013680B">
            <w:pPr>
              <w:spacing w:before="60" w:after="60"/>
              <w:jc w:val="center"/>
              <w:rPr>
                <w:szCs w:val="22"/>
              </w:rPr>
            </w:pPr>
            <w:r w:rsidRPr="00474B83">
              <w:rPr>
                <w:color w:val="FFFFFF"/>
                <w:szCs w:val="22"/>
              </w:rPr>
              <w:t>1500</w:t>
            </w:r>
          </w:p>
        </w:tc>
        <w:tc>
          <w:tcPr>
            <w:tcW w:w="1632" w:type="dxa"/>
            <w:tcBorders>
              <w:top w:val="single" w:sz="4" w:space="0" w:color="FFFFFF" w:themeColor="background1"/>
              <w:left w:val="single" w:sz="4" w:space="0" w:color="FFFFFF" w:themeColor="background1"/>
              <w:bottom w:val="single" w:sz="4" w:space="0" w:color="000000"/>
            </w:tcBorders>
            <w:shd w:val="clear" w:color="auto" w:fill="0C0C0C"/>
            <w:vAlign w:val="center"/>
          </w:tcPr>
          <w:p w14:paraId="16AA5D46" w14:textId="77777777" w:rsidR="002F0B13" w:rsidRPr="00474B83" w:rsidRDefault="002F0B13" w:rsidP="0013680B">
            <w:pPr>
              <w:spacing w:before="60" w:after="60"/>
              <w:jc w:val="center"/>
              <w:rPr>
                <w:szCs w:val="22"/>
              </w:rPr>
            </w:pPr>
            <w:r w:rsidRPr="00474B83">
              <w:rPr>
                <w:color w:val="FFFFFF"/>
                <w:szCs w:val="22"/>
              </w:rPr>
              <w:t>2500</w:t>
            </w:r>
          </w:p>
        </w:tc>
      </w:tr>
      <w:tr w:rsidR="002F0B13" w:rsidRPr="00474B83" w14:paraId="678BB11D" w14:textId="77777777" w:rsidTr="0013680B">
        <w:tc>
          <w:tcPr>
            <w:tcW w:w="3232" w:type="dxa"/>
            <w:gridSpan w:val="2"/>
            <w:vAlign w:val="bottom"/>
          </w:tcPr>
          <w:p w14:paraId="5ADA176C" w14:textId="77777777" w:rsidR="002F0B13" w:rsidRPr="00474B83" w:rsidRDefault="002F0B13" w:rsidP="0013680B">
            <w:pPr>
              <w:spacing w:before="60" w:after="60"/>
              <w:jc w:val="left"/>
              <w:rPr>
                <w:szCs w:val="22"/>
              </w:rPr>
            </w:pPr>
            <w:r w:rsidRPr="00474B83">
              <w:rPr>
                <w:color w:val="000000"/>
                <w:szCs w:val="22"/>
              </w:rPr>
              <w:t>Domestic refrigeration</w:t>
            </w:r>
          </w:p>
        </w:tc>
        <w:tc>
          <w:tcPr>
            <w:tcW w:w="1631" w:type="dxa"/>
            <w:tcBorders>
              <w:bottom w:val="single" w:sz="4" w:space="0" w:color="000000"/>
            </w:tcBorders>
            <w:shd w:val="clear" w:color="auto" w:fill="339966"/>
          </w:tcPr>
          <w:p w14:paraId="7BC18184" w14:textId="77777777" w:rsidR="002F0B13" w:rsidRPr="00474B83" w:rsidRDefault="002F0B13" w:rsidP="0013680B">
            <w:pPr>
              <w:spacing w:before="60" w:after="60"/>
              <w:rPr>
                <w:szCs w:val="22"/>
              </w:rPr>
            </w:pPr>
          </w:p>
        </w:tc>
        <w:tc>
          <w:tcPr>
            <w:tcW w:w="1632" w:type="dxa"/>
          </w:tcPr>
          <w:p w14:paraId="4992ABC0" w14:textId="77777777" w:rsidR="002F0B13" w:rsidRPr="00474B83" w:rsidRDefault="002F0B13" w:rsidP="0013680B">
            <w:pPr>
              <w:spacing w:before="60" w:after="60"/>
              <w:rPr>
                <w:szCs w:val="22"/>
              </w:rPr>
            </w:pPr>
          </w:p>
        </w:tc>
        <w:tc>
          <w:tcPr>
            <w:tcW w:w="1632" w:type="dxa"/>
          </w:tcPr>
          <w:p w14:paraId="1AD3B5E6" w14:textId="77777777" w:rsidR="002F0B13" w:rsidRPr="00474B83" w:rsidRDefault="002F0B13" w:rsidP="0013680B">
            <w:pPr>
              <w:spacing w:before="60" w:after="60"/>
              <w:rPr>
                <w:szCs w:val="22"/>
              </w:rPr>
            </w:pPr>
          </w:p>
        </w:tc>
        <w:tc>
          <w:tcPr>
            <w:tcW w:w="1632" w:type="dxa"/>
          </w:tcPr>
          <w:p w14:paraId="46F60787" w14:textId="77777777" w:rsidR="002F0B13" w:rsidRPr="00474B83" w:rsidRDefault="002F0B13" w:rsidP="0013680B">
            <w:pPr>
              <w:spacing w:before="60" w:after="60"/>
              <w:rPr>
                <w:szCs w:val="22"/>
              </w:rPr>
            </w:pPr>
          </w:p>
        </w:tc>
      </w:tr>
      <w:tr w:rsidR="002F0B13" w:rsidRPr="00474B83" w14:paraId="68FEA2EF" w14:textId="77777777" w:rsidTr="005E1951">
        <w:tc>
          <w:tcPr>
            <w:tcW w:w="3232" w:type="dxa"/>
            <w:gridSpan w:val="2"/>
            <w:vAlign w:val="bottom"/>
          </w:tcPr>
          <w:p w14:paraId="75169507" w14:textId="77777777" w:rsidR="002F0B13" w:rsidRPr="00474B83" w:rsidRDefault="002F0B13" w:rsidP="0013680B">
            <w:pPr>
              <w:spacing w:before="60" w:after="60"/>
              <w:jc w:val="left"/>
              <w:rPr>
                <w:szCs w:val="22"/>
              </w:rPr>
            </w:pPr>
            <w:r>
              <w:rPr>
                <w:color w:val="000000"/>
                <w:szCs w:val="22"/>
              </w:rPr>
              <w:t xml:space="preserve">RCFC: </w:t>
            </w:r>
            <w:r w:rsidRPr="00474B83">
              <w:rPr>
                <w:color w:val="000000"/>
                <w:szCs w:val="22"/>
              </w:rPr>
              <w:t>Self contained</w:t>
            </w:r>
          </w:p>
        </w:tc>
        <w:tc>
          <w:tcPr>
            <w:tcW w:w="1631" w:type="dxa"/>
            <w:tcBorders>
              <w:bottom w:val="single" w:sz="4" w:space="0" w:color="000000"/>
            </w:tcBorders>
            <w:shd w:val="clear" w:color="auto" w:fill="339966"/>
          </w:tcPr>
          <w:p w14:paraId="7E60122B" w14:textId="77777777" w:rsidR="002F0B13" w:rsidRPr="00474B83" w:rsidRDefault="002F0B13" w:rsidP="0013680B">
            <w:pPr>
              <w:spacing w:before="60" w:after="60"/>
              <w:rPr>
                <w:szCs w:val="22"/>
              </w:rPr>
            </w:pPr>
          </w:p>
        </w:tc>
        <w:tc>
          <w:tcPr>
            <w:tcW w:w="1632" w:type="dxa"/>
            <w:tcBorders>
              <w:bottom w:val="single" w:sz="4" w:space="0" w:color="000000"/>
            </w:tcBorders>
          </w:tcPr>
          <w:p w14:paraId="46A5F9BA" w14:textId="77777777" w:rsidR="002F0B13" w:rsidRPr="00474B83" w:rsidRDefault="002F0B13" w:rsidP="0013680B">
            <w:pPr>
              <w:spacing w:before="60" w:after="60"/>
              <w:rPr>
                <w:szCs w:val="22"/>
              </w:rPr>
            </w:pPr>
          </w:p>
        </w:tc>
        <w:tc>
          <w:tcPr>
            <w:tcW w:w="1632" w:type="dxa"/>
            <w:tcBorders>
              <w:bottom w:val="single" w:sz="4" w:space="0" w:color="000000"/>
            </w:tcBorders>
          </w:tcPr>
          <w:p w14:paraId="686A2305" w14:textId="77777777" w:rsidR="002F0B13" w:rsidRPr="00474B83" w:rsidRDefault="002F0B13" w:rsidP="0013680B">
            <w:pPr>
              <w:spacing w:before="60" w:after="60"/>
              <w:rPr>
                <w:szCs w:val="22"/>
              </w:rPr>
            </w:pPr>
          </w:p>
        </w:tc>
        <w:tc>
          <w:tcPr>
            <w:tcW w:w="1632" w:type="dxa"/>
            <w:tcBorders>
              <w:bottom w:val="single" w:sz="4" w:space="0" w:color="000000"/>
            </w:tcBorders>
          </w:tcPr>
          <w:p w14:paraId="4ACE5779" w14:textId="77777777" w:rsidR="002F0B13" w:rsidRPr="00474B83" w:rsidRDefault="002F0B13" w:rsidP="0013680B">
            <w:pPr>
              <w:spacing w:before="60" w:after="60"/>
              <w:rPr>
                <w:szCs w:val="22"/>
              </w:rPr>
            </w:pPr>
          </w:p>
        </w:tc>
      </w:tr>
      <w:tr w:rsidR="002F0B13" w:rsidRPr="00A46A45" w14:paraId="15C5937D" w14:textId="77777777" w:rsidTr="005E1951">
        <w:tc>
          <w:tcPr>
            <w:tcW w:w="3232" w:type="dxa"/>
            <w:gridSpan w:val="2"/>
            <w:vAlign w:val="bottom"/>
          </w:tcPr>
          <w:p w14:paraId="0BBD8CD5" w14:textId="77777777" w:rsidR="002F0B13" w:rsidRPr="00474B83" w:rsidRDefault="002F0B13" w:rsidP="0013680B">
            <w:pPr>
              <w:spacing w:before="60" w:after="60"/>
              <w:jc w:val="left"/>
              <w:rPr>
                <w:szCs w:val="22"/>
              </w:rPr>
            </w:pPr>
            <w:r>
              <w:rPr>
                <w:color w:val="000000"/>
                <w:szCs w:val="22"/>
              </w:rPr>
              <w:t xml:space="preserve">RCFC: </w:t>
            </w:r>
            <w:r w:rsidRPr="00474B83">
              <w:rPr>
                <w:color w:val="000000"/>
                <w:szCs w:val="22"/>
              </w:rPr>
              <w:t>Remote</w:t>
            </w:r>
          </w:p>
        </w:tc>
        <w:tc>
          <w:tcPr>
            <w:tcW w:w="1631" w:type="dxa"/>
            <w:shd w:val="clear" w:color="auto" w:fill="FFFF00"/>
          </w:tcPr>
          <w:p w14:paraId="01D09156" w14:textId="77777777" w:rsidR="002F0B13" w:rsidRPr="005E1951" w:rsidRDefault="002F0B13" w:rsidP="0013680B">
            <w:pPr>
              <w:spacing w:before="60" w:after="60"/>
              <w:rPr>
                <w:color w:val="000000" w:themeColor="text1"/>
                <w:szCs w:val="22"/>
                <w:highlight w:val="yellow"/>
              </w:rPr>
            </w:pPr>
          </w:p>
        </w:tc>
        <w:tc>
          <w:tcPr>
            <w:tcW w:w="1632" w:type="dxa"/>
            <w:shd w:val="clear" w:color="auto" w:fill="FFFF00"/>
          </w:tcPr>
          <w:p w14:paraId="39644E6F" w14:textId="77777777" w:rsidR="002F0B13" w:rsidRPr="005E1951" w:rsidRDefault="002F0B13" w:rsidP="0013680B">
            <w:pPr>
              <w:spacing w:before="60" w:after="60"/>
              <w:rPr>
                <w:szCs w:val="22"/>
                <w:highlight w:val="yellow"/>
              </w:rPr>
            </w:pPr>
          </w:p>
        </w:tc>
        <w:tc>
          <w:tcPr>
            <w:tcW w:w="1632" w:type="dxa"/>
            <w:shd w:val="clear" w:color="auto" w:fill="339966"/>
          </w:tcPr>
          <w:p w14:paraId="5821C906" w14:textId="77777777" w:rsidR="002F0B13" w:rsidRPr="00474B83" w:rsidRDefault="002F0B13" w:rsidP="0013680B">
            <w:pPr>
              <w:spacing w:before="60" w:after="60"/>
              <w:rPr>
                <w:szCs w:val="22"/>
              </w:rPr>
            </w:pPr>
          </w:p>
        </w:tc>
        <w:tc>
          <w:tcPr>
            <w:tcW w:w="1632" w:type="dxa"/>
            <w:shd w:val="clear" w:color="auto" w:fill="339966"/>
          </w:tcPr>
          <w:p w14:paraId="2329CDB6" w14:textId="77777777" w:rsidR="002F0B13" w:rsidRPr="00A46A45" w:rsidRDefault="002F0B13" w:rsidP="0013680B">
            <w:pPr>
              <w:spacing w:before="60" w:after="60"/>
              <w:rPr>
                <w:szCs w:val="22"/>
                <w:highlight w:val="darkGreen"/>
              </w:rPr>
            </w:pPr>
          </w:p>
        </w:tc>
      </w:tr>
      <w:tr w:rsidR="002F0B13" w:rsidRPr="00A46A45" w14:paraId="40080D8C" w14:textId="77777777" w:rsidTr="005E1951">
        <w:tc>
          <w:tcPr>
            <w:tcW w:w="3232" w:type="dxa"/>
            <w:gridSpan w:val="2"/>
            <w:vAlign w:val="bottom"/>
          </w:tcPr>
          <w:p w14:paraId="147357C9" w14:textId="24166A9D" w:rsidR="002F0B13" w:rsidRPr="00474B83" w:rsidRDefault="002F0B13" w:rsidP="0013680B">
            <w:pPr>
              <w:spacing w:before="60" w:after="60"/>
              <w:jc w:val="left"/>
              <w:rPr>
                <w:szCs w:val="22"/>
              </w:rPr>
            </w:pPr>
            <w:r w:rsidRPr="00474B83">
              <w:rPr>
                <w:color w:val="000000"/>
                <w:szCs w:val="22"/>
              </w:rPr>
              <w:t>Supermarket: Cascade</w:t>
            </w:r>
            <w:r w:rsidR="005E1951">
              <w:rPr>
                <w:color w:val="000000"/>
                <w:szCs w:val="22"/>
              </w:rPr>
              <w:t xml:space="preserve"> s</w:t>
            </w:r>
            <w:r>
              <w:rPr>
                <w:color w:val="000000"/>
                <w:szCs w:val="22"/>
              </w:rPr>
              <w:t>ystems</w:t>
            </w:r>
          </w:p>
        </w:tc>
        <w:tc>
          <w:tcPr>
            <w:tcW w:w="1631" w:type="dxa"/>
            <w:tcBorders>
              <w:bottom w:val="single" w:sz="4" w:space="0" w:color="000000"/>
            </w:tcBorders>
            <w:shd w:val="clear" w:color="auto" w:fill="FFFF00"/>
          </w:tcPr>
          <w:p w14:paraId="27FB67A7" w14:textId="77777777" w:rsidR="002F0B13" w:rsidRPr="00474B83" w:rsidRDefault="002F0B13" w:rsidP="0013680B">
            <w:pPr>
              <w:spacing w:before="60" w:after="60"/>
              <w:rPr>
                <w:szCs w:val="22"/>
              </w:rPr>
            </w:pPr>
          </w:p>
        </w:tc>
        <w:tc>
          <w:tcPr>
            <w:tcW w:w="1632" w:type="dxa"/>
            <w:tcBorders>
              <w:bottom w:val="single" w:sz="4" w:space="0" w:color="000000"/>
            </w:tcBorders>
            <w:shd w:val="clear" w:color="auto" w:fill="FFFF00"/>
          </w:tcPr>
          <w:p w14:paraId="72C43CE5" w14:textId="77777777" w:rsidR="002F0B13" w:rsidRPr="00474B83" w:rsidRDefault="002F0B13" w:rsidP="0013680B">
            <w:pPr>
              <w:spacing w:before="60" w:after="60"/>
              <w:rPr>
                <w:szCs w:val="22"/>
              </w:rPr>
            </w:pPr>
          </w:p>
        </w:tc>
        <w:tc>
          <w:tcPr>
            <w:tcW w:w="1632" w:type="dxa"/>
            <w:tcBorders>
              <w:bottom w:val="single" w:sz="4" w:space="0" w:color="000000"/>
            </w:tcBorders>
            <w:shd w:val="clear" w:color="auto" w:fill="339966"/>
          </w:tcPr>
          <w:p w14:paraId="6D61051D" w14:textId="77777777" w:rsidR="002F0B13" w:rsidRPr="00474B83" w:rsidRDefault="002F0B13" w:rsidP="0013680B">
            <w:pPr>
              <w:spacing w:before="60" w:after="60"/>
              <w:rPr>
                <w:szCs w:val="22"/>
              </w:rPr>
            </w:pPr>
          </w:p>
        </w:tc>
        <w:tc>
          <w:tcPr>
            <w:tcW w:w="1632" w:type="dxa"/>
            <w:tcBorders>
              <w:bottom w:val="single" w:sz="4" w:space="0" w:color="000000"/>
            </w:tcBorders>
          </w:tcPr>
          <w:p w14:paraId="3E0E2757" w14:textId="77777777" w:rsidR="002F0B13" w:rsidRPr="00A46A45" w:rsidRDefault="002F0B13" w:rsidP="0013680B">
            <w:pPr>
              <w:spacing w:before="60" w:after="60"/>
              <w:rPr>
                <w:szCs w:val="22"/>
              </w:rPr>
            </w:pPr>
          </w:p>
        </w:tc>
      </w:tr>
      <w:tr w:rsidR="005E1951" w:rsidRPr="00474B83" w14:paraId="114D73CA" w14:textId="77777777" w:rsidTr="005E1951">
        <w:tc>
          <w:tcPr>
            <w:tcW w:w="3232" w:type="dxa"/>
            <w:gridSpan w:val="2"/>
            <w:tcBorders>
              <w:bottom w:val="single" w:sz="4" w:space="0" w:color="000000"/>
            </w:tcBorders>
            <w:vAlign w:val="bottom"/>
          </w:tcPr>
          <w:p w14:paraId="0F755920" w14:textId="4FFB5EC2" w:rsidR="005E1951" w:rsidRDefault="005E1951" w:rsidP="0013680B">
            <w:pPr>
              <w:spacing w:before="60" w:after="60"/>
              <w:jc w:val="left"/>
              <w:rPr>
                <w:color w:val="000000"/>
                <w:szCs w:val="22"/>
              </w:rPr>
            </w:pPr>
            <w:r>
              <w:rPr>
                <w:color w:val="000000"/>
                <w:szCs w:val="22"/>
              </w:rPr>
              <w:t>Supermarket: CO</w:t>
            </w:r>
            <w:r w:rsidRPr="005E1951">
              <w:rPr>
                <w:color w:val="000000"/>
                <w:szCs w:val="22"/>
                <w:vertAlign w:val="subscript"/>
              </w:rPr>
              <w:t>2</w:t>
            </w:r>
            <w:r>
              <w:rPr>
                <w:color w:val="000000"/>
                <w:szCs w:val="22"/>
              </w:rPr>
              <w:t xml:space="preserve"> only systems</w:t>
            </w:r>
          </w:p>
        </w:tc>
        <w:tc>
          <w:tcPr>
            <w:tcW w:w="1631" w:type="dxa"/>
            <w:tcBorders>
              <w:bottom w:val="single" w:sz="4" w:space="0" w:color="000000"/>
            </w:tcBorders>
            <w:shd w:val="clear" w:color="auto" w:fill="FFFF00"/>
          </w:tcPr>
          <w:p w14:paraId="23E8CF9B" w14:textId="77777777" w:rsidR="005E1951" w:rsidRPr="00474B83" w:rsidRDefault="005E1951" w:rsidP="0013680B">
            <w:pPr>
              <w:spacing w:before="60" w:after="60"/>
              <w:rPr>
                <w:szCs w:val="22"/>
              </w:rPr>
            </w:pPr>
          </w:p>
        </w:tc>
        <w:tc>
          <w:tcPr>
            <w:tcW w:w="1632" w:type="dxa"/>
            <w:tcBorders>
              <w:bottom w:val="single" w:sz="4" w:space="0" w:color="000000"/>
            </w:tcBorders>
            <w:shd w:val="clear" w:color="auto" w:fill="auto"/>
          </w:tcPr>
          <w:p w14:paraId="357142E1" w14:textId="77777777" w:rsidR="005E1951" w:rsidRPr="00474B83" w:rsidRDefault="005E1951" w:rsidP="0013680B">
            <w:pPr>
              <w:spacing w:before="60" w:after="60"/>
              <w:rPr>
                <w:szCs w:val="22"/>
              </w:rPr>
            </w:pPr>
          </w:p>
        </w:tc>
        <w:tc>
          <w:tcPr>
            <w:tcW w:w="1632" w:type="dxa"/>
            <w:tcBorders>
              <w:bottom w:val="single" w:sz="4" w:space="0" w:color="000000"/>
            </w:tcBorders>
            <w:shd w:val="clear" w:color="auto" w:fill="auto"/>
          </w:tcPr>
          <w:p w14:paraId="551F75D9" w14:textId="77777777" w:rsidR="005E1951" w:rsidRPr="00474B83" w:rsidRDefault="005E1951" w:rsidP="0013680B">
            <w:pPr>
              <w:spacing w:before="60" w:after="60"/>
              <w:rPr>
                <w:szCs w:val="22"/>
              </w:rPr>
            </w:pPr>
          </w:p>
        </w:tc>
        <w:tc>
          <w:tcPr>
            <w:tcW w:w="1632" w:type="dxa"/>
            <w:tcBorders>
              <w:bottom w:val="single" w:sz="4" w:space="0" w:color="000000"/>
            </w:tcBorders>
          </w:tcPr>
          <w:p w14:paraId="32F8E3F1" w14:textId="77777777" w:rsidR="005E1951" w:rsidRPr="00474B83" w:rsidRDefault="005E1951" w:rsidP="0013680B">
            <w:pPr>
              <w:spacing w:before="60" w:after="60"/>
              <w:rPr>
                <w:szCs w:val="22"/>
              </w:rPr>
            </w:pPr>
          </w:p>
        </w:tc>
      </w:tr>
      <w:tr w:rsidR="002F0B13" w:rsidRPr="00474B83" w14:paraId="0C9CEF66" w14:textId="77777777" w:rsidTr="0013680B">
        <w:tc>
          <w:tcPr>
            <w:tcW w:w="3232" w:type="dxa"/>
            <w:gridSpan w:val="2"/>
            <w:tcBorders>
              <w:bottom w:val="single" w:sz="4" w:space="0" w:color="000000"/>
            </w:tcBorders>
            <w:vAlign w:val="bottom"/>
          </w:tcPr>
          <w:p w14:paraId="0FFC7EA4" w14:textId="77777777" w:rsidR="002F0B13" w:rsidRPr="00474B83" w:rsidRDefault="002F0B13" w:rsidP="0013680B">
            <w:pPr>
              <w:spacing w:before="60" w:after="60"/>
              <w:jc w:val="left"/>
              <w:rPr>
                <w:color w:val="000000"/>
                <w:szCs w:val="22"/>
              </w:rPr>
            </w:pPr>
            <w:r>
              <w:rPr>
                <w:color w:val="000000"/>
                <w:szCs w:val="22"/>
              </w:rPr>
              <w:t xml:space="preserve">RCFC: Transport </w:t>
            </w:r>
            <w:r w:rsidRPr="00A46A45">
              <w:rPr>
                <w:color w:val="000000"/>
                <w:szCs w:val="22"/>
                <w:vertAlign w:val="superscript"/>
              </w:rPr>
              <w:t>(1)</w:t>
            </w:r>
          </w:p>
        </w:tc>
        <w:tc>
          <w:tcPr>
            <w:tcW w:w="1631" w:type="dxa"/>
            <w:tcBorders>
              <w:bottom w:val="single" w:sz="4" w:space="0" w:color="000000"/>
            </w:tcBorders>
            <w:shd w:val="clear" w:color="auto" w:fill="FF0000"/>
          </w:tcPr>
          <w:p w14:paraId="649317B1" w14:textId="77777777" w:rsidR="002F0B13" w:rsidRPr="00474B83" w:rsidRDefault="002F0B13" w:rsidP="0013680B">
            <w:pPr>
              <w:spacing w:before="60" w:after="60"/>
              <w:rPr>
                <w:szCs w:val="22"/>
              </w:rPr>
            </w:pPr>
          </w:p>
        </w:tc>
        <w:tc>
          <w:tcPr>
            <w:tcW w:w="1632" w:type="dxa"/>
            <w:tcBorders>
              <w:bottom w:val="single" w:sz="4" w:space="0" w:color="000000"/>
            </w:tcBorders>
            <w:shd w:val="clear" w:color="auto" w:fill="FF0000"/>
          </w:tcPr>
          <w:p w14:paraId="7A00D164" w14:textId="77777777" w:rsidR="002F0B13" w:rsidRPr="00474B83" w:rsidRDefault="002F0B13" w:rsidP="0013680B">
            <w:pPr>
              <w:spacing w:before="60" w:after="60"/>
              <w:rPr>
                <w:szCs w:val="22"/>
              </w:rPr>
            </w:pPr>
          </w:p>
        </w:tc>
        <w:tc>
          <w:tcPr>
            <w:tcW w:w="1632" w:type="dxa"/>
            <w:tcBorders>
              <w:bottom w:val="single" w:sz="4" w:space="0" w:color="000000"/>
            </w:tcBorders>
            <w:shd w:val="clear" w:color="auto" w:fill="FFFF00"/>
          </w:tcPr>
          <w:p w14:paraId="0C6DDF58" w14:textId="77777777" w:rsidR="002F0B13" w:rsidRPr="00474B83" w:rsidRDefault="002F0B13" w:rsidP="0013680B">
            <w:pPr>
              <w:spacing w:before="60" w:after="60"/>
              <w:rPr>
                <w:szCs w:val="22"/>
              </w:rPr>
            </w:pPr>
          </w:p>
        </w:tc>
        <w:tc>
          <w:tcPr>
            <w:tcW w:w="1632" w:type="dxa"/>
            <w:tcBorders>
              <w:bottom w:val="single" w:sz="4" w:space="0" w:color="000000"/>
            </w:tcBorders>
          </w:tcPr>
          <w:p w14:paraId="6E1DE9BD" w14:textId="77777777" w:rsidR="002F0B13" w:rsidRPr="00474B83" w:rsidRDefault="002F0B13" w:rsidP="0013680B">
            <w:pPr>
              <w:spacing w:before="60" w:after="60"/>
              <w:rPr>
                <w:szCs w:val="22"/>
              </w:rPr>
            </w:pPr>
          </w:p>
        </w:tc>
      </w:tr>
      <w:tr w:rsidR="002F0B13" w:rsidRPr="00474B83" w14:paraId="15982198" w14:textId="77777777" w:rsidTr="0013680B">
        <w:tc>
          <w:tcPr>
            <w:tcW w:w="3232" w:type="dxa"/>
            <w:gridSpan w:val="2"/>
            <w:tcBorders>
              <w:bottom w:val="single" w:sz="4" w:space="0" w:color="000000"/>
            </w:tcBorders>
            <w:vAlign w:val="bottom"/>
          </w:tcPr>
          <w:p w14:paraId="7B98D9B8" w14:textId="77777777" w:rsidR="002F0B13" w:rsidRPr="00474B83" w:rsidRDefault="002F0B13" w:rsidP="0013680B">
            <w:pPr>
              <w:spacing w:before="60" w:after="60"/>
              <w:jc w:val="left"/>
              <w:rPr>
                <w:szCs w:val="22"/>
              </w:rPr>
            </w:pPr>
            <w:r w:rsidRPr="00474B83">
              <w:rPr>
                <w:color w:val="000000"/>
                <w:szCs w:val="22"/>
              </w:rPr>
              <w:t>Small AC</w:t>
            </w:r>
            <w:r>
              <w:rPr>
                <w:color w:val="000000"/>
                <w:szCs w:val="22"/>
              </w:rPr>
              <w:t xml:space="preserve">: Sealed </w:t>
            </w:r>
            <w:r w:rsidRPr="00C83890">
              <w:rPr>
                <w:color w:val="000000"/>
                <w:szCs w:val="22"/>
                <w:vertAlign w:val="superscript"/>
              </w:rPr>
              <w:t>(2)</w:t>
            </w:r>
          </w:p>
        </w:tc>
        <w:tc>
          <w:tcPr>
            <w:tcW w:w="1631" w:type="dxa"/>
            <w:tcBorders>
              <w:bottom w:val="single" w:sz="4" w:space="0" w:color="000000"/>
            </w:tcBorders>
            <w:shd w:val="clear" w:color="auto" w:fill="339966"/>
          </w:tcPr>
          <w:p w14:paraId="31E5547E" w14:textId="77777777" w:rsidR="002F0B13" w:rsidRPr="00474B83" w:rsidRDefault="002F0B13" w:rsidP="0013680B">
            <w:pPr>
              <w:spacing w:before="60" w:after="60"/>
              <w:rPr>
                <w:szCs w:val="22"/>
              </w:rPr>
            </w:pPr>
          </w:p>
        </w:tc>
        <w:tc>
          <w:tcPr>
            <w:tcW w:w="1632" w:type="dxa"/>
            <w:tcBorders>
              <w:bottom w:val="single" w:sz="4" w:space="0" w:color="000000"/>
            </w:tcBorders>
          </w:tcPr>
          <w:p w14:paraId="45E727EF" w14:textId="77777777" w:rsidR="002F0B13" w:rsidRPr="00474B83" w:rsidRDefault="002F0B13" w:rsidP="0013680B">
            <w:pPr>
              <w:spacing w:before="60" w:after="60"/>
              <w:rPr>
                <w:szCs w:val="22"/>
              </w:rPr>
            </w:pPr>
          </w:p>
        </w:tc>
        <w:tc>
          <w:tcPr>
            <w:tcW w:w="1632" w:type="dxa"/>
            <w:tcBorders>
              <w:bottom w:val="single" w:sz="4" w:space="0" w:color="000000"/>
            </w:tcBorders>
          </w:tcPr>
          <w:p w14:paraId="4FF3E493" w14:textId="77777777" w:rsidR="002F0B13" w:rsidRPr="00474B83" w:rsidRDefault="002F0B13" w:rsidP="0013680B">
            <w:pPr>
              <w:spacing w:before="60" w:after="60"/>
              <w:rPr>
                <w:szCs w:val="22"/>
              </w:rPr>
            </w:pPr>
          </w:p>
        </w:tc>
        <w:tc>
          <w:tcPr>
            <w:tcW w:w="1632" w:type="dxa"/>
            <w:tcBorders>
              <w:bottom w:val="single" w:sz="4" w:space="0" w:color="000000"/>
            </w:tcBorders>
          </w:tcPr>
          <w:p w14:paraId="5A94B2B1" w14:textId="77777777" w:rsidR="002F0B13" w:rsidRPr="00474B83" w:rsidRDefault="002F0B13" w:rsidP="0013680B">
            <w:pPr>
              <w:spacing w:before="60" w:after="60"/>
              <w:rPr>
                <w:szCs w:val="22"/>
              </w:rPr>
            </w:pPr>
          </w:p>
        </w:tc>
      </w:tr>
      <w:tr w:rsidR="002F0B13" w:rsidRPr="00474B83" w14:paraId="40FC361B" w14:textId="77777777" w:rsidTr="0013680B">
        <w:trPr>
          <w:trHeight w:val="388"/>
        </w:trPr>
        <w:tc>
          <w:tcPr>
            <w:tcW w:w="3232" w:type="dxa"/>
            <w:gridSpan w:val="2"/>
            <w:vAlign w:val="bottom"/>
          </w:tcPr>
          <w:p w14:paraId="084D9046" w14:textId="77777777" w:rsidR="002F0B13" w:rsidRPr="00474B83" w:rsidRDefault="002F0B13" w:rsidP="0013680B">
            <w:pPr>
              <w:spacing w:before="60" w:after="60"/>
              <w:jc w:val="left"/>
              <w:rPr>
                <w:color w:val="000000"/>
                <w:szCs w:val="22"/>
              </w:rPr>
            </w:pPr>
            <w:r w:rsidRPr="00474B83">
              <w:rPr>
                <w:color w:val="000000"/>
                <w:szCs w:val="22"/>
              </w:rPr>
              <w:t>Small AC</w:t>
            </w:r>
            <w:r>
              <w:rPr>
                <w:color w:val="000000"/>
                <w:szCs w:val="22"/>
              </w:rPr>
              <w:t>: Split</w:t>
            </w:r>
          </w:p>
        </w:tc>
        <w:tc>
          <w:tcPr>
            <w:tcW w:w="1631" w:type="dxa"/>
            <w:shd w:val="clear" w:color="auto" w:fill="FF0000"/>
          </w:tcPr>
          <w:p w14:paraId="22A48EEB" w14:textId="77777777" w:rsidR="002F0B13" w:rsidRPr="00474B83" w:rsidRDefault="002F0B13" w:rsidP="0013680B">
            <w:pPr>
              <w:spacing w:before="60" w:after="60"/>
              <w:rPr>
                <w:szCs w:val="22"/>
              </w:rPr>
            </w:pPr>
          </w:p>
        </w:tc>
        <w:tc>
          <w:tcPr>
            <w:tcW w:w="1632" w:type="dxa"/>
            <w:shd w:val="clear" w:color="auto" w:fill="339966"/>
          </w:tcPr>
          <w:p w14:paraId="1E0B9DC6" w14:textId="77777777" w:rsidR="002F0B13" w:rsidRPr="00474B83" w:rsidRDefault="002F0B13" w:rsidP="0013680B">
            <w:pPr>
              <w:spacing w:before="60" w:after="60"/>
              <w:rPr>
                <w:szCs w:val="22"/>
              </w:rPr>
            </w:pPr>
          </w:p>
        </w:tc>
        <w:tc>
          <w:tcPr>
            <w:tcW w:w="1632" w:type="dxa"/>
          </w:tcPr>
          <w:p w14:paraId="3EB06496" w14:textId="77777777" w:rsidR="002F0B13" w:rsidRPr="00474B83" w:rsidRDefault="002F0B13" w:rsidP="0013680B">
            <w:pPr>
              <w:spacing w:before="60" w:after="60"/>
              <w:rPr>
                <w:szCs w:val="22"/>
              </w:rPr>
            </w:pPr>
          </w:p>
        </w:tc>
        <w:tc>
          <w:tcPr>
            <w:tcW w:w="1632" w:type="dxa"/>
          </w:tcPr>
          <w:p w14:paraId="100F960D" w14:textId="77777777" w:rsidR="002F0B13" w:rsidRPr="00474B83" w:rsidRDefault="002F0B13" w:rsidP="0013680B">
            <w:pPr>
              <w:spacing w:before="60" w:after="60"/>
              <w:rPr>
                <w:szCs w:val="22"/>
              </w:rPr>
            </w:pPr>
          </w:p>
        </w:tc>
      </w:tr>
      <w:tr w:rsidR="002F0B13" w:rsidRPr="00474B83" w14:paraId="2B00D009" w14:textId="77777777" w:rsidTr="0013680B">
        <w:tc>
          <w:tcPr>
            <w:tcW w:w="3232" w:type="dxa"/>
            <w:gridSpan w:val="2"/>
            <w:vAlign w:val="bottom"/>
          </w:tcPr>
          <w:p w14:paraId="26B48B4B" w14:textId="77777777" w:rsidR="002F0B13" w:rsidRPr="00474B83" w:rsidRDefault="002F0B13" w:rsidP="0013680B">
            <w:pPr>
              <w:spacing w:before="60" w:after="60"/>
              <w:jc w:val="left"/>
              <w:rPr>
                <w:szCs w:val="22"/>
              </w:rPr>
            </w:pPr>
            <w:r w:rsidRPr="00474B83">
              <w:rPr>
                <w:color w:val="000000"/>
                <w:szCs w:val="22"/>
              </w:rPr>
              <w:t>Medium AC</w:t>
            </w:r>
          </w:p>
        </w:tc>
        <w:tc>
          <w:tcPr>
            <w:tcW w:w="1631" w:type="dxa"/>
            <w:shd w:val="clear" w:color="auto" w:fill="FF0000"/>
          </w:tcPr>
          <w:p w14:paraId="77507BC8" w14:textId="77777777" w:rsidR="002F0B13" w:rsidRPr="00474B83" w:rsidRDefault="002F0B13" w:rsidP="0013680B">
            <w:pPr>
              <w:spacing w:before="60" w:after="60"/>
              <w:rPr>
                <w:szCs w:val="22"/>
              </w:rPr>
            </w:pPr>
          </w:p>
        </w:tc>
        <w:tc>
          <w:tcPr>
            <w:tcW w:w="1632" w:type="dxa"/>
            <w:shd w:val="clear" w:color="auto" w:fill="339966"/>
          </w:tcPr>
          <w:p w14:paraId="65A9A90E" w14:textId="77777777" w:rsidR="002F0B13" w:rsidRPr="00474B83" w:rsidRDefault="002F0B13" w:rsidP="0013680B">
            <w:pPr>
              <w:spacing w:before="60" w:after="60"/>
              <w:rPr>
                <w:szCs w:val="22"/>
              </w:rPr>
            </w:pPr>
          </w:p>
        </w:tc>
        <w:tc>
          <w:tcPr>
            <w:tcW w:w="1632" w:type="dxa"/>
          </w:tcPr>
          <w:p w14:paraId="38C7729A" w14:textId="77777777" w:rsidR="002F0B13" w:rsidRPr="00474B83" w:rsidRDefault="002F0B13" w:rsidP="0013680B">
            <w:pPr>
              <w:spacing w:before="60" w:after="60"/>
              <w:rPr>
                <w:szCs w:val="22"/>
              </w:rPr>
            </w:pPr>
          </w:p>
        </w:tc>
        <w:tc>
          <w:tcPr>
            <w:tcW w:w="1632" w:type="dxa"/>
          </w:tcPr>
          <w:p w14:paraId="568442BA" w14:textId="77777777" w:rsidR="002F0B13" w:rsidRPr="00474B83" w:rsidRDefault="002F0B13" w:rsidP="0013680B">
            <w:pPr>
              <w:spacing w:before="60" w:after="60"/>
              <w:rPr>
                <w:szCs w:val="22"/>
              </w:rPr>
            </w:pPr>
          </w:p>
        </w:tc>
      </w:tr>
      <w:tr w:rsidR="002F0B13" w:rsidRPr="00474B83" w14:paraId="7B30785F" w14:textId="77777777" w:rsidTr="0013680B">
        <w:tc>
          <w:tcPr>
            <w:tcW w:w="3232" w:type="dxa"/>
            <w:gridSpan w:val="2"/>
            <w:vAlign w:val="bottom"/>
          </w:tcPr>
          <w:p w14:paraId="5939A36A" w14:textId="77777777" w:rsidR="002F0B13" w:rsidRPr="00474B83" w:rsidRDefault="002F0B13" w:rsidP="0013680B">
            <w:pPr>
              <w:spacing w:before="60" w:after="60"/>
              <w:jc w:val="left"/>
              <w:rPr>
                <w:szCs w:val="22"/>
              </w:rPr>
            </w:pPr>
            <w:r w:rsidRPr="00474B83">
              <w:rPr>
                <w:color w:val="000000"/>
                <w:szCs w:val="22"/>
              </w:rPr>
              <w:t>Large AC</w:t>
            </w:r>
            <w:r>
              <w:rPr>
                <w:color w:val="000000"/>
                <w:szCs w:val="22"/>
              </w:rPr>
              <w:t>: Chillers other</w:t>
            </w:r>
          </w:p>
        </w:tc>
        <w:tc>
          <w:tcPr>
            <w:tcW w:w="1631" w:type="dxa"/>
            <w:tcBorders>
              <w:bottom w:val="single" w:sz="4" w:space="0" w:color="000000"/>
            </w:tcBorders>
            <w:shd w:val="clear" w:color="auto" w:fill="339966"/>
          </w:tcPr>
          <w:p w14:paraId="133EF18D" w14:textId="77777777" w:rsidR="002F0B13" w:rsidRPr="00474B83" w:rsidRDefault="002F0B13" w:rsidP="0013680B">
            <w:pPr>
              <w:spacing w:before="60" w:after="60"/>
              <w:rPr>
                <w:szCs w:val="22"/>
              </w:rPr>
            </w:pPr>
          </w:p>
        </w:tc>
        <w:tc>
          <w:tcPr>
            <w:tcW w:w="1632" w:type="dxa"/>
            <w:tcBorders>
              <w:bottom w:val="single" w:sz="4" w:space="0" w:color="000000"/>
            </w:tcBorders>
          </w:tcPr>
          <w:p w14:paraId="70C5721B" w14:textId="77777777" w:rsidR="002F0B13" w:rsidRPr="00474B83" w:rsidRDefault="002F0B13" w:rsidP="0013680B">
            <w:pPr>
              <w:spacing w:before="60" w:after="60"/>
              <w:rPr>
                <w:szCs w:val="22"/>
              </w:rPr>
            </w:pPr>
          </w:p>
        </w:tc>
        <w:tc>
          <w:tcPr>
            <w:tcW w:w="1632" w:type="dxa"/>
          </w:tcPr>
          <w:p w14:paraId="61B76560" w14:textId="77777777" w:rsidR="002F0B13" w:rsidRPr="00474B83" w:rsidRDefault="002F0B13" w:rsidP="0013680B">
            <w:pPr>
              <w:spacing w:before="60" w:after="60"/>
              <w:rPr>
                <w:szCs w:val="22"/>
              </w:rPr>
            </w:pPr>
          </w:p>
        </w:tc>
        <w:tc>
          <w:tcPr>
            <w:tcW w:w="1632" w:type="dxa"/>
          </w:tcPr>
          <w:p w14:paraId="53B8FF8C" w14:textId="77777777" w:rsidR="002F0B13" w:rsidRPr="00474B83" w:rsidRDefault="002F0B13" w:rsidP="0013680B">
            <w:pPr>
              <w:spacing w:before="60" w:after="60"/>
              <w:rPr>
                <w:szCs w:val="22"/>
              </w:rPr>
            </w:pPr>
          </w:p>
        </w:tc>
      </w:tr>
      <w:tr w:rsidR="002F0B13" w:rsidRPr="00474B83" w14:paraId="432AC17C" w14:textId="77777777" w:rsidTr="0013680B">
        <w:tc>
          <w:tcPr>
            <w:tcW w:w="3232" w:type="dxa"/>
            <w:gridSpan w:val="2"/>
            <w:vAlign w:val="bottom"/>
          </w:tcPr>
          <w:p w14:paraId="0D86BE8A" w14:textId="77777777" w:rsidR="002F0B13" w:rsidRPr="00474B83" w:rsidRDefault="002F0B13" w:rsidP="0013680B">
            <w:pPr>
              <w:spacing w:before="60" w:after="60"/>
              <w:jc w:val="left"/>
              <w:rPr>
                <w:szCs w:val="22"/>
              </w:rPr>
            </w:pPr>
            <w:r>
              <w:rPr>
                <w:color w:val="000000"/>
                <w:szCs w:val="22"/>
              </w:rPr>
              <w:t>Large AC: Centrifugal C</w:t>
            </w:r>
            <w:r w:rsidRPr="00474B83">
              <w:rPr>
                <w:color w:val="000000"/>
                <w:szCs w:val="22"/>
              </w:rPr>
              <w:t>h</w:t>
            </w:r>
            <w:r>
              <w:rPr>
                <w:color w:val="000000"/>
                <w:szCs w:val="22"/>
              </w:rPr>
              <w:t>i</w:t>
            </w:r>
            <w:r w:rsidRPr="00474B83">
              <w:rPr>
                <w:color w:val="000000"/>
                <w:szCs w:val="22"/>
              </w:rPr>
              <w:t>llers</w:t>
            </w:r>
          </w:p>
        </w:tc>
        <w:tc>
          <w:tcPr>
            <w:tcW w:w="1631" w:type="dxa"/>
            <w:shd w:val="clear" w:color="auto" w:fill="FFFF00"/>
          </w:tcPr>
          <w:p w14:paraId="05486883" w14:textId="77777777" w:rsidR="002F0B13" w:rsidRPr="00474B83" w:rsidRDefault="002F0B13" w:rsidP="0013680B">
            <w:pPr>
              <w:spacing w:before="60" w:after="60"/>
              <w:rPr>
                <w:szCs w:val="22"/>
              </w:rPr>
            </w:pPr>
          </w:p>
        </w:tc>
        <w:tc>
          <w:tcPr>
            <w:tcW w:w="1632" w:type="dxa"/>
            <w:shd w:val="clear" w:color="auto" w:fill="FFFF00"/>
          </w:tcPr>
          <w:p w14:paraId="45DE1BCB" w14:textId="77777777" w:rsidR="002F0B13" w:rsidRPr="00474B83" w:rsidRDefault="002F0B13" w:rsidP="0013680B">
            <w:pPr>
              <w:spacing w:before="60" w:after="60"/>
              <w:rPr>
                <w:szCs w:val="22"/>
              </w:rPr>
            </w:pPr>
          </w:p>
        </w:tc>
        <w:tc>
          <w:tcPr>
            <w:tcW w:w="1632" w:type="dxa"/>
          </w:tcPr>
          <w:p w14:paraId="74DD090B" w14:textId="77777777" w:rsidR="002F0B13" w:rsidRPr="00474B83" w:rsidRDefault="002F0B13" w:rsidP="0013680B">
            <w:pPr>
              <w:spacing w:before="60" w:after="60"/>
              <w:rPr>
                <w:szCs w:val="22"/>
              </w:rPr>
            </w:pPr>
          </w:p>
        </w:tc>
        <w:tc>
          <w:tcPr>
            <w:tcW w:w="1632" w:type="dxa"/>
          </w:tcPr>
          <w:p w14:paraId="5EB0E414" w14:textId="77777777" w:rsidR="002F0B13" w:rsidRPr="00474B83" w:rsidRDefault="002F0B13" w:rsidP="0013680B">
            <w:pPr>
              <w:spacing w:before="60" w:after="60"/>
              <w:rPr>
                <w:szCs w:val="22"/>
              </w:rPr>
            </w:pPr>
          </w:p>
        </w:tc>
      </w:tr>
      <w:tr w:rsidR="002F0B13" w:rsidRPr="00474B83" w14:paraId="20B9E9C4" w14:textId="77777777" w:rsidTr="0013680B">
        <w:tc>
          <w:tcPr>
            <w:tcW w:w="3232" w:type="dxa"/>
            <w:gridSpan w:val="2"/>
            <w:vAlign w:val="bottom"/>
          </w:tcPr>
          <w:p w14:paraId="5A4D934D" w14:textId="77777777" w:rsidR="002F0B13" w:rsidRPr="00474B83" w:rsidRDefault="002F0B13" w:rsidP="0013680B">
            <w:pPr>
              <w:spacing w:before="60" w:after="60"/>
              <w:jc w:val="left"/>
              <w:rPr>
                <w:szCs w:val="22"/>
              </w:rPr>
            </w:pPr>
            <w:r w:rsidRPr="00474B83">
              <w:rPr>
                <w:color w:val="000000"/>
                <w:szCs w:val="22"/>
              </w:rPr>
              <w:t>Small MAC</w:t>
            </w:r>
          </w:p>
        </w:tc>
        <w:tc>
          <w:tcPr>
            <w:tcW w:w="1631" w:type="dxa"/>
            <w:tcBorders>
              <w:bottom w:val="single" w:sz="4" w:space="0" w:color="000000"/>
            </w:tcBorders>
            <w:shd w:val="clear" w:color="auto" w:fill="339966"/>
          </w:tcPr>
          <w:p w14:paraId="6D18E855" w14:textId="77777777" w:rsidR="002F0B13" w:rsidRPr="00474B83" w:rsidRDefault="002F0B13" w:rsidP="0013680B">
            <w:pPr>
              <w:spacing w:before="60" w:after="60"/>
              <w:rPr>
                <w:szCs w:val="22"/>
              </w:rPr>
            </w:pPr>
          </w:p>
        </w:tc>
        <w:tc>
          <w:tcPr>
            <w:tcW w:w="1632" w:type="dxa"/>
            <w:tcBorders>
              <w:bottom w:val="single" w:sz="4" w:space="0" w:color="000000"/>
            </w:tcBorders>
          </w:tcPr>
          <w:p w14:paraId="6F95EC47" w14:textId="77777777" w:rsidR="002F0B13" w:rsidRPr="00474B83" w:rsidRDefault="002F0B13" w:rsidP="0013680B">
            <w:pPr>
              <w:spacing w:before="60" w:after="60"/>
              <w:rPr>
                <w:szCs w:val="22"/>
              </w:rPr>
            </w:pPr>
          </w:p>
        </w:tc>
        <w:tc>
          <w:tcPr>
            <w:tcW w:w="1632" w:type="dxa"/>
          </w:tcPr>
          <w:p w14:paraId="6596531B" w14:textId="77777777" w:rsidR="002F0B13" w:rsidRPr="00474B83" w:rsidRDefault="002F0B13" w:rsidP="0013680B">
            <w:pPr>
              <w:spacing w:before="60" w:after="60"/>
              <w:rPr>
                <w:szCs w:val="22"/>
              </w:rPr>
            </w:pPr>
          </w:p>
        </w:tc>
        <w:tc>
          <w:tcPr>
            <w:tcW w:w="1632" w:type="dxa"/>
          </w:tcPr>
          <w:p w14:paraId="52FF21A0" w14:textId="77777777" w:rsidR="002F0B13" w:rsidRPr="00474B83" w:rsidRDefault="002F0B13" w:rsidP="0013680B">
            <w:pPr>
              <w:spacing w:before="60" w:after="60"/>
              <w:rPr>
                <w:szCs w:val="22"/>
              </w:rPr>
            </w:pPr>
          </w:p>
        </w:tc>
      </w:tr>
      <w:tr w:rsidR="002F0B13" w:rsidRPr="00474B83" w14:paraId="5FE89391" w14:textId="77777777" w:rsidTr="0013680B">
        <w:tc>
          <w:tcPr>
            <w:tcW w:w="3232" w:type="dxa"/>
            <w:gridSpan w:val="2"/>
            <w:vAlign w:val="bottom"/>
          </w:tcPr>
          <w:p w14:paraId="1749DA99" w14:textId="77777777" w:rsidR="002F0B13" w:rsidRPr="00474B83" w:rsidRDefault="002F0B13" w:rsidP="0013680B">
            <w:pPr>
              <w:spacing w:before="60" w:after="60"/>
              <w:jc w:val="left"/>
              <w:rPr>
                <w:szCs w:val="22"/>
              </w:rPr>
            </w:pPr>
            <w:r w:rsidRPr="00474B83">
              <w:rPr>
                <w:color w:val="000000"/>
                <w:szCs w:val="22"/>
              </w:rPr>
              <w:t>Large MAC</w:t>
            </w:r>
          </w:p>
        </w:tc>
        <w:tc>
          <w:tcPr>
            <w:tcW w:w="1631" w:type="dxa"/>
            <w:shd w:val="clear" w:color="auto" w:fill="FFFF00"/>
          </w:tcPr>
          <w:p w14:paraId="0753E39F" w14:textId="77777777" w:rsidR="002F0B13" w:rsidRPr="00474B83" w:rsidRDefault="002F0B13" w:rsidP="0013680B">
            <w:pPr>
              <w:spacing w:before="60" w:after="60"/>
              <w:rPr>
                <w:szCs w:val="22"/>
              </w:rPr>
            </w:pPr>
          </w:p>
        </w:tc>
        <w:tc>
          <w:tcPr>
            <w:tcW w:w="1632" w:type="dxa"/>
            <w:shd w:val="clear" w:color="auto" w:fill="FFFF00"/>
          </w:tcPr>
          <w:p w14:paraId="384FFB8A" w14:textId="77777777" w:rsidR="002F0B13" w:rsidRPr="00474B83" w:rsidRDefault="002F0B13" w:rsidP="0013680B">
            <w:pPr>
              <w:spacing w:before="60" w:after="60"/>
              <w:rPr>
                <w:szCs w:val="22"/>
              </w:rPr>
            </w:pPr>
          </w:p>
        </w:tc>
        <w:tc>
          <w:tcPr>
            <w:tcW w:w="1632" w:type="dxa"/>
          </w:tcPr>
          <w:p w14:paraId="6F71C07C" w14:textId="77777777" w:rsidR="002F0B13" w:rsidRPr="00474B83" w:rsidRDefault="002F0B13" w:rsidP="0013680B">
            <w:pPr>
              <w:spacing w:before="60" w:after="60"/>
              <w:rPr>
                <w:szCs w:val="22"/>
              </w:rPr>
            </w:pPr>
          </w:p>
        </w:tc>
        <w:tc>
          <w:tcPr>
            <w:tcW w:w="1632" w:type="dxa"/>
          </w:tcPr>
          <w:p w14:paraId="79F24FB4" w14:textId="77777777" w:rsidR="002F0B13" w:rsidRPr="00474B83" w:rsidRDefault="002F0B13" w:rsidP="0013680B">
            <w:pPr>
              <w:spacing w:before="60" w:after="60"/>
              <w:rPr>
                <w:szCs w:val="22"/>
              </w:rPr>
            </w:pPr>
          </w:p>
        </w:tc>
      </w:tr>
      <w:tr w:rsidR="002F0B13" w:rsidRPr="00474B83" w14:paraId="1418B227" w14:textId="77777777" w:rsidTr="0013680B">
        <w:tc>
          <w:tcPr>
            <w:tcW w:w="3232" w:type="dxa"/>
            <w:gridSpan w:val="2"/>
            <w:vAlign w:val="bottom"/>
          </w:tcPr>
          <w:p w14:paraId="78720028" w14:textId="77777777" w:rsidR="002F0B13" w:rsidRPr="00474B83" w:rsidRDefault="002F0B13" w:rsidP="0013680B">
            <w:pPr>
              <w:spacing w:before="60" w:after="60"/>
              <w:jc w:val="left"/>
              <w:rPr>
                <w:szCs w:val="22"/>
              </w:rPr>
            </w:pPr>
            <w:r w:rsidRPr="00474B83">
              <w:rPr>
                <w:color w:val="000000"/>
                <w:szCs w:val="22"/>
              </w:rPr>
              <w:t>Fire Protection</w:t>
            </w:r>
          </w:p>
        </w:tc>
        <w:tc>
          <w:tcPr>
            <w:tcW w:w="1631" w:type="dxa"/>
            <w:shd w:val="clear" w:color="auto" w:fill="339966"/>
          </w:tcPr>
          <w:p w14:paraId="487D009B" w14:textId="77777777" w:rsidR="002F0B13" w:rsidRPr="00474B83" w:rsidRDefault="002F0B13" w:rsidP="0013680B">
            <w:pPr>
              <w:spacing w:before="60" w:after="60"/>
              <w:rPr>
                <w:szCs w:val="22"/>
              </w:rPr>
            </w:pPr>
          </w:p>
        </w:tc>
        <w:tc>
          <w:tcPr>
            <w:tcW w:w="1632" w:type="dxa"/>
          </w:tcPr>
          <w:p w14:paraId="7E8D20BB" w14:textId="77777777" w:rsidR="002F0B13" w:rsidRPr="00474B83" w:rsidRDefault="002F0B13" w:rsidP="0013680B">
            <w:pPr>
              <w:spacing w:before="60" w:after="60"/>
              <w:rPr>
                <w:szCs w:val="22"/>
              </w:rPr>
            </w:pPr>
          </w:p>
        </w:tc>
        <w:tc>
          <w:tcPr>
            <w:tcW w:w="1632" w:type="dxa"/>
          </w:tcPr>
          <w:p w14:paraId="072DB1C1" w14:textId="77777777" w:rsidR="002F0B13" w:rsidRPr="00474B83" w:rsidRDefault="002F0B13" w:rsidP="0013680B">
            <w:pPr>
              <w:spacing w:before="60" w:after="60"/>
              <w:rPr>
                <w:szCs w:val="22"/>
              </w:rPr>
            </w:pPr>
          </w:p>
        </w:tc>
        <w:tc>
          <w:tcPr>
            <w:tcW w:w="1632" w:type="dxa"/>
          </w:tcPr>
          <w:p w14:paraId="7F08EA7D" w14:textId="77777777" w:rsidR="002F0B13" w:rsidRPr="00474B83" w:rsidRDefault="002F0B13" w:rsidP="0013680B">
            <w:pPr>
              <w:spacing w:before="60" w:after="60"/>
              <w:rPr>
                <w:szCs w:val="22"/>
              </w:rPr>
            </w:pPr>
          </w:p>
        </w:tc>
      </w:tr>
      <w:tr w:rsidR="002F0B13" w:rsidRPr="00474B83" w14:paraId="0251CC9E" w14:textId="77777777" w:rsidTr="0013680B">
        <w:tc>
          <w:tcPr>
            <w:tcW w:w="9759" w:type="dxa"/>
            <w:gridSpan w:val="6"/>
            <w:vAlign w:val="bottom"/>
          </w:tcPr>
          <w:p w14:paraId="127735A6" w14:textId="77777777" w:rsidR="002F0B13" w:rsidRPr="00474B83" w:rsidRDefault="002F0B13" w:rsidP="0013680B">
            <w:pPr>
              <w:spacing w:before="60" w:after="60"/>
              <w:rPr>
                <w:szCs w:val="22"/>
              </w:rPr>
            </w:pPr>
            <w:r>
              <w:rPr>
                <w:szCs w:val="22"/>
              </w:rPr>
              <w:t>Key to technology signals:</w:t>
            </w:r>
          </w:p>
        </w:tc>
      </w:tr>
      <w:tr w:rsidR="002F0B13" w:rsidRPr="00474B83" w14:paraId="295C9469" w14:textId="77777777" w:rsidTr="0013680B">
        <w:tc>
          <w:tcPr>
            <w:tcW w:w="1672" w:type="dxa"/>
            <w:tcBorders>
              <w:bottom w:val="single" w:sz="4" w:space="0" w:color="000000"/>
            </w:tcBorders>
            <w:shd w:val="clear" w:color="auto" w:fill="339966"/>
            <w:vAlign w:val="bottom"/>
          </w:tcPr>
          <w:p w14:paraId="17237C6D" w14:textId="77777777" w:rsidR="002F0B13" w:rsidRPr="00474B83" w:rsidRDefault="002F0B13" w:rsidP="0013680B">
            <w:pPr>
              <w:spacing w:before="60" w:after="60"/>
              <w:jc w:val="left"/>
              <w:rPr>
                <w:szCs w:val="22"/>
              </w:rPr>
            </w:pPr>
          </w:p>
        </w:tc>
        <w:tc>
          <w:tcPr>
            <w:tcW w:w="8087" w:type="dxa"/>
            <w:gridSpan w:val="5"/>
            <w:vAlign w:val="bottom"/>
          </w:tcPr>
          <w:p w14:paraId="47692FD3" w14:textId="77777777" w:rsidR="002F0B13" w:rsidRPr="00B06341" w:rsidRDefault="002F0B13" w:rsidP="0013680B">
            <w:pPr>
              <w:spacing w:before="60" w:after="60"/>
              <w:rPr>
                <w:szCs w:val="22"/>
              </w:rPr>
            </w:pPr>
            <w:r w:rsidRPr="00B06341">
              <w:rPr>
                <w:color w:val="000000"/>
                <w:szCs w:val="22"/>
              </w:rPr>
              <w:t>Threshold suitable (but may need small number of exemptions in some sectors)</w:t>
            </w:r>
          </w:p>
        </w:tc>
      </w:tr>
      <w:tr w:rsidR="002F0B13" w:rsidRPr="00474B83" w14:paraId="5B49AD30" w14:textId="77777777" w:rsidTr="0013680B">
        <w:tc>
          <w:tcPr>
            <w:tcW w:w="1672" w:type="dxa"/>
            <w:tcBorders>
              <w:bottom w:val="single" w:sz="4" w:space="0" w:color="000000"/>
            </w:tcBorders>
            <w:shd w:val="clear" w:color="auto" w:fill="FFFF00"/>
            <w:vAlign w:val="bottom"/>
          </w:tcPr>
          <w:p w14:paraId="5FB6430E" w14:textId="77777777" w:rsidR="002F0B13" w:rsidRPr="00474B83" w:rsidRDefault="002F0B13" w:rsidP="0013680B">
            <w:pPr>
              <w:spacing w:before="60" w:after="60"/>
              <w:jc w:val="left"/>
              <w:rPr>
                <w:szCs w:val="22"/>
              </w:rPr>
            </w:pPr>
          </w:p>
        </w:tc>
        <w:tc>
          <w:tcPr>
            <w:tcW w:w="8087" w:type="dxa"/>
            <w:gridSpan w:val="5"/>
            <w:vAlign w:val="bottom"/>
          </w:tcPr>
          <w:p w14:paraId="6E3751CA" w14:textId="77777777" w:rsidR="002F0B13" w:rsidRPr="00B06341" w:rsidRDefault="002F0B13" w:rsidP="0013680B">
            <w:pPr>
              <w:spacing w:before="60" w:after="60"/>
              <w:rPr>
                <w:szCs w:val="22"/>
              </w:rPr>
            </w:pPr>
            <w:r w:rsidRPr="00B06341">
              <w:rPr>
                <w:color w:val="000000"/>
                <w:szCs w:val="22"/>
              </w:rPr>
              <w:t>Threshold may be suitable for part of sector, but more commercial development needed</w:t>
            </w:r>
          </w:p>
        </w:tc>
      </w:tr>
      <w:tr w:rsidR="002F0B13" w:rsidRPr="00474B83" w14:paraId="6C94C3D2" w14:textId="77777777" w:rsidTr="0013680B">
        <w:tc>
          <w:tcPr>
            <w:tcW w:w="1672" w:type="dxa"/>
            <w:shd w:val="clear" w:color="auto" w:fill="FF0000"/>
            <w:vAlign w:val="bottom"/>
          </w:tcPr>
          <w:p w14:paraId="3485FF8D" w14:textId="77777777" w:rsidR="002F0B13" w:rsidRPr="00474B83" w:rsidRDefault="002F0B13" w:rsidP="0013680B">
            <w:pPr>
              <w:spacing w:before="60" w:after="60"/>
              <w:jc w:val="left"/>
              <w:rPr>
                <w:szCs w:val="22"/>
              </w:rPr>
            </w:pPr>
          </w:p>
        </w:tc>
        <w:tc>
          <w:tcPr>
            <w:tcW w:w="8087" w:type="dxa"/>
            <w:gridSpan w:val="5"/>
            <w:vAlign w:val="bottom"/>
          </w:tcPr>
          <w:p w14:paraId="13A99A65" w14:textId="77777777" w:rsidR="002F0B13" w:rsidRPr="00B06341" w:rsidRDefault="002F0B13" w:rsidP="0013680B">
            <w:pPr>
              <w:spacing w:before="60" w:after="60"/>
              <w:rPr>
                <w:szCs w:val="22"/>
              </w:rPr>
            </w:pPr>
            <w:r w:rsidRPr="00B06341">
              <w:rPr>
                <w:color w:val="000000"/>
                <w:szCs w:val="22"/>
              </w:rPr>
              <w:t>Threshold not suitable at this time</w:t>
            </w:r>
            <w:r>
              <w:rPr>
                <w:color w:val="000000"/>
                <w:szCs w:val="22"/>
              </w:rPr>
              <w:t>, 2018</w:t>
            </w:r>
          </w:p>
        </w:tc>
      </w:tr>
    </w:tbl>
    <w:p w14:paraId="222932CC" w14:textId="1950EA61" w:rsidR="002F0B13" w:rsidRPr="00E07D20" w:rsidRDefault="002F0B13" w:rsidP="002F0B13">
      <w:pPr>
        <w:pStyle w:val="ListParagraph"/>
        <w:numPr>
          <w:ilvl w:val="0"/>
          <w:numId w:val="10"/>
        </w:numPr>
        <w:spacing w:before="60" w:after="60" w:line="240" w:lineRule="auto"/>
        <w:contextualSpacing w:val="0"/>
        <w:jc w:val="both"/>
        <w:rPr>
          <w:rFonts w:ascii="Times New Roman" w:hAnsi="Times New Roman"/>
          <w:sz w:val="20"/>
          <w:szCs w:val="20"/>
        </w:rPr>
      </w:pPr>
      <w:r w:rsidRPr="00E07D20">
        <w:rPr>
          <w:rFonts w:ascii="Times New Roman" w:hAnsi="Times New Roman"/>
          <w:sz w:val="20"/>
          <w:szCs w:val="20"/>
        </w:rPr>
        <w:t xml:space="preserve">There are difficult applications in the fishing industry that have no clear technology path. For </w:t>
      </w:r>
      <w:r w:rsidR="009F5EAE" w:rsidRPr="00E07D20">
        <w:rPr>
          <w:rFonts w:ascii="Times New Roman" w:hAnsi="Times New Roman"/>
          <w:sz w:val="20"/>
          <w:szCs w:val="20"/>
        </w:rPr>
        <w:t>example,</w:t>
      </w:r>
      <w:r w:rsidRPr="00E07D20">
        <w:rPr>
          <w:rFonts w:ascii="Times New Roman" w:hAnsi="Times New Roman"/>
          <w:sz w:val="20"/>
          <w:szCs w:val="20"/>
        </w:rPr>
        <w:t xml:space="preserve"> deep freeze applications less than -35</w:t>
      </w:r>
      <w:r w:rsidRPr="00E07D20">
        <w:rPr>
          <w:rFonts w:ascii="Times New Roman" w:hAnsi="Times New Roman"/>
          <w:sz w:val="20"/>
          <w:szCs w:val="20"/>
          <w:vertAlign w:val="superscript"/>
        </w:rPr>
        <w:t>o</w:t>
      </w:r>
      <w:r w:rsidRPr="00E07D20">
        <w:rPr>
          <w:rFonts w:ascii="Times New Roman" w:hAnsi="Times New Roman"/>
          <w:sz w:val="20"/>
          <w:szCs w:val="20"/>
        </w:rPr>
        <w:t>C on vessels less than 30 meters in length.</w:t>
      </w:r>
    </w:p>
    <w:p w14:paraId="218E77FB" w14:textId="32DCDD0A" w:rsidR="002F0B13" w:rsidRPr="00E07D20" w:rsidRDefault="002F0B13" w:rsidP="002F0B13">
      <w:pPr>
        <w:pStyle w:val="ListParagraph"/>
        <w:numPr>
          <w:ilvl w:val="0"/>
          <w:numId w:val="10"/>
        </w:numPr>
        <w:spacing w:before="60" w:after="60" w:line="240" w:lineRule="auto"/>
        <w:contextualSpacing w:val="0"/>
        <w:jc w:val="both"/>
        <w:rPr>
          <w:rFonts w:ascii="Times New Roman" w:hAnsi="Times New Roman"/>
          <w:sz w:val="20"/>
          <w:szCs w:val="20"/>
        </w:rPr>
      </w:pPr>
      <w:r w:rsidRPr="00E07D20">
        <w:rPr>
          <w:rFonts w:ascii="Times New Roman" w:hAnsi="Times New Roman"/>
          <w:sz w:val="20"/>
          <w:szCs w:val="20"/>
        </w:rPr>
        <w:t xml:space="preserve">Small AC comprises sealed (i.e. </w:t>
      </w:r>
      <w:r w:rsidR="009F5EAE" w:rsidRPr="00E07D20">
        <w:rPr>
          <w:rFonts w:ascii="Times New Roman" w:hAnsi="Times New Roman"/>
          <w:sz w:val="20"/>
          <w:szCs w:val="20"/>
        </w:rPr>
        <w:t>self-contained</w:t>
      </w:r>
      <w:r w:rsidRPr="00E07D20">
        <w:rPr>
          <w:rFonts w:ascii="Times New Roman" w:hAnsi="Times New Roman"/>
          <w:sz w:val="20"/>
          <w:szCs w:val="20"/>
        </w:rPr>
        <w:t xml:space="preserve">) unitary equipment, mostly window/wall units and portable units sold into domestic applications. Portable units have no MEPs requirements and have been sold into Australia with hydrocarbon charges for at least 5 years (i.e. Delonghi). Australia currently has the highest MEPS levels in the world for window/wall units and no hydrocarbon charged units are currently registered in Australia. There are several overseas suppliers that manufacture window/wall units that operate on hydrocarbons and those products that do not currently meet Australian MEPs </w:t>
      </w:r>
      <w:r w:rsidR="00F6400F">
        <w:rPr>
          <w:rFonts w:ascii="Times New Roman" w:hAnsi="Times New Roman"/>
          <w:sz w:val="20"/>
          <w:szCs w:val="20"/>
        </w:rPr>
        <w:t xml:space="preserve">but </w:t>
      </w:r>
      <w:r w:rsidRPr="00E07D20">
        <w:rPr>
          <w:rFonts w:ascii="Times New Roman" w:hAnsi="Times New Roman"/>
          <w:sz w:val="20"/>
          <w:szCs w:val="20"/>
        </w:rPr>
        <w:t>could be re-engineered to do so.</w:t>
      </w:r>
    </w:p>
    <w:p w14:paraId="719D90AD" w14:textId="338AE025" w:rsidR="002F0B13" w:rsidRPr="00E07D20" w:rsidRDefault="002F0B13" w:rsidP="002F0B13">
      <w:pPr>
        <w:pStyle w:val="ListParagraph"/>
        <w:numPr>
          <w:ilvl w:val="0"/>
          <w:numId w:val="10"/>
        </w:numPr>
        <w:spacing w:before="60" w:after="60" w:line="240" w:lineRule="auto"/>
        <w:contextualSpacing w:val="0"/>
        <w:jc w:val="both"/>
        <w:rPr>
          <w:rFonts w:ascii="Times New Roman" w:hAnsi="Times New Roman"/>
          <w:sz w:val="20"/>
          <w:szCs w:val="20"/>
        </w:rPr>
      </w:pPr>
      <w:r w:rsidRPr="00E07D20">
        <w:rPr>
          <w:rFonts w:ascii="Times New Roman" w:hAnsi="Times New Roman"/>
          <w:sz w:val="20"/>
          <w:szCs w:val="20"/>
        </w:rPr>
        <w:t>There are many variants and safety issues with large MAC however it is thought that 50% of large MAC technology can achieve</w:t>
      </w:r>
      <w:r w:rsidR="00EC76EA">
        <w:rPr>
          <w:rFonts w:ascii="Times New Roman" w:hAnsi="Times New Roman"/>
          <w:sz w:val="20"/>
          <w:szCs w:val="20"/>
        </w:rPr>
        <w:t xml:space="preserve"> GWP </w:t>
      </w:r>
      <w:r w:rsidRPr="00E07D20">
        <w:rPr>
          <w:rFonts w:ascii="Times New Roman" w:hAnsi="Times New Roman"/>
          <w:sz w:val="20"/>
          <w:szCs w:val="20"/>
        </w:rPr>
        <w:t xml:space="preserve"> &lt;150, </w:t>
      </w:r>
      <w:r w:rsidR="00EC76EA">
        <w:rPr>
          <w:rFonts w:ascii="Times New Roman" w:hAnsi="Times New Roman"/>
          <w:sz w:val="20"/>
          <w:szCs w:val="20"/>
        </w:rPr>
        <w:t xml:space="preserve">while the </w:t>
      </w:r>
      <w:r w:rsidRPr="00E07D20">
        <w:rPr>
          <w:rFonts w:ascii="Times New Roman" w:hAnsi="Times New Roman"/>
          <w:sz w:val="20"/>
          <w:szCs w:val="20"/>
        </w:rPr>
        <w:t>other 50% requires further development.</w:t>
      </w:r>
    </w:p>
    <w:p w14:paraId="44C43B67" w14:textId="77777777" w:rsidR="002F0B13" w:rsidRPr="00456997" w:rsidRDefault="002F0B13" w:rsidP="002F0B13">
      <w:pPr>
        <w:rPr>
          <w:lang w:val="en-US"/>
        </w:rPr>
      </w:pPr>
    </w:p>
    <w:p w14:paraId="3727B051" w14:textId="3DC7A99F" w:rsidR="002F0B13" w:rsidRDefault="002F0B13" w:rsidP="002F0B13">
      <w:pPr>
        <w:pStyle w:val="Heading2"/>
      </w:pPr>
      <w:bookmarkStart w:id="106" w:name="_Toc507507791"/>
      <w:bookmarkStart w:id="107" w:name="_Toc525141284"/>
      <w:r w:rsidRPr="006D5B5F">
        <w:t xml:space="preserve">Projections of the </w:t>
      </w:r>
      <w:r w:rsidR="005631FA">
        <w:t>b</w:t>
      </w:r>
      <w:r w:rsidRPr="006D5B5F">
        <w:t>ank 2016 to 2030</w:t>
      </w:r>
      <w:bookmarkEnd w:id="106"/>
      <w:bookmarkEnd w:id="107"/>
    </w:p>
    <w:p w14:paraId="08A3DB5C" w14:textId="2559498E" w:rsidR="002F0B13" w:rsidRPr="00A949CD" w:rsidRDefault="002F0B13" w:rsidP="002F0B13">
      <w:pPr>
        <w:snapToGrid w:val="0"/>
        <w:rPr>
          <w:rFonts w:cs="Times New Roman"/>
          <w:szCs w:val="22"/>
        </w:rPr>
      </w:pPr>
      <w:r w:rsidRPr="00A949CD">
        <w:rPr>
          <w:rFonts w:cs="Times New Roman"/>
          <w:szCs w:val="22"/>
        </w:rPr>
        <w:t xml:space="preserve">Starting with the stock of equipment in </w:t>
      </w:r>
      <w:r w:rsidRPr="00A949CD">
        <w:rPr>
          <w:rFonts w:cs="Times New Roman"/>
        </w:rPr>
        <w:t>2016 and</w:t>
      </w:r>
      <w:r w:rsidRPr="00A949CD">
        <w:rPr>
          <w:rFonts w:cs="Times New Roman"/>
          <w:szCs w:val="22"/>
        </w:rPr>
        <w:t xml:space="preserve"> applying a series of factors and assumptions as set out in </w:t>
      </w:r>
      <w:r w:rsidRPr="000A23F9">
        <w:rPr>
          <w:rFonts w:cs="Times New Roman"/>
          <w:i/>
          <w:szCs w:val="22"/>
        </w:rPr>
        <w:t xml:space="preserve">Appendix </w:t>
      </w:r>
      <w:r w:rsidR="007A5FD5">
        <w:rPr>
          <w:rFonts w:cs="Times New Roman"/>
          <w:i/>
          <w:szCs w:val="22"/>
        </w:rPr>
        <w:t>A</w:t>
      </w:r>
      <w:r w:rsidRPr="000A23F9">
        <w:rPr>
          <w:rFonts w:cs="Times New Roman"/>
          <w:i/>
          <w:szCs w:val="22"/>
        </w:rPr>
        <w:t xml:space="preserve">: </w:t>
      </w:r>
      <w:r w:rsidR="007A5FD5" w:rsidRPr="007A5FD5">
        <w:rPr>
          <w:rFonts w:cs="Times New Roman"/>
          <w:i/>
          <w:szCs w:val="22"/>
        </w:rPr>
        <w:t>Methodology – Taxonomy, data and assumptions</w:t>
      </w:r>
      <w:r w:rsidRPr="00A949CD">
        <w:rPr>
          <w:rFonts w:cs="Times New Roman"/>
          <w:szCs w:val="22"/>
        </w:rPr>
        <w:t xml:space="preserve">, </w:t>
      </w:r>
      <w:r w:rsidR="007A5FD5">
        <w:rPr>
          <w:rFonts w:cs="Times New Roman"/>
          <w:szCs w:val="22"/>
        </w:rPr>
        <w:t xml:space="preserve">and </w:t>
      </w:r>
      <w:r w:rsidR="007A5FD5" w:rsidRPr="007A5FD5">
        <w:rPr>
          <w:rFonts w:cs="Times New Roman"/>
          <w:i/>
          <w:szCs w:val="22"/>
        </w:rPr>
        <w:t>Appendix B3: New equipment sales mix by segment</w:t>
      </w:r>
      <w:r w:rsidR="007A5FD5" w:rsidRPr="007A5FD5">
        <w:rPr>
          <w:rFonts w:cs="Times New Roman"/>
          <w:szCs w:val="22"/>
        </w:rPr>
        <w:t xml:space="preserve"> </w:t>
      </w:r>
      <w:r w:rsidRPr="00A949CD">
        <w:rPr>
          <w:rFonts w:cs="Times New Roman"/>
          <w:szCs w:val="22"/>
        </w:rPr>
        <w:t>a projection of the development of the bank from 2016 to 2030 has been produced.</w:t>
      </w:r>
    </w:p>
    <w:p w14:paraId="11231A49" w14:textId="38E6D093" w:rsidR="002F0B13" w:rsidRDefault="002F0B13" w:rsidP="002F0B13">
      <w:pPr>
        <w:snapToGrid w:val="0"/>
        <w:rPr>
          <w:rFonts w:cs="Times New Roman"/>
          <w:szCs w:val="22"/>
        </w:rPr>
      </w:pPr>
      <w:r w:rsidRPr="00A949CD">
        <w:rPr>
          <w:rFonts w:cs="Times New Roman"/>
          <w:szCs w:val="22"/>
        </w:rPr>
        <w:t xml:space="preserve">The bank of refrigerants </w:t>
      </w:r>
      <w:r>
        <w:rPr>
          <w:rFonts w:cs="Times New Roman"/>
        </w:rPr>
        <w:t xml:space="preserve">in </w:t>
      </w:r>
      <w:r w:rsidRPr="00A949CD">
        <w:rPr>
          <w:rFonts w:cs="Times New Roman"/>
          <w:szCs w:val="22"/>
        </w:rPr>
        <w:t>the Australian economy is expected to expand by more than 35% to approximately 70,000 metric tonnes in the 1</w:t>
      </w:r>
      <w:r>
        <w:rPr>
          <w:rFonts w:cs="Times New Roman"/>
        </w:rPr>
        <w:t>4</w:t>
      </w:r>
      <w:r w:rsidRPr="00A949CD">
        <w:rPr>
          <w:rFonts w:cs="Times New Roman"/>
          <w:szCs w:val="22"/>
        </w:rPr>
        <w:t xml:space="preserve"> year period of the projections from 2016 to 2030.</w:t>
      </w:r>
    </w:p>
    <w:p w14:paraId="09DC6209" w14:textId="703CC3FD" w:rsidR="00601F8A" w:rsidRDefault="00601F8A" w:rsidP="00601F8A">
      <w:pPr>
        <w:snapToGrid w:val="0"/>
        <w:rPr>
          <w:rFonts w:cs="Times New Roman"/>
        </w:rPr>
      </w:pPr>
      <w:r>
        <w:rPr>
          <w:rFonts w:cs="Times New Roman"/>
        </w:rPr>
        <w:t xml:space="preserve">The projections of the bank include HCFC-22 and HCFC-123 to demonstrate the </w:t>
      </w:r>
      <w:r w:rsidR="009F5EAE">
        <w:rPr>
          <w:rFonts w:cs="Times New Roman"/>
        </w:rPr>
        <w:t>diminishing</w:t>
      </w:r>
      <w:r>
        <w:rPr>
          <w:rFonts w:cs="Times New Roman"/>
        </w:rPr>
        <w:t xml:space="preserve"> presence of these substances. </w:t>
      </w:r>
      <w:r w:rsidR="00E943DE">
        <w:rPr>
          <w:rFonts w:cs="Times New Roman"/>
        </w:rPr>
        <w:t xml:space="preserve">HCFC-22 and HCFC-123 </w:t>
      </w:r>
      <w:r w:rsidRPr="00601F8A">
        <w:rPr>
          <w:rFonts w:cs="Times New Roman"/>
        </w:rPr>
        <w:t>are not counted as part of the GHGs reported under the Kyoto Protocol or United Nations</w:t>
      </w:r>
      <w:r w:rsidR="00E13F35">
        <w:rPr>
          <w:rFonts w:cs="Times New Roman"/>
        </w:rPr>
        <w:t xml:space="preserve"> Framework</w:t>
      </w:r>
      <w:r w:rsidRPr="00601F8A">
        <w:rPr>
          <w:rFonts w:cs="Times New Roman"/>
        </w:rPr>
        <w:t xml:space="preserve"> Convention on Climate Change, as they </w:t>
      </w:r>
      <w:r w:rsidR="005755C3">
        <w:rPr>
          <w:rFonts w:cs="Times New Roman"/>
        </w:rPr>
        <w:t xml:space="preserve">are </w:t>
      </w:r>
      <w:r w:rsidRPr="00601F8A">
        <w:rPr>
          <w:rFonts w:cs="Times New Roman"/>
        </w:rPr>
        <w:t>managed through the Montreal Protocol.</w:t>
      </w:r>
    </w:p>
    <w:p w14:paraId="0AB42F66" w14:textId="77777777" w:rsidR="002F0B13" w:rsidRPr="002160E9" w:rsidRDefault="002F0B13" w:rsidP="002F0B13">
      <w:pPr>
        <w:rPr>
          <w:rFonts w:cs="Times New Roman"/>
          <w:lang w:val="en-US"/>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1CF64E07" w14:textId="77777777" w:rsidTr="0013680B">
        <w:tc>
          <w:tcPr>
            <w:tcW w:w="9759" w:type="dxa"/>
            <w:vAlign w:val="center"/>
          </w:tcPr>
          <w:p w14:paraId="3D8B1D78" w14:textId="118E051B" w:rsidR="002F0B13" w:rsidRPr="000A23F9" w:rsidRDefault="002F0B13" w:rsidP="0013680B">
            <w:pPr>
              <w:spacing w:after="120"/>
              <w:jc w:val="center"/>
              <w:rPr>
                <w:rFonts w:cs="Times New Roman"/>
                <w:b/>
              </w:rPr>
            </w:pPr>
            <w:r w:rsidRPr="000A23F9">
              <w:rPr>
                <w:rFonts w:cs="Times New Roman"/>
                <w:b/>
              </w:rPr>
              <w:br w:type="page"/>
            </w:r>
            <w:r w:rsidR="005631FA">
              <w:rPr>
                <w:rFonts w:cs="Times New Roman"/>
                <w:b/>
              </w:rPr>
              <w:t>Bank (</w:t>
            </w:r>
            <w:r w:rsidR="00E13F35">
              <w:rPr>
                <w:rFonts w:cs="Times New Roman"/>
                <w:b/>
              </w:rPr>
              <w:t>a</w:t>
            </w:r>
            <w:r w:rsidR="005631FA">
              <w:rPr>
                <w:rFonts w:cs="Times New Roman"/>
                <w:b/>
              </w:rPr>
              <w:t>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5631FA">
              <w:rPr>
                <w:rFonts w:cs="Times New Roman"/>
                <w:b/>
              </w:rPr>
              <w:t xml:space="preserve"> (t</w:t>
            </w:r>
            <w:r w:rsidRPr="000A23F9">
              <w:rPr>
                <w:rFonts w:cs="Times New Roman"/>
                <w:b/>
              </w:rPr>
              <w:t>onnes)</w:t>
            </w:r>
          </w:p>
        </w:tc>
      </w:tr>
      <w:tr w:rsidR="002F0B13" w:rsidRPr="000A23F9" w14:paraId="273DD283" w14:textId="77777777" w:rsidTr="0013680B">
        <w:tc>
          <w:tcPr>
            <w:tcW w:w="9759" w:type="dxa"/>
            <w:vAlign w:val="center"/>
          </w:tcPr>
          <w:p w14:paraId="301C1652" w14:textId="77777777" w:rsidR="002F0B13" w:rsidRPr="000A23F9" w:rsidRDefault="002F0B13" w:rsidP="0013680B">
            <w:pPr>
              <w:spacing w:before="60" w:after="60"/>
              <w:jc w:val="center"/>
              <w:rPr>
                <w:rFonts w:cs="Times New Roman"/>
                <w:sz w:val="16"/>
                <w:szCs w:val="16"/>
              </w:rPr>
            </w:pPr>
          </w:p>
          <w:p w14:paraId="40910EF9" w14:textId="77777777" w:rsidR="002F0B13" w:rsidRPr="000A23F9" w:rsidRDefault="002F0B13" w:rsidP="0013680B">
            <w:pPr>
              <w:spacing w:before="60" w:after="60"/>
              <w:jc w:val="center"/>
              <w:rPr>
                <w:rFonts w:cs="Times New Roman"/>
                <w:sz w:val="16"/>
                <w:szCs w:val="16"/>
              </w:rPr>
            </w:pPr>
            <w:r>
              <w:rPr>
                <w:noProof/>
                <w:lang w:val="en-AU" w:eastAsia="en-AU"/>
              </w:rPr>
              <w:drawing>
                <wp:inline distT="0" distB="0" distL="0" distR="0" wp14:anchorId="03EBEC13" wp14:editId="0CCC54AB">
                  <wp:extent cx="6030595" cy="23501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0595" cy="2350135"/>
                          </a:xfrm>
                          <a:prstGeom prst="rect">
                            <a:avLst/>
                          </a:prstGeom>
                        </pic:spPr>
                      </pic:pic>
                    </a:graphicData>
                  </a:graphic>
                </wp:inline>
              </w:drawing>
            </w:r>
          </w:p>
          <w:p w14:paraId="17F82F5D" w14:textId="77777777" w:rsidR="002F0B13" w:rsidRPr="000A23F9" w:rsidRDefault="002F0B13" w:rsidP="0013680B">
            <w:pPr>
              <w:spacing w:before="60" w:after="60"/>
              <w:jc w:val="center"/>
              <w:rPr>
                <w:rFonts w:cs="Times New Roman"/>
                <w:sz w:val="16"/>
                <w:szCs w:val="16"/>
              </w:rPr>
            </w:pPr>
          </w:p>
        </w:tc>
      </w:tr>
      <w:tr w:rsidR="002F0B13" w:rsidRPr="000A23F9" w14:paraId="65870F42" w14:textId="77777777" w:rsidTr="0013680B">
        <w:tc>
          <w:tcPr>
            <w:tcW w:w="9759" w:type="dxa"/>
            <w:vAlign w:val="center"/>
          </w:tcPr>
          <w:p w14:paraId="09C1A942" w14:textId="2B543D44" w:rsidR="002F0B13" w:rsidRPr="00290841" w:rsidRDefault="00290841" w:rsidP="00290841">
            <w:pPr>
              <w:pStyle w:val="Caption"/>
            </w:pPr>
            <w:bookmarkStart w:id="108" w:name="_Toc525141349"/>
            <w:r w:rsidRPr="00290841">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18</w:t>
            </w:r>
            <w:r w:rsidR="009D6843">
              <w:rPr>
                <w:noProof/>
              </w:rPr>
              <w:fldChar w:fldCharType="end"/>
            </w:r>
            <w:r w:rsidRPr="00290841">
              <w:t xml:space="preserve">: </w:t>
            </w:r>
            <w:r w:rsidR="002F0B13" w:rsidRPr="00290841">
              <w:rPr>
                <w:bCs w:val="0"/>
              </w:rPr>
              <w:t xml:space="preserve">Refrigerant bank </w:t>
            </w:r>
            <w:r w:rsidR="00D33F7E" w:rsidRPr="00290841">
              <w:rPr>
                <w:bCs w:val="0"/>
              </w:rPr>
              <w:t>(a</w:t>
            </w:r>
            <w:r w:rsidR="002F0B13" w:rsidRPr="00290841">
              <w:rPr>
                <w:bCs w:val="0"/>
              </w:rPr>
              <w:t xml:space="preserve">ctual) </w:t>
            </w:r>
            <w:r w:rsidR="005631FA" w:rsidRPr="00290841">
              <w:rPr>
                <w:bCs w:val="0"/>
              </w:rPr>
              <w:t>by s</w:t>
            </w:r>
            <w:r w:rsidR="002F0B13" w:rsidRPr="00290841">
              <w:rPr>
                <w:bCs w:val="0"/>
              </w:rPr>
              <w:t>pecies from 2016 to 2030 in tonnes.</w:t>
            </w:r>
            <w:bookmarkEnd w:id="108"/>
          </w:p>
        </w:tc>
      </w:tr>
    </w:tbl>
    <w:p w14:paraId="09613F5B" w14:textId="0F879DFF"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72C83A81" w14:textId="77777777" w:rsidR="002F0B13" w:rsidRDefault="002F0B13" w:rsidP="00EC76EA">
      <w:pPr>
        <w:spacing w:before="0"/>
        <w:rPr>
          <w:rFonts w:cs="Times New Roman"/>
        </w:rPr>
      </w:pPr>
    </w:p>
    <w:p w14:paraId="06796CC4" w14:textId="4BC26927" w:rsidR="002F0B13" w:rsidRPr="00A949CD" w:rsidRDefault="00E13F35" w:rsidP="002F0B13">
      <w:pPr>
        <w:snapToGrid w:val="0"/>
        <w:rPr>
          <w:rFonts w:cs="Times New Roman"/>
          <w:szCs w:val="22"/>
        </w:rPr>
      </w:pPr>
      <w:r>
        <w:rPr>
          <w:rFonts w:cs="Times New Roman"/>
          <w:szCs w:val="22"/>
        </w:rPr>
        <w:t>I</w:t>
      </w:r>
      <w:r w:rsidR="002F0B13" w:rsidRPr="00A949CD">
        <w:rPr>
          <w:rFonts w:cs="Times New Roman"/>
          <w:szCs w:val="22"/>
        </w:rPr>
        <w:t>n CO</w:t>
      </w:r>
      <w:r w:rsidR="002F0B13" w:rsidRPr="00E045D5">
        <w:rPr>
          <w:rFonts w:cs="Times New Roman"/>
          <w:szCs w:val="22"/>
          <w:vertAlign w:val="subscript"/>
        </w:rPr>
        <w:t>2</w:t>
      </w:r>
      <w:r w:rsidR="002F0B13" w:rsidRPr="00A949CD">
        <w:rPr>
          <w:rFonts w:cs="Times New Roman"/>
          <w:szCs w:val="22"/>
        </w:rPr>
        <w:t>e terms the bank in 2030 is expected to fall by more than 1</w:t>
      </w:r>
      <w:r w:rsidR="002F0B13">
        <w:rPr>
          <w:rFonts w:cs="Times New Roman"/>
          <w:szCs w:val="22"/>
        </w:rPr>
        <w:t>8</w:t>
      </w:r>
      <w:r w:rsidR="002F0B13" w:rsidRPr="00A949CD">
        <w:rPr>
          <w:rFonts w:cs="Times New Roman"/>
          <w:szCs w:val="22"/>
        </w:rPr>
        <w:t>% in the period, from a CO</w:t>
      </w:r>
      <w:r w:rsidR="002F0B13" w:rsidRPr="00A949CD">
        <w:rPr>
          <w:rFonts w:cs="Times New Roman"/>
          <w:szCs w:val="22"/>
          <w:vertAlign w:val="subscript"/>
        </w:rPr>
        <w:t>2</w:t>
      </w:r>
      <w:r w:rsidR="002F0B13" w:rsidRPr="00A949CD">
        <w:rPr>
          <w:rFonts w:cs="Times New Roman"/>
          <w:szCs w:val="22"/>
        </w:rPr>
        <w:t>e value of more than 9</w:t>
      </w:r>
      <w:r w:rsidR="002F0B13">
        <w:rPr>
          <w:rFonts w:cs="Times New Roman"/>
          <w:szCs w:val="22"/>
        </w:rPr>
        <w:t>9</w:t>
      </w:r>
      <w:r w:rsidR="002F0B13" w:rsidRPr="00A949CD">
        <w:rPr>
          <w:rFonts w:cs="Times New Roman"/>
          <w:szCs w:val="22"/>
        </w:rPr>
        <w:t xml:space="preserve"> million tonnes in 201</w:t>
      </w:r>
      <w:r w:rsidR="002F0B13">
        <w:rPr>
          <w:rFonts w:cs="Times New Roman"/>
        </w:rPr>
        <w:t>6</w:t>
      </w:r>
      <w:r w:rsidR="002F0B13" w:rsidRPr="00A949CD">
        <w:rPr>
          <w:rFonts w:cs="Times New Roman"/>
          <w:szCs w:val="22"/>
        </w:rPr>
        <w:t xml:space="preserve"> to less than 8</w:t>
      </w:r>
      <w:r w:rsidR="002F0B13">
        <w:rPr>
          <w:rFonts w:cs="Times New Roman"/>
          <w:szCs w:val="22"/>
        </w:rPr>
        <w:t>1</w:t>
      </w:r>
      <w:r w:rsidR="002F0B13" w:rsidRPr="00A949CD">
        <w:rPr>
          <w:rFonts w:cs="Times New Roman"/>
          <w:szCs w:val="22"/>
        </w:rPr>
        <w:t xml:space="preserve"> million tonnes in 2030.</w:t>
      </w:r>
    </w:p>
    <w:p w14:paraId="7B4E3F17" w14:textId="77777777" w:rsidR="002F0B13" w:rsidRDefault="002F0B13" w:rsidP="002F0B13">
      <w:pPr>
        <w:snapToGrid w:val="0"/>
        <w:rPr>
          <w:rFonts w:cs="Times New Roman"/>
        </w:rPr>
      </w:pPr>
      <w:r>
        <w:rPr>
          <w:rFonts w:cs="Times New Roman"/>
        </w:rPr>
        <w:t>Th</w:t>
      </w:r>
      <w:r w:rsidRPr="00A949CD">
        <w:rPr>
          <w:rFonts w:cs="Times New Roman"/>
          <w:szCs w:val="22"/>
        </w:rPr>
        <w:t>e projection predicts the CO</w:t>
      </w:r>
      <w:r w:rsidRPr="00A949CD">
        <w:rPr>
          <w:rFonts w:cs="Times New Roman"/>
          <w:szCs w:val="22"/>
          <w:vertAlign w:val="subscript"/>
        </w:rPr>
        <w:t>2</w:t>
      </w:r>
      <w:r w:rsidRPr="00A949CD">
        <w:rPr>
          <w:rFonts w:cs="Times New Roman"/>
          <w:szCs w:val="22"/>
        </w:rPr>
        <w:t>e value of the Australian bank of refrigerant will peak at more than 102.</w:t>
      </w:r>
      <w:r>
        <w:rPr>
          <w:rFonts w:cs="Times New Roman"/>
          <w:szCs w:val="22"/>
        </w:rPr>
        <w:t xml:space="preserve">6 </w:t>
      </w:r>
      <w:r w:rsidRPr="00A949CD">
        <w:rPr>
          <w:rFonts w:cs="Times New Roman"/>
          <w:szCs w:val="22"/>
        </w:rPr>
        <w:t>million tonnes of CO</w:t>
      </w:r>
      <w:r w:rsidRPr="00A949CD">
        <w:rPr>
          <w:rFonts w:cs="Times New Roman"/>
          <w:szCs w:val="22"/>
          <w:vertAlign w:val="subscript"/>
        </w:rPr>
        <w:t>2</w:t>
      </w:r>
      <w:r w:rsidRPr="00A949CD">
        <w:rPr>
          <w:rFonts w:cs="Times New Roman"/>
          <w:szCs w:val="22"/>
        </w:rPr>
        <w:t>e in 20</w:t>
      </w:r>
      <w:r>
        <w:rPr>
          <w:rFonts w:cs="Times New Roman"/>
          <w:szCs w:val="22"/>
        </w:rPr>
        <w:t>19</w:t>
      </w:r>
      <w:r w:rsidRPr="00A949CD">
        <w:rPr>
          <w:rFonts w:cs="Times New Roman"/>
          <w:szCs w:val="22"/>
        </w:rPr>
        <w:t xml:space="preserve"> before falling steadily for the following decade.</w:t>
      </w:r>
    </w:p>
    <w:p w14:paraId="5A8E3756" w14:textId="77777777" w:rsidR="00E81F20" w:rsidRPr="002160E9" w:rsidRDefault="00E81F20" w:rsidP="002F0B13">
      <w:pPr>
        <w:rPr>
          <w:rFonts w:cs="Times New Roman"/>
          <w:lang w:val="en-US"/>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3F9B4A91" w14:textId="77777777" w:rsidTr="0013680B">
        <w:tc>
          <w:tcPr>
            <w:tcW w:w="9759" w:type="dxa"/>
            <w:vAlign w:val="center"/>
          </w:tcPr>
          <w:p w14:paraId="7702C061" w14:textId="4F356540" w:rsidR="002F0B13" w:rsidRPr="000A23F9" w:rsidRDefault="002F0B13" w:rsidP="0013680B">
            <w:pPr>
              <w:spacing w:after="120"/>
              <w:jc w:val="center"/>
              <w:rPr>
                <w:rFonts w:cs="Times New Roman"/>
                <w:b/>
              </w:rPr>
            </w:pPr>
            <w:r w:rsidRPr="000A23F9">
              <w:rPr>
                <w:rFonts w:cs="Times New Roman"/>
                <w:b/>
              </w:rPr>
              <w:br w:type="page"/>
            </w:r>
            <w:r w:rsidR="00380B85">
              <w:rPr>
                <w:rFonts w:cs="Times New Roman"/>
                <w:b/>
              </w:rPr>
              <w:t>Bank (a</w:t>
            </w:r>
            <w:r w:rsidR="005631FA">
              <w:rPr>
                <w:rFonts w:cs="Times New Roman"/>
                <w:b/>
              </w:rPr>
              <w:t>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31096A">
              <w:rPr>
                <w:rFonts w:cs="Times New Roman"/>
                <w:b/>
                <w:vertAlign w:val="subscript"/>
              </w:rPr>
              <w:t>2</w:t>
            </w:r>
            <w:r>
              <w:rPr>
                <w:rFonts w:cs="Times New Roman"/>
                <w:b/>
              </w:rPr>
              <w:t>e</w:t>
            </w:r>
            <w:r w:rsidRPr="000A23F9">
              <w:rPr>
                <w:rFonts w:cs="Times New Roman"/>
                <w:b/>
              </w:rPr>
              <w:t>)</w:t>
            </w:r>
          </w:p>
        </w:tc>
      </w:tr>
      <w:tr w:rsidR="002F0B13" w:rsidRPr="000A23F9" w14:paraId="714CF9E4" w14:textId="77777777" w:rsidTr="0013680B">
        <w:tc>
          <w:tcPr>
            <w:tcW w:w="9759" w:type="dxa"/>
            <w:vAlign w:val="center"/>
          </w:tcPr>
          <w:p w14:paraId="438863EF" w14:textId="77777777" w:rsidR="002F0B13" w:rsidRPr="000A23F9" w:rsidRDefault="002F0B13" w:rsidP="0013680B">
            <w:pPr>
              <w:spacing w:before="60" w:after="60"/>
              <w:jc w:val="center"/>
              <w:rPr>
                <w:rFonts w:cs="Times New Roman"/>
                <w:sz w:val="16"/>
                <w:szCs w:val="16"/>
              </w:rPr>
            </w:pPr>
          </w:p>
          <w:p w14:paraId="626E97B2" w14:textId="77777777" w:rsidR="002F0B13" w:rsidRPr="000A23F9" w:rsidRDefault="002F0B13" w:rsidP="0013680B">
            <w:pPr>
              <w:spacing w:before="60" w:after="60"/>
              <w:jc w:val="center"/>
              <w:rPr>
                <w:rFonts w:cs="Times New Roman"/>
                <w:sz w:val="16"/>
                <w:szCs w:val="16"/>
              </w:rPr>
            </w:pPr>
            <w:r>
              <w:rPr>
                <w:noProof/>
                <w:lang w:val="en-AU" w:eastAsia="en-AU"/>
              </w:rPr>
              <w:drawing>
                <wp:inline distT="0" distB="0" distL="0" distR="0" wp14:anchorId="15D8EDB4" wp14:editId="3E23D41A">
                  <wp:extent cx="6030595" cy="2292350"/>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30595" cy="2292350"/>
                          </a:xfrm>
                          <a:prstGeom prst="rect">
                            <a:avLst/>
                          </a:prstGeom>
                        </pic:spPr>
                      </pic:pic>
                    </a:graphicData>
                  </a:graphic>
                </wp:inline>
              </w:drawing>
            </w:r>
          </w:p>
          <w:p w14:paraId="47BE79A1" w14:textId="77777777" w:rsidR="002F0B13" w:rsidRPr="000A23F9" w:rsidRDefault="002F0B13" w:rsidP="0013680B">
            <w:pPr>
              <w:spacing w:before="60" w:after="60"/>
              <w:jc w:val="center"/>
              <w:rPr>
                <w:rFonts w:cs="Times New Roman"/>
                <w:sz w:val="16"/>
                <w:szCs w:val="16"/>
              </w:rPr>
            </w:pPr>
          </w:p>
        </w:tc>
      </w:tr>
      <w:tr w:rsidR="002F0B13" w:rsidRPr="000A23F9" w14:paraId="0861CC7D" w14:textId="77777777" w:rsidTr="0013680B">
        <w:tc>
          <w:tcPr>
            <w:tcW w:w="9759" w:type="dxa"/>
            <w:vAlign w:val="center"/>
          </w:tcPr>
          <w:p w14:paraId="311B88F4" w14:textId="6A220542" w:rsidR="002F0B13" w:rsidRPr="00290841" w:rsidRDefault="00290841" w:rsidP="00290841">
            <w:pPr>
              <w:pStyle w:val="Caption"/>
            </w:pPr>
            <w:bookmarkStart w:id="109" w:name="_Toc525141350"/>
            <w:r w:rsidRPr="00290841">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19</w:t>
            </w:r>
            <w:r w:rsidR="009D6843">
              <w:rPr>
                <w:noProof/>
              </w:rPr>
              <w:fldChar w:fldCharType="end"/>
            </w:r>
            <w:r w:rsidRPr="00290841">
              <w:t>:</w:t>
            </w:r>
            <w:r w:rsidR="002F0B13" w:rsidRPr="00290841">
              <w:rPr>
                <w:bCs w:val="0"/>
              </w:rPr>
              <w:t xml:space="preserve"> Refrigerant bank </w:t>
            </w:r>
            <w:r w:rsidR="00D33F7E" w:rsidRPr="00290841">
              <w:rPr>
                <w:bCs w:val="0"/>
              </w:rPr>
              <w:t>(a</w:t>
            </w:r>
            <w:r w:rsidR="002F0B13" w:rsidRPr="00290841">
              <w:rPr>
                <w:bCs w:val="0"/>
              </w:rPr>
              <w:t xml:space="preserve">ctual) </w:t>
            </w:r>
            <w:r w:rsidR="005631FA" w:rsidRPr="00290841">
              <w:rPr>
                <w:bCs w:val="0"/>
              </w:rPr>
              <w:t>by s</w:t>
            </w:r>
            <w:r w:rsidR="002F0B13" w:rsidRPr="00290841">
              <w:rPr>
                <w:bCs w:val="0"/>
              </w:rPr>
              <w:t>pecies from 2016 to 2030 in Mt CO</w:t>
            </w:r>
            <w:r w:rsidR="002F0B13" w:rsidRPr="00290841">
              <w:rPr>
                <w:bCs w:val="0"/>
                <w:vertAlign w:val="subscript"/>
              </w:rPr>
              <w:t>2</w:t>
            </w:r>
            <w:r w:rsidR="002F0B13" w:rsidRPr="00290841">
              <w:rPr>
                <w:bCs w:val="0"/>
              </w:rPr>
              <w:t>e.</w:t>
            </w:r>
            <w:bookmarkEnd w:id="109"/>
          </w:p>
        </w:tc>
      </w:tr>
    </w:tbl>
    <w:p w14:paraId="2AEE94B4" w14:textId="02024AEE"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1DCB8733" w14:textId="77777777" w:rsidR="002F0B13" w:rsidRDefault="002F0B13" w:rsidP="002F0B13">
      <w:pPr>
        <w:rPr>
          <w:rFonts w:cs="Times New Roman"/>
        </w:rPr>
      </w:pPr>
    </w:p>
    <w:p w14:paraId="240E5FC8" w14:textId="34DFD177" w:rsidR="002F0B13" w:rsidRDefault="002F0B13" w:rsidP="002F0B13">
      <w:pPr>
        <w:snapToGrid w:val="0"/>
        <w:rPr>
          <w:rFonts w:cs="Times New Roman"/>
        </w:rPr>
      </w:pPr>
      <w:r w:rsidRPr="00A949CD">
        <w:rPr>
          <w:rFonts w:cs="Times New Roman"/>
          <w:szCs w:val="22"/>
        </w:rPr>
        <w:t>This outcome is predicted based on</w:t>
      </w:r>
      <w:r w:rsidR="00502144">
        <w:rPr>
          <w:rFonts w:cs="Times New Roman"/>
          <w:szCs w:val="22"/>
        </w:rPr>
        <w:t xml:space="preserve"> the impact of the HFC phase down,</w:t>
      </w:r>
      <w:r w:rsidRPr="00A949CD">
        <w:rPr>
          <w:rFonts w:cs="Times New Roman"/>
          <w:szCs w:val="22"/>
        </w:rPr>
        <w:t xml:space="preserve"> the adoption of a range of lower GWP synthetic refrigerants, and an expansion in the </w:t>
      </w:r>
      <w:r w:rsidR="009B33A0">
        <w:rPr>
          <w:rFonts w:cs="Times New Roman"/>
          <w:szCs w:val="22"/>
        </w:rPr>
        <w:t>use</w:t>
      </w:r>
      <w:r w:rsidR="009B33A0" w:rsidRPr="00A949CD">
        <w:rPr>
          <w:rFonts w:cs="Times New Roman"/>
          <w:szCs w:val="22"/>
        </w:rPr>
        <w:t xml:space="preserve"> </w:t>
      </w:r>
      <w:r w:rsidRPr="00A949CD">
        <w:rPr>
          <w:rFonts w:cs="Times New Roman"/>
          <w:szCs w:val="22"/>
        </w:rPr>
        <w:t xml:space="preserve">of natural refrigerants in the economy over the period, delivering </w:t>
      </w:r>
      <w:r w:rsidR="00924C7B">
        <w:rPr>
          <w:rFonts w:cs="Times New Roman"/>
          <w:szCs w:val="22"/>
        </w:rPr>
        <w:t>more</w:t>
      </w:r>
      <w:r w:rsidR="005E5FD0">
        <w:rPr>
          <w:rFonts w:cs="Times New Roman"/>
          <w:szCs w:val="22"/>
        </w:rPr>
        <w:t xml:space="preserve"> </w:t>
      </w:r>
      <w:r w:rsidRPr="00A949CD">
        <w:rPr>
          <w:rFonts w:cs="Times New Roman"/>
          <w:szCs w:val="22"/>
        </w:rPr>
        <w:t xml:space="preserve">energy services, with </w:t>
      </w:r>
      <w:r w:rsidR="005E5FD0">
        <w:rPr>
          <w:rFonts w:cs="Times New Roman"/>
          <w:szCs w:val="22"/>
        </w:rPr>
        <w:t xml:space="preserve">a growing bank of </w:t>
      </w:r>
      <w:r w:rsidR="00924C7B">
        <w:rPr>
          <w:rFonts w:cs="Times New Roman"/>
          <w:szCs w:val="22"/>
        </w:rPr>
        <w:t>refrigerants, an increasing number of</w:t>
      </w:r>
      <w:r w:rsidR="005E5FD0">
        <w:rPr>
          <w:rFonts w:cs="Times New Roman"/>
          <w:szCs w:val="22"/>
        </w:rPr>
        <w:t xml:space="preserve"> which will have</w:t>
      </w:r>
      <w:r w:rsidRPr="00A949CD">
        <w:rPr>
          <w:rFonts w:cs="Times New Roman"/>
          <w:szCs w:val="22"/>
        </w:rPr>
        <w:t xml:space="preserve"> zero or very low GWP </w:t>
      </w:r>
      <w:r>
        <w:rPr>
          <w:rFonts w:cs="Times New Roman"/>
          <w:szCs w:val="22"/>
        </w:rPr>
        <w:t xml:space="preserve">(GWP&lt;10) </w:t>
      </w:r>
      <w:r w:rsidRPr="00A949CD">
        <w:rPr>
          <w:rFonts w:cs="Times New Roman"/>
          <w:szCs w:val="22"/>
        </w:rPr>
        <w:t xml:space="preserve">as compared to the bank in 2016. </w:t>
      </w:r>
    </w:p>
    <w:p w14:paraId="567D5498" w14:textId="6B7991C9" w:rsidR="002F0B13" w:rsidRDefault="002F0B13" w:rsidP="002F0B13">
      <w:pPr>
        <w:snapToGrid w:val="0"/>
        <w:rPr>
          <w:rFonts w:cs="Times New Roman"/>
          <w:szCs w:val="22"/>
        </w:rPr>
      </w:pPr>
      <w:r w:rsidRPr="00A949CD">
        <w:rPr>
          <w:rFonts w:cs="Times New Roman"/>
          <w:szCs w:val="22"/>
        </w:rPr>
        <w:t xml:space="preserve">To illustrate the effect of those segments where </w:t>
      </w:r>
      <w:r w:rsidR="001064B4">
        <w:rPr>
          <w:rFonts w:cs="Times New Roman"/>
          <w:szCs w:val="22"/>
        </w:rPr>
        <w:t>refrigerants with a GWP&lt;10</w:t>
      </w:r>
      <w:r w:rsidRPr="00A949CD">
        <w:rPr>
          <w:rFonts w:cs="Times New Roman"/>
          <w:szCs w:val="22"/>
        </w:rPr>
        <w:t xml:space="preserve"> are adopted over the projection period, the chart below shows how large the bank would be, if equipment charged with natural refrigerants were instead employing the most common synthetic refrigerant cur</w:t>
      </w:r>
      <w:r>
        <w:rPr>
          <w:rFonts w:cs="Times New Roman"/>
          <w:szCs w:val="22"/>
        </w:rPr>
        <w:t xml:space="preserve">rently used in that application (i.e. </w:t>
      </w:r>
      <w:r w:rsidR="00290841">
        <w:rPr>
          <w:rFonts w:cs="Times New Roman"/>
          <w:szCs w:val="22"/>
        </w:rPr>
        <w:t>69,480</w:t>
      </w:r>
      <w:r>
        <w:rPr>
          <w:rFonts w:cs="Times New Roman"/>
          <w:szCs w:val="22"/>
        </w:rPr>
        <w:t xml:space="preserve"> </w:t>
      </w:r>
      <w:r w:rsidR="00DB2648">
        <w:rPr>
          <w:rFonts w:cs="Times New Roman"/>
          <w:szCs w:val="22"/>
        </w:rPr>
        <w:t xml:space="preserve">tonnes </w:t>
      </w:r>
      <w:r>
        <w:rPr>
          <w:rFonts w:cs="Times New Roman"/>
          <w:szCs w:val="22"/>
        </w:rPr>
        <w:t xml:space="preserve">versus </w:t>
      </w:r>
      <w:r w:rsidR="00290841">
        <w:rPr>
          <w:rFonts w:cs="Times New Roman"/>
          <w:szCs w:val="22"/>
        </w:rPr>
        <w:t>65,629</w:t>
      </w:r>
      <w:r w:rsidR="00DB2648">
        <w:rPr>
          <w:rFonts w:cs="Times New Roman"/>
          <w:szCs w:val="22"/>
        </w:rPr>
        <w:t xml:space="preserve"> tonnes</w:t>
      </w:r>
      <w:r>
        <w:rPr>
          <w:rFonts w:cs="Times New Roman"/>
          <w:szCs w:val="22"/>
        </w:rPr>
        <w:t>).</w:t>
      </w:r>
      <w:r w:rsidR="00290841">
        <w:rPr>
          <w:rStyle w:val="FootnoteReference"/>
          <w:rFonts w:cs="Times New Roman"/>
          <w:szCs w:val="22"/>
        </w:rPr>
        <w:footnoteReference w:id="58"/>
      </w:r>
    </w:p>
    <w:p w14:paraId="21233C5D" w14:textId="3D409EDE" w:rsidR="002F0B13" w:rsidRDefault="002F0B13" w:rsidP="002F0B13">
      <w:pPr>
        <w:spacing w:before="0"/>
        <w:jc w:val="left"/>
        <w:rPr>
          <w:rFonts w:cs="Times New Roman"/>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31E31BF4" w14:textId="77777777" w:rsidTr="0013680B">
        <w:tc>
          <w:tcPr>
            <w:tcW w:w="9759" w:type="dxa"/>
            <w:vAlign w:val="center"/>
          </w:tcPr>
          <w:p w14:paraId="35845CA6" w14:textId="3D409EDE" w:rsidR="002F0B13" w:rsidRPr="000A23F9" w:rsidRDefault="002F0B13" w:rsidP="0013680B">
            <w:pPr>
              <w:spacing w:after="120"/>
              <w:jc w:val="center"/>
              <w:rPr>
                <w:rFonts w:cs="Times New Roman"/>
                <w:b/>
              </w:rPr>
            </w:pPr>
            <w:r w:rsidRPr="000A23F9">
              <w:rPr>
                <w:rFonts w:cs="Times New Roman"/>
                <w:b/>
              </w:rPr>
              <w:br w:type="page"/>
            </w:r>
            <w:r w:rsidR="00380B85">
              <w:rPr>
                <w:rFonts w:cs="Times New Roman"/>
                <w:b/>
              </w:rPr>
              <w:t>Bank (equivalent)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380B85">
              <w:rPr>
                <w:rFonts w:cs="Times New Roman"/>
                <w:b/>
              </w:rPr>
              <w:t xml:space="preserve"> (t</w:t>
            </w:r>
            <w:r w:rsidRPr="000A23F9">
              <w:rPr>
                <w:rFonts w:cs="Times New Roman"/>
                <w:b/>
              </w:rPr>
              <w:t>onnes)</w:t>
            </w:r>
          </w:p>
        </w:tc>
      </w:tr>
      <w:tr w:rsidR="002F0B13" w:rsidRPr="000A23F9" w14:paraId="08CFCB99" w14:textId="77777777" w:rsidTr="00EA18BF">
        <w:tc>
          <w:tcPr>
            <w:tcW w:w="9759" w:type="dxa"/>
            <w:vAlign w:val="center"/>
          </w:tcPr>
          <w:p w14:paraId="70B43CB3" w14:textId="77777777" w:rsidR="002F0B13" w:rsidRPr="000A23F9" w:rsidRDefault="002F0B13" w:rsidP="0013680B">
            <w:pPr>
              <w:spacing w:before="60" w:after="60"/>
              <w:jc w:val="center"/>
              <w:rPr>
                <w:rFonts w:cs="Times New Roman"/>
                <w:sz w:val="16"/>
                <w:szCs w:val="16"/>
              </w:rPr>
            </w:pPr>
          </w:p>
          <w:p w14:paraId="4D898FCB" w14:textId="439E465B" w:rsidR="002F0B13" w:rsidRPr="000A23F9" w:rsidRDefault="00EA18BF" w:rsidP="0013680B">
            <w:pPr>
              <w:spacing w:before="60" w:after="60"/>
              <w:jc w:val="center"/>
              <w:rPr>
                <w:rFonts w:cs="Times New Roman"/>
                <w:sz w:val="16"/>
                <w:szCs w:val="16"/>
              </w:rPr>
            </w:pPr>
            <w:r>
              <w:rPr>
                <w:noProof/>
                <w:lang w:val="en-AU" w:eastAsia="en-AU"/>
              </w:rPr>
              <w:drawing>
                <wp:inline distT="0" distB="0" distL="0" distR="0" wp14:anchorId="29FDF77D" wp14:editId="0F0C3581">
                  <wp:extent cx="6030595" cy="235013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0595" cy="2350135"/>
                          </a:xfrm>
                          <a:prstGeom prst="rect">
                            <a:avLst/>
                          </a:prstGeom>
                        </pic:spPr>
                      </pic:pic>
                    </a:graphicData>
                  </a:graphic>
                </wp:inline>
              </w:drawing>
            </w:r>
          </w:p>
          <w:p w14:paraId="315E46D3" w14:textId="77777777" w:rsidR="002F0B13" w:rsidRPr="000A23F9" w:rsidRDefault="002F0B13" w:rsidP="0013680B">
            <w:pPr>
              <w:spacing w:before="60" w:after="60"/>
              <w:jc w:val="center"/>
              <w:rPr>
                <w:rFonts w:cs="Times New Roman"/>
                <w:sz w:val="16"/>
                <w:szCs w:val="16"/>
              </w:rPr>
            </w:pPr>
          </w:p>
        </w:tc>
      </w:tr>
      <w:tr w:rsidR="002F0B13" w:rsidRPr="000A23F9" w14:paraId="077F0D0F" w14:textId="77777777" w:rsidTr="0013680B">
        <w:tc>
          <w:tcPr>
            <w:tcW w:w="9759" w:type="dxa"/>
            <w:vAlign w:val="center"/>
          </w:tcPr>
          <w:p w14:paraId="26C24FE0" w14:textId="628C0576" w:rsidR="002F0B13" w:rsidRPr="00290841" w:rsidRDefault="00290841" w:rsidP="00290841">
            <w:pPr>
              <w:pStyle w:val="Caption"/>
            </w:pPr>
            <w:bookmarkStart w:id="110" w:name="_Toc525141351"/>
            <w:r w:rsidRPr="00290841">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20</w:t>
            </w:r>
            <w:r w:rsidR="009D6843">
              <w:rPr>
                <w:noProof/>
              </w:rPr>
              <w:fldChar w:fldCharType="end"/>
            </w:r>
            <w:r w:rsidRPr="00290841">
              <w:t xml:space="preserve">: </w:t>
            </w:r>
            <w:r w:rsidR="002F0B13" w:rsidRPr="00290841">
              <w:rPr>
                <w:bCs w:val="0"/>
              </w:rPr>
              <w:t>Refrigerant bank (</w:t>
            </w:r>
            <w:r w:rsidR="00380B85" w:rsidRPr="00290841">
              <w:rPr>
                <w:bCs w:val="0"/>
              </w:rPr>
              <w:t>e</w:t>
            </w:r>
            <w:r w:rsidR="002F0B13" w:rsidRPr="00290841">
              <w:rPr>
                <w:bCs w:val="0"/>
              </w:rPr>
              <w:t xml:space="preserve">quivalent) </w:t>
            </w:r>
            <w:r w:rsidR="00380B85" w:rsidRPr="00290841">
              <w:rPr>
                <w:bCs w:val="0"/>
              </w:rPr>
              <w:t>by s</w:t>
            </w:r>
            <w:r w:rsidR="002F0B13" w:rsidRPr="00290841">
              <w:rPr>
                <w:bCs w:val="0"/>
              </w:rPr>
              <w:t>pecies from 2016 to 2030 in tonnes.</w:t>
            </w:r>
            <w:bookmarkEnd w:id="110"/>
          </w:p>
        </w:tc>
      </w:tr>
    </w:tbl>
    <w:p w14:paraId="3024B345" w14:textId="25185F31"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0AFE2819" w14:textId="77777777" w:rsidR="002F0B13" w:rsidRDefault="002F0B13" w:rsidP="002F0B13">
      <w:pPr>
        <w:rPr>
          <w:rFonts w:cs="Times New Roman"/>
        </w:rPr>
      </w:pPr>
    </w:p>
    <w:p w14:paraId="53550C3D" w14:textId="34492068" w:rsidR="002F0B13" w:rsidRPr="00A949CD" w:rsidRDefault="002F0B13" w:rsidP="002F0B13">
      <w:pPr>
        <w:snapToGrid w:val="0"/>
        <w:rPr>
          <w:rFonts w:cs="Times New Roman"/>
          <w:szCs w:val="22"/>
        </w:rPr>
      </w:pPr>
      <w:r w:rsidRPr="00A949CD">
        <w:rPr>
          <w:rFonts w:cs="Times New Roman"/>
          <w:szCs w:val="22"/>
        </w:rPr>
        <w:t>As can be seen</w:t>
      </w:r>
      <w:r w:rsidR="00705B36">
        <w:rPr>
          <w:rFonts w:cs="Times New Roman"/>
          <w:szCs w:val="22"/>
        </w:rPr>
        <w:t>,</w:t>
      </w:r>
      <w:r w:rsidRPr="00A949CD">
        <w:rPr>
          <w:rFonts w:cs="Times New Roman"/>
          <w:szCs w:val="22"/>
        </w:rPr>
        <w:t xml:space="preserve"> the ‘equivalent’ bank, in the absence of refrigerants</w:t>
      </w:r>
      <w:r w:rsidR="001064B4">
        <w:rPr>
          <w:rFonts w:cs="Times New Roman"/>
          <w:szCs w:val="22"/>
        </w:rPr>
        <w:t xml:space="preserve"> with a GWP&lt;10</w:t>
      </w:r>
      <w:r w:rsidRPr="00A949CD">
        <w:rPr>
          <w:rFonts w:cs="Times New Roman"/>
          <w:szCs w:val="22"/>
        </w:rPr>
        <w:t xml:space="preserve">, such as HCs in domestic refrigerators, would have been nearly 2,400 metric tonnes larger in 2030, equal to an additional </w:t>
      </w:r>
      <w:r>
        <w:rPr>
          <w:rFonts w:cs="Times New Roman"/>
          <w:szCs w:val="22"/>
        </w:rPr>
        <w:t>3.4</w:t>
      </w:r>
      <w:r w:rsidRPr="00A949CD">
        <w:rPr>
          <w:rFonts w:cs="Times New Roman"/>
          <w:szCs w:val="22"/>
        </w:rPr>
        <w:t xml:space="preserve"> million tonnes of CO</w:t>
      </w:r>
      <w:r w:rsidRPr="00A949CD">
        <w:rPr>
          <w:rFonts w:cs="Times New Roman"/>
          <w:szCs w:val="22"/>
          <w:vertAlign w:val="subscript"/>
        </w:rPr>
        <w:t>2</w:t>
      </w:r>
      <w:r w:rsidRPr="00A949CD">
        <w:rPr>
          <w:rFonts w:cs="Times New Roman"/>
          <w:szCs w:val="22"/>
        </w:rPr>
        <w:t xml:space="preserve">e at that time. </w:t>
      </w:r>
    </w:p>
    <w:p w14:paraId="00C3731B" w14:textId="77777777" w:rsidR="002F0B13" w:rsidRPr="00A949CD" w:rsidRDefault="002F0B13" w:rsidP="002F0B13">
      <w:pPr>
        <w:snapToGrid w:val="0"/>
        <w:rPr>
          <w:rFonts w:cs="Times New Roman"/>
          <w:szCs w:val="22"/>
        </w:rPr>
      </w:pPr>
      <w:r w:rsidRPr="00A949CD">
        <w:rPr>
          <w:rFonts w:cs="Times New Roman"/>
          <w:szCs w:val="22"/>
        </w:rPr>
        <w:t>The projections above have been built from projections of the bank employed in each major class of equipment, themselves involving projections of refrigerant demand and use in many of the smaller equipment segments.</w:t>
      </w:r>
    </w:p>
    <w:p w14:paraId="65237859" w14:textId="77777777" w:rsidR="002F0B13" w:rsidRDefault="002F0B13" w:rsidP="002F0B13">
      <w:pPr>
        <w:snapToGrid w:val="0"/>
        <w:rPr>
          <w:rFonts w:cs="Times New Roman"/>
          <w:szCs w:val="22"/>
        </w:rPr>
      </w:pPr>
      <w:r w:rsidRPr="00A949CD">
        <w:rPr>
          <w:rFonts w:cs="Times New Roman"/>
          <w:szCs w:val="22"/>
        </w:rPr>
        <w:t xml:space="preserve">All of the main classes and many of the segment projections are </w:t>
      </w:r>
      <w:r>
        <w:rPr>
          <w:rFonts w:cs="Times New Roman"/>
          <w:szCs w:val="22"/>
        </w:rPr>
        <w:t>in the sections to follow with s</w:t>
      </w:r>
      <w:r w:rsidRPr="00A949CD">
        <w:rPr>
          <w:rFonts w:cs="Times New Roman"/>
          <w:szCs w:val="22"/>
        </w:rPr>
        <w:t xml:space="preserve">ome commentary alongside </w:t>
      </w:r>
      <w:r>
        <w:rPr>
          <w:rFonts w:cs="Times New Roman"/>
        </w:rPr>
        <w:t>each</w:t>
      </w:r>
      <w:r w:rsidRPr="00A949CD">
        <w:rPr>
          <w:rFonts w:cs="Times New Roman"/>
          <w:szCs w:val="22"/>
        </w:rPr>
        <w:t xml:space="preserve"> projection.</w:t>
      </w:r>
    </w:p>
    <w:p w14:paraId="1CCCC840" w14:textId="77777777" w:rsidR="002F0B13" w:rsidRDefault="002F0B13" w:rsidP="002F0B13">
      <w:pPr>
        <w:snapToGrid w:val="0"/>
        <w:rPr>
          <w:rFonts w:cs="Times New Roman"/>
          <w:szCs w:val="22"/>
        </w:rPr>
      </w:pPr>
    </w:p>
    <w:p w14:paraId="73E5265D" w14:textId="77777777" w:rsidR="00EC76EA" w:rsidRDefault="00EC76EA">
      <w:pPr>
        <w:spacing w:before="0"/>
        <w:jc w:val="left"/>
        <w:rPr>
          <w:rFonts w:ascii="Calibri" w:eastAsia="Times New Roman" w:hAnsi="Calibri" w:cs="Times New Roman"/>
          <w:b/>
          <w:bCs/>
          <w:i/>
          <w:iCs/>
          <w:sz w:val="28"/>
          <w:szCs w:val="28"/>
          <w:lang w:val="en-US"/>
        </w:rPr>
      </w:pPr>
      <w:bookmarkStart w:id="111" w:name="_Toc507507792"/>
      <w:bookmarkStart w:id="112" w:name="_Toc525141285"/>
      <w:r>
        <w:br w:type="page"/>
      </w:r>
    </w:p>
    <w:p w14:paraId="772AFCFD" w14:textId="3C57159E" w:rsidR="002F0B13" w:rsidRPr="00840CD9" w:rsidRDefault="002F0B13" w:rsidP="002F0B13">
      <w:pPr>
        <w:pStyle w:val="Heading2"/>
      </w:pPr>
      <w:r w:rsidRPr="00840CD9">
        <w:t>Stationary AC</w:t>
      </w:r>
      <w:bookmarkEnd w:id="111"/>
      <w:bookmarkEnd w:id="112"/>
    </w:p>
    <w:p w14:paraId="47386986" w14:textId="7FCBFCD3" w:rsidR="002F0B13" w:rsidRPr="00A949CD" w:rsidRDefault="002F0B13" w:rsidP="002F0B13">
      <w:pPr>
        <w:snapToGrid w:val="0"/>
        <w:rPr>
          <w:rFonts w:cs="Times New Roman"/>
          <w:szCs w:val="22"/>
        </w:rPr>
      </w:pPr>
      <w:r w:rsidRPr="00A949CD">
        <w:rPr>
          <w:rFonts w:cs="Times New Roman"/>
          <w:szCs w:val="22"/>
        </w:rPr>
        <w:t xml:space="preserve">Overall the </w:t>
      </w:r>
      <w:r w:rsidR="009F4CB3">
        <w:rPr>
          <w:rFonts w:cs="Times New Roman"/>
          <w:szCs w:val="22"/>
        </w:rPr>
        <w:t>refrigerant bank</w:t>
      </w:r>
      <w:r w:rsidRPr="00A949CD">
        <w:rPr>
          <w:rFonts w:cs="Times New Roman"/>
          <w:szCs w:val="22"/>
        </w:rPr>
        <w:t xml:space="preserve"> in stationary air conditioning, across all segments from the very small self-contained units to the largest chillers, is predicted to expand by nearly 50% between 2016 and 2030 to more than 46,700 metric tonnes, representing more than 6</w:t>
      </w:r>
      <w:r w:rsidR="00EA18BF">
        <w:rPr>
          <w:rFonts w:cs="Times New Roman"/>
          <w:szCs w:val="22"/>
        </w:rPr>
        <w:t>7</w:t>
      </w:r>
      <w:r w:rsidRPr="00A949CD">
        <w:rPr>
          <w:rFonts w:cs="Times New Roman"/>
          <w:szCs w:val="22"/>
        </w:rPr>
        <w:t xml:space="preserve">% of the total </w:t>
      </w:r>
      <w:r w:rsidR="009F4CB3">
        <w:rPr>
          <w:rFonts w:cs="Times New Roman"/>
          <w:szCs w:val="22"/>
        </w:rPr>
        <w:t>refrigerant bank</w:t>
      </w:r>
      <w:r w:rsidRPr="00A949CD">
        <w:rPr>
          <w:rFonts w:cs="Times New Roman"/>
          <w:szCs w:val="22"/>
        </w:rPr>
        <w:t xml:space="preserve"> in 2030, an increase in bank share for </w:t>
      </w:r>
      <w:r>
        <w:rPr>
          <w:rFonts w:cs="Times New Roman"/>
          <w:szCs w:val="22"/>
        </w:rPr>
        <w:t xml:space="preserve">stationary </w:t>
      </w:r>
      <w:r w:rsidRPr="00A949CD">
        <w:rPr>
          <w:rFonts w:cs="Times New Roman"/>
          <w:szCs w:val="22"/>
        </w:rPr>
        <w:t xml:space="preserve">AC from slightly more than 60% in 2016. </w:t>
      </w:r>
    </w:p>
    <w:p w14:paraId="5A351E02" w14:textId="77777777" w:rsidR="002F0B13" w:rsidRDefault="002F0B13" w:rsidP="002F0B13">
      <w:pPr>
        <w:spacing w:before="0" w:after="120"/>
        <w:jc w:val="left"/>
        <w:rPr>
          <w:rFonts w:cs="Times New Roman"/>
          <w:b/>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50A6F9FE" w14:textId="77777777" w:rsidTr="0013680B">
        <w:tc>
          <w:tcPr>
            <w:tcW w:w="9759" w:type="dxa"/>
            <w:vAlign w:val="center"/>
          </w:tcPr>
          <w:p w14:paraId="42CD14E2" w14:textId="45F87688" w:rsidR="002F0B13" w:rsidRPr="000A23F9" w:rsidRDefault="002F0B13" w:rsidP="0013680B">
            <w:pPr>
              <w:spacing w:after="120"/>
              <w:jc w:val="center"/>
              <w:rPr>
                <w:rFonts w:cs="Times New Roman"/>
                <w:b/>
              </w:rPr>
            </w:pPr>
            <w:r w:rsidRPr="000A23F9">
              <w:rPr>
                <w:rFonts w:cs="Times New Roman"/>
                <w:b/>
              </w:rPr>
              <w:br w:type="page"/>
            </w:r>
            <w:r w:rsidR="00380B85">
              <w:rPr>
                <w:rFonts w:cs="Times New Roman"/>
                <w:b/>
              </w:rPr>
              <w:t>Bank (actual)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380B85">
              <w:rPr>
                <w:rFonts w:cs="Times New Roman"/>
                <w:b/>
              </w:rPr>
              <w:t xml:space="preserve"> (t</w:t>
            </w:r>
            <w:r w:rsidRPr="000A23F9">
              <w:rPr>
                <w:rFonts w:cs="Times New Roman"/>
                <w:b/>
              </w:rPr>
              <w:t>onnes)</w:t>
            </w:r>
          </w:p>
        </w:tc>
      </w:tr>
      <w:tr w:rsidR="002F0B13" w:rsidRPr="000A23F9" w14:paraId="0A501603" w14:textId="77777777" w:rsidTr="00D33F7E">
        <w:tc>
          <w:tcPr>
            <w:tcW w:w="9759" w:type="dxa"/>
            <w:vAlign w:val="center"/>
          </w:tcPr>
          <w:p w14:paraId="30D16196" w14:textId="77777777" w:rsidR="002F0B13" w:rsidRPr="000A23F9" w:rsidRDefault="002F0B13" w:rsidP="0013680B">
            <w:pPr>
              <w:spacing w:before="60" w:after="60"/>
              <w:jc w:val="center"/>
              <w:rPr>
                <w:rFonts w:cs="Times New Roman"/>
                <w:sz w:val="16"/>
                <w:szCs w:val="16"/>
              </w:rPr>
            </w:pPr>
          </w:p>
          <w:p w14:paraId="6B9988F0" w14:textId="58243494" w:rsidR="002F0B13" w:rsidRPr="000A23F9" w:rsidRDefault="00D33F7E" w:rsidP="0013680B">
            <w:pPr>
              <w:spacing w:before="60" w:after="60"/>
              <w:jc w:val="center"/>
              <w:rPr>
                <w:rFonts w:cs="Times New Roman"/>
                <w:sz w:val="16"/>
                <w:szCs w:val="16"/>
              </w:rPr>
            </w:pPr>
            <w:r>
              <w:rPr>
                <w:noProof/>
                <w:lang w:val="en-AU" w:eastAsia="en-AU"/>
              </w:rPr>
              <w:drawing>
                <wp:inline distT="0" distB="0" distL="0" distR="0" wp14:anchorId="0001F4D3" wp14:editId="6619FB12">
                  <wp:extent cx="6030595" cy="235013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30595" cy="2350135"/>
                          </a:xfrm>
                          <a:prstGeom prst="rect">
                            <a:avLst/>
                          </a:prstGeom>
                        </pic:spPr>
                      </pic:pic>
                    </a:graphicData>
                  </a:graphic>
                </wp:inline>
              </w:drawing>
            </w:r>
          </w:p>
          <w:p w14:paraId="7C274A08" w14:textId="77777777" w:rsidR="002F0B13" w:rsidRPr="000A23F9" w:rsidRDefault="002F0B13" w:rsidP="0013680B">
            <w:pPr>
              <w:spacing w:before="60" w:after="60"/>
              <w:jc w:val="center"/>
              <w:rPr>
                <w:rFonts w:cs="Times New Roman"/>
                <w:sz w:val="16"/>
                <w:szCs w:val="16"/>
              </w:rPr>
            </w:pPr>
          </w:p>
        </w:tc>
      </w:tr>
      <w:tr w:rsidR="002F0B13" w:rsidRPr="000A23F9" w14:paraId="057EA26C" w14:textId="77777777" w:rsidTr="0013680B">
        <w:tc>
          <w:tcPr>
            <w:tcW w:w="9759" w:type="dxa"/>
            <w:vAlign w:val="center"/>
          </w:tcPr>
          <w:p w14:paraId="3D69235E" w14:textId="4345AAD4" w:rsidR="002F0B13" w:rsidRPr="00290841" w:rsidRDefault="00290841" w:rsidP="00290841">
            <w:pPr>
              <w:pStyle w:val="Caption"/>
            </w:pPr>
            <w:bookmarkStart w:id="113" w:name="_Toc525141352"/>
            <w:r w:rsidRPr="00290841">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21</w:t>
            </w:r>
            <w:r w:rsidR="009D6843">
              <w:rPr>
                <w:noProof/>
              </w:rPr>
              <w:fldChar w:fldCharType="end"/>
            </w:r>
            <w:r w:rsidRPr="00290841">
              <w:t xml:space="preserve">: </w:t>
            </w:r>
            <w:r w:rsidR="002F0B13" w:rsidRPr="00290841">
              <w:rPr>
                <w:bCs w:val="0"/>
              </w:rPr>
              <w:t xml:space="preserve">Stationary AC refrigerant bank </w:t>
            </w:r>
            <w:r w:rsidR="00A0109B" w:rsidRPr="00290841">
              <w:rPr>
                <w:bCs w:val="0"/>
              </w:rPr>
              <w:t>(a</w:t>
            </w:r>
            <w:r w:rsidR="002F0B13" w:rsidRPr="00290841">
              <w:rPr>
                <w:bCs w:val="0"/>
              </w:rPr>
              <w:t xml:space="preserve">ctual) </w:t>
            </w:r>
            <w:r w:rsidR="00A0109B" w:rsidRPr="00290841">
              <w:rPr>
                <w:bCs w:val="0"/>
              </w:rPr>
              <w:t>by s</w:t>
            </w:r>
            <w:r w:rsidR="002F0B13" w:rsidRPr="00290841">
              <w:rPr>
                <w:bCs w:val="0"/>
              </w:rPr>
              <w:t>pecies from 2016 to 2030 in tonnes.</w:t>
            </w:r>
            <w:bookmarkEnd w:id="113"/>
          </w:p>
        </w:tc>
      </w:tr>
    </w:tbl>
    <w:p w14:paraId="6629B178" w14:textId="27102B88"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688A3730" w14:textId="77777777" w:rsidR="002F0B13" w:rsidRDefault="002F0B13" w:rsidP="002F0B13">
      <w:pPr>
        <w:snapToGrid w:val="0"/>
        <w:rPr>
          <w:rFonts w:cs="Times New Roman"/>
          <w:szCs w:val="22"/>
        </w:rPr>
      </w:pPr>
    </w:p>
    <w:p w14:paraId="19740A2D" w14:textId="77777777" w:rsidR="002F0B13" w:rsidRPr="00A949CD" w:rsidRDefault="002F0B13" w:rsidP="002F0B13">
      <w:pPr>
        <w:snapToGrid w:val="0"/>
        <w:rPr>
          <w:rFonts w:cs="Times New Roman"/>
          <w:szCs w:val="22"/>
        </w:rPr>
      </w:pPr>
      <w:r w:rsidRPr="00A949CD">
        <w:rPr>
          <w:rFonts w:cs="Times New Roman"/>
          <w:szCs w:val="22"/>
        </w:rPr>
        <w:t xml:space="preserve">Two of the main high GWP HFCs are expected to maintain a significant presence in the </w:t>
      </w:r>
      <w:r>
        <w:rPr>
          <w:rFonts w:cs="Times New Roman"/>
          <w:szCs w:val="22"/>
        </w:rPr>
        <w:t xml:space="preserve">stationary </w:t>
      </w:r>
      <w:r w:rsidRPr="00A949CD">
        <w:rPr>
          <w:rFonts w:cs="Times New Roman"/>
          <w:szCs w:val="22"/>
        </w:rPr>
        <w:t xml:space="preserve">AC </w:t>
      </w:r>
      <w:r>
        <w:rPr>
          <w:rFonts w:cs="Times New Roman"/>
          <w:szCs w:val="22"/>
        </w:rPr>
        <w:t>bank over the projection period:</w:t>
      </w:r>
    </w:p>
    <w:p w14:paraId="13B71CBE" w14:textId="77777777"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HFC-410A to grow from more than 18,500 metric tonnes in 2016 to a peak of more than 22,450 metric tonnes in 2021 before declining to around 17,500 metric tonnes in 2030; and,</w:t>
      </w:r>
    </w:p>
    <w:p w14:paraId="72D667EE" w14:textId="77777777"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Pr>
          <w:rFonts w:ascii="Times New Roman" w:hAnsi="Times New Roman"/>
        </w:rPr>
        <w:t>H</w:t>
      </w:r>
      <w:r w:rsidRPr="00A949CD">
        <w:rPr>
          <w:rFonts w:ascii="Times New Roman" w:hAnsi="Times New Roman"/>
        </w:rPr>
        <w:t>FC-134a to grow from around 2,550 metric tonnes in 2016 to a peak of nearly 3,200 metric tonnes in 2023 before declining to around 2,700 metric tonnes at the end of the projection period.</w:t>
      </w:r>
    </w:p>
    <w:p w14:paraId="265E1D88" w14:textId="0D855924" w:rsidR="002F0B13" w:rsidRPr="00A949CD" w:rsidRDefault="002F0B13" w:rsidP="002F0B13">
      <w:pPr>
        <w:snapToGrid w:val="0"/>
        <w:rPr>
          <w:rFonts w:cs="Times New Roman"/>
          <w:szCs w:val="22"/>
        </w:rPr>
      </w:pPr>
      <w:r w:rsidRPr="00A949CD">
        <w:rPr>
          <w:rFonts w:cs="Times New Roman"/>
          <w:szCs w:val="22"/>
        </w:rPr>
        <w:t>Over the same period the rapid growth of HFC-32 in the small AC</w:t>
      </w:r>
      <w:r>
        <w:rPr>
          <w:rFonts w:cs="Times New Roman"/>
          <w:szCs w:val="22"/>
        </w:rPr>
        <w:t>: split</w:t>
      </w:r>
      <w:r w:rsidRPr="00A949CD">
        <w:rPr>
          <w:rFonts w:cs="Times New Roman"/>
          <w:szCs w:val="22"/>
        </w:rPr>
        <w:t xml:space="preserve"> segment, capping growth of the much higher GWP HFC-410A, plus larger falls in CO</w:t>
      </w:r>
      <w:r w:rsidRPr="001438BF">
        <w:rPr>
          <w:rFonts w:cs="Times New Roman"/>
          <w:szCs w:val="22"/>
          <w:vertAlign w:val="subscript"/>
        </w:rPr>
        <w:t>2</w:t>
      </w:r>
      <w:r w:rsidRPr="00A949CD">
        <w:rPr>
          <w:rFonts w:cs="Times New Roman"/>
          <w:szCs w:val="22"/>
        </w:rPr>
        <w:t xml:space="preserve">e intensity of the </w:t>
      </w:r>
      <w:r>
        <w:rPr>
          <w:rFonts w:cs="Times New Roman"/>
          <w:szCs w:val="22"/>
        </w:rPr>
        <w:t xml:space="preserve">stationary </w:t>
      </w:r>
      <w:r w:rsidRPr="00A949CD">
        <w:rPr>
          <w:rFonts w:cs="Times New Roman"/>
          <w:szCs w:val="22"/>
        </w:rPr>
        <w:t xml:space="preserve">AC bank, helps cap the </w:t>
      </w:r>
      <w:r w:rsidR="001B2762">
        <w:rPr>
          <w:rFonts w:cs="Times New Roman"/>
          <w:szCs w:val="22"/>
        </w:rPr>
        <w:t xml:space="preserve">bank </w:t>
      </w:r>
      <w:r w:rsidRPr="00A949CD">
        <w:rPr>
          <w:rFonts w:cs="Times New Roman"/>
          <w:szCs w:val="22"/>
        </w:rPr>
        <w:t xml:space="preserve">growth </w:t>
      </w:r>
      <w:r>
        <w:rPr>
          <w:rFonts w:cs="Times New Roman"/>
          <w:szCs w:val="22"/>
        </w:rPr>
        <w:t xml:space="preserve">in </w:t>
      </w:r>
      <w:r w:rsidRPr="00A949CD">
        <w:rPr>
          <w:rFonts w:cs="Times New Roman"/>
          <w:szCs w:val="22"/>
        </w:rPr>
        <w:t>CO</w:t>
      </w:r>
      <w:r w:rsidRPr="001438BF">
        <w:rPr>
          <w:rFonts w:cs="Times New Roman"/>
          <w:szCs w:val="22"/>
          <w:vertAlign w:val="subscript"/>
        </w:rPr>
        <w:t>2</w:t>
      </w:r>
      <w:r w:rsidRPr="00A949CD">
        <w:rPr>
          <w:rFonts w:cs="Times New Roman"/>
          <w:szCs w:val="22"/>
        </w:rPr>
        <w:t xml:space="preserve">e value </w:t>
      </w:r>
      <w:r>
        <w:rPr>
          <w:rFonts w:cs="Times New Roman"/>
          <w:szCs w:val="22"/>
        </w:rPr>
        <w:t>terms with a</w:t>
      </w:r>
      <w:r w:rsidRPr="00A949CD">
        <w:rPr>
          <w:rFonts w:cs="Times New Roman"/>
          <w:szCs w:val="22"/>
        </w:rPr>
        <w:t xml:space="preserve"> slight fall over the 1</w:t>
      </w:r>
      <w:r>
        <w:rPr>
          <w:rFonts w:cs="Times New Roman"/>
          <w:szCs w:val="22"/>
        </w:rPr>
        <w:t>4</w:t>
      </w:r>
      <w:r w:rsidRPr="00A949CD">
        <w:rPr>
          <w:rFonts w:cs="Times New Roman"/>
          <w:szCs w:val="22"/>
        </w:rPr>
        <w:t xml:space="preserve"> years of the projec</w:t>
      </w:r>
      <w:r>
        <w:rPr>
          <w:rFonts w:cs="Times New Roman"/>
          <w:szCs w:val="22"/>
        </w:rPr>
        <w:t>tion period of approximately 3</w:t>
      </w:r>
      <w:r w:rsidRPr="00A949CD">
        <w:rPr>
          <w:rFonts w:cs="Times New Roman"/>
          <w:szCs w:val="22"/>
        </w:rPr>
        <w:t>%, to some 57.3 million tonnes of CO</w:t>
      </w:r>
      <w:r w:rsidRPr="001438BF">
        <w:rPr>
          <w:rFonts w:cs="Times New Roman"/>
          <w:szCs w:val="22"/>
          <w:vertAlign w:val="subscript"/>
        </w:rPr>
        <w:t>2</w:t>
      </w:r>
      <w:r w:rsidRPr="00A949CD">
        <w:rPr>
          <w:rFonts w:cs="Times New Roman"/>
          <w:szCs w:val="22"/>
        </w:rPr>
        <w:t>e from the 2016 value of just more than 59 million tonnes CO</w:t>
      </w:r>
      <w:r w:rsidRPr="001438BF">
        <w:rPr>
          <w:rFonts w:cs="Times New Roman"/>
          <w:szCs w:val="22"/>
          <w:vertAlign w:val="subscript"/>
        </w:rPr>
        <w:t>2</w:t>
      </w:r>
      <w:r w:rsidRPr="00A949CD">
        <w:rPr>
          <w:rFonts w:cs="Times New Roman"/>
          <w:szCs w:val="22"/>
        </w:rPr>
        <w:t xml:space="preserve">e. </w:t>
      </w:r>
    </w:p>
    <w:p w14:paraId="039FBEDB" w14:textId="40CB8E8F" w:rsidR="002F0B13" w:rsidRPr="00A949CD" w:rsidRDefault="009F5EAE" w:rsidP="002F0B13">
      <w:pPr>
        <w:snapToGrid w:val="0"/>
        <w:rPr>
          <w:rFonts w:cs="Times New Roman"/>
          <w:szCs w:val="22"/>
        </w:rPr>
      </w:pPr>
      <w:r w:rsidRPr="00A949CD">
        <w:rPr>
          <w:rFonts w:cs="Times New Roman"/>
          <w:szCs w:val="22"/>
        </w:rPr>
        <w:t>However,</w:t>
      </w:r>
      <w:r w:rsidR="002F0B13" w:rsidRPr="00A949CD">
        <w:rPr>
          <w:rFonts w:cs="Times New Roman"/>
          <w:szCs w:val="22"/>
        </w:rPr>
        <w:t xml:space="preserve"> the projection suggests the total CO</w:t>
      </w:r>
      <w:r w:rsidR="002F0B13" w:rsidRPr="001438BF">
        <w:rPr>
          <w:rFonts w:cs="Times New Roman"/>
          <w:szCs w:val="22"/>
          <w:vertAlign w:val="subscript"/>
        </w:rPr>
        <w:t>2</w:t>
      </w:r>
      <w:r w:rsidR="002F0B13">
        <w:rPr>
          <w:rFonts w:cs="Times New Roman"/>
          <w:szCs w:val="22"/>
        </w:rPr>
        <w:t>e value of the s</w:t>
      </w:r>
      <w:r w:rsidR="002F0B13" w:rsidRPr="00A949CD">
        <w:rPr>
          <w:rFonts w:cs="Times New Roman"/>
          <w:szCs w:val="22"/>
        </w:rPr>
        <w:t xml:space="preserve">tationary AC </w:t>
      </w:r>
      <w:r w:rsidR="002F0B13">
        <w:rPr>
          <w:rFonts w:cs="Times New Roman"/>
          <w:szCs w:val="22"/>
        </w:rPr>
        <w:t xml:space="preserve">bank </w:t>
      </w:r>
      <w:r w:rsidR="00EA18BF">
        <w:rPr>
          <w:rFonts w:cs="Times New Roman"/>
          <w:szCs w:val="22"/>
        </w:rPr>
        <w:t>will peak at more than 62.7</w:t>
      </w:r>
      <w:r w:rsidR="002F0B13" w:rsidRPr="00A949CD">
        <w:rPr>
          <w:rFonts w:cs="Times New Roman"/>
          <w:szCs w:val="22"/>
        </w:rPr>
        <w:t xml:space="preserve"> million tonnes CO</w:t>
      </w:r>
      <w:r w:rsidR="002F0B13" w:rsidRPr="001438BF">
        <w:rPr>
          <w:rFonts w:cs="Times New Roman"/>
          <w:szCs w:val="22"/>
          <w:vertAlign w:val="subscript"/>
        </w:rPr>
        <w:t>2</w:t>
      </w:r>
      <w:r w:rsidR="002F0B13" w:rsidRPr="00A949CD">
        <w:rPr>
          <w:rFonts w:cs="Times New Roman"/>
          <w:szCs w:val="22"/>
        </w:rPr>
        <w:t>e in 2020 before slowly falling throughout the following decade.</w:t>
      </w:r>
    </w:p>
    <w:p w14:paraId="22697FDF" w14:textId="77777777" w:rsidR="002F0B13" w:rsidRDefault="002F0B13" w:rsidP="002F0B13">
      <w:pPr>
        <w:rPr>
          <w:rFonts w:cs="Times New Roman"/>
        </w:rPr>
      </w:pPr>
    </w:p>
    <w:p w14:paraId="08BAE61C" w14:textId="0C454E02" w:rsidR="001E7E4A" w:rsidRDefault="001E7E4A" w:rsidP="002F0B13">
      <w:pPr>
        <w:rPr>
          <w:rFonts w:cs="Times New Roman"/>
        </w:rPr>
      </w:pPr>
    </w:p>
    <w:p w14:paraId="252EB793" w14:textId="77777777" w:rsidR="001E7E4A" w:rsidRDefault="001E7E4A" w:rsidP="002F0B13">
      <w:pPr>
        <w:rPr>
          <w:rFonts w:cs="Times New Roman"/>
        </w:rPr>
      </w:pPr>
    </w:p>
    <w:p w14:paraId="1871B735" w14:textId="77777777" w:rsidR="001E7E4A" w:rsidRDefault="001E7E4A" w:rsidP="002F0B13">
      <w:pPr>
        <w:rPr>
          <w:rFonts w:cs="Times New Roman"/>
        </w:rPr>
      </w:pPr>
    </w:p>
    <w:p w14:paraId="30C96C9F" w14:textId="77777777" w:rsidR="001E7E4A" w:rsidRDefault="001E7E4A" w:rsidP="002F0B13">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0013BA3C" w14:textId="77777777" w:rsidTr="0013680B">
        <w:tc>
          <w:tcPr>
            <w:tcW w:w="9759" w:type="dxa"/>
            <w:vAlign w:val="center"/>
          </w:tcPr>
          <w:p w14:paraId="445B5D36" w14:textId="196DCE9B" w:rsidR="002F0B13" w:rsidRPr="000A23F9" w:rsidRDefault="002F0B13" w:rsidP="0013680B">
            <w:pPr>
              <w:spacing w:after="120"/>
              <w:jc w:val="center"/>
              <w:rPr>
                <w:rFonts w:cs="Times New Roman"/>
                <w:b/>
              </w:rPr>
            </w:pPr>
            <w:r w:rsidRPr="000A23F9">
              <w:rPr>
                <w:rFonts w:cs="Times New Roman"/>
                <w:b/>
              </w:rPr>
              <w:br w:type="page"/>
            </w:r>
            <w:r w:rsidR="009F5EAE">
              <w:rPr>
                <w:rFonts w:cs="Times New Roman"/>
                <w:b/>
              </w:rPr>
              <w:t>Stationary</w:t>
            </w:r>
            <w:r w:rsidR="00A0109B">
              <w:rPr>
                <w:rFonts w:cs="Times New Roman"/>
                <w:b/>
              </w:rPr>
              <w:t xml:space="preserve"> AC b</w:t>
            </w:r>
            <w:r>
              <w:rPr>
                <w:rFonts w:cs="Times New Roman"/>
                <w:b/>
              </w:rPr>
              <w:t>ank (</w:t>
            </w:r>
            <w:r w:rsidR="00A0109B">
              <w:rPr>
                <w:rFonts w:cs="Times New Roman"/>
                <w:b/>
              </w:rPr>
              <w:t>actual)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sidRPr="008C0DBA">
              <w:rPr>
                <w:rFonts w:cs="Times New Roman"/>
                <w:b/>
              </w:rPr>
              <w:t>Mt CO</w:t>
            </w:r>
            <w:r w:rsidRPr="008C0DBA">
              <w:rPr>
                <w:rFonts w:cs="Times New Roman"/>
                <w:b/>
                <w:vertAlign w:val="subscript"/>
              </w:rPr>
              <w:t>2</w:t>
            </w:r>
            <w:r w:rsidRPr="008C0DBA">
              <w:rPr>
                <w:rFonts w:cs="Times New Roman"/>
                <w:b/>
              </w:rPr>
              <w:t>e</w:t>
            </w:r>
            <w:r w:rsidRPr="000A23F9">
              <w:rPr>
                <w:rFonts w:cs="Times New Roman"/>
                <w:b/>
              </w:rPr>
              <w:t>)</w:t>
            </w:r>
          </w:p>
        </w:tc>
      </w:tr>
      <w:tr w:rsidR="002F0B13" w:rsidRPr="000A23F9" w14:paraId="0FBDF58B" w14:textId="77777777" w:rsidTr="0013680B">
        <w:tc>
          <w:tcPr>
            <w:tcW w:w="9759" w:type="dxa"/>
            <w:vAlign w:val="center"/>
          </w:tcPr>
          <w:p w14:paraId="0FDC4C91" w14:textId="77777777" w:rsidR="002F0B13" w:rsidRPr="000A23F9" w:rsidRDefault="002F0B13" w:rsidP="0013680B">
            <w:pPr>
              <w:spacing w:before="60" w:after="60"/>
              <w:jc w:val="center"/>
              <w:rPr>
                <w:rFonts w:cs="Times New Roman"/>
                <w:sz w:val="16"/>
                <w:szCs w:val="16"/>
              </w:rPr>
            </w:pPr>
          </w:p>
          <w:p w14:paraId="11721612" w14:textId="77777777" w:rsidR="002F0B13" w:rsidRPr="000A23F9" w:rsidRDefault="002F0B13" w:rsidP="0013680B">
            <w:pPr>
              <w:spacing w:before="60" w:after="60"/>
              <w:jc w:val="center"/>
              <w:rPr>
                <w:rFonts w:cs="Times New Roman"/>
                <w:sz w:val="16"/>
                <w:szCs w:val="16"/>
              </w:rPr>
            </w:pPr>
            <w:r>
              <w:rPr>
                <w:noProof/>
                <w:lang w:val="en-AU" w:eastAsia="en-AU"/>
              </w:rPr>
              <w:drawing>
                <wp:inline distT="0" distB="0" distL="0" distR="0" wp14:anchorId="2ED93DCB" wp14:editId="5F246837">
                  <wp:extent cx="6030595" cy="22923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30595" cy="2292350"/>
                          </a:xfrm>
                          <a:prstGeom prst="rect">
                            <a:avLst/>
                          </a:prstGeom>
                        </pic:spPr>
                      </pic:pic>
                    </a:graphicData>
                  </a:graphic>
                </wp:inline>
              </w:drawing>
            </w:r>
          </w:p>
          <w:p w14:paraId="60C564EE" w14:textId="77777777" w:rsidR="002F0B13" w:rsidRPr="000A23F9" w:rsidRDefault="002F0B13" w:rsidP="0013680B">
            <w:pPr>
              <w:spacing w:before="60" w:after="60"/>
              <w:jc w:val="center"/>
              <w:rPr>
                <w:rFonts w:cs="Times New Roman"/>
                <w:sz w:val="16"/>
                <w:szCs w:val="16"/>
              </w:rPr>
            </w:pPr>
          </w:p>
        </w:tc>
      </w:tr>
      <w:tr w:rsidR="002F0B13" w:rsidRPr="000A23F9" w14:paraId="57DD6E31" w14:textId="77777777" w:rsidTr="0013680B">
        <w:tc>
          <w:tcPr>
            <w:tcW w:w="9759" w:type="dxa"/>
            <w:vAlign w:val="center"/>
          </w:tcPr>
          <w:p w14:paraId="05819929" w14:textId="1F22C74F" w:rsidR="002F0B13" w:rsidRPr="00290841" w:rsidRDefault="00290841" w:rsidP="00290841">
            <w:pPr>
              <w:pStyle w:val="Caption"/>
            </w:pPr>
            <w:bookmarkStart w:id="114" w:name="_Toc525141353"/>
            <w:r w:rsidRPr="00290841">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22</w:t>
            </w:r>
            <w:r w:rsidR="009D6843">
              <w:rPr>
                <w:noProof/>
              </w:rPr>
              <w:fldChar w:fldCharType="end"/>
            </w:r>
            <w:r w:rsidRPr="00290841">
              <w:t>:</w:t>
            </w:r>
            <w:r w:rsidR="002F0B13" w:rsidRPr="00290841">
              <w:rPr>
                <w:bCs w:val="0"/>
              </w:rPr>
              <w:t xml:space="preserve"> Stationary AC refrigerant bank </w:t>
            </w:r>
            <w:r w:rsidR="00A0109B" w:rsidRPr="00290841">
              <w:rPr>
                <w:bCs w:val="0"/>
              </w:rPr>
              <w:t>(a</w:t>
            </w:r>
            <w:r w:rsidR="002F0B13" w:rsidRPr="00290841">
              <w:rPr>
                <w:bCs w:val="0"/>
              </w:rPr>
              <w:t xml:space="preserve">ctual) </w:t>
            </w:r>
            <w:r w:rsidR="00A0109B" w:rsidRPr="00290841">
              <w:rPr>
                <w:bCs w:val="0"/>
              </w:rPr>
              <w:t>by s</w:t>
            </w:r>
            <w:r w:rsidR="002F0B13" w:rsidRPr="00290841">
              <w:rPr>
                <w:bCs w:val="0"/>
              </w:rPr>
              <w:t>pecies from 2016 to 2030 in Mt CO</w:t>
            </w:r>
            <w:r w:rsidR="002F0B13" w:rsidRPr="00290841">
              <w:rPr>
                <w:bCs w:val="0"/>
                <w:vertAlign w:val="subscript"/>
              </w:rPr>
              <w:t>2</w:t>
            </w:r>
            <w:r w:rsidR="002F0B13" w:rsidRPr="00290841">
              <w:rPr>
                <w:bCs w:val="0"/>
              </w:rPr>
              <w:t>e.</w:t>
            </w:r>
            <w:bookmarkEnd w:id="114"/>
          </w:p>
        </w:tc>
      </w:tr>
    </w:tbl>
    <w:p w14:paraId="64D945C2" w14:textId="109E6B23"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7E561C42" w14:textId="77777777" w:rsidR="002F0B13" w:rsidRDefault="002F0B13" w:rsidP="002F0B13">
      <w:pPr>
        <w:rPr>
          <w:rFonts w:cs="Times New Roman"/>
        </w:rPr>
      </w:pPr>
    </w:p>
    <w:p w14:paraId="488708B0" w14:textId="566813B5" w:rsidR="002F0B13" w:rsidRPr="00A949CD" w:rsidRDefault="002F0B13" w:rsidP="002F0B13">
      <w:pPr>
        <w:snapToGrid w:val="0"/>
        <w:rPr>
          <w:rFonts w:cs="Times New Roman"/>
          <w:szCs w:val="22"/>
        </w:rPr>
      </w:pPr>
      <w:r w:rsidRPr="00A949CD">
        <w:rPr>
          <w:rFonts w:cs="Times New Roman"/>
          <w:szCs w:val="22"/>
        </w:rPr>
        <w:t xml:space="preserve">During the projection period the majority of the currently HCFC-22 charged AC systems across all </w:t>
      </w:r>
      <w:r>
        <w:rPr>
          <w:rFonts w:cs="Times New Roman"/>
          <w:szCs w:val="22"/>
        </w:rPr>
        <w:t xml:space="preserve">stationary AC </w:t>
      </w:r>
      <w:r w:rsidRPr="00A949CD">
        <w:rPr>
          <w:rFonts w:cs="Times New Roman"/>
          <w:szCs w:val="22"/>
        </w:rPr>
        <w:t xml:space="preserve">segments are expected to be retired or </w:t>
      </w:r>
      <w:r>
        <w:rPr>
          <w:rFonts w:cs="Times New Roman"/>
          <w:szCs w:val="22"/>
        </w:rPr>
        <w:t xml:space="preserve">be </w:t>
      </w:r>
      <w:r w:rsidRPr="00A949CD">
        <w:rPr>
          <w:rFonts w:cs="Times New Roman"/>
          <w:szCs w:val="22"/>
        </w:rPr>
        <w:t>re</w:t>
      </w:r>
      <w:r>
        <w:rPr>
          <w:rFonts w:cs="Times New Roman"/>
          <w:szCs w:val="22"/>
        </w:rPr>
        <w:t>trofitted</w:t>
      </w:r>
      <w:r w:rsidRPr="00A949CD">
        <w:rPr>
          <w:rFonts w:cs="Times New Roman"/>
          <w:szCs w:val="22"/>
        </w:rPr>
        <w:t>. HCFC</w:t>
      </w:r>
      <w:r w:rsidR="00F645EB">
        <w:rPr>
          <w:rFonts w:cs="Times New Roman"/>
          <w:szCs w:val="22"/>
        </w:rPr>
        <w:t xml:space="preserve">s (includes HCFC-123) </w:t>
      </w:r>
      <w:r w:rsidRPr="00A949CD">
        <w:rPr>
          <w:rFonts w:cs="Times New Roman"/>
          <w:szCs w:val="22"/>
        </w:rPr>
        <w:t xml:space="preserve">in </w:t>
      </w:r>
      <w:r>
        <w:rPr>
          <w:rFonts w:cs="Times New Roman"/>
          <w:szCs w:val="22"/>
        </w:rPr>
        <w:t xml:space="preserve">stationary </w:t>
      </w:r>
      <w:r w:rsidRPr="00A949CD">
        <w:rPr>
          <w:rFonts w:cs="Times New Roman"/>
          <w:szCs w:val="22"/>
        </w:rPr>
        <w:t xml:space="preserve">AC is predicted to fall from the nearly 8,000 tonnes presently in use to around </w:t>
      </w:r>
      <w:r w:rsidR="00F645EB">
        <w:rPr>
          <w:rFonts w:cs="Times New Roman"/>
          <w:szCs w:val="22"/>
        </w:rPr>
        <w:t>305</w:t>
      </w:r>
      <w:r w:rsidRPr="00A949CD">
        <w:rPr>
          <w:rFonts w:cs="Times New Roman"/>
          <w:szCs w:val="22"/>
        </w:rPr>
        <w:t xml:space="preserve"> tonnes still employed by 2030.</w:t>
      </w:r>
    </w:p>
    <w:p w14:paraId="7F651363" w14:textId="77777777" w:rsidR="002F0B13" w:rsidRPr="00A949CD" w:rsidRDefault="002F0B13" w:rsidP="002F0B13">
      <w:pPr>
        <w:snapToGrid w:val="0"/>
        <w:spacing w:before="240"/>
        <w:rPr>
          <w:rFonts w:cs="Times New Roman"/>
          <w:b/>
          <w:szCs w:val="22"/>
        </w:rPr>
      </w:pPr>
      <w:r w:rsidRPr="00A949CD">
        <w:rPr>
          <w:rFonts w:cs="Times New Roman"/>
          <w:b/>
          <w:szCs w:val="22"/>
        </w:rPr>
        <w:t>Small AC</w:t>
      </w:r>
      <w:r>
        <w:rPr>
          <w:rFonts w:cs="Times New Roman"/>
          <w:b/>
          <w:szCs w:val="22"/>
        </w:rPr>
        <w:t>: Split</w:t>
      </w:r>
    </w:p>
    <w:p w14:paraId="63A5B9CB" w14:textId="63922ECC" w:rsidR="002F0B13" w:rsidRDefault="002F0B13" w:rsidP="002F0B13">
      <w:pPr>
        <w:snapToGrid w:val="0"/>
        <w:rPr>
          <w:rFonts w:cs="Times New Roman"/>
        </w:rPr>
      </w:pPr>
      <w:r w:rsidRPr="00A949CD">
        <w:rPr>
          <w:rFonts w:cs="Times New Roman"/>
          <w:szCs w:val="22"/>
        </w:rPr>
        <w:t>The greatest single gain in CO</w:t>
      </w:r>
      <w:r w:rsidRPr="00A949CD">
        <w:rPr>
          <w:rFonts w:cs="Times New Roman"/>
          <w:szCs w:val="22"/>
          <w:vertAlign w:val="subscript"/>
        </w:rPr>
        <w:t>2</w:t>
      </w:r>
      <w:r w:rsidRPr="00A949CD">
        <w:rPr>
          <w:rFonts w:cs="Times New Roman"/>
          <w:szCs w:val="22"/>
        </w:rPr>
        <w:t xml:space="preserve">e reductions in the bank </w:t>
      </w:r>
      <w:r w:rsidR="008E2954">
        <w:rPr>
          <w:rFonts w:cs="Times New Roman"/>
          <w:szCs w:val="22"/>
        </w:rPr>
        <w:t>is</w:t>
      </w:r>
      <w:r w:rsidR="008E2954" w:rsidRPr="00A949CD">
        <w:rPr>
          <w:rFonts w:cs="Times New Roman"/>
          <w:szCs w:val="22"/>
        </w:rPr>
        <w:t xml:space="preserve"> </w:t>
      </w:r>
      <w:r w:rsidRPr="00A949CD">
        <w:rPr>
          <w:rFonts w:cs="Times New Roman"/>
          <w:szCs w:val="22"/>
        </w:rPr>
        <w:t xml:space="preserve">predicted to come from the transition of small AC </w:t>
      </w:r>
      <w:r>
        <w:rPr>
          <w:rFonts w:cs="Times New Roman"/>
          <w:szCs w:val="22"/>
        </w:rPr>
        <w:t xml:space="preserve">split </w:t>
      </w:r>
      <w:r w:rsidRPr="00A949CD">
        <w:rPr>
          <w:rFonts w:cs="Times New Roman"/>
          <w:szCs w:val="22"/>
        </w:rPr>
        <w:t>systems from being primarily charged with HFC-410</w:t>
      </w:r>
      <w:r>
        <w:rPr>
          <w:rFonts w:cs="Times New Roman"/>
          <w:szCs w:val="22"/>
        </w:rPr>
        <w:t>A</w:t>
      </w:r>
      <w:r w:rsidRPr="00A949CD">
        <w:rPr>
          <w:rFonts w:cs="Times New Roman"/>
          <w:szCs w:val="22"/>
        </w:rPr>
        <w:t xml:space="preserve"> </w:t>
      </w:r>
      <w:r>
        <w:rPr>
          <w:rFonts w:cs="Times New Roman"/>
          <w:szCs w:val="22"/>
        </w:rPr>
        <w:t xml:space="preserve">(GWP of 2088) </w:t>
      </w:r>
      <w:r w:rsidRPr="00A949CD">
        <w:rPr>
          <w:rFonts w:cs="Times New Roman"/>
          <w:szCs w:val="22"/>
        </w:rPr>
        <w:t>to being primarily charged with HFC-32</w:t>
      </w:r>
      <w:r>
        <w:rPr>
          <w:rFonts w:cs="Times New Roman"/>
          <w:szCs w:val="22"/>
        </w:rPr>
        <w:t xml:space="preserve"> (GWP of 675)</w:t>
      </w:r>
      <w:r w:rsidRPr="00A949CD">
        <w:rPr>
          <w:rFonts w:cs="Times New Roman"/>
          <w:szCs w:val="22"/>
        </w:rPr>
        <w:t>. In this segment the bank of HFC-410A is predicted to fall from more than 9,300 metric tonnes in 2016 to around 1,250 tonnes in 2030, while the bank of HFC-32 is predicted to grow from just 970 tonnes in 2016 to more than 16,300 tonnes in 2030.</w:t>
      </w:r>
    </w:p>
    <w:p w14:paraId="67D59243" w14:textId="77777777" w:rsidR="002F0B13" w:rsidRDefault="002F0B13" w:rsidP="002F0B13">
      <w:pPr>
        <w:spacing w:before="0" w:after="120"/>
        <w:jc w:val="left"/>
        <w:rPr>
          <w:rFonts w:cs="Times New Roman"/>
          <w:b/>
          <w:szCs w:val="22"/>
        </w:rPr>
      </w:pPr>
    </w:p>
    <w:p w14:paraId="0758F54D" w14:textId="413F88BC" w:rsidR="00C91D3D" w:rsidRDefault="00C91D3D">
      <w:pPr>
        <w:spacing w:before="0"/>
        <w:jc w:val="left"/>
        <w:rPr>
          <w:rFonts w:cs="Times New Roman"/>
          <w:lang w:val="en-US"/>
        </w:rPr>
      </w:pPr>
      <w:r>
        <w:rPr>
          <w:rFonts w:cs="Times New Roman"/>
          <w:lang w:val="en-US"/>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48F2D09B" w14:textId="77777777" w:rsidTr="0013680B">
        <w:tc>
          <w:tcPr>
            <w:tcW w:w="9759" w:type="dxa"/>
            <w:vAlign w:val="center"/>
          </w:tcPr>
          <w:p w14:paraId="7AC74018" w14:textId="724AD12C" w:rsidR="002F0B13" w:rsidRPr="000A23F9" w:rsidRDefault="002F0B13" w:rsidP="0013680B">
            <w:pPr>
              <w:spacing w:after="120"/>
              <w:jc w:val="center"/>
              <w:rPr>
                <w:rFonts w:cs="Times New Roman"/>
                <w:b/>
              </w:rPr>
            </w:pPr>
            <w:r w:rsidRPr="000A23F9">
              <w:rPr>
                <w:rFonts w:cs="Times New Roman"/>
                <w:b/>
              </w:rPr>
              <w:br w:type="page"/>
            </w:r>
            <w:r w:rsidRPr="001438BF">
              <w:rPr>
                <w:rFonts w:cs="Times New Roman"/>
                <w:b/>
              </w:rPr>
              <w:t>Small AC: Split</w:t>
            </w:r>
            <w:r w:rsidR="00A0109B">
              <w:rPr>
                <w:rFonts w:cs="Times New Roman"/>
                <w:b/>
              </w:rPr>
              <w:t xml:space="preserve"> bank (actual)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A0109B">
              <w:rPr>
                <w:rFonts w:cs="Times New Roman"/>
                <w:b/>
              </w:rPr>
              <w:t xml:space="preserve"> (t</w:t>
            </w:r>
            <w:r w:rsidRPr="000A23F9">
              <w:rPr>
                <w:rFonts w:cs="Times New Roman"/>
                <w:b/>
              </w:rPr>
              <w:t>onnes)</w:t>
            </w:r>
          </w:p>
        </w:tc>
      </w:tr>
      <w:tr w:rsidR="002F0B13" w:rsidRPr="000A23F9" w14:paraId="37A0F969" w14:textId="77777777" w:rsidTr="0043729C">
        <w:tc>
          <w:tcPr>
            <w:tcW w:w="9759" w:type="dxa"/>
            <w:vAlign w:val="center"/>
          </w:tcPr>
          <w:p w14:paraId="263995C3" w14:textId="77777777" w:rsidR="002F0B13" w:rsidRPr="000A23F9" w:rsidRDefault="002F0B13" w:rsidP="0013680B">
            <w:pPr>
              <w:spacing w:before="60" w:after="60"/>
              <w:jc w:val="center"/>
              <w:rPr>
                <w:rFonts w:cs="Times New Roman"/>
                <w:sz w:val="16"/>
                <w:szCs w:val="16"/>
              </w:rPr>
            </w:pPr>
          </w:p>
          <w:p w14:paraId="0A333050" w14:textId="0B2668F7" w:rsidR="002F0B13" w:rsidRPr="000A23F9" w:rsidRDefault="0043729C" w:rsidP="0013680B">
            <w:pPr>
              <w:spacing w:before="60" w:after="60"/>
              <w:jc w:val="center"/>
              <w:rPr>
                <w:rFonts w:cs="Times New Roman"/>
                <w:sz w:val="16"/>
                <w:szCs w:val="16"/>
              </w:rPr>
            </w:pPr>
            <w:r>
              <w:rPr>
                <w:noProof/>
                <w:lang w:val="en-AU" w:eastAsia="en-AU"/>
              </w:rPr>
              <w:drawing>
                <wp:inline distT="0" distB="0" distL="0" distR="0" wp14:anchorId="5B958067" wp14:editId="116BE3DC">
                  <wp:extent cx="6030595" cy="2358390"/>
                  <wp:effectExtent l="0" t="0" r="1905"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30595" cy="2358390"/>
                          </a:xfrm>
                          <a:prstGeom prst="rect">
                            <a:avLst/>
                          </a:prstGeom>
                        </pic:spPr>
                      </pic:pic>
                    </a:graphicData>
                  </a:graphic>
                </wp:inline>
              </w:drawing>
            </w:r>
          </w:p>
          <w:p w14:paraId="68D111B3" w14:textId="77777777" w:rsidR="002F0B13" w:rsidRPr="000A23F9" w:rsidRDefault="002F0B13" w:rsidP="0013680B">
            <w:pPr>
              <w:spacing w:before="60" w:after="60"/>
              <w:jc w:val="center"/>
              <w:rPr>
                <w:rFonts w:cs="Times New Roman"/>
                <w:sz w:val="16"/>
                <w:szCs w:val="16"/>
              </w:rPr>
            </w:pPr>
          </w:p>
        </w:tc>
      </w:tr>
      <w:tr w:rsidR="002F0B13" w:rsidRPr="000A23F9" w14:paraId="0066A627" w14:textId="77777777" w:rsidTr="0013680B">
        <w:tc>
          <w:tcPr>
            <w:tcW w:w="9759" w:type="dxa"/>
            <w:vAlign w:val="center"/>
          </w:tcPr>
          <w:p w14:paraId="358D14E0" w14:textId="7CDC6773" w:rsidR="002F0B13" w:rsidRPr="00E23B32" w:rsidRDefault="00E23B32" w:rsidP="00E23B32">
            <w:pPr>
              <w:pStyle w:val="Caption"/>
            </w:pPr>
            <w:bookmarkStart w:id="115" w:name="_Toc525141354"/>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23</w:t>
            </w:r>
            <w:r w:rsidR="009D6843">
              <w:rPr>
                <w:noProof/>
              </w:rPr>
              <w:fldChar w:fldCharType="end"/>
            </w:r>
            <w:r w:rsidRPr="00E23B32">
              <w:t xml:space="preserve">: </w:t>
            </w:r>
            <w:r w:rsidR="002F0B13" w:rsidRPr="00E23B32">
              <w:rPr>
                <w:bCs w:val="0"/>
              </w:rPr>
              <w:t xml:space="preserve">Small AC: Split refrigerant bank </w:t>
            </w:r>
            <w:r w:rsidR="00A0109B" w:rsidRPr="00E23B32">
              <w:rPr>
                <w:bCs w:val="0"/>
              </w:rPr>
              <w:t>(a</w:t>
            </w:r>
            <w:r w:rsidR="002F0B13" w:rsidRPr="00E23B32">
              <w:rPr>
                <w:bCs w:val="0"/>
              </w:rPr>
              <w:t xml:space="preserve">ctual) by </w:t>
            </w:r>
            <w:r w:rsidR="00A0109B" w:rsidRPr="00E23B32">
              <w:rPr>
                <w:bCs w:val="0"/>
              </w:rPr>
              <w:t>s</w:t>
            </w:r>
            <w:r w:rsidR="002F0B13" w:rsidRPr="00E23B32">
              <w:rPr>
                <w:bCs w:val="0"/>
              </w:rPr>
              <w:t>pecies from 2016 to 2030 in tonnes.</w:t>
            </w:r>
            <w:bookmarkEnd w:id="115"/>
          </w:p>
        </w:tc>
      </w:tr>
    </w:tbl>
    <w:p w14:paraId="7D00D24C" w14:textId="72BD8143"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2390AD4A" w14:textId="77777777" w:rsidR="002F0B13" w:rsidRDefault="002F0B13" w:rsidP="002F0B13">
      <w:pPr>
        <w:rPr>
          <w:rFonts w:cs="Times New Roman"/>
        </w:rPr>
      </w:pPr>
    </w:p>
    <w:p w14:paraId="0054C588" w14:textId="77777777" w:rsidR="002F0B13" w:rsidRPr="00A949CD" w:rsidRDefault="002F0B13" w:rsidP="002F0B13">
      <w:pPr>
        <w:snapToGrid w:val="0"/>
        <w:rPr>
          <w:rFonts w:cs="Times New Roman"/>
          <w:szCs w:val="22"/>
        </w:rPr>
      </w:pPr>
      <w:r w:rsidRPr="00A949CD">
        <w:rPr>
          <w:rFonts w:cs="Times New Roman"/>
          <w:szCs w:val="22"/>
        </w:rPr>
        <w:t>As a result, while the actual bank of refrigerant in this segment grows by more than 25% from more than 12,600 metric tonnes in 2016 to more than 18,000 metric tonnes in 2030, the transition to HFC-32 sees the CO</w:t>
      </w:r>
      <w:r w:rsidRPr="007960D3">
        <w:rPr>
          <w:rFonts w:cs="Times New Roman"/>
          <w:szCs w:val="22"/>
          <w:vertAlign w:val="subscript"/>
        </w:rPr>
        <w:t>2</w:t>
      </w:r>
      <w:r w:rsidRPr="00A949CD">
        <w:rPr>
          <w:rFonts w:cs="Times New Roman"/>
          <w:szCs w:val="22"/>
        </w:rPr>
        <w:t>e value of this portion of the bank predicted to fall by more than 43% from more than 24.3 million tonnes CO</w:t>
      </w:r>
      <w:r w:rsidRPr="007960D3">
        <w:rPr>
          <w:rFonts w:cs="Times New Roman"/>
          <w:szCs w:val="22"/>
          <w:vertAlign w:val="subscript"/>
        </w:rPr>
        <w:t>2</w:t>
      </w:r>
      <w:r w:rsidRPr="00A949CD">
        <w:rPr>
          <w:rFonts w:cs="Times New Roman"/>
          <w:szCs w:val="22"/>
        </w:rPr>
        <w:t>e in 2016 to around 13.8 million tonnes CO</w:t>
      </w:r>
      <w:r w:rsidRPr="007960D3">
        <w:rPr>
          <w:rFonts w:cs="Times New Roman"/>
          <w:szCs w:val="22"/>
          <w:vertAlign w:val="subscript"/>
        </w:rPr>
        <w:t>2</w:t>
      </w:r>
      <w:r w:rsidRPr="00A949CD">
        <w:rPr>
          <w:rFonts w:cs="Times New Roman"/>
          <w:szCs w:val="22"/>
        </w:rPr>
        <w:t>e in 2030.</w:t>
      </w:r>
    </w:p>
    <w:p w14:paraId="4F2A971F" w14:textId="77777777" w:rsidR="002F0B13" w:rsidRPr="00A949CD" w:rsidRDefault="002F0B13" w:rsidP="002F0B13">
      <w:pPr>
        <w:snapToGrid w:val="0"/>
        <w:rPr>
          <w:rFonts w:cs="Times New Roman"/>
          <w:szCs w:val="22"/>
        </w:rPr>
      </w:pPr>
      <w:r w:rsidRPr="00A949CD">
        <w:rPr>
          <w:rFonts w:cs="Times New Roman"/>
          <w:szCs w:val="22"/>
        </w:rPr>
        <w:t xml:space="preserve">During the projection period all of the currently HCFC-22 charged small AC split systems are expected to be retired from use with HCFC-22 in this segment falling from more than 2,100 tonnes in 2016 to zero by the end of the projection period. </w:t>
      </w:r>
    </w:p>
    <w:p w14:paraId="2FF45A41" w14:textId="204D0383" w:rsidR="002F0B13" w:rsidRPr="00710266" w:rsidRDefault="002F0B13" w:rsidP="002F0B13">
      <w:pPr>
        <w:snapToGrid w:val="0"/>
        <w:spacing w:before="240"/>
        <w:rPr>
          <w:rFonts w:cs="Times New Roman"/>
          <w:b/>
          <w:szCs w:val="22"/>
        </w:rPr>
      </w:pPr>
      <w:r w:rsidRPr="00710266">
        <w:rPr>
          <w:rFonts w:cs="Times New Roman"/>
          <w:b/>
          <w:szCs w:val="22"/>
        </w:rPr>
        <w:t xml:space="preserve">Medium AC: Ducted </w:t>
      </w:r>
      <w:r w:rsidR="00F645EB">
        <w:rPr>
          <w:rFonts w:cs="Times New Roman"/>
          <w:b/>
          <w:szCs w:val="22"/>
        </w:rPr>
        <w:t xml:space="preserve">split </w:t>
      </w:r>
      <w:r w:rsidRPr="00710266">
        <w:rPr>
          <w:rFonts w:cs="Times New Roman"/>
          <w:b/>
          <w:szCs w:val="22"/>
        </w:rPr>
        <w:t>and light commercial</w:t>
      </w:r>
    </w:p>
    <w:p w14:paraId="4C37373F" w14:textId="77777777" w:rsidR="002F0B13" w:rsidRPr="00A949CD" w:rsidRDefault="002F0B13" w:rsidP="002F0B13">
      <w:pPr>
        <w:snapToGrid w:val="0"/>
        <w:rPr>
          <w:rFonts w:cs="Times New Roman"/>
          <w:szCs w:val="22"/>
        </w:rPr>
      </w:pPr>
      <w:r w:rsidRPr="00A949CD">
        <w:rPr>
          <w:rFonts w:cs="Times New Roman"/>
          <w:szCs w:val="22"/>
        </w:rPr>
        <w:t xml:space="preserve">The bank projection for larger split systems and </w:t>
      </w:r>
      <w:r>
        <w:rPr>
          <w:rFonts w:cs="Times New Roman"/>
          <w:szCs w:val="22"/>
        </w:rPr>
        <w:t xml:space="preserve">light </w:t>
      </w:r>
      <w:r w:rsidRPr="00A949CD">
        <w:rPr>
          <w:rFonts w:cs="Times New Roman"/>
          <w:szCs w:val="22"/>
        </w:rPr>
        <w:t>commercial AC, based on current information about available and emerging refrigerants, does not predict the same shift to lower GWP refrigerants as seen in the populous small AC segment.</w:t>
      </w:r>
      <w:r>
        <w:rPr>
          <w:rFonts w:cs="Times New Roman"/>
          <w:szCs w:val="22"/>
        </w:rPr>
        <w:t xml:space="preserve"> This is due to technical standards and associated risk that limit the charge sizes of mildly flammable refrigerants such as HFC-32 being widely employed in Medium AC.</w:t>
      </w:r>
      <w:r w:rsidRPr="00A949CD">
        <w:rPr>
          <w:rFonts w:cs="Times New Roman"/>
          <w:szCs w:val="22"/>
        </w:rPr>
        <w:t xml:space="preserve"> </w:t>
      </w:r>
    </w:p>
    <w:p w14:paraId="7D4F383C" w14:textId="49050814" w:rsidR="002F0B13" w:rsidRDefault="002F0B13" w:rsidP="002F0B13">
      <w:pPr>
        <w:snapToGrid w:val="0"/>
        <w:rPr>
          <w:rFonts w:cs="Times New Roman"/>
        </w:rPr>
      </w:pPr>
      <w:r w:rsidRPr="00A949CD">
        <w:rPr>
          <w:rFonts w:cs="Times New Roman"/>
          <w:szCs w:val="22"/>
        </w:rPr>
        <w:t xml:space="preserve">The actual bank in this segment is </w:t>
      </w:r>
      <w:r w:rsidR="00F645EB">
        <w:rPr>
          <w:rFonts w:cs="Times New Roman"/>
          <w:szCs w:val="22"/>
        </w:rPr>
        <w:t>predicted to grow by more than 8</w:t>
      </w:r>
      <w:r w:rsidRPr="00A949CD">
        <w:rPr>
          <w:rFonts w:cs="Times New Roman"/>
          <w:szCs w:val="22"/>
        </w:rPr>
        <w:t>3% from around 12,600 metric tonnes in 2016 to more than 23,100 metric tonnes in 2030 with the CO</w:t>
      </w:r>
      <w:r w:rsidRPr="00A949CD">
        <w:rPr>
          <w:rFonts w:cs="Times New Roman"/>
          <w:szCs w:val="22"/>
          <w:vertAlign w:val="subscript"/>
        </w:rPr>
        <w:t>2</w:t>
      </w:r>
      <w:r w:rsidRPr="00A949CD">
        <w:rPr>
          <w:rFonts w:cs="Times New Roman"/>
          <w:szCs w:val="22"/>
        </w:rPr>
        <w:t>e value of this portion of the bank growing by more than 49% in the period from around 29.3 million tonnes of CO</w:t>
      </w:r>
      <w:r w:rsidRPr="00A949CD">
        <w:rPr>
          <w:rFonts w:cs="Times New Roman"/>
          <w:szCs w:val="22"/>
          <w:vertAlign w:val="subscript"/>
        </w:rPr>
        <w:t>2</w:t>
      </w:r>
      <w:r w:rsidRPr="00A949CD">
        <w:rPr>
          <w:rFonts w:cs="Times New Roman"/>
          <w:szCs w:val="22"/>
        </w:rPr>
        <w:t>e to more than 37.7 million tonnes of CO</w:t>
      </w:r>
      <w:r w:rsidRPr="00A949CD">
        <w:rPr>
          <w:rFonts w:cs="Times New Roman"/>
          <w:szCs w:val="22"/>
          <w:vertAlign w:val="subscript"/>
        </w:rPr>
        <w:t>2</w:t>
      </w:r>
      <w:r w:rsidRPr="00A949CD">
        <w:rPr>
          <w:rFonts w:cs="Times New Roman"/>
          <w:szCs w:val="22"/>
        </w:rPr>
        <w:t>e by 2030.</w:t>
      </w:r>
    </w:p>
    <w:p w14:paraId="632D5985" w14:textId="43DD1EC8" w:rsidR="00C91D3D" w:rsidRDefault="00C91D3D">
      <w:pPr>
        <w:spacing w:before="0"/>
        <w:jc w:val="left"/>
        <w:rPr>
          <w:rFonts w:cs="Times New Roman"/>
          <w:b/>
          <w:szCs w:val="22"/>
        </w:rPr>
      </w:pPr>
      <w:r>
        <w:rPr>
          <w:rFonts w:cs="Times New Roman"/>
          <w:b/>
          <w:szCs w:val="22"/>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15DE437B" w14:textId="77777777" w:rsidTr="0013680B">
        <w:tc>
          <w:tcPr>
            <w:tcW w:w="9759" w:type="dxa"/>
            <w:vAlign w:val="center"/>
          </w:tcPr>
          <w:p w14:paraId="5DD029BE" w14:textId="19003FA8" w:rsidR="002F0B13" w:rsidRPr="000A23F9" w:rsidRDefault="002F0B13" w:rsidP="0013680B">
            <w:pPr>
              <w:spacing w:after="120"/>
              <w:jc w:val="center"/>
              <w:rPr>
                <w:rFonts w:cs="Times New Roman"/>
                <w:b/>
              </w:rPr>
            </w:pPr>
            <w:r w:rsidRPr="000A23F9">
              <w:rPr>
                <w:rFonts w:cs="Times New Roman"/>
                <w:b/>
              </w:rPr>
              <w:br w:type="page"/>
            </w:r>
            <w:r w:rsidRPr="001438BF">
              <w:rPr>
                <w:rFonts w:cs="Times New Roman"/>
                <w:b/>
              </w:rPr>
              <w:t xml:space="preserve">Medium AC </w:t>
            </w:r>
            <w:r w:rsidR="00A0109B">
              <w:rPr>
                <w:rFonts w:cs="Times New Roman"/>
                <w:b/>
              </w:rPr>
              <w:t>bank (actual)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A0109B">
              <w:rPr>
                <w:rFonts w:cs="Times New Roman"/>
                <w:b/>
              </w:rPr>
              <w:t xml:space="preserve"> (t</w:t>
            </w:r>
            <w:r w:rsidRPr="000A23F9">
              <w:rPr>
                <w:rFonts w:cs="Times New Roman"/>
                <w:b/>
              </w:rPr>
              <w:t>onnes)</w:t>
            </w:r>
          </w:p>
        </w:tc>
      </w:tr>
      <w:tr w:rsidR="002F0B13" w:rsidRPr="000A23F9" w14:paraId="08BC3B52" w14:textId="77777777" w:rsidTr="0097189F">
        <w:tc>
          <w:tcPr>
            <w:tcW w:w="9759" w:type="dxa"/>
            <w:vAlign w:val="center"/>
          </w:tcPr>
          <w:p w14:paraId="0ACF76EA" w14:textId="77777777" w:rsidR="002F0B13" w:rsidRPr="000A23F9" w:rsidRDefault="002F0B13" w:rsidP="0013680B">
            <w:pPr>
              <w:spacing w:before="60" w:after="60"/>
              <w:jc w:val="center"/>
              <w:rPr>
                <w:rFonts w:cs="Times New Roman"/>
                <w:sz w:val="16"/>
                <w:szCs w:val="16"/>
              </w:rPr>
            </w:pPr>
          </w:p>
          <w:p w14:paraId="5411AF72" w14:textId="02990361" w:rsidR="002F0B13" w:rsidRPr="000A23F9" w:rsidRDefault="0097189F" w:rsidP="0013680B">
            <w:pPr>
              <w:spacing w:before="60" w:after="60"/>
              <w:jc w:val="center"/>
              <w:rPr>
                <w:rFonts w:cs="Times New Roman"/>
                <w:sz w:val="16"/>
                <w:szCs w:val="16"/>
              </w:rPr>
            </w:pPr>
            <w:r>
              <w:rPr>
                <w:noProof/>
                <w:lang w:val="en-AU" w:eastAsia="en-AU"/>
              </w:rPr>
              <w:drawing>
                <wp:inline distT="0" distB="0" distL="0" distR="0" wp14:anchorId="432356B6" wp14:editId="3DC25FFB">
                  <wp:extent cx="6030595" cy="2358390"/>
                  <wp:effectExtent l="0" t="0" r="190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30595" cy="2358390"/>
                          </a:xfrm>
                          <a:prstGeom prst="rect">
                            <a:avLst/>
                          </a:prstGeom>
                        </pic:spPr>
                      </pic:pic>
                    </a:graphicData>
                  </a:graphic>
                </wp:inline>
              </w:drawing>
            </w:r>
          </w:p>
          <w:p w14:paraId="45848A58" w14:textId="77777777" w:rsidR="002F0B13" w:rsidRPr="000A23F9" w:rsidRDefault="002F0B13" w:rsidP="0013680B">
            <w:pPr>
              <w:spacing w:before="60" w:after="60"/>
              <w:jc w:val="center"/>
              <w:rPr>
                <w:rFonts w:cs="Times New Roman"/>
                <w:sz w:val="16"/>
                <w:szCs w:val="16"/>
              </w:rPr>
            </w:pPr>
          </w:p>
        </w:tc>
      </w:tr>
      <w:tr w:rsidR="002F0B13" w:rsidRPr="000A23F9" w14:paraId="034B64C6" w14:textId="77777777" w:rsidTr="0013680B">
        <w:tc>
          <w:tcPr>
            <w:tcW w:w="9759" w:type="dxa"/>
            <w:vAlign w:val="center"/>
          </w:tcPr>
          <w:p w14:paraId="383C7B1A" w14:textId="1B1833F7" w:rsidR="002F0B13" w:rsidRPr="00E23B32" w:rsidRDefault="00E23B32" w:rsidP="00E23B32">
            <w:pPr>
              <w:pStyle w:val="Caption"/>
            </w:pPr>
            <w:bookmarkStart w:id="116" w:name="_Toc525141355"/>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24</w:t>
            </w:r>
            <w:r w:rsidR="009D6843">
              <w:rPr>
                <w:noProof/>
              </w:rPr>
              <w:fldChar w:fldCharType="end"/>
            </w:r>
            <w:r w:rsidRPr="00E23B32">
              <w:t xml:space="preserve">: </w:t>
            </w:r>
            <w:r w:rsidR="002F0B13" w:rsidRPr="00E23B32">
              <w:rPr>
                <w:bCs w:val="0"/>
              </w:rPr>
              <w:t xml:space="preserve">Medium AC refrigerant bank </w:t>
            </w:r>
            <w:r w:rsidR="00A0109B" w:rsidRPr="00E23B32">
              <w:rPr>
                <w:bCs w:val="0"/>
              </w:rPr>
              <w:t>(a</w:t>
            </w:r>
            <w:r w:rsidR="002F0B13" w:rsidRPr="00E23B32">
              <w:rPr>
                <w:bCs w:val="0"/>
              </w:rPr>
              <w:t xml:space="preserve">ctual) </w:t>
            </w:r>
            <w:r w:rsidR="00A0109B" w:rsidRPr="00E23B32">
              <w:rPr>
                <w:bCs w:val="0"/>
              </w:rPr>
              <w:t>by s</w:t>
            </w:r>
            <w:r w:rsidR="002F0B13" w:rsidRPr="00E23B32">
              <w:rPr>
                <w:bCs w:val="0"/>
              </w:rPr>
              <w:t>pecies from 2016 to 2030 in tonnes.</w:t>
            </w:r>
            <w:bookmarkEnd w:id="116"/>
          </w:p>
        </w:tc>
      </w:tr>
    </w:tbl>
    <w:p w14:paraId="7E65A89D" w14:textId="1865FAE3"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1D028115" w14:textId="77777777" w:rsidR="002F0B13" w:rsidRDefault="002F0B13" w:rsidP="002F0B13">
      <w:pPr>
        <w:rPr>
          <w:rFonts w:cs="Times New Roman"/>
        </w:rPr>
      </w:pPr>
    </w:p>
    <w:p w14:paraId="041EB85B" w14:textId="012CFF0B" w:rsidR="002F0B13" w:rsidRPr="00A949CD" w:rsidRDefault="002F0B13" w:rsidP="00195886">
      <w:pPr>
        <w:snapToGrid w:val="0"/>
        <w:rPr>
          <w:rFonts w:cs="Times New Roman"/>
          <w:szCs w:val="22"/>
        </w:rPr>
      </w:pPr>
      <w:r w:rsidRPr="00A949CD">
        <w:rPr>
          <w:rFonts w:cs="Times New Roman"/>
          <w:szCs w:val="22"/>
        </w:rPr>
        <w:t>This outcome is largely driven by the growth of the HFC-410A portion of the bank in this segment. The use of HFC-410A is predicted to rise by more than 84% from a 2016 starting volume of around 8,500 tonnes in 2016 to a 2030 bank of more than 15,800 tonnes of this high GWP refrigerant (with a CO</w:t>
      </w:r>
      <w:r w:rsidRPr="00A50BFE">
        <w:rPr>
          <w:rFonts w:cs="Times New Roman"/>
          <w:szCs w:val="22"/>
          <w:vertAlign w:val="subscript"/>
        </w:rPr>
        <w:t>2</w:t>
      </w:r>
      <w:r w:rsidRPr="00A949CD">
        <w:rPr>
          <w:rFonts w:cs="Times New Roman"/>
          <w:szCs w:val="22"/>
        </w:rPr>
        <w:t>e value at that time of more than 33 million tonnes). The growth of this bank is driven by expected continued strong growth in the sto</w:t>
      </w:r>
      <w:r w:rsidR="00195886">
        <w:rPr>
          <w:rFonts w:cs="Times New Roman"/>
          <w:szCs w:val="22"/>
        </w:rPr>
        <w:t>ck of equipment in this segment driven largely by strong growth of m</w:t>
      </w:r>
      <w:r w:rsidR="00195886" w:rsidRPr="00195886">
        <w:rPr>
          <w:rFonts w:cs="Times New Roman"/>
          <w:szCs w:val="22"/>
        </w:rPr>
        <w:t>ulti split</w:t>
      </w:r>
      <w:r w:rsidR="00195886">
        <w:rPr>
          <w:rFonts w:cs="Times New Roman"/>
          <w:szCs w:val="22"/>
        </w:rPr>
        <w:t xml:space="preserve">, and </w:t>
      </w:r>
      <w:r w:rsidR="00195886" w:rsidRPr="00195886">
        <w:rPr>
          <w:rFonts w:cs="Times New Roman"/>
          <w:szCs w:val="22"/>
        </w:rPr>
        <w:t>VRV/VRF split systems</w:t>
      </w:r>
      <w:r w:rsidR="00195886">
        <w:rPr>
          <w:rFonts w:cs="Times New Roman"/>
          <w:szCs w:val="22"/>
        </w:rPr>
        <w:t xml:space="preserve"> that will substitute </w:t>
      </w:r>
      <w:r w:rsidR="00705B36">
        <w:rPr>
          <w:rFonts w:cs="Times New Roman"/>
          <w:szCs w:val="22"/>
        </w:rPr>
        <w:t xml:space="preserve">for </w:t>
      </w:r>
      <w:r w:rsidR="00195886">
        <w:rPr>
          <w:rFonts w:cs="Times New Roman"/>
          <w:szCs w:val="22"/>
        </w:rPr>
        <w:t xml:space="preserve">single split systems and large space chillers. </w:t>
      </w:r>
    </w:p>
    <w:p w14:paraId="2993379A" w14:textId="4F008DAD" w:rsidR="002F0B13" w:rsidRPr="00A949CD" w:rsidRDefault="002F0B13" w:rsidP="002F0B13">
      <w:pPr>
        <w:snapToGrid w:val="0"/>
        <w:rPr>
          <w:rFonts w:cs="Times New Roman"/>
          <w:szCs w:val="22"/>
        </w:rPr>
      </w:pPr>
      <w:r w:rsidRPr="00A949CD">
        <w:rPr>
          <w:rFonts w:cs="Times New Roman"/>
          <w:szCs w:val="22"/>
        </w:rPr>
        <w:t xml:space="preserve">By the end of the projection period the Medium AC segment of the </w:t>
      </w:r>
      <w:r>
        <w:rPr>
          <w:rFonts w:cs="Times New Roman"/>
          <w:szCs w:val="22"/>
        </w:rPr>
        <w:t>s</w:t>
      </w:r>
      <w:r w:rsidRPr="00A949CD">
        <w:rPr>
          <w:rFonts w:cs="Times New Roman"/>
          <w:szCs w:val="22"/>
        </w:rPr>
        <w:t>tationary AC class employs, on its own, more than 3</w:t>
      </w:r>
      <w:r w:rsidR="00F645EB">
        <w:rPr>
          <w:rFonts w:cs="Times New Roman"/>
          <w:szCs w:val="22"/>
        </w:rPr>
        <w:t>3</w:t>
      </w:r>
      <w:r w:rsidRPr="00A949CD">
        <w:rPr>
          <w:rFonts w:cs="Times New Roman"/>
          <w:szCs w:val="22"/>
        </w:rPr>
        <w:t>% of the total bank.</w:t>
      </w:r>
    </w:p>
    <w:p w14:paraId="0FC8DFCC" w14:textId="44D5B8C4" w:rsidR="002F0B13" w:rsidRPr="00A949CD" w:rsidRDefault="002F0B13" w:rsidP="002F0B13">
      <w:pPr>
        <w:snapToGrid w:val="0"/>
        <w:rPr>
          <w:rFonts w:cs="Times New Roman"/>
          <w:szCs w:val="22"/>
        </w:rPr>
      </w:pPr>
      <w:r w:rsidRPr="00A949CD">
        <w:rPr>
          <w:rFonts w:cs="Times New Roman"/>
          <w:szCs w:val="22"/>
        </w:rPr>
        <w:t xml:space="preserve">This significant increase in the bank of HFC-410A occurs despite the projection for this important segment predicting that there will be </w:t>
      </w:r>
      <w:r>
        <w:rPr>
          <w:rFonts w:cs="Times New Roman"/>
          <w:szCs w:val="22"/>
        </w:rPr>
        <w:t xml:space="preserve">an </w:t>
      </w:r>
      <w:r w:rsidRPr="00A949CD">
        <w:rPr>
          <w:rFonts w:cs="Times New Roman"/>
          <w:szCs w:val="22"/>
        </w:rPr>
        <w:t xml:space="preserve">uptake of HFC-32 </w:t>
      </w:r>
      <w:r w:rsidR="00066E49">
        <w:rPr>
          <w:rFonts w:cs="Times New Roman"/>
          <w:szCs w:val="22"/>
        </w:rPr>
        <w:t>in the smaller charged m</w:t>
      </w:r>
      <w:r>
        <w:rPr>
          <w:rFonts w:cs="Times New Roman"/>
          <w:szCs w:val="22"/>
        </w:rPr>
        <w:t xml:space="preserve">edium AC equipment </w:t>
      </w:r>
      <w:r w:rsidRPr="00A949CD">
        <w:rPr>
          <w:rFonts w:cs="Times New Roman"/>
          <w:szCs w:val="22"/>
        </w:rPr>
        <w:t>with as much as 3,550 tonnes employed by 2030. The model also predicts that refrigerant</w:t>
      </w:r>
      <w:r>
        <w:rPr>
          <w:rFonts w:cs="Times New Roman"/>
          <w:szCs w:val="22"/>
        </w:rPr>
        <w:t>s</w:t>
      </w:r>
      <w:r w:rsidRPr="00A949CD">
        <w:rPr>
          <w:rFonts w:cs="Times New Roman"/>
          <w:szCs w:val="22"/>
        </w:rPr>
        <w:t xml:space="preserve"> with a GWP &lt;1,000, expected to be a HFC/HFO mix</w:t>
      </w:r>
      <w:r>
        <w:rPr>
          <w:rFonts w:cs="Times New Roman"/>
          <w:szCs w:val="22"/>
        </w:rPr>
        <w:t xml:space="preserve"> (</w:t>
      </w:r>
      <w:r w:rsidR="009F5EAE">
        <w:rPr>
          <w:rFonts w:cs="Times New Roman"/>
          <w:szCs w:val="22"/>
        </w:rPr>
        <w:t>possibly</w:t>
      </w:r>
      <w:r>
        <w:rPr>
          <w:rFonts w:cs="Times New Roman"/>
          <w:szCs w:val="22"/>
        </w:rPr>
        <w:t xml:space="preserve"> </w:t>
      </w:r>
      <w:r w:rsidR="009F5EAE">
        <w:rPr>
          <w:rFonts w:cs="Times New Roman"/>
          <w:szCs w:val="22"/>
        </w:rPr>
        <w:t>non-flammable</w:t>
      </w:r>
      <w:r>
        <w:rPr>
          <w:rFonts w:cs="Times New Roman"/>
          <w:szCs w:val="22"/>
        </w:rPr>
        <w:t xml:space="preserve"> Class A1 refrigerant)</w:t>
      </w:r>
      <w:r w:rsidRPr="00A949CD">
        <w:rPr>
          <w:rFonts w:cs="Times New Roman"/>
          <w:szCs w:val="22"/>
        </w:rPr>
        <w:t>, will be employed at similar levels to HFC-32, with about 3,200 tonnes expected to be employed by 2030, plus much smaller quantities of CO</w:t>
      </w:r>
      <w:r w:rsidRPr="00A949CD">
        <w:rPr>
          <w:rFonts w:cs="Times New Roman"/>
          <w:szCs w:val="22"/>
          <w:vertAlign w:val="subscript"/>
        </w:rPr>
        <w:t>2</w:t>
      </w:r>
      <w:r w:rsidRPr="00A949CD">
        <w:rPr>
          <w:rFonts w:cs="Times New Roman"/>
          <w:szCs w:val="22"/>
        </w:rPr>
        <w:t xml:space="preserve"> (133 tonnes by 2030).</w:t>
      </w:r>
    </w:p>
    <w:p w14:paraId="283E4836" w14:textId="77777777" w:rsidR="002F0B13" w:rsidRPr="00A949CD" w:rsidRDefault="002F0B13" w:rsidP="002F0B13">
      <w:pPr>
        <w:snapToGrid w:val="0"/>
        <w:rPr>
          <w:rFonts w:cs="Times New Roman"/>
          <w:szCs w:val="22"/>
        </w:rPr>
      </w:pPr>
      <w:r w:rsidRPr="00A949CD">
        <w:rPr>
          <w:rFonts w:cs="Times New Roman"/>
          <w:szCs w:val="22"/>
        </w:rPr>
        <w:t>Given the work underway with HFC/HFO blends, and the commercial imperative to find non-HFC refrigerants as the timetable for the HFC phase down under the Kigali Amendment progresses, it is reasonable to expect that the major chemical companies will be experimenting with non-HFC and low GWP alternatives for this important segment.</w:t>
      </w:r>
    </w:p>
    <w:p w14:paraId="786514CF" w14:textId="50F45BF5" w:rsidR="002F0B13" w:rsidRPr="00A949CD" w:rsidRDefault="002F0B13" w:rsidP="002F0B13">
      <w:pPr>
        <w:snapToGrid w:val="0"/>
        <w:rPr>
          <w:rFonts w:cs="Times New Roman"/>
          <w:szCs w:val="22"/>
        </w:rPr>
      </w:pPr>
      <w:r w:rsidRPr="00A949CD">
        <w:rPr>
          <w:rFonts w:cs="Times New Roman"/>
          <w:szCs w:val="22"/>
        </w:rPr>
        <w:t xml:space="preserve">During the projection period </w:t>
      </w:r>
      <w:r w:rsidR="009F5EAE" w:rsidRPr="00A949CD">
        <w:rPr>
          <w:rFonts w:cs="Times New Roman"/>
          <w:szCs w:val="22"/>
        </w:rPr>
        <w:t>nearly</w:t>
      </w:r>
      <w:r w:rsidRPr="00A949CD">
        <w:rPr>
          <w:rFonts w:cs="Times New Roman"/>
          <w:szCs w:val="22"/>
        </w:rPr>
        <w:t xml:space="preserve"> all of the currently HCFC-22 charged </w:t>
      </w:r>
      <w:r w:rsidR="00195886">
        <w:rPr>
          <w:rFonts w:cs="Times New Roman"/>
          <w:szCs w:val="22"/>
        </w:rPr>
        <w:t>me</w:t>
      </w:r>
      <w:r w:rsidRPr="00A949CD">
        <w:rPr>
          <w:rFonts w:cs="Times New Roman"/>
          <w:szCs w:val="22"/>
        </w:rPr>
        <w:t xml:space="preserve">dium </w:t>
      </w:r>
      <w:r w:rsidR="00195886">
        <w:rPr>
          <w:rFonts w:cs="Times New Roman"/>
          <w:szCs w:val="22"/>
        </w:rPr>
        <w:t xml:space="preserve">sized split </w:t>
      </w:r>
      <w:r w:rsidRPr="00A949CD">
        <w:rPr>
          <w:rFonts w:cs="Times New Roman"/>
          <w:szCs w:val="22"/>
        </w:rPr>
        <w:t xml:space="preserve">and </w:t>
      </w:r>
      <w:r w:rsidR="00195886">
        <w:rPr>
          <w:rFonts w:cs="Times New Roman"/>
          <w:szCs w:val="22"/>
        </w:rPr>
        <w:t>s</w:t>
      </w:r>
      <w:r w:rsidRPr="00A949CD">
        <w:rPr>
          <w:rFonts w:cs="Times New Roman"/>
          <w:szCs w:val="22"/>
        </w:rPr>
        <w:t>mall</w:t>
      </w:r>
      <w:r w:rsidR="00195886">
        <w:rPr>
          <w:rFonts w:cs="Times New Roman"/>
          <w:szCs w:val="22"/>
        </w:rPr>
        <w:t>er</w:t>
      </w:r>
      <w:r w:rsidRPr="00A949CD">
        <w:rPr>
          <w:rFonts w:cs="Times New Roman"/>
          <w:szCs w:val="22"/>
        </w:rPr>
        <w:t xml:space="preserve"> </w:t>
      </w:r>
      <w:r w:rsidR="00195886">
        <w:rPr>
          <w:rFonts w:cs="Times New Roman"/>
          <w:szCs w:val="22"/>
        </w:rPr>
        <w:t>c</w:t>
      </w:r>
      <w:r w:rsidRPr="00A949CD">
        <w:rPr>
          <w:rFonts w:cs="Times New Roman"/>
          <w:szCs w:val="22"/>
        </w:rPr>
        <w:t xml:space="preserve">ommercial AC systems are expected to be retired from use, with HCFC-22 in this segment falling from more </w:t>
      </w:r>
      <w:r w:rsidR="007068E2">
        <w:rPr>
          <w:rFonts w:cs="Times New Roman"/>
          <w:szCs w:val="22"/>
        </w:rPr>
        <w:t xml:space="preserve">than </w:t>
      </w:r>
      <w:r w:rsidRPr="00A949CD">
        <w:rPr>
          <w:rFonts w:cs="Times New Roman"/>
          <w:szCs w:val="22"/>
        </w:rPr>
        <w:t>3,</w:t>
      </w:r>
      <w:r w:rsidR="007068E2">
        <w:rPr>
          <w:rFonts w:cs="Times New Roman"/>
          <w:szCs w:val="22"/>
        </w:rPr>
        <w:t>3</w:t>
      </w:r>
      <w:r w:rsidRPr="00A949CD">
        <w:rPr>
          <w:rFonts w:cs="Times New Roman"/>
          <w:szCs w:val="22"/>
        </w:rPr>
        <w:t>00 tonnes presently in use.</w:t>
      </w:r>
    </w:p>
    <w:p w14:paraId="58DC3731" w14:textId="77777777" w:rsidR="002F0B13" w:rsidRPr="00710266" w:rsidRDefault="002F0B13" w:rsidP="002F0B13">
      <w:pPr>
        <w:snapToGrid w:val="0"/>
        <w:spacing w:before="240"/>
        <w:rPr>
          <w:rFonts w:cs="Times New Roman"/>
          <w:b/>
          <w:szCs w:val="22"/>
        </w:rPr>
      </w:pPr>
      <w:r w:rsidRPr="00710266">
        <w:rPr>
          <w:rFonts w:cs="Times New Roman"/>
          <w:b/>
          <w:szCs w:val="22"/>
        </w:rPr>
        <w:t>Large AC: Chillers</w:t>
      </w:r>
    </w:p>
    <w:p w14:paraId="133E4585" w14:textId="70E4F0EC" w:rsidR="002F0B13" w:rsidRPr="00A949CD" w:rsidRDefault="002F0B13" w:rsidP="002F0B13">
      <w:pPr>
        <w:snapToGrid w:val="0"/>
        <w:rPr>
          <w:rFonts w:cs="Times New Roman"/>
          <w:szCs w:val="22"/>
        </w:rPr>
      </w:pPr>
      <w:r w:rsidRPr="00A949CD">
        <w:rPr>
          <w:rFonts w:cs="Times New Roman"/>
          <w:szCs w:val="22"/>
        </w:rPr>
        <w:t>While demand for large commercial chillers is expected to grow strongly</w:t>
      </w:r>
      <w:r w:rsidR="0029179E">
        <w:rPr>
          <w:rFonts w:cs="Times New Roman"/>
          <w:szCs w:val="22"/>
        </w:rPr>
        <w:t>,</w:t>
      </w:r>
      <w:r w:rsidRPr="00A949CD">
        <w:rPr>
          <w:rFonts w:cs="Times New Roman"/>
          <w:szCs w:val="22"/>
        </w:rPr>
        <w:t xml:space="preserve"> the bank in this segment is predicted to expand by a modest 6.4% over the projection period from around 4,200 metric tonnes in 2016 to app</w:t>
      </w:r>
      <w:r w:rsidR="00A9321C">
        <w:rPr>
          <w:rFonts w:cs="Times New Roman"/>
          <w:szCs w:val="22"/>
        </w:rPr>
        <w:t xml:space="preserve">roximately 4,650 tonnes in 2030 as chillers are being substituted with other AC technology such as VRV/F systems. </w:t>
      </w:r>
    </w:p>
    <w:p w14:paraId="56FDB650" w14:textId="285E9430" w:rsidR="002F0B13" w:rsidRPr="00A949CD" w:rsidRDefault="002F0B13" w:rsidP="002F0B13">
      <w:pPr>
        <w:snapToGrid w:val="0"/>
        <w:rPr>
          <w:rFonts w:cs="Times New Roman"/>
          <w:szCs w:val="22"/>
        </w:rPr>
      </w:pPr>
      <w:r w:rsidRPr="00A949CD">
        <w:rPr>
          <w:rFonts w:cs="Times New Roman"/>
          <w:szCs w:val="22"/>
        </w:rPr>
        <w:t xml:space="preserve">This relatively small portion (8% </w:t>
      </w:r>
      <w:r>
        <w:rPr>
          <w:rFonts w:cs="Times New Roman"/>
          <w:szCs w:val="22"/>
        </w:rPr>
        <w:t xml:space="preserve">by mass </w:t>
      </w:r>
      <w:r w:rsidRPr="00A949CD">
        <w:rPr>
          <w:rFonts w:cs="Times New Roman"/>
          <w:szCs w:val="22"/>
        </w:rPr>
        <w:t>in 2016) of the refrigerant bank is generally employed in very long lived equipment with operating lives longer than 2</w:t>
      </w:r>
      <w:r>
        <w:rPr>
          <w:rFonts w:cs="Times New Roman"/>
          <w:szCs w:val="22"/>
        </w:rPr>
        <w:t>5</w:t>
      </w:r>
      <w:r w:rsidRPr="00A949CD">
        <w:rPr>
          <w:rFonts w:cs="Times New Roman"/>
          <w:szCs w:val="22"/>
        </w:rPr>
        <w:t xml:space="preserve"> years in many cases. Despite this</w:t>
      </w:r>
      <w:r>
        <w:rPr>
          <w:rFonts w:cs="Times New Roman"/>
          <w:szCs w:val="22"/>
        </w:rPr>
        <w:t>,</w:t>
      </w:r>
      <w:r w:rsidRPr="00A949CD">
        <w:rPr>
          <w:rFonts w:cs="Times New Roman"/>
          <w:szCs w:val="22"/>
        </w:rPr>
        <w:t xml:space="preserve"> the highly engineered and managed equipment has more opportunities for retrofitting than smaller classes of </w:t>
      </w:r>
      <w:r w:rsidR="00DC3970" w:rsidRPr="00A949CD">
        <w:rPr>
          <w:rFonts w:cs="Times New Roman"/>
          <w:szCs w:val="22"/>
        </w:rPr>
        <w:t>equipment,</w:t>
      </w:r>
      <w:r w:rsidRPr="00A949CD">
        <w:rPr>
          <w:rFonts w:cs="Times New Roman"/>
          <w:szCs w:val="22"/>
        </w:rPr>
        <w:t xml:space="preserve"> so this segment is more readily able to adopt new refrigerants as they are proven in the market.</w:t>
      </w:r>
    </w:p>
    <w:p w14:paraId="5E480157" w14:textId="3F085D75" w:rsidR="002F0B13" w:rsidRPr="00A949CD" w:rsidRDefault="002F0B13" w:rsidP="002F0B13">
      <w:pPr>
        <w:snapToGrid w:val="0"/>
        <w:rPr>
          <w:rFonts w:cs="Times New Roman"/>
          <w:szCs w:val="22"/>
        </w:rPr>
      </w:pPr>
      <w:r w:rsidRPr="00A949CD">
        <w:rPr>
          <w:rFonts w:cs="Times New Roman"/>
          <w:szCs w:val="22"/>
        </w:rPr>
        <w:t>The overall GWP of this bank is predicted to fall during the projection period by more than 25% from around 6.4 million tonnes CO</w:t>
      </w:r>
      <w:r w:rsidRPr="00A50BFE">
        <w:rPr>
          <w:rFonts w:cs="Times New Roman"/>
          <w:szCs w:val="22"/>
          <w:vertAlign w:val="subscript"/>
        </w:rPr>
        <w:t>2</w:t>
      </w:r>
      <w:r w:rsidRPr="00A949CD">
        <w:rPr>
          <w:rFonts w:cs="Times New Roman"/>
          <w:szCs w:val="22"/>
        </w:rPr>
        <w:t>e in 2016 to around 4.8 million tonnes CO</w:t>
      </w:r>
      <w:r w:rsidRPr="00A50BFE">
        <w:rPr>
          <w:rFonts w:cs="Times New Roman"/>
          <w:szCs w:val="22"/>
          <w:vertAlign w:val="subscript"/>
        </w:rPr>
        <w:t>2</w:t>
      </w:r>
      <w:r w:rsidRPr="00A949CD">
        <w:rPr>
          <w:rFonts w:cs="Times New Roman"/>
          <w:szCs w:val="22"/>
        </w:rPr>
        <w:t xml:space="preserve">e in 2030. HFC-134a holds its share of this bank, rising slightly from 2,300 metric tonnes in 2016 to 2,560 tonnes in 2030. </w:t>
      </w:r>
      <w:r w:rsidR="009F5EAE" w:rsidRPr="00A949CD">
        <w:rPr>
          <w:rFonts w:cs="Times New Roman"/>
          <w:szCs w:val="22"/>
        </w:rPr>
        <w:t>Similarly,</w:t>
      </w:r>
      <w:r w:rsidRPr="00A949CD">
        <w:rPr>
          <w:rFonts w:cs="Times New Roman"/>
          <w:szCs w:val="22"/>
        </w:rPr>
        <w:t xml:space="preserve"> small quantities of HFC-410A and HFC-407C are roughly maintained over the projection period at 150 and 26 tonnes respectively by 2030. HFC-32 is expected to climb from zero in 2016 to around 200 tonnes in 2030. However the trend in falling CO</w:t>
      </w:r>
      <w:r w:rsidRPr="00A949CD">
        <w:rPr>
          <w:rFonts w:cs="Times New Roman"/>
          <w:szCs w:val="22"/>
          <w:vertAlign w:val="subscript"/>
        </w:rPr>
        <w:t>2</w:t>
      </w:r>
      <w:r w:rsidRPr="00A949CD">
        <w:rPr>
          <w:rFonts w:cs="Times New Roman"/>
          <w:szCs w:val="22"/>
        </w:rPr>
        <w:t xml:space="preserve">e values in this segment </w:t>
      </w:r>
      <w:r w:rsidR="00705B36">
        <w:rPr>
          <w:rFonts w:cs="Times New Roman"/>
          <w:szCs w:val="22"/>
        </w:rPr>
        <w:t>is</w:t>
      </w:r>
      <w:r w:rsidR="00705B36" w:rsidRPr="00A949CD">
        <w:rPr>
          <w:rFonts w:cs="Times New Roman"/>
          <w:szCs w:val="22"/>
        </w:rPr>
        <w:t xml:space="preserve"> </w:t>
      </w:r>
      <w:r w:rsidRPr="00A949CD">
        <w:rPr>
          <w:rFonts w:cs="Times New Roman"/>
          <w:szCs w:val="22"/>
        </w:rPr>
        <w:t>driven by an expected combined bank of more than 1</w:t>
      </w:r>
      <w:r>
        <w:rPr>
          <w:rFonts w:cs="Times New Roman"/>
          <w:szCs w:val="22"/>
        </w:rPr>
        <w:t>,3</w:t>
      </w:r>
      <w:r w:rsidRPr="00A949CD">
        <w:rPr>
          <w:rFonts w:cs="Times New Roman"/>
          <w:szCs w:val="22"/>
        </w:rPr>
        <w:t xml:space="preserve">50 tonnes </w:t>
      </w:r>
      <w:r>
        <w:rPr>
          <w:rFonts w:cs="Times New Roman"/>
          <w:szCs w:val="22"/>
        </w:rPr>
        <w:t>accumulating</w:t>
      </w:r>
      <w:r w:rsidRPr="00A949CD">
        <w:rPr>
          <w:rFonts w:cs="Times New Roman"/>
          <w:szCs w:val="22"/>
        </w:rPr>
        <w:t xml:space="preserve"> between 2016 and 2030</w:t>
      </w:r>
      <w:r w:rsidR="00705B36">
        <w:rPr>
          <w:rFonts w:cs="Times New Roman"/>
          <w:szCs w:val="22"/>
        </w:rPr>
        <w:t xml:space="preserve"> of</w:t>
      </w:r>
      <w:r w:rsidRPr="00A949CD">
        <w:rPr>
          <w:rFonts w:cs="Times New Roman"/>
          <w:szCs w:val="22"/>
        </w:rPr>
        <w:t xml:space="preserve"> </w:t>
      </w:r>
      <w:r>
        <w:rPr>
          <w:rFonts w:cs="Times New Roman"/>
          <w:szCs w:val="22"/>
        </w:rPr>
        <w:t>refrigerants with a GWP&lt;1,000</w:t>
      </w:r>
      <w:r w:rsidR="00705B36">
        <w:rPr>
          <w:rFonts w:cs="Times New Roman"/>
          <w:szCs w:val="22"/>
        </w:rPr>
        <w:t>,</w:t>
      </w:r>
      <w:r>
        <w:rPr>
          <w:rFonts w:cs="Times New Roman"/>
          <w:szCs w:val="22"/>
        </w:rPr>
        <w:t xml:space="preserve"> comprising HFO blends, and refrigerants with a GWP&lt;10 such as HFO-1233zd, HFO-1234yf and ammonia</w:t>
      </w:r>
      <w:r w:rsidRPr="00A949CD">
        <w:rPr>
          <w:rFonts w:cs="Times New Roman"/>
          <w:szCs w:val="22"/>
        </w:rPr>
        <w:t>.</w:t>
      </w:r>
    </w:p>
    <w:p w14:paraId="0B683E20" w14:textId="07856A92" w:rsidR="002F0B13" w:rsidRPr="00A949CD" w:rsidRDefault="002F0B13" w:rsidP="002F0B13">
      <w:pPr>
        <w:snapToGrid w:val="0"/>
        <w:rPr>
          <w:rFonts w:cs="Times New Roman"/>
          <w:szCs w:val="22"/>
        </w:rPr>
      </w:pPr>
      <w:r w:rsidRPr="00A949CD">
        <w:rPr>
          <w:rFonts w:cs="Times New Roman"/>
          <w:szCs w:val="22"/>
        </w:rPr>
        <w:t xml:space="preserve">During the projection period the majority of the currently HCFC-22 </w:t>
      </w:r>
      <w:r w:rsidR="00DC3970">
        <w:rPr>
          <w:rFonts w:cs="Times New Roman"/>
          <w:szCs w:val="22"/>
        </w:rPr>
        <w:t xml:space="preserve">and HCFC-123 </w:t>
      </w:r>
      <w:r w:rsidRPr="00A949CD">
        <w:rPr>
          <w:rFonts w:cs="Times New Roman"/>
          <w:szCs w:val="22"/>
        </w:rPr>
        <w:t>charged Large AC systems are expected to be retired or refitted. HCFC</w:t>
      </w:r>
      <w:r w:rsidR="00DC3970">
        <w:rPr>
          <w:rFonts w:cs="Times New Roman"/>
          <w:szCs w:val="22"/>
        </w:rPr>
        <w:t>s</w:t>
      </w:r>
      <w:r w:rsidRPr="00A949CD">
        <w:rPr>
          <w:rFonts w:cs="Times New Roman"/>
          <w:szCs w:val="22"/>
        </w:rPr>
        <w:t xml:space="preserve"> in this segment is predicted to fall from more than 1,</w:t>
      </w:r>
      <w:r w:rsidR="00DC3970">
        <w:rPr>
          <w:rFonts w:cs="Times New Roman"/>
          <w:szCs w:val="22"/>
        </w:rPr>
        <w:t>7</w:t>
      </w:r>
      <w:r w:rsidRPr="00A949CD">
        <w:rPr>
          <w:rFonts w:cs="Times New Roman"/>
          <w:szCs w:val="22"/>
        </w:rPr>
        <w:t>50 ton</w:t>
      </w:r>
      <w:r w:rsidR="00DC3970">
        <w:rPr>
          <w:rFonts w:cs="Times New Roman"/>
          <w:szCs w:val="22"/>
        </w:rPr>
        <w:t>nes presently in use to around 3</w:t>
      </w:r>
      <w:r w:rsidRPr="00A949CD">
        <w:rPr>
          <w:rFonts w:cs="Times New Roman"/>
          <w:szCs w:val="22"/>
        </w:rPr>
        <w:t>10 tonnes still employed by 2030.</w:t>
      </w:r>
    </w:p>
    <w:p w14:paraId="39240B19" w14:textId="77777777" w:rsidR="002F0B13" w:rsidRDefault="002F0B13" w:rsidP="002F0B13">
      <w:pPr>
        <w:snapToGrid w:val="0"/>
        <w:rPr>
          <w:rFonts w:eastAsia="Times New Roman" w:cs="Times New Roman"/>
          <w:bCs/>
          <w:szCs w:val="22"/>
          <w:lang w:val="en-US"/>
        </w:rPr>
      </w:pPr>
    </w:p>
    <w:p w14:paraId="36CA7DC6" w14:textId="77777777" w:rsidR="002F0B13" w:rsidRPr="001438BF" w:rsidRDefault="002F0B13" w:rsidP="002F0B13">
      <w:pPr>
        <w:pStyle w:val="Heading2"/>
      </w:pPr>
      <w:bookmarkStart w:id="117" w:name="_Toc507507793"/>
      <w:bookmarkStart w:id="118" w:name="_Toc525141286"/>
      <w:r w:rsidRPr="001438BF">
        <w:t>Mobile AC</w:t>
      </w:r>
      <w:bookmarkEnd w:id="117"/>
      <w:bookmarkEnd w:id="118"/>
    </w:p>
    <w:p w14:paraId="1147D78B" w14:textId="45BFE6A7" w:rsidR="002F0B13" w:rsidRPr="00A949CD" w:rsidRDefault="002F0B13" w:rsidP="002F0B13">
      <w:pPr>
        <w:snapToGrid w:val="0"/>
        <w:rPr>
          <w:rFonts w:cs="Times New Roman"/>
          <w:szCs w:val="22"/>
        </w:rPr>
      </w:pPr>
      <w:r w:rsidRPr="00A949CD">
        <w:rPr>
          <w:rFonts w:cs="Times New Roman"/>
          <w:szCs w:val="22"/>
        </w:rPr>
        <w:t xml:space="preserve">The second largest portion of the bank is contained in </w:t>
      </w:r>
      <w:r>
        <w:rPr>
          <w:rFonts w:cs="Times New Roman"/>
          <w:szCs w:val="22"/>
        </w:rPr>
        <w:t>mobile AC (</w:t>
      </w:r>
      <w:r w:rsidRPr="00A949CD">
        <w:rPr>
          <w:rFonts w:cs="Times New Roman"/>
          <w:szCs w:val="22"/>
        </w:rPr>
        <w:t>MAC</w:t>
      </w:r>
      <w:r>
        <w:rPr>
          <w:rFonts w:cs="Times New Roman"/>
          <w:szCs w:val="22"/>
        </w:rPr>
        <w:t>)</w:t>
      </w:r>
      <w:r w:rsidRPr="00A949CD">
        <w:rPr>
          <w:rFonts w:cs="Times New Roman"/>
          <w:szCs w:val="22"/>
        </w:rPr>
        <w:t xml:space="preserve">, employing nearly 11,000 tonnes in 2016, slightly more than 21% of the bank in total. This bank is contained in two broad segments, Small MAC </w:t>
      </w:r>
      <w:r>
        <w:rPr>
          <w:rFonts w:cs="Times New Roman"/>
          <w:szCs w:val="22"/>
        </w:rPr>
        <w:t xml:space="preserve">which includes </w:t>
      </w:r>
      <w:r w:rsidRPr="00A949CD">
        <w:rPr>
          <w:rFonts w:cs="Times New Roman"/>
          <w:szCs w:val="22"/>
        </w:rPr>
        <w:t xml:space="preserve">passenger and light commercial vehicles, employing more than 93% of </w:t>
      </w:r>
      <w:r w:rsidR="002F4A0A">
        <w:rPr>
          <w:rFonts w:cs="Times New Roman"/>
          <w:szCs w:val="22"/>
        </w:rPr>
        <w:t xml:space="preserve">the </w:t>
      </w:r>
      <w:r w:rsidRPr="00A949CD">
        <w:rPr>
          <w:rFonts w:cs="Times New Roman"/>
          <w:szCs w:val="22"/>
        </w:rPr>
        <w:t>MAC bank in 2016, and Large MAC found in large buses, passenger trains</w:t>
      </w:r>
      <w:r>
        <w:rPr>
          <w:rFonts w:cs="Times New Roman"/>
          <w:szCs w:val="22"/>
        </w:rPr>
        <w:t>, recreational vehicles, caravans</w:t>
      </w:r>
      <w:r w:rsidRPr="00A949CD">
        <w:rPr>
          <w:rFonts w:cs="Times New Roman"/>
          <w:szCs w:val="22"/>
        </w:rPr>
        <w:t xml:space="preserve"> and a range of off-road and unregistered vehicles including equipment like mobile cranes, combine </w:t>
      </w:r>
      <w:r w:rsidR="009F5EAE" w:rsidRPr="00A949CD">
        <w:rPr>
          <w:rFonts w:cs="Times New Roman"/>
          <w:szCs w:val="22"/>
        </w:rPr>
        <w:t>harvesters</w:t>
      </w:r>
      <w:r w:rsidRPr="00A949CD">
        <w:rPr>
          <w:rFonts w:cs="Times New Roman"/>
          <w:szCs w:val="22"/>
        </w:rPr>
        <w:t>, road building equipment</w:t>
      </w:r>
      <w:r>
        <w:rPr>
          <w:rFonts w:cs="Times New Roman"/>
          <w:szCs w:val="22"/>
        </w:rPr>
        <w:t>,</w:t>
      </w:r>
      <w:r w:rsidRPr="00A949CD">
        <w:rPr>
          <w:rFonts w:cs="Times New Roman"/>
          <w:szCs w:val="22"/>
        </w:rPr>
        <w:t xml:space="preserve"> etc.</w:t>
      </w:r>
    </w:p>
    <w:p w14:paraId="0C24B555" w14:textId="12DE9E30" w:rsidR="002F0B13" w:rsidRPr="00A949CD" w:rsidRDefault="002F0B13" w:rsidP="002F0B13">
      <w:pPr>
        <w:snapToGrid w:val="0"/>
        <w:rPr>
          <w:rFonts w:cs="Times New Roman"/>
          <w:szCs w:val="22"/>
        </w:rPr>
      </w:pPr>
      <w:r w:rsidRPr="00A949CD">
        <w:rPr>
          <w:rFonts w:cs="Times New Roman"/>
          <w:szCs w:val="22"/>
        </w:rPr>
        <w:t xml:space="preserve">The MAC bank is projected to grow to more than 13,000 tonnes in 2030, spread across more than </w:t>
      </w:r>
      <w:r>
        <w:rPr>
          <w:rFonts w:cs="Times New Roman"/>
          <w:szCs w:val="22"/>
        </w:rPr>
        <w:t>24.7</w:t>
      </w:r>
      <w:r w:rsidRPr="00A949CD">
        <w:rPr>
          <w:rFonts w:cs="Times New Roman"/>
          <w:szCs w:val="22"/>
        </w:rPr>
        <w:t xml:space="preserve"> million vehicles at that time, but representing only 1</w:t>
      </w:r>
      <w:r w:rsidR="002F4A0A">
        <w:rPr>
          <w:rFonts w:cs="Times New Roman"/>
          <w:szCs w:val="22"/>
        </w:rPr>
        <w:t>9</w:t>
      </w:r>
      <w:r w:rsidRPr="00A949CD">
        <w:rPr>
          <w:rFonts w:cs="Times New Roman"/>
          <w:szCs w:val="22"/>
        </w:rPr>
        <w:t>% of the much expanded total bank at that time.</w:t>
      </w:r>
      <w:r w:rsidR="004B5E5D">
        <w:rPr>
          <w:rFonts w:cs="Times New Roman"/>
          <w:szCs w:val="22"/>
        </w:rPr>
        <w:t xml:space="preserve"> This projection assumes a very low take up of electric vehicles over the projection period.</w:t>
      </w:r>
    </w:p>
    <w:p w14:paraId="774D3C71" w14:textId="77777777" w:rsidR="002F0B13" w:rsidRDefault="002F0B13" w:rsidP="002F0B13">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597AB44A" w14:textId="77777777" w:rsidTr="0013680B">
        <w:tc>
          <w:tcPr>
            <w:tcW w:w="9759" w:type="dxa"/>
            <w:vAlign w:val="center"/>
          </w:tcPr>
          <w:p w14:paraId="6914AE97" w14:textId="30555EA6" w:rsidR="002F0B13" w:rsidRPr="000A23F9" w:rsidRDefault="002F0B13" w:rsidP="0013680B">
            <w:pPr>
              <w:spacing w:after="120"/>
              <w:jc w:val="center"/>
              <w:rPr>
                <w:rFonts w:cs="Times New Roman"/>
                <w:b/>
              </w:rPr>
            </w:pPr>
            <w:r w:rsidRPr="000A23F9">
              <w:rPr>
                <w:rFonts w:cs="Times New Roman"/>
                <w:b/>
              </w:rPr>
              <w:br w:type="page"/>
            </w:r>
            <w:r>
              <w:rPr>
                <w:rFonts w:cs="Times New Roman"/>
                <w:b/>
              </w:rPr>
              <w:t xml:space="preserve">Mobile AC </w:t>
            </w:r>
            <w:r w:rsidR="00A0109B">
              <w:rPr>
                <w:rFonts w:cs="Times New Roman"/>
                <w:b/>
              </w:rPr>
              <w:t>b</w:t>
            </w:r>
            <w:r>
              <w:rPr>
                <w:rFonts w:cs="Times New Roman"/>
                <w:b/>
              </w:rPr>
              <w:t>ank (</w:t>
            </w:r>
            <w:r w:rsidR="00A0109B">
              <w:rPr>
                <w:rFonts w:cs="Times New Roman"/>
                <w:b/>
              </w:rPr>
              <w:t>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A0109B">
              <w:rPr>
                <w:rFonts w:cs="Times New Roman"/>
                <w:b/>
              </w:rPr>
              <w:t xml:space="preserve"> (t</w:t>
            </w:r>
            <w:r w:rsidRPr="000A23F9">
              <w:rPr>
                <w:rFonts w:cs="Times New Roman"/>
                <w:b/>
              </w:rPr>
              <w:t>onnes)</w:t>
            </w:r>
          </w:p>
        </w:tc>
      </w:tr>
      <w:tr w:rsidR="002F0B13" w:rsidRPr="000A23F9" w14:paraId="67FE8FBA" w14:textId="77777777" w:rsidTr="0097189F">
        <w:tc>
          <w:tcPr>
            <w:tcW w:w="9759" w:type="dxa"/>
            <w:vAlign w:val="center"/>
          </w:tcPr>
          <w:p w14:paraId="53636821" w14:textId="77777777" w:rsidR="002F0B13" w:rsidRPr="000A23F9" w:rsidRDefault="002F0B13" w:rsidP="0013680B">
            <w:pPr>
              <w:spacing w:before="60" w:after="60"/>
              <w:jc w:val="center"/>
              <w:rPr>
                <w:rFonts w:cs="Times New Roman"/>
                <w:sz w:val="16"/>
                <w:szCs w:val="16"/>
              </w:rPr>
            </w:pPr>
          </w:p>
          <w:p w14:paraId="279E8D63" w14:textId="472507D8" w:rsidR="002F0B13" w:rsidRPr="000A23F9" w:rsidRDefault="0097189F" w:rsidP="0013680B">
            <w:pPr>
              <w:spacing w:before="60" w:after="60"/>
              <w:jc w:val="center"/>
              <w:rPr>
                <w:rFonts w:cs="Times New Roman"/>
                <w:sz w:val="16"/>
                <w:szCs w:val="16"/>
              </w:rPr>
            </w:pPr>
            <w:r>
              <w:rPr>
                <w:noProof/>
                <w:lang w:val="en-AU" w:eastAsia="en-AU"/>
              </w:rPr>
              <w:drawing>
                <wp:inline distT="0" distB="0" distL="0" distR="0" wp14:anchorId="72AAD61D" wp14:editId="1EE4FEEA">
                  <wp:extent cx="6030595" cy="2350135"/>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30595" cy="2350135"/>
                          </a:xfrm>
                          <a:prstGeom prst="rect">
                            <a:avLst/>
                          </a:prstGeom>
                        </pic:spPr>
                      </pic:pic>
                    </a:graphicData>
                  </a:graphic>
                </wp:inline>
              </w:drawing>
            </w:r>
          </w:p>
          <w:p w14:paraId="08A2C8D0" w14:textId="77777777" w:rsidR="002F0B13" w:rsidRPr="000A23F9" w:rsidRDefault="002F0B13" w:rsidP="0013680B">
            <w:pPr>
              <w:spacing w:before="60" w:after="60"/>
              <w:jc w:val="center"/>
              <w:rPr>
                <w:rFonts w:cs="Times New Roman"/>
                <w:sz w:val="16"/>
                <w:szCs w:val="16"/>
              </w:rPr>
            </w:pPr>
          </w:p>
        </w:tc>
      </w:tr>
      <w:tr w:rsidR="002F0B13" w:rsidRPr="000A23F9" w14:paraId="50BCF10B" w14:textId="77777777" w:rsidTr="0013680B">
        <w:tc>
          <w:tcPr>
            <w:tcW w:w="9759" w:type="dxa"/>
            <w:vAlign w:val="center"/>
          </w:tcPr>
          <w:p w14:paraId="2BDCCD4E" w14:textId="70892AD6" w:rsidR="002F0B13" w:rsidRPr="00E23B32" w:rsidRDefault="00E23B32" w:rsidP="00E23B32">
            <w:pPr>
              <w:pStyle w:val="Caption"/>
            </w:pPr>
            <w:bookmarkStart w:id="119" w:name="_Toc525141356"/>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25</w:t>
            </w:r>
            <w:r w:rsidR="009D6843">
              <w:rPr>
                <w:noProof/>
              </w:rPr>
              <w:fldChar w:fldCharType="end"/>
            </w:r>
            <w:r w:rsidRPr="00E23B32">
              <w:t>:</w:t>
            </w:r>
            <w:r w:rsidR="002F0B13" w:rsidRPr="00E23B32">
              <w:rPr>
                <w:bCs w:val="0"/>
              </w:rPr>
              <w:t xml:space="preserve"> Mobile AC refrigerant bank </w:t>
            </w:r>
            <w:r w:rsidR="00A0109B" w:rsidRPr="00E23B32">
              <w:rPr>
                <w:bCs w:val="0"/>
              </w:rPr>
              <w:t>(a</w:t>
            </w:r>
            <w:r w:rsidR="002F0B13" w:rsidRPr="00E23B32">
              <w:rPr>
                <w:bCs w:val="0"/>
              </w:rPr>
              <w:t xml:space="preserve">ctual) </w:t>
            </w:r>
            <w:r w:rsidR="00A0109B" w:rsidRPr="00E23B32">
              <w:rPr>
                <w:bCs w:val="0"/>
              </w:rPr>
              <w:t>by s</w:t>
            </w:r>
            <w:r w:rsidR="002F0B13" w:rsidRPr="00E23B32">
              <w:rPr>
                <w:bCs w:val="0"/>
              </w:rPr>
              <w:t>pecies from 2016 to 2030 in tonnes.</w:t>
            </w:r>
            <w:bookmarkEnd w:id="119"/>
          </w:p>
        </w:tc>
      </w:tr>
    </w:tbl>
    <w:p w14:paraId="7B780650" w14:textId="6657C1C9"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304CA27C" w14:textId="0B211068" w:rsidR="002F0B13" w:rsidRPr="00A949CD" w:rsidRDefault="002F0B13" w:rsidP="002F0B13">
      <w:pPr>
        <w:snapToGrid w:val="0"/>
        <w:rPr>
          <w:rFonts w:cs="Times New Roman"/>
          <w:szCs w:val="22"/>
        </w:rPr>
      </w:pPr>
      <w:r w:rsidRPr="00A949CD">
        <w:rPr>
          <w:rFonts w:cs="Times New Roman"/>
          <w:szCs w:val="22"/>
        </w:rPr>
        <w:t>Importantly, with the introduction of low GWP HFO</w:t>
      </w:r>
      <w:r w:rsidR="002F4A0A">
        <w:rPr>
          <w:rFonts w:cs="Times New Roman"/>
          <w:szCs w:val="22"/>
        </w:rPr>
        <w:t>-1234yf</w:t>
      </w:r>
      <w:r w:rsidRPr="00A949CD">
        <w:rPr>
          <w:rFonts w:cs="Times New Roman"/>
          <w:szCs w:val="22"/>
        </w:rPr>
        <w:t xml:space="preserve"> in new vehicles, the CO</w:t>
      </w:r>
      <w:r w:rsidRPr="002D59D2">
        <w:rPr>
          <w:rFonts w:cs="Times New Roman"/>
          <w:szCs w:val="22"/>
          <w:vertAlign w:val="subscript"/>
        </w:rPr>
        <w:t>2</w:t>
      </w:r>
      <w:r w:rsidRPr="00A949CD">
        <w:rPr>
          <w:rFonts w:cs="Times New Roman"/>
          <w:szCs w:val="22"/>
        </w:rPr>
        <w:t>e value of the MAC bank is projected to fall by nearly 33% from an estimated 15.6 million tonnes CO</w:t>
      </w:r>
      <w:r w:rsidRPr="001438BF">
        <w:rPr>
          <w:rFonts w:cs="Times New Roman"/>
          <w:szCs w:val="22"/>
          <w:vertAlign w:val="subscript"/>
        </w:rPr>
        <w:t>2</w:t>
      </w:r>
      <w:r w:rsidRPr="00A949CD">
        <w:rPr>
          <w:rFonts w:cs="Times New Roman"/>
          <w:szCs w:val="22"/>
        </w:rPr>
        <w:t>e in 2016 to 10.5 million tonnes CO</w:t>
      </w:r>
      <w:r w:rsidRPr="001438BF">
        <w:rPr>
          <w:rFonts w:cs="Times New Roman"/>
          <w:szCs w:val="22"/>
          <w:vertAlign w:val="subscript"/>
        </w:rPr>
        <w:t>2</w:t>
      </w:r>
      <w:r w:rsidRPr="00A949CD">
        <w:rPr>
          <w:rFonts w:cs="Times New Roman"/>
          <w:szCs w:val="22"/>
        </w:rPr>
        <w:t>e by 2030.</w:t>
      </w:r>
    </w:p>
    <w:p w14:paraId="7DDE1C31" w14:textId="77777777" w:rsidR="002F0B13" w:rsidRDefault="002F0B13" w:rsidP="002F0B13">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2ABBB314" w14:textId="77777777" w:rsidTr="0013680B">
        <w:tc>
          <w:tcPr>
            <w:tcW w:w="9759" w:type="dxa"/>
            <w:vAlign w:val="center"/>
          </w:tcPr>
          <w:p w14:paraId="4CEC9277" w14:textId="11B182A2" w:rsidR="002F0B13" w:rsidRPr="000A23F9" w:rsidRDefault="002F0B13" w:rsidP="0013680B">
            <w:pPr>
              <w:spacing w:after="120"/>
              <w:jc w:val="center"/>
              <w:rPr>
                <w:rFonts w:cs="Times New Roman"/>
                <w:b/>
              </w:rPr>
            </w:pPr>
            <w:r w:rsidRPr="000A23F9">
              <w:rPr>
                <w:rFonts w:cs="Times New Roman"/>
                <w:b/>
              </w:rPr>
              <w:br w:type="page"/>
            </w:r>
            <w:r w:rsidR="00A0109B">
              <w:rPr>
                <w:rFonts w:cs="Times New Roman"/>
                <w:b/>
              </w:rPr>
              <w:t>Mobile AC b</w:t>
            </w:r>
            <w:r>
              <w:rPr>
                <w:rFonts w:cs="Times New Roman"/>
                <w:b/>
              </w:rPr>
              <w:t>ank (</w:t>
            </w:r>
            <w:r w:rsidR="00A0109B">
              <w:rPr>
                <w:rFonts w:cs="Times New Roman"/>
                <w:b/>
              </w:rPr>
              <w:t>actual)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31096A">
              <w:rPr>
                <w:rFonts w:cs="Times New Roman"/>
                <w:b/>
                <w:vertAlign w:val="subscript"/>
              </w:rPr>
              <w:t>2</w:t>
            </w:r>
            <w:r>
              <w:rPr>
                <w:rFonts w:cs="Times New Roman"/>
                <w:b/>
              </w:rPr>
              <w:t>e</w:t>
            </w:r>
            <w:r w:rsidRPr="000A23F9">
              <w:rPr>
                <w:rFonts w:cs="Times New Roman"/>
                <w:b/>
              </w:rPr>
              <w:t>)</w:t>
            </w:r>
          </w:p>
        </w:tc>
      </w:tr>
      <w:tr w:rsidR="002F0B13" w:rsidRPr="000A23F9" w14:paraId="540C36D1" w14:textId="77777777" w:rsidTr="0097189F">
        <w:tc>
          <w:tcPr>
            <w:tcW w:w="9759" w:type="dxa"/>
            <w:vAlign w:val="center"/>
          </w:tcPr>
          <w:p w14:paraId="7DD1C38E" w14:textId="77777777" w:rsidR="002F0B13" w:rsidRPr="000A23F9" w:rsidRDefault="002F0B13" w:rsidP="0013680B">
            <w:pPr>
              <w:spacing w:before="60" w:after="60"/>
              <w:jc w:val="center"/>
              <w:rPr>
                <w:rFonts w:cs="Times New Roman"/>
                <w:sz w:val="16"/>
                <w:szCs w:val="16"/>
              </w:rPr>
            </w:pPr>
          </w:p>
          <w:p w14:paraId="73480EC0" w14:textId="406F21F4" w:rsidR="002F0B13" w:rsidRPr="000A23F9" w:rsidRDefault="0097189F" w:rsidP="0013680B">
            <w:pPr>
              <w:spacing w:before="60" w:after="60"/>
              <w:jc w:val="center"/>
              <w:rPr>
                <w:rFonts w:cs="Times New Roman"/>
                <w:sz w:val="16"/>
                <w:szCs w:val="16"/>
              </w:rPr>
            </w:pPr>
            <w:r>
              <w:rPr>
                <w:noProof/>
                <w:lang w:val="en-AU" w:eastAsia="en-AU"/>
              </w:rPr>
              <w:drawing>
                <wp:inline distT="0" distB="0" distL="0" distR="0" wp14:anchorId="0276610A" wp14:editId="1275767B">
                  <wp:extent cx="6030595" cy="2284095"/>
                  <wp:effectExtent l="0" t="0" r="190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30595" cy="2284095"/>
                          </a:xfrm>
                          <a:prstGeom prst="rect">
                            <a:avLst/>
                          </a:prstGeom>
                        </pic:spPr>
                      </pic:pic>
                    </a:graphicData>
                  </a:graphic>
                </wp:inline>
              </w:drawing>
            </w:r>
          </w:p>
          <w:p w14:paraId="2E6AD8CF" w14:textId="77777777" w:rsidR="002F0B13" w:rsidRPr="000A23F9" w:rsidRDefault="002F0B13" w:rsidP="0013680B">
            <w:pPr>
              <w:spacing w:before="60" w:after="60"/>
              <w:jc w:val="center"/>
              <w:rPr>
                <w:rFonts w:cs="Times New Roman"/>
                <w:sz w:val="16"/>
                <w:szCs w:val="16"/>
              </w:rPr>
            </w:pPr>
          </w:p>
        </w:tc>
      </w:tr>
      <w:tr w:rsidR="002F0B13" w:rsidRPr="000A23F9" w14:paraId="57F768BD" w14:textId="77777777" w:rsidTr="0013680B">
        <w:tc>
          <w:tcPr>
            <w:tcW w:w="9759" w:type="dxa"/>
            <w:vAlign w:val="center"/>
          </w:tcPr>
          <w:p w14:paraId="739FE3E9" w14:textId="7F5D4FAC" w:rsidR="002F0B13" w:rsidRPr="00E23B32" w:rsidRDefault="00E23B32" w:rsidP="00E23B32">
            <w:pPr>
              <w:pStyle w:val="Caption"/>
            </w:pPr>
            <w:bookmarkStart w:id="120" w:name="_Toc525141357"/>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26</w:t>
            </w:r>
            <w:r w:rsidR="009D6843">
              <w:rPr>
                <w:noProof/>
              </w:rPr>
              <w:fldChar w:fldCharType="end"/>
            </w:r>
            <w:r w:rsidR="002F0B13" w:rsidRPr="00E23B32">
              <w:rPr>
                <w:bCs w:val="0"/>
              </w:rPr>
              <w:t xml:space="preserve">: Mobile AC refrigerant bank </w:t>
            </w:r>
            <w:r w:rsidR="00A0109B" w:rsidRPr="00E23B32">
              <w:rPr>
                <w:bCs w:val="0"/>
              </w:rPr>
              <w:t>(a</w:t>
            </w:r>
            <w:r w:rsidR="002F0B13" w:rsidRPr="00E23B32">
              <w:rPr>
                <w:bCs w:val="0"/>
              </w:rPr>
              <w:t xml:space="preserve">ctual) by </w:t>
            </w:r>
            <w:r w:rsidR="00A0109B" w:rsidRPr="00E23B32">
              <w:rPr>
                <w:bCs w:val="0"/>
              </w:rPr>
              <w:t>s</w:t>
            </w:r>
            <w:r w:rsidR="002F0B13" w:rsidRPr="00E23B32">
              <w:rPr>
                <w:bCs w:val="0"/>
              </w:rPr>
              <w:t>pecies from 2016 to 2030 in Mt CO</w:t>
            </w:r>
            <w:r w:rsidR="002F0B13" w:rsidRPr="00E23B32">
              <w:rPr>
                <w:bCs w:val="0"/>
                <w:vertAlign w:val="subscript"/>
              </w:rPr>
              <w:t>2</w:t>
            </w:r>
            <w:r w:rsidR="002F0B13" w:rsidRPr="00E23B32">
              <w:rPr>
                <w:bCs w:val="0"/>
              </w:rPr>
              <w:t>e.</w:t>
            </w:r>
            <w:bookmarkEnd w:id="120"/>
          </w:p>
        </w:tc>
      </w:tr>
    </w:tbl>
    <w:p w14:paraId="497A07AE" w14:textId="7E876462"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69858310" w14:textId="77777777" w:rsidR="002F0B13" w:rsidRDefault="002F0B13" w:rsidP="002F0B13">
      <w:pPr>
        <w:rPr>
          <w:rFonts w:cs="Times New Roman"/>
        </w:rPr>
      </w:pPr>
    </w:p>
    <w:p w14:paraId="4201E962" w14:textId="3EF61697" w:rsidR="002F0B13" w:rsidRPr="00A949CD" w:rsidRDefault="002F0B13" w:rsidP="002F0B13">
      <w:pPr>
        <w:snapToGrid w:val="0"/>
        <w:rPr>
          <w:rFonts w:cs="Times New Roman"/>
          <w:szCs w:val="22"/>
        </w:rPr>
      </w:pPr>
      <w:r w:rsidRPr="00A949CD">
        <w:rPr>
          <w:rFonts w:cs="Times New Roman"/>
          <w:szCs w:val="22"/>
        </w:rPr>
        <w:t xml:space="preserve">The bulk of HFOs </w:t>
      </w:r>
      <w:r w:rsidR="00705B36">
        <w:rPr>
          <w:rFonts w:cs="Times New Roman"/>
          <w:szCs w:val="22"/>
        </w:rPr>
        <w:t>is</w:t>
      </w:r>
      <w:r w:rsidR="00705B36" w:rsidRPr="00A949CD">
        <w:rPr>
          <w:rFonts w:cs="Times New Roman"/>
          <w:szCs w:val="22"/>
        </w:rPr>
        <w:t xml:space="preserve"> </w:t>
      </w:r>
      <w:r w:rsidRPr="00A949CD">
        <w:rPr>
          <w:rFonts w:cs="Times New Roman"/>
          <w:szCs w:val="22"/>
        </w:rPr>
        <w:t>expected to be employed in small MAC found in passenger and light commercial vehicles</w:t>
      </w:r>
      <w:r w:rsidR="00705B36">
        <w:rPr>
          <w:rFonts w:cs="Times New Roman"/>
          <w:szCs w:val="22"/>
        </w:rPr>
        <w:t>,</w:t>
      </w:r>
      <w:r w:rsidRPr="00A949CD">
        <w:rPr>
          <w:rFonts w:cs="Times New Roman"/>
          <w:szCs w:val="22"/>
        </w:rPr>
        <w:t xml:space="preserve"> with more than 5,400 tonnes of HFOs predicted to be found in </w:t>
      </w:r>
      <w:r>
        <w:rPr>
          <w:rFonts w:cs="Times New Roman"/>
          <w:szCs w:val="22"/>
        </w:rPr>
        <w:t>S</w:t>
      </w:r>
      <w:r w:rsidRPr="00A949CD">
        <w:rPr>
          <w:rFonts w:cs="Times New Roman"/>
          <w:szCs w:val="22"/>
        </w:rPr>
        <w:t>mall MAC, out of a total Small MAC Bank at that time of approximately 11,900 tonnes, making up more than 17% of the total bank in 2030.</w:t>
      </w:r>
    </w:p>
    <w:p w14:paraId="5E633602" w14:textId="77777777" w:rsidR="002F0B13" w:rsidRPr="00A949CD" w:rsidRDefault="002F0B13" w:rsidP="002F0B13">
      <w:pPr>
        <w:snapToGrid w:val="0"/>
        <w:rPr>
          <w:rFonts w:cs="Times New Roman"/>
          <w:szCs w:val="22"/>
        </w:rPr>
      </w:pPr>
      <w:r w:rsidRPr="00A949CD">
        <w:rPr>
          <w:rFonts w:cs="Times New Roman"/>
          <w:szCs w:val="22"/>
        </w:rPr>
        <w:t xml:space="preserve">The considerable HFO portion of the Small MAC bank is predicted to make up more than 41% of the total MAC bank by 2030. The uptake of HFOs in Small MAC is expected to reduce the bank of HFC-134a in Small MAC from its peak of around 10,400 tonnes in 2020, to around 6,300 tonnes in 2030. </w:t>
      </w:r>
    </w:p>
    <w:p w14:paraId="1F1BC9AA" w14:textId="0A5C32B4" w:rsidR="002F0B13" w:rsidRPr="00A949CD" w:rsidRDefault="002F0B13" w:rsidP="002F0B13">
      <w:pPr>
        <w:snapToGrid w:val="0"/>
        <w:rPr>
          <w:rFonts w:cs="Times New Roman"/>
          <w:szCs w:val="22"/>
        </w:rPr>
      </w:pPr>
      <w:r w:rsidRPr="00A949CD">
        <w:rPr>
          <w:rFonts w:cs="Times New Roman"/>
          <w:szCs w:val="22"/>
        </w:rPr>
        <w:t xml:space="preserve">Hydrocarbons in Small MAC is predicted to grow modestly, in line with </w:t>
      </w:r>
      <w:r>
        <w:rPr>
          <w:rFonts w:cs="Times New Roman"/>
          <w:szCs w:val="22"/>
        </w:rPr>
        <w:t xml:space="preserve">the </w:t>
      </w:r>
      <w:r w:rsidRPr="00A949CD">
        <w:rPr>
          <w:rFonts w:cs="Times New Roman"/>
          <w:szCs w:val="22"/>
        </w:rPr>
        <w:t>fleet growth, from 170 tonnes in 2016 to 210 tonnes in 2030.</w:t>
      </w:r>
      <w:r>
        <w:rPr>
          <w:rFonts w:cs="Times New Roman"/>
          <w:szCs w:val="22"/>
        </w:rPr>
        <w:t xml:space="preserve"> Comparing the two figures below for the actual and </w:t>
      </w:r>
      <w:r w:rsidR="009F5EAE">
        <w:rPr>
          <w:rFonts w:cs="Times New Roman"/>
          <w:szCs w:val="22"/>
        </w:rPr>
        <w:t>equivalent</w:t>
      </w:r>
      <w:r>
        <w:rPr>
          <w:rFonts w:cs="Times New Roman"/>
          <w:szCs w:val="22"/>
        </w:rPr>
        <w:t xml:space="preserve"> banks show a slightly larger wedge of refrigerants with a GWP&lt;10 in the </w:t>
      </w:r>
      <w:r w:rsidR="009F5EAE">
        <w:rPr>
          <w:rFonts w:cs="Times New Roman"/>
          <w:szCs w:val="22"/>
        </w:rPr>
        <w:t>equivalent</w:t>
      </w:r>
      <w:r>
        <w:rPr>
          <w:rFonts w:cs="Times New Roman"/>
          <w:szCs w:val="22"/>
        </w:rPr>
        <w:t xml:space="preserve"> bank. This is due to the lower </w:t>
      </w:r>
      <w:r w:rsidR="009F5EAE">
        <w:rPr>
          <w:rFonts w:cs="Times New Roman"/>
          <w:szCs w:val="22"/>
        </w:rPr>
        <w:t>equivalent</w:t>
      </w:r>
      <w:r>
        <w:rPr>
          <w:rFonts w:cs="Times New Roman"/>
          <w:szCs w:val="22"/>
        </w:rPr>
        <w:t xml:space="preserve"> charge of the older vehicle fleet charged with HC as the actual charge is only 30% of HFC-134a.</w:t>
      </w:r>
    </w:p>
    <w:p w14:paraId="0814378F" w14:textId="77777777" w:rsidR="002F0B13" w:rsidRPr="00A949CD" w:rsidRDefault="002F0B13" w:rsidP="002F0B13">
      <w:pPr>
        <w:snapToGrid w:val="0"/>
        <w:rPr>
          <w:rFonts w:cs="Times New Roman"/>
          <w:szCs w:val="22"/>
        </w:rPr>
      </w:pPr>
      <w:r w:rsidRPr="00A949CD">
        <w:rPr>
          <w:rFonts w:cs="Times New Roman"/>
          <w:szCs w:val="22"/>
        </w:rPr>
        <w:t>A small bank of around 60 tonnes of CO</w:t>
      </w:r>
      <w:r w:rsidRPr="001438BF">
        <w:rPr>
          <w:rFonts w:cs="Times New Roman"/>
          <w:szCs w:val="22"/>
          <w:vertAlign w:val="subscript"/>
        </w:rPr>
        <w:t>2</w:t>
      </w:r>
      <w:r w:rsidRPr="00A949CD">
        <w:rPr>
          <w:rFonts w:cs="Times New Roman"/>
          <w:szCs w:val="22"/>
        </w:rPr>
        <w:t xml:space="preserve"> is predicted to be in operation in Small MAC by 2030.</w:t>
      </w:r>
    </w:p>
    <w:p w14:paraId="0AA4104A" w14:textId="3F3DAA91" w:rsidR="00C91D3D" w:rsidRDefault="00C91D3D">
      <w:pPr>
        <w:spacing w:before="0"/>
        <w:jc w:val="left"/>
        <w:rPr>
          <w:rFonts w:eastAsia="Times New Roman" w:cs="Times New Roman"/>
          <w:bCs/>
          <w:szCs w:val="22"/>
          <w:lang w:val="en-US"/>
        </w:rPr>
      </w:pPr>
      <w:r>
        <w:rPr>
          <w:rFonts w:eastAsia="Times New Roman" w:cs="Times New Roman"/>
          <w:bCs/>
          <w:szCs w:val="22"/>
          <w:lang w:val="en-US"/>
        </w:rPr>
        <w:br w:type="page"/>
      </w:r>
    </w:p>
    <w:p w14:paraId="3BC55577" w14:textId="77777777" w:rsidR="002F0B13" w:rsidRDefault="002F0B13" w:rsidP="002F0B13">
      <w:pPr>
        <w:snapToGrid w:val="0"/>
        <w:rPr>
          <w:rFonts w:eastAsia="Times New Roman" w:cs="Times New Roman"/>
          <w:bCs/>
          <w:szCs w:val="22"/>
          <w:lang w:val="en-US"/>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676F552B" w14:textId="77777777" w:rsidTr="0013680B">
        <w:tc>
          <w:tcPr>
            <w:tcW w:w="9759" w:type="dxa"/>
            <w:vAlign w:val="center"/>
          </w:tcPr>
          <w:p w14:paraId="5311A838" w14:textId="0DC99A0E" w:rsidR="002F0B13" w:rsidRPr="000A23F9" w:rsidRDefault="002F0B13" w:rsidP="0013680B">
            <w:pPr>
              <w:spacing w:after="120"/>
              <w:jc w:val="center"/>
              <w:rPr>
                <w:rFonts w:cs="Times New Roman"/>
                <w:b/>
              </w:rPr>
            </w:pPr>
            <w:r w:rsidRPr="000A23F9">
              <w:rPr>
                <w:rFonts w:cs="Times New Roman"/>
                <w:b/>
              </w:rPr>
              <w:br w:type="page"/>
            </w:r>
            <w:r w:rsidR="00A0109B">
              <w:rPr>
                <w:rFonts w:cs="Times New Roman"/>
                <w:b/>
              </w:rPr>
              <w:t>Small Mobile AC b</w:t>
            </w:r>
            <w:r>
              <w:rPr>
                <w:rFonts w:cs="Times New Roman"/>
                <w:b/>
              </w:rPr>
              <w:t>ank (</w:t>
            </w:r>
            <w:r w:rsidR="00A0109B">
              <w:rPr>
                <w:rFonts w:cs="Times New Roman"/>
                <w:b/>
              </w:rPr>
              <w:t>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sidR="00A0109B">
              <w:rPr>
                <w:rFonts w:cs="Times New Roman"/>
                <w:b/>
              </w:rPr>
              <w:t>t</w:t>
            </w:r>
            <w:r w:rsidRPr="000A23F9">
              <w:rPr>
                <w:rFonts w:cs="Times New Roman"/>
                <w:b/>
              </w:rPr>
              <w:t>onnes)</w:t>
            </w:r>
          </w:p>
        </w:tc>
      </w:tr>
      <w:tr w:rsidR="002F0B13" w:rsidRPr="000A23F9" w14:paraId="4A71C5DE" w14:textId="77777777" w:rsidTr="0097189F">
        <w:tc>
          <w:tcPr>
            <w:tcW w:w="9759" w:type="dxa"/>
            <w:vAlign w:val="center"/>
          </w:tcPr>
          <w:p w14:paraId="352330E2" w14:textId="77777777" w:rsidR="002F0B13" w:rsidRPr="000A23F9" w:rsidRDefault="002F0B13" w:rsidP="0013680B">
            <w:pPr>
              <w:spacing w:before="60" w:after="60"/>
              <w:jc w:val="center"/>
              <w:rPr>
                <w:rFonts w:cs="Times New Roman"/>
                <w:sz w:val="16"/>
                <w:szCs w:val="16"/>
              </w:rPr>
            </w:pPr>
          </w:p>
          <w:p w14:paraId="221714E9" w14:textId="4BC75012" w:rsidR="002F0B13" w:rsidRPr="000A23F9" w:rsidRDefault="0097189F" w:rsidP="0013680B">
            <w:pPr>
              <w:spacing w:before="60" w:after="60"/>
              <w:jc w:val="center"/>
              <w:rPr>
                <w:rFonts w:cs="Times New Roman"/>
                <w:sz w:val="16"/>
                <w:szCs w:val="16"/>
              </w:rPr>
            </w:pPr>
            <w:r>
              <w:rPr>
                <w:noProof/>
                <w:lang w:val="en-AU" w:eastAsia="en-AU"/>
              </w:rPr>
              <w:drawing>
                <wp:inline distT="0" distB="0" distL="0" distR="0" wp14:anchorId="385799FB" wp14:editId="13BB0B0D">
                  <wp:extent cx="6030595" cy="221488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30595" cy="2214880"/>
                          </a:xfrm>
                          <a:prstGeom prst="rect">
                            <a:avLst/>
                          </a:prstGeom>
                        </pic:spPr>
                      </pic:pic>
                    </a:graphicData>
                  </a:graphic>
                </wp:inline>
              </w:drawing>
            </w:r>
          </w:p>
          <w:p w14:paraId="6A89FB12" w14:textId="77777777" w:rsidR="002F0B13" w:rsidRPr="000A23F9" w:rsidRDefault="002F0B13" w:rsidP="0013680B">
            <w:pPr>
              <w:spacing w:before="60" w:after="60"/>
              <w:jc w:val="center"/>
              <w:rPr>
                <w:rFonts w:cs="Times New Roman"/>
                <w:sz w:val="16"/>
                <w:szCs w:val="16"/>
              </w:rPr>
            </w:pPr>
          </w:p>
        </w:tc>
      </w:tr>
      <w:tr w:rsidR="002F0B13" w:rsidRPr="000A23F9" w14:paraId="415831BA" w14:textId="77777777" w:rsidTr="0013680B">
        <w:tc>
          <w:tcPr>
            <w:tcW w:w="9759" w:type="dxa"/>
            <w:vAlign w:val="center"/>
          </w:tcPr>
          <w:p w14:paraId="09C0B7CF" w14:textId="6C7C0153" w:rsidR="002F0B13" w:rsidRPr="00E23B32" w:rsidRDefault="00E23B32" w:rsidP="00E23B32">
            <w:pPr>
              <w:pStyle w:val="Caption"/>
            </w:pPr>
            <w:bookmarkStart w:id="121" w:name="_Toc525141358"/>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27</w:t>
            </w:r>
            <w:r w:rsidR="009D6843">
              <w:rPr>
                <w:noProof/>
              </w:rPr>
              <w:fldChar w:fldCharType="end"/>
            </w:r>
            <w:r w:rsidRPr="00E23B32">
              <w:t xml:space="preserve">: </w:t>
            </w:r>
            <w:r w:rsidR="002F0B13" w:rsidRPr="00E23B32">
              <w:rPr>
                <w:bCs w:val="0"/>
              </w:rPr>
              <w:t xml:space="preserve">Small Mobile AC refrigerant bank </w:t>
            </w:r>
            <w:r w:rsidR="00A0109B" w:rsidRPr="00E23B32">
              <w:rPr>
                <w:bCs w:val="0"/>
              </w:rPr>
              <w:t>(a</w:t>
            </w:r>
            <w:r w:rsidR="002F0B13" w:rsidRPr="00E23B32">
              <w:rPr>
                <w:bCs w:val="0"/>
              </w:rPr>
              <w:t xml:space="preserve">ctual) by </w:t>
            </w:r>
            <w:r w:rsidR="00A0109B" w:rsidRPr="00E23B32">
              <w:rPr>
                <w:bCs w:val="0"/>
              </w:rPr>
              <w:t>s</w:t>
            </w:r>
            <w:r w:rsidR="002F0B13" w:rsidRPr="00E23B32">
              <w:rPr>
                <w:bCs w:val="0"/>
              </w:rPr>
              <w:t>pecies from 2016 to 2030 in tonnes.</w:t>
            </w:r>
            <w:bookmarkEnd w:id="121"/>
          </w:p>
        </w:tc>
      </w:tr>
    </w:tbl>
    <w:p w14:paraId="6F7888E1" w14:textId="785E92B4"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7E28178C" w14:textId="77777777" w:rsidR="002F0B13" w:rsidRDefault="002F0B13" w:rsidP="002F0B13">
      <w:pPr>
        <w:snapToGrid w:val="0"/>
        <w:rPr>
          <w:rFonts w:eastAsia="Times New Roman" w:cs="Times New Roman"/>
          <w:bCs/>
          <w:szCs w:val="22"/>
          <w:lang w:val="en-US"/>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4DEE1A4A" w14:textId="77777777" w:rsidTr="0013680B">
        <w:tc>
          <w:tcPr>
            <w:tcW w:w="9759" w:type="dxa"/>
            <w:vAlign w:val="center"/>
          </w:tcPr>
          <w:p w14:paraId="631C40C8" w14:textId="0937A021" w:rsidR="002F0B13" w:rsidRPr="000A23F9" w:rsidRDefault="002F0B13" w:rsidP="0013680B">
            <w:pPr>
              <w:spacing w:after="120"/>
              <w:jc w:val="center"/>
              <w:rPr>
                <w:rFonts w:cs="Times New Roman"/>
                <w:b/>
              </w:rPr>
            </w:pPr>
            <w:r w:rsidRPr="000A23F9">
              <w:rPr>
                <w:rFonts w:cs="Times New Roman"/>
                <w:b/>
              </w:rPr>
              <w:br w:type="page"/>
            </w:r>
            <w:r w:rsidR="00A0109B">
              <w:rPr>
                <w:rFonts w:cs="Times New Roman"/>
                <w:b/>
              </w:rPr>
              <w:t>Small Mobile AC b</w:t>
            </w:r>
            <w:r>
              <w:rPr>
                <w:rFonts w:cs="Times New Roman"/>
                <w:b/>
              </w:rPr>
              <w:t>ank (</w:t>
            </w:r>
            <w:r w:rsidR="009F5EAE">
              <w:rPr>
                <w:rFonts w:cs="Times New Roman"/>
                <w:b/>
              </w:rPr>
              <w:t>equivalent</w:t>
            </w:r>
            <w:r>
              <w:rPr>
                <w:rFonts w:cs="Times New Roman"/>
                <w:b/>
              </w:rPr>
              <w:t xml:space="preserve">)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sidR="00A0109B">
              <w:rPr>
                <w:rFonts w:cs="Times New Roman"/>
                <w:b/>
              </w:rPr>
              <w:t>t</w:t>
            </w:r>
            <w:r w:rsidRPr="000A23F9">
              <w:rPr>
                <w:rFonts w:cs="Times New Roman"/>
                <w:b/>
              </w:rPr>
              <w:t>onnes)</w:t>
            </w:r>
          </w:p>
        </w:tc>
      </w:tr>
      <w:tr w:rsidR="002F0B13" w:rsidRPr="000A23F9" w14:paraId="31D9FFC2" w14:textId="77777777" w:rsidTr="00EA18BF">
        <w:tc>
          <w:tcPr>
            <w:tcW w:w="9759" w:type="dxa"/>
            <w:vAlign w:val="center"/>
          </w:tcPr>
          <w:p w14:paraId="4273565C" w14:textId="77777777" w:rsidR="002F0B13" w:rsidRPr="000A23F9" w:rsidRDefault="002F0B13" w:rsidP="0013680B">
            <w:pPr>
              <w:spacing w:before="60" w:after="60"/>
              <w:jc w:val="center"/>
              <w:rPr>
                <w:rFonts w:cs="Times New Roman"/>
                <w:sz w:val="16"/>
                <w:szCs w:val="16"/>
              </w:rPr>
            </w:pPr>
          </w:p>
          <w:p w14:paraId="5DC4DA37" w14:textId="74EABD3D" w:rsidR="002F0B13" w:rsidRPr="000A23F9" w:rsidRDefault="00EA18BF" w:rsidP="0013680B">
            <w:pPr>
              <w:spacing w:before="60" w:after="60"/>
              <w:jc w:val="center"/>
              <w:rPr>
                <w:rFonts w:cs="Times New Roman"/>
                <w:sz w:val="16"/>
                <w:szCs w:val="16"/>
              </w:rPr>
            </w:pPr>
            <w:r>
              <w:rPr>
                <w:noProof/>
                <w:lang w:val="en-AU" w:eastAsia="en-AU"/>
              </w:rPr>
              <w:drawing>
                <wp:inline distT="0" distB="0" distL="0" distR="0" wp14:anchorId="6C6AD574" wp14:editId="598BAC90">
                  <wp:extent cx="6030595" cy="221488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30595" cy="2214880"/>
                          </a:xfrm>
                          <a:prstGeom prst="rect">
                            <a:avLst/>
                          </a:prstGeom>
                        </pic:spPr>
                      </pic:pic>
                    </a:graphicData>
                  </a:graphic>
                </wp:inline>
              </w:drawing>
            </w:r>
          </w:p>
          <w:p w14:paraId="63F4652B" w14:textId="77777777" w:rsidR="002F0B13" w:rsidRPr="000A23F9" w:rsidRDefault="002F0B13" w:rsidP="0013680B">
            <w:pPr>
              <w:spacing w:before="60" w:after="60"/>
              <w:jc w:val="center"/>
              <w:rPr>
                <w:rFonts w:cs="Times New Roman"/>
                <w:sz w:val="16"/>
                <w:szCs w:val="16"/>
              </w:rPr>
            </w:pPr>
          </w:p>
        </w:tc>
      </w:tr>
      <w:tr w:rsidR="002F0B13" w:rsidRPr="000A23F9" w14:paraId="078316B7" w14:textId="77777777" w:rsidTr="0013680B">
        <w:tc>
          <w:tcPr>
            <w:tcW w:w="9759" w:type="dxa"/>
            <w:vAlign w:val="center"/>
          </w:tcPr>
          <w:p w14:paraId="133586DA" w14:textId="283645A4" w:rsidR="002F0B13" w:rsidRPr="00E23B32" w:rsidRDefault="00E23B32" w:rsidP="00E23B32">
            <w:pPr>
              <w:pStyle w:val="Caption"/>
            </w:pPr>
            <w:bookmarkStart w:id="122" w:name="_Toc525141359"/>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28</w:t>
            </w:r>
            <w:r w:rsidR="009D6843">
              <w:rPr>
                <w:noProof/>
              </w:rPr>
              <w:fldChar w:fldCharType="end"/>
            </w:r>
            <w:r w:rsidR="002F0B13" w:rsidRPr="00E23B32">
              <w:rPr>
                <w:bCs w:val="0"/>
              </w:rPr>
              <w:t xml:space="preserve">: Small Mobile AC refrigerant bank </w:t>
            </w:r>
            <w:r w:rsidR="00A0109B" w:rsidRPr="00E23B32">
              <w:rPr>
                <w:bCs w:val="0"/>
              </w:rPr>
              <w:t>(</w:t>
            </w:r>
            <w:r w:rsidR="009F5EAE" w:rsidRPr="00E23B32">
              <w:rPr>
                <w:bCs w:val="0"/>
              </w:rPr>
              <w:t>equivalent</w:t>
            </w:r>
            <w:r w:rsidR="002F0B13" w:rsidRPr="00E23B32">
              <w:rPr>
                <w:bCs w:val="0"/>
              </w:rPr>
              <w:t xml:space="preserve">) by </w:t>
            </w:r>
            <w:r w:rsidR="00A0109B" w:rsidRPr="00E23B32">
              <w:rPr>
                <w:bCs w:val="0"/>
              </w:rPr>
              <w:t>s</w:t>
            </w:r>
            <w:r w:rsidR="002F0B13" w:rsidRPr="00E23B32">
              <w:rPr>
                <w:bCs w:val="0"/>
              </w:rPr>
              <w:t>pecies from 2016 to 2030 in tonnes.</w:t>
            </w:r>
            <w:bookmarkEnd w:id="122"/>
          </w:p>
        </w:tc>
      </w:tr>
    </w:tbl>
    <w:p w14:paraId="4B0B22D4" w14:textId="2642B714"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0543E946" w14:textId="77777777" w:rsidR="002F0B13" w:rsidRDefault="002F0B13" w:rsidP="002F0B13">
      <w:pPr>
        <w:rPr>
          <w:rFonts w:cs="Times New Roman"/>
        </w:rPr>
      </w:pPr>
    </w:p>
    <w:p w14:paraId="1958D622" w14:textId="77777777" w:rsidR="002F0B13" w:rsidRPr="00A949CD" w:rsidRDefault="002F0B13" w:rsidP="002F0B13">
      <w:pPr>
        <w:snapToGrid w:val="0"/>
        <w:rPr>
          <w:rFonts w:cs="Times New Roman"/>
          <w:szCs w:val="22"/>
        </w:rPr>
      </w:pPr>
      <w:r w:rsidRPr="00A949CD">
        <w:rPr>
          <w:rFonts w:cs="Times New Roman"/>
          <w:szCs w:val="22"/>
        </w:rPr>
        <w:t>The more complex and specialized segment, Large MAC, includes a range of applications for which high GWP HFCs are required to deliver the performance required. Current components of the Large MAC bank that are expected to either grow or roughly maintain thei</w:t>
      </w:r>
      <w:r>
        <w:rPr>
          <w:rFonts w:cs="Times New Roman"/>
          <w:szCs w:val="22"/>
        </w:rPr>
        <w:t>r share of this segment include:</w:t>
      </w:r>
    </w:p>
    <w:p w14:paraId="001B9692" w14:textId="77777777"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HFC-407C, from 390 tonnes in 2016, rising to a peak of 580 tonnes in 2025 before starting to exhibit a gentle decline to around 530 tonnes in 2030;</w:t>
      </w:r>
    </w:p>
    <w:p w14:paraId="3D6C05B4" w14:textId="77777777"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HFC-134a, from 227 tonnes in 2016 to 256 tonnes in 2030; and</w:t>
      </w:r>
      <w:r>
        <w:rPr>
          <w:rFonts w:ascii="Times New Roman" w:hAnsi="Times New Roman"/>
        </w:rPr>
        <w:t>,</w:t>
      </w:r>
      <w:r w:rsidRPr="00A949CD">
        <w:rPr>
          <w:rFonts w:ascii="Times New Roman" w:hAnsi="Times New Roman"/>
        </w:rPr>
        <w:t xml:space="preserve"> </w:t>
      </w:r>
    </w:p>
    <w:p w14:paraId="742399BD" w14:textId="77777777"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HFC-410A, from 87 tonnes in 2016 to 81 tonnes in 2030.</w:t>
      </w:r>
    </w:p>
    <w:p w14:paraId="14CDDD9A" w14:textId="77777777" w:rsidR="002F0B13" w:rsidRPr="00A949CD" w:rsidRDefault="002F0B13" w:rsidP="002F0B13">
      <w:pPr>
        <w:snapToGrid w:val="0"/>
        <w:rPr>
          <w:rFonts w:cs="Times New Roman"/>
          <w:szCs w:val="22"/>
        </w:rPr>
      </w:pPr>
      <w:r w:rsidRPr="00A949CD">
        <w:rPr>
          <w:rFonts w:cs="Times New Roman"/>
          <w:szCs w:val="22"/>
        </w:rPr>
        <w:t>The Large MAC bank is predicted to grow from around 740 tonnes in 2016 to approximately 1,070 tonnes in 2030, at that time comprising around 1.5% of the total bank.</w:t>
      </w:r>
    </w:p>
    <w:p w14:paraId="38BB0CD3" w14:textId="7ED817C7" w:rsidR="002F0B13" w:rsidRPr="00A949CD" w:rsidRDefault="002F0B13" w:rsidP="002F0B13">
      <w:pPr>
        <w:snapToGrid w:val="0"/>
        <w:rPr>
          <w:rFonts w:cs="Times New Roman"/>
          <w:szCs w:val="22"/>
        </w:rPr>
      </w:pPr>
      <w:r w:rsidRPr="00A949CD">
        <w:rPr>
          <w:rFonts w:cs="Times New Roman"/>
          <w:szCs w:val="22"/>
        </w:rPr>
        <w:t xml:space="preserve">While there </w:t>
      </w:r>
      <w:r>
        <w:rPr>
          <w:rFonts w:cs="Times New Roman"/>
          <w:szCs w:val="22"/>
        </w:rPr>
        <w:t xml:space="preserve">are </w:t>
      </w:r>
      <w:r w:rsidRPr="00A949CD">
        <w:rPr>
          <w:rFonts w:cs="Times New Roman"/>
          <w:szCs w:val="22"/>
        </w:rPr>
        <w:t xml:space="preserve">some low GWP </w:t>
      </w:r>
      <w:r>
        <w:rPr>
          <w:rFonts w:cs="Times New Roman"/>
          <w:szCs w:val="22"/>
        </w:rPr>
        <w:t>refrigerants</w:t>
      </w:r>
      <w:r w:rsidR="00705B36">
        <w:rPr>
          <w:rFonts w:cs="Times New Roman"/>
          <w:szCs w:val="22"/>
        </w:rPr>
        <w:t xml:space="preserve"> in this segment</w:t>
      </w:r>
      <w:r>
        <w:rPr>
          <w:rFonts w:cs="Times New Roman"/>
          <w:szCs w:val="22"/>
        </w:rPr>
        <w:t xml:space="preserve">, </w:t>
      </w:r>
      <w:r w:rsidRPr="00A949CD">
        <w:rPr>
          <w:rFonts w:cs="Times New Roman"/>
          <w:szCs w:val="22"/>
        </w:rPr>
        <w:t xml:space="preserve">HFC-407C is predicted to continue to be employed in a significant portion of the equipment in this segment, rising to a peak of </w:t>
      </w:r>
      <w:r>
        <w:rPr>
          <w:rFonts w:cs="Times New Roman"/>
          <w:szCs w:val="22"/>
        </w:rPr>
        <w:t>580 tonnes in 2025.</w:t>
      </w:r>
    </w:p>
    <w:p w14:paraId="7AE7D71C" w14:textId="01CD6478" w:rsidR="002F0B13" w:rsidRDefault="002F0B13" w:rsidP="002F0B13">
      <w:pPr>
        <w:snapToGrid w:val="0"/>
        <w:rPr>
          <w:rFonts w:cs="Times New Roman"/>
        </w:rPr>
      </w:pPr>
      <w:r w:rsidRPr="00A949CD">
        <w:rPr>
          <w:rFonts w:cs="Times New Roman"/>
          <w:szCs w:val="22"/>
        </w:rPr>
        <w:t xml:space="preserve">During the projection period </w:t>
      </w:r>
      <w:r w:rsidR="009F5EAE" w:rsidRPr="00A949CD">
        <w:rPr>
          <w:rFonts w:cs="Times New Roman"/>
          <w:szCs w:val="22"/>
        </w:rPr>
        <w:t>nearly</w:t>
      </w:r>
      <w:r w:rsidRPr="00A949CD">
        <w:rPr>
          <w:rFonts w:cs="Times New Roman"/>
          <w:szCs w:val="22"/>
        </w:rPr>
        <w:t xml:space="preserve"> all of the currently HCFC-22 charged Large MAC systems are expected to be retired or </w:t>
      </w:r>
      <w:r>
        <w:rPr>
          <w:rFonts w:cs="Times New Roman"/>
          <w:szCs w:val="22"/>
        </w:rPr>
        <w:t>be retrofitted</w:t>
      </w:r>
      <w:r w:rsidRPr="00A949CD">
        <w:rPr>
          <w:rFonts w:cs="Times New Roman"/>
          <w:szCs w:val="22"/>
        </w:rPr>
        <w:t>. HCFC-22 in this segment is predicted to fall from around 33 tonnes presently in use to effectively zero by 2030.</w:t>
      </w:r>
    </w:p>
    <w:p w14:paraId="2B3452EC" w14:textId="77777777" w:rsidR="002F0B13" w:rsidRDefault="002F0B13" w:rsidP="002F0B13">
      <w:pPr>
        <w:rPr>
          <w:rFonts w:cs="Times New Roman"/>
        </w:rPr>
      </w:pPr>
    </w:p>
    <w:p w14:paraId="115DE40E" w14:textId="7C6A604E" w:rsidR="002F0B13" w:rsidRPr="001438BF" w:rsidRDefault="002F0B13" w:rsidP="002F0B13">
      <w:pPr>
        <w:pStyle w:val="Heading2"/>
      </w:pPr>
      <w:bookmarkStart w:id="123" w:name="_Toc507507794"/>
      <w:bookmarkStart w:id="124" w:name="_Toc525141287"/>
      <w:r w:rsidRPr="001438BF">
        <w:t xml:space="preserve">The </w:t>
      </w:r>
      <w:r w:rsidR="00A0109B">
        <w:t>r</w:t>
      </w:r>
      <w:r w:rsidRPr="001438BF">
        <w:t xml:space="preserve">efrigerated </w:t>
      </w:r>
      <w:r w:rsidR="00A0109B">
        <w:t>c</w:t>
      </w:r>
      <w:r w:rsidRPr="001438BF">
        <w:t xml:space="preserve">old </w:t>
      </w:r>
      <w:r w:rsidR="00A0109B">
        <w:t>f</w:t>
      </w:r>
      <w:r>
        <w:t xml:space="preserve">ood </w:t>
      </w:r>
      <w:r w:rsidR="00A0109B">
        <w:t>c</w:t>
      </w:r>
      <w:r w:rsidRPr="001438BF">
        <w:t>hain</w:t>
      </w:r>
      <w:bookmarkEnd w:id="123"/>
      <w:bookmarkEnd w:id="124"/>
      <w:r w:rsidRPr="001438BF">
        <w:t xml:space="preserve"> </w:t>
      </w:r>
    </w:p>
    <w:p w14:paraId="5A02A907" w14:textId="6F49018E" w:rsidR="002F0B13" w:rsidRPr="00A949CD" w:rsidRDefault="002F0B13" w:rsidP="002F0B13">
      <w:pPr>
        <w:snapToGrid w:val="0"/>
        <w:rPr>
          <w:rFonts w:cs="Times New Roman"/>
          <w:szCs w:val="22"/>
        </w:rPr>
      </w:pPr>
      <w:r w:rsidRPr="00A949CD">
        <w:rPr>
          <w:rFonts w:cs="Times New Roman"/>
          <w:szCs w:val="22"/>
        </w:rPr>
        <w:t xml:space="preserve">The refrigerated cold food chain (RCFC), that stretches from farm shed to local food retailers, and which in many retail and hospitality settings </w:t>
      </w:r>
      <w:r w:rsidR="002F4A0A">
        <w:rPr>
          <w:rFonts w:cs="Times New Roman"/>
          <w:szCs w:val="22"/>
        </w:rPr>
        <w:t xml:space="preserve">is </w:t>
      </w:r>
      <w:r w:rsidRPr="00A949CD">
        <w:rPr>
          <w:rFonts w:cs="Times New Roman"/>
          <w:szCs w:val="22"/>
        </w:rPr>
        <w:t xml:space="preserve">incorporated into bespoke cabinets and equipment formats, employs a diverse bank to suit the wide range of temperature conditions </w:t>
      </w:r>
      <w:r>
        <w:rPr>
          <w:rFonts w:cs="Times New Roman"/>
          <w:szCs w:val="22"/>
        </w:rPr>
        <w:t>(typically from -25</w:t>
      </w:r>
      <w:r w:rsidRPr="00683832">
        <w:rPr>
          <w:rFonts w:cs="Times New Roman"/>
          <w:szCs w:val="22"/>
          <w:vertAlign w:val="superscript"/>
        </w:rPr>
        <w:t>o</w:t>
      </w:r>
      <w:r>
        <w:rPr>
          <w:rFonts w:cs="Times New Roman"/>
          <w:szCs w:val="22"/>
        </w:rPr>
        <w:t>C to +7</w:t>
      </w:r>
      <w:r w:rsidRPr="00683832">
        <w:rPr>
          <w:rFonts w:cs="Times New Roman"/>
          <w:szCs w:val="22"/>
          <w:vertAlign w:val="superscript"/>
        </w:rPr>
        <w:t>o</w:t>
      </w:r>
      <w:r>
        <w:rPr>
          <w:rFonts w:cs="Times New Roman"/>
          <w:szCs w:val="22"/>
        </w:rPr>
        <w:t xml:space="preserve">C) </w:t>
      </w:r>
      <w:r w:rsidRPr="00A949CD">
        <w:rPr>
          <w:rFonts w:cs="Times New Roman"/>
          <w:szCs w:val="22"/>
        </w:rPr>
        <w:t>and outputs required.</w:t>
      </w:r>
    </w:p>
    <w:p w14:paraId="331B575F" w14:textId="1A4C25B3" w:rsidR="002F0B13" w:rsidRDefault="002F0B13" w:rsidP="002F0B13">
      <w:pPr>
        <w:snapToGrid w:val="0"/>
        <w:rPr>
          <w:rFonts w:cs="Times New Roman"/>
          <w:szCs w:val="22"/>
        </w:rPr>
      </w:pPr>
      <w:r w:rsidRPr="00A949CD">
        <w:rPr>
          <w:rFonts w:cs="Times New Roman"/>
          <w:szCs w:val="22"/>
        </w:rPr>
        <w:t>Employing about 14%</w:t>
      </w:r>
      <w:r w:rsidR="009F0DB7">
        <w:rPr>
          <w:rFonts w:cs="Times New Roman"/>
          <w:szCs w:val="22"/>
        </w:rPr>
        <w:t xml:space="preserve"> of the total bank, or about 6,9</w:t>
      </w:r>
      <w:r w:rsidRPr="00A949CD">
        <w:rPr>
          <w:rFonts w:cs="Times New Roman"/>
          <w:szCs w:val="22"/>
        </w:rPr>
        <w:t xml:space="preserve">00 tonnes of refrigerant in 2016, the bank in this relatively small but critical </w:t>
      </w:r>
      <w:r>
        <w:rPr>
          <w:rFonts w:cs="Times New Roman"/>
          <w:szCs w:val="22"/>
        </w:rPr>
        <w:t>c</w:t>
      </w:r>
      <w:r w:rsidRPr="00A949CD">
        <w:rPr>
          <w:rFonts w:cs="Times New Roman"/>
          <w:szCs w:val="22"/>
        </w:rPr>
        <w:t xml:space="preserve">lass of equipment </w:t>
      </w:r>
      <w:r>
        <w:rPr>
          <w:rFonts w:cs="Times New Roman"/>
          <w:szCs w:val="22"/>
        </w:rPr>
        <w:t xml:space="preserve">is </w:t>
      </w:r>
      <w:r w:rsidRPr="00A949CD">
        <w:rPr>
          <w:rFonts w:cs="Times New Roman"/>
          <w:szCs w:val="22"/>
        </w:rPr>
        <w:t>analysed in great detail in four broad segments</w:t>
      </w:r>
      <w:r>
        <w:rPr>
          <w:rFonts w:cs="Times New Roman"/>
          <w:szCs w:val="22"/>
        </w:rPr>
        <w:t xml:space="preserve"> including s</w:t>
      </w:r>
      <w:r w:rsidRPr="00A949CD">
        <w:rPr>
          <w:rFonts w:cs="Times New Roman"/>
          <w:szCs w:val="22"/>
        </w:rPr>
        <w:t>elf</w:t>
      </w:r>
      <w:r>
        <w:rPr>
          <w:rFonts w:cs="Times New Roman"/>
          <w:szCs w:val="22"/>
        </w:rPr>
        <w:t>-c</w:t>
      </w:r>
      <w:r w:rsidRPr="00A949CD">
        <w:rPr>
          <w:rFonts w:cs="Times New Roman"/>
          <w:szCs w:val="22"/>
        </w:rPr>
        <w:t xml:space="preserve">ontained equipment, </w:t>
      </w:r>
      <w:r>
        <w:rPr>
          <w:rFonts w:cs="Times New Roman"/>
          <w:szCs w:val="22"/>
        </w:rPr>
        <w:t>r</w:t>
      </w:r>
      <w:r w:rsidRPr="00A949CD">
        <w:rPr>
          <w:rFonts w:cs="Times New Roman"/>
          <w:szCs w:val="22"/>
        </w:rPr>
        <w:t>emote</w:t>
      </w:r>
      <w:r>
        <w:rPr>
          <w:rFonts w:cs="Times New Roman"/>
          <w:szCs w:val="22"/>
        </w:rPr>
        <w:t xml:space="preserve"> equipment</w:t>
      </w:r>
      <w:r w:rsidRPr="00A949CD">
        <w:rPr>
          <w:rFonts w:cs="Times New Roman"/>
          <w:szCs w:val="22"/>
        </w:rPr>
        <w:t xml:space="preserve">, </w:t>
      </w:r>
      <w:r>
        <w:rPr>
          <w:rFonts w:cs="Times New Roman"/>
          <w:szCs w:val="22"/>
        </w:rPr>
        <w:t>s</w:t>
      </w:r>
      <w:r w:rsidRPr="00A949CD">
        <w:rPr>
          <w:rFonts w:cs="Times New Roman"/>
          <w:szCs w:val="22"/>
        </w:rPr>
        <w:t xml:space="preserve">upermarket </w:t>
      </w:r>
      <w:r>
        <w:rPr>
          <w:rFonts w:cs="Times New Roman"/>
          <w:szCs w:val="22"/>
        </w:rPr>
        <w:t xml:space="preserve">systems </w:t>
      </w:r>
      <w:r w:rsidRPr="00A949CD">
        <w:rPr>
          <w:rFonts w:cs="Times New Roman"/>
          <w:szCs w:val="22"/>
        </w:rPr>
        <w:t xml:space="preserve">and </w:t>
      </w:r>
      <w:r>
        <w:rPr>
          <w:rFonts w:cs="Times New Roman"/>
          <w:szCs w:val="22"/>
        </w:rPr>
        <w:t>t</w:t>
      </w:r>
      <w:r w:rsidRPr="00A949CD">
        <w:rPr>
          <w:rFonts w:cs="Times New Roman"/>
          <w:szCs w:val="22"/>
        </w:rPr>
        <w:t>ransport</w:t>
      </w:r>
      <w:r>
        <w:rPr>
          <w:rFonts w:cs="Times New Roman"/>
          <w:szCs w:val="22"/>
        </w:rPr>
        <w:t xml:space="preserve"> refrigeration</w:t>
      </w:r>
      <w:r w:rsidRPr="00A949CD">
        <w:rPr>
          <w:rFonts w:cs="Times New Roman"/>
          <w:szCs w:val="22"/>
        </w:rPr>
        <w:t>.</w:t>
      </w:r>
    </w:p>
    <w:p w14:paraId="3AF3AB95" w14:textId="194041CC" w:rsidR="002F0B13" w:rsidRPr="00710266" w:rsidRDefault="00A0109B" w:rsidP="002F0B13">
      <w:pPr>
        <w:snapToGrid w:val="0"/>
        <w:spacing w:before="240"/>
        <w:rPr>
          <w:rFonts w:cs="Times New Roman"/>
          <w:b/>
        </w:rPr>
      </w:pPr>
      <w:r>
        <w:rPr>
          <w:rFonts w:cs="Times New Roman"/>
          <w:b/>
        </w:rPr>
        <w:t>Small c</w:t>
      </w:r>
      <w:r w:rsidR="002F0B13" w:rsidRPr="00710266">
        <w:rPr>
          <w:rFonts w:cs="Times New Roman"/>
          <w:b/>
        </w:rPr>
        <w:t xml:space="preserve">ommercial </w:t>
      </w:r>
      <w:r>
        <w:rPr>
          <w:rFonts w:cs="Times New Roman"/>
          <w:b/>
        </w:rPr>
        <w:t>r</w:t>
      </w:r>
      <w:r w:rsidR="002F0B13" w:rsidRPr="00710266">
        <w:rPr>
          <w:rFonts w:cs="Times New Roman"/>
          <w:b/>
        </w:rPr>
        <w:t>efrigeration</w:t>
      </w:r>
    </w:p>
    <w:p w14:paraId="310A4554" w14:textId="6AC42D7B" w:rsidR="002F0B13" w:rsidRPr="00A949CD" w:rsidRDefault="002F0B13" w:rsidP="002F0B13">
      <w:pPr>
        <w:snapToGrid w:val="0"/>
        <w:rPr>
          <w:rFonts w:cs="Times New Roman"/>
          <w:szCs w:val="22"/>
        </w:rPr>
      </w:pPr>
      <w:r w:rsidRPr="00F71429">
        <w:rPr>
          <w:rFonts w:cs="Times New Roman"/>
          <w:szCs w:val="22"/>
        </w:rPr>
        <w:t xml:space="preserve">Small </w:t>
      </w:r>
      <w:r>
        <w:rPr>
          <w:rFonts w:cs="Times New Roman"/>
          <w:szCs w:val="22"/>
        </w:rPr>
        <w:t>c</w:t>
      </w:r>
      <w:r w:rsidRPr="00F71429">
        <w:rPr>
          <w:rFonts w:cs="Times New Roman"/>
          <w:szCs w:val="22"/>
        </w:rPr>
        <w:t xml:space="preserve">ommercial </w:t>
      </w:r>
      <w:r>
        <w:rPr>
          <w:rFonts w:cs="Times New Roman"/>
          <w:szCs w:val="22"/>
        </w:rPr>
        <w:t>r</w:t>
      </w:r>
      <w:r w:rsidRPr="00F71429">
        <w:rPr>
          <w:rFonts w:cs="Times New Roman"/>
          <w:szCs w:val="22"/>
        </w:rPr>
        <w:t>efrigeration</w:t>
      </w:r>
      <w:r>
        <w:rPr>
          <w:rFonts w:cs="Times New Roman"/>
          <w:szCs w:val="22"/>
        </w:rPr>
        <w:t xml:space="preserve"> predominately comprises s</w:t>
      </w:r>
      <w:r w:rsidRPr="00A949CD">
        <w:rPr>
          <w:rFonts w:cs="Times New Roman"/>
          <w:szCs w:val="22"/>
        </w:rPr>
        <w:t>elf-contained equipment</w:t>
      </w:r>
      <w:r>
        <w:rPr>
          <w:rFonts w:cs="Times New Roman"/>
          <w:szCs w:val="22"/>
        </w:rPr>
        <w:t xml:space="preserve"> and is </w:t>
      </w:r>
      <w:r w:rsidRPr="00A949CD">
        <w:rPr>
          <w:rFonts w:cs="Times New Roman"/>
          <w:szCs w:val="22"/>
        </w:rPr>
        <w:t xml:space="preserve">estimated to contain </w:t>
      </w:r>
      <w:r w:rsidR="009F0DB7">
        <w:rPr>
          <w:rFonts w:cs="Times New Roman"/>
          <w:szCs w:val="22"/>
        </w:rPr>
        <w:t>around 7</w:t>
      </w:r>
      <w:r w:rsidRPr="00A949CD">
        <w:rPr>
          <w:rFonts w:cs="Times New Roman"/>
          <w:szCs w:val="22"/>
        </w:rPr>
        <w:t>% of the RCFC bank in 2016, or a</w:t>
      </w:r>
      <w:r>
        <w:rPr>
          <w:rFonts w:cs="Times New Roman"/>
          <w:szCs w:val="22"/>
        </w:rPr>
        <w:t xml:space="preserve">round 510 tonnes of refrigerant. This bank </w:t>
      </w:r>
      <w:r w:rsidRPr="00A949CD">
        <w:rPr>
          <w:rFonts w:cs="Times New Roman"/>
          <w:szCs w:val="22"/>
        </w:rPr>
        <w:t xml:space="preserve">is not a large </w:t>
      </w:r>
      <w:r w:rsidR="002F4A0A" w:rsidRPr="00A949CD">
        <w:rPr>
          <w:rFonts w:cs="Times New Roman"/>
          <w:szCs w:val="22"/>
        </w:rPr>
        <w:t>segment;</w:t>
      </w:r>
      <w:r w:rsidRPr="00A949CD">
        <w:rPr>
          <w:rFonts w:cs="Times New Roman"/>
          <w:szCs w:val="22"/>
        </w:rPr>
        <w:t xml:space="preserve"> </w:t>
      </w:r>
      <w:r w:rsidR="002F4A0A" w:rsidRPr="00A949CD">
        <w:rPr>
          <w:rFonts w:cs="Times New Roman"/>
          <w:szCs w:val="22"/>
        </w:rPr>
        <w:t>however,</w:t>
      </w:r>
      <w:r w:rsidRPr="00A949CD">
        <w:rPr>
          <w:rFonts w:cs="Times New Roman"/>
          <w:szCs w:val="22"/>
        </w:rPr>
        <w:t xml:space="preserve"> it highlights the extent of diversification of the bank that is expected to accelerate in the coming decade. </w:t>
      </w:r>
    </w:p>
    <w:p w14:paraId="721264F4" w14:textId="59E0DBA6" w:rsidR="002F0B13" w:rsidRDefault="002F0B13" w:rsidP="002F0B13">
      <w:pPr>
        <w:snapToGrid w:val="0"/>
        <w:rPr>
          <w:rFonts w:cs="Times New Roman"/>
        </w:rPr>
      </w:pPr>
      <w:r w:rsidRPr="00A949CD">
        <w:rPr>
          <w:rFonts w:cs="Times New Roman"/>
          <w:szCs w:val="22"/>
        </w:rPr>
        <w:t>In 2016 more than 97% of this small segment was charged with either HFC-134a (199 tonnes) or HFC-404A (29</w:t>
      </w:r>
      <w:r w:rsidR="009F0DB7">
        <w:rPr>
          <w:rFonts w:cs="Times New Roman"/>
          <w:szCs w:val="22"/>
        </w:rPr>
        <w:t>3</w:t>
      </w:r>
      <w:r w:rsidRPr="00A949CD">
        <w:rPr>
          <w:rFonts w:cs="Times New Roman"/>
          <w:szCs w:val="22"/>
        </w:rPr>
        <w:t xml:space="preserve"> tonnes). By the end of the projection period the bank of HFC-134a is expected to decline by more than 34% to just 130 tonnes and HFC-404</w:t>
      </w:r>
      <w:r>
        <w:rPr>
          <w:rFonts w:cs="Times New Roman"/>
          <w:szCs w:val="22"/>
        </w:rPr>
        <w:t>A</w:t>
      </w:r>
      <w:r w:rsidRPr="00A949CD">
        <w:rPr>
          <w:rFonts w:cs="Times New Roman"/>
          <w:szCs w:val="22"/>
        </w:rPr>
        <w:t xml:space="preserve"> is expected to decline by nearly 70% to just 90 tonnes.</w:t>
      </w:r>
    </w:p>
    <w:p w14:paraId="46B7E2BF" w14:textId="77777777" w:rsidR="002F0B13" w:rsidRDefault="002F0B13" w:rsidP="002F0B13">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05A1FD67" w14:textId="77777777" w:rsidTr="0013680B">
        <w:tc>
          <w:tcPr>
            <w:tcW w:w="9759" w:type="dxa"/>
            <w:vAlign w:val="center"/>
          </w:tcPr>
          <w:p w14:paraId="178287D7" w14:textId="4D0EB337" w:rsidR="002F0B13" w:rsidRPr="000A23F9" w:rsidRDefault="002F0B13" w:rsidP="0013680B">
            <w:pPr>
              <w:spacing w:after="120"/>
              <w:jc w:val="center"/>
              <w:rPr>
                <w:rFonts w:cs="Times New Roman"/>
                <w:b/>
              </w:rPr>
            </w:pPr>
            <w:r w:rsidRPr="000A23F9">
              <w:rPr>
                <w:rFonts w:cs="Times New Roman"/>
                <w:b/>
              </w:rPr>
              <w:br w:type="page"/>
            </w:r>
            <w:r>
              <w:rPr>
                <w:rFonts w:cs="Times New Roman"/>
                <w:b/>
              </w:rPr>
              <w:t>Bank (</w:t>
            </w:r>
            <w:r w:rsidR="00A0109B">
              <w:rPr>
                <w:rFonts w:cs="Times New Roman"/>
                <w:b/>
              </w:rPr>
              <w:t>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A0109B">
              <w:rPr>
                <w:rFonts w:cs="Times New Roman"/>
                <w:b/>
              </w:rPr>
              <w:t xml:space="preserve"> (t</w:t>
            </w:r>
            <w:r w:rsidRPr="000A23F9">
              <w:rPr>
                <w:rFonts w:cs="Times New Roman"/>
                <w:b/>
              </w:rPr>
              <w:t>onnes)</w:t>
            </w:r>
          </w:p>
        </w:tc>
      </w:tr>
      <w:tr w:rsidR="002F0B13" w:rsidRPr="000A23F9" w14:paraId="54111FEC" w14:textId="77777777" w:rsidTr="0097189F">
        <w:tc>
          <w:tcPr>
            <w:tcW w:w="9759" w:type="dxa"/>
            <w:vAlign w:val="center"/>
          </w:tcPr>
          <w:p w14:paraId="32831809" w14:textId="77777777" w:rsidR="002F0B13" w:rsidRPr="000A23F9" w:rsidRDefault="002F0B13" w:rsidP="0013680B">
            <w:pPr>
              <w:spacing w:before="60" w:after="60"/>
              <w:jc w:val="center"/>
              <w:rPr>
                <w:rFonts w:cs="Times New Roman"/>
                <w:sz w:val="16"/>
                <w:szCs w:val="16"/>
              </w:rPr>
            </w:pPr>
          </w:p>
          <w:p w14:paraId="5FEAF6F6" w14:textId="60DDD567" w:rsidR="002F0B13" w:rsidRPr="000A23F9" w:rsidRDefault="0097189F" w:rsidP="001E7E4A">
            <w:pPr>
              <w:spacing w:before="60" w:after="60"/>
              <w:jc w:val="center"/>
              <w:rPr>
                <w:rFonts w:cs="Times New Roman"/>
                <w:sz w:val="16"/>
                <w:szCs w:val="16"/>
              </w:rPr>
            </w:pPr>
            <w:r>
              <w:rPr>
                <w:noProof/>
                <w:lang w:val="en-AU" w:eastAsia="en-AU"/>
              </w:rPr>
              <w:drawing>
                <wp:inline distT="0" distB="0" distL="0" distR="0" wp14:anchorId="16F5F64F" wp14:editId="74F6F728">
                  <wp:extent cx="6030595" cy="235013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30595" cy="2350135"/>
                          </a:xfrm>
                          <a:prstGeom prst="rect">
                            <a:avLst/>
                          </a:prstGeom>
                        </pic:spPr>
                      </pic:pic>
                    </a:graphicData>
                  </a:graphic>
                </wp:inline>
              </w:drawing>
            </w:r>
          </w:p>
        </w:tc>
      </w:tr>
      <w:tr w:rsidR="002F0B13" w:rsidRPr="000A23F9" w14:paraId="68C67ADA" w14:textId="77777777" w:rsidTr="0013680B">
        <w:tc>
          <w:tcPr>
            <w:tcW w:w="9759" w:type="dxa"/>
            <w:vAlign w:val="center"/>
          </w:tcPr>
          <w:p w14:paraId="3002716F" w14:textId="483E5702" w:rsidR="002F0B13" w:rsidRPr="00E23B32" w:rsidRDefault="00E23B32" w:rsidP="00E23B32">
            <w:pPr>
              <w:pStyle w:val="Caption"/>
            </w:pPr>
            <w:bookmarkStart w:id="125" w:name="_Toc525141360"/>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29</w:t>
            </w:r>
            <w:r w:rsidR="009D6843">
              <w:rPr>
                <w:noProof/>
              </w:rPr>
              <w:fldChar w:fldCharType="end"/>
            </w:r>
            <w:r w:rsidR="002F0B13" w:rsidRPr="00E23B32">
              <w:rPr>
                <w:bCs w:val="0"/>
              </w:rPr>
              <w:t>: Refrigerant bank (</w:t>
            </w:r>
            <w:r w:rsidR="00A0109B" w:rsidRPr="00E23B32">
              <w:rPr>
                <w:bCs w:val="0"/>
              </w:rPr>
              <w:t>a</w:t>
            </w:r>
            <w:r w:rsidR="002F0B13" w:rsidRPr="00E23B32">
              <w:rPr>
                <w:bCs w:val="0"/>
              </w:rPr>
              <w:t xml:space="preserve">ctual) by </w:t>
            </w:r>
            <w:r w:rsidR="00A0109B" w:rsidRPr="00E23B32">
              <w:rPr>
                <w:bCs w:val="0"/>
              </w:rPr>
              <w:t>s</w:t>
            </w:r>
            <w:r w:rsidR="002F0B13" w:rsidRPr="00E23B32">
              <w:rPr>
                <w:bCs w:val="0"/>
              </w:rPr>
              <w:t>pecies from 2016 to 2030 in tonnes.</w:t>
            </w:r>
            <w:bookmarkEnd w:id="125"/>
          </w:p>
        </w:tc>
      </w:tr>
    </w:tbl>
    <w:p w14:paraId="2163DAA2" w14:textId="1BDC2022"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0CE4E2B2" w14:textId="3F93F941" w:rsidR="002F0B13" w:rsidRPr="00A949CD" w:rsidRDefault="002F0B13" w:rsidP="002F0B13">
      <w:pPr>
        <w:snapToGrid w:val="0"/>
        <w:rPr>
          <w:rFonts w:cs="Times New Roman"/>
          <w:szCs w:val="22"/>
        </w:rPr>
      </w:pPr>
      <w:r w:rsidRPr="00A949CD">
        <w:rPr>
          <w:rFonts w:cs="Times New Roman"/>
          <w:szCs w:val="22"/>
        </w:rPr>
        <w:t>Stepping in to replace these refrigerants in a bank that stays roughly stable, growing to around 520 tonnes, are HFO</w:t>
      </w:r>
      <w:r>
        <w:rPr>
          <w:rFonts w:cs="Times New Roman"/>
          <w:szCs w:val="22"/>
        </w:rPr>
        <w:t>s</w:t>
      </w:r>
      <w:r w:rsidRPr="00A949CD">
        <w:rPr>
          <w:rFonts w:cs="Times New Roman"/>
          <w:szCs w:val="22"/>
        </w:rPr>
        <w:t xml:space="preserve">, </w:t>
      </w:r>
      <w:r>
        <w:rPr>
          <w:rFonts w:cs="Times New Roman"/>
          <w:szCs w:val="22"/>
        </w:rPr>
        <w:t>HC</w:t>
      </w:r>
      <w:r w:rsidRPr="00A949CD">
        <w:rPr>
          <w:rFonts w:cs="Times New Roman"/>
          <w:szCs w:val="22"/>
        </w:rPr>
        <w:t xml:space="preserve"> and CO</w:t>
      </w:r>
      <w:r w:rsidRPr="00F71429">
        <w:rPr>
          <w:rFonts w:cs="Times New Roman"/>
          <w:szCs w:val="22"/>
          <w:vertAlign w:val="subscript"/>
        </w:rPr>
        <w:t>2</w:t>
      </w:r>
      <w:r w:rsidRPr="00A949CD">
        <w:rPr>
          <w:rFonts w:cs="Times New Roman"/>
          <w:szCs w:val="22"/>
        </w:rPr>
        <w:t xml:space="preserve">, which together are projected to increase from just 7 tonnes in 2016 to more than 162 tonnes in 2030. </w:t>
      </w:r>
      <w:r>
        <w:rPr>
          <w:rFonts w:cs="Times New Roman"/>
          <w:szCs w:val="22"/>
        </w:rPr>
        <w:t xml:space="preserve">Refrigeration display cases and storage cabinets have already experienced a rapid transition to HC with more than </w:t>
      </w:r>
      <w:r w:rsidR="009F0DB7">
        <w:rPr>
          <w:rFonts w:cs="Times New Roman"/>
          <w:szCs w:val="22"/>
        </w:rPr>
        <w:t>2</w:t>
      </w:r>
      <w:r>
        <w:rPr>
          <w:rFonts w:cs="Times New Roman"/>
          <w:szCs w:val="22"/>
        </w:rPr>
        <w:t xml:space="preserve">0,000 devices imported in 2017 with a charge less than or equal to 150 grams of HC per refrigeration circuit. </w:t>
      </w:r>
      <w:r w:rsidRPr="00A949CD">
        <w:rPr>
          <w:rFonts w:cs="Times New Roman"/>
          <w:szCs w:val="22"/>
        </w:rPr>
        <w:t xml:space="preserve">These low GWP refrigerants </w:t>
      </w:r>
      <w:r>
        <w:rPr>
          <w:rFonts w:cs="Times New Roman"/>
          <w:szCs w:val="22"/>
        </w:rPr>
        <w:t xml:space="preserve">(GWP&lt;10) </w:t>
      </w:r>
      <w:r w:rsidRPr="00A949CD">
        <w:rPr>
          <w:rFonts w:cs="Times New Roman"/>
          <w:szCs w:val="22"/>
        </w:rPr>
        <w:t xml:space="preserve">will comprise more than 31% of the bank in this segment by the end of the </w:t>
      </w:r>
      <w:r w:rsidR="000C32FF">
        <w:rPr>
          <w:rFonts w:cs="Times New Roman"/>
          <w:szCs w:val="22"/>
        </w:rPr>
        <w:t xml:space="preserve">projection </w:t>
      </w:r>
      <w:r w:rsidRPr="00A949CD">
        <w:rPr>
          <w:rFonts w:cs="Times New Roman"/>
          <w:szCs w:val="22"/>
        </w:rPr>
        <w:t>period.</w:t>
      </w:r>
    </w:p>
    <w:p w14:paraId="43D98082" w14:textId="5BF2398D" w:rsidR="002F0B13" w:rsidRPr="00A949CD" w:rsidRDefault="002F0B13" w:rsidP="002F0B13">
      <w:pPr>
        <w:snapToGrid w:val="0"/>
        <w:rPr>
          <w:rFonts w:cs="Times New Roman"/>
          <w:szCs w:val="22"/>
        </w:rPr>
      </w:pPr>
      <w:r w:rsidRPr="00A949CD">
        <w:rPr>
          <w:rFonts w:cs="Times New Roman"/>
          <w:szCs w:val="22"/>
        </w:rPr>
        <w:t xml:space="preserve">Additionally, roughly equal volumes of emerging medium GWP refrigerants in the </w:t>
      </w:r>
      <w:r>
        <w:rPr>
          <w:rFonts w:cs="Times New Roman"/>
          <w:szCs w:val="22"/>
        </w:rPr>
        <w:t>GWP</w:t>
      </w:r>
      <w:r w:rsidRPr="00A949CD">
        <w:rPr>
          <w:rFonts w:cs="Times New Roman"/>
          <w:szCs w:val="22"/>
        </w:rPr>
        <w:t xml:space="preserve">&lt;2150 bin, and the </w:t>
      </w:r>
      <w:r>
        <w:rPr>
          <w:rFonts w:cs="Times New Roman"/>
          <w:szCs w:val="22"/>
        </w:rPr>
        <w:t>GWP</w:t>
      </w:r>
      <w:r w:rsidRPr="00A949CD">
        <w:rPr>
          <w:rFonts w:cs="Times New Roman"/>
          <w:szCs w:val="22"/>
        </w:rPr>
        <w:t>&lt;1000 GWP bin, are expected to be employed with around 67 tonnes of refrigerant</w:t>
      </w:r>
      <w:r w:rsidR="00B3467F">
        <w:rPr>
          <w:rFonts w:cs="Times New Roman"/>
          <w:szCs w:val="22"/>
        </w:rPr>
        <w:t xml:space="preserve"> each</w:t>
      </w:r>
      <w:r w:rsidRPr="00A949CD">
        <w:rPr>
          <w:rFonts w:cs="Times New Roman"/>
          <w:szCs w:val="22"/>
        </w:rPr>
        <w:t xml:space="preserve"> in </w:t>
      </w:r>
      <w:r>
        <w:rPr>
          <w:rFonts w:cs="Times New Roman"/>
          <w:szCs w:val="22"/>
        </w:rPr>
        <w:t>s</w:t>
      </w:r>
      <w:r w:rsidRPr="00F71429">
        <w:rPr>
          <w:rFonts w:cs="Times New Roman"/>
          <w:szCs w:val="22"/>
        </w:rPr>
        <w:t xml:space="preserve">mall </w:t>
      </w:r>
      <w:r>
        <w:rPr>
          <w:rFonts w:cs="Times New Roman"/>
          <w:szCs w:val="22"/>
        </w:rPr>
        <w:t>c</w:t>
      </w:r>
      <w:r w:rsidRPr="00F71429">
        <w:rPr>
          <w:rFonts w:cs="Times New Roman"/>
          <w:szCs w:val="22"/>
        </w:rPr>
        <w:t xml:space="preserve">ommercial </w:t>
      </w:r>
      <w:r>
        <w:rPr>
          <w:rFonts w:cs="Times New Roman"/>
          <w:szCs w:val="22"/>
        </w:rPr>
        <w:t>r</w:t>
      </w:r>
      <w:r w:rsidRPr="00F71429">
        <w:rPr>
          <w:rFonts w:cs="Times New Roman"/>
          <w:szCs w:val="22"/>
        </w:rPr>
        <w:t>efrigeration</w:t>
      </w:r>
      <w:r>
        <w:rPr>
          <w:rFonts w:cs="Times New Roman"/>
          <w:szCs w:val="22"/>
        </w:rPr>
        <w:t xml:space="preserve"> </w:t>
      </w:r>
      <w:r w:rsidRPr="00A949CD">
        <w:rPr>
          <w:rFonts w:cs="Times New Roman"/>
          <w:szCs w:val="22"/>
        </w:rPr>
        <w:t xml:space="preserve">equipment by 2030. </w:t>
      </w:r>
    </w:p>
    <w:p w14:paraId="0A23DDC3" w14:textId="69B2C8AF" w:rsidR="002F0B13" w:rsidRPr="00A949CD" w:rsidRDefault="00FE74F2" w:rsidP="002F0B13">
      <w:pPr>
        <w:snapToGrid w:val="0"/>
        <w:rPr>
          <w:rFonts w:cs="Times New Roman"/>
          <w:szCs w:val="22"/>
        </w:rPr>
      </w:pPr>
      <w:r>
        <w:rPr>
          <w:rFonts w:cs="Times New Roman"/>
          <w:szCs w:val="22"/>
        </w:rPr>
        <w:t>A</w:t>
      </w:r>
      <w:r w:rsidRPr="00A949CD">
        <w:rPr>
          <w:rFonts w:cs="Times New Roman"/>
          <w:szCs w:val="22"/>
        </w:rPr>
        <w:t>n</w:t>
      </w:r>
      <w:r w:rsidR="002F0B13" w:rsidRPr="00A949CD">
        <w:rPr>
          <w:rFonts w:cs="Times New Roman"/>
          <w:szCs w:val="22"/>
        </w:rPr>
        <w:t xml:space="preserve"> insight into the diversification of the bank</w:t>
      </w:r>
      <w:r w:rsidR="00B3467F">
        <w:rPr>
          <w:rFonts w:cs="Times New Roman"/>
          <w:szCs w:val="22"/>
        </w:rPr>
        <w:t xml:space="preserve"> in</w:t>
      </w:r>
      <w:r w:rsidR="002F0B13" w:rsidRPr="00A949CD">
        <w:rPr>
          <w:rFonts w:cs="Times New Roman"/>
          <w:szCs w:val="22"/>
        </w:rPr>
        <w:t xml:space="preserve"> this segment is instructi</w:t>
      </w:r>
      <w:r w:rsidR="00B3467F">
        <w:rPr>
          <w:rFonts w:cs="Times New Roman"/>
          <w:szCs w:val="22"/>
        </w:rPr>
        <w:t>ve</w:t>
      </w:r>
      <w:r w:rsidR="002F0B13" w:rsidRPr="00A949CD">
        <w:rPr>
          <w:rFonts w:cs="Times New Roman"/>
          <w:szCs w:val="22"/>
        </w:rPr>
        <w:t xml:space="preserve">. What this projection suggests is that a refrigerant technician being called out to repair or maintain any one of the dozens of formats of self-contained refrigeration equipment in a commercial setting in 2030 has to be prepared to deal with any one of </w:t>
      </w:r>
      <w:r w:rsidR="00B3467F">
        <w:rPr>
          <w:rFonts w:cs="Times New Roman"/>
          <w:szCs w:val="22"/>
        </w:rPr>
        <w:t>seven</w:t>
      </w:r>
      <w:r w:rsidR="002F0B13" w:rsidRPr="00A949CD">
        <w:rPr>
          <w:rFonts w:cs="Times New Roman"/>
          <w:szCs w:val="22"/>
        </w:rPr>
        <w:t xml:space="preserve"> different refrigerants, including </w:t>
      </w:r>
      <w:r w:rsidR="002F0B13">
        <w:rPr>
          <w:rFonts w:cs="Times New Roman"/>
          <w:szCs w:val="22"/>
        </w:rPr>
        <w:t>small charges of highly flammable HC, mildly flammable A2L refrigerants and high pressure CO</w:t>
      </w:r>
      <w:r w:rsidR="002F0B13" w:rsidRPr="00F71429">
        <w:rPr>
          <w:rFonts w:cs="Times New Roman"/>
          <w:szCs w:val="22"/>
          <w:vertAlign w:val="subscript"/>
        </w:rPr>
        <w:t>2</w:t>
      </w:r>
      <w:r w:rsidR="002F0B13">
        <w:rPr>
          <w:rFonts w:cs="Times New Roman"/>
          <w:szCs w:val="22"/>
        </w:rPr>
        <w:t xml:space="preserve"> equipment,</w:t>
      </w:r>
      <w:r w:rsidR="002F0B13" w:rsidRPr="00A949CD">
        <w:rPr>
          <w:rFonts w:cs="Times New Roman"/>
          <w:szCs w:val="22"/>
        </w:rPr>
        <w:t xml:space="preserve"> as compared to having to work with just </w:t>
      </w:r>
      <w:r w:rsidR="00B3467F">
        <w:rPr>
          <w:rFonts w:cs="Times New Roman"/>
          <w:szCs w:val="22"/>
        </w:rPr>
        <w:t>two</w:t>
      </w:r>
      <w:r w:rsidR="002F0B13" w:rsidRPr="00A949CD">
        <w:rPr>
          <w:rFonts w:cs="Times New Roman"/>
          <w:szCs w:val="22"/>
        </w:rPr>
        <w:t xml:space="preserve"> main </w:t>
      </w:r>
      <w:r w:rsidR="002F0B13">
        <w:rPr>
          <w:rFonts w:cs="Times New Roman"/>
          <w:szCs w:val="22"/>
        </w:rPr>
        <w:t xml:space="preserve">Class A1 </w:t>
      </w:r>
      <w:r w:rsidR="009F5EAE">
        <w:rPr>
          <w:rFonts w:cs="Times New Roman"/>
          <w:szCs w:val="22"/>
        </w:rPr>
        <w:t>non-flammable</w:t>
      </w:r>
      <w:r w:rsidR="002F0B13">
        <w:rPr>
          <w:rFonts w:cs="Times New Roman"/>
          <w:szCs w:val="22"/>
        </w:rPr>
        <w:t xml:space="preserve"> </w:t>
      </w:r>
      <w:r w:rsidR="002F0B13" w:rsidRPr="00A949CD">
        <w:rPr>
          <w:rFonts w:cs="Times New Roman"/>
          <w:szCs w:val="22"/>
        </w:rPr>
        <w:t xml:space="preserve">refrigerants </w:t>
      </w:r>
      <w:r w:rsidR="002F0B13">
        <w:rPr>
          <w:rFonts w:cs="Times New Roman"/>
          <w:szCs w:val="22"/>
        </w:rPr>
        <w:t xml:space="preserve">(HFC-134a and HFC-404A) </w:t>
      </w:r>
      <w:r w:rsidR="002F0B13" w:rsidRPr="00A949CD">
        <w:rPr>
          <w:rFonts w:cs="Times New Roman"/>
          <w:szCs w:val="22"/>
        </w:rPr>
        <w:t>only a few years ago.</w:t>
      </w:r>
    </w:p>
    <w:p w14:paraId="1CFF2FD9" w14:textId="1E611E30" w:rsidR="002F0B13" w:rsidRPr="001438BF" w:rsidRDefault="00A0109B" w:rsidP="002F0B13">
      <w:pPr>
        <w:snapToGrid w:val="0"/>
        <w:spacing w:before="240"/>
        <w:rPr>
          <w:rFonts w:cs="Times New Roman"/>
          <w:b/>
        </w:rPr>
      </w:pPr>
      <w:r>
        <w:rPr>
          <w:rFonts w:cs="Times New Roman"/>
          <w:b/>
        </w:rPr>
        <w:t>Medium c</w:t>
      </w:r>
      <w:r w:rsidR="002F0B13" w:rsidRPr="001438BF">
        <w:rPr>
          <w:rFonts w:cs="Times New Roman"/>
          <w:b/>
        </w:rPr>
        <w:t xml:space="preserve">ommercial </w:t>
      </w:r>
      <w:r>
        <w:rPr>
          <w:rFonts w:cs="Times New Roman"/>
          <w:b/>
        </w:rPr>
        <w:t>r</w:t>
      </w:r>
      <w:r w:rsidR="002F0B13" w:rsidRPr="001438BF">
        <w:rPr>
          <w:rFonts w:cs="Times New Roman"/>
          <w:b/>
        </w:rPr>
        <w:t>efrigeration</w:t>
      </w:r>
    </w:p>
    <w:p w14:paraId="04DB5F8B" w14:textId="7E8EA734" w:rsidR="002F0B13" w:rsidRPr="00A949CD" w:rsidRDefault="002F0B13" w:rsidP="002F0B13">
      <w:pPr>
        <w:snapToGrid w:val="0"/>
        <w:rPr>
          <w:rFonts w:cs="Times New Roman"/>
          <w:szCs w:val="22"/>
        </w:rPr>
      </w:pPr>
      <w:r w:rsidRPr="00A949CD">
        <w:rPr>
          <w:rFonts w:cs="Times New Roman"/>
          <w:szCs w:val="22"/>
        </w:rPr>
        <w:t xml:space="preserve">The developing diversity of the bank is even more acute in the broad and numerous segment of </w:t>
      </w:r>
      <w:r w:rsidR="00AB51B8">
        <w:rPr>
          <w:rFonts w:cs="Times New Roman"/>
          <w:szCs w:val="22"/>
        </w:rPr>
        <w:t>r</w:t>
      </w:r>
      <w:r w:rsidRPr="00A949CD">
        <w:rPr>
          <w:rFonts w:cs="Times New Roman"/>
          <w:szCs w:val="22"/>
        </w:rPr>
        <w:t>emote</w:t>
      </w:r>
      <w:r>
        <w:rPr>
          <w:rFonts w:cs="Times New Roman"/>
          <w:szCs w:val="22"/>
        </w:rPr>
        <w:t xml:space="preserve"> equipment</w:t>
      </w:r>
      <w:r w:rsidR="00B3467F">
        <w:rPr>
          <w:rFonts w:cs="Times New Roman"/>
          <w:szCs w:val="22"/>
        </w:rPr>
        <w:t>,</w:t>
      </w:r>
      <w:r>
        <w:rPr>
          <w:rFonts w:cs="Times New Roman"/>
          <w:szCs w:val="22"/>
        </w:rPr>
        <w:t xml:space="preserve"> comprising an evaporator(s) with</w:t>
      </w:r>
      <w:r w:rsidRPr="00A949CD">
        <w:rPr>
          <w:rFonts w:cs="Times New Roman"/>
          <w:szCs w:val="22"/>
        </w:rPr>
        <w:t xml:space="preserve"> </w:t>
      </w:r>
      <w:r>
        <w:rPr>
          <w:rFonts w:cs="Times New Roman"/>
          <w:szCs w:val="22"/>
        </w:rPr>
        <w:t>a remote condensing unit</w:t>
      </w:r>
      <w:r w:rsidR="00B3467F">
        <w:rPr>
          <w:rFonts w:cs="Times New Roman"/>
          <w:szCs w:val="22"/>
        </w:rPr>
        <w:t>,</w:t>
      </w:r>
      <w:r>
        <w:rPr>
          <w:rFonts w:cs="Times New Roman"/>
          <w:szCs w:val="22"/>
        </w:rPr>
        <w:t xml:space="preserve"> w</w:t>
      </w:r>
      <w:r w:rsidRPr="00A949CD">
        <w:rPr>
          <w:rFonts w:cs="Times New Roman"/>
          <w:szCs w:val="22"/>
        </w:rPr>
        <w:t xml:space="preserve">here there are already </w:t>
      </w:r>
      <w:r w:rsidR="00B3467F">
        <w:rPr>
          <w:rFonts w:cs="Times New Roman"/>
          <w:szCs w:val="22"/>
        </w:rPr>
        <w:t>five</w:t>
      </w:r>
      <w:r w:rsidRPr="00A949CD">
        <w:rPr>
          <w:rFonts w:cs="Times New Roman"/>
          <w:szCs w:val="22"/>
        </w:rPr>
        <w:t xml:space="preserve"> different high GWP refrigerants in use, and at least </w:t>
      </w:r>
      <w:r w:rsidR="00B3467F">
        <w:rPr>
          <w:rFonts w:cs="Times New Roman"/>
          <w:szCs w:val="22"/>
        </w:rPr>
        <w:t>six</w:t>
      </w:r>
      <w:r w:rsidRPr="00A949CD">
        <w:rPr>
          <w:rFonts w:cs="Times New Roman"/>
          <w:szCs w:val="22"/>
        </w:rPr>
        <w:t xml:space="preserve"> more</w:t>
      </w:r>
      <w:r w:rsidR="00B3467F">
        <w:rPr>
          <w:rFonts w:cs="Times New Roman"/>
          <w:szCs w:val="22"/>
        </w:rPr>
        <w:t xml:space="preserve"> refrigerant </w:t>
      </w:r>
      <w:r w:rsidR="007664AB">
        <w:rPr>
          <w:rFonts w:cs="Times New Roman"/>
          <w:szCs w:val="22"/>
        </w:rPr>
        <w:t>blends</w:t>
      </w:r>
      <w:r w:rsidRPr="00A949CD">
        <w:rPr>
          <w:rFonts w:cs="Times New Roman"/>
          <w:szCs w:val="22"/>
        </w:rPr>
        <w:t xml:space="preserve"> either starting to be employed now or on the near-term horizon. </w:t>
      </w:r>
    </w:p>
    <w:p w14:paraId="6EED0473" w14:textId="4EB07830" w:rsidR="002F0B13" w:rsidRPr="00A949CD" w:rsidRDefault="002F0B13" w:rsidP="002F0B13">
      <w:pPr>
        <w:snapToGrid w:val="0"/>
        <w:rPr>
          <w:rFonts w:cs="Times New Roman"/>
          <w:szCs w:val="22"/>
        </w:rPr>
      </w:pPr>
      <w:r w:rsidRPr="00A949CD">
        <w:rPr>
          <w:rFonts w:cs="Times New Roman"/>
          <w:szCs w:val="22"/>
        </w:rPr>
        <w:t>Remote condenser driven systems allow a huge variety of refrigerated spaces to be constructed, most often seen as ‘cool rooms’, ranging from very small spaces of just a few cubic metres to very large cool</w:t>
      </w:r>
      <w:r w:rsidR="00B3467F">
        <w:rPr>
          <w:rFonts w:cs="Times New Roman"/>
          <w:szCs w:val="22"/>
        </w:rPr>
        <w:t xml:space="preserve"> </w:t>
      </w:r>
      <w:r w:rsidRPr="00A949CD">
        <w:rPr>
          <w:rFonts w:cs="Times New Roman"/>
          <w:szCs w:val="22"/>
        </w:rPr>
        <w:t>rooms able to be worked with forklifts, built into or adjacent to other buildings</w:t>
      </w:r>
      <w:r w:rsidR="00B3467F">
        <w:rPr>
          <w:rFonts w:cs="Times New Roman"/>
          <w:szCs w:val="22"/>
        </w:rPr>
        <w:t>.</w:t>
      </w:r>
      <w:r w:rsidRPr="00A949CD">
        <w:rPr>
          <w:rFonts w:cs="Times New Roman"/>
          <w:szCs w:val="22"/>
        </w:rPr>
        <w:t xml:space="preserve"> </w:t>
      </w:r>
      <w:r w:rsidR="00B3467F">
        <w:rPr>
          <w:rFonts w:cs="Times New Roman"/>
          <w:szCs w:val="22"/>
        </w:rPr>
        <w:t>R</w:t>
      </w:r>
      <w:r w:rsidRPr="00A949CD">
        <w:rPr>
          <w:rFonts w:cs="Times New Roman"/>
          <w:szCs w:val="22"/>
        </w:rPr>
        <w:t xml:space="preserve">emote systems are very hard working, almost always have some ‘bespoke’/situational design consideration, and very often have exposed refrigerant lines connecting the external condenser and the refrigerated space. </w:t>
      </w:r>
    </w:p>
    <w:p w14:paraId="15D0AF62" w14:textId="29B668EE" w:rsidR="002F0B13" w:rsidRPr="00A949CD" w:rsidRDefault="002F0B13" w:rsidP="002F0B13">
      <w:pPr>
        <w:snapToGrid w:val="0"/>
        <w:rPr>
          <w:rFonts w:cs="Times New Roman"/>
          <w:szCs w:val="22"/>
        </w:rPr>
      </w:pPr>
      <w:r w:rsidRPr="00A949CD">
        <w:rPr>
          <w:rFonts w:cs="Times New Roman"/>
          <w:szCs w:val="22"/>
        </w:rPr>
        <w:t>Importantly</w:t>
      </w:r>
      <w:r w:rsidR="00B3467F">
        <w:rPr>
          <w:rFonts w:cs="Times New Roman"/>
          <w:szCs w:val="22"/>
        </w:rPr>
        <w:t>,</w:t>
      </w:r>
      <w:r w:rsidRPr="00A949CD">
        <w:rPr>
          <w:rFonts w:cs="Times New Roman"/>
          <w:szCs w:val="22"/>
        </w:rPr>
        <w:t xml:space="preserve"> remote condenser systems, as one of the backbone elements of the </w:t>
      </w:r>
      <w:r w:rsidR="00744171">
        <w:rPr>
          <w:rFonts w:cs="Times New Roman"/>
          <w:szCs w:val="22"/>
        </w:rPr>
        <w:t>c</w:t>
      </w:r>
      <w:r>
        <w:rPr>
          <w:rFonts w:cs="Times New Roman"/>
          <w:szCs w:val="22"/>
        </w:rPr>
        <w:t xml:space="preserve">old </w:t>
      </w:r>
      <w:r w:rsidR="00744171">
        <w:rPr>
          <w:rFonts w:cs="Times New Roman"/>
          <w:szCs w:val="22"/>
        </w:rPr>
        <w:t>f</w:t>
      </w:r>
      <w:r w:rsidRPr="00A949CD">
        <w:rPr>
          <w:rFonts w:cs="Times New Roman"/>
          <w:szCs w:val="22"/>
        </w:rPr>
        <w:t xml:space="preserve">ood </w:t>
      </w:r>
      <w:r w:rsidR="00744171">
        <w:rPr>
          <w:rFonts w:cs="Times New Roman"/>
          <w:szCs w:val="22"/>
        </w:rPr>
        <w:t>c</w:t>
      </w:r>
      <w:r w:rsidRPr="00A949CD">
        <w:rPr>
          <w:rFonts w:cs="Times New Roman"/>
          <w:szCs w:val="22"/>
        </w:rPr>
        <w:t>hain, can be designed to provide very low temperature</w:t>
      </w:r>
      <w:r>
        <w:rPr>
          <w:rFonts w:cs="Times New Roman"/>
          <w:szCs w:val="22"/>
        </w:rPr>
        <w:t>s</w:t>
      </w:r>
      <w:r w:rsidRPr="00A949CD">
        <w:rPr>
          <w:rFonts w:cs="Times New Roman"/>
          <w:szCs w:val="22"/>
        </w:rPr>
        <w:t xml:space="preserve"> </w:t>
      </w:r>
      <w:r w:rsidR="009F5EAE">
        <w:rPr>
          <w:rFonts w:cs="Times New Roman"/>
          <w:szCs w:val="22"/>
        </w:rPr>
        <w:t>down</w:t>
      </w:r>
      <w:r>
        <w:rPr>
          <w:rFonts w:cs="Times New Roman"/>
          <w:szCs w:val="22"/>
        </w:rPr>
        <w:t xml:space="preserve"> to -25</w:t>
      </w:r>
      <w:r w:rsidRPr="00683832">
        <w:rPr>
          <w:rFonts w:cs="Times New Roman"/>
          <w:szCs w:val="22"/>
          <w:vertAlign w:val="superscript"/>
        </w:rPr>
        <w:t>o</w:t>
      </w:r>
      <w:r>
        <w:rPr>
          <w:rFonts w:cs="Times New Roman"/>
          <w:szCs w:val="22"/>
        </w:rPr>
        <w:t xml:space="preserve">C and lower for blast freezing </w:t>
      </w:r>
      <w:r w:rsidRPr="00A949CD">
        <w:rPr>
          <w:rFonts w:cs="Times New Roman"/>
          <w:szCs w:val="22"/>
        </w:rPr>
        <w:t>or medium temperature refrigeration services</w:t>
      </w:r>
      <w:r>
        <w:rPr>
          <w:rFonts w:cs="Times New Roman"/>
          <w:szCs w:val="22"/>
        </w:rPr>
        <w:t xml:space="preserve"> (zero to +7</w:t>
      </w:r>
      <w:r w:rsidRPr="00683832">
        <w:rPr>
          <w:rFonts w:cs="Times New Roman"/>
          <w:szCs w:val="22"/>
          <w:vertAlign w:val="superscript"/>
        </w:rPr>
        <w:t>o</w:t>
      </w:r>
      <w:r>
        <w:rPr>
          <w:rFonts w:cs="Times New Roman"/>
          <w:szCs w:val="22"/>
        </w:rPr>
        <w:t>C)</w:t>
      </w:r>
      <w:r w:rsidRPr="00A949CD">
        <w:rPr>
          <w:rFonts w:cs="Times New Roman"/>
          <w:szCs w:val="22"/>
        </w:rPr>
        <w:t>.</w:t>
      </w:r>
    </w:p>
    <w:p w14:paraId="4488E0FE" w14:textId="79F5F5E4" w:rsidR="000C32FF" w:rsidRDefault="002F0B13" w:rsidP="002F0B13">
      <w:pPr>
        <w:snapToGrid w:val="0"/>
        <w:rPr>
          <w:rFonts w:cs="Times New Roman"/>
          <w:szCs w:val="22"/>
        </w:rPr>
      </w:pPr>
      <w:r w:rsidRPr="00A949CD">
        <w:rPr>
          <w:rFonts w:cs="Times New Roman"/>
          <w:szCs w:val="22"/>
        </w:rPr>
        <w:t>Employi</w:t>
      </w:r>
      <w:r w:rsidR="000C32FF">
        <w:rPr>
          <w:rFonts w:cs="Times New Roman"/>
          <w:szCs w:val="22"/>
        </w:rPr>
        <w:t>ng a total bank of more than 4,01</w:t>
      </w:r>
      <w:r w:rsidRPr="00A949CD">
        <w:rPr>
          <w:rFonts w:cs="Times New Roman"/>
          <w:szCs w:val="22"/>
        </w:rPr>
        <w:t>0 tonnes in 2016, representing nearly 5</w:t>
      </w:r>
      <w:r w:rsidR="000C32FF">
        <w:rPr>
          <w:rFonts w:cs="Times New Roman"/>
          <w:szCs w:val="22"/>
        </w:rPr>
        <w:t>7</w:t>
      </w:r>
      <w:r w:rsidRPr="00A949CD">
        <w:rPr>
          <w:rFonts w:cs="Times New Roman"/>
          <w:szCs w:val="22"/>
        </w:rPr>
        <w:t xml:space="preserve">% of the bank in the RCFC, various types of remote systems can employ HFC-134a, HFC-404A, HFC-410A or HFC-407C. Overall the bank employed in remote condenser systems is expected to </w:t>
      </w:r>
      <w:r w:rsidR="000C32FF">
        <w:rPr>
          <w:rFonts w:cs="Times New Roman"/>
          <w:szCs w:val="22"/>
        </w:rPr>
        <w:t xml:space="preserve">only grow modestly </w:t>
      </w:r>
      <w:r w:rsidRPr="00A949CD">
        <w:rPr>
          <w:rFonts w:cs="Times New Roman"/>
          <w:szCs w:val="22"/>
        </w:rPr>
        <w:t>over the projection period</w:t>
      </w:r>
      <w:r w:rsidR="00B3467F">
        <w:rPr>
          <w:rFonts w:cs="Times New Roman"/>
          <w:szCs w:val="22"/>
        </w:rPr>
        <w:t>,</w:t>
      </w:r>
      <w:r w:rsidR="000C32FF">
        <w:rPr>
          <w:rFonts w:cs="Times New Roman"/>
          <w:szCs w:val="22"/>
        </w:rPr>
        <w:t xml:space="preserve"> largely driven by a reduction in charges sizes over the period. </w:t>
      </w:r>
      <w:r w:rsidR="007706B0">
        <w:rPr>
          <w:rFonts w:cs="Times New Roman"/>
          <w:szCs w:val="22"/>
        </w:rPr>
        <w:t xml:space="preserve">By the end of the projection period this segment is predicted to contain more than 53% high GWP HFCs </w:t>
      </w:r>
      <w:r w:rsidR="00632B22">
        <w:rPr>
          <w:rFonts w:cs="Times New Roman"/>
          <w:szCs w:val="22"/>
        </w:rPr>
        <w:t>which</w:t>
      </w:r>
      <w:r w:rsidR="007706B0">
        <w:rPr>
          <w:rFonts w:cs="Times New Roman"/>
          <w:szCs w:val="22"/>
        </w:rPr>
        <w:t xml:space="preserve"> </w:t>
      </w:r>
      <w:r w:rsidR="00632B22" w:rsidRPr="004D6C6D">
        <w:rPr>
          <w:rFonts w:cs="Times New Roman"/>
        </w:rPr>
        <w:t xml:space="preserve">illustrates some of the technical challenges facing </w:t>
      </w:r>
      <w:r w:rsidR="00632B22">
        <w:rPr>
          <w:rFonts w:cs="Times New Roman"/>
        </w:rPr>
        <w:t>this sector during</w:t>
      </w:r>
      <w:r w:rsidR="00632B22" w:rsidRPr="004D6C6D">
        <w:rPr>
          <w:rFonts w:cs="Times New Roman"/>
        </w:rPr>
        <w:t xml:space="preserve"> the HFC phase down</w:t>
      </w:r>
      <w:r w:rsidR="00632B22">
        <w:rPr>
          <w:rFonts w:cs="Times New Roman"/>
        </w:rPr>
        <w:t>.</w:t>
      </w:r>
    </w:p>
    <w:p w14:paraId="01E502F8" w14:textId="7D3EA956" w:rsidR="00C91D3D" w:rsidRDefault="002F0B13" w:rsidP="002F0B13">
      <w:pPr>
        <w:snapToGrid w:val="0"/>
        <w:rPr>
          <w:rFonts w:cs="Times New Roman"/>
          <w:szCs w:val="22"/>
        </w:rPr>
      </w:pPr>
      <w:r w:rsidRPr="00A949CD">
        <w:rPr>
          <w:rFonts w:cs="Times New Roman"/>
          <w:szCs w:val="22"/>
        </w:rPr>
        <w:t xml:space="preserve"> </w:t>
      </w:r>
    </w:p>
    <w:p w14:paraId="67F3454C" w14:textId="77777777" w:rsidR="00C91D3D" w:rsidRDefault="00C91D3D">
      <w:pPr>
        <w:spacing w:before="0"/>
        <w:jc w:val="left"/>
        <w:rPr>
          <w:rFonts w:cs="Times New Roman"/>
          <w:szCs w:val="22"/>
        </w:rPr>
      </w:pPr>
      <w:r>
        <w:rPr>
          <w:rFonts w:cs="Times New Roman"/>
          <w:szCs w:val="22"/>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39A7A3DF" w14:textId="77777777" w:rsidTr="0013680B">
        <w:tc>
          <w:tcPr>
            <w:tcW w:w="9759" w:type="dxa"/>
            <w:vAlign w:val="center"/>
          </w:tcPr>
          <w:p w14:paraId="7081ABC5" w14:textId="55110945" w:rsidR="002F0B13" w:rsidRPr="000A23F9" w:rsidRDefault="002F0B13" w:rsidP="0013680B">
            <w:pPr>
              <w:spacing w:after="120"/>
              <w:jc w:val="center"/>
              <w:rPr>
                <w:rFonts w:cs="Times New Roman"/>
                <w:b/>
              </w:rPr>
            </w:pPr>
            <w:r w:rsidRPr="000A23F9">
              <w:rPr>
                <w:rFonts w:cs="Times New Roman"/>
                <w:b/>
              </w:rPr>
              <w:br w:type="page"/>
            </w:r>
            <w:r w:rsidR="00A0109B">
              <w:rPr>
                <w:rFonts w:cs="Times New Roman"/>
                <w:b/>
              </w:rPr>
              <w:t>Medium commercial r</w:t>
            </w:r>
            <w:r>
              <w:rPr>
                <w:rFonts w:cs="Times New Roman"/>
                <w:b/>
              </w:rPr>
              <w:t xml:space="preserve">efrigeration </w:t>
            </w:r>
            <w:r w:rsidR="00A0109B">
              <w:rPr>
                <w:rFonts w:cs="Times New Roman"/>
                <w:b/>
              </w:rPr>
              <w:t>b</w:t>
            </w:r>
            <w:r>
              <w:rPr>
                <w:rFonts w:cs="Times New Roman"/>
                <w:b/>
              </w:rPr>
              <w:t>ank (</w:t>
            </w:r>
            <w:r w:rsidR="00A0109B">
              <w:rPr>
                <w:rFonts w:cs="Times New Roman"/>
                <w:b/>
              </w:rPr>
              <w:t>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sidR="00A0109B">
              <w:rPr>
                <w:rFonts w:cs="Times New Roman"/>
                <w:b/>
              </w:rPr>
              <w:t>t</w:t>
            </w:r>
            <w:r w:rsidRPr="000A23F9">
              <w:rPr>
                <w:rFonts w:cs="Times New Roman"/>
                <w:b/>
              </w:rPr>
              <w:t>onnes)</w:t>
            </w:r>
          </w:p>
        </w:tc>
      </w:tr>
      <w:tr w:rsidR="002F0B13" w:rsidRPr="000A23F9" w14:paraId="4C650E1F" w14:textId="77777777" w:rsidTr="0097189F">
        <w:tc>
          <w:tcPr>
            <w:tcW w:w="9759" w:type="dxa"/>
            <w:vAlign w:val="center"/>
          </w:tcPr>
          <w:p w14:paraId="6F466CDD" w14:textId="77777777" w:rsidR="002F0B13" w:rsidRPr="000A23F9" w:rsidRDefault="002F0B13" w:rsidP="0013680B">
            <w:pPr>
              <w:spacing w:before="60" w:after="60"/>
              <w:jc w:val="center"/>
              <w:rPr>
                <w:rFonts w:cs="Times New Roman"/>
                <w:sz w:val="16"/>
                <w:szCs w:val="16"/>
              </w:rPr>
            </w:pPr>
          </w:p>
          <w:p w14:paraId="7BCB45BB" w14:textId="35996518" w:rsidR="002F0B13" w:rsidRPr="000A23F9" w:rsidRDefault="0097189F" w:rsidP="0013680B">
            <w:pPr>
              <w:spacing w:before="60" w:after="60"/>
              <w:jc w:val="center"/>
              <w:rPr>
                <w:rFonts w:cs="Times New Roman"/>
                <w:sz w:val="16"/>
                <w:szCs w:val="16"/>
              </w:rPr>
            </w:pPr>
            <w:r>
              <w:rPr>
                <w:noProof/>
                <w:lang w:val="en-AU" w:eastAsia="en-AU"/>
              </w:rPr>
              <w:drawing>
                <wp:inline distT="0" distB="0" distL="0" distR="0" wp14:anchorId="58C81924" wp14:editId="0F79689A">
                  <wp:extent cx="6030595" cy="235013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30595" cy="2350135"/>
                          </a:xfrm>
                          <a:prstGeom prst="rect">
                            <a:avLst/>
                          </a:prstGeom>
                        </pic:spPr>
                      </pic:pic>
                    </a:graphicData>
                  </a:graphic>
                </wp:inline>
              </w:drawing>
            </w:r>
          </w:p>
          <w:p w14:paraId="403F030E" w14:textId="77777777" w:rsidR="002F0B13" w:rsidRPr="000A23F9" w:rsidRDefault="002F0B13" w:rsidP="0013680B">
            <w:pPr>
              <w:spacing w:before="60" w:after="60"/>
              <w:jc w:val="center"/>
              <w:rPr>
                <w:rFonts w:cs="Times New Roman"/>
                <w:sz w:val="16"/>
                <w:szCs w:val="16"/>
              </w:rPr>
            </w:pPr>
          </w:p>
        </w:tc>
      </w:tr>
      <w:tr w:rsidR="002F0B13" w:rsidRPr="000A23F9" w14:paraId="11B77AD6" w14:textId="77777777" w:rsidTr="0013680B">
        <w:tc>
          <w:tcPr>
            <w:tcW w:w="9759" w:type="dxa"/>
            <w:vAlign w:val="center"/>
          </w:tcPr>
          <w:p w14:paraId="5BDB9387" w14:textId="2260AB07" w:rsidR="002F0B13" w:rsidRPr="00E23B32" w:rsidRDefault="00E23B32" w:rsidP="00E23B32">
            <w:pPr>
              <w:pStyle w:val="Caption"/>
            </w:pPr>
            <w:bookmarkStart w:id="126" w:name="_Toc525141361"/>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30</w:t>
            </w:r>
            <w:r w:rsidR="009D6843">
              <w:rPr>
                <w:noProof/>
              </w:rPr>
              <w:fldChar w:fldCharType="end"/>
            </w:r>
            <w:r w:rsidR="002F0B13" w:rsidRPr="00E23B32">
              <w:rPr>
                <w:bCs w:val="0"/>
              </w:rPr>
              <w:t xml:space="preserve">: </w:t>
            </w:r>
            <w:r w:rsidR="00A0109B" w:rsidRPr="00E23B32">
              <w:rPr>
                <w:bCs w:val="0"/>
              </w:rPr>
              <w:t>Medium c</w:t>
            </w:r>
            <w:r w:rsidR="002F0B13" w:rsidRPr="00E23B32">
              <w:rPr>
                <w:bCs w:val="0"/>
              </w:rPr>
              <w:t xml:space="preserve">ommercial </w:t>
            </w:r>
            <w:r w:rsidR="00A0109B" w:rsidRPr="00E23B32">
              <w:rPr>
                <w:bCs w:val="0"/>
              </w:rPr>
              <w:t>r</w:t>
            </w:r>
            <w:r w:rsidR="002F0B13" w:rsidRPr="00E23B32">
              <w:rPr>
                <w:bCs w:val="0"/>
              </w:rPr>
              <w:t>efrigeration refrigerant bank (</w:t>
            </w:r>
            <w:r w:rsidR="00A0109B" w:rsidRPr="00E23B32">
              <w:rPr>
                <w:bCs w:val="0"/>
              </w:rPr>
              <w:t>a</w:t>
            </w:r>
            <w:r w:rsidR="002F0B13" w:rsidRPr="00E23B32">
              <w:rPr>
                <w:bCs w:val="0"/>
              </w:rPr>
              <w:t xml:space="preserve">ctual) by </w:t>
            </w:r>
            <w:r w:rsidR="00A0109B" w:rsidRPr="00E23B32">
              <w:rPr>
                <w:bCs w:val="0"/>
              </w:rPr>
              <w:t>s</w:t>
            </w:r>
            <w:r w:rsidR="002F0B13" w:rsidRPr="00E23B32">
              <w:rPr>
                <w:bCs w:val="0"/>
              </w:rPr>
              <w:t>pecies from 2016 to 2030 in tonnes.</w:t>
            </w:r>
            <w:bookmarkEnd w:id="126"/>
          </w:p>
        </w:tc>
      </w:tr>
    </w:tbl>
    <w:p w14:paraId="46F02095" w14:textId="5ACCB812"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051EE0DB" w14:textId="77777777" w:rsidR="002F0B13" w:rsidRDefault="002F0B13" w:rsidP="002F0B13">
      <w:pPr>
        <w:rPr>
          <w:rFonts w:cs="Times New Roman"/>
        </w:rPr>
      </w:pPr>
    </w:p>
    <w:p w14:paraId="0CA4D42E" w14:textId="77777777" w:rsidR="002F0B13" w:rsidRPr="00A949CD" w:rsidRDefault="002F0B13" w:rsidP="002F0B13">
      <w:pPr>
        <w:snapToGrid w:val="0"/>
        <w:rPr>
          <w:rFonts w:cs="Times New Roman"/>
          <w:szCs w:val="22"/>
        </w:rPr>
      </w:pPr>
      <w:r w:rsidRPr="00A949CD">
        <w:rPr>
          <w:rFonts w:cs="Times New Roman"/>
          <w:szCs w:val="22"/>
        </w:rPr>
        <w:t>Banks of these high GWP refrigerants in this s</w:t>
      </w:r>
      <w:r>
        <w:rPr>
          <w:rFonts w:cs="Times New Roman"/>
          <w:szCs w:val="22"/>
        </w:rPr>
        <w:t>egment are estimated as follows:</w:t>
      </w:r>
    </w:p>
    <w:p w14:paraId="2A6C990B" w14:textId="58960482"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 xml:space="preserve">HFC-134a of around </w:t>
      </w:r>
      <w:r w:rsidR="007706B0">
        <w:rPr>
          <w:rFonts w:ascii="Times New Roman" w:hAnsi="Times New Roman"/>
        </w:rPr>
        <w:t>835</w:t>
      </w:r>
      <w:r w:rsidRPr="00A949CD">
        <w:rPr>
          <w:rFonts w:ascii="Times New Roman" w:hAnsi="Times New Roman"/>
        </w:rPr>
        <w:t xml:space="preserve"> tonnes in 2016 to grow steadily to </w:t>
      </w:r>
      <w:r w:rsidR="007706B0">
        <w:rPr>
          <w:rFonts w:ascii="Times New Roman" w:hAnsi="Times New Roman"/>
        </w:rPr>
        <w:t>950</w:t>
      </w:r>
      <w:r w:rsidRPr="00A949CD">
        <w:rPr>
          <w:rFonts w:ascii="Times New Roman" w:hAnsi="Times New Roman"/>
        </w:rPr>
        <w:t xml:space="preserve"> tonnes in 2030;</w:t>
      </w:r>
    </w:p>
    <w:p w14:paraId="2337F48B" w14:textId="6B79C596"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HFC-404A of more than 2,</w:t>
      </w:r>
      <w:r w:rsidR="007706B0">
        <w:rPr>
          <w:rFonts w:ascii="Times New Roman" w:hAnsi="Times New Roman"/>
        </w:rPr>
        <w:t>7</w:t>
      </w:r>
      <w:r w:rsidRPr="00A949CD">
        <w:rPr>
          <w:rFonts w:ascii="Times New Roman" w:hAnsi="Times New Roman"/>
        </w:rPr>
        <w:t>00 tonnes in 2016 to fall steadily by more than 5</w:t>
      </w:r>
      <w:r w:rsidR="007706B0">
        <w:rPr>
          <w:rFonts w:ascii="Times New Roman" w:hAnsi="Times New Roman"/>
        </w:rPr>
        <w:t>6</w:t>
      </w:r>
      <w:r w:rsidRPr="00A949CD">
        <w:rPr>
          <w:rFonts w:ascii="Times New Roman" w:hAnsi="Times New Roman"/>
        </w:rPr>
        <w:t>% to around 1</w:t>
      </w:r>
      <w:r w:rsidR="00B35303">
        <w:rPr>
          <w:rFonts w:ascii="Times New Roman" w:hAnsi="Times New Roman"/>
        </w:rPr>
        <w:t>,</w:t>
      </w:r>
      <w:r w:rsidR="007706B0">
        <w:rPr>
          <w:rFonts w:ascii="Times New Roman" w:hAnsi="Times New Roman"/>
        </w:rPr>
        <w:t>185</w:t>
      </w:r>
      <w:r w:rsidRPr="00A949CD">
        <w:rPr>
          <w:rFonts w:ascii="Times New Roman" w:hAnsi="Times New Roman"/>
        </w:rPr>
        <w:t xml:space="preserve"> tonnes by 2030;</w:t>
      </w:r>
    </w:p>
    <w:p w14:paraId="34AD3F28" w14:textId="2D5DB56D"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 xml:space="preserve">HFC-410A of around 30 tonnes in 2016 to end roughly stable by the end of the projection period </w:t>
      </w:r>
      <w:r w:rsidR="007706B0">
        <w:rPr>
          <w:rFonts w:ascii="Times New Roman" w:hAnsi="Times New Roman"/>
        </w:rPr>
        <w:t>at 35 tonnes</w:t>
      </w:r>
      <w:r w:rsidRPr="00A949CD">
        <w:rPr>
          <w:rFonts w:ascii="Times New Roman" w:hAnsi="Times New Roman"/>
        </w:rPr>
        <w:t>;</w:t>
      </w:r>
    </w:p>
    <w:p w14:paraId="755CA005" w14:textId="4DCF7E11"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 xml:space="preserve">HFC-407C to </w:t>
      </w:r>
      <w:r w:rsidR="007706B0">
        <w:rPr>
          <w:rFonts w:ascii="Times New Roman" w:hAnsi="Times New Roman"/>
        </w:rPr>
        <w:t xml:space="preserve">decline </w:t>
      </w:r>
      <w:r w:rsidRPr="00A949CD">
        <w:rPr>
          <w:rFonts w:ascii="Times New Roman" w:hAnsi="Times New Roman"/>
        </w:rPr>
        <w:t>from around 1</w:t>
      </w:r>
      <w:r w:rsidR="007706B0">
        <w:rPr>
          <w:rFonts w:ascii="Times New Roman" w:hAnsi="Times New Roman"/>
        </w:rPr>
        <w:t>00</w:t>
      </w:r>
      <w:r w:rsidRPr="00A949CD">
        <w:rPr>
          <w:rFonts w:ascii="Times New Roman" w:hAnsi="Times New Roman"/>
        </w:rPr>
        <w:t xml:space="preserve"> tonnes in 2016 to </w:t>
      </w:r>
      <w:r w:rsidR="007706B0">
        <w:rPr>
          <w:rFonts w:ascii="Times New Roman" w:hAnsi="Times New Roman"/>
        </w:rPr>
        <w:t>85</w:t>
      </w:r>
      <w:r w:rsidRPr="00A949CD">
        <w:rPr>
          <w:rFonts w:ascii="Times New Roman" w:hAnsi="Times New Roman"/>
        </w:rPr>
        <w:t xml:space="preserve"> tonnes in 2024 before ending the projec</w:t>
      </w:r>
      <w:r>
        <w:rPr>
          <w:rFonts w:ascii="Times New Roman" w:hAnsi="Times New Roman"/>
        </w:rPr>
        <w:t xml:space="preserve">tion period at around </w:t>
      </w:r>
      <w:r w:rsidR="007706B0">
        <w:rPr>
          <w:rFonts w:ascii="Times New Roman" w:hAnsi="Times New Roman"/>
        </w:rPr>
        <w:t>45</w:t>
      </w:r>
      <w:r>
        <w:rPr>
          <w:rFonts w:ascii="Times New Roman" w:hAnsi="Times New Roman"/>
        </w:rPr>
        <w:t xml:space="preserve"> tonnes;</w:t>
      </w:r>
    </w:p>
    <w:p w14:paraId="7D73CC62" w14:textId="56E4C008"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A small bank of emerging blend</w:t>
      </w:r>
      <w:r>
        <w:rPr>
          <w:rFonts w:ascii="Times New Roman" w:hAnsi="Times New Roman"/>
        </w:rPr>
        <w:t>s</w:t>
      </w:r>
      <w:r w:rsidRPr="00A949CD">
        <w:rPr>
          <w:rFonts w:ascii="Times New Roman" w:hAnsi="Times New Roman"/>
        </w:rPr>
        <w:t xml:space="preserve"> HFC</w:t>
      </w:r>
      <w:r>
        <w:rPr>
          <w:rFonts w:ascii="Times New Roman" w:hAnsi="Times New Roman"/>
        </w:rPr>
        <w:t>-448a and HFC-449a</w:t>
      </w:r>
      <w:r w:rsidRPr="00A949CD">
        <w:rPr>
          <w:rFonts w:ascii="Times New Roman" w:hAnsi="Times New Roman"/>
        </w:rPr>
        <w:t xml:space="preserve"> in the &lt;2150 GWP bin is predicted to grow to nearly </w:t>
      </w:r>
      <w:r w:rsidR="007706B0">
        <w:rPr>
          <w:rFonts w:ascii="Times New Roman" w:hAnsi="Times New Roman"/>
        </w:rPr>
        <w:t>630</w:t>
      </w:r>
      <w:r w:rsidRPr="00A949CD">
        <w:rPr>
          <w:rFonts w:ascii="Times New Roman" w:hAnsi="Times New Roman"/>
        </w:rPr>
        <w:t xml:space="preserve"> tonnes by 2030;</w:t>
      </w:r>
      <w:r>
        <w:rPr>
          <w:rFonts w:ascii="Times New Roman" w:hAnsi="Times New Roman"/>
        </w:rPr>
        <w:t xml:space="preserve"> and,</w:t>
      </w:r>
    </w:p>
    <w:p w14:paraId="5E74D372" w14:textId="5847D37C" w:rsidR="002F0B13" w:rsidRPr="00A949CD" w:rsidRDefault="007706B0" w:rsidP="00FC735C">
      <w:pPr>
        <w:pStyle w:val="ListParagraph"/>
        <w:numPr>
          <w:ilvl w:val="0"/>
          <w:numId w:val="35"/>
        </w:numPr>
        <w:snapToGrid w:val="0"/>
        <w:spacing w:before="120" w:after="0" w:line="240" w:lineRule="auto"/>
        <w:contextualSpacing w:val="0"/>
        <w:jc w:val="both"/>
        <w:rPr>
          <w:rFonts w:ascii="Times New Roman" w:hAnsi="Times New Roman"/>
        </w:rPr>
      </w:pPr>
      <w:r>
        <w:rPr>
          <w:rFonts w:ascii="Times New Roman" w:hAnsi="Times New Roman"/>
        </w:rPr>
        <w:t>N</w:t>
      </w:r>
      <w:r w:rsidR="002F0B13" w:rsidRPr="00A949CD">
        <w:rPr>
          <w:rFonts w:ascii="Times New Roman" w:hAnsi="Times New Roman"/>
        </w:rPr>
        <w:t>ew blend</w:t>
      </w:r>
      <w:r>
        <w:rPr>
          <w:rFonts w:ascii="Times New Roman" w:hAnsi="Times New Roman"/>
        </w:rPr>
        <w:t>s</w:t>
      </w:r>
      <w:r w:rsidR="002F0B13" w:rsidRPr="00A949CD">
        <w:rPr>
          <w:rFonts w:ascii="Times New Roman" w:hAnsi="Times New Roman"/>
        </w:rPr>
        <w:t xml:space="preserve"> in the &lt;1000 GWP bin </w:t>
      </w:r>
      <w:r>
        <w:rPr>
          <w:rFonts w:ascii="Times New Roman" w:hAnsi="Times New Roman"/>
        </w:rPr>
        <w:t xml:space="preserve">are </w:t>
      </w:r>
      <w:r w:rsidR="002F0B13" w:rsidRPr="00A949CD">
        <w:rPr>
          <w:rFonts w:ascii="Times New Roman" w:hAnsi="Times New Roman"/>
        </w:rPr>
        <w:t xml:space="preserve">expected to enter the market strongly in the early part of the projection period, growing from zero to </w:t>
      </w:r>
      <w:r>
        <w:rPr>
          <w:rFonts w:ascii="Times New Roman" w:hAnsi="Times New Roman"/>
        </w:rPr>
        <w:t>around 62</w:t>
      </w:r>
      <w:r w:rsidR="002F0B13" w:rsidRPr="00A949CD">
        <w:rPr>
          <w:rFonts w:ascii="Times New Roman" w:hAnsi="Times New Roman"/>
        </w:rPr>
        <w:t>0 tonnes by 2030.</w:t>
      </w:r>
    </w:p>
    <w:p w14:paraId="42E0A264" w14:textId="512EAA3F" w:rsidR="002F0B13" w:rsidRPr="00A949CD" w:rsidRDefault="002F0B13" w:rsidP="002F0B13">
      <w:pPr>
        <w:snapToGrid w:val="0"/>
        <w:rPr>
          <w:rFonts w:cs="Times New Roman"/>
          <w:szCs w:val="22"/>
        </w:rPr>
      </w:pPr>
      <w:r w:rsidRPr="00A949CD">
        <w:rPr>
          <w:rFonts w:cs="Times New Roman"/>
          <w:szCs w:val="22"/>
        </w:rPr>
        <w:t xml:space="preserve">All of the low GWP refrigerants are also predicted to grow into a small portion of this complex bank with </w:t>
      </w:r>
      <w:r>
        <w:rPr>
          <w:rFonts w:cs="Times New Roman"/>
          <w:szCs w:val="22"/>
        </w:rPr>
        <w:t>HC</w:t>
      </w:r>
      <w:r w:rsidRPr="00A949CD">
        <w:rPr>
          <w:rFonts w:cs="Times New Roman"/>
          <w:szCs w:val="22"/>
        </w:rPr>
        <w:t>, HFOs, CO</w:t>
      </w:r>
      <w:r w:rsidRPr="00FC5F19">
        <w:rPr>
          <w:rFonts w:cs="Times New Roman"/>
          <w:szCs w:val="22"/>
          <w:vertAlign w:val="subscript"/>
        </w:rPr>
        <w:t>2</w:t>
      </w:r>
      <w:r w:rsidRPr="00A949CD">
        <w:rPr>
          <w:rFonts w:cs="Times New Roman"/>
          <w:szCs w:val="22"/>
        </w:rPr>
        <w:t xml:space="preserve"> and ammonia charged systems either already being deployed or expected to be so soon:</w:t>
      </w:r>
    </w:p>
    <w:p w14:paraId="3EC2B856" w14:textId="77777777"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 xml:space="preserve">A small bank of </w:t>
      </w:r>
      <w:r>
        <w:rPr>
          <w:rFonts w:ascii="Times New Roman" w:hAnsi="Times New Roman"/>
        </w:rPr>
        <w:t>HC</w:t>
      </w:r>
      <w:r w:rsidRPr="00A949CD">
        <w:rPr>
          <w:rFonts w:ascii="Times New Roman" w:hAnsi="Times New Roman"/>
        </w:rPr>
        <w:t xml:space="preserve"> charged equipment was already in the market in 2016 and is expected to grow to some 75 tonnes;</w:t>
      </w:r>
    </w:p>
    <w:p w14:paraId="4F268532" w14:textId="77777777"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HFOs starting from zero are predicted to grow to a bank of around 105 tonnes;</w:t>
      </w:r>
    </w:p>
    <w:p w14:paraId="13D0B3B9" w14:textId="262ED1DF"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CO</w:t>
      </w:r>
      <w:r w:rsidRPr="001967C1">
        <w:rPr>
          <w:rFonts w:ascii="Times New Roman" w:hAnsi="Times New Roman"/>
          <w:vertAlign w:val="subscript"/>
        </w:rPr>
        <w:t>2</w:t>
      </w:r>
      <w:r w:rsidRPr="00A949CD">
        <w:rPr>
          <w:rFonts w:ascii="Times New Roman" w:hAnsi="Times New Roman"/>
        </w:rPr>
        <w:t xml:space="preserve"> systems are predicted to grow from zero at the start of the period to a bank of more than 355 tonnes by 2030; and</w:t>
      </w:r>
      <w:r>
        <w:rPr>
          <w:rFonts w:ascii="Times New Roman" w:hAnsi="Times New Roman"/>
        </w:rPr>
        <w:t>,</w:t>
      </w:r>
    </w:p>
    <w:p w14:paraId="488B6A8B" w14:textId="5DF8A83C" w:rsidR="002F0B13" w:rsidRPr="00A949CD" w:rsidRDefault="002F0B13" w:rsidP="00FC735C">
      <w:pPr>
        <w:pStyle w:val="ListParagraph"/>
        <w:numPr>
          <w:ilvl w:val="0"/>
          <w:numId w:val="35"/>
        </w:numPr>
        <w:snapToGrid w:val="0"/>
        <w:spacing w:before="120" w:after="0" w:line="240" w:lineRule="auto"/>
        <w:contextualSpacing w:val="0"/>
        <w:jc w:val="both"/>
        <w:rPr>
          <w:rFonts w:ascii="Times New Roman" w:hAnsi="Times New Roman"/>
        </w:rPr>
      </w:pPr>
      <w:r w:rsidRPr="00A949CD">
        <w:rPr>
          <w:rFonts w:ascii="Times New Roman" w:hAnsi="Times New Roman"/>
        </w:rPr>
        <w:t>Ammonia charged systems in low temperature remote applications of more than 40</w:t>
      </w:r>
      <w:r w:rsidR="009B15DE">
        <w:rPr>
          <w:rFonts w:ascii="Times New Roman" w:hAnsi="Times New Roman"/>
        </w:rPr>
        <w:t xml:space="preserve"> </w:t>
      </w:r>
      <w:r w:rsidRPr="00A949CD">
        <w:rPr>
          <w:rFonts w:ascii="Times New Roman" w:hAnsi="Times New Roman"/>
        </w:rPr>
        <w:t>kWr are demonstrated and economic and are expected to grow from zero to more than 55 tonnes by 2030.</w:t>
      </w:r>
    </w:p>
    <w:p w14:paraId="27832207" w14:textId="77777777" w:rsidR="002F0B13" w:rsidRPr="00A949CD" w:rsidRDefault="002F0B13" w:rsidP="002F0B13">
      <w:pPr>
        <w:snapToGrid w:val="0"/>
        <w:rPr>
          <w:rFonts w:cs="Times New Roman"/>
          <w:szCs w:val="22"/>
        </w:rPr>
      </w:pPr>
      <w:r w:rsidRPr="00A949CD">
        <w:rPr>
          <w:rFonts w:cs="Times New Roman"/>
          <w:szCs w:val="22"/>
        </w:rPr>
        <w:t>During the projection period most of the currently HCFC-22 charged remote condenser systems are expected to be retired or refitted. HCFC-22 in this segment is predicted to fall from around 313 tonnes presently in use to just 12 tonnes by 2030.</w:t>
      </w:r>
    </w:p>
    <w:p w14:paraId="6CBD1D9D" w14:textId="77777777" w:rsidR="002F0B13" w:rsidRPr="00A949CD" w:rsidRDefault="002F0B13" w:rsidP="002F0B13">
      <w:pPr>
        <w:snapToGrid w:val="0"/>
        <w:rPr>
          <w:rFonts w:cs="Times New Roman"/>
          <w:szCs w:val="22"/>
        </w:rPr>
      </w:pPr>
      <w:r w:rsidRPr="00A949CD">
        <w:rPr>
          <w:rFonts w:cs="Times New Roman"/>
          <w:szCs w:val="22"/>
        </w:rPr>
        <w:t>Apprentices starting in refrigeration engineering courses now will be working in an increasingly complex technical and regulatory environment by the time they graduate in the early years of the 2020s and, in this segment, potentially handling any one of 11 different refrigerants.</w:t>
      </w:r>
    </w:p>
    <w:p w14:paraId="2E25FD48" w14:textId="77777777" w:rsidR="002F0B13" w:rsidRPr="001438BF" w:rsidRDefault="002F0B13" w:rsidP="002F0B13">
      <w:pPr>
        <w:snapToGrid w:val="0"/>
        <w:spacing w:before="240"/>
        <w:rPr>
          <w:rFonts w:cs="Times New Roman"/>
          <w:b/>
        </w:rPr>
      </w:pPr>
      <w:r w:rsidRPr="001438BF">
        <w:rPr>
          <w:rFonts w:cs="Times New Roman"/>
          <w:b/>
        </w:rPr>
        <w:t>Supermarkets</w:t>
      </w:r>
    </w:p>
    <w:p w14:paraId="027286B5" w14:textId="371B9FF8" w:rsidR="002F0B13" w:rsidRPr="00A949CD" w:rsidRDefault="002F0B13" w:rsidP="002F0B13">
      <w:pPr>
        <w:snapToGrid w:val="0"/>
        <w:rPr>
          <w:rFonts w:cs="Times New Roman"/>
          <w:szCs w:val="22"/>
        </w:rPr>
      </w:pPr>
      <w:r w:rsidRPr="00A949CD">
        <w:rPr>
          <w:rFonts w:cs="Times New Roman"/>
          <w:szCs w:val="22"/>
        </w:rPr>
        <w:t>Supermarket refrigeration systems were estimated to employ around 2,300 tonnes of refrigerant in 2016, at that time comprising nearly 32% of the RCFC bank. This is expected to expand modestly to some 3,200 tonnes and arou</w:t>
      </w:r>
      <w:r w:rsidR="006C3088">
        <w:rPr>
          <w:rFonts w:cs="Times New Roman"/>
          <w:szCs w:val="22"/>
        </w:rPr>
        <w:t>nd 40</w:t>
      </w:r>
      <w:r w:rsidRPr="00A949CD">
        <w:rPr>
          <w:rFonts w:cs="Times New Roman"/>
          <w:szCs w:val="22"/>
        </w:rPr>
        <w:t>% of the RCFC bank in 2030.</w:t>
      </w:r>
    </w:p>
    <w:p w14:paraId="7EA66F2B" w14:textId="4E4981BC" w:rsidR="002F0B13" w:rsidRPr="00A949CD" w:rsidRDefault="002F0B13" w:rsidP="002F0B13">
      <w:pPr>
        <w:snapToGrid w:val="0"/>
        <w:rPr>
          <w:rFonts w:cs="Times New Roman"/>
          <w:szCs w:val="22"/>
        </w:rPr>
      </w:pPr>
      <w:r w:rsidRPr="00A949CD">
        <w:rPr>
          <w:rFonts w:cs="Times New Roman"/>
          <w:szCs w:val="22"/>
        </w:rPr>
        <w:t xml:space="preserve">Supermarket systems are generally large </w:t>
      </w:r>
      <w:r w:rsidR="00FE74F2" w:rsidRPr="00A949CD">
        <w:rPr>
          <w:rFonts w:cs="Times New Roman"/>
          <w:szCs w:val="22"/>
        </w:rPr>
        <w:t>centrali</w:t>
      </w:r>
      <w:r w:rsidR="00FE74F2">
        <w:rPr>
          <w:rFonts w:cs="Times New Roman"/>
          <w:szCs w:val="22"/>
        </w:rPr>
        <w:t>s</w:t>
      </w:r>
      <w:r w:rsidR="00FE74F2" w:rsidRPr="00A949CD">
        <w:rPr>
          <w:rFonts w:cs="Times New Roman"/>
          <w:szCs w:val="22"/>
        </w:rPr>
        <w:t>ed</w:t>
      </w:r>
      <w:r w:rsidRPr="00A949CD">
        <w:rPr>
          <w:rFonts w:cs="Times New Roman"/>
          <w:szCs w:val="22"/>
        </w:rPr>
        <w:t xml:space="preserve"> or remote systems, designed to the specific site but using well tested standard components which are generally well maintained. </w:t>
      </w:r>
    </w:p>
    <w:p w14:paraId="5203C546" w14:textId="322FA23B" w:rsidR="002F0B13" w:rsidRDefault="002F0B13" w:rsidP="002F0B13">
      <w:pPr>
        <w:snapToGrid w:val="0"/>
        <w:rPr>
          <w:rFonts w:cs="Times New Roman"/>
        </w:rPr>
      </w:pPr>
      <w:r w:rsidRPr="00A949CD">
        <w:rPr>
          <w:rFonts w:cs="Times New Roman"/>
          <w:szCs w:val="22"/>
        </w:rPr>
        <w:t>Due to the highly concentrated structure of the Australian supermarket industry, with the main players being well capitalised and highly performance focus</w:t>
      </w:r>
      <w:r w:rsidR="00B35303">
        <w:rPr>
          <w:rFonts w:cs="Times New Roman"/>
          <w:szCs w:val="22"/>
        </w:rPr>
        <w:t>s</w:t>
      </w:r>
      <w:r w:rsidRPr="00A949CD">
        <w:rPr>
          <w:rFonts w:cs="Times New Roman"/>
          <w:szCs w:val="22"/>
        </w:rPr>
        <w:t xml:space="preserve">ed, the bank in </w:t>
      </w:r>
      <w:r w:rsidR="00B35303">
        <w:rPr>
          <w:rFonts w:cs="Times New Roman"/>
          <w:szCs w:val="22"/>
        </w:rPr>
        <w:t>s</w:t>
      </w:r>
      <w:r w:rsidRPr="00A949CD">
        <w:rPr>
          <w:rFonts w:cs="Times New Roman"/>
          <w:szCs w:val="22"/>
        </w:rPr>
        <w:t xml:space="preserve">upermarket systems has reflected these large </w:t>
      </w:r>
      <w:r w:rsidR="007706B0" w:rsidRPr="00A949CD">
        <w:rPr>
          <w:rFonts w:cs="Times New Roman"/>
          <w:szCs w:val="22"/>
        </w:rPr>
        <w:t>corporations’</w:t>
      </w:r>
      <w:r w:rsidRPr="00A949CD">
        <w:rPr>
          <w:rFonts w:cs="Times New Roman"/>
          <w:szCs w:val="22"/>
        </w:rPr>
        <w:t xml:space="preserve"> commitments to efficiency and environmental stewardship in the last decade, with a quite rapid and accelerating trend towards refrigerant leak reduction and transition to low GWP refrigerants.</w:t>
      </w:r>
    </w:p>
    <w:p w14:paraId="75B3FA8C" w14:textId="77777777" w:rsidR="002F0B13" w:rsidRDefault="002F0B13" w:rsidP="002F0B13">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5228C985" w14:textId="77777777" w:rsidTr="0013680B">
        <w:tc>
          <w:tcPr>
            <w:tcW w:w="9759" w:type="dxa"/>
            <w:vAlign w:val="center"/>
          </w:tcPr>
          <w:p w14:paraId="149FD130" w14:textId="0B65AD82" w:rsidR="002F0B13" w:rsidRPr="000A23F9" w:rsidRDefault="002F0B13" w:rsidP="0013680B">
            <w:pPr>
              <w:spacing w:after="120"/>
              <w:jc w:val="center"/>
              <w:rPr>
                <w:rFonts w:cs="Times New Roman"/>
                <w:b/>
              </w:rPr>
            </w:pPr>
            <w:r w:rsidRPr="000A23F9">
              <w:rPr>
                <w:rFonts w:cs="Times New Roman"/>
                <w:b/>
              </w:rPr>
              <w:br w:type="page"/>
            </w:r>
            <w:r w:rsidR="00A0109B">
              <w:rPr>
                <w:rFonts w:cs="Times New Roman"/>
                <w:b/>
              </w:rPr>
              <w:t>Supermarket b</w:t>
            </w:r>
            <w:r>
              <w:rPr>
                <w:rFonts w:cs="Times New Roman"/>
                <w:b/>
              </w:rPr>
              <w:t>ank (</w:t>
            </w:r>
            <w:r w:rsidR="00A0109B">
              <w:rPr>
                <w:rFonts w:cs="Times New Roman"/>
                <w:b/>
              </w:rPr>
              <w:t>actual)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A0109B">
              <w:rPr>
                <w:rFonts w:cs="Times New Roman"/>
                <w:b/>
              </w:rPr>
              <w:t xml:space="preserve"> (t</w:t>
            </w:r>
            <w:r w:rsidRPr="000A23F9">
              <w:rPr>
                <w:rFonts w:cs="Times New Roman"/>
                <w:b/>
              </w:rPr>
              <w:t>onnes)</w:t>
            </w:r>
          </w:p>
        </w:tc>
      </w:tr>
      <w:tr w:rsidR="002F0B13" w:rsidRPr="000A23F9" w14:paraId="5BFEB27C" w14:textId="77777777" w:rsidTr="0097189F">
        <w:tc>
          <w:tcPr>
            <w:tcW w:w="9759" w:type="dxa"/>
            <w:vAlign w:val="center"/>
          </w:tcPr>
          <w:p w14:paraId="01C7DE2B" w14:textId="77777777" w:rsidR="002F0B13" w:rsidRPr="000A23F9" w:rsidRDefault="002F0B13" w:rsidP="0013680B">
            <w:pPr>
              <w:spacing w:before="60" w:after="60"/>
              <w:jc w:val="center"/>
              <w:rPr>
                <w:rFonts w:cs="Times New Roman"/>
                <w:sz w:val="16"/>
                <w:szCs w:val="16"/>
              </w:rPr>
            </w:pPr>
          </w:p>
          <w:p w14:paraId="6BA2CBD8" w14:textId="55565CEC" w:rsidR="002F0B13" w:rsidRPr="000A23F9" w:rsidRDefault="0097189F" w:rsidP="0013680B">
            <w:pPr>
              <w:spacing w:before="60" w:after="60"/>
              <w:jc w:val="center"/>
              <w:rPr>
                <w:rFonts w:cs="Times New Roman"/>
                <w:sz w:val="16"/>
                <w:szCs w:val="16"/>
              </w:rPr>
            </w:pPr>
            <w:r>
              <w:rPr>
                <w:noProof/>
                <w:lang w:val="en-AU" w:eastAsia="en-AU"/>
              </w:rPr>
              <w:drawing>
                <wp:inline distT="0" distB="0" distL="0" distR="0" wp14:anchorId="6D37B15C" wp14:editId="0C9C0F49">
                  <wp:extent cx="6030595" cy="2350135"/>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30595" cy="2350135"/>
                          </a:xfrm>
                          <a:prstGeom prst="rect">
                            <a:avLst/>
                          </a:prstGeom>
                        </pic:spPr>
                      </pic:pic>
                    </a:graphicData>
                  </a:graphic>
                </wp:inline>
              </w:drawing>
            </w:r>
          </w:p>
          <w:p w14:paraId="5F730E76" w14:textId="77777777" w:rsidR="002F0B13" w:rsidRPr="000A23F9" w:rsidRDefault="002F0B13" w:rsidP="0013680B">
            <w:pPr>
              <w:spacing w:before="60" w:after="60"/>
              <w:jc w:val="center"/>
              <w:rPr>
                <w:rFonts w:cs="Times New Roman"/>
                <w:sz w:val="16"/>
                <w:szCs w:val="16"/>
              </w:rPr>
            </w:pPr>
          </w:p>
        </w:tc>
      </w:tr>
      <w:tr w:rsidR="002F0B13" w:rsidRPr="000A23F9" w14:paraId="3692FD20" w14:textId="77777777" w:rsidTr="0013680B">
        <w:tc>
          <w:tcPr>
            <w:tcW w:w="9759" w:type="dxa"/>
            <w:vAlign w:val="center"/>
          </w:tcPr>
          <w:p w14:paraId="55123548" w14:textId="53E87387" w:rsidR="002F0B13" w:rsidRPr="00E23B32" w:rsidRDefault="00E23B32" w:rsidP="00E23B32">
            <w:pPr>
              <w:pStyle w:val="Caption"/>
            </w:pPr>
            <w:bookmarkStart w:id="127" w:name="_Toc525141362"/>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31</w:t>
            </w:r>
            <w:r w:rsidR="009D6843">
              <w:rPr>
                <w:noProof/>
              </w:rPr>
              <w:fldChar w:fldCharType="end"/>
            </w:r>
            <w:r w:rsidR="002F0B13" w:rsidRPr="00E23B32">
              <w:rPr>
                <w:bCs w:val="0"/>
              </w:rPr>
              <w:t xml:space="preserve">: Supermarket refrigerant bank </w:t>
            </w:r>
            <w:r w:rsidR="00A0109B" w:rsidRPr="00E23B32">
              <w:rPr>
                <w:bCs w:val="0"/>
              </w:rPr>
              <w:t>(a</w:t>
            </w:r>
            <w:r w:rsidR="002F0B13" w:rsidRPr="00E23B32">
              <w:rPr>
                <w:bCs w:val="0"/>
              </w:rPr>
              <w:t xml:space="preserve">ctual) by </w:t>
            </w:r>
            <w:r w:rsidR="00A0109B" w:rsidRPr="00E23B32">
              <w:rPr>
                <w:bCs w:val="0"/>
              </w:rPr>
              <w:t>s</w:t>
            </w:r>
            <w:r w:rsidR="002F0B13" w:rsidRPr="00E23B32">
              <w:rPr>
                <w:bCs w:val="0"/>
              </w:rPr>
              <w:t>pecies from 2016 to 2030 in tonnes.</w:t>
            </w:r>
            <w:bookmarkEnd w:id="127"/>
          </w:p>
        </w:tc>
      </w:tr>
    </w:tbl>
    <w:p w14:paraId="400572AA" w14:textId="7759B52C"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021CCDE0" w14:textId="7502F26B" w:rsidR="002F0B13" w:rsidRPr="00A949CD" w:rsidRDefault="002F0B13" w:rsidP="002F0B13">
      <w:pPr>
        <w:snapToGrid w:val="0"/>
        <w:rPr>
          <w:rFonts w:cs="Times New Roman"/>
          <w:szCs w:val="22"/>
        </w:rPr>
      </w:pPr>
      <w:r w:rsidRPr="00A949CD">
        <w:rPr>
          <w:rFonts w:cs="Times New Roman"/>
          <w:szCs w:val="22"/>
        </w:rPr>
        <w:t>The mainstay high GWP HFC-404A is predicted to see a decrease of more than 55% in the projection period from a 2016 bank of around 1,37</w:t>
      </w:r>
      <w:r w:rsidR="00632B22">
        <w:rPr>
          <w:rFonts w:cs="Times New Roman"/>
          <w:szCs w:val="22"/>
        </w:rPr>
        <w:t>0</w:t>
      </w:r>
      <w:r w:rsidRPr="00A949CD">
        <w:rPr>
          <w:rFonts w:cs="Times New Roman"/>
          <w:szCs w:val="22"/>
        </w:rPr>
        <w:t xml:space="preserve"> tonnes, climbing to around 1,470 tonnes in 2020 before falling steadily to less than 620 tonnes by 2030. HFC-134a, starting with a bank of around 520 tonnes in 2016 is expected to climb to around 880 tonnes in 2025 before declining steadily to around 4</w:t>
      </w:r>
      <w:r w:rsidR="00632B22">
        <w:rPr>
          <w:rFonts w:cs="Times New Roman"/>
          <w:szCs w:val="22"/>
        </w:rPr>
        <w:t>9</w:t>
      </w:r>
      <w:r w:rsidRPr="00A949CD">
        <w:rPr>
          <w:rFonts w:cs="Times New Roman"/>
          <w:szCs w:val="22"/>
        </w:rPr>
        <w:t xml:space="preserve">0 tonnes in 2030, maintaining </w:t>
      </w:r>
      <w:r w:rsidR="00FE74F2">
        <w:rPr>
          <w:rFonts w:cs="Times New Roman"/>
          <w:szCs w:val="22"/>
        </w:rPr>
        <w:t>its</w:t>
      </w:r>
      <w:r w:rsidRPr="00A949CD">
        <w:rPr>
          <w:rFonts w:cs="Times New Roman"/>
          <w:szCs w:val="22"/>
        </w:rPr>
        <w:t xml:space="preserve"> role in two stage cascade refrigeration systems, at the same time as HCFCs are removed entirely from </w:t>
      </w:r>
      <w:r w:rsidR="00B35303">
        <w:rPr>
          <w:rFonts w:cs="Times New Roman"/>
          <w:szCs w:val="22"/>
        </w:rPr>
        <w:t>s</w:t>
      </w:r>
      <w:r w:rsidRPr="00A949CD">
        <w:rPr>
          <w:rFonts w:cs="Times New Roman"/>
          <w:szCs w:val="22"/>
        </w:rPr>
        <w:t>upermarket systems within just the next few years.</w:t>
      </w:r>
    </w:p>
    <w:p w14:paraId="2612C0B3" w14:textId="0D1AED02" w:rsidR="002F0B13" w:rsidRPr="00A949CD" w:rsidRDefault="002F0B13" w:rsidP="002F0B13">
      <w:pPr>
        <w:snapToGrid w:val="0"/>
        <w:rPr>
          <w:rFonts w:cs="Times New Roman"/>
          <w:szCs w:val="22"/>
        </w:rPr>
      </w:pPr>
      <w:r w:rsidRPr="00A949CD">
        <w:rPr>
          <w:rFonts w:cs="Times New Roman"/>
          <w:szCs w:val="22"/>
        </w:rPr>
        <w:t>Emerging blend</w:t>
      </w:r>
      <w:r>
        <w:rPr>
          <w:rFonts w:cs="Times New Roman"/>
          <w:szCs w:val="22"/>
        </w:rPr>
        <w:t>s</w:t>
      </w:r>
      <w:r w:rsidRPr="00A949CD">
        <w:rPr>
          <w:rFonts w:cs="Times New Roman"/>
          <w:szCs w:val="22"/>
        </w:rPr>
        <w:t xml:space="preserve"> </w:t>
      </w:r>
      <w:r w:rsidRPr="00FC5F19">
        <w:rPr>
          <w:rFonts w:cs="Times New Roman"/>
          <w:szCs w:val="22"/>
        </w:rPr>
        <w:t xml:space="preserve">HFC-448a and HFC-449a </w:t>
      </w:r>
      <w:r w:rsidRPr="00A949CD">
        <w:rPr>
          <w:rFonts w:cs="Times New Roman"/>
          <w:szCs w:val="22"/>
        </w:rPr>
        <w:t xml:space="preserve">in the &lt;2150 GWP bin </w:t>
      </w:r>
      <w:r w:rsidR="00FE74F2">
        <w:rPr>
          <w:rFonts w:cs="Times New Roman"/>
          <w:szCs w:val="22"/>
        </w:rPr>
        <w:t>are</w:t>
      </w:r>
      <w:r w:rsidRPr="00A949CD">
        <w:rPr>
          <w:rFonts w:cs="Times New Roman"/>
          <w:szCs w:val="22"/>
        </w:rPr>
        <w:t xml:space="preserve"> predicted to grow steadily from a 2016 estimate of some 55 tonnes </w:t>
      </w:r>
      <w:r>
        <w:rPr>
          <w:rFonts w:cs="Times New Roman"/>
          <w:szCs w:val="22"/>
        </w:rPr>
        <w:t xml:space="preserve">of HFC-407F </w:t>
      </w:r>
      <w:r w:rsidRPr="00A949CD">
        <w:rPr>
          <w:rFonts w:cs="Times New Roman"/>
          <w:szCs w:val="22"/>
        </w:rPr>
        <w:t xml:space="preserve">in 2016 to a sizeable bank of around 485 tonnes in 2030. </w:t>
      </w:r>
      <w:r w:rsidR="00632B22">
        <w:rPr>
          <w:rFonts w:cs="Times New Roman"/>
          <w:szCs w:val="22"/>
        </w:rPr>
        <w:t>N</w:t>
      </w:r>
      <w:r w:rsidRPr="00A949CD">
        <w:rPr>
          <w:rFonts w:cs="Times New Roman"/>
          <w:szCs w:val="22"/>
        </w:rPr>
        <w:t>ew blend</w:t>
      </w:r>
      <w:r w:rsidR="00632B22">
        <w:rPr>
          <w:rFonts w:cs="Times New Roman"/>
          <w:szCs w:val="22"/>
        </w:rPr>
        <w:t>s</w:t>
      </w:r>
      <w:r w:rsidRPr="00A949CD">
        <w:rPr>
          <w:rFonts w:cs="Times New Roman"/>
          <w:szCs w:val="22"/>
        </w:rPr>
        <w:t xml:space="preserve"> in the &lt;1000 </w:t>
      </w:r>
      <w:r w:rsidR="00632B22">
        <w:rPr>
          <w:rFonts w:cs="Times New Roman"/>
          <w:szCs w:val="22"/>
        </w:rPr>
        <w:t xml:space="preserve">GWP </w:t>
      </w:r>
      <w:r w:rsidRPr="00A949CD">
        <w:rPr>
          <w:rFonts w:cs="Times New Roman"/>
          <w:szCs w:val="22"/>
        </w:rPr>
        <w:t xml:space="preserve">bin </w:t>
      </w:r>
      <w:r w:rsidR="00632B22">
        <w:rPr>
          <w:rFonts w:cs="Times New Roman"/>
          <w:szCs w:val="22"/>
        </w:rPr>
        <w:t>are</w:t>
      </w:r>
      <w:r w:rsidRPr="00A949CD">
        <w:rPr>
          <w:rFonts w:cs="Times New Roman"/>
          <w:szCs w:val="22"/>
        </w:rPr>
        <w:t xml:space="preserve"> predicted to enter the market in the early years of the period and increase to nearly 325 tonnes by 2030.</w:t>
      </w:r>
    </w:p>
    <w:p w14:paraId="387760F5" w14:textId="329BF848" w:rsidR="002F0B13" w:rsidRPr="00A949CD" w:rsidRDefault="002F0B13" w:rsidP="002F0B13">
      <w:pPr>
        <w:snapToGrid w:val="0"/>
        <w:rPr>
          <w:rFonts w:cs="Times New Roman"/>
          <w:szCs w:val="22"/>
        </w:rPr>
      </w:pPr>
      <w:r w:rsidRPr="00A949CD">
        <w:rPr>
          <w:rFonts w:cs="Times New Roman"/>
          <w:szCs w:val="22"/>
        </w:rPr>
        <w:t>Highly efficient and demonstrated two stage HFC-134a</w:t>
      </w:r>
      <w:r w:rsidR="00B3467F">
        <w:rPr>
          <w:rFonts w:cs="Times New Roman"/>
          <w:szCs w:val="22"/>
        </w:rPr>
        <w:t>/</w:t>
      </w:r>
      <w:r w:rsidR="00B3467F" w:rsidRPr="00A949CD">
        <w:rPr>
          <w:rFonts w:cs="Times New Roman"/>
          <w:szCs w:val="22"/>
        </w:rPr>
        <w:t>CO</w:t>
      </w:r>
      <w:r w:rsidR="00B3467F" w:rsidRPr="00F71429">
        <w:rPr>
          <w:rFonts w:cs="Times New Roman"/>
          <w:szCs w:val="22"/>
          <w:vertAlign w:val="subscript"/>
        </w:rPr>
        <w:t>2</w:t>
      </w:r>
      <w:r w:rsidR="00B3467F">
        <w:rPr>
          <w:rFonts w:cs="Times New Roman"/>
          <w:szCs w:val="22"/>
        </w:rPr>
        <w:t xml:space="preserve"> </w:t>
      </w:r>
      <w:r w:rsidRPr="00A949CD">
        <w:rPr>
          <w:rFonts w:cs="Times New Roman"/>
          <w:szCs w:val="22"/>
        </w:rPr>
        <w:t>cascade systems, and emerging pure CO</w:t>
      </w:r>
      <w:r w:rsidRPr="00F71429">
        <w:rPr>
          <w:rFonts w:cs="Times New Roman"/>
          <w:szCs w:val="22"/>
          <w:vertAlign w:val="subscript"/>
        </w:rPr>
        <w:t>2</w:t>
      </w:r>
      <w:r w:rsidRPr="00A949CD">
        <w:rPr>
          <w:rFonts w:cs="Times New Roman"/>
          <w:szCs w:val="22"/>
        </w:rPr>
        <w:t xml:space="preserve"> systems will see large CO</w:t>
      </w:r>
      <w:r w:rsidRPr="00086335">
        <w:rPr>
          <w:rFonts w:cs="Times New Roman"/>
          <w:szCs w:val="22"/>
          <w:vertAlign w:val="subscript"/>
        </w:rPr>
        <w:t>2</w:t>
      </w:r>
      <w:r w:rsidRPr="00A949CD">
        <w:rPr>
          <w:rFonts w:cs="Times New Roman"/>
          <w:szCs w:val="22"/>
        </w:rPr>
        <w:t xml:space="preserve"> charged centrali</w:t>
      </w:r>
      <w:r w:rsidR="00B35303">
        <w:rPr>
          <w:rFonts w:cs="Times New Roman"/>
          <w:szCs w:val="22"/>
        </w:rPr>
        <w:t>s</w:t>
      </w:r>
      <w:r w:rsidRPr="00A949CD">
        <w:rPr>
          <w:rFonts w:cs="Times New Roman"/>
          <w:szCs w:val="22"/>
        </w:rPr>
        <w:t>ed refrigeration systems build a bank of CO</w:t>
      </w:r>
      <w:r w:rsidRPr="00632B22">
        <w:rPr>
          <w:rFonts w:cs="Times New Roman"/>
          <w:szCs w:val="22"/>
          <w:vertAlign w:val="subscript"/>
        </w:rPr>
        <w:t>2</w:t>
      </w:r>
      <w:r w:rsidRPr="00A949CD">
        <w:rPr>
          <w:rFonts w:cs="Times New Roman"/>
          <w:szCs w:val="22"/>
        </w:rPr>
        <w:t xml:space="preserve"> from around 170 tonnes in 2016 to more than 1,130 tonnes by 2030. </w:t>
      </w:r>
    </w:p>
    <w:p w14:paraId="56CF5DE3" w14:textId="1646A41B" w:rsidR="002F0B13" w:rsidRPr="00A949CD" w:rsidRDefault="002F0B13" w:rsidP="002F0B13">
      <w:pPr>
        <w:snapToGrid w:val="0"/>
        <w:rPr>
          <w:rFonts w:cs="Times New Roman"/>
          <w:szCs w:val="22"/>
        </w:rPr>
      </w:pPr>
      <w:r w:rsidRPr="00A949CD">
        <w:rPr>
          <w:rFonts w:cs="Times New Roman"/>
          <w:szCs w:val="22"/>
        </w:rPr>
        <w:t xml:space="preserve">HFOs, just starting to be employed at the start of the period, will add to the very low GWP bank in </w:t>
      </w:r>
      <w:r w:rsidR="00B35303">
        <w:rPr>
          <w:rFonts w:cs="Times New Roman"/>
          <w:szCs w:val="22"/>
        </w:rPr>
        <w:t>s</w:t>
      </w:r>
      <w:r w:rsidRPr="00A949CD">
        <w:rPr>
          <w:rFonts w:cs="Times New Roman"/>
          <w:szCs w:val="22"/>
        </w:rPr>
        <w:t>upermarkets, growing from zero to approximately 160 tonnes by 2030.</w:t>
      </w:r>
    </w:p>
    <w:p w14:paraId="6C51A0DC" w14:textId="2F125037" w:rsidR="002F0B13" w:rsidRPr="00A949CD" w:rsidRDefault="002F0B13" w:rsidP="002F0B13">
      <w:pPr>
        <w:snapToGrid w:val="0"/>
        <w:rPr>
          <w:rFonts w:cs="Times New Roman"/>
          <w:szCs w:val="22"/>
        </w:rPr>
      </w:pPr>
      <w:r w:rsidRPr="00A949CD">
        <w:rPr>
          <w:rFonts w:cs="Times New Roman"/>
          <w:szCs w:val="22"/>
        </w:rPr>
        <w:t xml:space="preserve">By the end of the period the low GWP portion of the </w:t>
      </w:r>
      <w:r w:rsidR="00B35303">
        <w:rPr>
          <w:rFonts w:cs="Times New Roman"/>
          <w:szCs w:val="22"/>
        </w:rPr>
        <w:t>s</w:t>
      </w:r>
      <w:r w:rsidRPr="00A949CD">
        <w:rPr>
          <w:rFonts w:cs="Times New Roman"/>
          <w:szCs w:val="22"/>
        </w:rPr>
        <w:t>upermarket bank is expected to make up more than 40% of the bank in this segment and is expected to be growing its share of this segment bank strongly at that time.</w:t>
      </w:r>
    </w:p>
    <w:p w14:paraId="1294F822" w14:textId="050E97B6" w:rsidR="002F0B13" w:rsidRDefault="002F0B13" w:rsidP="002F0B13">
      <w:pPr>
        <w:snapToGrid w:val="0"/>
        <w:rPr>
          <w:rFonts w:cs="Times New Roman"/>
          <w:szCs w:val="22"/>
        </w:rPr>
      </w:pPr>
      <w:r w:rsidRPr="00A949CD">
        <w:rPr>
          <w:rFonts w:cs="Times New Roman"/>
          <w:szCs w:val="22"/>
        </w:rPr>
        <w:t>During the projection period all of the currently HCFC-22 charged systems in supermarkets are expected to be retired or refitted. HCFC-22 in this segment is predicted to fall from around 160 tonnes presently in use to zero by 202</w:t>
      </w:r>
      <w:r w:rsidR="00632B22">
        <w:rPr>
          <w:rFonts w:cs="Times New Roman"/>
          <w:szCs w:val="22"/>
        </w:rPr>
        <w:t>3</w:t>
      </w:r>
      <w:r w:rsidRPr="00A949CD">
        <w:rPr>
          <w:rFonts w:cs="Times New Roman"/>
          <w:szCs w:val="22"/>
        </w:rPr>
        <w:t>.</w:t>
      </w:r>
    </w:p>
    <w:p w14:paraId="77FFEC84" w14:textId="77777777" w:rsidR="002F0B13" w:rsidRPr="001438BF" w:rsidRDefault="002F0B13" w:rsidP="002F0B13">
      <w:pPr>
        <w:snapToGrid w:val="0"/>
        <w:spacing w:before="240"/>
        <w:rPr>
          <w:rFonts w:cs="Times New Roman"/>
          <w:b/>
        </w:rPr>
      </w:pPr>
      <w:r w:rsidRPr="001438BF">
        <w:rPr>
          <w:rFonts w:cs="Times New Roman"/>
          <w:b/>
        </w:rPr>
        <w:t>RCFC Transport</w:t>
      </w:r>
    </w:p>
    <w:p w14:paraId="30217EB0" w14:textId="5B5DAC63" w:rsidR="002F0B13" w:rsidRDefault="002F0B13" w:rsidP="002F0B13">
      <w:pPr>
        <w:rPr>
          <w:rFonts w:cs="Times New Roman"/>
        </w:rPr>
      </w:pPr>
      <w:r>
        <w:rPr>
          <w:rFonts w:cs="Times New Roman"/>
        </w:rPr>
        <w:t>There is a small bank of high GWP refrigerants employed in the essential link of</w:t>
      </w:r>
      <w:r w:rsidRPr="008D7B82">
        <w:rPr>
          <w:rFonts w:cs="Times New Roman"/>
        </w:rPr>
        <w:t xml:space="preserve"> </w:t>
      </w:r>
      <w:r w:rsidR="008C6E0F">
        <w:rPr>
          <w:rFonts w:cs="Times New Roman"/>
        </w:rPr>
        <w:t>t</w:t>
      </w:r>
      <w:r>
        <w:rPr>
          <w:rFonts w:cs="Times New Roman"/>
        </w:rPr>
        <w:t xml:space="preserve">ransport </w:t>
      </w:r>
      <w:r w:rsidR="008C6E0F">
        <w:rPr>
          <w:rFonts w:cs="Times New Roman"/>
        </w:rPr>
        <w:t>r</w:t>
      </w:r>
      <w:r>
        <w:rPr>
          <w:rFonts w:cs="Times New Roman"/>
        </w:rPr>
        <w:t xml:space="preserve">efrigeration in the cold food chain. This involves refrigeration formats ranging from small refrigerated vans, refrigerated ‘pantechs’ to semi-trailers and ‘reefers’ – the refrigerated multi-modal shipping containers used for the international shipping of frozen and chilled foodstuffs. </w:t>
      </w:r>
    </w:p>
    <w:p w14:paraId="1005EDCC" w14:textId="77777777" w:rsidR="002F0B13" w:rsidRDefault="002F0B13" w:rsidP="002F0B13">
      <w:pPr>
        <w:rPr>
          <w:rFonts w:cs="Times New Roman"/>
        </w:rPr>
      </w:pPr>
      <w:r>
        <w:rPr>
          <w:rFonts w:cs="Times New Roman"/>
        </w:rPr>
        <w:t>The bank in RCFC Transport in 2016 is estimated to be around 245 tonnes, equal to a bit less than 3.5% of the complete RCFC bank and less than 0.5% of the total national bank of refrigerants.</w:t>
      </w:r>
    </w:p>
    <w:p w14:paraId="4E806601" w14:textId="77777777" w:rsidR="002F0B13" w:rsidRDefault="002F0B13" w:rsidP="002F0B13">
      <w:pPr>
        <w:rPr>
          <w:rFonts w:cs="Times New Roman"/>
        </w:rPr>
      </w:pPr>
      <w:r>
        <w:rPr>
          <w:rFonts w:cs="Times New Roman"/>
        </w:rPr>
        <w:t>Refrigerated transport services in Australia are increasing, not just with increases in population and the requirements of delivering chilled foods to new shopping centres in new suburbs, but also driven by increased Australian food exports and on the back of food industry trends such as growth in sales of home deliveries, prepared meals, and large catering businesses winning work outsourced from aged care homes, hospitals, etc.</w:t>
      </w:r>
    </w:p>
    <w:p w14:paraId="2ED6055D" w14:textId="1CD13197" w:rsidR="002F0B13" w:rsidRDefault="002F0B13" w:rsidP="002F0B13">
      <w:pPr>
        <w:rPr>
          <w:rFonts w:cs="Times New Roman"/>
        </w:rPr>
      </w:pPr>
      <w:r>
        <w:rPr>
          <w:rFonts w:cs="Times New Roman"/>
        </w:rPr>
        <w:t>This bank is projected to grow steadily to around 290 tonnes by 2030, but with limited options currently available to move</w:t>
      </w:r>
      <w:r w:rsidR="00B3467F">
        <w:rPr>
          <w:rFonts w:cs="Times New Roman"/>
        </w:rPr>
        <w:t xml:space="preserve"> to</w:t>
      </w:r>
      <w:r>
        <w:rPr>
          <w:rFonts w:cs="Times New Roman"/>
        </w:rPr>
        <w:t xml:space="preserve"> lower GWP refrigerants. The CO</w:t>
      </w:r>
      <w:r w:rsidRPr="004D6C6D">
        <w:rPr>
          <w:rFonts w:cs="Times New Roman"/>
          <w:vertAlign w:val="subscript"/>
        </w:rPr>
        <w:t>2</w:t>
      </w:r>
      <w:r>
        <w:rPr>
          <w:rFonts w:cs="Times New Roman"/>
        </w:rPr>
        <w:t>e value of this small bank is expected to decline slightly from around 775,000 tonnes CO</w:t>
      </w:r>
      <w:r w:rsidRPr="004D6C6D">
        <w:rPr>
          <w:rFonts w:cs="Times New Roman"/>
          <w:vertAlign w:val="subscript"/>
        </w:rPr>
        <w:t>2</w:t>
      </w:r>
      <w:r>
        <w:rPr>
          <w:rFonts w:cs="Times New Roman"/>
        </w:rPr>
        <w:t>e in 2016 to around 700,000 tonnes in 2030.</w:t>
      </w:r>
    </w:p>
    <w:p w14:paraId="639881D2" w14:textId="77777777" w:rsidR="002F0B13" w:rsidRDefault="002F0B13" w:rsidP="002F0B13">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1B232AB1" w14:textId="77777777" w:rsidTr="0013680B">
        <w:tc>
          <w:tcPr>
            <w:tcW w:w="9759" w:type="dxa"/>
            <w:vAlign w:val="center"/>
          </w:tcPr>
          <w:p w14:paraId="6CB9489A" w14:textId="5A9BA16B" w:rsidR="002F0B13" w:rsidRPr="000A23F9" w:rsidRDefault="002F0B13" w:rsidP="0013680B">
            <w:pPr>
              <w:spacing w:after="120"/>
              <w:jc w:val="center"/>
              <w:rPr>
                <w:rFonts w:cs="Times New Roman"/>
                <w:b/>
              </w:rPr>
            </w:pPr>
            <w:r w:rsidRPr="000A23F9">
              <w:rPr>
                <w:rFonts w:cs="Times New Roman"/>
                <w:b/>
              </w:rPr>
              <w:br w:type="page"/>
            </w:r>
            <w:r w:rsidR="00A0109B">
              <w:rPr>
                <w:rFonts w:cs="Times New Roman"/>
                <w:b/>
              </w:rPr>
              <w:t>Transport r</w:t>
            </w:r>
            <w:r>
              <w:rPr>
                <w:rFonts w:cs="Times New Roman"/>
                <w:b/>
              </w:rPr>
              <w:t xml:space="preserve">efrigeration </w:t>
            </w:r>
            <w:r w:rsidR="00A0109B">
              <w:rPr>
                <w:rFonts w:cs="Times New Roman"/>
                <w:b/>
              </w:rPr>
              <w:t>bank (a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00A0109B">
              <w:rPr>
                <w:rFonts w:cs="Times New Roman"/>
                <w:b/>
              </w:rPr>
              <w:t xml:space="preserve"> (t</w:t>
            </w:r>
            <w:r w:rsidRPr="000A23F9">
              <w:rPr>
                <w:rFonts w:cs="Times New Roman"/>
                <w:b/>
              </w:rPr>
              <w:t>onnes)</w:t>
            </w:r>
          </w:p>
        </w:tc>
      </w:tr>
      <w:tr w:rsidR="002F0B13" w:rsidRPr="000A23F9" w14:paraId="1B404F27" w14:textId="77777777" w:rsidTr="0097189F">
        <w:tc>
          <w:tcPr>
            <w:tcW w:w="9759" w:type="dxa"/>
            <w:vAlign w:val="center"/>
          </w:tcPr>
          <w:p w14:paraId="2F298DC3" w14:textId="77777777" w:rsidR="002F0B13" w:rsidRPr="000A23F9" w:rsidRDefault="002F0B13" w:rsidP="0013680B">
            <w:pPr>
              <w:spacing w:before="60" w:after="60"/>
              <w:jc w:val="center"/>
              <w:rPr>
                <w:rFonts w:cs="Times New Roman"/>
                <w:sz w:val="16"/>
                <w:szCs w:val="16"/>
              </w:rPr>
            </w:pPr>
          </w:p>
          <w:p w14:paraId="1C44ECE2" w14:textId="63B7CA75" w:rsidR="002F0B13" w:rsidRPr="000A23F9" w:rsidRDefault="0097189F" w:rsidP="001E7E4A">
            <w:pPr>
              <w:spacing w:before="60" w:after="60"/>
              <w:jc w:val="center"/>
              <w:rPr>
                <w:rFonts w:cs="Times New Roman"/>
                <w:sz w:val="16"/>
                <w:szCs w:val="16"/>
              </w:rPr>
            </w:pPr>
            <w:r>
              <w:rPr>
                <w:noProof/>
                <w:lang w:val="en-AU" w:eastAsia="en-AU"/>
              </w:rPr>
              <w:drawing>
                <wp:inline distT="0" distB="0" distL="0" distR="0" wp14:anchorId="05930512" wp14:editId="743624CE">
                  <wp:extent cx="6030595" cy="2358390"/>
                  <wp:effectExtent l="0" t="0" r="190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30595" cy="2358390"/>
                          </a:xfrm>
                          <a:prstGeom prst="rect">
                            <a:avLst/>
                          </a:prstGeom>
                        </pic:spPr>
                      </pic:pic>
                    </a:graphicData>
                  </a:graphic>
                </wp:inline>
              </w:drawing>
            </w:r>
          </w:p>
        </w:tc>
      </w:tr>
      <w:tr w:rsidR="002F0B13" w:rsidRPr="000A23F9" w14:paraId="05CA69C9" w14:textId="77777777" w:rsidTr="0013680B">
        <w:tc>
          <w:tcPr>
            <w:tcW w:w="9759" w:type="dxa"/>
            <w:vAlign w:val="center"/>
          </w:tcPr>
          <w:p w14:paraId="0D2955BA" w14:textId="581F350B" w:rsidR="002F0B13" w:rsidRPr="00E23B32" w:rsidRDefault="00E23B32" w:rsidP="00E23B32">
            <w:pPr>
              <w:pStyle w:val="Caption"/>
            </w:pPr>
            <w:bookmarkStart w:id="128" w:name="_Toc525141363"/>
            <w:r w:rsidRPr="00E23B32">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32</w:t>
            </w:r>
            <w:r w:rsidR="009D6843">
              <w:rPr>
                <w:noProof/>
              </w:rPr>
              <w:fldChar w:fldCharType="end"/>
            </w:r>
            <w:r w:rsidR="002F0B13" w:rsidRPr="00E23B32">
              <w:rPr>
                <w:bCs w:val="0"/>
              </w:rPr>
              <w:t>: Transport Refrigeration refrigerant bank (Actual) by Species from 2016 to 2030 in tonnes.</w:t>
            </w:r>
            <w:bookmarkEnd w:id="128"/>
          </w:p>
        </w:tc>
      </w:tr>
    </w:tbl>
    <w:p w14:paraId="4148F3C0" w14:textId="529931CA"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26BBDB47" w14:textId="1A01B701" w:rsidR="002F0B13" w:rsidRDefault="002F0B13" w:rsidP="002F0B13">
      <w:pPr>
        <w:rPr>
          <w:rFonts w:cs="Times New Roman"/>
        </w:rPr>
      </w:pPr>
      <w:r w:rsidRPr="004D6C6D">
        <w:rPr>
          <w:rFonts w:cs="Times New Roman"/>
        </w:rPr>
        <w:t>The RCFC Transport bank, while small, illustrates some of the technical challenges facing the wider RAC industry in the HFC phase down. In a number of demanding applications where high ambient temperatures are likely to be encountered in working situations</w:t>
      </w:r>
      <w:r w:rsidR="00B3467F">
        <w:rPr>
          <w:rFonts w:cs="Times New Roman"/>
        </w:rPr>
        <w:t>,</w:t>
      </w:r>
      <w:r w:rsidRPr="004D6C6D">
        <w:rPr>
          <w:rFonts w:cs="Times New Roman"/>
        </w:rPr>
        <w:t xml:space="preserve"> with high vibration and high dust loads, at the same time that compact and robust mobile refrigeration units are required to deliver low temperature storage, there are currently </w:t>
      </w:r>
      <w:r>
        <w:rPr>
          <w:rFonts w:cs="Times New Roman"/>
        </w:rPr>
        <w:t xml:space="preserve">limited lower GWP </w:t>
      </w:r>
      <w:r w:rsidRPr="004D6C6D">
        <w:rPr>
          <w:rFonts w:cs="Times New Roman"/>
        </w:rPr>
        <w:t xml:space="preserve">alternatives to the range of high GWP </w:t>
      </w:r>
      <w:r w:rsidR="00CA0208">
        <w:rPr>
          <w:rFonts w:cs="Times New Roman"/>
        </w:rPr>
        <w:t>refrigerants</w:t>
      </w:r>
      <w:r w:rsidR="00CA0208" w:rsidRPr="004D6C6D">
        <w:rPr>
          <w:rFonts w:cs="Times New Roman"/>
        </w:rPr>
        <w:t xml:space="preserve"> </w:t>
      </w:r>
      <w:r w:rsidRPr="004D6C6D">
        <w:rPr>
          <w:rFonts w:cs="Times New Roman"/>
        </w:rPr>
        <w:t>that are able to deliver these services.</w:t>
      </w:r>
    </w:p>
    <w:p w14:paraId="0FD7F40F" w14:textId="5827388B" w:rsidR="002F0B13" w:rsidRDefault="002F0B13" w:rsidP="002F0B13">
      <w:pPr>
        <w:rPr>
          <w:rFonts w:cs="Times New Roman"/>
        </w:rPr>
      </w:pPr>
      <w:r w:rsidRPr="004D6C6D">
        <w:rPr>
          <w:rFonts w:cs="Times New Roman"/>
        </w:rPr>
        <w:t>There were trials undertaken with CO</w:t>
      </w:r>
      <w:r w:rsidRPr="004D6C6D">
        <w:rPr>
          <w:rFonts w:cs="Times New Roman"/>
          <w:vertAlign w:val="subscript"/>
        </w:rPr>
        <w:t>2</w:t>
      </w:r>
      <w:r w:rsidRPr="004D6C6D">
        <w:rPr>
          <w:rFonts w:cs="Times New Roman"/>
        </w:rPr>
        <w:t xml:space="preserve"> open loop systems that have not proven to be viable, and now the closed loop </w:t>
      </w:r>
      <w:r w:rsidR="00100D3A">
        <w:rPr>
          <w:rFonts w:cs="Times New Roman"/>
        </w:rPr>
        <w:t>v</w:t>
      </w:r>
      <w:r w:rsidRPr="004D6C6D">
        <w:rPr>
          <w:rFonts w:cs="Times New Roman"/>
        </w:rPr>
        <w:t xml:space="preserve">ector technology under review in Europe may provide an alternative in the next five to ten years. At present the refrigerant of choice is HFC-404A on larger systems and HFC-134a on smaller systems with HFC-452A (GWP of 2141) as an option that has </w:t>
      </w:r>
      <w:r>
        <w:rPr>
          <w:rFonts w:cs="Times New Roman"/>
        </w:rPr>
        <w:t>not been taken up in Australia.</w:t>
      </w:r>
    </w:p>
    <w:p w14:paraId="6ABA9EF1" w14:textId="77777777" w:rsidR="002F0B13" w:rsidRDefault="002F0B13" w:rsidP="002F0B13">
      <w:pPr>
        <w:snapToGrid w:val="0"/>
        <w:rPr>
          <w:rFonts w:eastAsia="Times New Roman" w:cs="Times New Roman"/>
          <w:bCs/>
          <w:szCs w:val="22"/>
          <w:lang w:val="en-US"/>
        </w:rPr>
      </w:pPr>
    </w:p>
    <w:p w14:paraId="147065EF" w14:textId="771B2CA7" w:rsidR="002F0B13" w:rsidRPr="001438BF" w:rsidRDefault="00A0109B" w:rsidP="002F0B13">
      <w:pPr>
        <w:pStyle w:val="Heading2"/>
      </w:pPr>
      <w:bookmarkStart w:id="129" w:name="_Toc507507795"/>
      <w:bookmarkStart w:id="130" w:name="_Toc525141288"/>
      <w:r>
        <w:t>Domestic r</w:t>
      </w:r>
      <w:r w:rsidR="002F0B13" w:rsidRPr="001438BF">
        <w:t>efrigeration</w:t>
      </w:r>
      <w:bookmarkEnd w:id="129"/>
      <w:bookmarkEnd w:id="130"/>
    </w:p>
    <w:p w14:paraId="37034842" w14:textId="77777777" w:rsidR="002F0B13" w:rsidRDefault="002F0B13" w:rsidP="002F0B13">
      <w:pPr>
        <w:snapToGrid w:val="0"/>
        <w:rPr>
          <w:rFonts w:cs="Times New Roman"/>
          <w:szCs w:val="22"/>
        </w:rPr>
      </w:pPr>
      <w:r>
        <w:rPr>
          <w:rFonts w:cs="Times New Roman"/>
          <w:szCs w:val="22"/>
        </w:rPr>
        <w:t>All domestic refrigeration and freezers in the economy are estimated to contain around 2,670 tonnes of refrigerants, or about 4.5% of the total bank, of which approximately 83% (1,900 tonnes) is HFC-134a, with the balance (380 tonnes) being hydrocarbons.</w:t>
      </w:r>
    </w:p>
    <w:p w14:paraId="13F7DBEE" w14:textId="25ED57F5" w:rsidR="002F0B13" w:rsidRDefault="002F0B13" w:rsidP="002F0B13">
      <w:pPr>
        <w:snapToGrid w:val="0"/>
        <w:rPr>
          <w:rFonts w:cs="Times New Roman"/>
          <w:szCs w:val="22"/>
        </w:rPr>
      </w:pPr>
      <w:r>
        <w:rPr>
          <w:rFonts w:cs="Times New Roman"/>
          <w:szCs w:val="22"/>
        </w:rPr>
        <w:t>This is projected to change relatively quickly to effectively reverse that situation by 2030 with a larger stock of domestic devices expected to operate on a bank more than 25% smaller at around 1,700 tonnes</w:t>
      </w:r>
      <w:r w:rsidR="00B3467F">
        <w:rPr>
          <w:rFonts w:cs="Times New Roman"/>
          <w:szCs w:val="22"/>
        </w:rPr>
        <w:t>,</w:t>
      </w:r>
      <w:r>
        <w:rPr>
          <w:rFonts w:cs="Times New Roman"/>
          <w:szCs w:val="22"/>
        </w:rPr>
        <w:t xml:space="preserve"> of which more than 91% is hydrocarbons and the balance a rapidly declining bank of just 145 tonnes of HFC-134a. </w:t>
      </w:r>
    </w:p>
    <w:p w14:paraId="26BCE5AC" w14:textId="3129DF94" w:rsidR="002F0B13" w:rsidRDefault="002F0B13" w:rsidP="002F0B13">
      <w:pPr>
        <w:snapToGrid w:val="0"/>
        <w:rPr>
          <w:rFonts w:cs="Times New Roman"/>
          <w:szCs w:val="22"/>
        </w:rPr>
      </w:pPr>
      <w:r>
        <w:rPr>
          <w:rFonts w:cs="Times New Roman"/>
          <w:szCs w:val="22"/>
        </w:rPr>
        <w:t xml:space="preserve">This class is a good example of how quickly the composition of the bank can change, when the technological and market circumstances align. In this case domestic refrigeration and freezer manufacturers, who have been continuously improving designs and cutting production costs in a highly competitive market for more than 70 years, realised that energy efficiency gains and cost savings were available by moving to small hydrocarbon charges. This is a trend that has been underway for more than a decade and is now almost universal in this class with more than 95% of products </w:t>
      </w:r>
      <w:r w:rsidR="00CA0208">
        <w:rPr>
          <w:rFonts w:cs="Times New Roman"/>
          <w:szCs w:val="22"/>
        </w:rPr>
        <w:t xml:space="preserve">sighted </w:t>
      </w:r>
      <w:r>
        <w:rPr>
          <w:rFonts w:cs="Times New Roman"/>
          <w:szCs w:val="22"/>
        </w:rPr>
        <w:t>in a large white goods retailer in 2017 being charged with hydrocarbons.</w:t>
      </w:r>
    </w:p>
    <w:p w14:paraId="37C3B168" w14:textId="77777777" w:rsidR="002F0B13" w:rsidRDefault="002F0B13" w:rsidP="002F0B13">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7ADEF89E" w14:textId="77777777" w:rsidTr="0013680B">
        <w:tc>
          <w:tcPr>
            <w:tcW w:w="9759" w:type="dxa"/>
            <w:vAlign w:val="center"/>
          </w:tcPr>
          <w:p w14:paraId="6979A5EA" w14:textId="2B9AF49F" w:rsidR="002F0B13" w:rsidRPr="000A23F9" w:rsidRDefault="002F0B13" w:rsidP="0013680B">
            <w:pPr>
              <w:spacing w:after="120"/>
              <w:jc w:val="center"/>
              <w:rPr>
                <w:rFonts w:cs="Times New Roman"/>
                <w:b/>
              </w:rPr>
            </w:pPr>
            <w:r w:rsidRPr="000A23F9">
              <w:rPr>
                <w:rFonts w:cs="Times New Roman"/>
                <w:b/>
              </w:rPr>
              <w:br w:type="page"/>
            </w:r>
            <w:r w:rsidR="00A0109B">
              <w:rPr>
                <w:rFonts w:cs="Times New Roman"/>
                <w:b/>
              </w:rPr>
              <w:t>Domestic refrigeration b</w:t>
            </w:r>
            <w:r>
              <w:rPr>
                <w:rFonts w:cs="Times New Roman"/>
                <w:b/>
              </w:rPr>
              <w:t>ank (</w:t>
            </w:r>
            <w:r w:rsidR="00A0109B">
              <w:rPr>
                <w:rFonts w:cs="Times New Roman"/>
                <w:b/>
              </w:rPr>
              <w:t>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sidR="00A0109B">
              <w:rPr>
                <w:rFonts w:cs="Times New Roman"/>
                <w:b/>
              </w:rPr>
              <w:t>t</w:t>
            </w:r>
            <w:r w:rsidRPr="000A23F9">
              <w:rPr>
                <w:rFonts w:cs="Times New Roman"/>
                <w:b/>
              </w:rPr>
              <w:t>onnes)</w:t>
            </w:r>
          </w:p>
        </w:tc>
      </w:tr>
      <w:tr w:rsidR="002F0B13" w:rsidRPr="000A23F9" w14:paraId="2829FB56" w14:textId="77777777" w:rsidTr="0097189F">
        <w:tc>
          <w:tcPr>
            <w:tcW w:w="9759" w:type="dxa"/>
            <w:vAlign w:val="center"/>
          </w:tcPr>
          <w:p w14:paraId="56F4B3D7" w14:textId="77777777" w:rsidR="002F0B13" w:rsidRPr="000A23F9" w:rsidRDefault="002F0B13" w:rsidP="0013680B">
            <w:pPr>
              <w:spacing w:before="60" w:after="60"/>
              <w:jc w:val="center"/>
              <w:rPr>
                <w:rFonts w:cs="Times New Roman"/>
                <w:sz w:val="16"/>
                <w:szCs w:val="16"/>
              </w:rPr>
            </w:pPr>
          </w:p>
          <w:p w14:paraId="04A4356C" w14:textId="7ECDED8F" w:rsidR="002F0B13" w:rsidRPr="000A23F9" w:rsidRDefault="0097189F" w:rsidP="0013680B">
            <w:pPr>
              <w:spacing w:before="60" w:after="60"/>
              <w:jc w:val="center"/>
              <w:rPr>
                <w:rFonts w:cs="Times New Roman"/>
                <w:sz w:val="16"/>
                <w:szCs w:val="16"/>
              </w:rPr>
            </w:pPr>
            <w:r>
              <w:rPr>
                <w:noProof/>
                <w:lang w:val="en-AU" w:eastAsia="en-AU"/>
              </w:rPr>
              <w:drawing>
                <wp:inline distT="0" distB="0" distL="0" distR="0" wp14:anchorId="3D1F90E5" wp14:editId="7F066419">
                  <wp:extent cx="6030595" cy="2358390"/>
                  <wp:effectExtent l="0" t="0" r="190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30595" cy="2358390"/>
                          </a:xfrm>
                          <a:prstGeom prst="rect">
                            <a:avLst/>
                          </a:prstGeom>
                        </pic:spPr>
                      </pic:pic>
                    </a:graphicData>
                  </a:graphic>
                </wp:inline>
              </w:drawing>
            </w:r>
          </w:p>
          <w:p w14:paraId="2AA21C72" w14:textId="77777777" w:rsidR="002F0B13" w:rsidRPr="000A23F9" w:rsidRDefault="002F0B13" w:rsidP="0013680B">
            <w:pPr>
              <w:spacing w:before="60" w:after="60"/>
              <w:jc w:val="center"/>
              <w:rPr>
                <w:rFonts w:cs="Times New Roman"/>
                <w:sz w:val="16"/>
                <w:szCs w:val="16"/>
              </w:rPr>
            </w:pPr>
          </w:p>
        </w:tc>
      </w:tr>
      <w:tr w:rsidR="002F0B13" w:rsidRPr="000A23F9" w14:paraId="0E55BA7D" w14:textId="77777777" w:rsidTr="0013680B">
        <w:tc>
          <w:tcPr>
            <w:tcW w:w="9759" w:type="dxa"/>
            <w:vAlign w:val="center"/>
          </w:tcPr>
          <w:p w14:paraId="6D9BD560" w14:textId="5C374A7D" w:rsidR="002F0B13" w:rsidRPr="0023612A" w:rsidRDefault="0023612A" w:rsidP="0023612A">
            <w:pPr>
              <w:pStyle w:val="Caption"/>
            </w:pPr>
            <w:bookmarkStart w:id="131" w:name="_Toc525141364"/>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33</w:t>
            </w:r>
            <w:r w:rsidR="009D6843">
              <w:rPr>
                <w:noProof/>
              </w:rPr>
              <w:fldChar w:fldCharType="end"/>
            </w:r>
            <w:r w:rsidR="002F0B13" w:rsidRPr="0023612A">
              <w:rPr>
                <w:bCs w:val="0"/>
              </w:rPr>
              <w:t xml:space="preserve">: </w:t>
            </w:r>
            <w:r w:rsidR="00A0109B" w:rsidRPr="0023612A">
              <w:rPr>
                <w:bCs w:val="0"/>
              </w:rPr>
              <w:t>Domestic r</w:t>
            </w:r>
            <w:r w:rsidR="002F0B13" w:rsidRPr="0023612A">
              <w:rPr>
                <w:bCs w:val="0"/>
              </w:rPr>
              <w:t>efrigeration refrigerant bank (</w:t>
            </w:r>
            <w:r w:rsidR="00A0109B" w:rsidRPr="0023612A">
              <w:rPr>
                <w:bCs w:val="0"/>
              </w:rPr>
              <w:t>a</w:t>
            </w:r>
            <w:r w:rsidR="002F0B13" w:rsidRPr="0023612A">
              <w:rPr>
                <w:bCs w:val="0"/>
              </w:rPr>
              <w:t xml:space="preserve">ctual) by </w:t>
            </w:r>
            <w:r w:rsidR="00A0109B" w:rsidRPr="0023612A">
              <w:rPr>
                <w:bCs w:val="0"/>
              </w:rPr>
              <w:t>s</w:t>
            </w:r>
            <w:r w:rsidR="002F0B13" w:rsidRPr="0023612A">
              <w:rPr>
                <w:bCs w:val="0"/>
              </w:rPr>
              <w:t>pecies from 2016 to 2030 in tonnes.</w:t>
            </w:r>
            <w:bookmarkEnd w:id="131"/>
          </w:p>
        </w:tc>
      </w:tr>
    </w:tbl>
    <w:p w14:paraId="09E01592" w14:textId="6554DB47"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74A83271" w14:textId="4CB5E1BA" w:rsidR="002F0B13" w:rsidRDefault="002F0B13" w:rsidP="002F0B13">
      <w:pPr>
        <w:snapToGrid w:val="0"/>
        <w:rPr>
          <w:rFonts w:cs="Times New Roman"/>
          <w:szCs w:val="22"/>
        </w:rPr>
      </w:pPr>
      <w:r>
        <w:rPr>
          <w:rFonts w:cs="Times New Roman"/>
          <w:szCs w:val="22"/>
        </w:rPr>
        <w:t>The energy efficiency improvements provided by hydrocarbons in this situation are illustrated by comparing the two charts provided showing the ‘actual’ bank (above) in metric tonnes of total refrigerant employed in this class, and the ‘equivalent bank’ (below), that illustrates how much refrigerant would have been required had HFC-134a, and hydrocarbons, shared an identical capacity to deliver cooling.</w:t>
      </w:r>
      <w:r w:rsidR="00010031">
        <w:rPr>
          <w:rFonts w:cs="Times New Roman"/>
          <w:szCs w:val="22"/>
        </w:rPr>
        <w:t xml:space="preserve"> Energy savings are captured in HC charged systems because the substance used i</w:t>
      </w:r>
      <w:r w:rsidR="001064B4">
        <w:rPr>
          <w:rFonts w:cs="Times New Roman"/>
          <w:szCs w:val="22"/>
        </w:rPr>
        <w:t>s</w:t>
      </w:r>
      <w:r w:rsidR="00010031">
        <w:rPr>
          <w:rFonts w:cs="Times New Roman"/>
          <w:szCs w:val="22"/>
        </w:rPr>
        <w:t xml:space="preserve"> better at transporting heat, and therefore less refrigerant is needed, meaning there is physically less material required to be pumped around the system.</w:t>
      </w:r>
    </w:p>
    <w:p w14:paraId="73A3FFED" w14:textId="77777777" w:rsidR="002F0B13" w:rsidRDefault="002F0B13" w:rsidP="002F0B13">
      <w:pPr>
        <w:rPr>
          <w:rFonts w:cs="Times New Roman"/>
          <w:szCs w:val="22"/>
        </w:rPr>
      </w:pPr>
      <w:r>
        <w:rPr>
          <w:rFonts w:cs="Times New Roman"/>
          <w:szCs w:val="22"/>
        </w:rPr>
        <w:t>The equivalent bank to provide domestic refrigeration services in 2030, if it had all been provided with HFC-134a, or a refrigerant with the characteristics of HFC-134a, would be more than 58% larger than the projected actual bank, requiring more than 1,200 more tonnes of refrigerant than the projected actual bank to deliver the same level of services that the hydrocarbon bank will be delivering.</w:t>
      </w:r>
    </w:p>
    <w:p w14:paraId="759E1012" w14:textId="193397D5" w:rsidR="002F0B13" w:rsidRDefault="002F0B13" w:rsidP="002F0B13">
      <w:pPr>
        <w:rPr>
          <w:rFonts w:cs="Times New Roman"/>
        </w:rPr>
      </w:pPr>
      <w:r>
        <w:rPr>
          <w:rFonts w:cs="Times New Roman"/>
        </w:rPr>
        <w:t>At the same time as providing significantly improved energy efficiency and reduced production costs, the result of this comprehensive shift from a HFC refrigerant to a hydrocarbon refrigerant reduces the CO</w:t>
      </w:r>
      <w:r w:rsidRPr="004D6C6D">
        <w:rPr>
          <w:rFonts w:cs="Times New Roman"/>
          <w:vertAlign w:val="subscript"/>
        </w:rPr>
        <w:t>2</w:t>
      </w:r>
      <w:r>
        <w:rPr>
          <w:rFonts w:cs="Times New Roman"/>
        </w:rPr>
        <w:t>e value of this bank by more than 90% in the projection period from more than 2.7 million tonnes CO</w:t>
      </w:r>
      <w:r w:rsidRPr="004D6C6D">
        <w:rPr>
          <w:rFonts w:cs="Times New Roman"/>
          <w:vertAlign w:val="subscript"/>
        </w:rPr>
        <w:t>2</w:t>
      </w:r>
      <w:r>
        <w:rPr>
          <w:rFonts w:cs="Times New Roman"/>
        </w:rPr>
        <w:t xml:space="preserve">e in 2016 to just </w:t>
      </w:r>
      <w:r w:rsidR="00CA0208">
        <w:rPr>
          <w:rFonts w:cs="Times New Roman"/>
        </w:rPr>
        <w:t>0.</w:t>
      </w:r>
      <w:r>
        <w:rPr>
          <w:rFonts w:cs="Times New Roman"/>
        </w:rPr>
        <w:t>21</w:t>
      </w:r>
      <w:r w:rsidR="00CA0208">
        <w:rPr>
          <w:rFonts w:cs="Times New Roman"/>
        </w:rPr>
        <w:t xml:space="preserve"> million</w:t>
      </w:r>
      <w:r>
        <w:rPr>
          <w:rFonts w:cs="Times New Roman"/>
        </w:rPr>
        <w:t xml:space="preserve"> tonnes CO</w:t>
      </w:r>
      <w:r w:rsidRPr="004D6C6D">
        <w:rPr>
          <w:rFonts w:cs="Times New Roman"/>
          <w:vertAlign w:val="subscript"/>
        </w:rPr>
        <w:t>2</w:t>
      </w:r>
      <w:r>
        <w:rPr>
          <w:rFonts w:cs="Times New Roman"/>
        </w:rPr>
        <w:t>e in 2030.</w:t>
      </w:r>
    </w:p>
    <w:p w14:paraId="3C36E72C" w14:textId="77777777" w:rsidR="002F0B13" w:rsidRDefault="002F0B13" w:rsidP="002F0B13">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2F0B13" w:rsidRPr="00613398" w14:paraId="7B304D43" w14:textId="77777777" w:rsidTr="0013680B">
        <w:tc>
          <w:tcPr>
            <w:tcW w:w="9759" w:type="dxa"/>
            <w:vAlign w:val="center"/>
          </w:tcPr>
          <w:p w14:paraId="214F5303" w14:textId="6E9647F6" w:rsidR="002F0B13" w:rsidRPr="000A23F9" w:rsidRDefault="002F0B13" w:rsidP="0013680B">
            <w:pPr>
              <w:spacing w:after="120"/>
              <w:jc w:val="center"/>
              <w:rPr>
                <w:rFonts w:cs="Times New Roman"/>
                <w:b/>
              </w:rPr>
            </w:pPr>
            <w:r w:rsidRPr="000A23F9">
              <w:rPr>
                <w:rFonts w:cs="Times New Roman"/>
                <w:b/>
              </w:rPr>
              <w:br w:type="page"/>
            </w:r>
            <w:r w:rsidR="00A0109B">
              <w:rPr>
                <w:rFonts w:cs="Times New Roman"/>
                <w:b/>
              </w:rPr>
              <w:t>Bank (e</w:t>
            </w:r>
            <w:r>
              <w:rPr>
                <w:rFonts w:cs="Times New Roman"/>
                <w:b/>
              </w:rPr>
              <w:t>quiv</w:t>
            </w:r>
            <w:r w:rsidR="00BE01D9">
              <w:rPr>
                <w:rFonts w:cs="Times New Roman"/>
                <w:b/>
              </w:rPr>
              <w:t>a</w:t>
            </w:r>
            <w:r>
              <w:rPr>
                <w:rFonts w:cs="Times New Roman"/>
                <w:b/>
              </w:rPr>
              <w:t>l</w:t>
            </w:r>
            <w:r w:rsidR="00BE01D9">
              <w:rPr>
                <w:rFonts w:cs="Times New Roman"/>
                <w:b/>
              </w:rPr>
              <w:t>e</w:t>
            </w:r>
            <w:r w:rsidR="00A0109B">
              <w:rPr>
                <w:rFonts w:cs="Times New Roman"/>
                <w:b/>
              </w:rPr>
              <w:t>nt)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sidR="00A0109B">
              <w:rPr>
                <w:rFonts w:cs="Times New Roman"/>
                <w:b/>
              </w:rPr>
              <w:t>t</w:t>
            </w:r>
            <w:r w:rsidRPr="000A23F9">
              <w:rPr>
                <w:rFonts w:cs="Times New Roman"/>
                <w:b/>
              </w:rPr>
              <w:t>onnes)</w:t>
            </w:r>
          </w:p>
        </w:tc>
      </w:tr>
      <w:tr w:rsidR="002F0B13" w:rsidRPr="000A23F9" w14:paraId="76A26F61" w14:textId="77777777" w:rsidTr="00EA18BF">
        <w:tc>
          <w:tcPr>
            <w:tcW w:w="9759" w:type="dxa"/>
            <w:vAlign w:val="center"/>
          </w:tcPr>
          <w:p w14:paraId="071105DE" w14:textId="77777777" w:rsidR="002F0B13" w:rsidRPr="000A23F9" w:rsidRDefault="002F0B13" w:rsidP="0013680B">
            <w:pPr>
              <w:spacing w:before="60" w:after="60"/>
              <w:jc w:val="center"/>
              <w:rPr>
                <w:rFonts w:cs="Times New Roman"/>
                <w:sz w:val="16"/>
                <w:szCs w:val="16"/>
              </w:rPr>
            </w:pPr>
          </w:p>
          <w:p w14:paraId="331AD94F" w14:textId="0A512FAA" w:rsidR="002F0B13" w:rsidRPr="000A23F9" w:rsidRDefault="00EA18BF" w:rsidP="0013680B">
            <w:pPr>
              <w:spacing w:before="60" w:after="60"/>
              <w:jc w:val="center"/>
              <w:rPr>
                <w:rFonts w:cs="Times New Roman"/>
                <w:sz w:val="16"/>
                <w:szCs w:val="16"/>
              </w:rPr>
            </w:pPr>
            <w:r>
              <w:rPr>
                <w:noProof/>
                <w:lang w:val="en-AU" w:eastAsia="en-AU"/>
              </w:rPr>
              <w:drawing>
                <wp:inline distT="0" distB="0" distL="0" distR="0" wp14:anchorId="679E3BBC" wp14:editId="3C66973B">
                  <wp:extent cx="6030595" cy="2358390"/>
                  <wp:effectExtent l="0" t="0" r="1905"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30595" cy="2358390"/>
                          </a:xfrm>
                          <a:prstGeom prst="rect">
                            <a:avLst/>
                          </a:prstGeom>
                        </pic:spPr>
                      </pic:pic>
                    </a:graphicData>
                  </a:graphic>
                </wp:inline>
              </w:drawing>
            </w:r>
          </w:p>
          <w:p w14:paraId="280F865D" w14:textId="77777777" w:rsidR="002F0B13" w:rsidRPr="000A23F9" w:rsidRDefault="002F0B13" w:rsidP="0013680B">
            <w:pPr>
              <w:spacing w:before="60" w:after="60"/>
              <w:jc w:val="center"/>
              <w:rPr>
                <w:rFonts w:cs="Times New Roman"/>
                <w:sz w:val="16"/>
                <w:szCs w:val="16"/>
              </w:rPr>
            </w:pPr>
          </w:p>
        </w:tc>
      </w:tr>
      <w:tr w:rsidR="002F0B13" w:rsidRPr="000A23F9" w14:paraId="6BD41986" w14:textId="77777777" w:rsidTr="0013680B">
        <w:tc>
          <w:tcPr>
            <w:tcW w:w="9759" w:type="dxa"/>
            <w:vAlign w:val="center"/>
          </w:tcPr>
          <w:p w14:paraId="5097D506" w14:textId="207E1C09" w:rsidR="002F0B13" w:rsidRPr="0023612A" w:rsidRDefault="0023612A" w:rsidP="0023612A">
            <w:pPr>
              <w:pStyle w:val="Caption"/>
            </w:pPr>
            <w:bookmarkStart w:id="132" w:name="_Toc525141365"/>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34</w:t>
            </w:r>
            <w:r w:rsidR="009D6843">
              <w:rPr>
                <w:noProof/>
              </w:rPr>
              <w:fldChar w:fldCharType="end"/>
            </w:r>
            <w:r w:rsidR="002F0B13" w:rsidRPr="0023612A">
              <w:rPr>
                <w:bCs w:val="0"/>
              </w:rPr>
              <w:t>: Refrigerant bank (</w:t>
            </w:r>
            <w:r w:rsidR="00A0109B" w:rsidRPr="0023612A">
              <w:rPr>
                <w:bCs w:val="0"/>
              </w:rPr>
              <w:t>e</w:t>
            </w:r>
            <w:r w:rsidR="002F0B13" w:rsidRPr="0023612A">
              <w:rPr>
                <w:bCs w:val="0"/>
              </w:rPr>
              <w:t>quiv</w:t>
            </w:r>
            <w:r w:rsidR="00BE01D9" w:rsidRPr="0023612A">
              <w:rPr>
                <w:bCs w:val="0"/>
              </w:rPr>
              <w:t>a</w:t>
            </w:r>
            <w:r w:rsidR="002F0B13" w:rsidRPr="0023612A">
              <w:rPr>
                <w:bCs w:val="0"/>
              </w:rPr>
              <w:t>l</w:t>
            </w:r>
            <w:r w:rsidR="00BE01D9" w:rsidRPr="0023612A">
              <w:rPr>
                <w:bCs w:val="0"/>
              </w:rPr>
              <w:t>e</w:t>
            </w:r>
            <w:r w:rsidR="002F0B13" w:rsidRPr="0023612A">
              <w:rPr>
                <w:bCs w:val="0"/>
              </w:rPr>
              <w:t xml:space="preserve">nt) </w:t>
            </w:r>
            <w:r w:rsidR="00A0109B" w:rsidRPr="0023612A">
              <w:rPr>
                <w:bCs w:val="0"/>
              </w:rPr>
              <w:t>by s</w:t>
            </w:r>
            <w:r w:rsidR="002F0B13" w:rsidRPr="0023612A">
              <w:rPr>
                <w:bCs w:val="0"/>
              </w:rPr>
              <w:t>pecies from 2016 to 2030 in tonnes.</w:t>
            </w:r>
            <w:bookmarkEnd w:id="132"/>
          </w:p>
        </w:tc>
      </w:tr>
    </w:tbl>
    <w:p w14:paraId="42E41B6C" w14:textId="0E3EDE57" w:rsidR="002F0B13" w:rsidRPr="00573A8B" w:rsidRDefault="002F0B13" w:rsidP="002F0B13">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43FCCDE2" w14:textId="77777777" w:rsidR="002F0B13" w:rsidRDefault="002F0B13" w:rsidP="002F0B13">
      <w:pPr>
        <w:rPr>
          <w:rFonts w:cs="Times New Roman"/>
        </w:rPr>
      </w:pPr>
    </w:p>
    <w:p w14:paraId="62A4F9A9" w14:textId="78A174E8" w:rsidR="002F0B13" w:rsidRDefault="001064B4" w:rsidP="002F0B13">
      <w:pPr>
        <w:rPr>
          <w:rFonts w:cs="Times New Roman"/>
        </w:rPr>
      </w:pPr>
      <w:r>
        <w:rPr>
          <w:rFonts w:cs="Times New Roman"/>
        </w:rPr>
        <w:t>D</w:t>
      </w:r>
      <w:r w:rsidR="002F0B13">
        <w:rPr>
          <w:rFonts w:cs="Times New Roman"/>
        </w:rPr>
        <w:t>omestic refrigeration is a technology</w:t>
      </w:r>
      <w:r w:rsidR="00010031">
        <w:rPr>
          <w:rFonts w:cs="Times New Roman"/>
        </w:rPr>
        <w:t xml:space="preserve"> that</w:t>
      </w:r>
      <w:r w:rsidR="002F0B13">
        <w:rPr>
          <w:rFonts w:cs="Times New Roman"/>
        </w:rPr>
        <w:t xml:space="preserve"> has benefited from decades of design improvements</w:t>
      </w:r>
      <w:r>
        <w:rPr>
          <w:rFonts w:cs="Times New Roman"/>
        </w:rPr>
        <w:t xml:space="preserve">, in part driven by </w:t>
      </w:r>
      <w:r w:rsidR="002F0B13">
        <w:rPr>
          <w:rFonts w:cs="Times New Roman"/>
        </w:rPr>
        <w:t>regulatory efforts to drive energy efficiency improvements</w:t>
      </w:r>
      <w:r>
        <w:rPr>
          <w:rFonts w:cs="Times New Roman"/>
        </w:rPr>
        <w:t xml:space="preserve">. This class of equipment </w:t>
      </w:r>
      <w:r w:rsidR="002F0B13">
        <w:rPr>
          <w:rFonts w:cs="Times New Roman"/>
        </w:rPr>
        <w:t xml:space="preserve">does not require </w:t>
      </w:r>
      <w:r>
        <w:rPr>
          <w:rFonts w:cs="Times New Roman"/>
        </w:rPr>
        <w:t>a</w:t>
      </w:r>
      <w:r w:rsidR="002F0B13">
        <w:rPr>
          <w:rFonts w:cs="Times New Roman"/>
        </w:rPr>
        <w:t xml:space="preserve"> large refrigerant charge in individual devices</w:t>
      </w:r>
      <w:r>
        <w:rPr>
          <w:rFonts w:cs="Times New Roman"/>
        </w:rPr>
        <w:t xml:space="preserve"> (average 55 grams of HC)</w:t>
      </w:r>
      <w:r w:rsidR="002F0B13">
        <w:rPr>
          <w:rFonts w:cs="Times New Roman"/>
        </w:rPr>
        <w:t xml:space="preserve">, which means the flammability issues of hydrocarbons are </w:t>
      </w:r>
      <w:r>
        <w:rPr>
          <w:rFonts w:cs="Times New Roman"/>
        </w:rPr>
        <w:t xml:space="preserve">mitigated. This </w:t>
      </w:r>
      <w:r w:rsidR="00B84A9E">
        <w:rPr>
          <w:rFonts w:cs="Times New Roman"/>
        </w:rPr>
        <w:t xml:space="preserve">example </w:t>
      </w:r>
      <w:r w:rsidR="002F0B13">
        <w:rPr>
          <w:rFonts w:cs="Times New Roman"/>
        </w:rPr>
        <w:t>illustrate</w:t>
      </w:r>
      <w:r w:rsidR="009A42D2">
        <w:rPr>
          <w:rFonts w:cs="Times New Roman"/>
        </w:rPr>
        <w:t>s</w:t>
      </w:r>
      <w:r w:rsidR="002F0B13">
        <w:rPr>
          <w:rFonts w:cs="Times New Roman"/>
        </w:rPr>
        <w:t xml:space="preserve"> the important </w:t>
      </w:r>
      <w:r w:rsidR="00010031">
        <w:rPr>
          <w:rFonts w:cs="Times New Roman"/>
        </w:rPr>
        <w:t>relationship</w:t>
      </w:r>
      <w:r w:rsidR="002F0B13">
        <w:rPr>
          <w:rFonts w:cs="Times New Roman"/>
        </w:rPr>
        <w:t xml:space="preserve"> </w:t>
      </w:r>
      <w:r w:rsidR="00B84A9E">
        <w:rPr>
          <w:rFonts w:cs="Times New Roman"/>
        </w:rPr>
        <w:t xml:space="preserve">between </w:t>
      </w:r>
      <w:r w:rsidR="002F0B13">
        <w:rPr>
          <w:rFonts w:cs="Times New Roman"/>
        </w:rPr>
        <w:t>refrigerant type, energy use and</w:t>
      </w:r>
      <w:r w:rsidR="00010031">
        <w:rPr>
          <w:rFonts w:cs="Times New Roman"/>
        </w:rPr>
        <w:t xml:space="preserve"> overall </w:t>
      </w:r>
      <w:r w:rsidR="002F0B13">
        <w:rPr>
          <w:rFonts w:cs="Times New Roman"/>
        </w:rPr>
        <w:t xml:space="preserve">GWP impacts of </w:t>
      </w:r>
      <w:r w:rsidR="00B84A9E">
        <w:rPr>
          <w:rFonts w:cs="Times New Roman"/>
        </w:rPr>
        <w:t xml:space="preserve">RAC </w:t>
      </w:r>
      <w:r w:rsidR="002F0B13">
        <w:rPr>
          <w:rFonts w:cs="Times New Roman"/>
        </w:rPr>
        <w:t>technology.</w:t>
      </w:r>
    </w:p>
    <w:p w14:paraId="6E0AB064" w14:textId="77777777" w:rsidR="002F0B13" w:rsidRDefault="002F0B13" w:rsidP="002F0B13">
      <w:pPr>
        <w:snapToGrid w:val="0"/>
        <w:rPr>
          <w:rFonts w:eastAsia="Times New Roman" w:cs="Times New Roman"/>
          <w:bCs/>
          <w:szCs w:val="22"/>
          <w:lang w:val="en-US"/>
        </w:rPr>
      </w:pPr>
    </w:p>
    <w:p w14:paraId="1CE18E18" w14:textId="097A45B6" w:rsidR="005903C1" w:rsidRDefault="005903C1">
      <w:pPr>
        <w:spacing w:before="0"/>
        <w:jc w:val="left"/>
      </w:pPr>
    </w:p>
    <w:p w14:paraId="32D10BCB" w14:textId="77777777" w:rsidR="002F0B13" w:rsidRDefault="002F0B13">
      <w:pPr>
        <w:spacing w:before="0"/>
        <w:jc w:val="left"/>
      </w:pPr>
    </w:p>
    <w:p w14:paraId="14DD340E" w14:textId="77777777" w:rsidR="002F0B13" w:rsidRDefault="002F0B13">
      <w:pPr>
        <w:spacing w:before="0"/>
        <w:jc w:val="left"/>
      </w:pPr>
    </w:p>
    <w:p w14:paraId="5496B478" w14:textId="77777777" w:rsidR="002F0B13" w:rsidRDefault="002F0B13">
      <w:pPr>
        <w:spacing w:before="0"/>
        <w:jc w:val="left"/>
        <w:rPr>
          <w:rFonts w:ascii="Calibri" w:eastAsia="Times New Roman" w:hAnsi="Calibri" w:cs="Times New Roman"/>
          <w:b/>
          <w:bCs/>
          <w:kern w:val="32"/>
          <w:sz w:val="32"/>
          <w:szCs w:val="32"/>
          <w:lang w:val="en-US"/>
        </w:rPr>
      </w:pPr>
      <w:bookmarkStart w:id="133" w:name="_Toc494190168"/>
      <w:r>
        <w:br w:type="page"/>
      </w:r>
    </w:p>
    <w:p w14:paraId="1E8851BF" w14:textId="0777D6EB" w:rsidR="007215EE" w:rsidRDefault="00A0109B" w:rsidP="005903C1">
      <w:pPr>
        <w:pStyle w:val="Heading1"/>
      </w:pPr>
      <w:bookmarkStart w:id="134" w:name="_Toc525141289"/>
      <w:r>
        <w:t>Refrigerant u</w:t>
      </w:r>
      <w:r w:rsidR="000A533E">
        <w:t xml:space="preserve">se and </w:t>
      </w:r>
      <w:r>
        <w:t>d</w:t>
      </w:r>
      <w:r w:rsidR="000A533E">
        <w:t xml:space="preserve">irect </w:t>
      </w:r>
      <w:r>
        <w:t>e</w:t>
      </w:r>
      <w:r w:rsidR="007215EE">
        <w:t>missions</w:t>
      </w:r>
      <w:bookmarkEnd w:id="134"/>
    </w:p>
    <w:p w14:paraId="68C15767" w14:textId="1A884084" w:rsidR="00962996" w:rsidRPr="004E5550" w:rsidRDefault="00BE6979" w:rsidP="00962996">
      <w:pPr>
        <w:pStyle w:val="Heading2"/>
      </w:pPr>
      <w:bookmarkStart w:id="135" w:name="_Toc525141290"/>
      <w:r>
        <w:t>Refrigerant u</w:t>
      </w:r>
      <w:r w:rsidR="00962996">
        <w:t>se</w:t>
      </w:r>
      <w:bookmarkEnd w:id="135"/>
    </w:p>
    <w:p w14:paraId="5C42F0EB" w14:textId="32757D92" w:rsidR="00962996" w:rsidRPr="00E46C29" w:rsidRDefault="00962996" w:rsidP="00962996">
      <w:pPr>
        <w:rPr>
          <w:szCs w:val="22"/>
        </w:rPr>
      </w:pPr>
      <w:r w:rsidRPr="00E46C29">
        <w:rPr>
          <w:szCs w:val="22"/>
        </w:rPr>
        <w:t>Insight into the volumes of annual use of refrigerant in the Australian economy has been noticeably improved over the course of the last decade and is now informed by a quarterly annual survey of refrigerant wholesalers that provides robust data that can be reconciled against annual bulk imports.</w:t>
      </w:r>
    </w:p>
    <w:p w14:paraId="0F2153CC" w14:textId="5BE09C1B" w:rsidR="00962996" w:rsidRDefault="00962996" w:rsidP="00962996">
      <w:pPr>
        <w:rPr>
          <w:szCs w:val="22"/>
        </w:rPr>
      </w:pPr>
      <w:r w:rsidRPr="00E46C29">
        <w:rPr>
          <w:szCs w:val="22"/>
        </w:rPr>
        <w:t xml:space="preserve">Refrigerant is </w:t>
      </w:r>
      <w:r w:rsidR="007E0A92" w:rsidRPr="00E46C29">
        <w:rPr>
          <w:szCs w:val="22"/>
        </w:rPr>
        <w:t>used</w:t>
      </w:r>
      <w:r w:rsidRPr="00E46C29">
        <w:rPr>
          <w:szCs w:val="22"/>
        </w:rPr>
        <w:t xml:space="preserve"> for</w:t>
      </w:r>
      <w:r w:rsidR="00D71FE7">
        <w:rPr>
          <w:szCs w:val="22"/>
        </w:rPr>
        <w:t xml:space="preserve"> several purposes including:</w:t>
      </w:r>
    </w:p>
    <w:p w14:paraId="0C986638" w14:textId="316DF3B2" w:rsidR="00962996" w:rsidRPr="00B750DF"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Pr>
          <w:rFonts w:ascii="Times New Roman" w:hAnsi="Times New Roman"/>
        </w:rPr>
        <w:t>Local e</w:t>
      </w:r>
      <w:r w:rsidRPr="00B750DF">
        <w:rPr>
          <w:rFonts w:ascii="Times New Roman" w:hAnsi="Times New Roman"/>
        </w:rPr>
        <w:t>quipment manufacturing, particularly in medium commercial AC</w:t>
      </w:r>
      <w:r w:rsidR="00D71FE7">
        <w:rPr>
          <w:rFonts w:ascii="Times New Roman" w:hAnsi="Times New Roman"/>
        </w:rPr>
        <w:t>, space chillers</w:t>
      </w:r>
      <w:r w:rsidRPr="00B750DF">
        <w:rPr>
          <w:rFonts w:ascii="Times New Roman" w:hAnsi="Times New Roman"/>
        </w:rPr>
        <w:t xml:space="preserve"> and refrigerated display cabinets where Australia retains some successful manufacturers;</w:t>
      </w:r>
    </w:p>
    <w:p w14:paraId="4D963328" w14:textId="46CE3AA5" w:rsidR="00962996" w:rsidRPr="00B750DF"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 xml:space="preserve">Charging or </w:t>
      </w:r>
      <w:r>
        <w:rPr>
          <w:rFonts w:ascii="Times New Roman" w:hAnsi="Times New Roman"/>
        </w:rPr>
        <w:t>add</w:t>
      </w:r>
      <w:r w:rsidR="00BE01D9">
        <w:rPr>
          <w:rFonts w:ascii="Times New Roman" w:hAnsi="Times New Roman"/>
        </w:rPr>
        <w:t>ing to a partial</w:t>
      </w:r>
      <w:r>
        <w:rPr>
          <w:rFonts w:ascii="Times New Roman" w:hAnsi="Times New Roman"/>
        </w:rPr>
        <w:t xml:space="preserve"> charge for </w:t>
      </w:r>
      <w:r w:rsidRPr="00B750DF">
        <w:rPr>
          <w:rFonts w:ascii="Times New Roman" w:hAnsi="Times New Roman"/>
        </w:rPr>
        <w:t>new equipment at point of installation where the device may have been imported without any refrigerant charge</w:t>
      </w:r>
      <w:r>
        <w:rPr>
          <w:rFonts w:ascii="Times New Roman" w:hAnsi="Times New Roman"/>
        </w:rPr>
        <w:t xml:space="preserve"> (or partial</w:t>
      </w:r>
      <w:r w:rsidR="00B3467F">
        <w:rPr>
          <w:rFonts w:ascii="Times New Roman" w:hAnsi="Times New Roman"/>
        </w:rPr>
        <w:t xml:space="preserve"> charge</w:t>
      </w:r>
      <w:r>
        <w:rPr>
          <w:rFonts w:ascii="Times New Roman" w:hAnsi="Times New Roman"/>
        </w:rPr>
        <w:t>)</w:t>
      </w:r>
      <w:r w:rsidRPr="00B750DF">
        <w:rPr>
          <w:rFonts w:ascii="Times New Roman" w:hAnsi="Times New Roman"/>
        </w:rPr>
        <w:t>, or needs an addition to its pre-charged volume when installed and commissioned;</w:t>
      </w:r>
    </w:p>
    <w:p w14:paraId="163563F2" w14:textId="2B619255" w:rsidR="00962996" w:rsidRPr="00B750DF"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 xml:space="preserve">Retrofitting existing equipment with a new refrigerant, for instance in cases where equipment originally designed and installed to run on HCFC-22 is able to be retrofitted </w:t>
      </w:r>
      <w:r>
        <w:rPr>
          <w:rFonts w:ascii="Times New Roman" w:hAnsi="Times New Roman"/>
        </w:rPr>
        <w:t>with drop in replacements</w:t>
      </w:r>
      <w:r>
        <w:rPr>
          <w:rStyle w:val="FootnoteReference"/>
          <w:rFonts w:ascii="Times New Roman" w:hAnsi="Times New Roman"/>
        </w:rPr>
        <w:footnoteReference w:id="59"/>
      </w:r>
      <w:r w:rsidR="00B3467F">
        <w:rPr>
          <w:rFonts w:ascii="Times New Roman" w:hAnsi="Times New Roman"/>
        </w:rPr>
        <w:t>.</w:t>
      </w:r>
      <w:r w:rsidR="004B63D9">
        <w:rPr>
          <w:rFonts w:ascii="Times New Roman" w:hAnsi="Times New Roman"/>
        </w:rPr>
        <w:t xml:space="preserve"> </w:t>
      </w:r>
      <w:r w:rsidR="00BE01D9">
        <w:rPr>
          <w:rFonts w:ascii="Times New Roman" w:hAnsi="Times New Roman"/>
        </w:rPr>
        <w:t>F</w:t>
      </w:r>
      <w:r>
        <w:rPr>
          <w:rFonts w:ascii="Times New Roman" w:hAnsi="Times New Roman"/>
        </w:rPr>
        <w:t>or a period directly after the introduction of the carbon tax HFC-404A was retrofitted with HFC-407F due to the difference in GWPs. Refrigerants such as HFC-448A and HFC-449A are now being considered as retrofit replacements for HFC-404A; and,</w:t>
      </w:r>
    </w:p>
    <w:p w14:paraId="1947E94C" w14:textId="06F31401" w:rsidR="00962996" w:rsidRPr="00B750DF"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Servicing the stock of equipment to maintain charge levels as a result of leaks or catastrophic losses of refrigerant</w:t>
      </w:r>
      <w:r>
        <w:rPr>
          <w:rFonts w:ascii="Times New Roman" w:hAnsi="Times New Roman"/>
        </w:rPr>
        <w:t xml:space="preserve"> </w:t>
      </w:r>
      <w:r w:rsidRPr="002B1026">
        <w:rPr>
          <w:rFonts w:ascii="Times New Roman" w:hAnsi="Times New Roman"/>
        </w:rPr>
        <w:t xml:space="preserve">including </w:t>
      </w:r>
      <w:r w:rsidR="00D71FE7">
        <w:rPr>
          <w:rFonts w:ascii="Times New Roman" w:hAnsi="Times New Roman"/>
        </w:rPr>
        <w:t xml:space="preserve">handling </w:t>
      </w:r>
      <w:r w:rsidRPr="002B1026">
        <w:rPr>
          <w:rFonts w:ascii="Times New Roman" w:hAnsi="Times New Roman"/>
        </w:rPr>
        <w:t>losses across the supply lines</w:t>
      </w:r>
      <w:r w:rsidRPr="00B750DF">
        <w:rPr>
          <w:rFonts w:ascii="Times New Roman" w:hAnsi="Times New Roman"/>
        </w:rPr>
        <w:t>.</w:t>
      </w:r>
    </w:p>
    <w:p w14:paraId="5B30E831" w14:textId="365325EF" w:rsidR="001E36B8" w:rsidRDefault="00962996" w:rsidP="00962996">
      <w:r>
        <w:t xml:space="preserve">The largest demand is for refrigerant </w:t>
      </w:r>
      <w:r w:rsidR="007E0A92" w:rsidRPr="000F6CD8">
        <w:t>used</w:t>
      </w:r>
      <w:r>
        <w:t xml:space="preserve"> in servicing the stock of equipment. As a </w:t>
      </w:r>
      <w:r w:rsidR="009F5EAE">
        <w:t>result,</w:t>
      </w:r>
      <w:r>
        <w:t xml:space="preserve"> annual refrigerant </w:t>
      </w:r>
      <w:r w:rsidR="000F6CD8">
        <w:t>us</w:t>
      </w:r>
      <w:r w:rsidR="00010031">
        <w:t>e</w:t>
      </w:r>
      <w:r>
        <w:t xml:space="preserve">, supplied by bulk imports, only provides a relatively small addition to the overall bank every year as the </w:t>
      </w:r>
      <w:r w:rsidR="00010031">
        <w:t xml:space="preserve">majority </w:t>
      </w:r>
      <w:r>
        <w:t xml:space="preserve">of </w:t>
      </w:r>
      <w:r w:rsidR="00010031">
        <w:t xml:space="preserve">refrigerant used for servicing equipment </w:t>
      </w:r>
      <w:r>
        <w:t>is offset by direct emissions f</w:t>
      </w:r>
      <w:r w:rsidR="00A91B3E">
        <w:t>rom the stock and supply lines.</w:t>
      </w:r>
    </w:p>
    <w:p w14:paraId="2EE304D0" w14:textId="77777777" w:rsidR="00D71FE7" w:rsidRDefault="00D71FE7" w:rsidP="00962996"/>
    <w:p w14:paraId="3FD818D8" w14:textId="77777777" w:rsidR="00C91D3D" w:rsidRDefault="00C91D3D">
      <w:pPr>
        <w:spacing w:before="0"/>
        <w:jc w:val="left"/>
        <w:rPr>
          <w:rFonts w:ascii="Calibri" w:eastAsia="Times New Roman" w:hAnsi="Calibri" w:cs="Times New Roman"/>
          <w:b/>
          <w:bCs/>
          <w:i/>
          <w:iCs/>
          <w:sz w:val="28"/>
          <w:szCs w:val="28"/>
          <w:lang w:val="en-US"/>
        </w:rPr>
      </w:pPr>
      <w:r>
        <w:br w:type="page"/>
      </w:r>
    </w:p>
    <w:p w14:paraId="50366CD3" w14:textId="7AB65497" w:rsidR="00962996" w:rsidRPr="004E5550" w:rsidRDefault="00A0109B" w:rsidP="00962996">
      <w:pPr>
        <w:pStyle w:val="Heading2"/>
      </w:pPr>
      <w:bookmarkStart w:id="136" w:name="_Toc525141291"/>
      <w:r>
        <w:t>Refrigerant u</w:t>
      </w:r>
      <w:r w:rsidR="00962996">
        <w:t>sage 2006 to 2016</w:t>
      </w:r>
      <w:bookmarkEnd w:id="136"/>
    </w:p>
    <w:p w14:paraId="52F9B5D7" w14:textId="11FB20ED" w:rsidR="00962996" w:rsidRDefault="00DB2322" w:rsidP="00962996">
      <w:pPr>
        <w:spacing w:before="240"/>
        <w:rPr>
          <w:szCs w:val="22"/>
        </w:rPr>
      </w:pPr>
      <w:r>
        <w:rPr>
          <w:szCs w:val="22"/>
        </w:rPr>
        <w:t xml:space="preserve">As a result of studies on </w:t>
      </w:r>
      <w:r w:rsidR="000F6CD8">
        <w:rPr>
          <w:szCs w:val="22"/>
        </w:rPr>
        <w:t xml:space="preserve">refrigerant usage and </w:t>
      </w:r>
      <w:r>
        <w:rPr>
          <w:szCs w:val="22"/>
        </w:rPr>
        <w:t xml:space="preserve">bulk imports conducted by the authors, </w:t>
      </w:r>
      <w:r w:rsidR="009A36A3">
        <w:rPr>
          <w:szCs w:val="22"/>
        </w:rPr>
        <w:t xml:space="preserve">four annual snapshots of annual </w:t>
      </w:r>
      <w:r w:rsidR="000F6CD8">
        <w:rPr>
          <w:szCs w:val="22"/>
        </w:rPr>
        <w:t xml:space="preserve">usage </w:t>
      </w:r>
      <w:r w:rsidR="009A36A3">
        <w:rPr>
          <w:szCs w:val="22"/>
        </w:rPr>
        <w:t>are able to be provided in the chart below for 2006, 2010, 2012 and 2016.</w:t>
      </w:r>
    </w:p>
    <w:p w14:paraId="50C1D51E" w14:textId="77777777" w:rsidR="00962996" w:rsidRDefault="00962996" w:rsidP="00962996">
      <w:pPr>
        <w:spacing w:before="240"/>
        <w:rPr>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962996" w:rsidRPr="005D159D" w14:paraId="7147D5B5" w14:textId="77777777" w:rsidTr="001E36B8">
        <w:tc>
          <w:tcPr>
            <w:tcW w:w="9492" w:type="dxa"/>
            <w:vAlign w:val="center"/>
          </w:tcPr>
          <w:p w14:paraId="3719BBD6" w14:textId="0307EA82" w:rsidR="00962996" w:rsidRPr="005D159D" w:rsidRDefault="00962996" w:rsidP="001E36B8">
            <w:pPr>
              <w:spacing w:after="120"/>
              <w:jc w:val="center"/>
              <w:rPr>
                <w:b/>
                <w:sz w:val="24"/>
              </w:rPr>
            </w:pPr>
            <w:r w:rsidRPr="005D159D">
              <w:rPr>
                <w:b/>
                <w:sz w:val="24"/>
              </w:rPr>
              <w:br w:type="page"/>
            </w:r>
            <w:r w:rsidRPr="00912F5A">
              <w:rPr>
                <w:b/>
                <w:sz w:val="24"/>
              </w:rPr>
              <w:t>HFC</w:t>
            </w:r>
            <w:r>
              <w:rPr>
                <w:b/>
                <w:sz w:val="24"/>
              </w:rPr>
              <w:t xml:space="preserve"> use</w:t>
            </w:r>
            <w:r w:rsidRPr="00912F5A">
              <w:rPr>
                <w:b/>
                <w:sz w:val="24"/>
              </w:rPr>
              <w:t xml:space="preserve"> in 2</w:t>
            </w:r>
            <w:r w:rsidR="00A0109B">
              <w:rPr>
                <w:b/>
                <w:sz w:val="24"/>
              </w:rPr>
              <w:t>006, 2010 and 2012 and 2016 by s</w:t>
            </w:r>
            <w:r w:rsidRPr="00912F5A">
              <w:rPr>
                <w:b/>
                <w:sz w:val="24"/>
              </w:rPr>
              <w:t>pecies</w:t>
            </w:r>
          </w:p>
        </w:tc>
      </w:tr>
      <w:tr w:rsidR="00962996" w:rsidRPr="00BD20BC" w14:paraId="51E94A0B" w14:textId="77777777" w:rsidTr="001E36B8">
        <w:tc>
          <w:tcPr>
            <w:tcW w:w="9492" w:type="dxa"/>
            <w:vAlign w:val="center"/>
          </w:tcPr>
          <w:p w14:paraId="6BDE8034" w14:textId="77777777" w:rsidR="00962996" w:rsidRDefault="00962996" w:rsidP="001E36B8">
            <w:pPr>
              <w:jc w:val="center"/>
              <w:rPr>
                <w:sz w:val="16"/>
                <w:szCs w:val="16"/>
              </w:rPr>
            </w:pPr>
          </w:p>
        </w:tc>
      </w:tr>
      <w:tr w:rsidR="00962996" w:rsidRPr="00BD20BC" w14:paraId="3281CE54" w14:textId="77777777" w:rsidTr="001E36B8">
        <w:tc>
          <w:tcPr>
            <w:tcW w:w="9492" w:type="dxa"/>
            <w:vAlign w:val="center"/>
          </w:tcPr>
          <w:p w14:paraId="7DCA6B46" w14:textId="77777777" w:rsidR="00962996" w:rsidRDefault="00962996" w:rsidP="001E36B8">
            <w:pPr>
              <w:jc w:val="center"/>
              <w:rPr>
                <w:sz w:val="16"/>
                <w:szCs w:val="16"/>
              </w:rPr>
            </w:pPr>
          </w:p>
          <w:p w14:paraId="5982501E" w14:textId="77777777" w:rsidR="00962996" w:rsidRDefault="00962996" w:rsidP="001E36B8">
            <w:pPr>
              <w:jc w:val="center"/>
              <w:rPr>
                <w:sz w:val="16"/>
                <w:szCs w:val="16"/>
              </w:rPr>
            </w:pPr>
            <w:r>
              <w:rPr>
                <w:noProof/>
                <w:lang w:val="en-AU" w:eastAsia="en-AU"/>
              </w:rPr>
              <w:drawing>
                <wp:inline distT="0" distB="0" distL="0" distR="0" wp14:anchorId="2BDB6447" wp14:editId="1AA2B8D5">
                  <wp:extent cx="6030595" cy="32061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30595" cy="3206115"/>
                          </a:xfrm>
                          <a:prstGeom prst="rect">
                            <a:avLst/>
                          </a:prstGeom>
                        </pic:spPr>
                      </pic:pic>
                    </a:graphicData>
                  </a:graphic>
                </wp:inline>
              </w:drawing>
            </w:r>
          </w:p>
          <w:p w14:paraId="77487A1E" w14:textId="77777777" w:rsidR="00962996" w:rsidRPr="00BD20BC" w:rsidRDefault="00962996" w:rsidP="001E36B8">
            <w:pPr>
              <w:jc w:val="center"/>
              <w:rPr>
                <w:sz w:val="16"/>
                <w:szCs w:val="16"/>
              </w:rPr>
            </w:pPr>
          </w:p>
        </w:tc>
      </w:tr>
      <w:tr w:rsidR="00962996" w:rsidRPr="00042727" w14:paraId="69605E13" w14:textId="77777777" w:rsidTr="001E36B8">
        <w:tc>
          <w:tcPr>
            <w:tcW w:w="9492" w:type="dxa"/>
            <w:vAlign w:val="center"/>
          </w:tcPr>
          <w:p w14:paraId="38D5490E" w14:textId="534E99F7" w:rsidR="00962996" w:rsidRPr="005D159D" w:rsidRDefault="00962996" w:rsidP="001E36B8">
            <w:pPr>
              <w:spacing w:before="60" w:after="60"/>
              <w:rPr>
                <w:i/>
                <w:sz w:val="20"/>
              </w:rPr>
            </w:pPr>
            <w:bookmarkStart w:id="137" w:name="_Toc494118056"/>
            <w:bookmarkStart w:id="138" w:name="_Toc525141366"/>
            <w:r w:rsidRPr="005D159D">
              <w:rPr>
                <w:i/>
                <w:sz w:val="20"/>
              </w:rPr>
              <w:t xml:space="preserve">Figure </w:t>
            </w:r>
            <w:r w:rsidRPr="005D159D">
              <w:rPr>
                <w:i/>
                <w:sz w:val="20"/>
              </w:rPr>
              <w:fldChar w:fldCharType="begin"/>
            </w:r>
            <w:r w:rsidRPr="005D159D">
              <w:rPr>
                <w:i/>
                <w:sz w:val="20"/>
              </w:rPr>
              <w:instrText xml:space="preserve"> SEQ Figure \* ARABIC </w:instrText>
            </w:r>
            <w:r w:rsidRPr="005D159D">
              <w:rPr>
                <w:i/>
                <w:sz w:val="20"/>
              </w:rPr>
              <w:fldChar w:fldCharType="separate"/>
            </w:r>
            <w:r w:rsidR="00715E05">
              <w:rPr>
                <w:i/>
                <w:noProof/>
                <w:sz w:val="20"/>
              </w:rPr>
              <w:t>35</w:t>
            </w:r>
            <w:r w:rsidRPr="005D159D">
              <w:rPr>
                <w:i/>
                <w:sz w:val="20"/>
              </w:rPr>
              <w:fldChar w:fldCharType="end"/>
            </w:r>
            <w:r w:rsidRPr="005D159D">
              <w:rPr>
                <w:i/>
                <w:sz w:val="20"/>
              </w:rPr>
              <w:t xml:space="preserve">: </w:t>
            </w:r>
            <w:r>
              <w:rPr>
                <w:i/>
                <w:sz w:val="20"/>
              </w:rPr>
              <w:t xml:space="preserve">Estimated HFC </w:t>
            </w:r>
            <w:r w:rsidR="009F5EAE">
              <w:rPr>
                <w:i/>
                <w:sz w:val="20"/>
              </w:rPr>
              <w:t>usage</w:t>
            </w:r>
            <w:r>
              <w:rPr>
                <w:i/>
                <w:sz w:val="20"/>
              </w:rPr>
              <w:t xml:space="preserve"> in </w:t>
            </w:r>
            <w:r w:rsidRPr="009C48DA">
              <w:rPr>
                <w:i/>
                <w:sz w:val="20"/>
              </w:rPr>
              <w:t>2006, 2010</w:t>
            </w:r>
            <w:r>
              <w:rPr>
                <w:i/>
                <w:sz w:val="20"/>
              </w:rPr>
              <w:t xml:space="preserve">, </w:t>
            </w:r>
            <w:r w:rsidRPr="009C48DA">
              <w:rPr>
                <w:i/>
                <w:sz w:val="20"/>
              </w:rPr>
              <w:t>201</w:t>
            </w:r>
            <w:r>
              <w:rPr>
                <w:i/>
                <w:sz w:val="20"/>
              </w:rPr>
              <w:t>2 (normalised</w:t>
            </w:r>
            <w:r w:rsidRPr="0046278A">
              <w:rPr>
                <w:i/>
                <w:sz w:val="20"/>
              </w:rPr>
              <w:t>) and 2016 in tonnes</w:t>
            </w:r>
            <w:bookmarkEnd w:id="137"/>
            <w:bookmarkEnd w:id="138"/>
          </w:p>
        </w:tc>
      </w:tr>
    </w:tbl>
    <w:p w14:paraId="17003FEC" w14:textId="77777777" w:rsidR="004B63D9" w:rsidRDefault="00A91B3E" w:rsidP="00962996">
      <w:pPr>
        <w:rPr>
          <w:noProof/>
          <w:sz w:val="20"/>
          <w:szCs w:val="20"/>
          <w:lang w:eastAsia="en-AU"/>
        </w:rPr>
      </w:pPr>
      <w:r w:rsidRPr="00FA279D">
        <w:rPr>
          <w:noProof/>
          <w:sz w:val="20"/>
          <w:szCs w:val="20"/>
          <w:lang w:eastAsia="en-AU"/>
        </w:rPr>
        <w:t>Note</w:t>
      </w:r>
      <w:r>
        <w:rPr>
          <w:noProof/>
          <w:sz w:val="20"/>
          <w:szCs w:val="20"/>
          <w:lang w:eastAsia="en-AU"/>
        </w:rPr>
        <w:t>s</w:t>
      </w:r>
      <w:r w:rsidRPr="00FA279D">
        <w:rPr>
          <w:noProof/>
          <w:sz w:val="20"/>
          <w:szCs w:val="20"/>
          <w:lang w:eastAsia="en-AU"/>
        </w:rPr>
        <w:t xml:space="preserve">: </w:t>
      </w:r>
    </w:p>
    <w:p w14:paraId="360C1D6E" w14:textId="25D7FA7E" w:rsidR="00A91B3E" w:rsidRPr="004B63D9" w:rsidRDefault="004B63D9" w:rsidP="00FC735C">
      <w:pPr>
        <w:pStyle w:val="ListParagraph"/>
        <w:numPr>
          <w:ilvl w:val="0"/>
          <w:numId w:val="37"/>
        </w:numPr>
        <w:snapToGrid w:val="0"/>
        <w:spacing w:before="60" w:after="0" w:line="240" w:lineRule="auto"/>
        <w:ind w:left="357" w:hanging="357"/>
        <w:contextualSpacing w:val="0"/>
        <w:jc w:val="both"/>
        <w:rPr>
          <w:rFonts w:ascii="Times New Roman" w:hAnsi="Times New Roman"/>
          <w:noProof/>
          <w:sz w:val="20"/>
          <w:szCs w:val="20"/>
          <w:lang w:eastAsia="en-AU"/>
        </w:rPr>
      </w:pPr>
      <w:r w:rsidRPr="004B63D9">
        <w:rPr>
          <w:rFonts w:ascii="Times New Roman" w:hAnsi="Times New Roman"/>
          <w:noProof/>
          <w:sz w:val="20"/>
          <w:szCs w:val="20"/>
          <w:lang w:eastAsia="en-AU"/>
        </w:rPr>
        <w:t xml:space="preserve">The above chart only includes HFC </w:t>
      </w:r>
      <w:r w:rsidR="002C0587" w:rsidRPr="004B63D9">
        <w:rPr>
          <w:rFonts w:ascii="Times New Roman" w:hAnsi="Times New Roman"/>
          <w:noProof/>
          <w:sz w:val="20"/>
          <w:szCs w:val="20"/>
          <w:lang w:eastAsia="en-AU"/>
        </w:rPr>
        <w:t>use</w:t>
      </w:r>
      <w:r w:rsidRPr="004B63D9">
        <w:rPr>
          <w:rFonts w:ascii="Times New Roman" w:hAnsi="Times New Roman"/>
          <w:noProof/>
          <w:sz w:val="20"/>
          <w:szCs w:val="20"/>
          <w:lang w:eastAsia="en-AU"/>
        </w:rPr>
        <w:t xml:space="preserve"> and does not </w:t>
      </w:r>
      <w:r w:rsidR="002C0587" w:rsidRPr="004B63D9">
        <w:rPr>
          <w:rFonts w:ascii="Times New Roman" w:hAnsi="Times New Roman"/>
          <w:noProof/>
          <w:sz w:val="20"/>
          <w:szCs w:val="20"/>
          <w:lang w:eastAsia="en-AU"/>
        </w:rPr>
        <w:t>includ</w:t>
      </w:r>
      <w:r w:rsidRPr="004B63D9">
        <w:rPr>
          <w:rFonts w:ascii="Times New Roman" w:hAnsi="Times New Roman"/>
          <w:noProof/>
          <w:sz w:val="20"/>
          <w:szCs w:val="20"/>
          <w:lang w:eastAsia="en-AU"/>
        </w:rPr>
        <w:t>e</w:t>
      </w:r>
      <w:r w:rsidR="002C0587" w:rsidRPr="004B63D9">
        <w:rPr>
          <w:rFonts w:ascii="Times New Roman" w:hAnsi="Times New Roman"/>
          <w:noProof/>
          <w:sz w:val="20"/>
          <w:szCs w:val="20"/>
          <w:lang w:eastAsia="en-AU"/>
        </w:rPr>
        <w:t xml:space="preserve"> natural refrigerants</w:t>
      </w:r>
      <w:r w:rsidRPr="004B63D9">
        <w:rPr>
          <w:rFonts w:ascii="Times New Roman" w:hAnsi="Times New Roman"/>
          <w:noProof/>
          <w:sz w:val="20"/>
          <w:szCs w:val="20"/>
          <w:lang w:eastAsia="en-AU"/>
        </w:rPr>
        <w:t xml:space="preserve"> or </w:t>
      </w:r>
      <w:r w:rsidR="002C0587" w:rsidRPr="004B63D9">
        <w:rPr>
          <w:rFonts w:ascii="Times New Roman" w:hAnsi="Times New Roman"/>
          <w:noProof/>
          <w:sz w:val="20"/>
          <w:szCs w:val="20"/>
          <w:lang w:eastAsia="en-AU"/>
        </w:rPr>
        <w:t>HCFCs.</w:t>
      </w:r>
    </w:p>
    <w:p w14:paraId="447A214E" w14:textId="305D5C92" w:rsidR="00A91B3E" w:rsidRDefault="00A91B3E" w:rsidP="00FC735C">
      <w:pPr>
        <w:pStyle w:val="ListParagraph"/>
        <w:numPr>
          <w:ilvl w:val="0"/>
          <w:numId w:val="37"/>
        </w:numPr>
        <w:snapToGrid w:val="0"/>
        <w:spacing w:before="60" w:after="0" w:line="240" w:lineRule="auto"/>
        <w:ind w:left="357" w:hanging="357"/>
        <w:contextualSpacing w:val="0"/>
        <w:jc w:val="both"/>
        <w:rPr>
          <w:rFonts w:ascii="Times New Roman" w:hAnsi="Times New Roman"/>
          <w:noProof/>
          <w:sz w:val="20"/>
          <w:szCs w:val="20"/>
          <w:lang w:eastAsia="en-AU"/>
        </w:rPr>
      </w:pPr>
      <w:r>
        <w:rPr>
          <w:rFonts w:ascii="Times New Roman" w:hAnsi="Times New Roman"/>
          <w:noProof/>
          <w:sz w:val="20"/>
          <w:szCs w:val="20"/>
          <w:lang w:eastAsia="en-AU"/>
        </w:rPr>
        <w:t xml:space="preserve">Usage </w:t>
      </w:r>
      <w:r w:rsidRPr="00A91B3E">
        <w:rPr>
          <w:rFonts w:ascii="Times New Roman" w:hAnsi="Times New Roman"/>
          <w:noProof/>
          <w:sz w:val="20"/>
          <w:szCs w:val="20"/>
          <w:lang w:eastAsia="en-AU"/>
        </w:rPr>
        <w:t>estimates in 2006 and 2010 are based on top down (imports) versus bottom up (stock model) reconciliation</w:t>
      </w:r>
      <w:r>
        <w:rPr>
          <w:rFonts w:ascii="Times New Roman" w:hAnsi="Times New Roman"/>
          <w:noProof/>
          <w:sz w:val="20"/>
          <w:szCs w:val="20"/>
          <w:lang w:eastAsia="en-AU"/>
        </w:rPr>
        <w:t>.</w:t>
      </w:r>
      <w:r w:rsidRPr="00A91B3E">
        <w:rPr>
          <w:rFonts w:ascii="Times New Roman" w:hAnsi="Times New Roman"/>
          <w:noProof/>
          <w:sz w:val="20"/>
          <w:szCs w:val="20"/>
          <w:lang w:eastAsia="en-AU"/>
        </w:rPr>
        <w:t xml:space="preserve"> </w:t>
      </w:r>
    </w:p>
    <w:p w14:paraId="544605AB" w14:textId="69B18A63" w:rsidR="00A91B3E" w:rsidRPr="00A91B3E" w:rsidRDefault="00A91B3E" w:rsidP="00FC735C">
      <w:pPr>
        <w:pStyle w:val="ListParagraph"/>
        <w:numPr>
          <w:ilvl w:val="0"/>
          <w:numId w:val="37"/>
        </w:numPr>
        <w:snapToGrid w:val="0"/>
        <w:spacing w:before="60" w:after="0" w:line="240" w:lineRule="auto"/>
        <w:ind w:left="357" w:hanging="357"/>
        <w:contextualSpacing w:val="0"/>
        <w:jc w:val="both"/>
        <w:rPr>
          <w:rFonts w:ascii="Times New Roman" w:hAnsi="Times New Roman"/>
          <w:noProof/>
          <w:sz w:val="20"/>
          <w:szCs w:val="20"/>
          <w:lang w:eastAsia="en-AU"/>
        </w:rPr>
      </w:pPr>
      <w:r w:rsidRPr="00A91B3E">
        <w:rPr>
          <w:rFonts w:ascii="Times New Roman" w:hAnsi="Times New Roman"/>
          <w:noProof/>
          <w:sz w:val="20"/>
          <w:szCs w:val="20"/>
          <w:lang w:eastAsia="en-AU"/>
        </w:rPr>
        <w:t xml:space="preserve">2012 </w:t>
      </w:r>
      <w:r>
        <w:rPr>
          <w:rFonts w:ascii="Times New Roman" w:hAnsi="Times New Roman"/>
          <w:noProof/>
          <w:sz w:val="20"/>
          <w:szCs w:val="20"/>
          <w:lang w:eastAsia="en-AU"/>
        </w:rPr>
        <w:t>estimates w</w:t>
      </w:r>
      <w:r w:rsidRPr="00A91B3E">
        <w:rPr>
          <w:rFonts w:ascii="Times New Roman" w:hAnsi="Times New Roman"/>
          <w:noProof/>
          <w:sz w:val="20"/>
          <w:szCs w:val="20"/>
          <w:lang w:eastAsia="en-AU"/>
        </w:rPr>
        <w:t xml:space="preserve">ere top down </w:t>
      </w:r>
      <w:r>
        <w:rPr>
          <w:rFonts w:ascii="Times New Roman" w:hAnsi="Times New Roman"/>
          <w:noProof/>
          <w:sz w:val="20"/>
          <w:szCs w:val="20"/>
          <w:lang w:eastAsia="en-AU"/>
        </w:rPr>
        <w:t xml:space="preserve">estimates </w:t>
      </w:r>
      <w:r w:rsidRPr="00A91B3E">
        <w:rPr>
          <w:rFonts w:ascii="Times New Roman" w:hAnsi="Times New Roman"/>
          <w:noProof/>
          <w:sz w:val="20"/>
          <w:szCs w:val="20"/>
          <w:lang w:eastAsia="en-AU"/>
        </w:rPr>
        <w:t xml:space="preserve">projected from 2011 imports </w:t>
      </w:r>
      <w:r>
        <w:rPr>
          <w:rFonts w:ascii="Times New Roman" w:hAnsi="Times New Roman"/>
          <w:noProof/>
          <w:sz w:val="20"/>
          <w:szCs w:val="20"/>
          <w:lang w:eastAsia="en-AU"/>
        </w:rPr>
        <w:t xml:space="preserve">and </w:t>
      </w:r>
      <w:r w:rsidRPr="00A91B3E">
        <w:rPr>
          <w:rFonts w:ascii="Times New Roman" w:hAnsi="Times New Roman"/>
          <w:noProof/>
          <w:sz w:val="20"/>
          <w:szCs w:val="20"/>
          <w:lang w:eastAsia="en-AU"/>
        </w:rPr>
        <w:t>adjusted to account for industry changes in behaviour (i.e. stockpiling, transition to other refrigerants, recycling, improved containment, etc.).</w:t>
      </w:r>
    </w:p>
    <w:p w14:paraId="453FA546" w14:textId="4277C295" w:rsidR="00962996" w:rsidRPr="004B63D9" w:rsidRDefault="00A91B3E" w:rsidP="00FC735C">
      <w:pPr>
        <w:pStyle w:val="ListParagraph"/>
        <w:numPr>
          <w:ilvl w:val="0"/>
          <w:numId w:val="37"/>
        </w:numPr>
        <w:snapToGrid w:val="0"/>
        <w:spacing w:before="60" w:after="0" w:line="240" w:lineRule="auto"/>
        <w:ind w:left="357" w:hanging="357"/>
        <w:contextualSpacing w:val="0"/>
        <w:jc w:val="both"/>
        <w:rPr>
          <w:rFonts w:ascii="Times New Roman" w:hAnsi="Times New Roman"/>
          <w:noProof/>
          <w:sz w:val="20"/>
          <w:szCs w:val="20"/>
          <w:lang w:eastAsia="en-AU"/>
        </w:rPr>
      </w:pPr>
      <w:r w:rsidRPr="00A91B3E">
        <w:rPr>
          <w:rFonts w:ascii="Times New Roman" w:hAnsi="Times New Roman"/>
          <w:noProof/>
          <w:sz w:val="20"/>
          <w:szCs w:val="20"/>
          <w:lang w:eastAsia="en-AU"/>
        </w:rPr>
        <w:t>The 2016 estimate is based on actual sales data from Expert Group market intelligence reports in conjunction with the mobile aftermarket survey, plus OEM and HFC-</w:t>
      </w:r>
      <w:r w:rsidR="006437AA">
        <w:rPr>
          <w:rFonts w:ascii="Times New Roman" w:hAnsi="Times New Roman"/>
          <w:noProof/>
          <w:sz w:val="20"/>
          <w:szCs w:val="20"/>
          <w:lang w:eastAsia="en-AU"/>
        </w:rPr>
        <w:t>m</w:t>
      </w:r>
      <w:r w:rsidRPr="00A91B3E">
        <w:rPr>
          <w:rFonts w:ascii="Times New Roman" w:hAnsi="Times New Roman"/>
          <w:noProof/>
          <w:sz w:val="20"/>
          <w:szCs w:val="20"/>
          <w:lang w:eastAsia="en-AU"/>
        </w:rPr>
        <w:t xml:space="preserve">ix </w:t>
      </w:r>
      <w:r w:rsidR="000F6CD8">
        <w:rPr>
          <w:rFonts w:ascii="Times New Roman" w:hAnsi="Times New Roman"/>
          <w:noProof/>
          <w:sz w:val="20"/>
          <w:szCs w:val="20"/>
          <w:lang w:eastAsia="en-AU"/>
        </w:rPr>
        <w:t xml:space="preserve">usage </w:t>
      </w:r>
      <w:r w:rsidRPr="00A91B3E">
        <w:rPr>
          <w:rFonts w:ascii="Times New Roman" w:hAnsi="Times New Roman"/>
          <w:noProof/>
          <w:sz w:val="20"/>
          <w:szCs w:val="20"/>
          <w:lang w:eastAsia="en-AU"/>
        </w:rPr>
        <w:t xml:space="preserve">data provided </w:t>
      </w:r>
      <w:r w:rsidR="00B3467F">
        <w:rPr>
          <w:rFonts w:ascii="Times New Roman" w:hAnsi="Times New Roman"/>
          <w:noProof/>
          <w:sz w:val="20"/>
          <w:szCs w:val="20"/>
          <w:lang w:eastAsia="en-AU"/>
        </w:rPr>
        <w:t xml:space="preserve">by </w:t>
      </w:r>
      <w:r w:rsidRPr="00A91B3E">
        <w:rPr>
          <w:rFonts w:ascii="Times New Roman" w:hAnsi="Times New Roman"/>
          <w:noProof/>
          <w:sz w:val="20"/>
          <w:szCs w:val="20"/>
          <w:lang w:eastAsia="en-AU"/>
        </w:rPr>
        <w:t>industry participants.</w:t>
      </w:r>
    </w:p>
    <w:p w14:paraId="77C4BB9F" w14:textId="515EAEE2" w:rsidR="00A91B3E" w:rsidRDefault="00A91B3E" w:rsidP="00962996">
      <w:pPr>
        <w:rPr>
          <w:szCs w:val="22"/>
        </w:rPr>
      </w:pPr>
    </w:p>
    <w:p w14:paraId="35B453E2" w14:textId="0770A533" w:rsidR="00962996" w:rsidRDefault="00962996" w:rsidP="00962996">
      <w:pPr>
        <w:rPr>
          <w:szCs w:val="22"/>
        </w:rPr>
      </w:pPr>
      <w:r>
        <w:rPr>
          <w:szCs w:val="22"/>
        </w:rPr>
        <w:t>Trends identified in CH</w:t>
      </w:r>
      <w:r w:rsidR="000638FC">
        <w:rPr>
          <w:szCs w:val="22"/>
        </w:rPr>
        <w:t>F</w:t>
      </w:r>
      <w:r>
        <w:rPr>
          <w:szCs w:val="22"/>
        </w:rPr>
        <w:t xml:space="preserve">2 have continued with </w:t>
      </w:r>
      <w:r w:rsidR="000F6CD8">
        <w:rPr>
          <w:szCs w:val="22"/>
        </w:rPr>
        <w:t xml:space="preserve">usage </w:t>
      </w:r>
      <w:r w:rsidR="009A36A3">
        <w:rPr>
          <w:szCs w:val="22"/>
        </w:rPr>
        <w:t xml:space="preserve">of </w:t>
      </w:r>
      <w:r>
        <w:rPr>
          <w:szCs w:val="22"/>
        </w:rPr>
        <w:t>all of the main HFC species</w:t>
      </w:r>
      <w:r w:rsidR="000638FC">
        <w:rPr>
          <w:szCs w:val="22"/>
        </w:rPr>
        <w:t>, except HFC-134a</w:t>
      </w:r>
      <w:r w:rsidR="00B3467F">
        <w:rPr>
          <w:szCs w:val="22"/>
        </w:rPr>
        <w:t>,</w:t>
      </w:r>
      <w:r>
        <w:rPr>
          <w:szCs w:val="22"/>
        </w:rPr>
        <w:t xml:space="preserve"> continuing to grow as HFC pre-charged equipment imports expand the bank and underpin increased service demand for HFCs overall.</w:t>
      </w:r>
    </w:p>
    <w:p w14:paraId="6202DCB1" w14:textId="650EEE67" w:rsidR="00962996" w:rsidRDefault="00962996" w:rsidP="00962996">
      <w:pPr>
        <w:rPr>
          <w:szCs w:val="22"/>
        </w:rPr>
      </w:pPr>
      <w:r w:rsidRPr="007F3EA8">
        <w:rPr>
          <w:szCs w:val="22"/>
        </w:rPr>
        <w:t xml:space="preserve">A significant rise in </w:t>
      </w:r>
      <w:r w:rsidR="00D71FE7">
        <w:rPr>
          <w:szCs w:val="22"/>
        </w:rPr>
        <w:t xml:space="preserve">pre-charged </w:t>
      </w:r>
      <w:r w:rsidRPr="007F3EA8">
        <w:rPr>
          <w:szCs w:val="22"/>
        </w:rPr>
        <w:t xml:space="preserve">imports of HFC-410A, and a steady increase in </w:t>
      </w:r>
      <w:r w:rsidR="00D71FE7">
        <w:rPr>
          <w:szCs w:val="22"/>
        </w:rPr>
        <w:t xml:space="preserve">bulk </w:t>
      </w:r>
      <w:r w:rsidRPr="007F3EA8">
        <w:rPr>
          <w:szCs w:val="22"/>
        </w:rPr>
        <w:t>imports of HFC-4</w:t>
      </w:r>
      <w:r w:rsidR="00D71FE7">
        <w:rPr>
          <w:szCs w:val="22"/>
        </w:rPr>
        <w:t>10</w:t>
      </w:r>
      <w:r w:rsidRPr="007F3EA8">
        <w:rPr>
          <w:szCs w:val="22"/>
        </w:rPr>
        <w:t xml:space="preserve">A, is testament to the effect of </w:t>
      </w:r>
      <w:r w:rsidR="009467F3">
        <w:rPr>
          <w:szCs w:val="22"/>
        </w:rPr>
        <w:t xml:space="preserve">regulations imposing higher energy efficiency standards for small AC, combined with </w:t>
      </w:r>
      <w:r w:rsidRPr="007F3EA8">
        <w:rPr>
          <w:szCs w:val="22"/>
        </w:rPr>
        <w:t>restrictions on HCFC-22 imports</w:t>
      </w:r>
      <w:r w:rsidR="009467F3">
        <w:rPr>
          <w:szCs w:val="22"/>
        </w:rPr>
        <w:t>. HCFC-22 was</w:t>
      </w:r>
      <w:r w:rsidRPr="007F3EA8">
        <w:rPr>
          <w:szCs w:val="22"/>
        </w:rPr>
        <w:t xml:space="preserve"> </w:t>
      </w:r>
      <w:r>
        <w:rPr>
          <w:szCs w:val="22"/>
        </w:rPr>
        <w:t>once the most widely</w:t>
      </w:r>
      <w:r w:rsidRPr="007F3EA8">
        <w:rPr>
          <w:szCs w:val="22"/>
        </w:rPr>
        <w:t xml:space="preserve"> used</w:t>
      </w:r>
      <w:r>
        <w:rPr>
          <w:szCs w:val="22"/>
        </w:rPr>
        <w:t xml:space="preserve"> refrigerant</w:t>
      </w:r>
      <w:r w:rsidRPr="007F3EA8">
        <w:rPr>
          <w:szCs w:val="22"/>
        </w:rPr>
        <w:t xml:space="preserve"> in stationary air conditioning equipment</w:t>
      </w:r>
      <w:r w:rsidR="009467F3">
        <w:rPr>
          <w:szCs w:val="22"/>
        </w:rPr>
        <w:t>, however designs for small AC using HCFC-22 found it hard to meet increasing requirements for energy efficiency. New designs that could meet the minimum energy performance standards and employing HFC-410A were introduced at the start of</w:t>
      </w:r>
      <w:r>
        <w:rPr>
          <w:szCs w:val="22"/>
        </w:rPr>
        <w:t xml:space="preserve"> a decade when Australia saw an average of 1.1 million pre-charged residential and small commercial air conditioning systems imported every year.</w:t>
      </w:r>
    </w:p>
    <w:p w14:paraId="22D9591B" w14:textId="082529C1" w:rsidR="00962996" w:rsidRPr="007F3EA8" w:rsidRDefault="00962996" w:rsidP="00962996">
      <w:pPr>
        <w:rPr>
          <w:szCs w:val="22"/>
        </w:rPr>
      </w:pPr>
      <w:r>
        <w:rPr>
          <w:szCs w:val="22"/>
        </w:rPr>
        <w:t xml:space="preserve">The continuing substantial bank of HCFCs is largely still employed in </w:t>
      </w:r>
      <w:r w:rsidR="00B3467F">
        <w:rPr>
          <w:szCs w:val="22"/>
        </w:rPr>
        <w:t xml:space="preserve">small </w:t>
      </w:r>
      <w:r>
        <w:rPr>
          <w:szCs w:val="22"/>
        </w:rPr>
        <w:t xml:space="preserve">stationary AC more than </w:t>
      </w:r>
      <w:r w:rsidR="00BE01D9">
        <w:rPr>
          <w:szCs w:val="22"/>
        </w:rPr>
        <w:t xml:space="preserve">in </w:t>
      </w:r>
      <w:r>
        <w:rPr>
          <w:szCs w:val="22"/>
        </w:rPr>
        <w:t xml:space="preserve">the larger equipment segments, such as chillers and large commercial refrigeration plant, which have been </w:t>
      </w:r>
      <w:r w:rsidRPr="007F3EA8">
        <w:rPr>
          <w:szCs w:val="22"/>
        </w:rPr>
        <w:t>migrat</w:t>
      </w:r>
      <w:r>
        <w:rPr>
          <w:szCs w:val="22"/>
        </w:rPr>
        <w:t>ing</w:t>
      </w:r>
      <w:r w:rsidRPr="007F3EA8">
        <w:rPr>
          <w:szCs w:val="22"/>
        </w:rPr>
        <w:t xml:space="preserve"> away from HCFCs to HFCs</w:t>
      </w:r>
      <w:r>
        <w:rPr>
          <w:szCs w:val="22"/>
        </w:rPr>
        <w:t xml:space="preserve"> and natural refrigerants</w:t>
      </w:r>
      <w:r w:rsidR="00D71FE7">
        <w:rPr>
          <w:szCs w:val="22"/>
        </w:rPr>
        <w:t xml:space="preserve"> in niche applications</w:t>
      </w:r>
      <w:r w:rsidRPr="007F3EA8">
        <w:rPr>
          <w:szCs w:val="22"/>
        </w:rPr>
        <w:t>.</w:t>
      </w:r>
    </w:p>
    <w:p w14:paraId="49263EFE" w14:textId="214257AB" w:rsidR="00BE01D9" w:rsidRDefault="00962996" w:rsidP="00962996">
      <w:pPr>
        <w:rPr>
          <w:szCs w:val="22"/>
        </w:rPr>
      </w:pPr>
      <w:r>
        <w:rPr>
          <w:szCs w:val="22"/>
        </w:rPr>
        <w:t>Total HFC-410A imports in PCE</w:t>
      </w:r>
      <w:r w:rsidR="00BE01D9">
        <w:rPr>
          <w:szCs w:val="22"/>
        </w:rPr>
        <w:t>,</w:t>
      </w:r>
      <w:r>
        <w:rPr>
          <w:szCs w:val="22"/>
        </w:rPr>
        <w:t xml:space="preserve"> starting from </w:t>
      </w:r>
      <w:r w:rsidR="00B57970">
        <w:rPr>
          <w:szCs w:val="22"/>
        </w:rPr>
        <w:t>zero in 2002 to 845</w:t>
      </w:r>
      <w:r w:rsidR="000E4C6A">
        <w:rPr>
          <w:szCs w:val="22"/>
        </w:rPr>
        <w:t xml:space="preserve"> tonnes in </w:t>
      </w:r>
      <w:r>
        <w:rPr>
          <w:szCs w:val="22"/>
        </w:rPr>
        <w:t>2006, r</w:t>
      </w:r>
      <w:r w:rsidR="00BE01D9">
        <w:rPr>
          <w:szCs w:val="22"/>
        </w:rPr>
        <w:t>ose</w:t>
      </w:r>
      <w:r>
        <w:rPr>
          <w:szCs w:val="22"/>
        </w:rPr>
        <w:t xml:space="preserve"> to more than 1,800 tonnes in 2016</w:t>
      </w:r>
      <w:r w:rsidR="0013036A">
        <w:rPr>
          <w:rStyle w:val="FootnoteReference"/>
          <w:szCs w:val="22"/>
        </w:rPr>
        <w:footnoteReference w:id="60"/>
      </w:r>
      <w:r>
        <w:rPr>
          <w:szCs w:val="22"/>
        </w:rPr>
        <w:t xml:space="preserve">, accumulating to 17,100 tonnes over the 11 year period. Adding 40% of bulk imports of HFC-410A over the last five years to account for local manufacturing, and ignoring retirements, equates to a bank of at least 18,300 tonnes in 2016. </w:t>
      </w:r>
    </w:p>
    <w:p w14:paraId="073C1C61" w14:textId="68596937" w:rsidR="00962996" w:rsidRDefault="00962996" w:rsidP="00962996">
      <w:pPr>
        <w:rPr>
          <w:szCs w:val="22"/>
        </w:rPr>
      </w:pPr>
      <w:r>
        <w:rPr>
          <w:szCs w:val="22"/>
        </w:rPr>
        <w:t>T</w:t>
      </w:r>
      <w:r w:rsidRPr="007F3EA8">
        <w:rPr>
          <w:szCs w:val="22"/>
        </w:rPr>
        <w:t xml:space="preserve">his demonstrates how </w:t>
      </w:r>
      <w:r>
        <w:rPr>
          <w:szCs w:val="22"/>
        </w:rPr>
        <w:t xml:space="preserve">the </w:t>
      </w:r>
      <w:r w:rsidRPr="007F3EA8">
        <w:rPr>
          <w:szCs w:val="22"/>
        </w:rPr>
        <w:t xml:space="preserve">growth in the bank of HFC-410A was </w:t>
      </w:r>
      <w:r>
        <w:rPr>
          <w:szCs w:val="22"/>
        </w:rPr>
        <w:t xml:space="preserve">largely </w:t>
      </w:r>
      <w:r w:rsidRPr="007F3EA8">
        <w:rPr>
          <w:szCs w:val="22"/>
        </w:rPr>
        <w:t>driven by imports of equipment pre-charged with HFC-410A</w:t>
      </w:r>
      <w:r>
        <w:rPr>
          <w:szCs w:val="22"/>
        </w:rPr>
        <w:t>, which then in turn establishes long term demand for bulk refrigerant imports to service the stock of equipment</w:t>
      </w:r>
      <w:r w:rsidRPr="007F3EA8">
        <w:rPr>
          <w:szCs w:val="22"/>
        </w:rPr>
        <w:t>.</w:t>
      </w:r>
    </w:p>
    <w:p w14:paraId="2819783A" w14:textId="5937A19E" w:rsidR="00962996" w:rsidRDefault="00962996" w:rsidP="00962996">
      <w:pPr>
        <w:rPr>
          <w:szCs w:val="22"/>
        </w:rPr>
      </w:pPr>
      <w:r w:rsidRPr="007F3EA8">
        <w:rPr>
          <w:szCs w:val="22"/>
        </w:rPr>
        <w:t xml:space="preserve">During this period </w:t>
      </w:r>
      <w:r>
        <w:rPr>
          <w:szCs w:val="22"/>
        </w:rPr>
        <w:t xml:space="preserve">from 2006 to 2012 </w:t>
      </w:r>
      <w:r w:rsidRPr="007F3EA8">
        <w:rPr>
          <w:szCs w:val="22"/>
        </w:rPr>
        <w:t xml:space="preserve">the </w:t>
      </w:r>
      <w:r w:rsidR="005832AC">
        <w:rPr>
          <w:szCs w:val="22"/>
        </w:rPr>
        <w:t>usage</w:t>
      </w:r>
      <w:r>
        <w:rPr>
          <w:szCs w:val="22"/>
        </w:rPr>
        <w:t xml:space="preserve"> </w:t>
      </w:r>
      <w:r w:rsidRPr="007F3EA8">
        <w:rPr>
          <w:szCs w:val="22"/>
        </w:rPr>
        <w:t xml:space="preserve">of HFC-134a, by far the most commonly used HFC, maintained a steady trend </w:t>
      </w:r>
      <w:r>
        <w:rPr>
          <w:szCs w:val="22"/>
        </w:rPr>
        <w:t xml:space="preserve">of around 1,650 tonnes </w:t>
      </w:r>
      <w:r w:rsidRPr="007F3EA8">
        <w:rPr>
          <w:szCs w:val="22"/>
        </w:rPr>
        <w:t>over th</w:t>
      </w:r>
      <w:r>
        <w:rPr>
          <w:szCs w:val="22"/>
        </w:rPr>
        <w:t xml:space="preserve">at </w:t>
      </w:r>
      <w:r w:rsidRPr="007F3EA8">
        <w:rPr>
          <w:szCs w:val="22"/>
        </w:rPr>
        <w:t>period</w:t>
      </w:r>
      <w:r>
        <w:rPr>
          <w:szCs w:val="22"/>
        </w:rPr>
        <w:t xml:space="preserve">. Following </w:t>
      </w:r>
      <w:r w:rsidR="00E26F44">
        <w:rPr>
          <w:szCs w:val="22"/>
        </w:rPr>
        <w:t xml:space="preserve">changes in market behaviour, primarily improved containment, </w:t>
      </w:r>
      <w:r>
        <w:rPr>
          <w:szCs w:val="22"/>
        </w:rPr>
        <w:t xml:space="preserve">arising from the </w:t>
      </w:r>
      <w:r w:rsidR="0066343E">
        <w:rPr>
          <w:szCs w:val="22"/>
        </w:rPr>
        <w:t>e</w:t>
      </w:r>
      <w:r w:rsidR="005832AC" w:rsidRPr="005832AC">
        <w:rPr>
          <w:szCs w:val="22"/>
        </w:rPr>
        <w:t xml:space="preserve">quivalent </w:t>
      </w:r>
      <w:r w:rsidR="0066343E">
        <w:rPr>
          <w:szCs w:val="22"/>
        </w:rPr>
        <w:t>c</w:t>
      </w:r>
      <w:r w:rsidR="005832AC" w:rsidRPr="005832AC">
        <w:rPr>
          <w:szCs w:val="22"/>
        </w:rPr>
        <w:t xml:space="preserve">arbon </w:t>
      </w:r>
      <w:r w:rsidR="0066343E">
        <w:rPr>
          <w:szCs w:val="22"/>
        </w:rPr>
        <w:t>t</w:t>
      </w:r>
      <w:r w:rsidR="005832AC" w:rsidRPr="005832AC">
        <w:rPr>
          <w:szCs w:val="22"/>
        </w:rPr>
        <w:t>ax</w:t>
      </w:r>
      <w:r w:rsidR="00E26F44">
        <w:rPr>
          <w:szCs w:val="22"/>
        </w:rPr>
        <w:t>,</w:t>
      </w:r>
      <w:r w:rsidRPr="002016BF">
        <w:rPr>
          <w:szCs w:val="22"/>
        </w:rPr>
        <w:t xml:space="preserve"> </w:t>
      </w:r>
      <w:r>
        <w:rPr>
          <w:szCs w:val="22"/>
        </w:rPr>
        <w:t xml:space="preserve">and the decline in OEM </w:t>
      </w:r>
      <w:r w:rsidR="005832AC">
        <w:rPr>
          <w:szCs w:val="22"/>
        </w:rPr>
        <w:t>usage</w:t>
      </w:r>
      <w:r w:rsidRPr="007F3EA8">
        <w:rPr>
          <w:szCs w:val="22"/>
        </w:rPr>
        <w:t xml:space="preserve">, </w:t>
      </w:r>
      <w:r>
        <w:rPr>
          <w:szCs w:val="22"/>
        </w:rPr>
        <w:t>the five year average of bulk imports is 15</w:t>
      </w:r>
      <w:r w:rsidR="00C9319D">
        <w:rPr>
          <w:szCs w:val="22"/>
        </w:rPr>
        <w:t>%</w:t>
      </w:r>
      <w:r>
        <w:rPr>
          <w:szCs w:val="22"/>
        </w:rPr>
        <w:t xml:space="preserve"> lower at 1,400 tonnes per annum with </w:t>
      </w:r>
      <w:r w:rsidR="005832AC">
        <w:rPr>
          <w:szCs w:val="22"/>
        </w:rPr>
        <w:t xml:space="preserve">usage </w:t>
      </w:r>
      <w:r>
        <w:rPr>
          <w:szCs w:val="22"/>
        </w:rPr>
        <w:t>estimated at 1,276 tonnes in 2016.</w:t>
      </w:r>
      <w:r w:rsidRPr="007F3EA8">
        <w:rPr>
          <w:szCs w:val="22"/>
        </w:rPr>
        <w:t xml:space="preserve"> Various economic and technological trends capped demand for bulk HFC-134a imports, including the </w:t>
      </w:r>
      <w:r>
        <w:rPr>
          <w:szCs w:val="22"/>
        </w:rPr>
        <w:t>closure of</w:t>
      </w:r>
      <w:r w:rsidRPr="007F3EA8">
        <w:rPr>
          <w:szCs w:val="22"/>
        </w:rPr>
        <w:t xml:space="preserve"> Australian vehicle manufacturing, and the closure</w:t>
      </w:r>
      <w:r w:rsidR="00E26F44">
        <w:rPr>
          <w:szCs w:val="22"/>
        </w:rPr>
        <w:t>/</w:t>
      </w:r>
      <w:r w:rsidRPr="007F3EA8">
        <w:rPr>
          <w:szCs w:val="22"/>
        </w:rPr>
        <w:t xml:space="preserve">move off-shore, </w:t>
      </w:r>
      <w:r>
        <w:rPr>
          <w:szCs w:val="22"/>
        </w:rPr>
        <w:t xml:space="preserve">and transition to the use of hydrocarbons </w:t>
      </w:r>
      <w:r w:rsidR="00B3467F">
        <w:rPr>
          <w:szCs w:val="22"/>
        </w:rPr>
        <w:t xml:space="preserve">manufacture of </w:t>
      </w:r>
      <w:r w:rsidRPr="007F3EA8">
        <w:rPr>
          <w:szCs w:val="22"/>
        </w:rPr>
        <w:t>domestic refrigeration</w:t>
      </w:r>
      <w:r>
        <w:rPr>
          <w:szCs w:val="22"/>
        </w:rPr>
        <w:t xml:space="preserve"> (i.e. Electrolux and Fisher &amp; Paykel) and refrigeration display cases (i.e. Orford Refrigeration and Frigrite Refrigeration).</w:t>
      </w:r>
      <w:r w:rsidRPr="007F3EA8">
        <w:rPr>
          <w:szCs w:val="22"/>
        </w:rPr>
        <w:t xml:space="preserve"> </w:t>
      </w:r>
    </w:p>
    <w:p w14:paraId="74260B61" w14:textId="603DF733" w:rsidR="00962996" w:rsidRDefault="00962996" w:rsidP="00962996">
      <w:pPr>
        <w:rPr>
          <w:szCs w:val="22"/>
        </w:rPr>
      </w:pPr>
      <w:r>
        <w:rPr>
          <w:szCs w:val="22"/>
        </w:rPr>
        <w:t>Following a steady decline in domestic manufacturing capacity since the turn of the century, manufacturing of commercial AC has remained fairly stable since 2010</w:t>
      </w:r>
      <w:r w:rsidRPr="007F3EA8">
        <w:rPr>
          <w:szCs w:val="22"/>
        </w:rPr>
        <w:t xml:space="preserve">. </w:t>
      </w:r>
      <w:r w:rsidR="005A6A77">
        <w:rPr>
          <w:i/>
          <w:szCs w:val="22"/>
        </w:rPr>
        <w:t>Table 25</w:t>
      </w:r>
      <w:r w:rsidRPr="007545CC">
        <w:rPr>
          <w:i/>
          <w:szCs w:val="22"/>
        </w:rPr>
        <w:t xml:space="preserve"> </w:t>
      </w:r>
      <w:r w:rsidRPr="007545CC">
        <w:rPr>
          <w:szCs w:val="22"/>
        </w:rPr>
        <w:t xml:space="preserve">provides the HFC and HCFC </w:t>
      </w:r>
      <w:r>
        <w:rPr>
          <w:szCs w:val="22"/>
        </w:rPr>
        <w:t>use</w:t>
      </w:r>
      <w:r w:rsidRPr="007545CC">
        <w:rPr>
          <w:szCs w:val="22"/>
        </w:rPr>
        <w:t xml:space="preserve"> estimate by species in 2016.</w:t>
      </w:r>
    </w:p>
    <w:p w14:paraId="3BF2DA2E" w14:textId="77777777" w:rsidR="001E7E4A" w:rsidRDefault="001E7E4A" w:rsidP="00962996">
      <w:pPr>
        <w:rPr>
          <w:szCs w:val="22"/>
        </w:rPr>
      </w:pPr>
    </w:p>
    <w:p w14:paraId="184C152B" w14:textId="77777777" w:rsidR="00EC76EA" w:rsidRDefault="00EC76EA">
      <w:pPr>
        <w:spacing w:before="0"/>
        <w:jc w:val="left"/>
        <w:rPr>
          <w:rFonts w:eastAsia="Times New Roman" w:cs="Times New Roman"/>
          <w:bCs/>
          <w:i/>
          <w:szCs w:val="20"/>
          <w:lang w:val="en-US"/>
        </w:rPr>
      </w:pPr>
      <w:bookmarkStart w:id="139" w:name="_Toc525141414"/>
      <w:r>
        <w:br w:type="page"/>
      </w:r>
    </w:p>
    <w:p w14:paraId="06051927" w14:textId="54ECB798" w:rsidR="00962996" w:rsidRPr="005A6A77" w:rsidRDefault="005A6A77" w:rsidP="005A6A77">
      <w:pPr>
        <w:pStyle w:val="Caption"/>
        <w:keepNext/>
        <w:rPr>
          <w:szCs w:val="22"/>
        </w:rPr>
      </w:pPr>
      <w:r w:rsidRPr="005A6A77">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25</w:t>
      </w:r>
      <w:r w:rsidR="009D6843">
        <w:rPr>
          <w:noProof/>
        </w:rPr>
        <w:fldChar w:fldCharType="end"/>
      </w:r>
      <w:r w:rsidRPr="005A6A77">
        <w:t xml:space="preserve">: </w:t>
      </w:r>
      <w:r w:rsidR="00962996" w:rsidRPr="005A6A77">
        <w:rPr>
          <w:szCs w:val="22"/>
        </w:rPr>
        <w:t>High GWP refrigerant use</w:t>
      </w:r>
      <w:r w:rsidR="00B3467F">
        <w:rPr>
          <w:szCs w:val="22"/>
        </w:rPr>
        <w:t xml:space="preserve"> in domestic OEM</w:t>
      </w:r>
      <w:r w:rsidR="00962996" w:rsidRPr="005A6A77">
        <w:rPr>
          <w:szCs w:val="22"/>
        </w:rPr>
        <w:t xml:space="preserve"> in 2016 in tonnes.</w:t>
      </w:r>
      <w:bookmarkEnd w:id="139"/>
    </w:p>
    <w:tbl>
      <w:tblPr>
        <w:tblW w:w="975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50"/>
        <w:gridCol w:w="5103"/>
      </w:tblGrid>
      <w:tr w:rsidR="009C0BC1" w:rsidRPr="009C0BC1" w14:paraId="6A83BBFA" w14:textId="77777777" w:rsidTr="009C0BC1">
        <w:trPr>
          <w:trHeight w:val="684"/>
        </w:trPr>
        <w:tc>
          <w:tcPr>
            <w:tcW w:w="4650" w:type="dxa"/>
            <w:tcBorders>
              <w:top w:val="single" w:sz="8" w:space="0" w:color="auto"/>
              <w:left w:val="single" w:sz="8" w:space="0" w:color="auto"/>
              <w:bottom w:val="single" w:sz="8" w:space="0" w:color="auto"/>
              <w:right w:val="single" w:sz="8" w:space="0" w:color="000000" w:themeColor="text1"/>
            </w:tcBorders>
            <w:shd w:val="clear" w:color="auto" w:fill="B6DDE8" w:themeFill="accent5" w:themeFillTint="66"/>
            <w:vAlign w:val="center"/>
          </w:tcPr>
          <w:p w14:paraId="0CA29290" w14:textId="77777777" w:rsidR="00962996" w:rsidRPr="009C0BC1" w:rsidRDefault="00962996" w:rsidP="001E36B8">
            <w:pPr>
              <w:spacing w:after="120"/>
              <w:ind w:left="284"/>
              <w:rPr>
                <w:color w:val="000000" w:themeColor="text1"/>
              </w:rPr>
            </w:pPr>
            <w:r w:rsidRPr="009C0BC1">
              <w:rPr>
                <w:color w:val="000000" w:themeColor="text1"/>
              </w:rPr>
              <w:t>Species</w:t>
            </w:r>
          </w:p>
        </w:tc>
        <w:tc>
          <w:tcPr>
            <w:tcW w:w="5103" w:type="dxa"/>
            <w:tcBorders>
              <w:top w:val="single" w:sz="8" w:space="0" w:color="auto"/>
              <w:left w:val="single" w:sz="8" w:space="0" w:color="000000" w:themeColor="text1"/>
              <w:bottom w:val="single" w:sz="8" w:space="0" w:color="auto"/>
              <w:right w:val="single" w:sz="8" w:space="0" w:color="auto"/>
            </w:tcBorders>
            <w:shd w:val="clear" w:color="auto" w:fill="B6DDE8" w:themeFill="accent5" w:themeFillTint="66"/>
            <w:vAlign w:val="center"/>
          </w:tcPr>
          <w:p w14:paraId="53DD43ED" w14:textId="31073084" w:rsidR="00962996" w:rsidRPr="009C0BC1" w:rsidRDefault="00962996" w:rsidP="001E36B8">
            <w:pPr>
              <w:spacing w:after="120"/>
              <w:jc w:val="center"/>
              <w:rPr>
                <w:color w:val="000000" w:themeColor="text1"/>
              </w:rPr>
            </w:pPr>
            <w:r w:rsidRPr="009C0BC1">
              <w:rPr>
                <w:color w:val="000000" w:themeColor="text1"/>
              </w:rPr>
              <w:t>Usage (t</w:t>
            </w:r>
            <w:r w:rsidR="009C0BC1" w:rsidRPr="009C0BC1">
              <w:rPr>
                <w:color w:val="000000" w:themeColor="text1"/>
              </w:rPr>
              <w:t>onnes</w:t>
            </w:r>
            <w:r w:rsidRPr="009C0BC1">
              <w:rPr>
                <w:color w:val="000000" w:themeColor="text1"/>
              </w:rPr>
              <w:t>)</w:t>
            </w:r>
          </w:p>
        </w:tc>
      </w:tr>
      <w:tr w:rsidR="00962996" w:rsidRPr="00923150" w14:paraId="67F0B758" w14:textId="77777777" w:rsidTr="001E36B8">
        <w:trPr>
          <w:trHeight w:val="456"/>
        </w:trPr>
        <w:tc>
          <w:tcPr>
            <w:tcW w:w="4650" w:type="dxa"/>
            <w:tcBorders>
              <w:top w:val="single" w:sz="8" w:space="0" w:color="auto"/>
            </w:tcBorders>
            <w:vAlign w:val="center"/>
          </w:tcPr>
          <w:p w14:paraId="5ACF60B4" w14:textId="77777777" w:rsidR="00962996" w:rsidRPr="007545CC" w:rsidRDefault="00962996" w:rsidP="001E36B8">
            <w:pPr>
              <w:spacing w:before="60" w:after="60"/>
              <w:ind w:left="284"/>
              <w:rPr>
                <w:rFonts w:cs="Times New Roman"/>
                <w:szCs w:val="22"/>
              </w:rPr>
            </w:pPr>
            <w:r w:rsidRPr="007545CC">
              <w:rPr>
                <w:rFonts w:cs="Times New Roman"/>
                <w:szCs w:val="22"/>
              </w:rPr>
              <w:t xml:space="preserve">HCFC-22 </w:t>
            </w:r>
            <w:r w:rsidRPr="007545CC">
              <w:rPr>
                <w:rFonts w:cs="Times New Roman"/>
                <w:szCs w:val="22"/>
                <w:vertAlign w:val="superscript"/>
              </w:rPr>
              <w:t>(1)</w:t>
            </w:r>
          </w:p>
        </w:tc>
        <w:tc>
          <w:tcPr>
            <w:tcW w:w="5103" w:type="dxa"/>
            <w:tcBorders>
              <w:top w:val="single" w:sz="8" w:space="0" w:color="auto"/>
            </w:tcBorders>
            <w:vAlign w:val="center"/>
          </w:tcPr>
          <w:p w14:paraId="60BDAF08" w14:textId="77777777" w:rsidR="00962996" w:rsidRPr="007545CC" w:rsidRDefault="00962996" w:rsidP="001E36B8">
            <w:pPr>
              <w:spacing w:before="60" w:after="60"/>
              <w:jc w:val="center"/>
              <w:rPr>
                <w:rFonts w:cs="Times New Roman"/>
                <w:szCs w:val="22"/>
              </w:rPr>
            </w:pPr>
            <w:r w:rsidRPr="007545CC">
              <w:rPr>
                <w:rFonts w:cs="Times New Roman"/>
                <w:szCs w:val="22"/>
              </w:rPr>
              <w:t>255</w:t>
            </w:r>
          </w:p>
        </w:tc>
      </w:tr>
      <w:tr w:rsidR="00962996" w:rsidRPr="00923150" w14:paraId="08014235" w14:textId="77777777" w:rsidTr="001E36B8">
        <w:trPr>
          <w:trHeight w:val="456"/>
        </w:trPr>
        <w:tc>
          <w:tcPr>
            <w:tcW w:w="4650" w:type="dxa"/>
            <w:vAlign w:val="center"/>
          </w:tcPr>
          <w:p w14:paraId="18B6AB53" w14:textId="77777777" w:rsidR="00962996" w:rsidRPr="007545CC" w:rsidRDefault="00962996" w:rsidP="001E36B8">
            <w:pPr>
              <w:spacing w:before="60" w:after="60"/>
              <w:ind w:left="284"/>
              <w:rPr>
                <w:rFonts w:cs="Times New Roman"/>
                <w:szCs w:val="22"/>
              </w:rPr>
            </w:pPr>
            <w:r w:rsidRPr="007545CC">
              <w:rPr>
                <w:rFonts w:cs="Times New Roman"/>
                <w:szCs w:val="22"/>
              </w:rPr>
              <w:t>HFC-134a</w:t>
            </w:r>
          </w:p>
        </w:tc>
        <w:tc>
          <w:tcPr>
            <w:tcW w:w="5103" w:type="dxa"/>
            <w:vAlign w:val="center"/>
          </w:tcPr>
          <w:p w14:paraId="32D74866" w14:textId="77777777" w:rsidR="00962996" w:rsidRPr="007545CC" w:rsidRDefault="00962996" w:rsidP="001E36B8">
            <w:pPr>
              <w:spacing w:before="60" w:after="60"/>
              <w:jc w:val="center"/>
              <w:rPr>
                <w:rFonts w:cs="Times New Roman"/>
                <w:szCs w:val="22"/>
              </w:rPr>
            </w:pPr>
            <w:r w:rsidRPr="007545CC">
              <w:rPr>
                <w:rFonts w:cs="Times New Roman"/>
                <w:szCs w:val="22"/>
              </w:rPr>
              <w:t>1,276</w:t>
            </w:r>
          </w:p>
        </w:tc>
      </w:tr>
      <w:tr w:rsidR="00962996" w:rsidRPr="00923150" w14:paraId="78E1428C" w14:textId="77777777" w:rsidTr="001E36B8">
        <w:trPr>
          <w:trHeight w:val="456"/>
        </w:trPr>
        <w:tc>
          <w:tcPr>
            <w:tcW w:w="4650" w:type="dxa"/>
            <w:vAlign w:val="center"/>
          </w:tcPr>
          <w:p w14:paraId="335593DE" w14:textId="77777777" w:rsidR="00962996" w:rsidRPr="007545CC" w:rsidRDefault="00962996" w:rsidP="001E36B8">
            <w:pPr>
              <w:spacing w:before="60" w:after="60"/>
              <w:ind w:left="284"/>
              <w:rPr>
                <w:rFonts w:cs="Times New Roman"/>
                <w:szCs w:val="22"/>
              </w:rPr>
            </w:pPr>
            <w:r w:rsidRPr="007545CC">
              <w:rPr>
                <w:rFonts w:cs="Times New Roman"/>
                <w:szCs w:val="22"/>
              </w:rPr>
              <w:t>HFC-404A</w:t>
            </w:r>
          </w:p>
        </w:tc>
        <w:tc>
          <w:tcPr>
            <w:tcW w:w="5103" w:type="dxa"/>
            <w:vAlign w:val="center"/>
          </w:tcPr>
          <w:p w14:paraId="7516705B" w14:textId="77777777" w:rsidR="00962996" w:rsidRPr="007545CC" w:rsidRDefault="00962996" w:rsidP="001E36B8">
            <w:pPr>
              <w:spacing w:before="60" w:after="60"/>
              <w:jc w:val="center"/>
              <w:rPr>
                <w:rFonts w:cs="Times New Roman"/>
                <w:szCs w:val="22"/>
              </w:rPr>
            </w:pPr>
            <w:r w:rsidRPr="007545CC">
              <w:rPr>
                <w:rFonts w:cs="Times New Roman"/>
                <w:szCs w:val="22"/>
              </w:rPr>
              <w:t>800</w:t>
            </w:r>
          </w:p>
        </w:tc>
      </w:tr>
      <w:tr w:rsidR="00962996" w:rsidRPr="00923150" w14:paraId="206236A4" w14:textId="77777777" w:rsidTr="001E36B8">
        <w:trPr>
          <w:trHeight w:val="456"/>
        </w:trPr>
        <w:tc>
          <w:tcPr>
            <w:tcW w:w="4650" w:type="dxa"/>
            <w:tcBorders>
              <w:bottom w:val="single" w:sz="4" w:space="0" w:color="000000"/>
            </w:tcBorders>
            <w:vAlign w:val="center"/>
          </w:tcPr>
          <w:p w14:paraId="74C2FFD9" w14:textId="77777777" w:rsidR="00962996" w:rsidRPr="007545CC" w:rsidRDefault="00962996" w:rsidP="001E36B8">
            <w:pPr>
              <w:spacing w:before="60" w:after="60"/>
              <w:ind w:left="284"/>
              <w:rPr>
                <w:rFonts w:cs="Times New Roman"/>
                <w:szCs w:val="22"/>
              </w:rPr>
            </w:pPr>
            <w:r w:rsidRPr="007545CC">
              <w:rPr>
                <w:rFonts w:cs="Times New Roman"/>
                <w:szCs w:val="22"/>
              </w:rPr>
              <w:t>HFC-407C</w:t>
            </w:r>
          </w:p>
        </w:tc>
        <w:tc>
          <w:tcPr>
            <w:tcW w:w="5103" w:type="dxa"/>
            <w:tcBorders>
              <w:bottom w:val="single" w:sz="4" w:space="0" w:color="000000"/>
            </w:tcBorders>
            <w:vAlign w:val="center"/>
          </w:tcPr>
          <w:p w14:paraId="77DE25EF" w14:textId="77777777" w:rsidR="00962996" w:rsidRPr="007545CC" w:rsidRDefault="00962996" w:rsidP="001E36B8">
            <w:pPr>
              <w:spacing w:before="60" w:after="60"/>
              <w:jc w:val="center"/>
              <w:rPr>
                <w:rFonts w:cs="Times New Roman"/>
                <w:szCs w:val="22"/>
              </w:rPr>
            </w:pPr>
            <w:r w:rsidRPr="007545CC">
              <w:rPr>
                <w:rFonts w:cs="Times New Roman"/>
                <w:szCs w:val="22"/>
              </w:rPr>
              <w:t>168</w:t>
            </w:r>
          </w:p>
        </w:tc>
      </w:tr>
      <w:tr w:rsidR="00962996" w:rsidRPr="00923150" w14:paraId="7469C8F4" w14:textId="77777777" w:rsidTr="001E36B8">
        <w:trPr>
          <w:trHeight w:val="456"/>
        </w:trPr>
        <w:tc>
          <w:tcPr>
            <w:tcW w:w="4650" w:type="dxa"/>
            <w:tcBorders>
              <w:bottom w:val="single" w:sz="4" w:space="0" w:color="000000"/>
            </w:tcBorders>
            <w:vAlign w:val="center"/>
          </w:tcPr>
          <w:p w14:paraId="72D6EBF2" w14:textId="77777777" w:rsidR="00962996" w:rsidRPr="007545CC" w:rsidRDefault="00962996" w:rsidP="001E36B8">
            <w:pPr>
              <w:spacing w:before="60" w:after="60"/>
              <w:ind w:left="284"/>
              <w:rPr>
                <w:rFonts w:cs="Times New Roman"/>
                <w:szCs w:val="22"/>
              </w:rPr>
            </w:pPr>
            <w:r w:rsidRPr="007545CC">
              <w:rPr>
                <w:rFonts w:cs="Times New Roman"/>
                <w:szCs w:val="22"/>
              </w:rPr>
              <w:t>HFC-407A/F</w:t>
            </w:r>
          </w:p>
        </w:tc>
        <w:tc>
          <w:tcPr>
            <w:tcW w:w="5103" w:type="dxa"/>
            <w:tcBorders>
              <w:bottom w:val="single" w:sz="4" w:space="0" w:color="000000"/>
            </w:tcBorders>
            <w:vAlign w:val="center"/>
          </w:tcPr>
          <w:p w14:paraId="3A268FDC" w14:textId="77777777" w:rsidR="00962996" w:rsidRPr="007545CC" w:rsidRDefault="00962996" w:rsidP="001E36B8">
            <w:pPr>
              <w:spacing w:before="60" w:after="60"/>
              <w:jc w:val="center"/>
              <w:rPr>
                <w:rFonts w:cs="Times New Roman"/>
                <w:szCs w:val="22"/>
              </w:rPr>
            </w:pPr>
            <w:r w:rsidRPr="007545CC">
              <w:rPr>
                <w:rFonts w:cs="Times New Roman"/>
                <w:szCs w:val="22"/>
              </w:rPr>
              <w:t>33</w:t>
            </w:r>
          </w:p>
        </w:tc>
      </w:tr>
      <w:tr w:rsidR="00962996" w:rsidRPr="00923150" w14:paraId="4766B681" w14:textId="77777777" w:rsidTr="001E36B8">
        <w:trPr>
          <w:trHeight w:val="456"/>
        </w:trPr>
        <w:tc>
          <w:tcPr>
            <w:tcW w:w="4650" w:type="dxa"/>
            <w:tcBorders>
              <w:bottom w:val="single" w:sz="4" w:space="0" w:color="000000"/>
            </w:tcBorders>
            <w:vAlign w:val="bottom"/>
          </w:tcPr>
          <w:p w14:paraId="194F3746" w14:textId="77777777" w:rsidR="00962996" w:rsidRPr="007545CC" w:rsidRDefault="00962996" w:rsidP="001E36B8">
            <w:pPr>
              <w:spacing w:before="60" w:after="60"/>
              <w:ind w:left="284"/>
              <w:rPr>
                <w:rFonts w:eastAsia="Times New Roman" w:cs="Times New Roman"/>
                <w:color w:val="000000"/>
                <w:szCs w:val="22"/>
              </w:rPr>
            </w:pPr>
            <w:r w:rsidRPr="007545CC">
              <w:rPr>
                <w:rFonts w:cs="Times New Roman"/>
                <w:szCs w:val="22"/>
              </w:rPr>
              <w:t>HFC-410A</w:t>
            </w:r>
          </w:p>
        </w:tc>
        <w:tc>
          <w:tcPr>
            <w:tcW w:w="5103" w:type="dxa"/>
            <w:tcBorders>
              <w:bottom w:val="single" w:sz="4" w:space="0" w:color="000000"/>
            </w:tcBorders>
            <w:vAlign w:val="center"/>
          </w:tcPr>
          <w:p w14:paraId="0F082B02" w14:textId="77777777" w:rsidR="00962996" w:rsidRPr="007545CC" w:rsidRDefault="00962996" w:rsidP="001E36B8">
            <w:pPr>
              <w:spacing w:before="60" w:after="60"/>
              <w:jc w:val="center"/>
              <w:rPr>
                <w:rFonts w:cs="Times New Roman"/>
                <w:szCs w:val="22"/>
              </w:rPr>
            </w:pPr>
            <w:r w:rsidRPr="007545CC">
              <w:rPr>
                <w:rFonts w:cs="Times New Roman"/>
                <w:szCs w:val="22"/>
              </w:rPr>
              <w:t>612</w:t>
            </w:r>
          </w:p>
        </w:tc>
      </w:tr>
      <w:tr w:rsidR="00962996" w:rsidRPr="00923150" w14:paraId="112066AE" w14:textId="77777777" w:rsidTr="001E36B8">
        <w:trPr>
          <w:trHeight w:val="456"/>
        </w:trPr>
        <w:tc>
          <w:tcPr>
            <w:tcW w:w="4650" w:type="dxa"/>
            <w:tcBorders>
              <w:bottom w:val="single" w:sz="4" w:space="0" w:color="000000"/>
            </w:tcBorders>
            <w:vAlign w:val="bottom"/>
          </w:tcPr>
          <w:p w14:paraId="4A745758" w14:textId="77777777" w:rsidR="00962996" w:rsidRPr="007545CC" w:rsidRDefault="00962996" w:rsidP="001E36B8">
            <w:pPr>
              <w:spacing w:before="60" w:after="60"/>
              <w:ind w:left="284"/>
              <w:rPr>
                <w:rFonts w:cs="Times New Roman"/>
                <w:szCs w:val="22"/>
              </w:rPr>
            </w:pPr>
            <w:r w:rsidRPr="007545CC">
              <w:rPr>
                <w:rFonts w:eastAsia="Times New Roman" w:cs="Times New Roman"/>
                <w:color w:val="000000"/>
                <w:szCs w:val="22"/>
              </w:rPr>
              <w:t>HCFC/CFC Replacements</w:t>
            </w:r>
          </w:p>
        </w:tc>
        <w:tc>
          <w:tcPr>
            <w:tcW w:w="5103" w:type="dxa"/>
            <w:tcBorders>
              <w:bottom w:val="single" w:sz="4" w:space="0" w:color="000000"/>
            </w:tcBorders>
            <w:vAlign w:val="center"/>
          </w:tcPr>
          <w:p w14:paraId="6C4794B2" w14:textId="77777777" w:rsidR="00962996" w:rsidRPr="007545CC" w:rsidRDefault="00962996" w:rsidP="001E36B8">
            <w:pPr>
              <w:spacing w:before="60" w:after="60"/>
              <w:jc w:val="center"/>
              <w:rPr>
                <w:rFonts w:cs="Times New Roman"/>
                <w:szCs w:val="22"/>
              </w:rPr>
            </w:pPr>
            <w:r w:rsidRPr="007545CC">
              <w:rPr>
                <w:rFonts w:cs="Times New Roman"/>
                <w:szCs w:val="22"/>
              </w:rPr>
              <w:t>99</w:t>
            </w:r>
          </w:p>
        </w:tc>
      </w:tr>
      <w:tr w:rsidR="00962996" w:rsidRPr="00923150" w14:paraId="20B2AE41" w14:textId="77777777" w:rsidTr="001E36B8">
        <w:trPr>
          <w:trHeight w:val="456"/>
        </w:trPr>
        <w:tc>
          <w:tcPr>
            <w:tcW w:w="4650" w:type="dxa"/>
            <w:tcBorders>
              <w:bottom w:val="single" w:sz="4" w:space="0" w:color="000000"/>
            </w:tcBorders>
            <w:vAlign w:val="bottom"/>
          </w:tcPr>
          <w:p w14:paraId="230FD7FC" w14:textId="77777777" w:rsidR="00962996" w:rsidRPr="007545CC" w:rsidRDefault="00962996" w:rsidP="001E36B8">
            <w:pPr>
              <w:spacing w:before="60" w:after="60"/>
              <w:ind w:left="284"/>
              <w:rPr>
                <w:rFonts w:cs="Times New Roman"/>
                <w:szCs w:val="22"/>
              </w:rPr>
            </w:pPr>
            <w:r w:rsidRPr="007545CC">
              <w:rPr>
                <w:rFonts w:eastAsia="Times New Roman" w:cs="Times New Roman"/>
                <w:color w:val="000000"/>
                <w:szCs w:val="22"/>
              </w:rPr>
              <w:t>HFC-32</w:t>
            </w:r>
          </w:p>
        </w:tc>
        <w:tc>
          <w:tcPr>
            <w:tcW w:w="5103" w:type="dxa"/>
            <w:tcBorders>
              <w:bottom w:val="single" w:sz="4" w:space="0" w:color="000000"/>
            </w:tcBorders>
            <w:vAlign w:val="center"/>
          </w:tcPr>
          <w:p w14:paraId="31DDAFEC" w14:textId="77777777" w:rsidR="00962996" w:rsidRPr="007545CC" w:rsidRDefault="00962996" w:rsidP="001E36B8">
            <w:pPr>
              <w:spacing w:before="60" w:after="60"/>
              <w:jc w:val="center"/>
              <w:rPr>
                <w:rFonts w:cs="Times New Roman"/>
                <w:szCs w:val="22"/>
              </w:rPr>
            </w:pPr>
            <w:r w:rsidRPr="007545CC">
              <w:rPr>
                <w:rFonts w:cs="Times New Roman"/>
                <w:szCs w:val="22"/>
              </w:rPr>
              <w:t>16</w:t>
            </w:r>
          </w:p>
        </w:tc>
      </w:tr>
      <w:tr w:rsidR="00962996" w:rsidRPr="00923150" w14:paraId="24689BD4" w14:textId="77777777" w:rsidTr="001E36B8">
        <w:trPr>
          <w:trHeight w:val="456"/>
        </w:trPr>
        <w:tc>
          <w:tcPr>
            <w:tcW w:w="4650" w:type="dxa"/>
            <w:tcBorders>
              <w:bottom w:val="double" w:sz="4" w:space="0" w:color="auto"/>
            </w:tcBorders>
            <w:vAlign w:val="center"/>
          </w:tcPr>
          <w:p w14:paraId="01D3ABF7" w14:textId="77777777" w:rsidR="00962996" w:rsidRPr="007545CC" w:rsidRDefault="00962996" w:rsidP="001E36B8">
            <w:pPr>
              <w:spacing w:before="60" w:after="60"/>
              <w:ind w:left="284"/>
              <w:rPr>
                <w:rFonts w:cs="Times New Roman"/>
                <w:szCs w:val="22"/>
              </w:rPr>
            </w:pPr>
            <w:r w:rsidRPr="007545CC">
              <w:rPr>
                <w:rFonts w:cs="Times New Roman"/>
                <w:szCs w:val="22"/>
              </w:rPr>
              <w:t>HFC-Mix</w:t>
            </w:r>
          </w:p>
        </w:tc>
        <w:tc>
          <w:tcPr>
            <w:tcW w:w="5103" w:type="dxa"/>
            <w:tcBorders>
              <w:bottom w:val="double" w:sz="4" w:space="0" w:color="auto"/>
            </w:tcBorders>
            <w:vAlign w:val="center"/>
          </w:tcPr>
          <w:p w14:paraId="3078C69F" w14:textId="77777777" w:rsidR="00962996" w:rsidRPr="007545CC" w:rsidRDefault="00962996" w:rsidP="001E36B8">
            <w:pPr>
              <w:spacing w:before="60" w:after="60"/>
              <w:jc w:val="center"/>
              <w:rPr>
                <w:rFonts w:cs="Times New Roman"/>
                <w:szCs w:val="22"/>
              </w:rPr>
            </w:pPr>
            <w:r>
              <w:rPr>
                <w:rFonts w:cs="Times New Roman"/>
                <w:szCs w:val="22"/>
              </w:rPr>
              <w:t xml:space="preserve">   </w:t>
            </w:r>
            <w:r w:rsidRPr="007545CC">
              <w:rPr>
                <w:rFonts w:cs="Times New Roman"/>
                <w:szCs w:val="22"/>
              </w:rPr>
              <w:t xml:space="preserve">190 </w:t>
            </w:r>
            <w:r w:rsidRPr="007545CC">
              <w:rPr>
                <w:rFonts w:cs="Times New Roman"/>
                <w:szCs w:val="22"/>
                <w:vertAlign w:val="superscript"/>
              </w:rPr>
              <w:t>(2)</w:t>
            </w:r>
          </w:p>
        </w:tc>
      </w:tr>
      <w:tr w:rsidR="00962996" w:rsidRPr="00923150" w14:paraId="060C82A7" w14:textId="77777777" w:rsidTr="001E36B8">
        <w:trPr>
          <w:trHeight w:val="456"/>
        </w:trPr>
        <w:tc>
          <w:tcPr>
            <w:tcW w:w="4650" w:type="dxa"/>
            <w:tcBorders>
              <w:top w:val="double" w:sz="4" w:space="0" w:color="auto"/>
            </w:tcBorders>
            <w:vAlign w:val="center"/>
          </w:tcPr>
          <w:p w14:paraId="5C2EEB3B" w14:textId="77777777" w:rsidR="00962996" w:rsidRDefault="00962996" w:rsidP="001E36B8">
            <w:pPr>
              <w:spacing w:before="60" w:after="60"/>
              <w:ind w:left="284"/>
              <w:rPr>
                <w:sz w:val="20"/>
              </w:rPr>
            </w:pPr>
            <w:r w:rsidRPr="00E4485D">
              <w:t xml:space="preserve"> Total</w:t>
            </w:r>
          </w:p>
        </w:tc>
        <w:tc>
          <w:tcPr>
            <w:tcW w:w="5103" w:type="dxa"/>
            <w:tcBorders>
              <w:top w:val="double" w:sz="4" w:space="0" w:color="auto"/>
            </w:tcBorders>
            <w:vAlign w:val="center"/>
          </w:tcPr>
          <w:p w14:paraId="0F0320C3" w14:textId="77777777" w:rsidR="00962996" w:rsidRPr="007545CC" w:rsidRDefault="00962996" w:rsidP="001E36B8">
            <w:pPr>
              <w:spacing w:before="60" w:after="60"/>
              <w:jc w:val="center"/>
              <w:rPr>
                <w:sz w:val="20"/>
              </w:rPr>
            </w:pPr>
            <w:r w:rsidRPr="007545CC">
              <w:rPr>
                <w:sz w:val="20"/>
              </w:rPr>
              <w:t>3,449</w:t>
            </w:r>
          </w:p>
        </w:tc>
      </w:tr>
    </w:tbl>
    <w:p w14:paraId="28FD01C8" w14:textId="46A5F52B" w:rsidR="00962996" w:rsidRPr="007545CC" w:rsidRDefault="00962996" w:rsidP="00FC735C">
      <w:pPr>
        <w:pStyle w:val="ListParagraph"/>
        <w:numPr>
          <w:ilvl w:val="0"/>
          <w:numId w:val="26"/>
        </w:numPr>
        <w:spacing w:before="120" w:after="0" w:line="240" w:lineRule="auto"/>
        <w:contextualSpacing w:val="0"/>
        <w:jc w:val="both"/>
        <w:rPr>
          <w:rFonts w:ascii="Times New Roman" w:hAnsi="Times New Roman"/>
          <w:sz w:val="20"/>
          <w:szCs w:val="20"/>
        </w:rPr>
      </w:pPr>
      <w:r>
        <w:rPr>
          <w:rFonts w:ascii="Times New Roman" w:hAnsi="Times New Roman"/>
          <w:sz w:val="20"/>
          <w:szCs w:val="20"/>
        </w:rPr>
        <w:t>Maximum imports for 2016 are capped at 2.5</w:t>
      </w:r>
      <w:r w:rsidRPr="007545CC">
        <w:rPr>
          <w:rFonts w:ascii="Times New Roman" w:hAnsi="Times New Roman"/>
          <w:sz w:val="20"/>
          <w:szCs w:val="20"/>
        </w:rPr>
        <w:t xml:space="preserve"> ODP tonnes, which equates to 45.5 </w:t>
      </w:r>
      <w:r>
        <w:rPr>
          <w:rFonts w:ascii="Times New Roman" w:hAnsi="Times New Roman"/>
          <w:sz w:val="20"/>
          <w:szCs w:val="20"/>
        </w:rPr>
        <w:t xml:space="preserve">metric </w:t>
      </w:r>
      <w:r w:rsidRPr="007545CC">
        <w:rPr>
          <w:rFonts w:ascii="Times New Roman" w:hAnsi="Times New Roman"/>
          <w:sz w:val="20"/>
          <w:szCs w:val="20"/>
        </w:rPr>
        <w:t xml:space="preserve">tonnes of HCFC-22. The additional 210 tonnes refrigerant has been </w:t>
      </w:r>
      <w:r w:rsidR="000B09BB">
        <w:rPr>
          <w:rFonts w:ascii="Times New Roman" w:hAnsi="Times New Roman"/>
          <w:sz w:val="20"/>
          <w:szCs w:val="20"/>
        </w:rPr>
        <w:t>reclaimed</w:t>
      </w:r>
      <w:r w:rsidRPr="007545CC">
        <w:rPr>
          <w:rFonts w:ascii="Times New Roman" w:hAnsi="Times New Roman"/>
          <w:sz w:val="20"/>
          <w:szCs w:val="20"/>
        </w:rPr>
        <w:t xml:space="preserve"> to AHRI 700 standard and resold. There would be additional HCFC-22 recovered by contractors and re-used.</w:t>
      </w:r>
    </w:p>
    <w:p w14:paraId="0D3A2994" w14:textId="744576D6" w:rsidR="00962996" w:rsidRPr="007545CC" w:rsidRDefault="00962996" w:rsidP="00FC735C">
      <w:pPr>
        <w:pStyle w:val="ListParagraph"/>
        <w:numPr>
          <w:ilvl w:val="0"/>
          <w:numId w:val="26"/>
        </w:numPr>
        <w:spacing w:before="120" w:after="0" w:line="240" w:lineRule="auto"/>
        <w:contextualSpacing w:val="0"/>
        <w:jc w:val="both"/>
        <w:rPr>
          <w:rFonts w:ascii="Times New Roman" w:hAnsi="Times New Roman"/>
          <w:sz w:val="20"/>
          <w:szCs w:val="20"/>
        </w:rPr>
      </w:pPr>
      <w:r w:rsidRPr="007545CC">
        <w:rPr>
          <w:rFonts w:ascii="Times New Roman" w:hAnsi="Times New Roman"/>
          <w:sz w:val="20"/>
          <w:szCs w:val="20"/>
        </w:rPr>
        <w:t xml:space="preserve">Majority comprises used in </w:t>
      </w:r>
      <w:r w:rsidR="006437AA">
        <w:rPr>
          <w:rFonts w:ascii="Times New Roman" w:hAnsi="Times New Roman"/>
          <w:sz w:val="20"/>
          <w:szCs w:val="20"/>
        </w:rPr>
        <w:t>f</w:t>
      </w:r>
      <w:r w:rsidRPr="007545CC">
        <w:rPr>
          <w:rFonts w:ascii="Times New Roman" w:hAnsi="Times New Roman"/>
          <w:sz w:val="20"/>
          <w:szCs w:val="20"/>
        </w:rPr>
        <w:t xml:space="preserve">oam and </w:t>
      </w:r>
      <w:r w:rsidR="006437AA">
        <w:rPr>
          <w:rFonts w:ascii="Times New Roman" w:hAnsi="Times New Roman"/>
          <w:sz w:val="20"/>
          <w:szCs w:val="20"/>
        </w:rPr>
        <w:t>f</w:t>
      </w:r>
      <w:r w:rsidRPr="007545CC">
        <w:rPr>
          <w:rFonts w:ascii="Times New Roman" w:hAnsi="Times New Roman"/>
          <w:sz w:val="20"/>
          <w:szCs w:val="20"/>
        </w:rPr>
        <w:t xml:space="preserve">ire </w:t>
      </w:r>
      <w:r w:rsidR="006437AA">
        <w:rPr>
          <w:rFonts w:ascii="Times New Roman" w:hAnsi="Times New Roman"/>
          <w:sz w:val="20"/>
          <w:szCs w:val="20"/>
        </w:rPr>
        <w:t>p</w:t>
      </w:r>
      <w:r w:rsidRPr="007545CC">
        <w:rPr>
          <w:rFonts w:ascii="Times New Roman" w:hAnsi="Times New Roman"/>
          <w:sz w:val="20"/>
          <w:szCs w:val="20"/>
        </w:rPr>
        <w:t>rotection applications as well as 24 tonnes of HFC-125</w:t>
      </w:r>
      <w:r>
        <w:rPr>
          <w:rFonts w:ascii="Times New Roman" w:hAnsi="Times New Roman"/>
          <w:sz w:val="20"/>
          <w:szCs w:val="20"/>
        </w:rPr>
        <w:t xml:space="preserve"> that could be used in refrigerant blends</w:t>
      </w:r>
      <w:r w:rsidRPr="007545CC">
        <w:rPr>
          <w:rFonts w:ascii="Times New Roman" w:hAnsi="Times New Roman"/>
          <w:sz w:val="20"/>
          <w:szCs w:val="20"/>
        </w:rPr>
        <w:t xml:space="preserve">. </w:t>
      </w:r>
    </w:p>
    <w:p w14:paraId="0B59D707" w14:textId="77777777" w:rsidR="00962996" w:rsidRPr="007F3EA8" w:rsidRDefault="00962996" w:rsidP="00962996">
      <w:pPr>
        <w:rPr>
          <w:szCs w:val="22"/>
        </w:rPr>
      </w:pPr>
      <w:r w:rsidRPr="007F3EA8">
        <w:rPr>
          <w:szCs w:val="22"/>
        </w:rPr>
        <w:t xml:space="preserve"> </w:t>
      </w:r>
    </w:p>
    <w:p w14:paraId="50B0282C" w14:textId="45C656CF" w:rsidR="00E26F44" w:rsidRDefault="00962996" w:rsidP="00962996">
      <w:pPr>
        <w:rPr>
          <w:szCs w:val="22"/>
        </w:rPr>
      </w:pPr>
      <w:r>
        <w:rPr>
          <w:szCs w:val="22"/>
        </w:rPr>
        <w:t>Since 2012 the introduction of HFC-32 into small stationary AC has had the effect of capping growth in HFC-410A</w:t>
      </w:r>
      <w:r w:rsidR="00E26F44">
        <w:rPr>
          <w:szCs w:val="22"/>
        </w:rPr>
        <w:t>,</w:t>
      </w:r>
      <w:r>
        <w:rPr>
          <w:szCs w:val="22"/>
        </w:rPr>
        <w:t xml:space="preserve"> while HFC-32 PCE imports have started to become a noticeable and rapidly increasing portion of the bank. </w:t>
      </w:r>
    </w:p>
    <w:p w14:paraId="109AED3B" w14:textId="20BE8C08" w:rsidR="00962996" w:rsidRPr="007F3EA8" w:rsidRDefault="00962996" w:rsidP="00962996">
      <w:pPr>
        <w:rPr>
          <w:szCs w:val="22"/>
        </w:rPr>
      </w:pPr>
      <w:r w:rsidRPr="00F22D9D">
        <w:rPr>
          <w:szCs w:val="22"/>
        </w:rPr>
        <w:t xml:space="preserve">The HFC-32 bank has grown from zero in 2013 to 1,040 tonnes by the </w:t>
      </w:r>
      <w:r w:rsidR="00F22D9D" w:rsidRPr="00F22D9D">
        <w:rPr>
          <w:szCs w:val="22"/>
        </w:rPr>
        <w:t>end of 2016 and</w:t>
      </w:r>
      <w:r w:rsidRPr="00F22D9D">
        <w:rPr>
          <w:szCs w:val="22"/>
        </w:rPr>
        <w:t xml:space="preserve"> is </w:t>
      </w:r>
      <w:r w:rsidR="00F22D9D">
        <w:rPr>
          <w:szCs w:val="22"/>
        </w:rPr>
        <w:t>approaching the</w:t>
      </w:r>
      <w:r w:rsidRPr="00F22D9D">
        <w:rPr>
          <w:szCs w:val="22"/>
        </w:rPr>
        <w:t xml:space="preserve"> tonnage </w:t>
      </w:r>
      <w:r w:rsidR="00F22D9D">
        <w:rPr>
          <w:szCs w:val="22"/>
        </w:rPr>
        <w:t xml:space="preserve">of </w:t>
      </w:r>
      <w:r w:rsidRPr="00F22D9D">
        <w:rPr>
          <w:szCs w:val="22"/>
        </w:rPr>
        <w:t xml:space="preserve">HFC-407C with </w:t>
      </w:r>
      <w:r w:rsidR="00F22D9D" w:rsidRPr="00F22D9D">
        <w:rPr>
          <w:szCs w:val="22"/>
        </w:rPr>
        <w:t>1</w:t>
      </w:r>
      <w:r w:rsidRPr="00F22D9D">
        <w:rPr>
          <w:szCs w:val="22"/>
        </w:rPr>
        <w:t>,</w:t>
      </w:r>
      <w:r w:rsidR="00F22D9D" w:rsidRPr="00F22D9D">
        <w:rPr>
          <w:szCs w:val="22"/>
        </w:rPr>
        <w:t>340</w:t>
      </w:r>
      <w:r w:rsidRPr="00F22D9D">
        <w:rPr>
          <w:szCs w:val="22"/>
        </w:rPr>
        <w:t xml:space="preserve"> tonnes</w:t>
      </w:r>
      <w:r w:rsidR="00F22D9D">
        <w:rPr>
          <w:szCs w:val="22"/>
        </w:rPr>
        <w:t xml:space="preserve"> in 2016</w:t>
      </w:r>
      <w:r w:rsidRPr="00F22D9D">
        <w:rPr>
          <w:szCs w:val="22"/>
        </w:rPr>
        <w:t>.</w:t>
      </w:r>
      <w:r>
        <w:rPr>
          <w:szCs w:val="22"/>
        </w:rPr>
        <w:t xml:space="preserve"> This trend is predicted to accelerate with PCE charged with HFC-410A expected to level off before declining in the five years ahead as HFC-32 and other alternatives are adopted by more equipment manufacturers and accelerate </w:t>
      </w:r>
      <w:r w:rsidR="00B3467F">
        <w:rPr>
          <w:szCs w:val="22"/>
        </w:rPr>
        <w:t>their</w:t>
      </w:r>
      <w:r>
        <w:rPr>
          <w:szCs w:val="22"/>
        </w:rPr>
        <w:t xml:space="preserve"> growth in the bank.</w:t>
      </w:r>
    </w:p>
    <w:p w14:paraId="228BA110" w14:textId="27ECDD97" w:rsidR="00962996" w:rsidRDefault="00962996" w:rsidP="00962996">
      <w:pPr>
        <w:rPr>
          <w:szCs w:val="22"/>
        </w:rPr>
      </w:pPr>
      <w:r>
        <w:rPr>
          <w:szCs w:val="22"/>
        </w:rPr>
        <w:t>A very small proportion (&lt;2</w:t>
      </w:r>
      <w:r w:rsidR="00C9319D">
        <w:rPr>
          <w:szCs w:val="22"/>
        </w:rPr>
        <w:t>%</w:t>
      </w:r>
      <w:r>
        <w:rPr>
          <w:szCs w:val="22"/>
        </w:rPr>
        <w:t>)</w:t>
      </w:r>
      <w:r w:rsidRPr="007F3EA8">
        <w:rPr>
          <w:szCs w:val="22"/>
        </w:rPr>
        <w:t xml:space="preserve"> of bulk imports are </w:t>
      </w:r>
      <w:r>
        <w:rPr>
          <w:szCs w:val="22"/>
        </w:rPr>
        <w:t>used</w:t>
      </w:r>
      <w:r w:rsidRPr="007F3EA8">
        <w:rPr>
          <w:szCs w:val="22"/>
        </w:rPr>
        <w:t xml:space="preserve"> in applications that are not refrigeration or air conditioning and do not form part of the </w:t>
      </w:r>
      <w:r w:rsidR="009F4CB3">
        <w:rPr>
          <w:szCs w:val="22"/>
        </w:rPr>
        <w:t>refrigerant bank</w:t>
      </w:r>
      <w:r w:rsidRPr="007F3EA8">
        <w:rPr>
          <w:szCs w:val="22"/>
        </w:rPr>
        <w:t xml:space="preserve">, such as </w:t>
      </w:r>
      <w:r>
        <w:rPr>
          <w:szCs w:val="22"/>
        </w:rPr>
        <w:t xml:space="preserve">in </w:t>
      </w:r>
      <w:r w:rsidRPr="007F3EA8">
        <w:rPr>
          <w:szCs w:val="22"/>
        </w:rPr>
        <w:t xml:space="preserve">fire protection systems and </w:t>
      </w:r>
      <w:r>
        <w:rPr>
          <w:szCs w:val="22"/>
        </w:rPr>
        <w:t xml:space="preserve">in </w:t>
      </w:r>
      <w:r w:rsidRPr="007F3EA8">
        <w:rPr>
          <w:szCs w:val="22"/>
        </w:rPr>
        <w:t xml:space="preserve">aerosols. </w:t>
      </w:r>
    </w:p>
    <w:p w14:paraId="61AEB83B" w14:textId="490EE1A0" w:rsidR="00962996" w:rsidRPr="007F3EA8" w:rsidRDefault="009F5EAE" w:rsidP="00962996">
      <w:pPr>
        <w:rPr>
          <w:szCs w:val="22"/>
        </w:rPr>
      </w:pPr>
      <w:r w:rsidRPr="007F3EA8">
        <w:rPr>
          <w:szCs w:val="22"/>
        </w:rPr>
        <w:t>Additionally,</w:t>
      </w:r>
      <w:r w:rsidR="00962996" w:rsidRPr="007F3EA8">
        <w:rPr>
          <w:szCs w:val="22"/>
        </w:rPr>
        <w:t xml:space="preserve"> it is estimated that around 100 to 120</w:t>
      </w:r>
      <w:r w:rsidR="00962996">
        <w:rPr>
          <w:szCs w:val="22"/>
        </w:rPr>
        <w:t xml:space="preserve"> tonnes</w:t>
      </w:r>
      <w:r w:rsidR="00962996" w:rsidRPr="007F3EA8">
        <w:rPr>
          <w:szCs w:val="22"/>
        </w:rPr>
        <w:t xml:space="preserve"> of HFCs are </w:t>
      </w:r>
      <w:r w:rsidR="00962996">
        <w:rPr>
          <w:szCs w:val="22"/>
        </w:rPr>
        <w:t>re-</w:t>
      </w:r>
      <w:r w:rsidR="00962996" w:rsidRPr="007F3EA8">
        <w:rPr>
          <w:szCs w:val="22"/>
        </w:rPr>
        <w:t xml:space="preserve">exported, mostly in shipping vessels and in pre-charged equipment (i.e. </w:t>
      </w:r>
      <w:r w:rsidR="00962996" w:rsidRPr="005832AC">
        <w:rPr>
          <w:szCs w:val="22"/>
        </w:rPr>
        <w:t>~30 tonnes in 50,000 motor vehicles in 2016</w:t>
      </w:r>
      <w:r w:rsidR="00962996">
        <w:rPr>
          <w:szCs w:val="22"/>
        </w:rPr>
        <w:t>, plus some stationary AC</w:t>
      </w:r>
      <w:r w:rsidR="00962996" w:rsidRPr="007F3EA8">
        <w:rPr>
          <w:szCs w:val="22"/>
        </w:rPr>
        <w:t>).</w:t>
      </w:r>
      <w:r w:rsidR="005832AC">
        <w:rPr>
          <w:szCs w:val="22"/>
        </w:rPr>
        <w:t xml:space="preserve"> This value will decline with the closure of local automotive manufacturing. </w:t>
      </w:r>
    </w:p>
    <w:p w14:paraId="22AC8F73" w14:textId="77777777" w:rsidR="00962996" w:rsidRDefault="00962996" w:rsidP="00962996"/>
    <w:p w14:paraId="5107E6E6" w14:textId="1EB6CF05" w:rsidR="00962996" w:rsidRPr="00B23FC5" w:rsidRDefault="00962996" w:rsidP="002413D9">
      <w:pPr>
        <w:pStyle w:val="Heading2"/>
      </w:pPr>
      <w:bookmarkStart w:id="140" w:name="_Toc525141292"/>
      <w:r>
        <w:t xml:space="preserve">Refrigerant use </w:t>
      </w:r>
      <w:r w:rsidR="000F6CD8">
        <w:t xml:space="preserve">projection from </w:t>
      </w:r>
      <w:r>
        <w:t>2016 to 2030</w:t>
      </w:r>
      <w:bookmarkEnd w:id="140"/>
    </w:p>
    <w:p w14:paraId="297A2C46" w14:textId="3D5F3F10" w:rsidR="00E824E1" w:rsidRDefault="00962996" w:rsidP="00962996">
      <w:pPr>
        <w:rPr>
          <w:szCs w:val="22"/>
        </w:rPr>
      </w:pPr>
      <w:r w:rsidRPr="009C0BC1">
        <w:rPr>
          <w:szCs w:val="22"/>
        </w:rPr>
        <w:t>In 2016</w:t>
      </w:r>
      <w:r w:rsidR="00B3467F">
        <w:rPr>
          <w:szCs w:val="22"/>
        </w:rPr>
        <w:t xml:space="preserve"> usage was</w:t>
      </w:r>
      <w:r w:rsidRPr="009C0BC1">
        <w:rPr>
          <w:szCs w:val="22"/>
        </w:rPr>
        <w:t xml:space="preserve"> approximately </w:t>
      </w:r>
      <w:r w:rsidR="000B09BB">
        <w:rPr>
          <w:szCs w:val="22"/>
        </w:rPr>
        <w:t>3,535</w:t>
      </w:r>
      <w:r w:rsidRPr="009C0BC1">
        <w:rPr>
          <w:szCs w:val="22"/>
        </w:rPr>
        <w:t xml:space="preserve"> tonnes of </w:t>
      </w:r>
      <w:r w:rsidR="000B09BB">
        <w:rPr>
          <w:szCs w:val="22"/>
        </w:rPr>
        <w:t>HCFCs and HFCs</w:t>
      </w:r>
      <w:r w:rsidR="00B3467F">
        <w:rPr>
          <w:szCs w:val="22"/>
        </w:rPr>
        <w:t>,</w:t>
      </w:r>
      <w:r w:rsidR="000B09BB">
        <w:rPr>
          <w:szCs w:val="22"/>
        </w:rPr>
        <w:t xml:space="preserve"> plus </w:t>
      </w:r>
      <w:r w:rsidR="004B22D8">
        <w:rPr>
          <w:szCs w:val="22"/>
        </w:rPr>
        <w:t xml:space="preserve">around 770 </w:t>
      </w:r>
      <w:r w:rsidR="000B09BB">
        <w:rPr>
          <w:szCs w:val="22"/>
        </w:rPr>
        <w:t>tonnes of natural refrigerants (</w:t>
      </w:r>
      <w:r w:rsidR="004B22D8">
        <w:rPr>
          <w:szCs w:val="22"/>
        </w:rPr>
        <w:t>577 tonnes of ammonia</w:t>
      </w:r>
      <w:r w:rsidR="000B09BB">
        <w:rPr>
          <w:szCs w:val="22"/>
        </w:rPr>
        <w:t xml:space="preserve">, </w:t>
      </w:r>
      <w:r w:rsidR="004B22D8">
        <w:rPr>
          <w:szCs w:val="22"/>
        </w:rPr>
        <w:t>120</w:t>
      </w:r>
      <w:r w:rsidR="000B09BB">
        <w:rPr>
          <w:szCs w:val="22"/>
        </w:rPr>
        <w:t xml:space="preserve"> tonnes of CO</w:t>
      </w:r>
      <w:r w:rsidR="000B09BB" w:rsidRPr="00E824E1">
        <w:rPr>
          <w:szCs w:val="22"/>
          <w:vertAlign w:val="subscript"/>
        </w:rPr>
        <w:t>2</w:t>
      </w:r>
      <w:r w:rsidR="000B09BB">
        <w:rPr>
          <w:szCs w:val="22"/>
        </w:rPr>
        <w:t xml:space="preserve"> and</w:t>
      </w:r>
      <w:r w:rsidR="004B22D8">
        <w:rPr>
          <w:szCs w:val="22"/>
        </w:rPr>
        <w:t xml:space="preserve"> 72 tonnes of HC</w:t>
      </w:r>
      <w:r w:rsidR="00E824E1">
        <w:rPr>
          <w:szCs w:val="22"/>
        </w:rPr>
        <w:t>).</w:t>
      </w:r>
    </w:p>
    <w:p w14:paraId="3731E145" w14:textId="4873F619" w:rsidR="00962996" w:rsidRPr="009C0BC1" w:rsidRDefault="00962996" w:rsidP="00962996">
      <w:pPr>
        <w:rPr>
          <w:szCs w:val="22"/>
        </w:rPr>
      </w:pPr>
      <w:r w:rsidRPr="009C0BC1">
        <w:rPr>
          <w:szCs w:val="22"/>
        </w:rPr>
        <w:t xml:space="preserve">This </w:t>
      </w:r>
      <w:r w:rsidR="004B22D8">
        <w:rPr>
          <w:szCs w:val="22"/>
        </w:rPr>
        <w:t>use of HCFCs and HFCs</w:t>
      </w:r>
      <w:r w:rsidRPr="009C0BC1">
        <w:rPr>
          <w:szCs w:val="22"/>
        </w:rPr>
        <w:t xml:space="preserve"> is projected to </w:t>
      </w:r>
      <w:r w:rsidR="004B22D8">
        <w:rPr>
          <w:szCs w:val="22"/>
        </w:rPr>
        <w:t xml:space="preserve">decline by almost 24% to around 2,700 tonnes </w:t>
      </w:r>
      <w:r w:rsidRPr="009C0BC1">
        <w:rPr>
          <w:szCs w:val="22"/>
        </w:rPr>
        <w:t xml:space="preserve">of refrigerants in 2030. </w:t>
      </w:r>
      <w:r w:rsidR="004B22D8">
        <w:rPr>
          <w:szCs w:val="22"/>
        </w:rPr>
        <w:t>Overall refrigerant usage is projected to increase over the projection period with HFOs and natural refrigerants accounting for the growth.</w:t>
      </w:r>
    </w:p>
    <w:p w14:paraId="0F9BD422" w14:textId="75949E7B" w:rsidR="00962996" w:rsidRPr="009C0BC1" w:rsidRDefault="00962996" w:rsidP="00962996">
      <w:pPr>
        <w:rPr>
          <w:szCs w:val="22"/>
        </w:rPr>
      </w:pPr>
      <w:r w:rsidRPr="009C0BC1">
        <w:rPr>
          <w:szCs w:val="22"/>
        </w:rPr>
        <w:t>In line with the decrease of the CO</w:t>
      </w:r>
      <w:r w:rsidRPr="009C0BC1">
        <w:rPr>
          <w:szCs w:val="22"/>
          <w:vertAlign w:val="subscript"/>
        </w:rPr>
        <w:t>2</w:t>
      </w:r>
      <w:r w:rsidRPr="009C0BC1">
        <w:rPr>
          <w:szCs w:val="22"/>
        </w:rPr>
        <w:t xml:space="preserve">e value of the bank, and </w:t>
      </w:r>
      <w:r w:rsidR="009467F3" w:rsidRPr="009C0BC1">
        <w:rPr>
          <w:szCs w:val="22"/>
        </w:rPr>
        <w:t xml:space="preserve">direct emissions, </w:t>
      </w:r>
      <w:r w:rsidRPr="009C0BC1">
        <w:rPr>
          <w:szCs w:val="22"/>
        </w:rPr>
        <w:t>the CO</w:t>
      </w:r>
      <w:r w:rsidRPr="009C0BC1">
        <w:rPr>
          <w:szCs w:val="22"/>
          <w:vertAlign w:val="subscript"/>
        </w:rPr>
        <w:t>2</w:t>
      </w:r>
      <w:r w:rsidRPr="009C0BC1">
        <w:rPr>
          <w:szCs w:val="22"/>
        </w:rPr>
        <w:t xml:space="preserve">e value of refrigerants </w:t>
      </w:r>
      <w:r w:rsidR="007E0A92" w:rsidRPr="009C0BC1">
        <w:rPr>
          <w:szCs w:val="22"/>
        </w:rPr>
        <w:t>used</w:t>
      </w:r>
      <w:r w:rsidRPr="009C0BC1">
        <w:rPr>
          <w:szCs w:val="22"/>
        </w:rPr>
        <w:t xml:space="preserve"> is expected to drop by more than 4</w:t>
      </w:r>
      <w:r w:rsidR="004B22D8">
        <w:rPr>
          <w:szCs w:val="22"/>
        </w:rPr>
        <w:t>7</w:t>
      </w:r>
      <w:r w:rsidRPr="009C0BC1">
        <w:rPr>
          <w:szCs w:val="22"/>
        </w:rPr>
        <w:t>% from around 8.</w:t>
      </w:r>
      <w:r w:rsidR="00C717D4">
        <w:rPr>
          <w:szCs w:val="22"/>
        </w:rPr>
        <w:t>0</w:t>
      </w:r>
      <w:r w:rsidRPr="009C0BC1">
        <w:rPr>
          <w:szCs w:val="22"/>
        </w:rPr>
        <w:t xml:space="preserve"> million tonnes CO</w:t>
      </w:r>
      <w:r w:rsidRPr="009C0BC1">
        <w:rPr>
          <w:szCs w:val="22"/>
          <w:vertAlign w:val="subscript"/>
        </w:rPr>
        <w:t>2</w:t>
      </w:r>
      <w:r w:rsidRPr="009C0BC1">
        <w:rPr>
          <w:szCs w:val="22"/>
        </w:rPr>
        <w:t>e, to around 4.</w:t>
      </w:r>
      <w:r w:rsidR="00C717D4">
        <w:rPr>
          <w:szCs w:val="22"/>
        </w:rPr>
        <w:t>2</w:t>
      </w:r>
      <w:r w:rsidRPr="009C0BC1">
        <w:rPr>
          <w:szCs w:val="22"/>
        </w:rPr>
        <w:t xml:space="preserve"> million tonnes CO</w:t>
      </w:r>
      <w:r w:rsidRPr="009C0BC1">
        <w:rPr>
          <w:szCs w:val="22"/>
          <w:vertAlign w:val="subscript"/>
        </w:rPr>
        <w:t>2</w:t>
      </w:r>
      <w:r w:rsidRPr="009C0BC1">
        <w:rPr>
          <w:szCs w:val="22"/>
        </w:rPr>
        <w:t>e</w:t>
      </w:r>
      <w:r w:rsidR="00B3467F">
        <w:rPr>
          <w:szCs w:val="22"/>
        </w:rPr>
        <w:t xml:space="preserve"> in 2030</w:t>
      </w:r>
      <w:r w:rsidRPr="009C0BC1">
        <w:rPr>
          <w:szCs w:val="22"/>
        </w:rPr>
        <w:t>.</w:t>
      </w:r>
    </w:p>
    <w:p w14:paraId="6825DB70" w14:textId="2893C9EA" w:rsidR="00962996" w:rsidRDefault="00962996" w:rsidP="00962996">
      <w:pPr>
        <w:rPr>
          <w:szCs w:val="22"/>
        </w:rPr>
      </w:pPr>
      <w:r w:rsidRPr="009C0BC1">
        <w:rPr>
          <w:szCs w:val="22"/>
        </w:rPr>
        <w:t xml:space="preserve">As annual refrigerant use is largely for </w:t>
      </w:r>
      <w:r w:rsidR="00C717D4">
        <w:rPr>
          <w:szCs w:val="22"/>
        </w:rPr>
        <w:t xml:space="preserve">servicing </w:t>
      </w:r>
      <w:r w:rsidRPr="009C0BC1">
        <w:rPr>
          <w:szCs w:val="22"/>
        </w:rPr>
        <w:t>equipment</w:t>
      </w:r>
      <w:r w:rsidR="00C717D4">
        <w:rPr>
          <w:szCs w:val="22"/>
        </w:rPr>
        <w:t>, it</w:t>
      </w:r>
      <w:r w:rsidRPr="009C0BC1">
        <w:rPr>
          <w:szCs w:val="22"/>
        </w:rPr>
        <w:t xml:space="preserve"> includes some amount of every type of refrigerant in the economy.</w:t>
      </w:r>
    </w:p>
    <w:p w14:paraId="5ED562AB" w14:textId="77777777" w:rsidR="001E7E4A" w:rsidRDefault="001E7E4A" w:rsidP="00962996">
      <w:pPr>
        <w:rPr>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962996" w:rsidRPr="00613398" w14:paraId="24387A2C" w14:textId="77777777" w:rsidTr="001E36B8">
        <w:tc>
          <w:tcPr>
            <w:tcW w:w="9759" w:type="dxa"/>
            <w:vAlign w:val="center"/>
          </w:tcPr>
          <w:p w14:paraId="7DC25B60" w14:textId="7D4315B1" w:rsidR="00962996" w:rsidRPr="000A23F9" w:rsidRDefault="00C91D3D" w:rsidP="001E36B8">
            <w:pPr>
              <w:spacing w:after="120"/>
              <w:jc w:val="center"/>
              <w:rPr>
                <w:rFonts w:cs="Times New Roman"/>
                <w:b/>
              </w:rPr>
            </w:pPr>
            <w:r>
              <w:rPr>
                <w:rFonts w:cs="Times New Roman"/>
              </w:rPr>
              <w:br w:type="page"/>
            </w:r>
            <w:r w:rsidR="00962996" w:rsidRPr="000A23F9">
              <w:rPr>
                <w:rFonts w:cs="Times New Roman"/>
                <w:b/>
              </w:rPr>
              <w:br w:type="page"/>
            </w:r>
            <w:r w:rsidR="00A0109B">
              <w:rPr>
                <w:rFonts w:cs="Times New Roman"/>
                <w:b/>
              </w:rPr>
              <w:t>Refrigerant u</w:t>
            </w:r>
            <w:r w:rsidR="00962996">
              <w:rPr>
                <w:rFonts w:cs="Times New Roman"/>
                <w:b/>
              </w:rPr>
              <w:t>sage (</w:t>
            </w:r>
            <w:r w:rsidR="00A0109B">
              <w:rPr>
                <w:rFonts w:cs="Times New Roman"/>
                <w:b/>
              </w:rPr>
              <w:t>a</w:t>
            </w:r>
            <w:r w:rsidR="00962996">
              <w:rPr>
                <w:rFonts w:cs="Times New Roman"/>
                <w:b/>
              </w:rPr>
              <w:t xml:space="preserve">ctual) by </w:t>
            </w:r>
            <w:r w:rsidR="00A0109B">
              <w:rPr>
                <w:rFonts w:cs="Times New Roman"/>
                <w:b/>
              </w:rPr>
              <w:t>s</w:t>
            </w:r>
            <w:r w:rsidR="00962996">
              <w:rPr>
                <w:rFonts w:cs="Times New Roman"/>
                <w:b/>
              </w:rPr>
              <w:t xml:space="preserve">pecies from </w:t>
            </w:r>
            <w:r w:rsidR="00962996" w:rsidRPr="000A23F9">
              <w:rPr>
                <w:rFonts w:cs="Times New Roman"/>
                <w:b/>
              </w:rPr>
              <w:t>201</w:t>
            </w:r>
            <w:r w:rsidR="00962996">
              <w:rPr>
                <w:rFonts w:cs="Times New Roman"/>
                <w:b/>
              </w:rPr>
              <w:t>6</w:t>
            </w:r>
            <w:r w:rsidR="00962996" w:rsidRPr="000A23F9">
              <w:rPr>
                <w:rFonts w:cs="Times New Roman"/>
                <w:b/>
              </w:rPr>
              <w:t xml:space="preserve"> to 20</w:t>
            </w:r>
            <w:r w:rsidR="00962996">
              <w:rPr>
                <w:rFonts w:cs="Times New Roman"/>
                <w:b/>
              </w:rPr>
              <w:t>30</w:t>
            </w:r>
            <w:r w:rsidR="00962996" w:rsidRPr="000A23F9">
              <w:rPr>
                <w:rFonts w:cs="Times New Roman"/>
                <w:b/>
              </w:rPr>
              <w:t xml:space="preserve"> (</w:t>
            </w:r>
            <w:r w:rsidR="00A0109B">
              <w:rPr>
                <w:rFonts w:cs="Times New Roman"/>
                <w:b/>
              </w:rPr>
              <w:t>t</w:t>
            </w:r>
            <w:r w:rsidR="00962996" w:rsidRPr="000A23F9">
              <w:rPr>
                <w:rFonts w:cs="Times New Roman"/>
                <w:b/>
              </w:rPr>
              <w:t>onnes)</w:t>
            </w:r>
          </w:p>
        </w:tc>
      </w:tr>
      <w:tr w:rsidR="00962996" w:rsidRPr="000A23F9" w14:paraId="63F6A927" w14:textId="77777777" w:rsidTr="000B09BB">
        <w:tc>
          <w:tcPr>
            <w:tcW w:w="9759" w:type="dxa"/>
            <w:vAlign w:val="center"/>
          </w:tcPr>
          <w:p w14:paraId="25B3AD0C" w14:textId="77777777" w:rsidR="00962996" w:rsidRPr="000A23F9" w:rsidRDefault="00962996" w:rsidP="001E36B8">
            <w:pPr>
              <w:spacing w:before="60" w:after="60"/>
              <w:jc w:val="center"/>
              <w:rPr>
                <w:rFonts w:cs="Times New Roman"/>
                <w:sz w:val="16"/>
                <w:szCs w:val="16"/>
              </w:rPr>
            </w:pPr>
          </w:p>
          <w:p w14:paraId="79026EA3" w14:textId="72153530" w:rsidR="00962996" w:rsidRPr="000A23F9" w:rsidRDefault="000B09BB" w:rsidP="001E36B8">
            <w:pPr>
              <w:spacing w:before="60" w:after="60"/>
              <w:jc w:val="center"/>
              <w:rPr>
                <w:rFonts w:cs="Times New Roman"/>
                <w:sz w:val="16"/>
                <w:szCs w:val="16"/>
              </w:rPr>
            </w:pPr>
            <w:r>
              <w:rPr>
                <w:noProof/>
                <w:lang w:val="en-AU" w:eastAsia="en-AU"/>
              </w:rPr>
              <w:drawing>
                <wp:inline distT="0" distB="0" distL="0" distR="0" wp14:anchorId="32A6556B" wp14:editId="3227C1C3">
                  <wp:extent cx="6030595" cy="235013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30595" cy="2350135"/>
                          </a:xfrm>
                          <a:prstGeom prst="rect">
                            <a:avLst/>
                          </a:prstGeom>
                        </pic:spPr>
                      </pic:pic>
                    </a:graphicData>
                  </a:graphic>
                </wp:inline>
              </w:drawing>
            </w:r>
          </w:p>
          <w:p w14:paraId="6D5B55C7" w14:textId="77777777" w:rsidR="00962996" w:rsidRPr="000A23F9" w:rsidRDefault="00962996" w:rsidP="001E36B8">
            <w:pPr>
              <w:spacing w:before="60" w:after="60"/>
              <w:jc w:val="center"/>
              <w:rPr>
                <w:rFonts w:cs="Times New Roman"/>
                <w:sz w:val="16"/>
                <w:szCs w:val="16"/>
              </w:rPr>
            </w:pPr>
          </w:p>
        </w:tc>
      </w:tr>
      <w:tr w:rsidR="00962996" w:rsidRPr="000A23F9" w14:paraId="69DB098C" w14:textId="77777777" w:rsidTr="001E36B8">
        <w:tc>
          <w:tcPr>
            <w:tcW w:w="9759" w:type="dxa"/>
            <w:vAlign w:val="center"/>
          </w:tcPr>
          <w:p w14:paraId="08C432BC" w14:textId="62B6D545" w:rsidR="00962996" w:rsidRPr="0023612A" w:rsidRDefault="0023612A" w:rsidP="0023612A">
            <w:pPr>
              <w:pStyle w:val="Caption"/>
            </w:pPr>
            <w:bookmarkStart w:id="141" w:name="_Toc525141367"/>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36</w:t>
            </w:r>
            <w:r w:rsidR="009D6843">
              <w:rPr>
                <w:noProof/>
              </w:rPr>
              <w:fldChar w:fldCharType="end"/>
            </w:r>
            <w:r w:rsidR="00962996" w:rsidRPr="0023612A">
              <w:rPr>
                <w:bCs w:val="0"/>
              </w:rPr>
              <w:t xml:space="preserve">: Refrigerant </w:t>
            </w:r>
            <w:r w:rsidR="000F6CD8" w:rsidRPr="0023612A">
              <w:rPr>
                <w:bCs w:val="0"/>
              </w:rPr>
              <w:t>u</w:t>
            </w:r>
            <w:r w:rsidR="00962996" w:rsidRPr="0023612A">
              <w:rPr>
                <w:bCs w:val="0"/>
              </w:rPr>
              <w:t>sage (</w:t>
            </w:r>
            <w:r w:rsidR="000F6CD8" w:rsidRPr="0023612A">
              <w:rPr>
                <w:bCs w:val="0"/>
              </w:rPr>
              <w:t>a</w:t>
            </w:r>
            <w:r w:rsidR="00962996" w:rsidRPr="0023612A">
              <w:rPr>
                <w:bCs w:val="0"/>
              </w:rPr>
              <w:t xml:space="preserve">ctual) by </w:t>
            </w:r>
            <w:r w:rsidR="000F6CD8" w:rsidRPr="0023612A">
              <w:rPr>
                <w:bCs w:val="0"/>
              </w:rPr>
              <w:t>s</w:t>
            </w:r>
            <w:r w:rsidR="00962996" w:rsidRPr="0023612A">
              <w:rPr>
                <w:bCs w:val="0"/>
              </w:rPr>
              <w:t>pecies from 2016 to 2030 in tonnes.</w:t>
            </w:r>
            <w:bookmarkEnd w:id="141"/>
          </w:p>
        </w:tc>
      </w:tr>
    </w:tbl>
    <w:p w14:paraId="06ED29AB" w14:textId="009A4FBA" w:rsidR="00962996" w:rsidRPr="000F6CD8" w:rsidRDefault="00962996" w:rsidP="000F6CD8">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69D8AC70" w14:textId="22A88FCD" w:rsidR="000F6CD8" w:rsidRDefault="000F6CD8" w:rsidP="00962996">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962996" w:rsidRPr="00613398" w14:paraId="44F36D3D" w14:textId="77777777" w:rsidTr="001E36B8">
        <w:tc>
          <w:tcPr>
            <w:tcW w:w="9759" w:type="dxa"/>
            <w:vAlign w:val="center"/>
          </w:tcPr>
          <w:p w14:paraId="53642BDC" w14:textId="2867DC46" w:rsidR="00962996" w:rsidRPr="000A23F9" w:rsidRDefault="00962996" w:rsidP="001E36B8">
            <w:pPr>
              <w:spacing w:after="120"/>
              <w:jc w:val="center"/>
              <w:rPr>
                <w:rFonts w:cs="Times New Roman"/>
                <w:b/>
              </w:rPr>
            </w:pPr>
            <w:r w:rsidRPr="000A23F9">
              <w:rPr>
                <w:rFonts w:cs="Times New Roman"/>
                <w:b/>
              </w:rPr>
              <w:br w:type="page"/>
            </w:r>
            <w:r>
              <w:rPr>
                <w:rFonts w:cs="Times New Roman"/>
                <w:b/>
              </w:rPr>
              <w:t xml:space="preserve">Refrigerant </w:t>
            </w:r>
            <w:r w:rsidR="00A0109B">
              <w:rPr>
                <w:rFonts w:cs="Times New Roman"/>
                <w:b/>
              </w:rPr>
              <w:t>usage (a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962996" w:rsidRPr="000A23F9" w14:paraId="67CA488D" w14:textId="77777777" w:rsidTr="00C717D4">
        <w:tc>
          <w:tcPr>
            <w:tcW w:w="9759" w:type="dxa"/>
            <w:vAlign w:val="center"/>
          </w:tcPr>
          <w:p w14:paraId="49B2A097" w14:textId="77777777" w:rsidR="00962996" w:rsidRPr="000A23F9" w:rsidRDefault="00962996" w:rsidP="001E36B8">
            <w:pPr>
              <w:spacing w:before="60" w:after="60"/>
              <w:jc w:val="center"/>
              <w:rPr>
                <w:rFonts w:cs="Times New Roman"/>
                <w:sz w:val="16"/>
                <w:szCs w:val="16"/>
              </w:rPr>
            </w:pPr>
          </w:p>
          <w:p w14:paraId="64C79C1E" w14:textId="31AF7127" w:rsidR="00962996" w:rsidRPr="000A23F9" w:rsidRDefault="00C717D4" w:rsidP="001E36B8">
            <w:pPr>
              <w:spacing w:before="60" w:after="60"/>
              <w:jc w:val="center"/>
              <w:rPr>
                <w:rFonts w:cs="Times New Roman"/>
                <w:sz w:val="16"/>
                <w:szCs w:val="16"/>
              </w:rPr>
            </w:pPr>
            <w:r>
              <w:rPr>
                <w:noProof/>
                <w:lang w:val="en-AU" w:eastAsia="en-AU"/>
              </w:rPr>
              <w:drawing>
                <wp:inline distT="0" distB="0" distL="0" distR="0" wp14:anchorId="3294BEEF" wp14:editId="0F6DA188">
                  <wp:extent cx="6030595" cy="229235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30595" cy="2292350"/>
                          </a:xfrm>
                          <a:prstGeom prst="rect">
                            <a:avLst/>
                          </a:prstGeom>
                        </pic:spPr>
                      </pic:pic>
                    </a:graphicData>
                  </a:graphic>
                </wp:inline>
              </w:drawing>
            </w:r>
          </w:p>
          <w:p w14:paraId="58BD0DE1" w14:textId="77777777" w:rsidR="00962996" w:rsidRPr="000A23F9" w:rsidRDefault="00962996" w:rsidP="001E36B8">
            <w:pPr>
              <w:spacing w:before="60" w:after="60"/>
              <w:jc w:val="center"/>
              <w:rPr>
                <w:rFonts w:cs="Times New Roman"/>
                <w:sz w:val="16"/>
                <w:szCs w:val="16"/>
              </w:rPr>
            </w:pPr>
          </w:p>
        </w:tc>
      </w:tr>
      <w:tr w:rsidR="00962996" w:rsidRPr="000A23F9" w14:paraId="13B73408" w14:textId="77777777" w:rsidTr="001E36B8">
        <w:tc>
          <w:tcPr>
            <w:tcW w:w="9759" w:type="dxa"/>
            <w:vAlign w:val="center"/>
          </w:tcPr>
          <w:p w14:paraId="564E44EE" w14:textId="314F80E5" w:rsidR="00962996" w:rsidRPr="0023612A" w:rsidRDefault="0023612A" w:rsidP="0023612A">
            <w:pPr>
              <w:pStyle w:val="Caption"/>
            </w:pPr>
            <w:bookmarkStart w:id="142" w:name="_Toc525141368"/>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37</w:t>
            </w:r>
            <w:r w:rsidR="009D6843">
              <w:rPr>
                <w:noProof/>
              </w:rPr>
              <w:fldChar w:fldCharType="end"/>
            </w:r>
            <w:r w:rsidR="00962996" w:rsidRPr="0023612A">
              <w:rPr>
                <w:bCs w:val="0"/>
              </w:rPr>
              <w:t xml:space="preserve">: </w:t>
            </w:r>
            <w:r w:rsidR="00A0109B" w:rsidRPr="0023612A">
              <w:rPr>
                <w:bCs w:val="0"/>
              </w:rPr>
              <w:t>Refrigerant u</w:t>
            </w:r>
            <w:r w:rsidR="00962996" w:rsidRPr="0023612A">
              <w:rPr>
                <w:bCs w:val="0"/>
              </w:rPr>
              <w:t>sage (</w:t>
            </w:r>
            <w:r w:rsidR="00A0109B" w:rsidRPr="0023612A">
              <w:rPr>
                <w:bCs w:val="0"/>
              </w:rPr>
              <w:t>a</w:t>
            </w:r>
            <w:r w:rsidR="00962996" w:rsidRPr="0023612A">
              <w:rPr>
                <w:bCs w:val="0"/>
              </w:rPr>
              <w:t xml:space="preserve">ctual) by </w:t>
            </w:r>
            <w:r w:rsidR="00A0109B" w:rsidRPr="0023612A">
              <w:rPr>
                <w:bCs w:val="0"/>
              </w:rPr>
              <w:t>s</w:t>
            </w:r>
            <w:r w:rsidR="00962996" w:rsidRPr="0023612A">
              <w:rPr>
                <w:bCs w:val="0"/>
              </w:rPr>
              <w:t>pecies from 2016 to 2030 in Mt CO</w:t>
            </w:r>
            <w:r w:rsidR="00962996" w:rsidRPr="0023612A">
              <w:rPr>
                <w:bCs w:val="0"/>
                <w:vertAlign w:val="subscript"/>
              </w:rPr>
              <w:t>2</w:t>
            </w:r>
            <w:r w:rsidR="00962996" w:rsidRPr="0023612A">
              <w:rPr>
                <w:bCs w:val="0"/>
              </w:rPr>
              <w:t>e.</w:t>
            </w:r>
            <w:bookmarkEnd w:id="142"/>
          </w:p>
        </w:tc>
      </w:tr>
    </w:tbl>
    <w:p w14:paraId="7653DB03" w14:textId="561320C8" w:rsidR="00962996" w:rsidRPr="00573A8B" w:rsidRDefault="00962996" w:rsidP="00962996">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1E0555AB" w14:textId="77777777" w:rsidR="000F6CD8" w:rsidRDefault="000F6CD8" w:rsidP="00962996">
      <w:pPr>
        <w:rPr>
          <w:szCs w:val="22"/>
        </w:rPr>
      </w:pPr>
    </w:p>
    <w:p w14:paraId="0A060691" w14:textId="0EB77BA0" w:rsidR="00962996" w:rsidRDefault="00962996" w:rsidP="00962996">
      <w:pPr>
        <w:rPr>
          <w:szCs w:val="22"/>
        </w:rPr>
      </w:pPr>
      <w:r>
        <w:rPr>
          <w:szCs w:val="22"/>
        </w:rPr>
        <w:t xml:space="preserve">As older equipment tends to leak more than new equipment, to some extent annual </w:t>
      </w:r>
      <w:r w:rsidR="000F6CD8">
        <w:rPr>
          <w:szCs w:val="22"/>
        </w:rPr>
        <w:t xml:space="preserve">usage </w:t>
      </w:r>
      <w:r>
        <w:rPr>
          <w:szCs w:val="22"/>
        </w:rPr>
        <w:t>is a lagging indicator of the nature of the stock of equipment and the composition of the bank.</w:t>
      </w:r>
    </w:p>
    <w:p w14:paraId="2436A18C" w14:textId="2D107498" w:rsidR="00962996" w:rsidRDefault="00962996" w:rsidP="00962996">
      <w:pPr>
        <w:rPr>
          <w:szCs w:val="22"/>
        </w:rPr>
      </w:pPr>
      <w:r>
        <w:rPr>
          <w:szCs w:val="22"/>
        </w:rPr>
        <w:t xml:space="preserve">For instance, while HFC-32 has increased its share of the bank to more than 1,000 tonnes in just the few </w:t>
      </w:r>
      <w:r w:rsidRPr="00E46C29">
        <w:rPr>
          <w:szCs w:val="22"/>
        </w:rPr>
        <w:t xml:space="preserve">years prior to 2016, annual </w:t>
      </w:r>
      <w:r w:rsidR="000F6CD8" w:rsidRPr="00E46C29">
        <w:rPr>
          <w:szCs w:val="22"/>
        </w:rPr>
        <w:t>usage</w:t>
      </w:r>
      <w:r w:rsidRPr="00E46C29">
        <w:rPr>
          <w:szCs w:val="22"/>
        </w:rPr>
        <w:t xml:space="preserve"> of HFC-32 is estimated to have been less </w:t>
      </w:r>
      <w:r w:rsidR="00C717D4">
        <w:rPr>
          <w:szCs w:val="22"/>
        </w:rPr>
        <w:t>16</w:t>
      </w:r>
      <w:r w:rsidRPr="00E46C29">
        <w:rPr>
          <w:szCs w:val="22"/>
        </w:rPr>
        <w:t xml:space="preserve"> tonnes </w:t>
      </w:r>
      <w:r w:rsidR="00C717D4">
        <w:rPr>
          <w:szCs w:val="22"/>
        </w:rPr>
        <w:t xml:space="preserve">(including filling supply lines) </w:t>
      </w:r>
      <w:r w:rsidRPr="00E46C29">
        <w:rPr>
          <w:szCs w:val="22"/>
        </w:rPr>
        <w:t xml:space="preserve">in that year as this refrigerant </w:t>
      </w:r>
      <w:r w:rsidR="006437AA" w:rsidRPr="00E46C29">
        <w:rPr>
          <w:szCs w:val="22"/>
        </w:rPr>
        <w:t xml:space="preserve">is </w:t>
      </w:r>
      <w:r w:rsidRPr="00E46C29">
        <w:rPr>
          <w:szCs w:val="22"/>
        </w:rPr>
        <w:t>employed in an entirely new stock of equipment.</w:t>
      </w:r>
    </w:p>
    <w:p w14:paraId="5EE04C87" w14:textId="5AF2A558" w:rsidR="00962996" w:rsidRDefault="00C717D4" w:rsidP="00962996">
      <w:pPr>
        <w:rPr>
          <w:szCs w:val="22"/>
        </w:rPr>
      </w:pPr>
      <w:r>
        <w:rPr>
          <w:szCs w:val="22"/>
        </w:rPr>
        <w:t xml:space="preserve">At the same time, while there were only approximately 45 tonnes of bulk imports of HCFC-22 in 2016, it is estimated that more than </w:t>
      </w:r>
      <w:r w:rsidR="0005583C">
        <w:rPr>
          <w:szCs w:val="22"/>
        </w:rPr>
        <w:t>5</w:t>
      </w:r>
      <w:r>
        <w:rPr>
          <w:szCs w:val="22"/>
        </w:rPr>
        <w:t>00 tonnes are required to service the HCFC-22 bank of more than 8,500 tonnes</w:t>
      </w:r>
      <w:r w:rsidR="0005583C">
        <w:rPr>
          <w:szCs w:val="22"/>
        </w:rPr>
        <w:t xml:space="preserve"> </w:t>
      </w:r>
      <w:r w:rsidR="001C7650">
        <w:rPr>
          <w:szCs w:val="22"/>
        </w:rPr>
        <w:t>in</w:t>
      </w:r>
      <w:r w:rsidR="0005583C">
        <w:rPr>
          <w:szCs w:val="22"/>
        </w:rPr>
        <w:t xml:space="preserve"> aging equipment</w:t>
      </w:r>
      <w:r>
        <w:rPr>
          <w:szCs w:val="22"/>
        </w:rPr>
        <w:t>. In reality the</w:t>
      </w:r>
      <w:r w:rsidR="001C7650">
        <w:rPr>
          <w:szCs w:val="22"/>
        </w:rPr>
        <w:t xml:space="preserve"> service</w:t>
      </w:r>
      <w:r>
        <w:rPr>
          <w:szCs w:val="22"/>
        </w:rPr>
        <w:t xml:space="preserve"> volume is much less </w:t>
      </w:r>
      <w:r w:rsidR="0005583C">
        <w:rPr>
          <w:szCs w:val="22"/>
        </w:rPr>
        <w:t xml:space="preserve">and estimated to be around 300 tonnes </w:t>
      </w:r>
      <w:r>
        <w:rPr>
          <w:szCs w:val="22"/>
        </w:rPr>
        <w:t>as some equipment is retired instead of being serviced. In the years 2016 and 2017, the total amount of recovery and reclamation of HCFC-22 in the economy back to virgin refrigerant specification was 210 tonnes. Higher leak rates in the older generation of equipment charged with HCFC-22, and accelerated rates at which this equipment is being taken out of service means that this bank is declining rapidly, with recovery and recycling of HCFC-22 predicted to fall to less than 50 tonnes in 2025 and to just 10 tonnes in 2030.</w:t>
      </w:r>
    </w:p>
    <w:p w14:paraId="5DE4BA9F" w14:textId="20C5167E" w:rsidR="00962996" w:rsidRDefault="00962996" w:rsidP="00962996">
      <w:pPr>
        <w:rPr>
          <w:szCs w:val="22"/>
        </w:rPr>
      </w:pPr>
      <w:r w:rsidRPr="00E46C29">
        <w:rPr>
          <w:szCs w:val="22"/>
        </w:rPr>
        <w:t xml:space="preserve">Notably HFC-32 is projected to be the only HFC in which annual </w:t>
      </w:r>
      <w:r w:rsidR="000F6CD8" w:rsidRPr="00E46C29">
        <w:rPr>
          <w:szCs w:val="22"/>
        </w:rPr>
        <w:t>usage</w:t>
      </w:r>
      <w:r w:rsidRPr="00E46C29">
        <w:rPr>
          <w:szCs w:val="22"/>
        </w:rPr>
        <w:t xml:space="preserve"> increases by the end of the period, rising from near zero to more than </w:t>
      </w:r>
      <w:r w:rsidR="0005583C">
        <w:rPr>
          <w:szCs w:val="22"/>
        </w:rPr>
        <w:t>420</w:t>
      </w:r>
      <w:r w:rsidRPr="00E46C29">
        <w:rPr>
          <w:szCs w:val="22"/>
        </w:rPr>
        <w:t xml:space="preserve"> tonnes by 2030. Annual </w:t>
      </w:r>
      <w:r w:rsidR="000F6CD8" w:rsidRPr="00E46C29">
        <w:rPr>
          <w:szCs w:val="22"/>
        </w:rPr>
        <w:t>usage</w:t>
      </w:r>
      <w:r w:rsidRPr="00E46C29">
        <w:rPr>
          <w:szCs w:val="22"/>
        </w:rPr>
        <w:t xml:space="preserve"> of all of the other HFCs </w:t>
      </w:r>
      <w:r w:rsidR="00FE74F2">
        <w:rPr>
          <w:szCs w:val="22"/>
        </w:rPr>
        <w:t>is</w:t>
      </w:r>
      <w:r w:rsidRPr="00E46C29">
        <w:rPr>
          <w:szCs w:val="22"/>
        </w:rPr>
        <w:t xml:space="preserve"> expected to decline significantly by the end of the period as the impacts of the </w:t>
      </w:r>
      <w:r w:rsidR="00B448EF" w:rsidRPr="00E46C29">
        <w:rPr>
          <w:szCs w:val="22"/>
        </w:rPr>
        <w:t>HFC phase-down</w:t>
      </w:r>
      <w:r w:rsidRPr="00E46C29">
        <w:rPr>
          <w:szCs w:val="22"/>
        </w:rPr>
        <w:t xml:space="preserve"> accelerate a predicted shift away from </w:t>
      </w:r>
      <w:r w:rsidR="00B448EF" w:rsidRPr="00E46C29">
        <w:rPr>
          <w:szCs w:val="22"/>
        </w:rPr>
        <w:t xml:space="preserve">high GWP </w:t>
      </w:r>
      <w:r w:rsidRPr="00E46C29">
        <w:rPr>
          <w:szCs w:val="22"/>
        </w:rPr>
        <w:t xml:space="preserve">HFCs across all classes of equipment. Reductions in annual </w:t>
      </w:r>
      <w:r w:rsidR="000F6CD8" w:rsidRPr="00E46C29">
        <w:rPr>
          <w:szCs w:val="22"/>
        </w:rPr>
        <w:t>usage</w:t>
      </w:r>
      <w:r w:rsidRPr="00E46C29">
        <w:rPr>
          <w:szCs w:val="22"/>
        </w:rPr>
        <w:t xml:space="preserve"> predicted include:</w:t>
      </w:r>
    </w:p>
    <w:p w14:paraId="2AD84EF6" w14:textId="4F9C8F27" w:rsidR="00962996" w:rsidRPr="00C83024"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sidRPr="00C83024">
        <w:rPr>
          <w:rFonts w:ascii="Times New Roman" w:hAnsi="Times New Roman"/>
        </w:rPr>
        <w:t xml:space="preserve">HFC-410A, reflecting the relative young stock of equipment it is contained in, the lack of alternatives for some HFC-410A applications, and presently servicing the largest portion of the bank, falling </w:t>
      </w:r>
      <w:r w:rsidR="0005583C">
        <w:rPr>
          <w:rFonts w:ascii="Times New Roman" w:hAnsi="Times New Roman"/>
        </w:rPr>
        <w:t>19</w:t>
      </w:r>
      <w:r w:rsidRPr="00C83024">
        <w:rPr>
          <w:rFonts w:ascii="Times New Roman" w:hAnsi="Times New Roman"/>
        </w:rPr>
        <w:t xml:space="preserve">% from its 2016 estimate of nearly </w:t>
      </w:r>
      <w:r w:rsidR="0005583C">
        <w:rPr>
          <w:rFonts w:ascii="Times New Roman" w:hAnsi="Times New Roman"/>
        </w:rPr>
        <w:t>615</w:t>
      </w:r>
      <w:r w:rsidRPr="00C83024">
        <w:rPr>
          <w:rFonts w:ascii="Times New Roman" w:hAnsi="Times New Roman"/>
        </w:rPr>
        <w:t xml:space="preserve"> tonnes to stay stubbornly high at more than 5</w:t>
      </w:r>
      <w:r w:rsidR="0005583C">
        <w:rPr>
          <w:rFonts w:ascii="Times New Roman" w:hAnsi="Times New Roman"/>
        </w:rPr>
        <w:t>0</w:t>
      </w:r>
      <w:r w:rsidRPr="00C83024">
        <w:rPr>
          <w:rFonts w:ascii="Times New Roman" w:hAnsi="Times New Roman"/>
        </w:rPr>
        <w:t>0 tonnes in 2030;</w:t>
      </w:r>
    </w:p>
    <w:p w14:paraId="475A0E1B" w14:textId="36AFFCB6" w:rsidR="00962996" w:rsidRPr="00C83024"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sidRPr="00C83024">
        <w:rPr>
          <w:rFonts w:ascii="Times New Roman" w:hAnsi="Times New Roman"/>
        </w:rPr>
        <w:t>HFC-134a, presently servicing the second largest portion of the bank by species, f</w:t>
      </w:r>
      <w:r w:rsidR="0005583C">
        <w:rPr>
          <w:rFonts w:ascii="Times New Roman" w:hAnsi="Times New Roman"/>
        </w:rPr>
        <w:t>alling by 43</w:t>
      </w:r>
      <w:r w:rsidRPr="00C83024">
        <w:rPr>
          <w:rFonts w:ascii="Times New Roman" w:hAnsi="Times New Roman"/>
        </w:rPr>
        <w:t>% from a 2016 high of 1,</w:t>
      </w:r>
      <w:r w:rsidR="0005583C">
        <w:rPr>
          <w:rFonts w:ascii="Times New Roman" w:hAnsi="Times New Roman"/>
        </w:rPr>
        <w:t>285</w:t>
      </w:r>
      <w:r w:rsidRPr="00C83024">
        <w:rPr>
          <w:rFonts w:ascii="Times New Roman" w:hAnsi="Times New Roman"/>
        </w:rPr>
        <w:t xml:space="preserve"> tonnes to a 2030 estimate of 7</w:t>
      </w:r>
      <w:r w:rsidR="0005583C">
        <w:rPr>
          <w:rFonts w:ascii="Times New Roman" w:hAnsi="Times New Roman"/>
        </w:rPr>
        <w:t>3</w:t>
      </w:r>
      <w:r w:rsidRPr="00C83024">
        <w:rPr>
          <w:rFonts w:ascii="Times New Roman" w:hAnsi="Times New Roman"/>
        </w:rPr>
        <w:t>0 tonnes;</w:t>
      </w:r>
    </w:p>
    <w:p w14:paraId="64DBFA5F" w14:textId="29BE023A" w:rsidR="00962996" w:rsidRPr="00C83024"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sidRPr="00C83024">
        <w:rPr>
          <w:rFonts w:ascii="Times New Roman" w:hAnsi="Times New Roman"/>
        </w:rPr>
        <w:t>HFC-404A</w:t>
      </w:r>
      <w:r w:rsidR="000F6CD8">
        <w:rPr>
          <w:rFonts w:ascii="Times New Roman" w:hAnsi="Times New Roman"/>
        </w:rPr>
        <w:t xml:space="preserve"> </w:t>
      </w:r>
      <w:r w:rsidRPr="00C83024">
        <w:rPr>
          <w:rFonts w:ascii="Times New Roman" w:hAnsi="Times New Roman"/>
        </w:rPr>
        <w:t>falling by 6</w:t>
      </w:r>
      <w:r w:rsidR="0005583C">
        <w:rPr>
          <w:rFonts w:ascii="Times New Roman" w:hAnsi="Times New Roman"/>
        </w:rPr>
        <w:t>5</w:t>
      </w:r>
      <w:r w:rsidRPr="00C83024">
        <w:rPr>
          <w:rFonts w:ascii="Times New Roman" w:hAnsi="Times New Roman"/>
        </w:rPr>
        <w:t>% from just under 8</w:t>
      </w:r>
      <w:r w:rsidR="0005583C">
        <w:rPr>
          <w:rFonts w:ascii="Times New Roman" w:hAnsi="Times New Roman"/>
        </w:rPr>
        <w:t>1</w:t>
      </w:r>
      <w:r w:rsidRPr="00C83024">
        <w:rPr>
          <w:rFonts w:ascii="Times New Roman" w:hAnsi="Times New Roman"/>
        </w:rPr>
        <w:t>0 tonnes in 2016 to around 2</w:t>
      </w:r>
      <w:r w:rsidR="0005583C">
        <w:rPr>
          <w:rFonts w:ascii="Times New Roman" w:hAnsi="Times New Roman"/>
        </w:rPr>
        <w:t>80</w:t>
      </w:r>
      <w:r w:rsidRPr="00C83024">
        <w:rPr>
          <w:rFonts w:ascii="Times New Roman" w:hAnsi="Times New Roman"/>
        </w:rPr>
        <w:t xml:space="preserve"> tonnes in 2030;</w:t>
      </w:r>
    </w:p>
    <w:p w14:paraId="6621032C" w14:textId="79683C11" w:rsidR="00962996" w:rsidRPr="00C83024"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sidRPr="00C83024">
        <w:rPr>
          <w:rFonts w:ascii="Times New Roman" w:hAnsi="Times New Roman"/>
        </w:rPr>
        <w:t>HFC</w:t>
      </w:r>
      <w:r>
        <w:rPr>
          <w:rFonts w:ascii="Times New Roman" w:hAnsi="Times New Roman"/>
        </w:rPr>
        <w:t>-</w:t>
      </w:r>
      <w:r w:rsidR="000F6CD8">
        <w:rPr>
          <w:rFonts w:ascii="Times New Roman" w:hAnsi="Times New Roman"/>
        </w:rPr>
        <w:t>407C</w:t>
      </w:r>
      <w:r w:rsidRPr="00C83024">
        <w:rPr>
          <w:rFonts w:ascii="Times New Roman" w:hAnsi="Times New Roman"/>
        </w:rPr>
        <w:t xml:space="preserve"> falling by more than 61% from 160 tonnes in 2016 to just 60 tonnes in 2030;</w:t>
      </w:r>
    </w:p>
    <w:p w14:paraId="1B83A812" w14:textId="7C2D5649" w:rsidR="00962996" w:rsidRPr="00C83024" w:rsidRDefault="00962996" w:rsidP="00FC735C">
      <w:pPr>
        <w:pStyle w:val="ListParagraph"/>
        <w:numPr>
          <w:ilvl w:val="0"/>
          <w:numId w:val="36"/>
        </w:numPr>
        <w:snapToGrid w:val="0"/>
        <w:spacing w:before="120" w:after="0" w:line="240" w:lineRule="auto"/>
        <w:ind w:left="357" w:hanging="357"/>
        <w:contextualSpacing w:val="0"/>
        <w:jc w:val="both"/>
        <w:rPr>
          <w:rFonts w:ascii="Times New Roman" w:hAnsi="Times New Roman"/>
        </w:rPr>
      </w:pPr>
      <w:r w:rsidRPr="00C83024">
        <w:rPr>
          <w:rFonts w:ascii="Times New Roman" w:hAnsi="Times New Roman"/>
        </w:rPr>
        <w:t>HFC mixes for specialist applicatio</w:t>
      </w:r>
      <w:r w:rsidR="0005583C">
        <w:rPr>
          <w:rFonts w:ascii="Times New Roman" w:hAnsi="Times New Roman"/>
        </w:rPr>
        <w:t>ns falling more than 64% from 17</w:t>
      </w:r>
      <w:r w:rsidRPr="00C83024">
        <w:rPr>
          <w:rFonts w:ascii="Times New Roman" w:hAnsi="Times New Roman"/>
        </w:rPr>
        <w:t xml:space="preserve">0 tonnes in 2016 to just </w:t>
      </w:r>
      <w:r w:rsidR="0005583C">
        <w:rPr>
          <w:rFonts w:ascii="Times New Roman" w:hAnsi="Times New Roman"/>
        </w:rPr>
        <w:t>60</w:t>
      </w:r>
      <w:r w:rsidRPr="00C83024">
        <w:rPr>
          <w:rFonts w:ascii="Times New Roman" w:hAnsi="Times New Roman"/>
        </w:rPr>
        <w:t xml:space="preserve"> tonnes in 2030.</w:t>
      </w:r>
    </w:p>
    <w:p w14:paraId="24D38266" w14:textId="32363E84" w:rsidR="00962996" w:rsidRDefault="00962996" w:rsidP="00962996">
      <w:r>
        <w:t xml:space="preserve">These falls are projected to be matched by significant rises in </w:t>
      </w:r>
      <w:r w:rsidR="000F6CD8">
        <w:t xml:space="preserve">use </w:t>
      </w:r>
      <w:r>
        <w:t>of non-HFC and low or zero GWP (GWP&lt;10) refrigerants following the lead of changes in the composition of the bank.</w:t>
      </w:r>
    </w:p>
    <w:p w14:paraId="613E3DF2" w14:textId="63179E97" w:rsidR="00962996" w:rsidRPr="00C83024" w:rsidRDefault="00962996" w:rsidP="00962996">
      <w:r>
        <w:t>The model also suggests a 30 fold rise in refrigerants with GWPs&lt;1000</w:t>
      </w:r>
      <w:r w:rsidR="00F24C63">
        <w:t xml:space="preserve"> due to the low starting base</w:t>
      </w:r>
      <w:r>
        <w:t xml:space="preserve">, not including HFC-32. These medium GWP refrigerants are expected to be HFO/HFC blends, some of which are already in the market and many of which are being tested, which, it is </w:t>
      </w:r>
      <w:r w:rsidR="009467F3">
        <w:t>expected</w:t>
      </w:r>
      <w:r>
        <w:t>, will allow retrofitting of older equipment and charging of new equipment with high performance refrigerants containing a small fraction of the HFCs presently employed to do the same task.</w:t>
      </w:r>
    </w:p>
    <w:p w14:paraId="503799E2" w14:textId="77777777" w:rsidR="00962996" w:rsidRDefault="00962996" w:rsidP="00962996">
      <w:pPr>
        <w:rPr>
          <w:lang w:val="en-US"/>
        </w:rPr>
      </w:pPr>
    </w:p>
    <w:p w14:paraId="2F19072C" w14:textId="3DE6FFCB" w:rsidR="00962996" w:rsidRPr="00C95453" w:rsidRDefault="00962996" w:rsidP="00962996">
      <w:pPr>
        <w:pStyle w:val="Heading2"/>
      </w:pPr>
      <w:bookmarkStart w:id="143" w:name="_Toc525141293"/>
      <w:r w:rsidRPr="00C95453">
        <w:t xml:space="preserve">Service </w:t>
      </w:r>
      <w:r w:rsidR="00A0109B">
        <w:t>r</w:t>
      </w:r>
      <w:r w:rsidRPr="00C95453">
        <w:t>ates</w:t>
      </w:r>
      <w:bookmarkEnd w:id="143"/>
    </w:p>
    <w:p w14:paraId="6E34F4BB" w14:textId="682807B0" w:rsidR="00962996" w:rsidRDefault="00962996" w:rsidP="00962996">
      <w:pPr>
        <w:rPr>
          <w:szCs w:val="22"/>
        </w:rPr>
      </w:pPr>
      <w:r w:rsidRPr="007274CE">
        <w:rPr>
          <w:szCs w:val="22"/>
        </w:rPr>
        <w:t xml:space="preserve">The </w:t>
      </w:r>
      <w:r w:rsidR="007A1335">
        <w:rPr>
          <w:szCs w:val="22"/>
        </w:rPr>
        <w:t>CHF3 RAC Stock model</w:t>
      </w:r>
      <w:r>
        <w:rPr>
          <w:szCs w:val="22"/>
        </w:rPr>
        <w:t xml:space="preserve"> has been developed since CHF2 with the intention of better representing mass flows of refrigerant in the supply lines, and into and out of the stock of equipment. Earlier models attempted to reconcile bulk imports, with leak rates from the stock of equipment, and inherently assumed that 100% of the refrigerant lost from equipment was replaced over the life of the equipment. However, as data improved this assumption was undermined by observations of partial residual charges left in various types of equipment when it was removed from service. </w:t>
      </w:r>
    </w:p>
    <w:p w14:paraId="009D8A4C" w14:textId="77777777" w:rsidR="00962996" w:rsidRDefault="00962996" w:rsidP="00962996">
      <w:pPr>
        <w:rPr>
          <w:szCs w:val="22"/>
        </w:rPr>
      </w:pPr>
      <w:r>
        <w:rPr>
          <w:szCs w:val="22"/>
        </w:rPr>
        <w:t>This suggests only part of the refrigerant lost from operating equipment is replaced in its service life. Across a stock this might manifest as some pieces of equipment being well maintained, and kept at optimal charge, and other equipment being very poorly maintained and operating on very sub-optimal partial refrigerant charges for much of its service life.</w:t>
      </w:r>
    </w:p>
    <w:p w14:paraId="36CF2980" w14:textId="77777777" w:rsidR="00962996" w:rsidRDefault="00962996" w:rsidP="00962996">
      <w:pPr>
        <w:rPr>
          <w:szCs w:val="22"/>
        </w:rPr>
      </w:pPr>
      <w:r>
        <w:rPr>
          <w:szCs w:val="22"/>
        </w:rPr>
        <w:t>These observations are further supported by reports from field technicians of the condition of equipment that they are called in to service, or repair in the case of break downs.</w:t>
      </w:r>
    </w:p>
    <w:p w14:paraId="4477ED91" w14:textId="4BCC4E5F" w:rsidR="00962996" w:rsidRDefault="00962996" w:rsidP="00962996">
      <w:pPr>
        <w:rPr>
          <w:szCs w:val="22"/>
        </w:rPr>
      </w:pPr>
      <w:r>
        <w:rPr>
          <w:szCs w:val="22"/>
        </w:rPr>
        <w:t>While this assumption was based initially on observations of partial operating charges, or partial residual charges left in equipment at the end of its service life, it also easily passes the so called ‘pub test’</w:t>
      </w:r>
      <w:r w:rsidR="004E6A06">
        <w:rPr>
          <w:rStyle w:val="FootnoteReference"/>
          <w:szCs w:val="22"/>
        </w:rPr>
        <w:footnoteReference w:id="61"/>
      </w:r>
      <w:r>
        <w:rPr>
          <w:szCs w:val="22"/>
        </w:rPr>
        <w:t xml:space="preserve">. Anecdotal </w:t>
      </w:r>
      <w:r w:rsidR="009467F3">
        <w:rPr>
          <w:szCs w:val="22"/>
        </w:rPr>
        <w:t>reports are</w:t>
      </w:r>
      <w:r>
        <w:rPr>
          <w:szCs w:val="22"/>
        </w:rPr>
        <w:t xml:space="preserve"> easy to find about how </w:t>
      </w:r>
      <w:r w:rsidR="00FE74F2">
        <w:rPr>
          <w:szCs w:val="22"/>
        </w:rPr>
        <w:t>infrequently</w:t>
      </w:r>
      <w:r>
        <w:rPr>
          <w:szCs w:val="22"/>
        </w:rPr>
        <w:t xml:space="preserve"> home owners, or car owners, or indeed business owners, might get their equipment serviced, whether it is a domestic refrigerator, a residential air conditioner, the car air conditioning or glass fronted display refrigerator at the local deli or supermarket.</w:t>
      </w:r>
    </w:p>
    <w:p w14:paraId="47E19F5A" w14:textId="0279DE4A" w:rsidR="00962996" w:rsidRDefault="00962996" w:rsidP="00962996">
      <w:pPr>
        <w:rPr>
          <w:szCs w:val="22"/>
        </w:rPr>
      </w:pPr>
      <w:r>
        <w:rPr>
          <w:szCs w:val="22"/>
        </w:rPr>
        <w:t xml:space="preserve">Some product categories </w:t>
      </w:r>
      <w:r w:rsidR="00FE74F2">
        <w:rPr>
          <w:szCs w:val="22"/>
        </w:rPr>
        <w:t>lose</w:t>
      </w:r>
      <w:r>
        <w:rPr>
          <w:szCs w:val="22"/>
        </w:rPr>
        <w:t xml:space="preserve"> less refrigerant over their service life than others, such as domestic refrigeration as compared to truck refrigeration units as two extremes, and some enjoy a much greater degree of service than others, such as supermarket systems and large commercial chillers that are generally closely monitored and maintained, as compared to residential and small business air conditioners.</w:t>
      </w:r>
    </w:p>
    <w:p w14:paraId="35AB2B12" w14:textId="19F40E3B" w:rsidR="00962996" w:rsidRDefault="00962996" w:rsidP="00962996">
      <w:pPr>
        <w:rPr>
          <w:szCs w:val="22"/>
        </w:rPr>
      </w:pPr>
      <w:r>
        <w:rPr>
          <w:szCs w:val="22"/>
        </w:rPr>
        <w:t xml:space="preserve">Working back from the remaining refrigerant charge when a piece of equipment is taken out of service, applying a </w:t>
      </w:r>
      <w:r w:rsidR="00C83F1E">
        <w:rPr>
          <w:szCs w:val="22"/>
        </w:rPr>
        <w:t xml:space="preserve">theoretical </w:t>
      </w:r>
      <w:r>
        <w:rPr>
          <w:szCs w:val="22"/>
        </w:rPr>
        <w:t xml:space="preserve">leak rate to the product, and knowing the year that the equipment entered into service, a model of its likely refrigerant charge at any point in its service life can be created. This modelling can be extended to the stock of equipment. </w:t>
      </w:r>
    </w:p>
    <w:p w14:paraId="02A0102F" w14:textId="77777777" w:rsidR="00962996" w:rsidRDefault="00962996" w:rsidP="00962996">
      <w:pPr>
        <w:rPr>
          <w:szCs w:val="22"/>
        </w:rPr>
      </w:pPr>
      <w:r>
        <w:rPr>
          <w:szCs w:val="22"/>
        </w:rPr>
        <w:t>Among other improvements a cohort-based model of the stock of equipment has been created to allow variations in leak rates to be introduced for older equipment. As a result of applying variable service rates, and cohort-based leak rates, the model now produces estimates of the expected actual bank contained in a product category at any one time. This development was undertaken based on outcomes of studies into the size of residual charges left in equipment at the end of its useful life.</w:t>
      </w:r>
    </w:p>
    <w:p w14:paraId="519988DB" w14:textId="67451CBB" w:rsidR="00962996" w:rsidRDefault="00962996" w:rsidP="00962996">
      <w:pPr>
        <w:rPr>
          <w:szCs w:val="22"/>
        </w:rPr>
      </w:pPr>
      <w:r>
        <w:rPr>
          <w:szCs w:val="22"/>
        </w:rPr>
        <w:t xml:space="preserve">The bank of refrigerant, analysed in detail in </w:t>
      </w:r>
      <w:r w:rsidR="00F13F58">
        <w:rPr>
          <w:i/>
          <w:szCs w:val="22"/>
        </w:rPr>
        <w:t>Section 5</w:t>
      </w:r>
      <w:r>
        <w:rPr>
          <w:szCs w:val="22"/>
        </w:rPr>
        <w:t>, was calculated on the basis of the service rates applied to various product categories.</w:t>
      </w:r>
    </w:p>
    <w:p w14:paraId="43156E73" w14:textId="660BEEF7" w:rsidR="002C0587" w:rsidRDefault="00962996" w:rsidP="00962996">
      <w:pPr>
        <w:rPr>
          <w:szCs w:val="22"/>
        </w:rPr>
      </w:pPr>
      <w:r>
        <w:rPr>
          <w:szCs w:val="22"/>
        </w:rPr>
        <w:t xml:space="preserve">The service rate for an equipment segment or product category is </w:t>
      </w:r>
      <w:r w:rsidR="002C0587">
        <w:rPr>
          <w:szCs w:val="22"/>
        </w:rPr>
        <w:t xml:space="preserve">the annual rate of replacement of losses of refrigerant from operating equipment, </w:t>
      </w:r>
      <w:r>
        <w:rPr>
          <w:szCs w:val="22"/>
        </w:rPr>
        <w:t xml:space="preserve">expressed as a percentage of the total possible bank in that stock of equipment. For instance, the service rate for the remote condenser segment of the RCFC class of equipment is calculated to be 15% in 2016. Small MAC is estimated to be around 5%.  </w:t>
      </w:r>
    </w:p>
    <w:p w14:paraId="7CBDB81E" w14:textId="236DDCED" w:rsidR="002C0587" w:rsidRDefault="002C0587" w:rsidP="00962996">
      <w:pPr>
        <w:rPr>
          <w:szCs w:val="22"/>
        </w:rPr>
      </w:pPr>
      <w:r>
        <w:rPr>
          <w:szCs w:val="22"/>
        </w:rPr>
        <w:t>The difference between the service rate for a product category, and the leak rate, is the degree to which the bank in that stock</w:t>
      </w:r>
      <w:r w:rsidR="009E3930">
        <w:rPr>
          <w:szCs w:val="22"/>
        </w:rPr>
        <w:t xml:space="preserve"> of equipment is under serviced</w:t>
      </w:r>
      <w:r>
        <w:rPr>
          <w:szCs w:val="22"/>
        </w:rPr>
        <w:t xml:space="preserve"> or under-charged per annum.</w:t>
      </w:r>
    </w:p>
    <w:p w14:paraId="0A2412BB" w14:textId="3401C5FE" w:rsidR="00962996" w:rsidRDefault="00962996" w:rsidP="00962996">
      <w:pPr>
        <w:rPr>
          <w:szCs w:val="22"/>
        </w:rPr>
      </w:pPr>
      <w:r>
        <w:rPr>
          <w:szCs w:val="22"/>
        </w:rPr>
        <w:t xml:space="preserve">Service rates </w:t>
      </w:r>
      <w:r w:rsidR="002C0587">
        <w:rPr>
          <w:szCs w:val="22"/>
        </w:rPr>
        <w:t xml:space="preserve">in some equipment segments </w:t>
      </w:r>
      <w:r>
        <w:rPr>
          <w:szCs w:val="22"/>
        </w:rPr>
        <w:t>are expected to improve over time, as leak rates reduce and designs improve</w:t>
      </w:r>
      <w:r w:rsidR="002C0587">
        <w:rPr>
          <w:szCs w:val="22"/>
        </w:rPr>
        <w:t>, and a focus on maintenance of an optimal charge becomes more common among equipment owners</w:t>
      </w:r>
      <w:r>
        <w:rPr>
          <w:szCs w:val="22"/>
        </w:rPr>
        <w:t>.</w:t>
      </w:r>
    </w:p>
    <w:p w14:paraId="24EF39E5" w14:textId="139E29F1" w:rsidR="00962996" w:rsidRDefault="00962996" w:rsidP="00962996">
      <w:pPr>
        <w:rPr>
          <w:szCs w:val="22"/>
        </w:rPr>
      </w:pPr>
      <w:r w:rsidRPr="00AB1410">
        <w:rPr>
          <w:i/>
          <w:szCs w:val="22"/>
        </w:rPr>
        <w:t xml:space="preserve">Appendix </w:t>
      </w:r>
      <w:r w:rsidR="007A5FD5">
        <w:rPr>
          <w:i/>
          <w:szCs w:val="22"/>
        </w:rPr>
        <w:t xml:space="preserve">A: </w:t>
      </w:r>
      <w:r w:rsidR="007A5FD5" w:rsidRPr="007A5FD5">
        <w:rPr>
          <w:i/>
          <w:szCs w:val="22"/>
        </w:rPr>
        <w:t>11.2.11</w:t>
      </w:r>
      <w:r w:rsidR="007A5FD5">
        <w:rPr>
          <w:i/>
          <w:szCs w:val="22"/>
        </w:rPr>
        <w:t xml:space="preserve"> B</w:t>
      </w:r>
      <w:r w:rsidR="007A5FD5" w:rsidRPr="007A5FD5">
        <w:rPr>
          <w:i/>
          <w:szCs w:val="22"/>
        </w:rPr>
        <w:t xml:space="preserve">ank by product category </w:t>
      </w:r>
      <w:r>
        <w:rPr>
          <w:szCs w:val="22"/>
        </w:rPr>
        <w:t>shows the service rates applied to the 2016 bank by equipment segment, and the 2030 bank by equipment segment.</w:t>
      </w:r>
    </w:p>
    <w:p w14:paraId="0480959D" w14:textId="53F86D0B" w:rsidR="00962996" w:rsidRDefault="00962996" w:rsidP="00962996">
      <w:pPr>
        <w:rPr>
          <w:lang w:val="en-US"/>
        </w:rPr>
      </w:pPr>
    </w:p>
    <w:p w14:paraId="5F4EDF1D" w14:textId="785661B6" w:rsidR="000A5DF7" w:rsidRDefault="000A5DF7" w:rsidP="000A5DF7">
      <w:pPr>
        <w:pStyle w:val="Heading2"/>
      </w:pPr>
      <w:bookmarkStart w:id="144" w:name="_Toc525141294"/>
      <w:r>
        <w:t>Refrigera</w:t>
      </w:r>
      <w:r w:rsidR="002C70DA">
        <w:t>nt</w:t>
      </w:r>
      <w:r>
        <w:t xml:space="preserve"> leaks</w:t>
      </w:r>
      <w:bookmarkEnd w:id="144"/>
    </w:p>
    <w:p w14:paraId="6FD235BF" w14:textId="35FD9C86" w:rsidR="000A5DF7" w:rsidRDefault="000A5DF7" w:rsidP="000A5DF7">
      <w:pPr>
        <w:rPr>
          <w:rFonts w:cs="Times New Roman"/>
          <w:szCs w:val="22"/>
        </w:rPr>
      </w:pPr>
      <w:r>
        <w:rPr>
          <w:rFonts w:cs="Times New Roman"/>
          <w:szCs w:val="22"/>
        </w:rPr>
        <w:t xml:space="preserve">RAC equipment using </w:t>
      </w:r>
      <w:r w:rsidR="009F5EAE">
        <w:rPr>
          <w:rFonts w:cs="Times New Roman"/>
          <w:szCs w:val="22"/>
        </w:rPr>
        <w:t>vapour</w:t>
      </w:r>
      <w:r>
        <w:rPr>
          <w:rFonts w:cs="Times New Roman"/>
          <w:szCs w:val="22"/>
        </w:rPr>
        <w:t xml:space="preserve"> compression refrigeration, by definition, uses a compressor to transfer refrigerant from an externally located compressor and heat exchanger inside the conditioned space. This is all possible because a refrigerant is employed as a phase change material, moving easily from the liquid phase to the gaseous phase, and in that step, of becoming vapour, essentially absorbing heat from the surrounding space. </w:t>
      </w:r>
    </w:p>
    <w:p w14:paraId="6E64D4E6" w14:textId="72DB5D28" w:rsidR="000A5DF7" w:rsidRDefault="000A5DF7" w:rsidP="000A5DF7">
      <w:pPr>
        <w:rPr>
          <w:rFonts w:cs="Times New Roman"/>
          <w:szCs w:val="22"/>
        </w:rPr>
      </w:pPr>
      <w:r>
        <w:rPr>
          <w:rFonts w:cs="Times New Roman"/>
          <w:szCs w:val="22"/>
        </w:rPr>
        <w:t>The compressors, heat exchangers and pipes through which the refrigerant moves, as either a liquid or a vapour, have to last for years, maintaining the refrigerant in a closed loop, because if the refrigerant is lost, the equipment will eventually not be able to deliver the cooling services. Yet it is physically impossible to seal equipment perfectly, particularly equipment where liquids and vapours are operating at different pressures to air pressure, and where different temperatures inevitably create thermal expansion and contraction of pipes, valves, connections, seals</w:t>
      </w:r>
      <w:r w:rsidR="001C7650">
        <w:rPr>
          <w:rFonts w:cs="Times New Roman"/>
          <w:szCs w:val="22"/>
        </w:rPr>
        <w:t>,</w:t>
      </w:r>
      <w:r>
        <w:rPr>
          <w:rFonts w:cs="Times New Roman"/>
          <w:szCs w:val="22"/>
        </w:rPr>
        <w:t xml:space="preserve"> and other materials. As a result, some refrigerant is lost to air every year from some of the millions of pieces of equipment that provide cooling services. As a piece of equipment ages, leak rate</w:t>
      </w:r>
      <w:r w:rsidR="00C83F1E">
        <w:rPr>
          <w:rFonts w:cs="Times New Roman"/>
          <w:szCs w:val="22"/>
        </w:rPr>
        <w:t>s</w:t>
      </w:r>
      <w:r>
        <w:rPr>
          <w:rFonts w:cs="Times New Roman"/>
          <w:szCs w:val="22"/>
        </w:rPr>
        <w:t xml:space="preserve"> will gradually increase as materials and components wear and fatigue.</w:t>
      </w:r>
    </w:p>
    <w:p w14:paraId="2D4866C7" w14:textId="2A795914" w:rsidR="000A5DF7" w:rsidRDefault="000A5DF7" w:rsidP="000A5DF7">
      <w:pPr>
        <w:rPr>
          <w:rFonts w:cs="Times New Roman"/>
          <w:szCs w:val="22"/>
        </w:rPr>
      </w:pPr>
      <w:r>
        <w:rPr>
          <w:rFonts w:cs="Times New Roman"/>
          <w:szCs w:val="22"/>
        </w:rPr>
        <w:t>Occasionally a piece of equipment will experience a ‘catastrophic loss’. This occurs when some element of the containment of the refrigerant fails, such as when a compressor blows a seal, or a pipe or capillary fractures. These catastrophic failures are sometimes the result of material or component fatigue, and sometimes the result of human error, impact or vibration. There are classes of equipment in which this happens more often, particularly in the harder working equipment in the harsher environments such as in transport refrigeration systems that</w:t>
      </w:r>
      <w:r w:rsidR="00C83F1E">
        <w:rPr>
          <w:rFonts w:cs="Times New Roman"/>
          <w:szCs w:val="22"/>
        </w:rPr>
        <w:t xml:space="preserve"> are</w:t>
      </w:r>
      <w:r>
        <w:rPr>
          <w:rFonts w:cs="Times New Roman"/>
          <w:szCs w:val="22"/>
        </w:rPr>
        <w:t xml:space="preserve"> subject to vibration and in remote condenser systems around cool rooms in warehouses and farm sheds.</w:t>
      </w:r>
    </w:p>
    <w:p w14:paraId="4D9BB76F" w14:textId="3110A32B" w:rsidR="000A5DF7" w:rsidRDefault="000A5DF7" w:rsidP="000A5DF7">
      <w:pPr>
        <w:rPr>
          <w:rFonts w:cs="Times New Roman"/>
          <w:szCs w:val="22"/>
        </w:rPr>
      </w:pPr>
      <w:r>
        <w:rPr>
          <w:rFonts w:cs="Times New Roman"/>
          <w:szCs w:val="22"/>
        </w:rPr>
        <w:t xml:space="preserve">Refrigerant is also lost to air at various points along the supply lines to end users, although the businesses involved in importing, decanting, distributing and selling refrigerant have a strong vested interest in minimising those losses. There are also likely to be refrigerant losses when equipment is first installed and later serviced. </w:t>
      </w:r>
    </w:p>
    <w:p w14:paraId="69D900AD" w14:textId="3E01EE88" w:rsidR="000A5DF7" w:rsidRDefault="000A5DF7" w:rsidP="000A5DF7">
      <w:pPr>
        <w:rPr>
          <w:rFonts w:cs="Times New Roman"/>
          <w:szCs w:val="22"/>
        </w:rPr>
      </w:pPr>
      <w:r>
        <w:rPr>
          <w:rFonts w:cs="Times New Roman"/>
          <w:szCs w:val="22"/>
        </w:rPr>
        <w:t xml:space="preserve">All these losses, along the supply line, during installation, commissioning and servicing, and during lifelong operation, are defined as </w:t>
      </w:r>
      <w:r w:rsidR="00193DB7">
        <w:rPr>
          <w:rFonts w:cs="Times New Roman"/>
          <w:szCs w:val="22"/>
        </w:rPr>
        <w:t>direct</w:t>
      </w:r>
      <w:r>
        <w:rPr>
          <w:rFonts w:cs="Times New Roman"/>
          <w:szCs w:val="22"/>
        </w:rPr>
        <w:t xml:space="preserve"> </w:t>
      </w:r>
      <w:r w:rsidR="00193DB7">
        <w:rPr>
          <w:rFonts w:cs="Times New Roman"/>
          <w:szCs w:val="22"/>
        </w:rPr>
        <w:t>e</w:t>
      </w:r>
      <w:r>
        <w:rPr>
          <w:rFonts w:cs="Times New Roman"/>
          <w:szCs w:val="22"/>
        </w:rPr>
        <w:t xml:space="preserve">missions, and sometimes also just referred to as ‘leaks’. This boundary of </w:t>
      </w:r>
      <w:r w:rsidR="00193DB7">
        <w:rPr>
          <w:rFonts w:cs="Times New Roman"/>
          <w:szCs w:val="22"/>
        </w:rPr>
        <w:t>direct emissions</w:t>
      </w:r>
      <w:r>
        <w:rPr>
          <w:rFonts w:cs="Times New Roman"/>
          <w:szCs w:val="22"/>
        </w:rPr>
        <w:t xml:space="preserve"> does not include refrigerant lost from equipment that has been removed from service and discarded. End-of-life </w:t>
      </w:r>
      <w:r w:rsidR="00C83F1E">
        <w:rPr>
          <w:rFonts w:cs="Times New Roman"/>
          <w:szCs w:val="22"/>
        </w:rPr>
        <w:t xml:space="preserve">(EOL) </w:t>
      </w:r>
      <w:r>
        <w:rPr>
          <w:rFonts w:cs="Times New Roman"/>
          <w:szCs w:val="22"/>
        </w:rPr>
        <w:t xml:space="preserve">equipment and end-of-life losses </w:t>
      </w:r>
      <w:r w:rsidR="00C83F1E">
        <w:rPr>
          <w:rFonts w:cs="Times New Roman"/>
          <w:szCs w:val="22"/>
        </w:rPr>
        <w:t xml:space="preserve">are </w:t>
      </w:r>
      <w:r>
        <w:rPr>
          <w:rFonts w:cs="Times New Roman"/>
          <w:szCs w:val="22"/>
        </w:rPr>
        <w:t>calculated separately.</w:t>
      </w:r>
    </w:p>
    <w:p w14:paraId="44FBE781" w14:textId="6491C928" w:rsidR="000A5DF7" w:rsidRDefault="00193DB7" w:rsidP="000A5DF7">
      <w:pPr>
        <w:rPr>
          <w:rFonts w:cs="Times New Roman"/>
          <w:szCs w:val="22"/>
        </w:rPr>
      </w:pPr>
      <w:r>
        <w:rPr>
          <w:rFonts w:cs="Times New Roman"/>
          <w:szCs w:val="22"/>
        </w:rPr>
        <w:t>D</w:t>
      </w:r>
      <w:r w:rsidR="00F24C63">
        <w:rPr>
          <w:rFonts w:cs="Times New Roman"/>
          <w:szCs w:val="22"/>
        </w:rPr>
        <w:t>irect emissions</w:t>
      </w:r>
      <w:r w:rsidR="000A5DF7">
        <w:rPr>
          <w:rFonts w:cs="Times New Roman"/>
          <w:szCs w:val="22"/>
        </w:rPr>
        <w:t xml:space="preserve"> from most product categories increase more slowly than the stock of equipment itself over the life of the projection as two long term trends continue to drive improvements in equipment performance. RAC equipment performance relies on effective refrigerant containment. As a result, improvements in design, manufacturing methods, materials selection and installation and maintenance procedures in the field ha</w:t>
      </w:r>
      <w:r w:rsidR="00C83F1E">
        <w:rPr>
          <w:rFonts w:cs="Times New Roman"/>
          <w:szCs w:val="22"/>
        </w:rPr>
        <w:t>ve</w:t>
      </w:r>
      <w:r w:rsidR="000A5DF7">
        <w:rPr>
          <w:rFonts w:cs="Times New Roman"/>
          <w:szCs w:val="22"/>
        </w:rPr>
        <w:t xml:space="preserve">, over the past several decades, improved containment and reduced leaks from all refrigerating equipment. Leak rates are not uniform across product categories, or even across various generations of equipment within product categories, but overall leak rates are seen to be steadily reducing. </w:t>
      </w:r>
    </w:p>
    <w:p w14:paraId="0EED26F8" w14:textId="6890DF4B" w:rsidR="000A5DF7" w:rsidRDefault="000A5DF7" w:rsidP="000A5DF7">
      <w:pPr>
        <w:rPr>
          <w:rFonts w:cs="Times New Roman"/>
          <w:szCs w:val="22"/>
        </w:rPr>
      </w:pPr>
      <w:r>
        <w:rPr>
          <w:rFonts w:cs="Times New Roman"/>
          <w:szCs w:val="22"/>
        </w:rPr>
        <w:t xml:space="preserve">Secondly the refrigerant charge size in many products </w:t>
      </w:r>
      <w:r w:rsidR="008D0C7E">
        <w:rPr>
          <w:rFonts w:cs="Times New Roman"/>
          <w:szCs w:val="22"/>
        </w:rPr>
        <w:t xml:space="preserve">is </w:t>
      </w:r>
      <w:r>
        <w:rPr>
          <w:rFonts w:cs="Times New Roman"/>
          <w:szCs w:val="22"/>
        </w:rPr>
        <w:t xml:space="preserve">steadily being reduced by improved design and higher efficiency components, such as improved heat exchanger efficiency and design. Coupled with lower loss rates, this trend reduces </w:t>
      </w:r>
      <w:r w:rsidR="00193DB7">
        <w:rPr>
          <w:rFonts w:cs="Times New Roman"/>
          <w:szCs w:val="22"/>
        </w:rPr>
        <w:t>direct emissions</w:t>
      </w:r>
      <w:r>
        <w:rPr>
          <w:rFonts w:cs="Times New Roman"/>
          <w:szCs w:val="22"/>
        </w:rPr>
        <w:t xml:space="preserve"> during operation, and even in the instance of catastrophic losses, because equipment simply has less refrigerant to lose (e.g. small AC charged with HFC-32).</w:t>
      </w:r>
    </w:p>
    <w:p w14:paraId="3AFCA92C" w14:textId="48938001" w:rsidR="000A5DF7" w:rsidRDefault="007A5FD5" w:rsidP="000A5DF7">
      <w:pPr>
        <w:rPr>
          <w:rFonts w:cs="Times New Roman"/>
          <w:szCs w:val="22"/>
        </w:rPr>
      </w:pPr>
      <w:r w:rsidRPr="007A5FD5">
        <w:rPr>
          <w:rFonts w:cs="Times New Roman"/>
          <w:i/>
          <w:szCs w:val="22"/>
        </w:rPr>
        <w:t>Appendix A: 11.2.11 Bank by product category</w:t>
      </w:r>
      <w:r w:rsidR="000A5DF7">
        <w:rPr>
          <w:rFonts w:cs="Times New Roman"/>
          <w:szCs w:val="22"/>
        </w:rPr>
        <w:t xml:space="preserve"> lists </w:t>
      </w:r>
      <w:r>
        <w:rPr>
          <w:rFonts w:cs="Times New Roman"/>
          <w:szCs w:val="22"/>
        </w:rPr>
        <w:t xml:space="preserve">the theoretical </w:t>
      </w:r>
      <w:r w:rsidR="000A5DF7">
        <w:rPr>
          <w:rFonts w:cs="Times New Roman"/>
          <w:szCs w:val="22"/>
        </w:rPr>
        <w:t>leak rates</w:t>
      </w:r>
      <w:r>
        <w:rPr>
          <w:rFonts w:cs="Times New Roman"/>
          <w:szCs w:val="22"/>
        </w:rPr>
        <w:t xml:space="preserve">, average charge, end-of-life factors and average lifespans for all the product categories </w:t>
      </w:r>
      <w:r w:rsidR="000A5DF7">
        <w:rPr>
          <w:rFonts w:cs="Times New Roman"/>
          <w:szCs w:val="22"/>
        </w:rPr>
        <w:t>in 2016</w:t>
      </w:r>
      <w:r>
        <w:rPr>
          <w:rFonts w:cs="Times New Roman"/>
          <w:szCs w:val="22"/>
        </w:rPr>
        <w:t xml:space="preserve">. Refer </w:t>
      </w:r>
      <w:r w:rsidR="00F13F58">
        <w:rPr>
          <w:rFonts w:cs="Times New Roman"/>
          <w:i/>
          <w:szCs w:val="22"/>
        </w:rPr>
        <w:t>Table 38</w:t>
      </w:r>
      <w:r w:rsidRPr="007A5FD5">
        <w:rPr>
          <w:rFonts w:cs="Times New Roman"/>
          <w:i/>
          <w:szCs w:val="22"/>
        </w:rPr>
        <w:t xml:space="preserve">: </w:t>
      </w:r>
      <w:r w:rsidR="00F13F58" w:rsidRPr="00F13F58">
        <w:rPr>
          <w:rFonts w:cs="Times New Roman"/>
          <w:i/>
          <w:szCs w:val="22"/>
        </w:rPr>
        <w:t>Technical characteristics by product category (average charge, end-of-life factors, service rates, leak rates and average lifespan) for most common substance</w:t>
      </w:r>
      <w:r w:rsidRPr="007A5FD5">
        <w:rPr>
          <w:rFonts w:cs="Times New Roman"/>
          <w:szCs w:val="22"/>
        </w:rPr>
        <w:t>.</w:t>
      </w:r>
    </w:p>
    <w:p w14:paraId="5B9072F9" w14:textId="77777777" w:rsidR="007A5558" w:rsidRDefault="007A5558" w:rsidP="000A5DF7">
      <w:pPr>
        <w:rPr>
          <w:rFonts w:cs="Times New Roman"/>
          <w:szCs w:val="22"/>
        </w:rPr>
      </w:pPr>
    </w:p>
    <w:p w14:paraId="09F2D5DA" w14:textId="42F3D83F" w:rsidR="000A5DF7" w:rsidRPr="004F13EC" w:rsidRDefault="00193DB7" w:rsidP="000A5DF7">
      <w:pPr>
        <w:pStyle w:val="Heading2"/>
      </w:pPr>
      <w:bookmarkStart w:id="145" w:name="_Toc525141295"/>
      <w:r>
        <w:t>Di</w:t>
      </w:r>
      <w:r w:rsidR="00041A97">
        <w:t xml:space="preserve">rect </w:t>
      </w:r>
      <w:r w:rsidR="00A0109B">
        <w:t>e</w:t>
      </w:r>
      <w:r w:rsidR="00041A97">
        <w:t xml:space="preserve">missions </w:t>
      </w:r>
      <w:r w:rsidR="00A0109B">
        <w:t>e</w:t>
      </w:r>
      <w:r w:rsidR="000A5DF7" w:rsidRPr="004F13EC">
        <w:t xml:space="preserve">stimates and </w:t>
      </w:r>
      <w:r w:rsidR="00A0109B">
        <w:t>p</w:t>
      </w:r>
      <w:r w:rsidR="000A5DF7" w:rsidRPr="004F13EC">
        <w:t>rojections</w:t>
      </w:r>
      <w:bookmarkEnd w:id="145"/>
    </w:p>
    <w:p w14:paraId="4402D001" w14:textId="29C06B02" w:rsidR="000A5DF7" w:rsidRDefault="000A5DF7" w:rsidP="000A5DF7">
      <w:pPr>
        <w:rPr>
          <w:rFonts w:cs="Times New Roman"/>
          <w:szCs w:val="22"/>
        </w:rPr>
      </w:pPr>
      <w:r>
        <w:rPr>
          <w:rFonts w:cs="Times New Roman"/>
          <w:szCs w:val="22"/>
        </w:rPr>
        <w:t xml:space="preserve">The </w:t>
      </w:r>
      <w:r w:rsidR="007A1335">
        <w:rPr>
          <w:rFonts w:cs="Times New Roman"/>
          <w:szCs w:val="22"/>
        </w:rPr>
        <w:t>CHF3 RAC Stock model</w:t>
      </w:r>
      <w:r>
        <w:rPr>
          <w:rFonts w:cs="Times New Roman"/>
          <w:szCs w:val="22"/>
        </w:rPr>
        <w:t xml:space="preserve"> estimates that in 2016 more than </w:t>
      </w:r>
      <w:r w:rsidR="009944BF">
        <w:rPr>
          <w:rFonts w:cs="Times New Roman"/>
          <w:szCs w:val="22"/>
        </w:rPr>
        <w:t>2,955</w:t>
      </w:r>
      <w:r>
        <w:rPr>
          <w:rFonts w:cs="Times New Roman"/>
          <w:szCs w:val="22"/>
        </w:rPr>
        <w:t xml:space="preserve"> tonnes of </w:t>
      </w:r>
      <w:r w:rsidR="009944BF">
        <w:rPr>
          <w:rFonts w:cs="Times New Roman"/>
          <w:szCs w:val="22"/>
        </w:rPr>
        <w:t>HCFCs and HFCs</w:t>
      </w:r>
      <w:r w:rsidR="001C7650">
        <w:rPr>
          <w:rFonts w:cs="Times New Roman"/>
          <w:szCs w:val="22"/>
        </w:rPr>
        <w:t xml:space="preserve"> were</w:t>
      </w:r>
      <w:r w:rsidR="009944BF">
        <w:rPr>
          <w:rFonts w:cs="Times New Roman"/>
          <w:szCs w:val="22"/>
        </w:rPr>
        <w:t xml:space="preserve"> </w:t>
      </w:r>
      <w:r>
        <w:rPr>
          <w:rFonts w:cs="Times New Roman"/>
          <w:szCs w:val="22"/>
        </w:rPr>
        <w:t xml:space="preserve">lost to air as a result of leaks from the supply lines and operating equipment. This implies an average leak rate across the entire refrigerant bank of around </w:t>
      </w:r>
      <w:r w:rsidR="008D6B50">
        <w:rPr>
          <w:rFonts w:cs="Times New Roman"/>
          <w:szCs w:val="22"/>
        </w:rPr>
        <w:t>5.8</w:t>
      </w:r>
      <w:r>
        <w:rPr>
          <w:rFonts w:cs="Times New Roman"/>
          <w:szCs w:val="22"/>
        </w:rPr>
        <w:t xml:space="preserve">% per annum, although the leak rates in the model vary greatly across all of the equipment categories, from 1% per annum for domestic refrigeration to as much as </w:t>
      </w:r>
      <w:r w:rsidR="008D6B50" w:rsidRPr="008D6B50">
        <w:rPr>
          <w:rFonts w:cs="Times New Roman"/>
          <w:szCs w:val="22"/>
        </w:rPr>
        <w:t>1</w:t>
      </w:r>
      <w:r w:rsidRPr="008D6B50">
        <w:rPr>
          <w:rFonts w:cs="Times New Roman"/>
          <w:szCs w:val="22"/>
        </w:rPr>
        <w:t>5%</w:t>
      </w:r>
      <w:r>
        <w:rPr>
          <w:rFonts w:cs="Times New Roman"/>
          <w:szCs w:val="22"/>
        </w:rPr>
        <w:t xml:space="preserve"> in some segments of the refrigerated cold food chain, such as in transport refrigeration units.</w:t>
      </w:r>
    </w:p>
    <w:p w14:paraId="32B8901D" w14:textId="47DEE6A9" w:rsidR="00041A97" w:rsidRDefault="00041A97" w:rsidP="00041A97">
      <w:pPr>
        <w:rPr>
          <w:rFonts w:cs="Times New Roman"/>
          <w:szCs w:val="22"/>
        </w:rPr>
      </w:pPr>
      <w:r>
        <w:rPr>
          <w:rFonts w:cs="Times New Roman"/>
          <w:szCs w:val="22"/>
        </w:rPr>
        <w:t xml:space="preserve">It should be noted that </w:t>
      </w:r>
      <w:r w:rsidR="00193DB7">
        <w:rPr>
          <w:rFonts w:cs="Times New Roman"/>
          <w:szCs w:val="22"/>
        </w:rPr>
        <w:t>d</w:t>
      </w:r>
      <w:r w:rsidR="0014367F">
        <w:rPr>
          <w:rFonts w:cs="Times New Roman"/>
          <w:szCs w:val="22"/>
        </w:rPr>
        <w:t xml:space="preserve">irect </w:t>
      </w:r>
      <w:r w:rsidR="00193DB7">
        <w:rPr>
          <w:rFonts w:cs="Times New Roman"/>
          <w:szCs w:val="22"/>
        </w:rPr>
        <w:t>e</w:t>
      </w:r>
      <w:r w:rsidR="0014367F">
        <w:rPr>
          <w:rFonts w:cs="Times New Roman"/>
          <w:szCs w:val="22"/>
        </w:rPr>
        <w:t xml:space="preserve">missions </w:t>
      </w:r>
      <w:r>
        <w:rPr>
          <w:rFonts w:cs="Times New Roman"/>
          <w:szCs w:val="22"/>
        </w:rPr>
        <w:t>do not include losses of refrigerant from equipment at the end of its working life. This</w:t>
      </w:r>
      <w:r w:rsidR="001B1563">
        <w:rPr>
          <w:rFonts w:cs="Times New Roman"/>
          <w:szCs w:val="22"/>
        </w:rPr>
        <w:t xml:space="preserve"> value is calculated separately because</w:t>
      </w:r>
      <w:r>
        <w:rPr>
          <w:rFonts w:cs="Times New Roman"/>
          <w:szCs w:val="22"/>
        </w:rPr>
        <w:t xml:space="preserve"> the economic, regulatory and work place practices that might be effective in collecting refri</w:t>
      </w:r>
      <w:r w:rsidR="001B1563">
        <w:rPr>
          <w:rFonts w:cs="Times New Roman"/>
          <w:szCs w:val="22"/>
        </w:rPr>
        <w:t>gerant gas from EOL equipment are</w:t>
      </w:r>
      <w:r>
        <w:rPr>
          <w:rFonts w:cs="Times New Roman"/>
          <w:szCs w:val="22"/>
        </w:rPr>
        <w:t xml:space="preserve"> very different from the measures that can be taken to reduce losses from operating equipment.</w:t>
      </w:r>
      <w:r w:rsidR="001B1563">
        <w:rPr>
          <w:rFonts w:cs="Times New Roman"/>
          <w:szCs w:val="22"/>
        </w:rPr>
        <w:t xml:space="preserve"> EOL emissions are </w:t>
      </w:r>
      <w:r w:rsidR="001B1563" w:rsidRPr="00BF6679">
        <w:rPr>
          <w:rFonts w:cs="Times New Roman"/>
          <w:szCs w:val="22"/>
        </w:rPr>
        <w:t xml:space="preserve">discussed in </w:t>
      </w:r>
      <w:r w:rsidR="001B1563" w:rsidRPr="00BF6679">
        <w:rPr>
          <w:rFonts w:cs="Times New Roman"/>
          <w:i/>
          <w:szCs w:val="22"/>
        </w:rPr>
        <w:t>Section 8.7</w:t>
      </w:r>
      <w:r w:rsidR="001B1563" w:rsidRPr="00BF6679">
        <w:rPr>
          <w:rFonts w:cs="Times New Roman"/>
          <w:szCs w:val="22"/>
        </w:rPr>
        <w:t>.</w:t>
      </w:r>
    </w:p>
    <w:p w14:paraId="54510E93" w14:textId="25F0A906" w:rsidR="00601F8A" w:rsidRDefault="00601F8A" w:rsidP="00041A97">
      <w:pPr>
        <w:rPr>
          <w:rFonts w:cs="Times New Roman"/>
          <w:szCs w:val="22"/>
        </w:rPr>
      </w:pPr>
      <w:r w:rsidRPr="00601F8A">
        <w:rPr>
          <w:rFonts w:cs="Times New Roman"/>
          <w:szCs w:val="22"/>
        </w:rPr>
        <w:t xml:space="preserve">The </w:t>
      </w:r>
      <w:r>
        <w:rPr>
          <w:rFonts w:cs="Times New Roman"/>
          <w:szCs w:val="22"/>
        </w:rPr>
        <w:t xml:space="preserve">direct emissions </w:t>
      </w:r>
      <w:r w:rsidRPr="00601F8A">
        <w:rPr>
          <w:rFonts w:cs="Times New Roman"/>
          <w:szCs w:val="22"/>
        </w:rPr>
        <w:t xml:space="preserve">projections include HCFC-22 and HCFC-123 to demonstrate the </w:t>
      </w:r>
      <w:r w:rsidR="009F5EAE" w:rsidRPr="00601F8A">
        <w:rPr>
          <w:rFonts w:cs="Times New Roman"/>
          <w:szCs w:val="22"/>
        </w:rPr>
        <w:t>diminishing</w:t>
      </w:r>
      <w:r w:rsidRPr="00601F8A">
        <w:rPr>
          <w:rFonts w:cs="Times New Roman"/>
          <w:szCs w:val="22"/>
        </w:rPr>
        <w:t xml:space="preserve"> presence of these substances. They are not counted as part of the GHGs reported under the Kyoto Protocol or United Nations </w:t>
      </w:r>
      <w:r w:rsidR="001C7650">
        <w:rPr>
          <w:rFonts w:cs="Times New Roman"/>
          <w:szCs w:val="22"/>
        </w:rPr>
        <w:t xml:space="preserve">Framework </w:t>
      </w:r>
      <w:r w:rsidRPr="00601F8A">
        <w:rPr>
          <w:rFonts w:cs="Times New Roman"/>
          <w:szCs w:val="22"/>
        </w:rPr>
        <w:t xml:space="preserve">Convention on Climate Change, as they </w:t>
      </w:r>
      <w:r w:rsidR="00A27888">
        <w:rPr>
          <w:rFonts w:cs="Times New Roman"/>
          <w:szCs w:val="22"/>
        </w:rPr>
        <w:t xml:space="preserve">are </w:t>
      </w:r>
      <w:r w:rsidRPr="00601F8A">
        <w:rPr>
          <w:rFonts w:cs="Times New Roman"/>
          <w:szCs w:val="22"/>
        </w:rPr>
        <w:t>managed through the Montreal Protocol.</w:t>
      </w:r>
    </w:p>
    <w:p w14:paraId="3AF29EF7" w14:textId="5CBD9F99" w:rsidR="000A5DF7" w:rsidRDefault="000A5DF7" w:rsidP="000A5DF7">
      <w:pPr>
        <w:rPr>
          <w:rFonts w:cs="Times New Roman"/>
          <w:szCs w:val="22"/>
        </w:rPr>
      </w:pPr>
      <w:r>
        <w:rPr>
          <w:rFonts w:cs="Times New Roman"/>
          <w:szCs w:val="22"/>
        </w:rPr>
        <w:t xml:space="preserve">By 2030 </w:t>
      </w:r>
      <w:r w:rsidR="00193DB7">
        <w:rPr>
          <w:rFonts w:cs="Times New Roman"/>
          <w:szCs w:val="22"/>
        </w:rPr>
        <w:t>the direct emissions</w:t>
      </w:r>
      <w:r>
        <w:rPr>
          <w:rFonts w:cs="Times New Roman"/>
          <w:szCs w:val="22"/>
        </w:rPr>
        <w:t xml:space="preserve"> </w:t>
      </w:r>
      <w:r w:rsidR="008D6B50">
        <w:rPr>
          <w:rFonts w:cs="Times New Roman"/>
          <w:szCs w:val="22"/>
        </w:rPr>
        <w:t xml:space="preserve">of HCFCs and HFCs </w:t>
      </w:r>
      <w:r w:rsidR="00FE74F2">
        <w:rPr>
          <w:rFonts w:cs="Times New Roman"/>
          <w:szCs w:val="22"/>
        </w:rPr>
        <w:t>are</w:t>
      </w:r>
      <w:r>
        <w:rPr>
          <w:rFonts w:cs="Times New Roman"/>
          <w:szCs w:val="22"/>
        </w:rPr>
        <w:t xml:space="preserve"> expected to </w:t>
      </w:r>
      <w:r w:rsidR="008D6B50">
        <w:rPr>
          <w:rFonts w:cs="Times New Roman"/>
          <w:szCs w:val="22"/>
        </w:rPr>
        <w:t xml:space="preserve">decline slightly </w:t>
      </w:r>
      <w:r>
        <w:rPr>
          <w:rFonts w:cs="Times New Roman"/>
          <w:szCs w:val="22"/>
        </w:rPr>
        <w:t xml:space="preserve">to just under </w:t>
      </w:r>
      <w:r w:rsidR="008D6B50">
        <w:rPr>
          <w:rFonts w:cs="Times New Roman"/>
          <w:szCs w:val="22"/>
        </w:rPr>
        <w:t>2,910</w:t>
      </w:r>
      <w:r>
        <w:rPr>
          <w:rFonts w:cs="Times New Roman"/>
          <w:szCs w:val="22"/>
        </w:rPr>
        <w:t xml:space="preserve"> tonnes </w:t>
      </w:r>
      <w:r w:rsidR="001C7650">
        <w:rPr>
          <w:rFonts w:cs="Times New Roman"/>
          <w:szCs w:val="22"/>
        </w:rPr>
        <w:t xml:space="preserve">from the much larger bank </w:t>
      </w:r>
      <w:r>
        <w:rPr>
          <w:rFonts w:cs="Times New Roman"/>
          <w:szCs w:val="22"/>
        </w:rPr>
        <w:t xml:space="preserve">implying an improved average leak rate across the entire stock of equipment at that time of around </w:t>
      </w:r>
      <w:r w:rsidR="008D6B50">
        <w:rPr>
          <w:rFonts w:cs="Times New Roman"/>
          <w:szCs w:val="22"/>
        </w:rPr>
        <w:t>4.9</w:t>
      </w:r>
      <w:r>
        <w:rPr>
          <w:rFonts w:cs="Times New Roman"/>
          <w:szCs w:val="22"/>
        </w:rPr>
        <w:t>6%</w:t>
      </w:r>
      <w:r w:rsidR="008D6B50">
        <w:rPr>
          <w:rFonts w:cs="Times New Roman"/>
          <w:szCs w:val="22"/>
        </w:rPr>
        <w:t xml:space="preserve"> of the HCFC and HFC bank</w:t>
      </w:r>
      <w:r>
        <w:rPr>
          <w:rFonts w:cs="Times New Roman"/>
          <w:szCs w:val="22"/>
        </w:rPr>
        <w:t>.</w:t>
      </w:r>
      <w:r w:rsidR="001C7650">
        <w:rPr>
          <w:rFonts w:cs="Times New Roman"/>
          <w:szCs w:val="22"/>
        </w:rPr>
        <w:t xml:space="preserve"> Note that the bank in 2030 is projected to have a much lower GWP.</w:t>
      </w:r>
    </w:p>
    <w:p w14:paraId="08C93317" w14:textId="52A9E924" w:rsidR="000A5DF7" w:rsidRDefault="008D6B50" w:rsidP="001E7E4A">
      <w:pPr>
        <w:spacing w:after="240"/>
        <w:rPr>
          <w:rFonts w:cs="Times New Roman"/>
          <w:szCs w:val="22"/>
        </w:rPr>
      </w:pPr>
      <w:r>
        <w:rPr>
          <w:rFonts w:cs="Times New Roman"/>
          <w:szCs w:val="22"/>
        </w:rPr>
        <w:t>D</w:t>
      </w:r>
      <w:r w:rsidR="00193DB7">
        <w:rPr>
          <w:rFonts w:cs="Times New Roman"/>
          <w:szCs w:val="22"/>
        </w:rPr>
        <w:t>irect emissions</w:t>
      </w:r>
      <w:r w:rsidR="000A5DF7">
        <w:rPr>
          <w:rFonts w:cs="Times New Roman"/>
          <w:szCs w:val="22"/>
        </w:rPr>
        <w:t xml:space="preserve"> in 2016 </w:t>
      </w:r>
      <w:r w:rsidR="00FE74F2">
        <w:rPr>
          <w:rFonts w:cs="Times New Roman"/>
          <w:szCs w:val="22"/>
        </w:rPr>
        <w:t>are</w:t>
      </w:r>
      <w:r w:rsidR="000A5DF7">
        <w:rPr>
          <w:rFonts w:cs="Times New Roman"/>
          <w:szCs w:val="22"/>
        </w:rPr>
        <w:t xml:space="preserve"> calculated to be equivalent to just under </w:t>
      </w:r>
      <w:r>
        <w:rPr>
          <w:rFonts w:cs="Times New Roman"/>
          <w:szCs w:val="22"/>
        </w:rPr>
        <w:t>6.4</w:t>
      </w:r>
      <w:r w:rsidR="000A5DF7">
        <w:rPr>
          <w:rFonts w:cs="Times New Roman"/>
          <w:szCs w:val="22"/>
        </w:rPr>
        <w:t xml:space="preserve"> million tonnes of CO</w:t>
      </w:r>
      <w:r w:rsidR="000A5DF7" w:rsidRPr="007F0663">
        <w:rPr>
          <w:rFonts w:cs="Times New Roman"/>
          <w:szCs w:val="22"/>
          <w:vertAlign w:val="subscript"/>
        </w:rPr>
        <w:t>2</w:t>
      </w:r>
      <w:r w:rsidR="000A5DF7">
        <w:rPr>
          <w:rFonts w:cs="Times New Roman"/>
          <w:szCs w:val="22"/>
        </w:rPr>
        <w:t>e</w:t>
      </w:r>
      <w:r w:rsidR="003E79B9" w:rsidDel="003E79B9">
        <w:rPr>
          <w:rFonts w:cs="Times New Roman"/>
          <w:szCs w:val="22"/>
        </w:rPr>
        <w:t xml:space="preserve"> </w:t>
      </w:r>
      <w:r w:rsidR="00BE2F56">
        <w:rPr>
          <w:rFonts w:cs="Times New Roman"/>
          <w:szCs w:val="22"/>
        </w:rPr>
        <w:t>(</w:t>
      </w:r>
      <w:r w:rsidR="00BE2F56" w:rsidRPr="00BE2F56">
        <w:rPr>
          <w:rFonts w:cs="Times New Roman"/>
          <w:i/>
          <w:szCs w:val="22"/>
        </w:rPr>
        <w:t>CHF2 5.4 million tonnes</w:t>
      </w:r>
      <w:r w:rsidR="00BE2F56">
        <w:rPr>
          <w:rFonts w:cs="Times New Roman"/>
          <w:szCs w:val="22"/>
        </w:rPr>
        <w:t>)</w:t>
      </w:r>
      <w:r w:rsidR="00A51A83">
        <w:rPr>
          <w:rFonts w:cs="Times New Roman"/>
          <w:szCs w:val="22"/>
        </w:rPr>
        <w:t>. W</w:t>
      </w:r>
      <w:r w:rsidR="000A5DF7">
        <w:rPr>
          <w:rFonts w:cs="Times New Roman"/>
          <w:szCs w:val="22"/>
        </w:rPr>
        <w:t>hile the absolute quantum of refrigerant losses is expected to rise throughout the projection period, the CO</w:t>
      </w:r>
      <w:r w:rsidR="000A5DF7" w:rsidRPr="007F0663">
        <w:rPr>
          <w:rFonts w:cs="Times New Roman"/>
          <w:szCs w:val="22"/>
          <w:vertAlign w:val="subscript"/>
        </w:rPr>
        <w:t>2</w:t>
      </w:r>
      <w:r w:rsidR="000A5DF7">
        <w:rPr>
          <w:rFonts w:cs="Times New Roman"/>
          <w:szCs w:val="22"/>
        </w:rPr>
        <w:t xml:space="preserve">e value of </w:t>
      </w:r>
      <w:r w:rsidR="00193DB7">
        <w:rPr>
          <w:rFonts w:cs="Times New Roman"/>
          <w:szCs w:val="22"/>
        </w:rPr>
        <w:t>direct emissions</w:t>
      </w:r>
      <w:r w:rsidR="000A5DF7">
        <w:rPr>
          <w:rFonts w:cs="Times New Roman"/>
          <w:szCs w:val="22"/>
        </w:rPr>
        <w:t xml:space="preserve"> is expected to fall by more than 27% in the period</w:t>
      </w:r>
      <w:r w:rsidR="00ED7588">
        <w:rPr>
          <w:rFonts w:cs="Times New Roman"/>
          <w:szCs w:val="22"/>
        </w:rPr>
        <w:t>,</w:t>
      </w:r>
      <w:r w:rsidR="000A5DF7">
        <w:rPr>
          <w:rFonts w:cs="Times New Roman"/>
          <w:szCs w:val="22"/>
        </w:rPr>
        <w:t xml:space="preserve"> to </w:t>
      </w:r>
      <w:r w:rsidR="008B6867">
        <w:rPr>
          <w:rFonts w:cs="Times New Roman"/>
          <w:szCs w:val="22"/>
        </w:rPr>
        <w:t>4.7</w:t>
      </w:r>
      <w:r w:rsidR="000A5DF7">
        <w:rPr>
          <w:rFonts w:cs="Times New Roman"/>
          <w:szCs w:val="22"/>
        </w:rPr>
        <w:t xml:space="preserve"> million tonnes CO</w:t>
      </w:r>
      <w:r w:rsidR="000A5DF7" w:rsidRPr="007F0663">
        <w:rPr>
          <w:rFonts w:cs="Times New Roman"/>
          <w:szCs w:val="22"/>
          <w:vertAlign w:val="subscript"/>
        </w:rPr>
        <w:t>2</w:t>
      </w:r>
      <w:r w:rsidR="000A5DF7">
        <w:rPr>
          <w:rFonts w:cs="Times New Roman"/>
          <w:szCs w:val="22"/>
        </w:rPr>
        <w:t>e in 2030. Given the total bank in the period, and the total stock of equipment</w:t>
      </w:r>
      <w:r w:rsidR="00ED7588">
        <w:rPr>
          <w:rFonts w:cs="Times New Roman"/>
          <w:szCs w:val="22"/>
        </w:rPr>
        <w:t>,</w:t>
      </w:r>
      <w:r w:rsidR="000A5DF7">
        <w:rPr>
          <w:rFonts w:cs="Times New Roman"/>
          <w:szCs w:val="22"/>
        </w:rPr>
        <w:t xml:space="preserve"> is expected to expand steadily, reducing the CO</w:t>
      </w:r>
      <w:r w:rsidR="000A5DF7" w:rsidRPr="007F0663">
        <w:rPr>
          <w:rFonts w:cs="Times New Roman"/>
          <w:szCs w:val="22"/>
          <w:vertAlign w:val="subscript"/>
        </w:rPr>
        <w:t>2</w:t>
      </w:r>
      <w:r w:rsidR="000A5DF7">
        <w:rPr>
          <w:rFonts w:cs="Times New Roman"/>
          <w:szCs w:val="22"/>
        </w:rPr>
        <w:t xml:space="preserve">e value of losses is a good outcome. Even so, total aggregate </w:t>
      </w:r>
      <w:r w:rsidR="00193DB7">
        <w:rPr>
          <w:rFonts w:cs="Times New Roman"/>
          <w:szCs w:val="22"/>
        </w:rPr>
        <w:t>direct emissions</w:t>
      </w:r>
      <w:r w:rsidR="000A5DF7">
        <w:rPr>
          <w:rFonts w:cs="Times New Roman"/>
          <w:szCs w:val="22"/>
        </w:rPr>
        <w:t xml:space="preserve"> over the course of the 1</w:t>
      </w:r>
      <w:r w:rsidR="008B6867">
        <w:rPr>
          <w:rFonts w:cs="Times New Roman"/>
          <w:szCs w:val="22"/>
        </w:rPr>
        <w:t>4</w:t>
      </w:r>
      <w:r w:rsidR="000A5DF7">
        <w:rPr>
          <w:rFonts w:cs="Times New Roman"/>
          <w:szCs w:val="22"/>
        </w:rPr>
        <w:t xml:space="preserve"> year projection </w:t>
      </w:r>
      <w:r w:rsidR="00FE74F2">
        <w:rPr>
          <w:rFonts w:cs="Times New Roman"/>
          <w:szCs w:val="22"/>
        </w:rPr>
        <w:t>are</w:t>
      </w:r>
      <w:r w:rsidR="000A5DF7">
        <w:rPr>
          <w:rFonts w:cs="Times New Roman"/>
          <w:szCs w:val="22"/>
        </w:rPr>
        <w:t xml:space="preserve"> still expected to be nearly 94 million tonnes CO</w:t>
      </w:r>
      <w:r w:rsidR="000A5DF7" w:rsidRPr="007F0663">
        <w:rPr>
          <w:rFonts w:cs="Times New Roman"/>
          <w:szCs w:val="22"/>
          <w:vertAlign w:val="subscript"/>
        </w:rPr>
        <w:t>2</w:t>
      </w:r>
      <w:r w:rsidR="000A5DF7">
        <w:rPr>
          <w:rFonts w:cs="Times New Roman"/>
          <w:szCs w:val="22"/>
        </w:rPr>
        <w:t>e.</w:t>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0A5DF7" w:rsidRPr="00613398" w14:paraId="67D5E28C" w14:textId="77777777" w:rsidTr="001E36B8">
        <w:tc>
          <w:tcPr>
            <w:tcW w:w="9759" w:type="dxa"/>
            <w:vAlign w:val="center"/>
          </w:tcPr>
          <w:p w14:paraId="3B3127EF" w14:textId="53C42B1C" w:rsidR="000A5DF7" w:rsidRPr="000A23F9" w:rsidRDefault="000A5DF7" w:rsidP="001E36B8">
            <w:pPr>
              <w:spacing w:after="120"/>
              <w:jc w:val="center"/>
              <w:rPr>
                <w:rFonts w:cs="Times New Roman"/>
                <w:b/>
              </w:rPr>
            </w:pPr>
            <w:r w:rsidRPr="000A23F9">
              <w:rPr>
                <w:rFonts w:cs="Times New Roman"/>
                <w:b/>
              </w:rPr>
              <w:br w:type="page"/>
            </w:r>
            <w:r w:rsidR="00193DB7">
              <w:rPr>
                <w:rFonts w:cs="Times New Roman"/>
                <w:b/>
              </w:rPr>
              <w:t>Direct emissions</w:t>
            </w:r>
            <w:r>
              <w:rPr>
                <w:rFonts w:cs="Times New Roman"/>
                <w:b/>
              </w:rPr>
              <w:t xml:space="preserve"> (</w:t>
            </w:r>
            <w:r w:rsidR="00A0109B">
              <w:rPr>
                <w:rFonts w:cs="Times New Roman"/>
                <w:b/>
              </w:rPr>
              <w:t>actual)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sidR="00A0109B">
              <w:rPr>
                <w:rFonts w:cs="Times New Roman"/>
                <w:b/>
              </w:rPr>
              <w:t>t</w:t>
            </w:r>
            <w:r w:rsidRPr="000A23F9">
              <w:rPr>
                <w:rFonts w:cs="Times New Roman"/>
                <w:b/>
              </w:rPr>
              <w:t>onnes)</w:t>
            </w:r>
          </w:p>
        </w:tc>
      </w:tr>
      <w:tr w:rsidR="000A5DF7" w:rsidRPr="000A23F9" w14:paraId="5D2FD7F4" w14:textId="77777777" w:rsidTr="008B6867">
        <w:tc>
          <w:tcPr>
            <w:tcW w:w="9759" w:type="dxa"/>
            <w:vAlign w:val="center"/>
          </w:tcPr>
          <w:p w14:paraId="13611630" w14:textId="77777777" w:rsidR="000A5DF7" w:rsidRPr="000A23F9" w:rsidRDefault="000A5DF7" w:rsidP="001E36B8">
            <w:pPr>
              <w:spacing w:before="60" w:after="60"/>
              <w:jc w:val="center"/>
              <w:rPr>
                <w:rFonts w:cs="Times New Roman"/>
                <w:sz w:val="16"/>
                <w:szCs w:val="16"/>
              </w:rPr>
            </w:pPr>
          </w:p>
          <w:p w14:paraId="0E9CF68C" w14:textId="73D04D7C" w:rsidR="000A5DF7" w:rsidRPr="000A23F9" w:rsidRDefault="008B6867" w:rsidP="001E36B8">
            <w:pPr>
              <w:spacing w:before="60" w:after="60"/>
              <w:jc w:val="center"/>
              <w:rPr>
                <w:rFonts w:cs="Times New Roman"/>
                <w:sz w:val="16"/>
                <w:szCs w:val="16"/>
              </w:rPr>
            </w:pPr>
            <w:r>
              <w:rPr>
                <w:noProof/>
                <w:lang w:val="en-AU" w:eastAsia="en-AU"/>
              </w:rPr>
              <w:drawing>
                <wp:inline distT="0" distB="0" distL="0" distR="0" wp14:anchorId="1939821D" wp14:editId="4E4153F2">
                  <wp:extent cx="6030595" cy="226250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30595" cy="2262505"/>
                          </a:xfrm>
                          <a:prstGeom prst="rect">
                            <a:avLst/>
                          </a:prstGeom>
                        </pic:spPr>
                      </pic:pic>
                    </a:graphicData>
                  </a:graphic>
                </wp:inline>
              </w:drawing>
            </w:r>
          </w:p>
          <w:p w14:paraId="36AB1ACC" w14:textId="77777777" w:rsidR="000A5DF7" w:rsidRPr="000A23F9" w:rsidRDefault="000A5DF7" w:rsidP="001E36B8">
            <w:pPr>
              <w:spacing w:before="60" w:after="60"/>
              <w:jc w:val="center"/>
              <w:rPr>
                <w:rFonts w:cs="Times New Roman"/>
                <w:sz w:val="16"/>
                <w:szCs w:val="16"/>
              </w:rPr>
            </w:pPr>
          </w:p>
        </w:tc>
      </w:tr>
      <w:tr w:rsidR="000A5DF7" w:rsidRPr="000A23F9" w14:paraId="3892206A" w14:textId="77777777" w:rsidTr="001E36B8">
        <w:tc>
          <w:tcPr>
            <w:tcW w:w="9759" w:type="dxa"/>
            <w:vAlign w:val="center"/>
          </w:tcPr>
          <w:p w14:paraId="0F7C8F4C" w14:textId="3E2FEAFA" w:rsidR="000A5DF7" w:rsidRPr="0023612A" w:rsidRDefault="0023612A" w:rsidP="0023612A">
            <w:pPr>
              <w:pStyle w:val="Caption"/>
            </w:pPr>
            <w:bookmarkStart w:id="146" w:name="_Toc525141369"/>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38</w:t>
            </w:r>
            <w:r w:rsidR="009D6843">
              <w:rPr>
                <w:noProof/>
              </w:rPr>
              <w:fldChar w:fldCharType="end"/>
            </w:r>
            <w:r w:rsidRPr="0023612A">
              <w:t>:</w:t>
            </w:r>
            <w:r w:rsidR="000A5DF7" w:rsidRPr="0023612A">
              <w:rPr>
                <w:bCs w:val="0"/>
              </w:rPr>
              <w:t xml:space="preserve"> </w:t>
            </w:r>
            <w:r w:rsidR="00193DB7" w:rsidRPr="0023612A">
              <w:rPr>
                <w:bCs w:val="0"/>
              </w:rPr>
              <w:t>Direct emissions</w:t>
            </w:r>
            <w:r w:rsidR="000A5DF7" w:rsidRPr="0023612A">
              <w:rPr>
                <w:bCs w:val="0"/>
              </w:rPr>
              <w:t xml:space="preserve"> (</w:t>
            </w:r>
            <w:r w:rsidR="00A0109B" w:rsidRPr="0023612A">
              <w:rPr>
                <w:bCs w:val="0"/>
              </w:rPr>
              <w:t>a</w:t>
            </w:r>
            <w:r w:rsidR="000A5DF7" w:rsidRPr="0023612A">
              <w:rPr>
                <w:bCs w:val="0"/>
              </w:rPr>
              <w:t xml:space="preserve">ctual) by </w:t>
            </w:r>
            <w:r w:rsidR="00A0109B" w:rsidRPr="0023612A">
              <w:rPr>
                <w:bCs w:val="0"/>
              </w:rPr>
              <w:t>s</w:t>
            </w:r>
            <w:r w:rsidR="000A5DF7" w:rsidRPr="0023612A">
              <w:rPr>
                <w:bCs w:val="0"/>
              </w:rPr>
              <w:t>pecies from 2016 to 2030 in tonnes.</w:t>
            </w:r>
            <w:bookmarkEnd w:id="146"/>
          </w:p>
        </w:tc>
      </w:tr>
    </w:tbl>
    <w:p w14:paraId="58F25920" w14:textId="5DCA6162" w:rsidR="000A5DF7" w:rsidRDefault="000A5DF7" w:rsidP="000A5DF7">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0ECAF949" w14:textId="77777777" w:rsidR="001E7E4A" w:rsidRPr="00573A8B" w:rsidRDefault="001E7E4A" w:rsidP="000A5DF7">
      <w:pPr>
        <w:spacing w:before="0"/>
        <w:rPr>
          <w:rFonts w:cs="Times New Roman"/>
          <w:sz w:val="20"/>
          <w:szCs w:val="20"/>
          <w:lang w:val="en-US"/>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0A5DF7" w:rsidRPr="00613398" w14:paraId="2698189F" w14:textId="77777777" w:rsidTr="001E36B8">
        <w:tc>
          <w:tcPr>
            <w:tcW w:w="9759" w:type="dxa"/>
            <w:vAlign w:val="center"/>
          </w:tcPr>
          <w:p w14:paraId="37DFFA74" w14:textId="22AEAEAE" w:rsidR="000A5DF7" w:rsidRPr="000A23F9" w:rsidRDefault="000A5DF7" w:rsidP="001E36B8">
            <w:pPr>
              <w:spacing w:after="120"/>
              <w:jc w:val="center"/>
              <w:rPr>
                <w:rFonts w:cs="Times New Roman"/>
                <w:b/>
              </w:rPr>
            </w:pPr>
            <w:r w:rsidRPr="000A23F9">
              <w:rPr>
                <w:rFonts w:cs="Times New Roman"/>
                <w:b/>
              </w:rPr>
              <w:br w:type="page"/>
            </w:r>
            <w:r w:rsidR="00193DB7">
              <w:rPr>
                <w:rFonts w:cs="Times New Roman"/>
                <w:b/>
              </w:rPr>
              <w:t>Direct emissions</w:t>
            </w:r>
            <w:r>
              <w:rPr>
                <w:rFonts w:cs="Times New Roman"/>
                <w:b/>
              </w:rPr>
              <w:t xml:space="preserve"> (</w:t>
            </w:r>
            <w:r w:rsidR="00A0109B">
              <w:rPr>
                <w:rFonts w:cs="Times New Roman"/>
                <w:b/>
              </w:rPr>
              <w:t>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0A5DF7" w:rsidRPr="000A23F9" w14:paraId="422F2C03" w14:textId="77777777" w:rsidTr="008B6867">
        <w:tc>
          <w:tcPr>
            <w:tcW w:w="9759" w:type="dxa"/>
            <w:vAlign w:val="center"/>
          </w:tcPr>
          <w:p w14:paraId="33F5557E" w14:textId="77777777" w:rsidR="000A5DF7" w:rsidRPr="000A23F9" w:rsidRDefault="000A5DF7" w:rsidP="001E36B8">
            <w:pPr>
              <w:spacing w:before="60" w:after="60"/>
              <w:jc w:val="center"/>
              <w:rPr>
                <w:rFonts w:cs="Times New Roman"/>
                <w:sz w:val="16"/>
                <w:szCs w:val="16"/>
              </w:rPr>
            </w:pPr>
          </w:p>
          <w:p w14:paraId="0047164D" w14:textId="1623F5A3" w:rsidR="000A5DF7" w:rsidRPr="000A23F9" w:rsidRDefault="008B6867" w:rsidP="001E7E4A">
            <w:pPr>
              <w:spacing w:before="60" w:after="60"/>
              <w:jc w:val="center"/>
              <w:rPr>
                <w:rFonts w:cs="Times New Roman"/>
                <w:sz w:val="16"/>
                <w:szCs w:val="16"/>
              </w:rPr>
            </w:pPr>
            <w:r>
              <w:rPr>
                <w:noProof/>
                <w:lang w:val="en-AU" w:eastAsia="en-AU"/>
              </w:rPr>
              <w:drawing>
                <wp:inline distT="0" distB="0" distL="0" distR="0" wp14:anchorId="16F26237" wp14:editId="6BAE9498">
                  <wp:extent cx="6030595" cy="219837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30595" cy="2198370"/>
                          </a:xfrm>
                          <a:prstGeom prst="rect">
                            <a:avLst/>
                          </a:prstGeom>
                        </pic:spPr>
                      </pic:pic>
                    </a:graphicData>
                  </a:graphic>
                </wp:inline>
              </w:drawing>
            </w:r>
          </w:p>
        </w:tc>
      </w:tr>
      <w:tr w:rsidR="000A5DF7" w:rsidRPr="000A23F9" w14:paraId="08F1FA15" w14:textId="77777777" w:rsidTr="001E36B8">
        <w:tc>
          <w:tcPr>
            <w:tcW w:w="9759" w:type="dxa"/>
            <w:vAlign w:val="center"/>
          </w:tcPr>
          <w:p w14:paraId="26B85718" w14:textId="3A688E49" w:rsidR="000A5DF7" w:rsidRPr="0023612A" w:rsidRDefault="0023612A" w:rsidP="0023612A">
            <w:pPr>
              <w:pStyle w:val="Caption"/>
            </w:pPr>
            <w:bookmarkStart w:id="147" w:name="_Toc525141370"/>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39</w:t>
            </w:r>
            <w:r w:rsidR="009D6843">
              <w:rPr>
                <w:noProof/>
              </w:rPr>
              <w:fldChar w:fldCharType="end"/>
            </w:r>
            <w:r w:rsidR="000A5DF7" w:rsidRPr="0023612A">
              <w:rPr>
                <w:bCs w:val="0"/>
              </w:rPr>
              <w:t xml:space="preserve">: </w:t>
            </w:r>
            <w:r w:rsidR="00193DB7" w:rsidRPr="0023612A">
              <w:rPr>
                <w:bCs w:val="0"/>
              </w:rPr>
              <w:t>Direct emissions</w:t>
            </w:r>
            <w:r w:rsidR="00A0109B" w:rsidRPr="0023612A">
              <w:rPr>
                <w:bCs w:val="0"/>
              </w:rPr>
              <w:t xml:space="preserve"> (a</w:t>
            </w:r>
            <w:r w:rsidR="000A5DF7" w:rsidRPr="0023612A">
              <w:rPr>
                <w:bCs w:val="0"/>
              </w:rPr>
              <w:t xml:space="preserve">ctual) by </w:t>
            </w:r>
            <w:r w:rsidR="00A0109B" w:rsidRPr="0023612A">
              <w:rPr>
                <w:bCs w:val="0"/>
              </w:rPr>
              <w:t>s</w:t>
            </w:r>
            <w:r w:rsidR="000A5DF7" w:rsidRPr="0023612A">
              <w:rPr>
                <w:bCs w:val="0"/>
              </w:rPr>
              <w:t>pecies from 2016 to 2030 in Mt CO</w:t>
            </w:r>
            <w:r w:rsidR="000A5DF7" w:rsidRPr="0023612A">
              <w:rPr>
                <w:bCs w:val="0"/>
                <w:vertAlign w:val="subscript"/>
              </w:rPr>
              <w:t>2</w:t>
            </w:r>
            <w:r w:rsidR="000A5DF7" w:rsidRPr="0023612A">
              <w:rPr>
                <w:bCs w:val="0"/>
              </w:rPr>
              <w:t>e.</w:t>
            </w:r>
            <w:bookmarkEnd w:id="147"/>
          </w:p>
        </w:tc>
      </w:tr>
    </w:tbl>
    <w:p w14:paraId="46139A3F" w14:textId="7B197F21" w:rsidR="000A5DF7" w:rsidRPr="00573A8B" w:rsidRDefault="000A5DF7" w:rsidP="000A5DF7">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3F0342A8" w14:textId="7F3B2C82" w:rsidR="000A5DF7" w:rsidRDefault="000A5DF7" w:rsidP="000A5DF7">
      <w:pPr>
        <w:rPr>
          <w:rFonts w:cs="Times New Roman"/>
          <w:szCs w:val="22"/>
        </w:rPr>
      </w:pPr>
    </w:p>
    <w:p w14:paraId="72A6B0D7" w14:textId="76CD22E7" w:rsidR="000A5DF7" w:rsidRDefault="000A5DF7" w:rsidP="000A5DF7">
      <w:pPr>
        <w:rPr>
          <w:rFonts w:cs="Times New Roman"/>
          <w:szCs w:val="22"/>
        </w:rPr>
      </w:pPr>
      <w:r>
        <w:rPr>
          <w:rFonts w:cs="Times New Roman"/>
          <w:szCs w:val="22"/>
        </w:rPr>
        <w:t>This overall reduction in the CO</w:t>
      </w:r>
      <w:r w:rsidRPr="007F0663">
        <w:rPr>
          <w:rFonts w:cs="Times New Roman"/>
          <w:szCs w:val="22"/>
          <w:vertAlign w:val="subscript"/>
        </w:rPr>
        <w:t>2</w:t>
      </w:r>
      <w:r>
        <w:rPr>
          <w:rFonts w:cs="Times New Roman"/>
          <w:szCs w:val="22"/>
        </w:rPr>
        <w:t>e of</w:t>
      </w:r>
      <w:r w:rsidR="00ED7588">
        <w:rPr>
          <w:rFonts w:cs="Times New Roman"/>
          <w:szCs w:val="22"/>
        </w:rPr>
        <w:t xml:space="preserve"> annual</w:t>
      </w:r>
      <w:r>
        <w:rPr>
          <w:rFonts w:cs="Times New Roman"/>
          <w:szCs w:val="22"/>
        </w:rPr>
        <w:t xml:space="preserve"> losses from across the stock of </w:t>
      </w:r>
      <w:r w:rsidR="00041A97">
        <w:rPr>
          <w:rFonts w:cs="Times New Roman"/>
          <w:szCs w:val="22"/>
        </w:rPr>
        <w:t xml:space="preserve">operating </w:t>
      </w:r>
      <w:r>
        <w:rPr>
          <w:rFonts w:cs="Times New Roman"/>
          <w:szCs w:val="22"/>
        </w:rPr>
        <w:t>equipment is driven by reductions in CO</w:t>
      </w:r>
      <w:r w:rsidRPr="007F0663">
        <w:rPr>
          <w:rFonts w:cs="Times New Roman"/>
          <w:szCs w:val="22"/>
          <w:vertAlign w:val="subscript"/>
        </w:rPr>
        <w:t>2</w:t>
      </w:r>
      <w:r>
        <w:rPr>
          <w:rFonts w:cs="Times New Roman"/>
          <w:szCs w:val="22"/>
        </w:rPr>
        <w:t xml:space="preserve">e values of </w:t>
      </w:r>
      <w:r w:rsidR="00193DB7">
        <w:rPr>
          <w:rFonts w:cs="Times New Roman"/>
          <w:szCs w:val="22"/>
        </w:rPr>
        <w:t>direct emissions</w:t>
      </w:r>
      <w:r>
        <w:rPr>
          <w:rFonts w:cs="Times New Roman"/>
          <w:szCs w:val="22"/>
        </w:rPr>
        <w:t xml:space="preserve"> from almost every major product segment</w:t>
      </w:r>
      <w:r w:rsidR="00ED7588">
        <w:rPr>
          <w:rFonts w:cs="Times New Roman"/>
          <w:szCs w:val="22"/>
        </w:rPr>
        <w:t>,</w:t>
      </w:r>
      <w:r>
        <w:rPr>
          <w:rFonts w:cs="Times New Roman"/>
          <w:szCs w:val="22"/>
        </w:rPr>
        <w:t xml:space="preserve"> with few exceptions, even while the absolute tonnes of refrigerant lost to air increases in most categories as the stock of equipment grows.</w:t>
      </w:r>
    </w:p>
    <w:p w14:paraId="7FDB21B6" w14:textId="71A09402" w:rsidR="000A5DF7" w:rsidRDefault="009F5EAE" w:rsidP="000A5DF7">
      <w:pPr>
        <w:rPr>
          <w:rFonts w:cs="Times New Roman"/>
          <w:szCs w:val="22"/>
        </w:rPr>
      </w:pPr>
      <w:r>
        <w:rPr>
          <w:rFonts w:cs="Times New Roman"/>
          <w:szCs w:val="22"/>
        </w:rPr>
        <w:t>Of course,</w:t>
      </w:r>
      <w:r w:rsidR="000A5DF7">
        <w:rPr>
          <w:rFonts w:cs="Times New Roman"/>
          <w:szCs w:val="22"/>
        </w:rPr>
        <w:t xml:space="preserve"> the largest class of equipment, </w:t>
      </w:r>
      <w:r w:rsidR="007E63C7">
        <w:rPr>
          <w:rFonts w:cs="Times New Roman"/>
          <w:szCs w:val="22"/>
        </w:rPr>
        <w:t>s</w:t>
      </w:r>
      <w:r w:rsidR="000A5DF7">
        <w:rPr>
          <w:rFonts w:cs="Times New Roman"/>
          <w:szCs w:val="22"/>
        </w:rPr>
        <w:t xml:space="preserve">tationary AC, also contributes the largest portion of the </w:t>
      </w:r>
      <w:r w:rsidR="00193DB7">
        <w:rPr>
          <w:rFonts w:cs="Times New Roman"/>
          <w:szCs w:val="22"/>
        </w:rPr>
        <w:t>direct emissions</w:t>
      </w:r>
      <w:r w:rsidR="000A5DF7">
        <w:rPr>
          <w:rFonts w:cs="Times New Roman"/>
          <w:szCs w:val="22"/>
        </w:rPr>
        <w:t xml:space="preserve"> of the entire stock of equipment. Even with the significant shift of small AC to employ HFC-32 charges, </w:t>
      </w:r>
      <w:r w:rsidR="00ED7588">
        <w:rPr>
          <w:rFonts w:cs="Times New Roman"/>
          <w:szCs w:val="22"/>
        </w:rPr>
        <w:t>s</w:t>
      </w:r>
      <w:r w:rsidR="000A5DF7">
        <w:rPr>
          <w:rFonts w:cs="Times New Roman"/>
          <w:szCs w:val="22"/>
        </w:rPr>
        <w:t xml:space="preserve">tationary AC overall is expected to increase </w:t>
      </w:r>
      <w:r w:rsidR="00193DB7">
        <w:rPr>
          <w:rFonts w:cs="Times New Roman"/>
          <w:szCs w:val="22"/>
        </w:rPr>
        <w:t>direct emissions</w:t>
      </w:r>
      <w:r w:rsidR="000A5DF7">
        <w:rPr>
          <w:rFonts w:cs="Times New Roman"/>
          <w:szCs w:val="22"/>
        </w:rPr>
        <w:t xml:space="preserve"> </w:t>
      </w:r>
      <w:r w:rsidR="008B6867">
        <w:rPr>
          <w:rFonts w:cs="Times New Roman"/>
          <w:szCs w:val="22"/>
        </w:rPr>
        <w:t xml:space="preserve">of HCFCs and HFCs </w:t>
      </w:r>
      <w:r w:rsidR="000A5DF7">
        <w:rPr>
          <w:rFonts w:cs="Times New Roman"/>
          <w:szCs w:val="22"/>
        </w:rPr>
        <w:t>from around 1,</w:t>
      </w:r>
      <w:r w:rsidR="008B6867">
        <w:rPr>
          <w:rFonts w:cs="Times New Roman"/>
          <w:szCs w:val="22"/>
        </w:rPr>
        <w:t>150</w:t>
      </w:r>
      <w:r w:rsidR="000A5DF7">
        <w:rPr>
          <w:rFonts w:cs="Times New Roman"/>
          <w:szCs w:val="22"/>
        </w:rPr>
        <w:t xml:space="preserve"> tonnes in 2016 to more than 1,</w:t>
      </w:r>
      <w:r w:rsidR="008B6867">
        <w:rPr>
          <w:rFonts w:cs="Times New Roman"/>
          <w:szCs w:val="22"/>
        </w:rPr>
        <w:t>525</w:t>
      </w:r>
      <w:r w:rsidR="000A5DF7">
        <w:rPr>
          <w:rFonts w:cs="Times New Roman"/>
          <w:szCs w:val="22"/>
        </w:rPr>
        <w:t xml:space="preserve"> tonnes in 2030, increasing the overall share of </w:t>
      </w:r>
      <w:r w:rsidR="00193DB7">
        <w:rPr>
          <w:rFonts w:cs="Times New Roman"/>
          <w:szCs w:val="22"/>
        </w:rPr>
        <w:t>direct emissions</w:t>
      </w:r>
      <w:r w:rsidR="000A5DF7">
        <w:rPr>
          <w:rFonts w:cs="Times New Roman"/>
          <w:szCs w:val="22"/>
        </w:rPr>
        <w:t xml:space="preserve"> </w:t>
      </w:r>
      <w:r w:rsidR="008B6867">
        <w:rPr>
          <w:rFonts w:cs="Times New Roman"/>
          <w:szCs w:val="22"/>
        </w:rPr>
        <w:t xml:space="preserve">of </w:t>
      </w:r>
      <w:r w:rsidR="007E63C7">
        <w:rPr>
          <w:rFonts w:cs="Times New Roman"/>
          <w:szCs w:val="22"/>
        </w:rPr>
        <w:t>s</w:t>
      </w:r>
      <w:r w:rsidR="008B6867">
        <w:rPr>
          <w:rFonts w:cs="Times New Roman"/>
          <w:szCs w:val="22"/>
        </w:rPr>
        <w:t xml:space="preserve">tationary AC </w:t>
      </w:r>
      <w:r w:rsidR="000A5DF7">
        <w:rPr>
          <w:rFonts w:cs="Times New Roman"/>
          <w:szCs w:val="22"/>
        </w:rPr>
        <w:t xml:space="preserve">from the entire stock of equipment from </w:t>
      </w:r>
      <w:r w:rsidR="007E63C7">
        <w:rPr>
          <w:rFonts w:cs="Times New Roman"/>
          <w:szCs w:val="22"/>
        </w:rPr>
        <w:t>34</w:t>
      </w:r>
      <w:r w:rsidR="000A5DF7">
        <w:rPr>
          <w:rFonts w:cs="Times New Roman"/>
          <w:szCs w:val="22"/>
        </w:rPr>
        <w:t>% to more than 4</w:t>
      </w:r>
      <w:r w:rsidR="007E63C7">
        <w:rPr>
          <w:rFonts w:cs="Times New Roman"/>
          <w:szCs w:val="22"/>
        </w:rPr>
        <w:t>3</w:t>
      </w:r>
      <w:r w:rsidR="000A5DF7">
        <w:rPr>
          <w:rFonts w:cs="Times New Roman"/>
          <w:szCs w:val="22"/>
        </w:rPr>
        <w:t xml:space="preserve">% by 2030. </w:t>
      </w:r>
    </w:p>
    <w:p w14:paraId="14A93BD4" w14:textId="304881B7" w:rsidR="000A5DF7" w:rsidRDefault="000A5DF7" w:rsidP="000A5DF7">
      <w:pPr>
        <w:rPr>
          <w:rFonts w:cs="Times New Roman"/>
          <w:szCs w:val="22"/>
        </w:rPr>
      </w:pPr>
      <w:r>
        <w:rPr>
          <w:rFonts w:cs="Times New Roman"/>
          <w:szCs w:val="22"/>
        </w:rPr>
        <w:t>While decreasing the absolute emissions over the period and reducing the CO</w:t>
      </w:r>
      <w:r w:rsidRPr="007F0663">
        <w:rPr>
          <w:rFonts w:cs="Times New Roman"/>
          <w:szCs w:val="22"/>
          <w:vertAlign w:val="subscript"/>
        </w:rPr>
        <w:t>2</w:t>
      </w:r>
      <w:r>
        <w:rPr>
          <w:rFonts w:cs="Times New Roman"/>
          <w:szCs w:val="22"/>
        </w:rPr>
        <w:t xml:space="preserve">e value of </w:t>
      </w:r>
      <w:r w:rsidR="00ED7588">
        <w:rPr>
          <w:rFonts w:cs="Times New Roman"/>
          <w:szCs w:val="22"/>
        </w:rPr>
        <w:t xml:space="preserve">annual </w:t>
      </w:r>
      <w:r w:rsidR="00193DB7">
        <w:rPr>
          <w:rFonts w:cs="Times New Roman"/>
          <w:szCs w:val="22"/>
        </w:rPr>
        <w:t>direct emissions</w:t>
      </w:r>
      <w:r>
        <w:rPr>
          <w:rFonts w:cs="Times New Roman"/>
          <w:szCs w:val="22"/>
        </w:rPr>
        <w:t xml:space="preserve"> from this class from around 2.</w:t>
      </w:r>
      <w:r w:rsidR="007E63C7">
        <w:rPr>
          <w:rFonts w:cs="Times New Roman"/>
          <w:szCs w:val="22"/>
        </w:rPr>
        <w:t>2</w:t>
      </w:r>
      <w:r>
        <w:rPr>
          <w:rFonts w:cs="Times New Roman"/>
          <w:szCs w:val="22"/>
        </w:rPr>
        <w:t xml:space="preserve"> million tonnes of CO</w:t>
      </w:r>
      <w:r w:rsidRPr="007F0663">
        <w:rPr>
          <w:rFonts w:cs="Times New Roman"/>
          <w:szCs w:val="22"/>
          <w:vertAlign w:val="subscript"/>
        </w:rPr>
        <w:t>2</w:t>
      </w:r>
      <w:r w:rsidR="007E63C7">
        <w:rPr>
          <w:rFonts w:cs="Times New Roman"/>
          <w:szCs w:val="22"/>
        </w:rPr>
        <w:t>e to 2.0</w:t>
      </w:r>
      <w:r>
        <w:rPr>
          <w:rFonts w:cs="Times New Roman"/>
          <w:szCs w:val="22"/>
        </w:rPr>
        <w:t xml:space="preserve"> million tonnes CO</w:t>
      </w:r>
      <w:r w:rsidRPr="007F0663">
        <w:rPr>
          <w:rFonts w:cs="Times New Roman"/>
          <w:szCs w:val="22"/>
          <w:vertAlign w:val="subscript"/>
        </w:rPr>
        <w:t>2</w:t>
      </w:r>
      <w:r>
        <w:rPr>
          <w:rFonts w:cs="Times New Roman"/>
          <w:szCs w:val="22"/>
        </w:rPr>
        <w:t xml:space="preserve">e, </w:t>
      </w:r>
      <w:r w:rsidR="00562DF8">
        <w:rPr>
          <w:rFonts w:cs="Times New Roman"/>
          <w:szCs w:val="22"/>
        </w:rPr>
        <w:t>s</w:t>
      </w:r>
      <w:r>
        <w:rPr>
          <w:rFonts w:cs="Times New Roman"/>
          <w:szCs w:val="22"/>
        </w:rPr>
        <w:t>tationary AC increases its overall contribution to the CO</w:t>
      </w:r>
      <w:r w:rsidRPr="007F0663">
        <w:rPr>
          <w:rFonts w:cs="Times New Roman"/>
          <w:szCs w:val="22"/>
          <w:vertAlign w:val="subscript"/>
        </w:rPr>
        <w:t>2</w:t>
      </w:r>
      <w:r>
        <w:rPr>
          <w:rFonts w:cs="Times New Roman"/>
          <w:szCs w:val="22"/>
        </w:rPr>
        <w:t>e value of losses to air from RAC</w:t>
      </w:r>
      <w:r w:rsidR="00ED7588">
        <w:rPr>
          <w:rFonts w:cs="Times New Roman"/>
          <w:szCs w:val="22"/>
        </w:rPr>
        <w:t>,</w:t>
      </w:r>
      <w:r>
        <w:rPr>
          <w:rFonts w:cs="Times New Roman"/>
          <w:szCs w:val="22"/>
        </w:rPr>
        <w:t xml:space="preserve"> rising from 3</w:t>
      </w:r>
      <w:r w:rsidR="007E63C7">
        <w:rPr>
          <w:rFonts w:cs="Times New Roman"/>
          <w:szCs w:val="22"/>
        </w:rPr>
        <w:t>4</w:t>
      </w:r>
      <w:r>
        <w:rPr>
          <w:rFonts w:cs="Times New Roman"/>
          <w:szCs w:val="22"/>
        </w:rPr>
        <w:t>% of the total in 2016 to more than 43% in 2030.</w:t>
      </w:r>
    </w:p>
    <w:p w14:paraId="3B68FF78" w14:textId="46B60F4D" w:rsidR="000A5DF7" w:rsidRDefault="000A5DF7" w:rsidP="000A5DF7">
      <w:pPr>
        <w:rPr>
          <w:rFonts w:cs="Times New Roman"/>
          <w:szCs w:val="22"/>
        </w:rPr>
      </w:pPr>
      <w:r>
        <w:rPr>
          <w:rFonts w:cs="Times New Roman"/>
          <w:szCs w:val="22"/>
        </w:rPr>
        <w:t xml:space="preserve">This is despite the expected move to HFC-32 charges in new small AC, and adoption of HFOs in some chillers and larger classes of equipment. </w:t>
      </w:r>
      <w:r w:rsidR="00ED7588">
        <w:rPr>
          <w:rFonts w:cs="Times New Roman"/>
          <w:szCs w:val="22"/>
        </w:rPr>
        <w:t>D</w:t>
      </w:r>
      <w:r w:rsidR="00193DB7">
        <w:rPr>
          <w:rFonts w:cs="Times New Roman"/>
          <w:szCs w:val="22"/>
        </w:rPr>
        <w:t>irect emissions</w:t>
      </w:r>
      <w:r>
        <w:rPr>
          <w:rFonts w:cs="Times New Roman"/>
          <w:szCs w:val="22"/>
        </w:rPr>
        <w:t xml:space="preserve"> from the </w:t>
      </w:r>
      <w:r w:rsidR="00562DF8">
        <w:rPr>
          <w:rFonts w:cs="Times New Roman"/>
          <w:szCs w:val="22"/>
        </w:rPr>
        <w:t>m</w:t>
      </w:r>
      <w:r>
        <w:rPr>
          <w:rFonts w:cs="Times New Roman"/>
          <w:szCs w:val="22"/>
        </w:rPr>
        <w:t xml:space="preserve">edium AC </w:t>
      </w:r>
      <w:r w:rsidR="00ED7588">
        <w:rPr>
          <w:rFonts w:cs="Times New Roman"/>
          <w:szCs w:val="22"/>
        </w:rPr>
        <w:t>s</w:t>
      </w:r>
      <w:r>
        <w:rPr>
          <w:rFonts w:cs="Times New Roman"/>
          <w:szCs w:val="22"/>
        </w:rPr>
        <w:t xml:space="preserve">plit and </w:t>
      </w:r>
      <w:r w:rsidR="00562DF8">
        <w:rPr>
          <w:rFonts w:cs="Times New Roman"/>
          <w:szCs w:val="22"/>
        </w:rPr>
        <w:t>l</w:t>
      </w:r>
      <w:r>
        <w:rPr>
          <w:rFonts w:cs="Times New Roman"/>
          <w:szCs w:val="22"/>
        </w:rPr>
        <w:t xml:space="preserve">ight </w:t>
      </w:r>
      <w:r w:rsidR="00562DF8">
        <w:rPr>
          <w:rFonts w:cs="Times New Roman"/>
          <w:szCs w:val="22"/>
        </w:rPr>
        <w:t>c</w:t>
      </w:r>
      <w:r>
        <w:rPr>
          <w:rFonts w:cs="Times New Roman"/>
          <w:szCs w:val="22"/>
        </w:rPr>
        <w:t xml:space="preserve">ommercial segment </w:t>
      </w:r>
      <w:r w:rsidR="007E63C7">
        <w:rPr>
          <w:rFonts w:cs="Times New Roman"/>
          <w:szCs w:val="22"/>
        </w:rPr>
        <w:t xml:space="preserve">grow </w:t>
      </w:r>
      <w:r>
        <w:rPr>
          <w:rFonts w:cs="Times New Roman"/>
          <w:szCs w:val="22"/>
        </w:rPr>
        <w:t xml:space="preserve">from about </w:t>
      </w:r>
      <w:r w:rsidR="007E63C7">
        <w:rPr>
          <w:rFonts w:cs="Times New Roman"/>
          <w:szCs w:val="22"/>
        </w:rPr>
        <w:t>426</w:t>
      </w:r>
      <w:r>
        <w:rPr>
          <w:rFonts w:cs="Times New Roman"/>
          <w:szCs w:val="22"/>
        </w:rPr>
        <w:t xml:space="preserve"> tonnes in 2016 to more than 7</w:t>
      </w:r>
      <w:r w:rsidR="007E63C7">
        <w:rPr>
          <w:rFonts w:cs="Times New Roman"/>
          <w:szCs w:val="22"/>
        </w:rPr>
        <w:t>50</w:t>
      </w:r>
      <w:r>
        <w:rPr>
          <w:rFonts w:cs="Times New Roman"/>
          <w:szCs w:val="22"/>
        </w:rPr>
        <w:t xml:space="preserve"> tonnes in 2030 </w:t>
      </w:r>
      <w:r w:rsidR="00ED7588">
        <w:rPr>
          <w:rFonts w:cs="Times New Roman"/>
          <w:szCs w:val="22"/>
        </w:rPr>
        <w:t xml:space="preserve">with </w:t>
      </w:r>
      <w:r>
        <w:rPr>
          <w:rFonts w:cs="Times New Roman"/>
          <w:szCs w:val="22"/>
        </w:rPr>
        <w:t>an increase in the CO</w:t>
      </w:r>
      <w:r w:rsidRPr="00BE2F56">
        <w:rPr>
          <w:rFonts w:cs="Times New Roman"/>
          <w:szCs w:val="22"/>
          <w:vertAlign w:val="subscript"/>
        </w:rPr>
        <w:t>2</w:t>
      </w:r>
      <w:r>
        <w:rPr>
          <w:rFonts w:cs="Times New Roman"/>
          <w:szCs w:val="22"/>
        </w:rPr>
        <w:t xml:space="preserve">e value of emissions from this segment from around </w:t>
      </w:r>
      <w:r w:rsidR="007E63C7">
        <w:rPr>
          <w:rFonts w:cs="Times New Roman"/>
          <w:szCs w:val="22"/>
        </w:rPr>
        <w:t>0.84</w:t>
      </w:r>
      <w:r>
        <w:rPr>
          <w:rFonts w:cs="Times New Roman"/>
          <w:szCs w:val="22"/>
        </w:rPr>
        <w:t xml:space="preserve"> million tonnes CO</w:t>
      </w:r>
      <w:r w:rsidRPr="00BE2F56">
        <w:rPr>
          <w:rFonts w:cs="Times New Roman"/>
          <w:szCs w:val="22"/>
          <w:vertAlign w:val="subscript"/>
        </w:rPr>
        <w:t>2</w:t>
      </w:r>
      <w:r>
        <w:rPr>
          <w:rFonts w:cs="Times New Roman"/>
          <w:szCs w:val="22"/>
        </w:rPr>
        <w:t>e in 2016 to nearly 1.3 million tonnes CO</w:t>
      </w:r>
      <w:r w:rsidRPr="00BE2F56">
        <w:rPr>
          <w:rFonts w:cs="Times New Roman"/>
          <w:szCs w:val="22"/>
          <w:vertAlign w:val="subscript"/>
        </w:rPr>
        <w:t>2</w:t>
      </w:r>
      <w:r>
        <w:rPr>
          <w:rFonts w:cs="Times New Roman"/>
          <w:szCs w:val="22"/>
        </w:rPr>
        <w:t>e in 2030</w:t>
      </w:r>
      <w:r w:rsidR="00ED7588">
        <w:rPr>
          <w:rFonts w:cs="Times New Roman"/>
          <w:szCs w:val="22"/>
        </w:rPr>
        <w:t>. This growth is</w:t>
      </w:r>
      <w:r>
        <w:rPr>
          <w:rFonts w:cs="Times New Roman"/>
          <w:szCs w:val="22"/>
        </w:rPr>
        <w:t xml:space="preserve"> part of the reason </w:t>
      </w:r>
      <w:r w:rsidR="00562DF8">
        <w:rPr>
          <w:rFonts w:cs="Times New Roman"/>
          <w:szCs w:val="22"/>
        </w:rPr>
        <w:t>s</w:t>
      </w:r>
      <w:r>
        <w:rPr>
          <w:rFonts w:cs="Times New Roman"/>
          <w:szCs w:val="22"/>
        </w:rPr>
        <w:t>tationary AC increases its overall share of CO</w:t>
      </w:r>
      <w:r w:rsidRPr="00BE2F56">
        <w:rPr>
          <w:rFonts w:cs="Times New Roman"/>
          <w:szCs w:val="22"/>
          <w:vertAlign w:val="subscript"/>
        </w:rPr>
        <w:t>2</w:t>
      </w:r>
      <w:r>
        <w:rPr>
          <w:rFonts w:cs="Times New Roman"/>
          <w:szCs w:val="22"/>
        </w:rPr>
        <w:t xml:space="preserve">e emissions at the end of the projection period. By 2030 emissions from the </w:t>
      </w:r>
      <w:r w:rsidR="00562DF8">
        <w:rPr>
          <w:rFonts w:cs="Times New Roman"/>
          <w:szCs w:val="22"/>
        </w:rPr>
        <w:t>m</w:t>
      </w:r>
      <w:r>
        <w:rPr>
          <w:rFonts w:cs="Times New Roman"/>
          <w:szCs w:val="22"/>
        </w:rPr>
        <w:t>edium AC segment make up more than 2</w:t>
      </w:r>
      <w:r w:rsidR="007E63C7">
        <w:rPr>
          <w:rFonts w:cs="Times New Roman"/>
          <w:szCs w:val="22"/>
        </w:rPr>
        <w:t>7</w:t>
      </w:r>
      <w:r>
        <w:rPr>
          <w:rFonts w:cs="Times New Roman"/>
          <w:szCs w:val="22"/>
        </w:rPr>
        <w:t>% of all direct emissions on a CO</w:t>
      </w:r>
      <w:r w:rsidRPr="001B1563">
        <w:rPr>
          <w:rFonts w:cs="Times New Roman"/>
          <w:szCs w:val="22"/>
          <w:vertAlign w:val="subscript"/>
        </w:rPr>
        <w:t>2</w:t>
      </w:r>
      <w:r>
        <w:rPr>
          <w:rFonts w:cs="Times New Roman"/>
          <w:szCs w:val="22"/>
        </w:rPr>
        <w:t>e basis, up from 1</w:t>
      </w:r>
      <w:r w:rsidR="007E63C7">
        <w:rPr>
          <w:rFonts w:cs="Times New Roman"/>
          <w:szCs w:val="22"/>
        </w:rPr>
        <w:t>4</w:t>
      </w:r>
      <w:r>
        <w:rPr>
          <w:rFonts w:cs="Times New Roman"/>
          <w:szCs w:val="22"/>
        </w:rPr>
        <w:t>% in 2016.</w:t>
      </w:r>
    </w:p>
    <w:p w14:paraId="7660760D" w14:textId="58E87132" w:rsidR="000A5DF7" w:rsidRDefault="000A5DF7" w:rsidP="000A5DF7">
      <w:pPr>
        <w:rPr>
          <w:rFonts w:cs="Times New Roman"/>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0A5DF7" w:rsidRPr="00613398" w14:paraId="35128DB5" w14:textId="77777777" w:rsidTr="001E36B8">
        <w:tc>
          <w:tcPr>
            <w:tcW w:w="9759" w:type="dxa"/>
            <w:vAlign w:val="center"/>
          </w:tcPr>
          <w:p w14:paraId="09A25E91" w14:textId="00BEEA45" w:rsidR="000A5DF7" w:rsidRPr="000A23F9" w:rsidRDefault="000A5DF7" w:rsidP="001E36B8">
            <w:pPr>
              <w:spacing w:after="120"/>
              <w:jc w:val="center"/>
              <w:rPr>
                <w:rFonts w:cs="Times New Roman"/>
                <w:b/>
              </w:rPr>
            </w:pPr>
            <w:r>
              <w:rPr>
                <w:rFonts w:cs="Times New Roman"/>
                <w:b/>
              </w:rPr>
              <w:t xml:space="preserve">Stationary AC: </w:t>
            </w:r>
            <w:r w:rsidRPr="000A23F9">
              <w:rPr>
                <w:rFonts w:cs="Times New Roman"/>
                <w:b/>
              </w:rPr>
              <w:br w:type="page"/>
            </w:r>
            <w:r w:rsidR="00193DB7">
              <w:rPr>
                <w:rFonts w:cs="Times New Roman"/>
                <w:b/>
              </w:rPr>
              <w:t>Direct emissions</w:t>
            </w:r>
            <w:r>
              <w:rPr>
                <w:rFonts w:cs="Times New Roman"/>
                <w:b/>
              </w:rPr>
              <w:t xml:space="preserve"> (</w:t>
            </w:r>
            <w:r w:rsidR="00A0109B">
              <w:rPr>
                <w:rFonts w:cs="Times New Roman"/>
                <w:b/>
              </w:rPr>
              <w:t>actual) by 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sidR="00A0109B">
              <w:rPr>
                <w:rFonts w:cs="Times New Roman"/>
                <w:b/>
              </w:rPr>
              <w:t>t</w:t>
            </w:r>
            <w:r w:rsidRPr="000A23F9">
              <w:rPr>
                <w:rFonts w:cs="Times New Roman"/>
                <w:b/>
              </w:rPr>
              <w:t>onnes)</w:t>
            </w:r>
          </w:p>
        </w:tc>
      </w:tr>
      <w:tr w:rsidR="000A5DF7" w:rsidRPr="000A23F9" w14:paraId="747299F3" w14:textId="77777777" w:rsidTr="007E63C7">
        <w:tc>
          <w:tcPr>
            <w:tcW w:w="9759" w:type="dxa"/>
            <w:vAlign w:val="center"/>
          </w:tcPr>
          <w:p w14:paraId="23D338F7" w14:textId="77777777" w:rsidR="000A5DF7" w:rsidRPr="000A23F9" w:rsidRDefault="000A5DF7" w:rsidP="001E36B8">
            <w:pPr>
              <w:spacing w:before="60" w:after="60"/>
              <w:jc w:val="center"/>
              <w:rPr>
                <w:rFonts w:cs="Times New Roman"/>
                <w:sz w:val="16"/>
                <w:szCs w:val="16"/>
              </w:rPr>
            </w:pPr>
          </w:p>
          <w:p w14:paraId="793D17E5" w14:textId="3679AAFF" w:rsidR="000A5DF7" w:rsidRPr="000A23F9" w:rsidRDefault="007E63C7" w:rsidP="001E36B8">
            <w:pPr>
              <w:spacing w:before="60" w:after="60"/>
              <w:jc w:val="center"/>
              <w:rPr>
                <w:rFonts w:cs="Times New Roman"/>
                <w:sz w:val="16"/>
                <w:szCs w:val="16"/>
              </w:rPr>
            </w:pPr>
            <w:r>
              <w:rPr>
                <w:noProof/>
                <w:lang w:val="en-AU" w:eastAsia="en-AU"/>
              </w:rPr>
              <w:drawing>
                <wp:inline distT="0" distB="0" distL="0" distR="0" wp14:anchorId="74A1C164" wp14:editId="7C85017A">
                  <wp:extent cx="6030595" cy="226250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30595" cy="2262505"/>
                          </a:xfrm>
                          <a:prstGeom prst="rect">
                            <a:avLst/>
                          </a:prstGeom>
                        </pic:spPr>
                      </pic:pic>
                    </a:graphicData>
                  </a:graphic>
                </wp:inline>
              </w:drawing>
            </w:r>
          </w:p>
          <w:p w14:paraId="37CAA6ED" w14:textId="77777777" w:rsidR="000A5DF7" w:rsidRPr="000A23F9" w:rsidRDefault="000A5DF7" w:rsidP="001E36B8">
            <w:pPr>
              <w:spacing w:before="60" w:after="60"/>
              <w:jc w:val="center"/>
              <w:rPr>
                <w:rFonts w:cs="Times New Roman"/>
                <w:sz w:val="16"/>
                <w:szCs w:val="16"/>
              </w:rPr>
            </w:pPr>
          </w:p>
        </w:tc>
      </w:tr>
      <w:tr w:rsidR="000A5DF7" w:rsidRPr="000A23F9" w14:paraId="02DA76B5" w14:textId="77777777" w:rsidTr="001E36B8">
        <w:tc>
          <w:tcPr>
            <w:tcW w:w="9759" w:type="dxa"/>
            <w:vAlign w:val="center"/>
          </w:tcPr>
          <w:p w14:paraId="6B8906E5" w14:textId="3F11B145" w:rsidR="000A5DF7" w:rsidRPr="0023612A" w:rsidRDefault="0023612A" w:rsidP="0023612A">
            <w:pPr>
              <w:pStyle w:val="Caption"/>
            </w:pPr>
            <w:bookmarkStart w:id="148" w:name="_Toc525141371"/>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40</w:t>
            </w:r>
            <w:r w:rsidR="009D6843">
              <w:rPr>
                <w:noProof/>
              </w:rPr>
              <w:fldChar w:fldCharType="end"/>
            </w:r>
            <w:r w:rsidRPr="0023612A">
              <w:t>:</w:t>
            </w:r>
            <w:r w:rsidR="000A5DF7" w:rsidRPr="0023612A">
              <w:rPr>
                <w:bCs w:val="0"/>
              </w:rPr>
              <w:t xml:space="preserve"> Stationary AC: </w:t>
            </w:r>
            <w:r w:rsidR="00193DB7" w:rsidRPr="0023612A">
              <w:rPr>
                <w:bCs w:val="0"/>
              </w:rPr>
              <w:t>Direct emissions</w:t>
            </w:r>
            <w:r w:rsidR="006002E4" w:rsidRPr="0023612A">
              <w:rPr>
                <w:bCs w:val="0"/>
              </w:rPr>
              <w:t xml:space="preserve"> (actual) by species </w:t>
            </w:r>
            <w:r w:rsidR="000A5DF7" w:rsidRPr="0023612A">
              <w:rPr>
                <w:bCs w:val="0"/>
              </w:rPr>
              <w:t>from 2016 to 2030 in tonnes.</w:t>
            </w:r>
            <w:bookmarkEnd w:id="148"/>
          </w:p>
        </w:tc>
      </w:tr>
    </w:tbl>
    <w:p w14:paraId="1208A671" w14:textId="522DAE80" w:rsidR="000A5DF7" w:rsidRPr="00573A8B" w:rsidRDefault="000A5DF7" w:rsidP="000A5DF7">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70E608BA" w14:textId="0FAA77CD" w:rsidR="00C91D3D" w:rsidRDefault="00C91D3D">
      <w:pPr>
        <w:spacing w:before="0"/>
        <w:jc w:val="left"/>
        <w:rPr>
          <w:rFonts w:cs="Times New Roman"/>
        </w:rPr>
      </w:pPr>
      <w:r>
        <w:rPr>
          <w:rFonts w:cs="Times New Roman"/>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0A5DF7" w:rsidRPr="00613398" w14:paraId="7AF524D9" w14:textId="77777777" w:rsidTr="001E36B8">
        <w:tc>
          <w:tcPr>
            <w:tcW w:w="9759" w:type="dxa"/>
            <w:vAlign w:val="center"/>
          </w:tcPr>
          <w:p w14:paraId="43E9C9F2" w14:textId="6D400A36" w:rsidR="000A5DF7" w:rsidRPr="000A23F9" w:rsidRDefault="000A5DF7" w:rsidP="001E36B8">
            <w:pPr>
              <w:spacing w:after="120"/>
              <w:jc w:val="center"/>
              <w:rPr>
                <w:rFonts w:cs="Times New Roman"/>
                <w:b/>
              </w:rPr>
            </w:pPr>
            <w:r w:rsidRPr="000A23F9">
              <w:rPr>
                <w:rFonts w:cs="Times New Roman"/>
                <w:b/>
              </w:rPr>
              <w:br w:type="page"/>
            </w:r>
            <w:r>
              <w:rPr>
                <w:rFonts w:cs="Times New Roman"/>
                <w:b/>
              </w:rPr>
              <w:t xml:space="preserve">Stationary AC: </w:t>
            </w:r>
            <w:r w:rsidRPr="000A23F9">
              <w:rPr>
                <w:rFonts w:cs="Times New Roman"/>
                <w:b/>
              </w:rPr>
              <w:br w:type="page"/>
            </w:r>
            <w:r w:rsidR="00193DB7">
              <w:rPr>
                <w:rFonts w:cs="Times New Roman"/>
                <w:b/>
              </w:rPr>
              <w:t>Direct emissions</w:t>
            </w:r>
            <w:r>
              <w:rPr>
                <w:rFonts w:cs="Times New Roman"/>
                <w:b/>
              </w:rPr>
              <w:t xml:space="preserve"> (</w:t>
            </w:r>
            <w:r w:rsidR="00A0109B">
              <w:rPr>
                <w:rFonts w:cs="Times New Roman"/>
                <w:b/>
              </w:rPr>
              <w:t>a</w:t>
            </w:r>
            <w:r>
              <w:rPr>
                <w:rFonts w:cs="Times New Roman"/>
                <w:b/>
              </w:rPr>
              <w:t xml:space="preserve">ctual) by </w:t>
            </w:r>
            <w:r w:rsidR="00A0109B">
              <w:rPr>
                <w:rFonts w:cs="Times New Roman"/>
                <w:b/>
              </w:rPr>
              <w:t>s</w:t>
            </w:r>
            <w:r>
              <w:rPr>
                <w:rFonts w:cs="Times New Roman"/>
                <w:b/>
              </w:rPr>
              <w:t xml:space="preserve">pecies from </w:t>
            </w:r>
            <w:r w:rsidRPr="000A23F9">
              <w:rPr>
                <w:rFonts w:cs="Times New Roman"/>
                <w:b/>
              </w:rPr>
              <w:t>201</w:t>
            </w:r>
            <w:r>
              <w:rPr>
                <w:rFonts w:cs="Times New Roman"/>
                <w:b/>
              </w:rPr>
              <w:t>6</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0A5DF7" w:rsidRPr="000A23F9" w14:paraId="0A35B762" w14:textId="77777777" w:rsidTr="007E63C7">
        <w:tc>
          <w:tcPr>
            <w:tcW w:w="9759" w:type="dxa"/>
            <w:vAlign w:val="center"/>
          </w:tcPr>
          <w:p w14:paraId="2993942A" w14:textId="77777777" w:rsidR="000A5DF7" w:rsidRPr="000A23F9" w:rsidRDefault="000A5DF7" w:rsidP="001E36B8">
            <w:pPr>
              <w:spacing w:before="60" w:after="60"/>
              <w:jc w:val="center"/>
              <w:rPr>
                <w:rFonts w:cs="Times New Roman"/>
                <w:sz w:val="16"/>
                <w:szCs w:val="16"/>
              </w:rPr>
            </w:pPr>
          </w:p>
          <w:p w14:paraId="1DA7E880" w14:textId="447C250E" w:rsidR="000A5DF7" w:rsidRPr="000A23F9" w:rsidRDefault="007E63C7" w:rsidP="001E36B8">
            <w:pPr>
              <w:spacing w:before="60" w:after="60"/>
              <w:jc w:val="center"/>
              <w:rPr>
                <w:rFonts w:cs="Times New Roman"/>
                <w:sz w:val="16"/>
                <w:szCs w:val="16"/>
              </w:rPr>
            </w:pPr>
            <w:r>
              <w:rPr>
                <w:noProof/>
                <w:lang w:val="en-AU" w:eastAsia="en-AU"/>
              </w:rPr>
              <w:drawing>
                <wp:inline distT="0" distB="0" distL="0" distR="0" wp14:anchorId="69A66BA4" wp14:editId="307C5F73">
                  <wp:extent cx="6030595" cy="21983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30595" cy="2198370"/>
                          </a:xfrm>
                          <a:prstGeom prst="rect">
                            <a:avLst/>
                          </a:prstGeom>
                        </pic:spPr>
                      </pic:pic>
                    </a:graphicData>
                  </a:graphic>
                </wp:inline>
              </w:drawing>
            </w:r>
          </w:p>
          <w:p w14:paraId="4D8F36CA" w14:textId="77777777" w:rsidR="000A5DF7" w:rsidRPr="000A23F9" w:rsidRDefault="000A5DF7" w:rsidP="001E36B8">
            <w:pPr>
              <w:spacing w:before="60" w:after="60"/>
              <w:jc w:val="center"/>
              <w:rPr>
                <w:rFonts w:cs="Times New Roman"/>
                <w:sz w:val="16"/>
                <w:szCs w:val="16"/>
              </w:rPr>
            </w:pPr>
          </w:p>
        </w:tc>
      </w:tr>
      <w:tr w:rsidR="000A5DF7" w:rsidRPr="000A23F9" w14:paraId="37CBF028" w14:textId="77777777" w:rsidTr="001E36B8">
        <w:tc>
          <w:tcPr>
            <w:tcW w:w="9759" w:type="dxa"/>
            <w:vAlign w:val="center"/>
          </w:tcPr>
          <w:p w14:paraId="49C8CF77" w14:textId="412F0F16" w:rsidR="000A5DF7" w:rsidRPr="0023612A" w:rsidRDefault="0023612A" w:rsidP="0023612A">
            <w:pPr>
              <w:pStyle w:val="Caption"/>
            </w:pPr>
            <w:bookmarkStart w:id="149" w:name="_Toc525141372"/>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41</w:t>
            </w:r>
            <w:r w:rsidR="009D6843">
              <w:rPr>
                <w:noProof/>
              </w:rPr>
              <w:fldChar w:fldCharType="end"/>
            </w:r>
            <w:r w:rsidR="000A5DF7" w:rsidRPr="0023612A">
              <w:rPr>
                <w:bCs w:val="0"/>
              </w:rPr>
              <w:t xml:space="preserve">: Stationary AC: </w:t>
            </w:r>
            <w:r w:rsidR="00193DB7" w:rsidRPr="0023612A">
              <w:rPr>
                <w:bCs w:val="0"/>
              </w:rPr>
              <w:t>Direct emissions</w:t>
            </w:r>
            <w:r w:rsidR="006002E4" w:rsidRPr="0023612A">
              <w:rPr>
                <w:bCs w:val="0"/>
              </w:rPr>
              <w:t xml:space="preserve"> (actual) by species </w:t>
            </w:r>
            <w:r w:rsidR="000A5DF7" w:rsidRPr="0023612A">
              <w:rPr>
                <w:bCs w:val="0"/>
              </w:rPr>
              <w:t>from 2016 to 2030 in Mt CO</w:t>
            </w:r>
            <w:r w:rsidR="000A5DF7" w:rsidRPr="0023612A">
              <w:rPr>
                <w:bCs w:val="0"/>
                <w:vertAlign w:val="subscript"/>
              </w:rPr>
              <w:t>2</w:t>
            </w:r>
            <w:r w:rsidR="000A5DF7" w:rsidRPr="0023612A">
              <w:rPr>
                <w:bCs w:val="0"/>
              </w:rPr>
              <w:t>e.</w:t>
            </w:r>
            <w:bookmarkEnd w:id="149"/>
          </w:p>
        </w:tc>
      </w:tr>
    </w:tbl>
    <w:p w14:paraId="25C905E6" w14:textId="48713F14" w:rsidR="000A5DF7" w:rsidRPr="00573A8B" w:rsidRDefault="000A5DF7" w:rsidP="000A5DF7">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2BF41A74" w14:textId="77777777" w:rsidR="000A5DF7" w:rsidRDefault="000A5DF7" w:rsidP="000A5DF7">
      <w:pPr>
        <w:rPr>
          <w:rFonts w:cs="Times New Roman"/>
          <w:szCs w:val="22"/>
        </w:rPr>
      </w:pPr>
    </w:p>
    <w:p w14:paraId="59933422" w14:textId="2959EE38" w:rsidR="000A5DF7" w:rsidRDefault="000A5DF7" w:rsidP="000A5DF7">
      <w:pPr>
        <w:rPr>
          <w:rFonts w:cs="Times New Roman"/>
          <w:szCs w:val="22"/>
        </w:rPr>
      </w:pPr>
      <w:r>
        <w:rPr>
          <w:rFonts w:cs="Times New Roman"/>
          <w:szCs w:val="22"/>
        </w:rPr>
        <w:t xml:space="preserve">Even while the vehicle fleet is expected to grow substantially, as a result of the planned adoption of HFOs by vehicle manufacturers small MAC is expected to reduce its contribution to </w:t>
      </w:r>
      <w:r w:rsidR="00193DB7">
        <w:rPr>
          <w:rFonts w:cs="Times New Roman"/>
          <w:szCs w:val="22"/>
        </w:rPr>
        <w:t>direct emissions</w:t>
      </w:r>
      <w:r>
        <w:rPr>
          <w:rFonts w:cs="Times New Roman"/>
          <w:szCs w:val="22"/>
        </w:rPr>
        <w:t xml:space="preserve"> by more than 28% from a 2016 estimate of more than 1.1 million tonnes CO</w:t>
      </w:r>
      <w:r w:rsidRPr="001B1563">
        <w:rPr>
          <w:rFonts w:cs="Times New Roman"/>
          <w:szCs w:val="22"/>
          <w:vertAlign w:val="subscript"/>
        </w:rPr>
        <w:t>2</w:t>
      </w:r>
      <w:r>
        <w:rPr>
          <w:rFonts w:cs="Times New Roman"/>
          <w:szCs w:val="22"/>
        </w:rPr>
        <w:t>e to around 800,000 tonnes CO</w:t>
      </w:r>
      <w:r w:rsidRPr="001B1563">
        <w:rPr>
          <w:rFonts w:cs="Times New Roman"/>
          <w:szCs w:val="22"/>
          <w:vertAlign w:val="subscript"/>
        </w:rPr>
        <w:t>2</w:t>
      </w:r>
      <w:r>
        <w:rPr>
          <w:rFonts w:cs="Times New Roman"/>
          <w:szCs w:val="22"/>
        </w:rPr>
        <w:t xml:space="preserve">e in 2030. This results in an overall decline in </w:t>
      </w:r>
      <w:r w:rsidR="00193DB7">
        <w:rPr>
          <w:rFonts w:cs="Times New Roman"/>
          <w:szCs w:val="22"/>
        </w:rPr>
        <w:t>direct emissions</w:t>
      </w:r>
      <w:r>
        <w:rPr>
          <w:rFonts w:cs="Times New Roman"/>
          <w:szCs w:val="22"/>
        </w:rPr>
        <w:t xml:space="preserve"> from MAC of more than 24%</w:t>
      </w:r>
      <w:r w:rsidR="00ED7588">
        <w:rPr>
          <w:rFonts w:cs="Times New Roman"/>
          <w:szCs w:val="22"/>
        </w:rPr>
        <w:t>,</w:t>
      </w:r>
      <w:r>
        <w:rPr>
          <w:rFonts w:cs="Times New Roman"/>
          <w:szCs w:val="22"/>
        </w:rPr>
        <w:t xml:space="preserve"> even while losses from </w:t>
      </w:r>
      <w:r w:rsidR="00066E49">
        <w:rPr>
          <w:rFonts w:cs="Times New Roman"/>
          <w:szCs w:val="22"/>
        </w:rPr>
        <w:t>l</w:t>
      </w:r>
      <w:r>
        <w:rPr>
          <w:rFonts w:cs="Times New Roman"/>
          <w:szCs w:val="22"/>
        </w:rPr>
        <w:t>arge MAC rise slightly from around 122,000 tonnes CO</w:t>
      </w:r>
      <w:r w:rsidRPr="001B1563">
        <w:rPr>
          <w:rFonts w:cs="Times New Roman"/>
          <w:szCs w:val="22"/>
          <w:vertAlign w:val="subscript"/>
        </w:rPr>
        <w:t>2</w:t>
      </w:r>
      <w:r>
        <w:rPr>
          <w:rFonts w:cs="Times New Roman"/>
          <w:szCs w:val="22"/>
        </w:rPr>
        <w:t>e to 134,000 tonnes CO</w:t>
      </w:r>
      <w:r w:rsidRPr="001B1563">
        <w:rPr>
          <w:rFonts w:cs="Times New Roman"/>
          <w:szCs w:val="22"/>
          <w:vertAlign w:val="subscript"/>
        </w:rPr>
        <w:t>2</w:t>
      </w:r>
      <w:r>
        <w:rPr>
          <w:rFonts w:cs="Times New Roman"/>
          <w:szCs w:val="22"/>
        </w:rPr>
        <w:t>e.</w:t>
      </w:r>
    </w:p>
    <w:p w14:paraId="73EE78F6" w14:textId="77777777" w:rsidR="004E5550" w:rsidRDefault="004E5550" w:rsidP="004E5550">
      <w:pPr>
        <w:rPr>
          <w:rFonts w:cs="Times New Roman"/>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4E5550" w:rsidRPr="00613398" w14:paraId="00A5AAFF" w14:textId="77777777" w:rsidTr="001E36B8">
        <w:tc>
          <w:tcPr>
            <w:tcW w:w="9759" w:type="dxa"/>
            <w:vAlign w:val="center"/>
          </w:tcPr>
          <w:p w14:paraId="1EA37AAB" w14:textId="1AF4A41E" w:rsidR="004E5550" w:rsidRPr="000A23F9" w:rsidRDefault="004E5550" w:rsidP="001E36B8">
            <w:pPr>
              <w:spacing w:after="120"/>
              <w:jc w:val="center"/>
              <w:rPr>
                <w:rFonts w:cs="Times New Roman"/>
                <w:b/>
              </w:rPr>
            </w:pPr>
            <w:r>
              <w:rPr>
                <w:rFonts w:cs="Times New Roman"/>
                <w:b/>
              </w:rPr>
              <w:t xml:space="preserve">Mobile AC: </w:t>
            </w:r>
            <w:r w:rsidRPr="000A23F9">
              <w:rPr>
                <w:rFonts w:cs="Times New Roman"/>
                <w:b/>
              </w:rPr>
              <w:br w:type="page"/>
            </w:r>
            <w:r w:rsidR="00193DB7">
              <w:rPr>
                <w:rFonts w:cs="Times New Roman"/>
                <w:b/>
              </w:rPr>
              <w:t>Direct emissions</w:t>
            </w:r>
            <w:r w:rsidR="00A0109B">
              <w:rPr>
                <w:rFonts w:cs="Times New Roman"/>
                <w:b/>
              </w:rPr>
              <w:t xml:space="preserve"> (actual) by species from </w:t>
            </w:r>
            <w:r w:rsidR="00A0109B" w:rsidRPr="000A23F9">
              <w:rPr>
                <w:rFonts w:cs="Times New Roman"/>
                <w:b/>
              </w:rPr>
              <w:t>201</w:t>
            </w:r>
            <w:r w:rsidR="00A0109B">
              <w:rPr>
                <w:rFonts w:cs="Times New Roman"/>
                <w:b/>
              </w:rPr>
              <w:t>6</w:t>
            </w:r>
            <w:r w:rsidR="00A0109B" w:rsidRPr="000A23F9">
              <w:rPr>
                <w:rFonts w:cs="Times New Roman"/>
                <w:b/>
              </w:rPr>
              <w:t xml:space="preserve"> to 20</w:t>
            </w:r>
            <w:r w:rsidR="00A0109B">
              <w:rPr>
                <w:rFonts w:cs="Times New Roman"/>
                <w:b/>
              </w:rPr>
              <w:t>30</w:t>
            </w:r>
            <w:r w:rsidR="00A0109B" w:rsidRPr="000A23F9">
              <w:rPr>
                <w:rFonts w:cs="Times New Roman"/>
                <w:b/>
              </w:rPr>
              <w:t xml:space="preserve"> (</w:t>
            </w:r>
            <w:r w:rsidR="00A0109B">
              <w:rPr>
                <w:rFonts w:cs="Times New Roman"/>
                <w:b/>
              </w:rPr>
              <w:t>t</w:t>
            </w:r>
            <w:r w:rsidR="00A0109B" w:rsidRPr="000A23F9">
              <w:rPr>
                <w:rFonts w:cs="Times New Roman"/>
                <w:b/>
              </w:rPr>
              <w:t>onnes)</w:t>
            </w:r>
          </w:p>
        </w:tc>
      </w:tr>
      <w:tr w:rsidR="004E5550" w:rsidRPr="000A23F9" w14:paraId="03CB2E22" w14:textId="77777777" w:rsidTr="0042139D">
        <w:tc>
          <w:tcPr>
            <w:tcW w:w="9759" w:type="dxa"/>
            <w:vAlign w:val="center"/>
          </w:tcPr>
          <w:p w14:paraId="6E9DA6F1" w14:textId="77777777" w:rsidR="004E5550" w:rsidRPr="000A23F9" w:rsidRDefault="004E5550" w:rsidP="001E36B8">
            <w:pPr>
              <w:spacing w:before="60" w:after="60"/>
              <w:jc w:val="center"/>
              <w:rPr>
                <w:rFonts w:cs="Times New Roman"/>
                <w:sz w:val="16"/>
                <w:szCs w:val="16"/>
              </w:rPr>
            </w:pPr>
          </w:p>
          <w:p w14:paraId="311A4F22" w14:textId="7A2D246F" w:rsidR="004E5550" w:rsidRPr="000A23F9" w:rsidRDefault="0042139D" w:rsidP="001E36B8">
            <w:pPr>
              <w:spacing w:before="60" w:after="60"/>
              <w:jc w:val="center"/>
              <w:rPr>
                <w:rFonts w:cs="Times New Roman"/>
                <w:sz w:val="16"/>
                <w:szCs w:val="16"/>
              </w:rPr>
            </w:pPr>
            <w:r>
              <w:rPr>
                <w:noProof/>
                <w:lang w:val="en-AU" w:eastAsia="en-AU"/>
              </w:rPr>
              <w:drawing>
                <wp:inline distT="0" distB="0" distL="0" distR="0" wp14:anchorId="30DB9D34" wp14:editId="742A9680">
                  <wp:extent cx="6030595" cy="226250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30595" cy="2262505"/>
                          </a:xfrm>
                          <a:prstGeom prst="rect">
                            <a:avLst/>
                          </a:prstGeom>
                        </pic:spPr>
                      </pic:pic>
                    </a:graphicData>
                  </a:graphic>
                </wp:inline>
              </w:drawing>
            </w:r>
          </w:p>
          <w:p w14:paraId="595A99CD" w14:textId="77777777" w:rsidR="004E5550" w:rsidRPr="000A23F9" w:rsidRDefault="004E5550" w:rsidP="001E36B8">
            <w:pPr>
              <w:spacing w:before="60" w:after="60"/>
              <w:jc w:val="center"/>
              <w:rPr>
                <w:rFonts w:cs="Times New Roman"/>
                <w:sz w:val="16"/>
                <w:szCs w:val="16"/>
              </w:rPr>
            </w:pPr>
          </w:p>
        </w:tc>
      </w:tr>
      <w:tr w:rsidR="004E5550" w:rsidRPr="000A23F9" w14:paraId="64141EBC" w14:textId="77777777" w:rsidTr="001E36B8">
        <w:tc>
          <w:tcPr>
            <w:tcW w:w="9759" w:type="dxa"/>
            <w:vAlign w:val="center"/>
          </w:tcPr>
          <w:p w14:paraId="24B58DF8" w14:textId="5EF3FB48" w:rsidR="004E5550" w:rsidRPr="0023612A" w:rsidRDefault="0023612A" w:rsidP="0023612A">
            <w:pPr>
              <w:pStyle w:val="Caption"/>
            </w:pPr>
            <w:bookmarkStart w:id="150" w:name="_Toc525141373"/>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42</w:t>
            </w:r>
            <w:r w:rsidR="009D6843">
              <w:rPr>
                <w:noProof/>
              </w:rPr>
              <w:fldChar w:fldCharType="end"/>
            </w:r>
            <w:r w:rsidR="004E5550" w:rsidRPr="0023612A">
              <w:rPr>
                <w:bCs w:val="0"/>
              </w:rPr>
              <w:t xml:space="preserve">: Mobile AC: </w:t>
            </w:r>
            <w:r w:rsidR="00193DB7" w:rsidRPr="0023612A">
              <w:rPr>
                <w:bCs w:val="0"/>
              </w:rPr>
              <w:t>Direct emissions</w:t>
            </w:r>
            <w:r w:rsidR="006002E4" w:rsidRPr="0023612A">
              <w:rPr>
                <w:bCs w:val="0"/>
              </w:rPr>
              <w:t xml:space="preserve"> (actual) by species </w:t>
            </w:r>
            <w:r w:rsidR="004E5550" w:rsidRPr="0023612A">
              <w:rPr>
                <w:bCs w:val="0"/>
              </w:rPr>
              <w:t>from 2016 to 2030 in tonnes.</w:t>
            </w:r>
            <w:bookmarkEnd w:id="150"/>
          </w:p>
        </w:tc>
      </w:tr>
    </w:tbl>
    <w:p w14:paraId="72EC029D" w14:textId="4864BEBF" w:rsidR="004E5550" w:rsidRPr="00573A8B" w:rsidRDefault="004E5550" w:rsidP="004E5550">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632D2596" w14:textId="5C9F7D88" w:rsidR="00C91D3D" w:rsidRDefault="00C91D3D">
      <w:pPr>
        <w:spacing w:before="0"/>
        <w:jc w:val="left"/>
        <w:rPr>
          <w:rFonts w:cs="Times New Roman"/>
        </w:rPr>
      </w:pPr>
      <w:r>
        <w:rPr>
          <w:rFonts w:cs="Times New Roman"/>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4E5550" w:rsidRPr="00613398" w14:paraId="0790ECDC" w14:textId="77777777" w:rsidTr="001E36B8">
        <w:tc>
          <w:tcPr>
            <w:tcW w:w="9759" w:type="dxa"/>
            <w:vAlign w:val="center"/>
          </w:tcPr>
          <w:p w14:paraId="5607E2B4" w14:textId="6B2885A1" w:rsidR="004E5550" w:rsidRPr="000A23F9" w:rsidRDefault="004E5550" w:rsidP="001E36B8">
            <w:pPr>
              <w:spacing w:after="120"/>
              <w:jc w:val="center"/>
              <w:rPr>
                <w:rFonts w:cs="Times New Roman"/>
                <w:b/>
              </w:rPr>
            </w:pPr>
            <w:r w:rsidRPr="000A23F9">
              <w:rPr>
                <w:rFonts w:cs="Times New Roman"/>
                <w:b/>
              </w:rPr>
              <w:br w:type="page"/>
            </w:r>
            <w:r>
              <w:rPr>
                <w:rFonts w:cs="Times New Roman"/>
                <w:b/>
              </w:rPr>
              <w:t xml:space="preserve">Mobile AC: </w:t>
            </w:r>
            <w:r w:rsidRPr="000A23F9">
              <w:rPr>
                <w:rFonts w:cs="Times New Roman"/>
                <w:b/>
              </w:rPr>
              <w:br w:type="page"/>
            </w:r>
            <w:r w:rsidR="00193DB7">
              <w:rPr>
                <w:rFonts w:cs="Times New Roman"/>
                <w:b/>
              </w:rPr>
              <w:t>Direct emissions</w:t>
            </w:r>
            <w:r w:rsidR="00A0109B">
              <w:rPr>
                <w:rFonts w:cs="Times New Roman"/>
                <w:b/>
              </w:rPr>
              <w:t xml:space="preserve"> (actual) by species from </w:t>
            </w:r>
            <w:r w:rsidR="00A0109B" w:rsidRPr="000A23F9">
              <w:rPr>
                <w:rFonts w:cs="Times New Roman"/>
                <w:b/>
              </w:rPr>
              <w:t>201</w:t>
            </w:r>
            <w:r w:rsidR="00A0109B">
              <w:rPr>
                <w:rFonts w:cs="Times New Roman"/>
                <w:b/>
              </w:rPr>
              <w:t>6</w:t>
            </w:r>
            <w:r w:rsidR="00A0109B" w:rsidRPr="000A23F9">
              <w:rPr>
                <w:rFonts w:cs="Times New Roman"/>
                <w:b/>
              </w:rPr>
              <w:t xml:space="preserve"> to 20</w:t>
            </w:r>
            <w:r w:rsidR="00A0109B">
              <w:rPr>
                <w:rFonts w:cs="Times New Roman"/>
                <w:b/>
              </w:rPr>
              <w:t>30</w:t>
            </w:r>
            <w:r w:rsidR="00A0109B" w:rsidRPr="000A23F9">
              <w:rPr>
                <w:rFonts w:cs="Times New Roman"/>
                <w:b/>
              </w:rPr>
              <w:t xml:space="preserve"> (</w:t>
            </w:r>
            <w:r w:rsidR="00A0109B">
              <w:rPr>
                <w:rFonts w:cs="Times New Roman"/>
                <w:b/>
              </w:rPr>
              <w:t>Mt CO</w:t>
            </w:r>
            <w:r w:rsidR="00A0109B" w:rsidRPr="00B918A6">
              <w:rPr>
                <w:rFonts w:cs="Times New Roman"/>
                <w:b/>
                <w:vertAlign w:val="subscript"/>
              </w:rPr>
              <w:t>2</w:t>
            </w:r>
            <w:r w:rsidR="00A0109B">
              <w:rPr>
                <w:rFonts w:cs="Times New Roman"/>
                <w:b/>
              </w:rPr>
              <w:t>e</w:t>
            </w:r>
            <w:r w:rsidR="00A0109B" w:rsidRPr="000A23F9">
              <w:rPr>
                <w:rFonts w:cs="Times New Roman"/>
                <w:b/>
              </w:rPr>
              <w:t>)</w:t>
            </w:r>
          </w:p>
        </w:tc>
      </w:tr>
      <w:tr w:rsidR="004E5550" w:rsidRPr="000A23F9" w14:paraId="48D48405" w14:textId="77777777" w:rsidTr="0042139D">
        <w:tc>
          <w:tcPr>
            <w:tcW w:w="9759" w:type="dxa"/>
            <w:vAlign w:val="center"/>
          </w:tcPr>
          <w:p w14:paraId="5DDB62C0" w14:textId="77777777" w:rsidR="004E5550" w:rsidRPr="000A23F9" w:rsidRDefault="004E5550" w:rsidP="001E36B8">
            <w:pPr>
              <w:spacing w:before="60" w:after="60"/>
              <w:jc w:val="center"/>
              <w:rPr>
                <w:rFonts w:cs="Times New Roman"/>
                <w:sz w:val="16"/>
                <w:szCs w:val="16"/>
              </w:rPr>
            </w:pPr>
          </w:p>
          <w:p w14:paraId="44684DBF" w14:textId="58E28518" w:rsidR="004E5550" w:rsidRPr="000A23F9" w:rsidRDefault="0042139D" w:rsidP="001E36B8">
            <w:pPr>
              <w:spacing w:before="60" w:after="60"/>
              <w:jc w:val="center"/>
              <w:rPr>
                <w:rFonts w:cs="Times New Roman"/>
                <w:sz w:val="16"/>
                <w:szCs w:val="16"/>
              </w:rPr>
            </w:pPr>
            <w:r>
              <w:rPr>
                <w:noProof/>
                <w:lang w:val="en-AU" w:eastAsia="en-AU"/>
              </w:rPr>
              <w:drawing>
                <wp:inline distT="0" distB="0" distL="0" distR="0" wp14:anchorId="0518C68F" wp14:editId="22861173">
                  <wp:extent cx="6030595" cy="219837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30595" cy="2198370"/>
                          </a:xfrm>
                          <a:prstGeom prst="rect">
                            <a:avLst/>
                          </a:prstGeom>
                        </pic:spPr>
                      </pic:pic>
                    </a:graphicData>
                  </a:graphic>
                </wp:inline>
              </w:drawing>
            </w:r>
          </w:p>
          <w:p w14:paraId="707B64BC" w14:textId="77777777" w:rsidR="004E5550" w:rsidRPr="000A23F9" w:rsidRDefault="004E5550" w:rsidP="001E36B8">
            <w:pPr>
              <w:spacing w:before="60" w:after="60"/>
              <w:jc w:val="center"/>
              <w:rPr>
                <w:rFonts w:cs="Times New Roman"/>
                <w:sz w:val="16"/>
                <w:szCs w:val="16"/>
              </w:rPr>
            </w:pPr>
          </w:p>
        </w:tc>
      </w:tr>
      <w:tr w:rsidR="004E5550" w:rsidRPr="000A23F9" w14:paraId="05FF21FB" w14:textId="77777777" w:rsidTr="001E36B8">
        <w:tc>
          <w:tcPr>
            <w:tcW w:w="9759" w:type="dxa"/>
            <w:vAlign w:val="center"/>
          </w:tcPr>
          <w:p w14:paraId="1BD99A3F" w14:textId="628138A5" w:rsidR="004E5550" w:rsidRPr="0023612A" w:rsidRDefault="0023612A" w:rsidP="0023612A">
            <w:pPr>
              <w:pStyle w:val="Caption"/>
            </w:pPr>
            <w:bookmarkStart w:id="151" w:name="_Toc525141374"/>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43</w:t>
            </w:r>
            <w:r w:rsidR="009D6843">
              <w:rPr>
                <w:noProof/>
              </w:rPr>
              <w:fldChar w:fldCharType="end"/>
            </w:r>
            <w:r w:rsidR="004E5550" w:rsidRPr="0023612A">
              <w:rPr>
                <w:bCs w:val="0"/>
              </w:rPr>
              <w:t xml:space="preserve">: Mobile AC: </w:t>
            </w:r>
            <w:r w:rsidR="00193DB7" w:rsidRPr="0023612A">
              <w:rPr>
                <w:bCs w:val="0"/>
              </w:rPr>
              <w:t>Direct emissions</w:t>
            </w:r>
            <w:r w:rsidR="006002E4" w:rsidRPr="0023612A">
              <w:rPr>
                <w:bCs w:val="0"/>
              </w:rPr>
              <w:t xml:space="preserve"> (actual) by species </w:t>
            </w:r>
            <w:r w:rsidR="004E5550" w:rsidRPr="0023612A">
              <w:rPr>
                <w:bCs w:val="0"/>
              </w:rPr>
              <w:t>from 2016 to 2030 in Mt CO</w:t>
            </w:r>
            <w:r w:rsidR="004E5550" w:rsidRPr="0023612A">
              <w:rPr>
                <w:bCs w:val="0"/>
                <w:vertAlign w:val="subscript"/>
              </w:rPr>
              <w:t>2</w:t>
            </w:r>
            <w:r w:rsidR="004E5550" w:rsidRPr="0023612A">
              <w:rPr>
                <w:bCs w:val="0"/>
              </w:rPr>
              <w:t>e.</w:t>
            </w:r>
            <w:bookmarkEnd w:id="151"/>
          </w:p>
        </w:tc>
      </w:tr>
    </w:tbl>
    <w:p w14:paraId="27C74B6A" w14:textId="1AE600F6" w:rsidR="004E5550" w:rsidRPr="00573A8B" w:rsidRDefault="004E5550" w:rsidP="004E5550">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651D7864" w14:textId="084D436B" w:rsidR="004E5550" w:rsidRDefault="004E5550" w:rsidP="000A5DF7">
      <w:pPr>
        <w:rPr>
          <w:rFonts w:cs="Times New Roman"/>
          <w:szCs w:val="22"/>
        </w:rPr>
      </w:pPr>
    </w:p>
    <w:p w14:paraId="4328DF4D" w14:textId="123A46BF" w:rsidR="004E5550" w:rsidRDefault="004E5550" w:rsidP="004E5550">
      <w:pPr>
        <w:rPr>
          <w:rFonts w:cs="Times New Roman"/>
          <w:szCs w:val="22"/>
        </w:rPr>
      </w:pPr>
      <w:r>
        <w:rPr>
          <w:rFonts w:cs="Times New Roman"/>
          <w:szCs w:val="22"/>
        </w:rPr>
        <w:t>A number of equipment categories show steep declines in the CO</w:t>
      </w:r>
      <w:r w:rsidRPr="001B1563">
        <w:rPr>
          <w:rFonts w:cs="Times New Roman"/>
          <w:szCs w:val="22"/>
          <w:vertAlign w:val="subscript"/>
        </w:rPr>
        <w:t>2</w:t>
      </w:r>
      <w:r>
        <w:rPr>
          <w:rFonts w:cs="Times New Roman"/>
          <w:szCs w:val="22"/>
        </w:rPr>
        <w:t xml:space="preserve">e value of their </w:t>
      </w:r>
      <w:r w:rsidR="00193DB7">
        <w:rPr>
          <w:rFonts w:cs="Times New Roman"/>
          <w:szCs w:val="22"/>
        </w:rPr>
        <w:t>direct emissions</w:t>
      </w:r>
      <w:r>
        <w:rPr>
          <w:rFonts w:cs="Times New Roman"/>
          <w:szCs w:val="22"/>
        </w:rPr>
        <w:t xml:space="preserve"> as a result of being able to migrate to low or zero GWP refrigerants</w:t>
      </w:r>
      <w:r w:rsidR="002713D0">
        <w:rPr>
          <w:rFonts w:cs="Times New Roman"/>
          <w:szCs w:val="22"/>
        </w:rPr>
        <w:t xml:space="preserve"> (GWP&lt;10)</w:t>
      </w:r>
      <w:r>
        <w:rPr>
          <w:rFonts w:cs="Times New Roman"/>
          <w:szCs w:val="22"/>
        </w:rPr>
        <w:t xml:space="preserve">. For </w:t>
      </w:r>
      <w:r w:rsidR="002713D0">
        <w:rPr>
          <w:rFonts w:cs="Times New Roman"/>
          <w:szCs w:val="22"/>
        </w:rPr>
        <w:t>instance,</w:t>
      </w:r>
      <w:r>
        <w:rPr>
          <w:rFonts w:cs="Times New Roman"/>
          <w:szCs w:val="22"/>
        </w:rPr>
        <w:t xml:space="preserve"> the entire class of </w:t>
      </w:r>
      <w:r w:rsidR="00562DF8">
        <w:rPr>
          <w:rFonts w:cs="Times New Roman"/>
          <w:szCs w:val="22"/>
        </w:rPr>
        <w:t>d</w:t>
      </w:r>
      <w:r>
        <w:rPr>
          <w:rFonts w:cs="Times New Roman"/>
          <w:szCs w:val="22"/>
        </w:rPr>
        <w:t xml:space="preserve">omestic </w:t>
      </w:r>
      <w:r w:rsidR="00562DF8">
        <w:rPr>
          <w:rFonts w:cs="Times New Roman"/>
          <w:szCs w:val="22"/>
        </w:rPr>
        <w:t>r</w:t>
      </w:r>
      <w:r>
        <w:rPr>
          <w:rFonts w:cs="Times New Roman"/>
          <w:szCs w:val="22"/>
        </w:rPr>
        <w:t xml:space="preserve">efrigeration, with its simple bank comprising just two refrigerant species, is already well advanced in moving to hydrocarbons, and </w:t>
      </w:r>
      <w:r w:rsidR="00ED7588">
        <w:rPr>
          <w:rFonts w:cs="Times New Roman"/>
          <w:szCs w:val="22"/>
        </w:rPr>
        <w:t>a</w:t>
      </w:r>
      <w:r>
        <w:rPr>
          <w:rFonts w:cs="Times New Roman"/>
          <w:szCs w:val="22"/>
        </w:rPr>
        <w:t xml:space="preserve">way from HFC-134a. </w:t>
      </w:r>
    </w:p>
    <w:p w14:paraId="12371BE2" w14:textId="77777777" w:rsidR="004E5550" w:rsidRDefault="004E5550" w:rsidP="004E5550">
      <w:pPr>
        <w:rPr>
          <w:rFonts w:cs="Times New Roman"/>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4E5550" w:rsidRPr="00613398" w14:paraId="07704C4D" w14:textId="77777777" w:rsidTr="001E36B8">
        <w:tc>
          <w:tcPr>
            <w:tcW w:w="9759" w:type="dxa"/>
            <w:vAlign w:val="center"/>
          </w:tcPr>
          <w:p w14:paraId="67356BAA" w14:textId="7DE9D532" w:rsidR="004E5550" w:rsidRPr="000A23F9" w:rsidRDefault="004E5550" w:rsidP="001E36B8">
            <w:pPr>
              <w:spacing w:after="120"/>
              <w:jc w:val="center"/>
              <w:rPr>
                <w:rFonts w:cs="Times New Roman"/>
                <w:b/>
              </w:rPr>
            </w:pPr>
            <w:r>
              <w:rPr>
                <w:rFonts w:cs="Times New Roman"/>
                <w:b/>
              </w:rPr>
              <w:t xml:space="preserve">Domestic </w:t>
            </w:r>
            <w:r w:rsidR="00333E46">
              <w:rPr>
                <w:rFonts w:cs="Times New Roman"/>
                <w:b/>
              </w:rPr>
              <w:t>r</w:t>
            </w:r>
            <w:r w:rsidR="002713D0">
              <w:rPr>
                <w:rFonts w:cs="Times New Roman"/>
                <w:b/>
              </w:rPr>
              <w:t>efrigeration</w:t>
            </w:r>
            <w:r>
              <w:rPr>
                <w:rFonts w:cs="Times New Roman"/>
                <w:b/>
              </w:rPr>
              <w:t xml:space="preserve">: </w:t>
            </w:r>
            <w:r w:rsidRPr="000A23F9">
              <w:rPr>
                <w:rFonts w:cs="Times New Roman"/>
                <w:b/>
              </w:rPr>
              <w:br w:type="page"/>
            </w:r>
            <w:r w:rsidR="00193DB7">
              <w:rPr>
                <w:rFonts w:cs="Times New Roman"/>
                <w:b/>
              </w:rPr>
              <w:t>Direct emissions</w:t>
            </w:r>
            <w:r w:rsidR="00A0109B">
              <w:rPr>
                <w:rFonts w:cs="Times New Roman"/>
                <w:b/>
              </w:rPr>
              <w:t xml:space="preserve"> (actual) by species from </w:t>
            </w:r>
            <w:r w:rsidR="00A0109B" w:rsidRPr="000A23F9">
              <w:rPr>
                <w:rFonts w:cs="Times New Roman"/>
                <w:b/>
              </w:rPr>
              <w:t>201</w:t>
            </w:r>
            <w:r w:rsidR="00A0109B">
              <w:rPr>
                <w:rFonts w:cs="Times New Roman"/>
                <w:b/>
              </w:rPr>
              <w:t>6</w:t>
            </w:r>
            <w:r w:rsidR="00A0109B" w:rsidRPr="000A23F9">
              <w:rPr>
                <w:rFonts w:cs="Times New Roman"/>
                <w:b/>
              </w:rPr>
              <w:t xml:space="preserve"> to 20</w:t>
            </w:r>
            <w:r w:rsidR="00A0109B">
              <w:rPr>
                <w:rFonts w:cs="Times New Roman"/>
                <w:b/>
              </w:rPr>
              <w:t>30</w:t>
            </w:r>
            <w:r w:rsidR="00A0109B" w:rsidRPr="000A23F9">
              <w:rPr>
                <w:rFonts w:cs="Times New Roman"/>
                <w:b/>
              </w:rPr>
              <w:t xml:space="preserve"> (</w:t>
            </w:r>
            <w:r w:rsidR="00A0109B">
              <w:rPr>
                <w:rFonts w:cs="Times New Roman"/>
                <w:b/>
              </w:rPr>
              <w:t>t</w:t>
            </w:r>
            <w:r w:rsidR="00A0109B" w:rsidRPr="000A23F9">
              <w:rPr>
                <w:rFonts w:cs="Times New Roman"/>
                <w:b/>
              </w:rPr>
              <w:t>onnes)</w:t>
            </w:r>
          </w:p>
        </w:tc>
      </w:tr>
      <w:tr w:rsidR="004E5550" w:rsidRPr="000A23F9" w14:paraId="3069BC40" w14:textId="77777777" w:rsidTr="002713D0">
        <w:tc>
          <w:tcPr>
            <w:tcW w:w="9759" w:type="dxa"/>
            <w:vAlign w:val="center"/>
          </w:tcPr>
          <w:p w14:paraId="7A2BDCE4" w14:textId="77777777" w:rsidR="004E5550" w:rsidRPr="000A23F9" w:rsidRDefault="004E5550" w:rsidP="001E36B8">
            <w:pPr>
              <w:spacing w:before="60" w:after="60"/>
              <w:jc w:val="center"/>
              <w:rPr>
                <w:rFonts w:cs="Times New Roman"/>
                <w:sz w:val="16"/>
                <w:szCs w:val="16"/>
              </w:rPr>
            </w:pPr>
          </w:p>
          <w:p w14:paraId="7FC61C7F" w14:textId="08EA3FA4" w:rsidR="004E5550" w:rsidRPr="000A23F9" w:rsidRDefault="002713D0" w:rsidP="001E36B8">
            <w:pPr>
              <w:spacing w:before="60" w:after="60"/>
              <w:jc w:val="center"/>
              <w:rPr>
                <w:rFonts w:cs="Times New Roman"/>
                <w:sz w:val="16"/>
                <w:szCs w:val="16"/>
              </w:rPr>
            </w:pPr>
            <w:r>
              <w:rPr>
                <w:noProof/>
                <w:lang w:val="en-AU" w:eastAsia="en-AU"/>
              </w:rPr>
              <w:drawing>
                <wp:inline distT="0" distB="0" distL="0" distR="0" wp14:anchorId="1D983093" wp14:editId="728C4181">
                  <wp:extent cx="6030595" cy="226250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30595" cy="2262505"/>
                          </a:xfrm>
                          <a:prstGeom prst="rect">
                            <a:avLst/>
                          </a:prstGeom>
                        </pic:spPr>
                      </pic:pic>
                    </a:graphicData>
                  </a:graphic>
                </wp:inline>
              </w:drawing>
            </w:r>
          </w:p>
          <w:p w14:paraId="6E403623" w14:textId="77777777" w:rsidR="004E5550" w:rsidRPr="000A23F9" w:rsidRDefault="004E5550" w:rsidP="001E36B8">
            <w:pPr>
              <w:spacing w:before="60" w:after="60"/>
              <w:jc w:val="center"/>
              <w:rPr>
                <w:rFonts w:cs="Times New Roman"/>
                <w:sz w:val="16"/>
                <w:szCs w:val="16"/>
              </w:rPr>
            </w:pPr>
          </w:p>
        </w:tc>
      </w:tr>
      <w:tr w:rsidR="004E5550" w:rsidRPr="000A23F9" w14:paraId="1B7807EE" w14:textId="77777777" w:rsidTr="001E36B8">
        <w:tc>
          <w:tcPr>
            <w:tcW w:w="9759" w:type="dxa"/>
            <w:vAlign w:val="center"/>
          </w:tcPr>
          <w:p w14:paraId="6367AD81" w14:textId="5175D83C" w:rsidR="004E5550" w:rsidRPr="0023612A" w:rsidRDefault="0023612A" w:rsidP="0023612A">
            <w:pPr>
              <w:pStyle w:val="Caption"/>
            </w:pPr>
            <w:bookmarkStart w:id="152" w:name="_Toc525141375"/>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44</w:t>
            </w:r>
            <w:r w:rsidR="009D6843">
              <w:rPr>
                <w:noProof/>
              </w:rPr>
              <w:fldChar w:fldCharType="end"/>
            </w:r>
            <w:r w:rsidR="004E5550" w:rsidRPr="0023612A">
              <w:rPr>
                <w:bCs w:val="0"/>
              </w:rPr>
              <w:t xml:space="preserve">: </w:t>
            </w:r>
            <w:r w:rsidR="00333E46" w:rsidRPr="0023612A">
              <w:rPr>
                <w:bCs w:val="0"/>
              </w:rPr>
              <w:t>Domestic r</w:t>
            </w:r>
            <w:r w:rsidR="004E5550" w:rsidRPr="0023612A">
              <w:rPr>
                <w:bCs w:val="0"/>
              </w:rPr>
              <w:t>efrig</w:t>
            </w:r>
            <w:r w:rsidR="002713D0" w:rsidRPr="0023612A">
              <w:rPr>
                <w:bCs w:val="0"/>
              </w:rPr>
              <w:t>eration</w:t>
            </w:r>
            <w:r w:rsidR="00FE74F2" w:rsidRPr="0023612A">
              <w:rPr>
                <w:bCs w:val="0"/>
              </w:rPr>
              <w:t>:</w:t>
            </w:r>
            <w:r w:rsidR="004E5550" w:rsidRPr="0023612A">
              <w:rPr>
                <w:bCs w:val="0"/>
              </w:rPr>
              <w:t xml:space="preserve"> </w:t>
            </w:r>
            <w:r w:rsidR="00193DB7" w:rsidRPr="0023612A">
              <w:rPr>
                <w:bCs w:val="0"/>
              </w:rPr>
              <w:t>Direct emissions</w:t>
            </w:r>
            <w:r w:rsidR="006002E4" w:rsidRPr="0023612A">
              <w:rPr>
                <w:bCs w:val="0"/>
              </w:rPr>
              <w:t xml:space="preserve"> (actual) by species </w:t>
            </w:r>
            <w:r w:rsidR="004E5550" w:rsidRPr="0023612A">
              <w:rPr>
                <w:bCs w:val="0"/>
              </w:rPr>
              <w:t>from 2016 to 2030 in tonnes.</w:t>
            </w:r>
            <w:bookmarkEnd w:id="152"/>
          </w:p>
        </w:tc>
      </w:tr>
    </w:tbl>
    <w:p w14:paraId="66D4F5AC" w14:textId="44389F3C" w:rsidR="004E5550" w:rsidRPr="00573A8B" w:rsidRDefault="004E5550" w:rsidP="004E5550">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12E1BAE1" w14:textId="244F69D0" w:rsidR="00C91D3D" w:rsidRDefault="00C91D3D">
      <w:pPr>
        <w:spacing w:before="0"/>
        <w:jc w:val="left"/>
        <w:rPr>
          <w:rFonts w:cs="Times New Roman"/>
        </w:rPr>
      </w:pPr>
      <w:r>
        <w:rPr>
          <w:rFonts w:cs="Times New Roman"/>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4E5550" w:rsidRPr="00613398" w14:paraId="1CCE8AC3" w14:textId="77777777" w:rsidTr="001E36B8">
        <w:tc>
          <w:tcPr>
            <w:tcW w:w="9759" w:type="dxa"/>
            <w:vAlign w:val="center"/>
          </w:tcPr>
          <w:p w14:paraId="78CAF2B9" w14:textId="1E726332" w:rsidR="004E5550" w:rsidRPr="000A23F9" w:rsidRDefault="004E5550" w:rsidP="001E36B8">
            <w:pPr>
              <w:spacing w:after="120"/>
              <w:jc w:val="center"/>
              <w:rPr>
                <w:rFonts w:cs="Times New Roman"/>
                <w:b/>
              </w:rPr>
            </w:pPr>
            <w:r w:rsidRPr="000A23F9">
              <w:rPr>
                <w:rFonts w:cs="Times New Roman"/>
                <w:b/>
              </w:rPr>
              <w:br w:type="page"/>
            </w:r>
            <w:r w:rsidR="00333E46">
              <w:rPr>
                <w:rFonts w:cs="Times New Roman"/>
                <w:b/>
              </w:rPr>
              <w:t>Domestic r</w:t>
            </w:r>
            <w:r>
              <w:rPr>
                <w:rFonts w:cs="Times New Roman"/>
                <w:b/>
              </w:rPr>
              <w:t>efrig</w:t>
            </w:r>
            <w:r w:rsidR="002713D0">
              <w:rPr>
                <w:rFonts w:cs="Times New Roman"/>
                <w:b/>
              </w:rPr>
              <w:t>eration</w:t>
            </w:r>
            <w:r>
              <w:rPr>
                <w:rFonts w:cs="Times New Roman"/>
                <w:b/>
              </w:rPr>
              <w:t xml:space="preserve">: </w:t>
            </w:r>
            <w:r w:rsidR="00193DB7">
              <w:rPr>
                <w:rFonts w:cs="Times New Roman"/>
                <w:b/>
              </w:rPr>
              <w:t>Direct emissions</w:t>
            </w:r>
            <w:r w:rsidR="00A0109B">
              <w:rPr>
                <w:rFonts w:cs="Times New Roman"/>
                <w:b/>
              </w:rPr>
              <w:t xml:space="preserve"> (actual) by species from </w:t>
            </w:r>
            <w:r w:rsidR="00A0109B" w:rsidRPr="000A23F9">
              <w:rPr>
                <w:rFonts w:cs="Times New Roman"/>
                <w:b/>
              </w:rPr>
              <w:t>201</w:t>
            </w:r>
            <w:r w:rsidR="00A0109B">
              <w:rPr>
                <w:rFonts w:cs="Times New Roman"/>
                <w:b/>
              </w:rPr>
              <w:t>6</w:t>
            </w:r>
            <w:r w:rsidR="00A0109B" w:rsidRPr="000A23F9">
              <w:rPr>
                <w:rFonts w:cs="Times New Roman"/>
                <w:b/>
              </w:rPr>
              <w:t xml:space="preserve"> to 20</w:t>
            </w:r>
            <w:r w:rsidR="00A0109B">
              <w:rPr>
                <w:rFonts w:cs="Times New Roman"/>
                <w:b/>
              </w:rPr>
              <w:t>30</w:t>
            </w:r>
            <w:r w:rsidR="00A0109B" w:rsidRPr="000A23F9">
              <w:rPr>
                <w:rFonts w:cs="Times New Roman"/>
                <w:b/>
              </w:rPr>
              <w:t xml:space="preserve"> (</w:t>
            </w:r>
            <w:r w:rsidR="00A0109B">
              <w:rPr>
                <w:rFonts w:cs="Times New Roman"/>
                <w:b/>
              </w:rPr>
              <w:t>Mt CO</w:t>
            </w:r>
            <w:r w:rsidR="00A0109B" w:rsidRPr="00B918A6">
              <w:rPr>
                <w:rFonts w:cs="Times New Roman"/>
                <w:b/>
                <w:vertAlign w:val="subscript"/>
              </w:rPr>
              <w:t>2</w:t>
            </w:r>
            <w:r w:rsidR="00A0109B">
              <w:rPr>
                <w:rFonts w:cs="Times New Roman"/>
                <w:b/>
              </w:rPr>
              <w:t>e</w:t>
            </w:r>
            <w:r w:rsidR="00A0109B" w:rsidRPr="000A23F9">
              <w:rPr>
                <w:rFonts w:cs="Times New Roman"/>
                <w:b/>
              </w:rPr>
              <w:t>)</w:t>
            </w:r>
          </w:p>
        </w:tc>
      </w:tr>
      <w:tr w:rsidR="004E5550" w:rsidRPr="000A23F9" w14:paraId="444ACE6D" w14:textId="77777777" w:rsidTr="002713D0">
        <w:tc>
          <w:tcPr>
            <w:tcW w:w="9759" w:type="dxa"/>
            <w:vAlign w:val="center"/>
          </w:tcPr>
          <w:p w14:paraId="3AAE0F84" w14:textId="77777777" w:rsidR="004E5550" w:rsidRPr="000A23F9" w:rsidRDefault="004E5550" w:rsidP="001E36B8">
            <w:pPr>
              <w:spacing w:before="60" w:after="60"/>
              <w:jc w:val="center"/>
              <w:rPr>
                <w:rFonts w:cs="Times New Roman"/>
                <w:sz w:val="16"/>
                <w:szCs w:val="16"/>
              </w:rPr>
            </w:pPr>
          </w:p>
          <w:p w14:paraId="42960907" w14:textId="0E147F14" w:rsidR="004E5550" w:rsidRPr="000A23F9" w:rsidRDefault="002713D0" w:rsidP="001E36B8">
            <w:pPr>
              <w:spacing w:before="60" w:after="60"/>
              <w:jc w:val="center"/>
              <w:rPr>
                <w:rFonts w:cs="Times New Roman"/>
                <w:sz w:val="16"/>
                <w:szCs w:val="16"/>
              </w:rPr>
            </w:pPr>
            <w:r>
              <w:rPr>
                <w:noProof/>
                <w:lang w:val="en-AU" w:eastAsia="en-AU"/>
              </w:rPr>
              <w:drawing>
                <wp:inline distT="0" distB="0" distL="0" distR="0" wp14:anchorId="435BE5E3" wp14:editId="378F1FD4">
                  <wp:extent cx="6030595" cy="219837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30595" cy="2198370"/>
                          </a:xfrm>
                          <a:prstGeom prst="rect">
                            <a:avLst/>
                          </a:prstGeom>
                        </pic:spPr>
                      </pic:pic>
                    </a:graphicData>
                  </a:graphic>
                </wp:inline>
              </w:drawing>
            </w:r>
          </w:p>
          <w:p w14:paraId="10E535BA" w14:textId="77777777" w:rsidR="004E5550" w:rsidRPr="000A23F9" w:rsidRDefault="004E5550" w:rsidP="001E36B8">
            <w:pPr>
              <w:spacing w:before="60" w:after="60"/>
              <w:jc w:val="center"/>
              <w:rPr>
                <w:rFonts w:cs="Times New Roman"/>
                <w:sz w:val="16"/>
                <w:szCs w:val="16"/>
              </w:rPr>
            </w:pPr>
          </w:p>
        </w:tc>
      </w:tr>
      <w:tr w:rsidR="004E5550" w:rsidRPr="000A23F9" w14:paraId="5574E07F" w14:textId="77777777" w:rsidTr="001E36B8">
        <w:tc>
          <w:tcPr>
            <w:tcW w:w="9759" w:type="dxa"/>
            <w:vAlign w:val="center"/>
          </w:tcPr>
          <w:p w14:paraId="04DE0BBC" w14:textId="338ACEF0" w:rsidR="004E5550" w:rsidRPr="0023612A" w:rsidRDefault="0023612A" w:rsidP="0023612A">
            <w:pPr>
              <w:pStyle w:val="Caption"/>
            </w:pPr>
            <w:bookmarkStart w:id="153" w:name="_Toc525141376"/>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45</w:t>
            </w:r>
            <w:r w:rsidR="009D6843">
              <w:rPr>
                <w:noProof/>
              </w:rPr>
              <w:fldChar w:fldCharType="end"/>
            </w:r>
            <w:r w:rsidRPr="0023612A">
              <w:t xml:space="preserve">: </w:t>
            </w:r>
            <w:r w:rsidR="004E5550" w:rsidRPr="0023612A">
              <w:rPr>
                <w:bCs w:val="0"/>
              </w:rPr>
              <w:t xml:space="preserve">Domestic </w:t>
            </w:r>
            <w:r w:rsidR="00333E46" w:rsidRPr="0023612A">
              <w:rPr>
                <w:bCs w:val="0"/>
              </w:rPr>
              <w:t>r</w:t>
            </w:r>
            <w:r w:rsidR="004E5550" w:rsidRPr="0023612A">
              <w:rPr>
                <w:bCs w:val="0"/>
              </w:rPr>
              <w:t>efrig</w:t>
            </w:r>
            <w:r w:rsidR="002713D0" w:rsidRPr="0023612A">
              <w:rPr>
                <w:bCs w:val="0"/>
              </w:rPr>
              <w:t>eration</w:t>
            </w:r>
            <w:r w:rsidR="004E5550" w:rsidRPr="0023612A">
              <w:rPr>
                <w:bCs w:val="0"/>
              </w:rPr>
              <w:t xml:space="preserve">: </w:t>
            </w:r>
            <w:r w:rsidR="00193DB7" w:rsidRPr="0023612A">
              <w:rPr>
                <w:bCs w:val="0"/>
              </w:rPr>
              <w:t>Direct emissions</w:t>
            </w:r>
            <w:r w:rsidR="006002E4" w:rsidRPr="0023612A">
              <w:rPr>
                <w:bCs w:val="0"/>
              </w:rPr>
              <w:t xml:space="preserve"> (actual) by species </w:t>
            </w:r>
            <w:r w:rsidR="004E5550" w:rsidRPr="0023612A">
              <w:rPr>
                <w:bCs w:val="0"/>
              </w:rPr>
              <w:t>from 2016 to 2030 in Mt CO</w:t>
            </w:r>
            <w:r w:rsidR="004E5550" w:rsidRPr="0023612A">
              <w:rPr>
                <w:bCs w:val="0"/>
                <w:vertAlign w:val="subscript"/>
              </w:rPr>
              <w:t>2</w:t>
            </w:r>
            <w:r w:rsidR="004E5550" w:rsidRPr="0023612A">
              <w:rPr>
                <w:bCs w:val="0"/>
              </w:rPr>
              <w:t>e.</w:t>
            </w:r>
            <w:bookmarkEnd w:id="153"/>
          </w:p>
        </w:tc>
      </w:tr>
    </w:tbl>
    <w:p w14:paraId="7FD540A0" w14:textId="3032013D" w:rsidR="004E5550" w:rsidRPr="00573A8B" w:rsidRDefault="004E5550" w:rsidP="004E5550">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4732F0D0" w14:textId="77777777" w:rsidR="004E5550" w:rsidRDefault="004E5550" w:rsidP="000A5DF7">
      <w:pPr>
        <w:rPr>
          <w:rFonts w:cs="Times New Roman"/>
          <w:szCs w:val="22"/>
        </w:rPr>
      </w:pPr>
    </w:p>
    <w:p w14:paraId="536619A1" w14:textId="29AB81A9" w:rsidR="000A5DF7" w:rsidRDefault="000A5DF7" w:rsidP="000A5DF7">
      <w:pPr>
        <w:rPr>
          <w:rFonts w:cs="Times New Roman"/>
          <w:szCs w:val="22"/>
        </w:rPr>
      </w:pPr>
      <w:r>
        <w:rPr>
          <w:rFonts w:cs="Times New Roman"/>
          <w:szCs w:val="22"/>
        </w:rPr>
        <w:t xml:space="preserve">The refrigerated cold food chain is the hardest working and traditionally the leakiest class of all RAC equipment. </w:t>
      </w:r>
      <w:r w:rsidR="009F5EAE">
        <w:rPr>
          <w:rFonts w:cs="Times New Roman"/>
          <w:szCs w:val="22"/>
        </w:rPr>
        <w:t>However,</w:t>
      </w:r>
      <w:r>
        <w:rPr>
          <w:rFonts w:cs="Times New Roman"/>
          <w:szCs w:val="22"/>
        </w:rPr>
        <w:t xml:space="preserve"> some segments show solid improvements over the period. </w:t>
      </w:r>
    </w:p>
    <w:p w14:paraId="0EF227E8" w14:textId="0C3ABFCC" w:rsidR="000A5DF7" w:rsidRDefault="000A5DF7" w:rsidP="000A5DF7">
      <w:pPr>
        <w:rPr>
          <w:rFonts w:cs="Times New Roman"/>
          <w:szCs w:val="22"/>
        </w:rPr>
      </w:pPr>
      <w:r>
        <w:rPr>
          <w:rFonts w:cs="Times New Roman"/>
          <w:szCs w:val="22"/>
        </w:rPr>
        <w:t xml:space="preserve">Supermarkets are projected to cut their </w:t>
      </w:r>
      <w:r w:rsidR="00193DB7">
        <w:rPr>
          <w:rFonts w:cs="Times New Roman"/>
          <w:szCs w:val="22"/>
        </w:rPr>
        <w:t>direct emissions</w:t>
      </w:r>
      <w:r>
        <w:rPr>
          <w:rFonts w:cs="Times New Roman"/>
          <w:szCs w:val="22"/>
        </w:rPr>
        <w:t xml:space="preserve"> by more than half from a 2016 estimate of more than 720,000 tonnes CO</w:t>
      </w:r>
      <w:r w:rsidRPr="001B1563">
        <w:rPr>
          <w:rFonts w:cs="Times New Roman"/>
          <w:szCs w:val="22"/>
          <w:vertAlign w:val="subscript"/>
        </w:rPr>
        <w:t>2</w:t>
      </w:r>
      <w:r>
        <w:rPr>
          <w:rFonts w:cs="Times New Roman"/>
          <w:szCs w:val="22"/>
        </w:rPr>
        <w:t>e to less than 350,000 tonnes CO</w:t>
      </w:r>
      <w:r w:rsidRPr="001B1563">
        <w:rPr>
          <w:rFonts w:cs="Times New Roman"/>
          <w:szCs w:val="22"/>
          <w:vertAlign w:val="subscript"/>
        </w:rPr>
        <w:t>2</w:t>
      </w:r>
      <w:r>
        <w:rPr>
          <w:rFonts w:cs="Times New Roman"/>
          <w:szCs w:val="22"/>
        </w:rPr>
        <w:t xml:space="preserve">e by 2030. </w:t>
      </w:r>
    </w:p>
    <w:p w14:paraId="7AF1B0C4" w14:textId="729FA4EF" w:rsidR="000A5DF7" w:rsidRDefault="00625E9A" w:rsidP="000A5DF7">
      <w:pPr>
        <w:rPr>
          <w:rFonts w:cs="Times New Roman"/>
          <w:szCs w:val="22"/>
        </w:rPr>
      </w:pPr>
      <w:r>
        <w:rPr>
          <w:rFonts w:cs="Times New Roman"/>
          <w:szCs w:val="22"/>
        </w:rPr>
        <w:t>A</w:t>
      </w:r>
      <w:r w:rsidR="000A5DF7">
        <w:rPr>
          <w:rFonts w:cs="Times New Roman"/>
          <w:szCs w:val="22"/>
        </w:rPr>
        <w:t xml:space="preserve">nnual </w:t>
      </w:r>
      <w:r w:rsidR="00193DB7">
        <w:rPr>
          <w:rFonts w:cs="Times New Roman"/>
          <w:szCs w:val="22"/>
        </w:rPr>
        <w:t>direct emissions</w:t>
      </w:r>
      <w:r w:rsidR="000A5DF7">
        <w:rPr>
          <w:rFonts w:cs="Times New Roman"/>
          <w:szCs w:val="22"/>
        </w:rPr>
        <w:t xml:space="preserve"> </w:t>
      </w:r>
      <w:r>
        <w:rPr>
          <w:rFonts w:cs="Times New Roman"/>
          <w:szCs w:val="22"/>
        </w:rPr>
        <w:t xml:space="preserve">of HCFCs and HFCs in the RCFC decrease </w:t>
      </w:r>
      <w:r w:rsidR="000A5DF7">
        <w:rPr>
          <w:rFonts w:cs="Times New Roman"/>
          <w:szCs w:val="22"/>
        </w:rPr>
        <w:t xml:space="preserve">by about </w:t>
      </w:r>
      <w:r>
        <w:rPr>
          <w:rFonts w:cs="Times New Roman"/>
          <w:szCs w:val="22"/>
        </w:rPr>
        <w:t>20</w:t>
      </w:r>
      <w:r w:rsidR="000A5DF7">
        <w:rPr>
          <w:rFonts w:cs="Times New Roman"/>
          <w:szCs w:val="22"/>
        </w:rPr>
        <w:t xml:space="preserve">% over 2016 with an estimated </w:t>
      </w:r>
      <w:r>
        <w:rPr>
          <w:rFonts w:cs="Times New Roman"/>
          <w:szCs w:val="22"/>
        </w:rPr>
        <w:t>735</w:t>
      </w:r>
      <w:r w:rsidR="000A5DF7">
        <w:rPr>
          <w:rFonts w:cs="Times New Roman"/>
          <w:szCs w:val="22"/>
        </w:rPr>
        <w:t xml:space="preserve"> tonnes of annual losses as compared to about </w:t>
      </w:r>
      <w:r>
        <w:rPr>
          <w:rFonts w:cs="Times New Roman"/>
          <w:szCs w:val="22"/>
        </w:rPr>
        <w:t>910</w:t>
      </w:r>
      <w:r w:rsidR="000A5DF7">
        <w:rPr>
          <w:rFonts w:cs="Times New Roman"/>
          <w:szCs w:val="22"/>
        </w:rPr>
        <w:t xml:space="preserve"> tonnes of losses in 2016. Adoption of lower GWP refrigerants across the class helps lead the entire RCFC class to reduce the CO</w:t>
      </w:r>
      <w:r w:rsidR="000A5DF7" w:rsidRPr="001B1563">
        <w:rPr>
          <w:rFonts w:cs="Times New Roman"/>
          <w:szCs w:val="22"/>
          <w:vertAlign w:val="subscript"/>
        </w:rPr>
        <w:t>2</w:t>
      </w:r>
      <w:r w:rsidR="000A5DF7">
        <w:rPr>
          <w:rFonts w:cs="Times New Roman"/>
          <w:szCs w:val="22"/>
        </w:rPr>
        <w:t xml:space="preserve">e value of annual losses by more than </w:t>
      </w:r>
      <w:r>
        <w:rPr>
          <w:rFonts w:cs="Times New Roman"/>
          <w:szCs w:val="22"/>
        </w:rPr>
        <w:t>42</w:t>
      </w:r>
      <w:r w:rsidR="000A5DF7">
        <w:rPr>
          <w:rFonts w:cs="Times New Roman"/>
          <w:szCs w:val="22"/>
        </w:rPr>
        <w:t xml:space="preserve">% from a 2016 estimate of </w:t>
      </w:r>
      <w:r>
        <w:rPr>
          <w:rFonts w:cs="Times New Roman"/>
          <w:szCs w:val="22"/>
        </w:rPr>
        <w:t>2.9</w:t>
      </w:r>
      <w:r w:rsidR="000A5DF7">
        <w:rPr>
          <w:rFonts w:cs="Times New Roman"/>
          <w:szCs w:val="22"/>
        </w:rPr>
        <w:t xml:space="preserve"> million tonnes CO</w:t>
      </w:r>
      <w:r w:rsidR="000A5DF7" w:rsidRPr="001B1563">
        <w:rPr>
          <w:rFonts w:cs="Times New Roman"/>
          <w:szCs w:val="22"/>
          <w:vertAlign w:val="subscript"/>
        </w:rPr>
        <w:t>2</w:t>
      </w:r>
      <w:r w:rsidR="000A5DF7">
        <w:rPr>
          <w:rFonts w:cs="Times New Roman"/>
          <w:szCs w:val="22"/>
        </w:rPr>
        <w:t>e to a 2030 estimate of around 1.</w:t>
      </w:r>
      <w:r>
        <w:rPr>
          <w:rFonts w:cs="Times New Roman"/>
          <w:szCs w:val="22"/>
        </w:rPr>
        <w:t>7</w:t>
      </w:r>
      <w:r w:rsidR="000A5DF7">
        <w:rPr>
          <w:rFonts w:cs="Times New Roman"/>
          <w:szCs w:val="22"/>
        </w:rPr>
        <w:t xml:space="preserve"> million tonnes</w:t>
      </w:r>
      <w:r w:rsidR="00193DB7">
        <w:rPr>
          <w:rFonts w:cs="Times New Roman"/>
          <w:szCs w:val="22"/>
        </w:rPr>
        <w:t xml:space="preserve"> of direct emissions</w:t>
      </w:r>
      <w:r w:rsidR="000A5DF7">
        <w:rPr>
          <w:rFonts w:cs="Times New Roman"/>
          <w:szCs w:val="22"/>
        </w:rPr>
        <w:t xml:space="preserve">. While only comprising </w:t>
      </w:r>
      <w:r w:rsidR="000A5DF7" w:rsidRPr="00625E9A">
        <w:rPr>
          <w:rFonts w:cs="Times New Roman"/>
          <w:szCs w:val="22"/>
        </w:rPr>
        <w:t>14% of</w:t>
      </w:r>
      <w:r w:rsidR="000A5DF7">
        <w:rPr>
          <w:rFonts w:cs="Times New Roman"/>
          <w:szCs w:val="22"/>
        </w:rPr>
        <w:t xml:space="preserve"> the total bank in 2</w:t>
      </w:r>
      <w:r>
        <w:rPr>
          <w:rFonts w:cs="Times New Roman"/>
          <w:szCs w:val="22"/>
        </w:rPr>
        <w:t>016</w:t>
      </w:r>
      <w:r w:rsidR="000A5DF7">
        <w:rPr>
          <w:rFonts w:cs="Times New Roman"/>
          <w:szCs w:val="22"/>
        </w:rPr>
        <w:t xml:space="preserve">, </w:t>
      </w:r>
      <w:r w:rsidR="00ED7588">
        <w:rPr>
          <w:rFonts w:cs="Times New Roman"/>
          <w:szCs w:val="22"/>
        </w:rPr>
        <w:t>(</w:t>
      </w:r>
      <w:r w:rsidR="000A5DF7">
        <w:rPr>
          <w:rFonts w:cs="Times New Roman"/>
          <w:szCs w:val="22"/>
        </w:rPr>
        <w:t>as has always been the case from the huge stock of varied equipment across the hard working refrigerated cold food chain</w:t>
      </w:r>
      <w:r w:rsidR="00ED7588">
        <w:rPr>
          <w:rFonts w:cs="Times New Roman"/>
          <w:szCs w:val="22"/>
        </w:rPr>
        <w:t>)</w:t>
      </w:r>
      <w:r w:rsidR="000A5DF7">
        <w:rPr>
          <w:rFonts w:cs="Times New Roman"/>
          <w:szCs w:val="22"/>
        </w:rPr>
        <w:t xml:space="preserve"> the RCF</w:t>
      </w:r>
      <w:r w:rsidR="00ED7588">
        <w:rPr>
          <w:rFonts w:cs="Times New Roman"/>
          <w:szCs w:val="22"/>
        </w:rPr>
        <w:t>C</w:t>
      </w:r>
      <w:r w:rsidR="000A5DF7">
        <w:rPr>
          <w:rFonts w:cs="Times New Roman"/>
          <w:szCs w:val="22"/>
        </w:rPr>
        <w:t xml:space="preserve"> class is the second highest contributor to </w:t>
      </w:r>
      <w:r w:rsidR="00193DB7">
        <w:rPr>
          <w:rFonts w:cs="Times New Roman"/>
          <w:szCs w:val="22"/>
        </w:rPr>
        <w:t>direct emissions</w:t>
      </w:r>
      <w:r w:rsidR="000A5DF7">
        <w:rPr>
          <w:rFonts w:cs="Times New Roman"/>
          <w:szCs w:val="22"/>
        </w:rPr>
        <w:t xml:space="preserve"> of all RAC equipment</w:t>
      </w:r>
      <w:r w:rsidR="00ED7588">
        <w:rPr>
          <w:rFonts w:cs="Times New Roman"/>
          <w:szCs w:val="22"/>
        </w:rPr>
        <w:t>. The RCFC class is forecast to</w:t>
      </w:r>
      <w:r w:rsidR="000A5DF7">
        <w:rPr>
          <w:rFonts w:cs="Times New Roman"/>
          <w:szCs w:val="22"/>
        </w:rPr>
        <w:t xml:space="preserve"> contribut</w:t>
      </w:r>
      <w:r w:rsidR="00ED7588">
        <w:rPr>
          <w:rFonts w:cs="Times New Roman"/>
          <w:szCs w:val="22"/>
        </w:rPr>
        <w:t>e</w:t>
      </w:r>
      <w:r w:rsidR="000A5DF7">
        <w:rPr>
          <w:rFonts w:cs="Times New Roman"/>
          <w:szCs w:val="22"/>
        </w:rPr>
        <w:t xml:space="preserve"> nearly 3</w:t>
      </w:r>
      <w:r w:rsidR="00307E5A">
        <w:rPr>
          <w:rFonts w:cs="Times New Roman"/>
          <w:szCs w:val="22"/>
        </w:rPr>
        <w:t>6</w:t>
      </w:r>
      <w:r w:rsidR="000A5DF7">
        <w:rPr>
          <w:rFonts w:cs="Times New Roman"/>
          <w:szCs w:val="22"/>
        </w:rPr>
        <w:t>% on a CO</w:t>
      </w:r>
      <w:r w:rsidR="000A5DF7" w:rsidRPr="00962996">
        <w:rPr>
          <w:rFonts w:cs="Times New Roman"/>
          <w:szCs w:val="22"/>
          <w:vertAlign w:val="subscript"/>
        </w:rPr>
        <w:t>2</w:t>
      </w:r>
      <w:r w:rsidR="000A5DF7">
        <w:rPr>
          <w:rFonts w:cs="Times New Roman"/>
          <w:szCs w:val="22"/>
        </w:rPr>
        <w:t>e basis to total emissions</w:t>
      </w:r>
      <w:r w:rsidR="00ED7588">
        <w:rPr>
          <w:rFonts w:cs="Times New Roman"/>
          <w:szCs w:val="22"/>
        </w:rPr>
        <w:t xml:space="preserve"> in 2030</w:t>
      </w:r>
      <w:r w:rsidR="000A5DF7">
        <w:rPr>
          <w:rFonts w:cs="Times New Roman"/>
          <w:szCs w:val="22"/>
        </w:rPr>
        <w:t xml:space="preserve"> down from nearly 4</w:t>
      </w:r>
      <w:r w:rsidR="00307E5A">
        <w:rPr>
          <w:rFonts w:cs="Times New Roman"/>
          <w:szCs w:val="22"/>
        </w:rPr>
        <w:t>6</w:t>
      </w:r>
      <w:r w:rsidR="000A5DF7">
        <w:rPr>
          <w:rFonts w:cs="Times New Roman"/>
          <w:szCs w:val="22"/>
        </w:rPr>
        <w:t>% of direct CO</w:t>
      </w:r>
      <w:r w:rsidR="000A5DF7" w:rsidRPr="001B1563">
        <w:rPr>
          <w:rFonts w:cs="Times New Roman"/>
          <w:szCs w:val="22"/>
          <w:vertAlign w:val="subscript"/>
        </w:rPr>
        <w:t>2</w:t>
      </w:r>
      <w:r w:rsidR="000A5DF7">
        <w:rPr>
          <w:rFonts w:cs="Times New Roman"/>
          <w:szCs w:val="22"/>
        </w:rPr>
        <w:t>e emissions in 2016.</w:t>
      </w:r>
    </w:p>
    <w:p w14:paraId="251745F7" w14:textId="56D56ACC" w:rsidR="000A5DF7" w:rsidRDefault="000A5DF7" w:rsidP="000A5DF7">
      <w:pPr>
        <w:rPr>
          <w:rFonts w:cs="Times New Roman"/>
          <w:szCs w:val="22"/>
        </w:rPr>
      </w:pPr>
      <w:r>
        <w:rPr>
          <w:rFonts w:cs="Times New Roman"/>
          <w:szCs w:val="22"/>
        </w:rPr>
        <w:t xml:space="preserve">Even the leakiest products in the RCFC class, remote condenser systems, are estimated </w:t>
      </w:r>
      <w:r w:rsidR="000A4B55">
        <w:rPr>
          <w:rFonts w:cs="Times New Roman"/>
          <w:szCs w:val="22"/>
        </w:rPr>
        <w:t xml:space="preserve">to </w:t>
      </w:r>
      <w:r w:rsidR="00307E5A">
        <w:rPr>
          <w:rFonts w:cs="Times New Roman"/>
          <w:szCs w:val="22"/>
        </w:rPr>
        <w:t xml:space="preserve">reduce HCFC and HFC </w:t>
      </w:r>
      <w:r>
        <w:rPr>
          <w:rFonts w:cs="Times New Roman"/>
          <w:szCs w:val="22"/>
        </w:rPr>
        <w:t xml:space="preserve">refrigerant losses by </w:t>
      </w:r>
      <w:r w:rsidR="00307E5A">
        <w:rPr>
          <w:rFonts w:cs="Times New Roman"/>
          <w:szCs w:val="22"/>
        </w:rPr>
        <w:t>around 11</w:t>
      </w:r>
      <w:r>
        <w:rPr>
          <w:rFonts w:cs="Times New Roman"/>
          <w:szCs w:val="22"/>
        </w:rPr>
        <w:t xml:space="preserve">% in the period, from around </w:t>
      </w:r>
      <w:r w:rsidR="00307E5A">
        <w:rPr>
          <w:rFonts w:cs="Times New Roman"/>
          <w:szCs w:val="22"/>
        </w:rPr>
        <w:t>64</w:t>
      </w:r>
      <w:r>
        <w:rPr>
          <w:rFonts w:cs="Times New Roman"/>
          <w:szCs w:val="22"/>
        </w:rPr>
        <w:t xml:space="preserve">0 tonnes in 2016 to more than </w:t>
      </w:r>
      <w:r w:rsidR="00307E5A">
        <w:rPr>
          <w:rFonts w:cs="Times New Roman"/>
          <w:szCs w:val="22"/>
        </w:rPr>
        <w:t>57</w:t>
      </w:r>
      <w:r>
        <w:rPr>
          <w:rFonts w:cs="Times New Roman"/>
          <w:szCs w:val="22"/>
        </w:rPr>
        <w:t>0 tonnes in 2030</w:t>
      </w:r>
      <w:r w:rsidR="00307E5A">
        <w:rPr>
          <w:rFonts w:cs="Times New Roman"/>
          <w:szCs w:val="22"/>
        </w:rPr>
        <w:t>. T</w:t>
      </w:r>
      <w:r>
        <w:rPr>
          <w:rFonts w:cs="Times New Roman"/>
          <w:szCs w:val="22"/>
        </w:rPr>
        <w:t>he CO</w:t>
      </w:r>
      <w:r w:rsidRPr="001B1563">
        <w:rPr>
          <w:rFonts w:cs="Times New Roman"/>
          <w:szCs w:val="22"/>
          <w:vertAlign w:val="subscript"/>
        </w:rPr>
        <w:t>2</w:t>
      </w:r>
      <w:r>
        <w:rPr>
          <w:rFonts w:cs="Times New Roman"/>
          <w:szCs w:val="22"/>
        </w:rPr>
        <w:t xml:space="preserve">e value of losses </w:t>
      </w:r>
      <w:r w:rsidR="00307E5A">
        <w:rPr>
          <w:rFonts w:cs="Times New Roman"/>
          <w:szCs w:val="22"/>
        </w:rPr>
        <w:t xml:space="preserve">in remote condensers </w:t>
      </w:r>
      <w:r>
        <w:rPr>
          <w:rFonts w:cs="Times New Roman"/>
          <w:szCs w:val="22"/>
        </w:rPr>
        <w:t xml:space="preserve">fall by </w:t>
      </w:r>
      <w:r w:rsidR="00307E5A">
        <w:rPr>
          <w:rFonts w:cs="Times New Roman"/>
          <w:szCs w:val="22"/>
        </w:rPr>
        <w:t xml:space="preserve">almost </w:t>
      </w:r>
      <w:r>
        <w:rPr>
          <w:rFonts w:cs="Times New Roman"/>
          <w:szCs w:val="22"/>
        </w:rPr>
        <w:t>3</w:t>
      </w:r>
      <w:r w:rsidR="00307E5A">
        <w:rPr>
          <w:rFonts w:cs="Times New Roman"/>
          <w:szCs w:val="22"/>
        </w:rPr>
        <w:t>9</w:t>
      </w:r>
      <w:r>
        <w:rPr>
          <w:rFonts w:cs="Times New Roman"/>
          <w:szCs w:val="22"/>
        </w:rPr>
        <w:t>% from around 2.</w:t>
      </w:r>
      <w:r w:rsidR="00307E5A">
        <w:rPr>
          <w:rFonts w:cs="Times New Roman"/>
          <w:szCs w:val="22"/>
        </w:rPr>
        <w:t>1</w:t>
      </w:r>
      <w:r>
        <w:rPr>
          <w:rFonts w:cs="Times New Roman"/>
          <w:szCs w:val="22"/>
        </w:rPr>
        <w:t xml:space="preserve"> million tonnes CO</w:t>
      </w:r>
      <w:r w:rsidRPr="001B1563">
        <w:rPr>
          <w:rFonts w:cs="Times New Roman"/>
          <w:szCs w:val="22"/>
          <w:vertAlign w:val="subscript"/>
        </w:rPr>
        <w:t>2</w:t>
      </w:r>
      <w:r>
        <w:rPr>
          <w:rFonts w:cs="Times New Roman"/>
          <w:szCs w:val="22"/>
        </w:rPr>
        <w:t>e in 2016 to around 1.</w:t>
      </w:r>
      <w:r w:rsidR="00307E5A">
        <w:rPr>
          <w:rFonts w:cs="Times New Roman"/>
          <w:szCs w:val="22"/>
        </w:rPr>
        <w:t>3</w:t>
      </w:r>
      <w:r>
        <w:rPr>
          <w:rFonts w:cs="Times New Roman"/>
          <w:szCs w:val="22"/>
        </w:rPr>
        <w:t xml:space="preserve"> million tonnes CO</w:t>
      </w:r>
      <w:r w:rsidRPr="001B1563">
        <w:rPr>
          <w:rFonts w:cs="Times New Roman"/>
          <w:szCs w:val="22"/>
          <w:vertAlign w:val="subscript"/>
        </w:rPr>
        <w:t>2</w:t>
      </w:r>
      <w:r>
        <w:rPr>
          <w:rFonts w:cs="Times New Roman"/>
          <w:szCs w:val="22"/>
        </w:rPr>
        <w:t xml:space="preserve">e by 2030. Even with these gains, direct emissions from remote condenser units will make up nearly </w:t>
      </w:r>
      <w:r w:rsidR="00066E49">
        <w:rPr>
          <w:rFonts w:cs="Times New Roman"/>
          <w:szCs w:val="22"/>
        </w:rPr>
        <w:t>28</w:t>
      </w:r>
      <w:r>
        <w:rPr>
          <w:rFonts w:cs="Times New Roman"/>
          <w:szCs w:val="22"/>
        </w:rPr>
        <w:t xml:space="preserve">% of all </w:t>
      </w:r>
      <w:r w:rsidR="00193DB7">
        <w:rPr>
          <w:rFonts w:cs="Times New Roman"/>
          <w:szCs w:val="22"/>
        </w:rPr>
        <w:t>direct emissions</w:t>
      </w:r>
      <w:r>
        <w:rPr>
          <w:rFonts w:cs="Times New Roman"/>
          <w:szCs w:val="22"/>
        </w:rPr>
        <w:t xml:space="preserve"> </w:t>
      </w:r>
      <w:r w:rsidR="00307E5A">
        <w:rPr>
          <w:rFonts w:cs="Times New Roman"/>
          <w:szCs w:val="22"/>
        </w:rPr>
        <w:t>in 2030</w:t>
      </w:r>
      <w:r w:rsidR="00066E49">
        <w:rPr>
          <w:rFonts w:cs="Times New Roman"/>
          <w:szCs w:val="22"/>
        </w:rPr>
        <w:t>. O</w:t>
      </w:r>
      <w:r>
        <w:rPr>
          <w:rFonts w:cs="Times New Roman"/>
          <w:szCs w:val="22"/>
        </w:rPr>
        <w:t>n a CO</w:t>
      </w:r>
      <w:r w:rsidRPr="001B1563">
        <w:rPr>
          <w:rFonts w:cs="Times New Roman"/>
          <w:szCs w:val="22"/>
          <w:vertAlign w:val="subscript"/>
        </w:rPr>
        <w:t>2</w:t>
      </w:r>
      <w:r>
        <w:rPr>
          <w:rFonts w:cs="Times New Roman"/>
          <w:szCs w:val="22"/>
        </w:rPr>
        <w:t xml:space="preserve">e basis, </w:t>
      </w:r>
      <w:r w:rsidR="00066E49">
        <w:rPr>
          <w:rFonts w:cs="Times New Roman"/>
          <w:szCs w:val="22"/>
        </w:rPr>
        <w:t xml:space="preserve">this </w:t>
      </w:r>
      <w:r w:rsidR="00307E5A">
        <w:rPr>
          <w:rFonts w:cs="Times New Roman"/>
          <w:szCs w:val="22"/>
        </w:rPr>
        <w:t xml:space="preserve">is almost equal </w:t>
      </w:r>
      <w:r w:rsidR="00066E49">
        <w:rPr>
          <w:rFonts w:cs="Times New Roman"/>
          <w:szCs w:val="22"/>
        </w:rPr>
        <w:t>to</w:t>
      </w:r>
      <w:r w:rsidR="00ED7588">
        <w:rPr>
          <w:rFonts w:cs="Times New Roman"/>
          <w:szCs w:val="22"/>
        </w:rPr>
        <w:t xml:space="preserve"> the</w:t>
      </w:r>
      <w:r w:rsidR="00066E49">
        <w:rPr>
          <w:rFonts w:cs="Times New Roman"/>
          <w:szCs w:val="22"/>
        </w:rPr>
        <w:t xml:space="preserve"> medium AC segment, </w:t>
      </w:r>
      <w:r w:rsidR="00307E5A">
        <w:rPr>
          <w:rFonts w:cs="Times New Roman"/>
          <w:szCs w:val="22"/>
        </w:rPr>
        <w:t xml:space="preserve">the </w:t>
      </w:r>
      <w:r>
        <w:rPr>
          <w:rFonts w:cs="Times New Roman"/>
          <w:szCs w:val="22"/>
        </w:rPr>
        <w:t>largest single contribution of any equipment segment</w:t>
      </w:r>
      <w:r w:rsidR="00066E49">
        <w:rPr>
          <w:rFonts w:cs="Times New Roman"/>
          <w:szCs w:val="22"/>
        </w:rPr>
        <w:t xml:space="preserve"> in 2030</w:t>
      </w:r>
      <w:r>
        <w:rPr>
          <w:rFonts w:cs="Times New Roman"/>
          <w:szCs w:val="22"/>
        </w:rPr>
        <w:t>.</w:t>
      </w:r>
    </w:p>
    <w:p w14:paraId="588488E8" w14:textId="7BAE0EFC" w:rsidR="00C91D3D" w:rsidRDefault="00C91D3D">
      <w:pPr>
        <w:spacing w:before="0"/>
        <w:jc w:val="left"/>
        <w:rPr>
          <w:rFonts w:cs="Times New Roman"/>
          <w:szCs w:val="22"/>
        </w:rPr>
      </w:pPr>
      <w:r>
        <w:rPr>
          <w:rFonts w:cs="Times New Roman"/>
          <w:szCs w:val="22"/>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4E5550" w:rsidRPr="00613398" w14:paraId="61B531FA" w14:textId="77777777" w:rsidTr="001E36B8">
        <w:tc>
          <w:tcPr>
            <w:tcW w:w="9759" w:type="dxa"/>
            <w:vAlign w:val="center"/>
          </w:tcPr>
          <w:p w14:paraId="6F8523A4" w14:textId="66BD97FC" w:rsidR="004E5550" w:rsidRPr="000A23F9" w:rsidRDefault="004E5550" w:rsidP="001E36B8">
            <w:pPr>
              <w:spacing w:after="120"/>
              <w:jc w:val="center"/>
              <w:rPr>
                <w:rFonts w:cs="Times New Roman"/>
                <w:b/>
              </w:rPr>
            </w:pPr>
            <w:r>
              <w:rPr>
                <w:rFonts w:cs="Times New Roman"/>
                <w:b/>
              </w:rPr>
              <w:t xml:space="preserve">RCFC: </w:t>
            </w:r>
            <w:r w:rsidRPr="000A23F9">
              <w:rPr>
                <w:rFonts w:cs="Times New Roman"/>
                <w:b/>
              </w:rPr>
              <w:br w:type="page"/>
            </w:r>
            <w:r w:rsidR="00193DB7">
              <w:rPr>
                <w:rFonts w:cs="Times New Roman"/>
                <w:b/>
              </w:rPr>
              <w:t>Direct emissions</w:t>
            </w:r>
            <w:r w:rsidR="00A0109B">
              <w:rPr>
                <w:rFonts w:cs="Times New Roman"/>
                <w:b/>
              </w:rPr>
              <w:t xml:space="preserve"> (actual) by species from </w:t>
            </w:r>
            <w:r w:rsidR="00A0109B" w:rsidRPr="000A23F9">
              <w:rPr>
                <w:rFonts w:cs="Times New Roman"/>
                <w:b/>
              </w:rPr>
              <w:t>201</w:t>
            </w:r>
            <w:r w:rsidR="00A0109B">
              <w:rPr>
                <w:rFonts w:cs="Times New Roman"/>
                <w:b/>
              </w:rPr>
              <w:t>6</w:t>
            </w:r>
            <w:r w:rsidR="00A0109B" w:rsidRPr="000A23F9">
              <w:rPr>
                <w:rFonts w:cs="Times New Roman"/>
                <w:b/>
              </w:rPr>
              <w:t xml:space="preserve"> to 20</w:t>
            </w:r>
            <w:r w:rsidR="00A0109B">
              <w:rPr>
                <w:rFonts w:cs="Times New Roman"/>
                <w:b/>
              </w:rPr>
              <w:t>30</w:t>
            </w:r>
            <w:r w:rsidR="00A0109B" w:rsidRPr="000A23F9">
              <w:rPr>
                <w:rFonts w:cs="Times New Roman"/>
                <w:b/>
              </w:rPr>
              <w:t xml:space="preserve"> (</w:t>
            </w:r>
            <w:r w:rsidR="00A0109B">
              <w:rPr>
                <w:rFonts w:cs="Times New Roman"/>
                <w:b/>
              </w:rPr>
              <w:t>t</w:t>
            </w:r>
            <w:r w:rsidR="00A0109B" w:rsidRPr="000A23F9">
              <w:rPr>
                <w:rFonts w:cs="Times New Roman"/>
                <w:b/>
              </w:rPr>
              <w:t>onnes)</w:t>
            </w:r>
          </w:p>
        </w:tc>
      </w:tr>
      <w:tr w:rsidR="004E5550" w:rsidRPr="000A23F9" w14:paraId="417C1C95" w14:textId="77777777" w:rsidTr="001E36B8">
        <w:tc>
          <w:tcPr>
            <w:tcW w:w="9759" w:type="dxa"/>
            <w:vAlign w:val="center"/>
          </w:tcPr>
          <w:p w14:paraId="7F4B3722" w14:textId="77777777" w:rsidR="004E5550" w:rsidRPr="000A23F9" w:rsidRDefault="004E5550" w:rsidP="001E36B8">
            <w:pPr>
              <w:spacing w:before="60" w:after="60"/>
              <w:jc w:val="center"/>
              <w:rPr>
                <w:rFonts w:cs="Times New Roman"/>
                <w:sz w:val="16"/>
                <w:szCs w:val="16"/>
              </w:rPr>
            </w:pPr>
          </w:p>
          <w:p w14:paraId="038F0219" w14:textId="2C6D26AA" w:rsidR="004E5550" w:rsidRPr="000A23F9" w:rsidRDefault="00EC6ABB" w:rsidP="001E36B8">
            <w:pPr>
              <w:spacing w:before="60" w:after="60"/>
              <w:jc w:val="center"/>
              <w:rPr>
                <w:rFonts w:cs="Times New Roman"/>
                <w:sz w:val="16"/>
                <w:szCs w:val="16"/>
              </w:rPr>
            </w:pPr>
            <w:r>
              <w:rPr>
                <w:noProof/>
                <w:lang w:val="en-AU" w:eastAsia="en-AU"/>
              </w:rPr>
              <w:drawing>
                <wp:inline distT="0" distB="0" distL="0" distR="0" wp14:anchorId="727123FE" wp14:editId="797EB81D">
                  <wp:extent cx="6030595" cy="226250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30595" cy="2262505"/>
                          </a:xfrm>
                          <a:prstGeom prst="rect">
                            <a:avLst/>
                          </a:prstGeom>
                        </pic:spPr>
                      </pic:pic>
                    </a:graphicData>
                  </a:graphic>
                </wp:inline>
              </w:drawing>
            </w:r>
          </w:p>
          <w:p w14:paraId="20503E8B" w14:textId="77777777" w:rsidR="004E5550" w:rsidRPr="000A23F9" w:rsidRDefault="004E5550" w:rsidP="001E36B8">
            <w:pPr>
              <w:spacing w:before="60" w:after="60"/>
              <w:jc w:val="center"/>
              <w:rPr>
                <w:rFonts w:cs="Times New Roman"/>
                <w:sz w:val="16"/>
                <w:szCs w:val="16"/>
              </w:rPr>
            </w:pPr>
          </w:p>
        </w:tc>
      </w:tr>
      <w:tr w:rsidR="004E5550" w:rsidRPr="000A23F9" w14:paraId="1FF6030F" w14:textId="77777777" w:rsidTr="001E36B8">
        <w:tc>
          <w:tcPr>
            <w:tcW w:w="9759" w:type="dxa"/>
            <w:vAlign w:val="center"/>
          </w:tcPr>
          <w:p w14:paraId="516161E9" w14:textId="1DDEABAE" w:rsidR="004E5550" w:rsidRPr="0023612A" w:rsidRDefault="0023612A" w:rsidP="0023612A">
            <w:pPr>
              <w:pStyle w:val="Caption"/>
            </w:pPr>
            <w:bookmarkStart w:id="154" w:name="_Toc525141377"/>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46</w:t>
            </w:r>
            <w:r w:rsidR="009D6843">
              <w:rPr>
                <w:noProof/>
              </w:rPr>
              <w:fldChar w:fldCharType="end"/>
            </w:r>
            <w:r w:rsidR="004E5550" w:rsidRPr="0023612A">
              <w:rPr>
                <w:bCs w:val="0"/>
              </w:rPr>
              <w:t xml:space="preserve">: RCFC: </w:t>
            </w:r>
            <w:r w:rsidR="00193DB7" w:rsidRPr="0023612A">
              <w:rPr>
                <w:bCs w:val="0"/>
              </w:rPr>
              <w:t>Direct emissions</w:t>
            </w:r>
            <w:r w:rsidR="006002E4" w:rsidRPr="0023612A">
              <w:rPr>
                <w:bCs w:val="0"/>
              </w:rPr>
              <w:t xml:space="preserve"> (actual) by species </w:t>
            </w:r>
            <w:r w:rsidR="004E5550" w:rsidRPr="0023612A">
              <w:rPr>
                <w:bCs w:val="0"/>
              </w:rPr>
              <w:t>from 2016 to 2030 in tonnes.</w:t>
            </w:r>
            <w:bookmarkEnd w:id="154"/>
          </w:p>
        </w:tc>
      </w:tr>
    </w:tbl>
    <w:p w14:paraId="3BE02101" w14:textId="36AF8152" w:rsidR="004E5550" w:rsidRPr="00573A8B" w:rsidRDefault="004E5550" w:rsidP="004E5550">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205EF2F0" w14:textId="77777777" w:rsidR="004E5550" w:rsidRDefault="004E5550" w:rsidP="004E5550">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4E5550" w:rsidRPr="00613398" w14:paraId="4B7613AE" w14:textId="77777777" w:rsidTr="001E36B8">
        <w:tc>
          <w:tcPr>
            <w:tcW w:w="9759" w:type="dxa"/>
            <w:vAlign w:val="center"/>
          </w:tcPr>
          <w:p w14:paraId="759AB747" w14:textId="59674DF5" w:rsidR="004E5550" w:rsidRPr="000A23F9" w:rsidRDefault="004E5550" w:rsidP="001E36B8">
            <w:pPr>
              <w:spacing w:after="120"/>
              <w:jc w:val="center"/>
              <w:rPr>
                <w:rFonts w:cs="Times New Roman"/>
                <w:b/>
              </w:rPr>
            </w:pPr>
            <w:r w:rsidRPr="000A23F9">
              <w:rPr>
                <w:rFonts w:cs="Times New Roman"/>
                <w:b/>
              </w:rPr>
              <w:br w:type="page"/>
            </w:r>
            <w:r>
              <w:rPr>
                <w:rFonts w:cs="Times New Roman"/>
                <w:b/>
              </w:rPr>
              <w:t xml:space="preserve">RCFC: </w:t>
            </w:r>
            <w:r w:rsidR="00193DB7">
              <w:rPr>
                <w:rFonts w:cs="Times New Roman"/>
                <w:b/>
              </w:rPr>
              <w:t>Direct emissions</w:t>
            </w:r>
            <w:r w:rsidR="00A0109B">
              <w:rPr>
                <w:rFonts w:cs="Times New Roman"/>
                <w:b/>
              </w:rPr>
              <w:t xml:space="preserve"> (actual) by species from </w:t>
            </w:r>
            <w:r w:rsidR="00A0109B" w:rsidRPr="000A23F9">
              <w:rPr>
                <w:rFonts w:cs="Times New Roman"/>
                <w:b/>
              </w:rPr>
              <w:t>201</w:t>
            </w:r>
            <w:r w:rsidR="00A0109B">
              <w:rPr>
                <w:rFonts w:cs="Times New Roman"/>
                <w:b/>
              </w:rPr>
              <w:t>6</w:t>
            </w:r>
            <w:r w:rsidR="00A0109B" w:rsidRPr="000A23F9">
              <w:rPr>
                <w:rFonts w:cs="Times New Roman"/>
                <w:b/>
              </w:rPr>
              <w:t xml:space="preserve"> to 20</w:t>
            </w:r>
            <w:r w:rsidR="00A0109B">
              <w:rPr>
                <w:rFonts w:cs="Times New Roman"/>
                <w:b/>
              </w:rPr>
              <w:t>30</w:t>
            </w:r>
            <w:r w:rsidR="00A0109B" w:rsidRPr="000A23F9">
              <w:rPr>
                <w:rFonts w:cs="Times New Roman"/>
                <w:b/>
              </w:rPr>
              <w:t xml:space="preserve"> (</w:t>
            </w:r>
            <w:r w:rsidR="00A0109B">
              <w:rPr>
                <w:rFonts w:cs="Times New Roman"/>
                <w:b/>
              </w:rPr>
              <w:t>Mt CO</w:t>
            </w:r>
            <w:r w:rsidR="00A0109B" w:rsidRPr="00B918A6">
              <w:rPr>
                <w:rFonts w:cs="Times New Roman"/>
                <w:b/>
                <w:vertAlign w:val="subscript"/>
              </w:rPr>
              <w:t>2</w:t>
            </w:r>
            <w:r w:rsidR="00A0109B">
              <w:rPr>
                <w:rFonts w:cs="Times New Roman"/>
                <w:b/>
              </w:rPr>
              <w:t>e</w:t>
            </w:r>
            <w:r w:rsidR="00A0109B" w:rsidRPr="000A23F9">
              <w:rPr>
                <w:rFonts w:cs="Times New Roman"/>
                <w:b/>
              </w:rPr>
              <w:t>)</w:t>
            </w:r>
          </w:p>
        </w:tc>
      </w:tr>
      <w:tr w:rsidR="004E5550" w:rsidRPr="000A23F9" w14:paraId="20BD2D2A" w14:textId="77777777" w:rsidTr="001E36B8">
        <w:tc>
          <w:tcPr>
            <w:tcW w:w="9759" w:type="dxa"/>
            <w:vAlign w:val="center"/>
          </w:tcPr>
          <w:p w14:paraId="0BDDE1D7" w14:textId="77777777" w:rsidR="004E5550" w:rsidRPr="000A23F9" w:rsidRDefault="004E5550" w:rsidP="001E36B8">
            <w:pPr>
              <w:spacing w:before="60" w:after="60"/>
              <w:jc w:val="center"/>
              <w:rPr>
                <w:rFonts w:cs="Times New Roman"/>
                <w:sz w:val="16"/>
                <w:szCs w:val="16"/>
              </w:rPr>
            </w:pPr>
          </w:p>
          <w:p w14:paraId="5A2DB099" w14:textId="6D7920AD" w:rsidR="004E5550" w:rsidRPr="000A23F9" w:rsidRDefault="00EC6ABB" w:rsidP="001E36B8">
            <w:pPr>
              <w:spacing w:before="60" w:after="60"/>
              <w:jc w:val="center"/>
              <w:rPr>
                <w:rFonts w:cs="Times New Roman"/>
                <w:sz w:val="16"/>
                <w:szCs w:val="16"/>
              </w:rPr>
            </w:pPr>
            <w:r>
              <w:rPr>
                <w:noProof/>
                <w:lang w:val="en-AU" w:eastAsia="en-AU"/>
              </w:rPr>
              <w:drawing>
                <wp:inline distT="0" distB="0" distL="0" distR="0" wp14:anchorId="5AE77A64" wp14:editId="7D4F3DBE">
                  <wp:extent cx="6030595" cy="219837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30595" cy="2198370"/>
                          </a:xfrm>
                          <a:prstGeom prst="rect">
                            <a:avLst/>
                          </a:prstGeom>
                        </pic:spPr>
                      </pic:pic>
                    </a:graphicData>
                  </a:graphic>
                </wp:inline>
              </w:drawing>
            </w:r>
          </w:p>
          <w:p w14:paraId="25DCBFF7" w14:textId="77777777" w:rsidR="004E5550" w:rsidRPr="000A23F9" w:rsidRDefault="004E5550" w:rsidP="001E36B8">
            <w:pPr>
              <w:spacing w:before="60" w:after="60"/>
              <w:jc w:val="center"/>
              <w:rPr>
                <w:rFonts w:cs="Times New Roman"/>
                <w:sz w:val="16"/>
                <w:szCs w:val="16"/>
              </w:rPr>
            </w:pPr>
          </w:p>
        </w:tc>
      </w:tr>
      <w:tr w:rsidR="004E5550" w:rsidRPr="000A23F9" w14:paraId="38C8E7D3" w14:textId="77777777" w:rsidTr="001E36B8">
        <w:tc>
          <w:tcPr>
            <w:tcW w:w="9759" w:type="dxa"/>
            <w:vAlign w:val="center"/>
          </w:tcPr>
          <w:p w14:paraId="147A7436" w14:textId="0AFC46F8" w:rsidR="004E5550" w:rsidRPr="0023612A" w:rsidRDefault="0023612A" w:rsidP="0023612A">
            <w:pPr>
              <w:pStyle w:val="Caption"/>
            </w:pPr>
            <w:bookmarkStart w:id="155" w:name="_Toc525141378"/>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47</w:t>
            </w:r>
            <w:r w:rsidR="009D6843">
              <w:rPr>
                <w:noProof/>
              </w:rPr>
              <w:fldChar w:fldCharType="end"/>
            </w:r>
            <w:r w:rsidRPr="0023612A">
              <w:t xml:space="preserve">: </w:t>
            </w:r>
            <w:r w:rsidR="004E5550" w:rsidRPr="0023612A">
              <w:rPr>
                <w:bCs w:val="0"/>
              </w:rPr>
              <w:t xml:space="preserve">RCFC: </w:t>
            </w:r>
            <w:r w:rsidR="00193DB7" w:rsidRPr="0023612A">
              <w:rPr>
                <w:bCs w:val="0"/>
              </w:rPr>
              <w:t>Direct emissions</w:t>
            </w:r>
            <w:r w:rsidR="006002E4" w:rsidRPr="0023612A">
              <w:rPr>
                <w:bCs w:val="0"/>
              </w:rPr>
              <w:t xml:space="preserve"> (actual) by species</w:t>
            </w:r>
            <w:r w:rsidR="004E5550" w:rsidRPr="0023612A">
              <w:rPr>
                <w:bCs w:val="0"/>
              </w:rPr>
              <w:t xml:space="preserve"> from 2016 to 2030 in Mt CO</w:t>
            </w:r>
            <w:r w:rsidR="004E5550" w:rsidRPr="0023612A">
              <w:rPr>
                <w:bCs w:val="0"/>
                <w:vertAlign w:val="subscript"/>
              </w:rPr>
              <w:t>2</w:t>
            </w:r>
            <w:r w:rsidR="004E5550" w:rsidRPr="0023612A">
              <w:rPr>
                <w:bCs w:val="0"/>
              </w:rPr>
              <w:t>e.</w:t>
            </w:r>
            <w:bookmarkEnd w:id="155"/>
          </w:p>
        </w:tc>
      </w:tr>
    </w:tbl>
    <w:p w14:paraId="0E7269F0" w14:textId="6A264FD5" w:rsidR="004E5550" w:rsidRDefault="004E5550" w:rsidP="004E5550">
      <w:pPr>
        <w:spacing w:before="0"/>
        <w:rPr>
          <w:rFonts w:cs="Times New Roman"/>
          <w:sz w:val="20"/>
          <w:szCs w:val="20"/>
          <w:lang w:val="en-US"/>
        </w:rPr>
      </w:pPr>
      <w:r w:rsidRPr="00573A8B">
        <w:rPr>
          <w:rFonts w:cs="Times New Roman"/>
          <w:sz w:val="20"/>
          <w:szCs w:val="20"/>
          <w:lang w:val="en-US"/>
        </w:rPr>
        <w:t xml:space="preserve">(Source: </w:t>
      </w:r>
      <w:r w:rsidR="007A1335">
        <w:rPr>
          <w:rFonts w:cs="Times New Roman"/>
          <w:sz w:val="20"/>
          <w:szCs w:val="20"/>
        </w:rPr>
        <w:t>CHF3 RAC Stock model</w:t>
      </w:r>
      <w:r w:rsidRPr="00573A8B">
        <w:rPr>
          <w:rFonts w:cs="Times New Roman"/>
          <w:sz w:val="20"/>
          <w:szCs w:val="20"/>
          <w:lang w:val="en-US"/>
        </w:rPr>
        <w:t>)</w:t>
      </w:r>
    </w:p>
    <w:p w14:paraId="5AD189FA" w14:textId="77777777" w:rsidR="00066E49" w:rsidRPr="00573A8B" w:rsidRDefault="00066E49" w:rsidP="004E5550">
      <w:pPr>
        <w:spacing w:before="0"/>
        <w:rPr>
          <w:rFonts w:cs="Times New Roman"/>
          <w:sz w:val="20"/>
          <w:szCs w:val="20"/>
          <w:lang w:val="en-US"/>
        </w:rPr>
      </w:pPr>
    </w:p>
    <w:p w14:paraId="6178D5C0" w14:textId="31477BD5" w:rsidR="000F7A90" w:rsidRPr="000F7A90" w:rsidRDefault="00BF3750" w:rsidP="00D4267B">
      <w:pPr>
        <w:pStyle w:val="Heading2"/>
        <w:ind w:left="567" w:hanging="567"/>
      </w:pPr>
      <w:bookmarkStart w:id="156" w:name="_Toc525141296"/>
      <w:r>
        <w:t>End-</w:t>
      </w:r>
      <w:r w:rsidR="000F7A90">
        <w:t>of</w:t>
      </w:r>
      <w:r>
        <w:t>-</w:t>
      </w:r>
      <w:r w:rsidR="000F7A90">
        <w:t xml:space="preserve">life emissions and </w:t>
      </w:r>
      <w:r w:rsidR="000F6657">
        <w:t>r</w:t>
      </w:r>
      <w:r w:rsidR="00BE2F56">
        <w:t xml:space="preserve">efrigerant </w:t>
      </w:r>
      <w:r w:rsidR="000F6657">
        <w:t>r</w:t>
      </w:r>
      <w:r w:rsidR="00BE2F56">
        <w:t>ecovery</w:t>
      </w:r>
      <w:bookmarkEnd w:id="156"/>
    </w:p>
    <w:p w14:paraId="28078E0E" w14:textId="01541133" w:rsidR="00BF3750" w:rsidRDefault="00BF3750" w:rsidP="00BF3750">
      <w:pPr>
        <w:pStyle w:val="Heading3"/>
      </w:pPr>
      <w:bookmarkStart w:id="157" w:name="_Toc525141297"/>
      <w:r>
        <w:t>End-of-life emissions</w:t>
      </w:r>
      <w:bookmarkEnd w:id="157"/>
      <w:r>
        <w:t xml:space="preserve"> </w:t>
      </w:r>
    </w:p>
    <w:p w14:paraId="5E3AF005" w14:textId="6A58EC3A" w:rsidR="005C5275" w:rsidRDefault="005C5275" w:rsidP="005C5275">
      <w:pPr>
        <w:snapToGrid w:val="0"/>
        <w:rPr>
          <w:rFonts w:cs="Times New Roman"/>
        </w:rPr>
      </w:pPr>
      <w:r w:rsidRPr="00500ED5">
        <w:rPr>
          <w:rFonts w:cs="Times New Roman"/>
        </w:rPr>
        <w:t>End-of-life (</w:t>
      </w:r>
      <w:r>
        <w:rPr>
          <w:rFonts w:cs="Times New Roman"/>
        </w:rPr>
        <w:t>EOL</w:t>
      </w:r>
      <w:r w:rsidRPr="00500ED5">
        <w:rPr>
          <w:rFonts w:cs="Times New Roman"/>
        </w:rPr>
        <w:t xml:space="preserve">) emissions calculations are a product of the model, which calculates the refrigerant charge remaining in equipment when it is removed from service by applying the average leak rate to a product category, multiplied by the expected average life of the equipment, and by the expected service rate throughout the equipment life. All refrigerant calculated as remaining in a piece of equipment at the end of its average service life </w:t>
      </w:r>
      <w:r w:rsidR="00740CB1">
        <w:rPr>
          <w:rFonts w:cs="Times New Roman"/>
        </w:rPr>
        <w:t xml:space="preserve">(EOL charge percent multiplied by original charge) </w:t>
      </w:r>
      <w:r w:rsidRPr="00500ED5">
        <w:rPr>
          <w:rFonts w:cs="Times New Roman"/>
        </w:rPr>
        <w:t>is counted as being released in that year.</w:t>
      </w:r>
    </w:p>
    <w:p w14:paraId="19DCCE4B" w14:textId="1200EED9" w:rsidR="00601F8A" w:rsidRDefault="00601F8A" w:rsidP="00601F8A">
      <w:pPr>
        <w:snapToGrid w:val="0"/>
        <w:rPr>
          <w:rFonts w:cs="Times New Roman"/>
        </w:rPr>
      </w:pPr>
      <w:r>
        <w:rPr>
          <w:rFonts w:cs="Times New Roman"/>
        </w:rPr>
        <w:t xml:space="preserve">The projections of end-of-life emissions include HCFC-22 and HCFC-123 to demonstrate the presence of these substances. They </w:t>
      </w:r>
      <w:r w:rsidRPr="00601F8A">
        <w:rPr>
          <w:rFonts w:cs="Times New Roman"/>
        </w:rPr>
        <w:t>are not counted as part of the GHGs reported under the Kyoto Protocol or United Nations</w:t>
      </w:r>
      <w:r w:rsidR="00C409F7">
        <w:rPr>
          <w:rFonts w:cs="Times New Roman"/>
        </w:rPr>
        <w:t xml:space="preserve"> Framework</w:t>
      </w:r>
      <w:r w:rsidRPr="00601F8A">
        <w:rPr>
          <w:rFonts w:cs="Times New Roman"/>
        </w:rPr>
        <w:t xml:space="preserve"> Convention on Climate Change, as they </w:t>
      </w:r>
      <w:r w:rsidR="0038724E">
        <w:rPr>
          <w:rFonts w:cs="Times New Roman"/>
        </w:rPr>
        <w:t xml:space="preserve">are </w:t>
      </w:r>
      <w:r w:rsidRPr="00601F8A">
        <w:rPr>
          <w:rFonts w:cs="Times New Roman"/>
        </w:rPr>
        <w:t>managed through the Montreal Protocol.</w:t>
      </w:r>
    </w:p>
    <w:p w14:paraId="1616C8FC" w14:textId="1E6660AA" w:rsidR="005C5275" w:rsidRPr="00500ED5" w:rsidRDefault="005C5275" w:rsidP="005C5275">
      <w:pPr>
        <w:snapToGrid w:val="0"/>
        <w:rPr>
          <w:rFonts w:cs="Times New Roman"/>
        </w:rPr>
      </w:pPr>
      <w:r w:rsidRPr="00500ED5">
        <w:rPr>
          <w:rFonts w:cs="Times New Roman"/>
        </w:rPr>
        <w:t>For some product categories the model relies on several pieces of data from industry and previous studies by the authors</w:t>
      </w:r>
      <w:r>
        <w:rPr>
          <w:rFonts w:cs="Times New Roman"/>
        </w:rPr>
        <w:t xml:space="preserve"> that provide</w:t>
      </w:r>
      <w:r w:rsidRPr="00500ED5">
        <w:rPr>
          <w:rFonts w:cs="Times New Roman"/>
        </w:rPr>
        <w:t xml:space="preserve"> insight into likely average charges remaining in various equipment types at the end of their useful life. For instance, the likely refrigerant charge remaining in the average passenger car is </w:t>
      </w:r>
      <w:r>
        <w:rPr>
          <w:rFonts w:cs="Times New Roman"/>
        </w:rPr>
        <w:t>estimated to be two thirds of the original charge</w:t>
      </w:r>
      <w:r w:rsidRPr="00500ED5">
        <w:rPr>
          <w:rFonts w:cs="Times New Roman"/>
        </w:rPr>
        <w:t xml:space="preserve">, however the same cannot be said for many classes of stationary AC, where field work has been limited. </w:t>
      </w:r>
    </w:p>
    <w:p w14:paraId="032924DF" w14:textId="13384A8E" w:rsidR="005C5275" w:rsidRPr="00500ED5" w:rsidRDefault="005C5275" w:rsidP="005C5275">
      <w:pPr>
        <w:snapToGrid w:val="0"/>
        <w:rPr>
          <w:rFonts w:cs="Times New Roman"/>
        </w:rPr>
      </w:pPr>
      <w:r w:rsidRPr="008C5681">
        <w:rPr>
          <w:rFonts w:cs="Times New Roman"/>
        </w:rPr>
        <w:t xml:space="preserve">Total </w:t>
      </w:r>
      <w:r>
        <w:rPr>
          <w:rFonts w:cs="Times New Roman"/>
        </w:rPr>
        <w:t>EOL</w:t>
      </w:r>
      <w:r w:rsidRPr="008C5681">
        <w:rPr>
          <w:rFonts w:cs="Times New Roman"/>
        </w:rPr>
        <w:t xml:space="preserve"> emissions across the stock of retiring equipment is reduced by the refrigerant reported as being recovered and destroyed every year. In addition, there was 210 tonnes of HCFC-22 </w:t>
      </w:r>
      <w:r w:rsidR="00700720">
        <w:rPr>
          <w:rFonts w:cs="Times New Roman"/>
        </w:rPr>
        <w:t xml:space="preserve">reclaimed </w:t>
      </w:r>
      <w:r w:rsidRPr="008C5681">
        <w:rPr>
          <w:rFonts w:cs="Times New Roman"/>
        </w:rPr>
        <w:t>to AHRI 700 standard (i.e. virgin refrigerant specification) and resold in 2016</w:t>
      </w:r>
      <w:r w:rsidR="00237BF5">
        <w:rPr>
          <w:rFonts w:cs="Times New Roman"/>
        </w:rPr>
        <w:t xml:space="preserve"> and 2017</w:t>
      </w:r>
      <w:r w:rsidRPr="008C5681">
        <w:rPr>
          <w:rFonts w:cs="Times New Roman"/>
        </w:rPr>
        <w:t xml:space="preserve">. A further small reduction from total estimated </w:t>
      </w:r>
      <w:r>
        <w:rPr>
          <w:rFonts w:cs="Times New Roman"/>
        </w:rPr>
        <w:t>EOL</w:t>
      </w:r>
      <w:r w:rsidRPr="008C5681">
        <w:rPr>
          <w:rFonts w:cs="Times New Roman"/>
        </w:rPr>
        <w:t xml:space="preserve"> emissions is made for unreported HCFC recoveries for reuse.</w:t>
      </w:r>
    </w:p>
    <w:p w14:paraId="5C7830C3" w14:textId="5FF7B9A7" w:rsidR="005C5275" w:rsidRDefault="005C5275" w:rsidP="005C5275">
      <w:pPr>
        <w:snapToGrid w:val="0"/>
        <w:rPr>
          <w:rFonts w:cs="Times New Roman"/>
        </w:rPr>
      </w:pPr>
      <w:r w:rsidRPr="00500ED5">
        <w:rPr>
          <w:rFonts w:cs="Times New Roman"/>
        </w:rPr>
        <w:t xml:space="preserve">The </w:t>
      </w:r>
      <w:r w:rsidR="007A1335">
        <w:rPr>
          <w:rFonts w:cs="Times New Roman"/>
        </w:rPr>
        <w:t>CHF3 RAC Stock model</w:t>
      </w:r>
      <w:r w:rsidRPr="00500ED5">
        <w:rPr>
          <w:rFonts w:cs="Times New Roman"/>
        </w:rPr>
        <w:t xml:space="preserve"> estimates that </w:t>
      </w:r>
      <w:r>
        <w:rPr>
          <w:rFonts w:cs="Times New Roman"/>
        </w:rPr>
        <w:t>EOL</w:t>
      </w:r>
      <w:r w:rsidRPr="00500ED5">
        <w:rPr>
          <w:rFonts w:cs="Times New Roman"/>
        </w:rPr>
        <w:t xml:space="preserve"> emissions totalled more than 1</w:t>
      </w:r>
      <w:r w:rsidR="00A67FC1">
        <w:rPr>
          <w:rFonts w:cs="Times New Roman"/>
        </w:rPr>
        <w:t>,</w:t>
      </w:r>
      <w:r w:rsidRPr="00500ED5">
        <w:rPr>
          <w:rFonts w:cs="Times New Roman"/>
        </w:rPr>
        <w:t>990 tonnes of all types of refrigerants, equivalent to more than 3.6 million tonnes of CO</w:t>
      </w:r>
      <w:r w:rsidRPr="00500ED5">
        <w:rPr>
          <w:rFonts w:cs="Times New Roman"/>
          <w:vertAlign w:val="subscript"/>
        </w:rPr>
        <w:t>2</w:t>
      </w:r>
      <w:r w:rsidRPr="00500ED5">
        <w:rPr>
          <w:rFonts w:cs="Times New Roman"/>
        </w:rPr>
        <w:t xml:space="preserve"> (</w:t>
      </w:r>
      <w:r w:rsidRPr="00500ED5">
        <w:rPr>
          <w:rFonts w:cs="Times New Roman"/>
          <w:i/>
        </w:rPr>
        <w:t>CHF2 1</w:t>
      </w:r>
      <w:r w:rsidR="0094116D">
        <w:rPr>
          <w:rFonts w:cs="Times New Roman"/>
          <w:i/>
        </w:rPr>
        <w:t>,</w:t>
      </w:r>
      <w:r w:rsidRPr="00500ED5">
        <w:rPr>
          <w:rFonts w:cs="Times New Roman"/>
          <w:i/>
        </w:rPr>
        <w:t>700 tonnes, 2.7 million tonnes CO</w:t>
      </w:r>
      <w:r w:rsidRPr="00500ED5">
        <w:rPr>
          <w:rFonts w:cs="Times New Roman"/>
          <w:i/>
          <w:vertAlign w:val="subscript"/>
        </w:rPr>
        <w:t>2</w:t>
      </w:r>
      <w:r w:rsidRPr="00500ED5">
        <w:rPr>
          <w:rFonts w:cs="Times New Roman"/>
          <w:i/>
        </w:rPr>
        <w:t>e</w:t>
      </w:r>
      <w:r w:rsidRPr="00500ED5">
        <w:rPr>
          <w:rFonts w:cs="Times New Roman"/>
        </w:rPr>
        <w:t>).</w:t>
      </w:r>
      <w:r>
        <w:rPr>
          <w:rFonts w:cs="Times New Roman"/>
        </w:rPr>
        <w:t xml:space="preserve"> These emissions are expected to grow throughout the projection period, in both absolute and CO</w:t>
      </w:r>
      <w:r w:rsidRPr="00500ED5">
        <w:rPr>
          <w:rFonts w:cs="Times New Roman"/>
          <w:vertAlign w:val="subscript"/>
        </w:rPr>
        <w:t>2</w:t>
      </w:r>
      <w:r>
        <w:rPr>
          <w:rFonts w:cs="Times New Roman"/>
        </w:rPr>
        <w:t xml:space="preserve">e terms, with EOL losses </w:t>
      </w:r>
      <w:r w:rsidR="00EA041A">
        <w:rPr>
          <w:rFonts w:cs="Times New Roman"/>
        </w:rPr>
        <w:t xml:space="preserve">of HCFCs and HFCs </w:t>
      </w:r>
      <w:r>
        <w:rPr>
          <w:rFonts w:cs="Times New Roman"/>
        </w:rPr>
        <w:t>in 2030 estimated to have grow</w:t>
      </w:r>
      <w:r w:rsidR="00EA041A">
        <w:rPr>
          <w:rFonts w:cs="Times New Roman"/>
        </w:rPr>
        <w:t>n by nearly 45% to more than 2,7</w:t>
      </w:r>
      <w:r>
        <w:rPr>
          <w:rFonts w:cs="Times New Roman"/>
        </w:rPr>
        <w:t>60 tonnes. The growing retirements present both stewardship risks and opportunities for industry and government regulators.</w:t>
      </w:r>
    </w:p>
    <w:p w14:paraId="6AEC3FFF" w14:textId="77777777" w:rsidR="005C5275" w:rsidRPr="00E8780E" w:rsidRDefault="005C5275" w:rsidP="005C5275">
      <w:pPr>
        <w:snapToGrid w:val="0"/>
        <w:rPr>
          <w:rFonts w:cs="Times New Roman"/>
          <w:szCs w:val="22"/>
        </w:rPr>
      </w:pP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5C5275" w:rsidRPr="008C5681" w14:paraId="3C9623AD" w14:textId="77777777" w:rsidTr="00700720">
        <w:tc>
          <w:tcPr>
            <w:tcW w:w="9716" w:type="dxa"/>
            <w:vAlign w:val="center"/>
          </w:tcPr>
          <w:p w14:paraId="616A0D89" w14:textId="69123DE3" w:rsidR="005C5275" w:rsidRPr="008C5681" w:rsidRDefault="005C5275" w:rsidP="005C5275">
            <w:pPr>
              <w:spacing w:after="120"/>
              <w:jc w:val="center"/>
              <w:rPr>
                <w:rFonts w:cs="Times New Roman"/>
                <w:b/>
                <w:sz w:val="24"/>
              </w:rPr>
            </w:pPr>
            <w:r w:rsidRPr="008C5681">
              <w:rPr>
                <w:rFonts w:cs="Times New Roman"/>
                <w:b/>
                <w:sz w:val="24"/>
              </w:rPr>
              <w:br w:type="page"/>
            </w:r>
            <w:r>
              <w:rPr>
                <w:rFonts w:cs="Times New Roman"/>
                <w:b/>
                <w:sz w:val="24"/>
              </w:rPr>
              <w:t>End-of-</w:t>
            </w:r>
            <w:r w:rsidR="006002E4">
              <w:rPr>
                <w:rFonts w:cs="Times New Roman"/>
                <w:b/>
                <w:sz w:val="24"/>
              </w:rPr>
              <w:t>life e</w:t>
            </w:r>
            <w:r>
              <w:rPr>
                <w:rFonts w:cs="Times New Roman"/>
                <w:b/>
                <w:sz w:val="24"/>
              </w:rPr>
              <w:t xml:space="preserve">missions by </w:t>
            </w:r>
            <w:r w:rsidR="006002E4">
              <w:rPr>
                <w:rFonts w:cs="Times New Roman"/>
                <w:b/>
                <w:sz w:val="24"/>
              </w:rPr>
              <w:t>species: 2016 to 2030 (t</w:t>
            </w:r>
            <w:r>
              <w:rPr>
                <w:rFonts w:cs="Times New Roman"/>
                <w:b/>
                <w:sz w:val="24"/>
              </w:rPr>
              <w:t>onnes)</w:t>
            </w:r>
          </w:p>
        </w:tc>
      </w:tr>
      <w:tr w:rsidR="005C5275" w:rsidRPr="008C5681" w14:paraId="5F1A97B4" w14:textId="77777777" w:rsidTr="00700720">
        <w:tc>
          <w:tcPr>
            <w:tcW w:w="9716" w:type="dxa"/>
            <w:vAlign w:val="center"/>
          </w:tcPr>
          <w:p w14:paraId="66E374B1" w14:textId="77777777" w:rsidR="005C5275" w:rsidRPr="008C5681" w:rsidRDefault="005C5275" w:rsidP="005C5275">
            <w:pPr>
              <w:spacing w:before="60" w:after="60"/>
              <w:jc w:val="center"/>
              <w:rPr>
                <w:rFonts w:cs="Times New Roman"/>
                <w:sz w:val="16"/>
                <w:szCs w:val="16"/>
              </w:rPr>
            </w:pPr>
          </w:p>
          <w:p w14:paraId="3F00AA21" w14:textId="7E4465E6" w:rsidR="005C5275" w:rsidRPr="008C5681" w:rsidRDefault="00700720" w:rsidP="005C5275">
            <w:pPr>
              <w:spacing w:before="60" w:after="60"/>
              <w:jc w:val="center"/>
              <w:rPr>
                <w:rFonts w:cs="Times New Roman"/>
                <w:sz w:val="16"/>
                <w:szCs w:val="16"/>
              </w:rPr>
            </w:pPr>
            <w:r>
              <w:rPr>
                <w:noProof/>
                <w:lang w:val="en-AU" w:eastAsia="en-AU"/>
              </w:rPr>
              <w:drawing>
                <wp:inline distT="0" distB="0" distL="0" distR="0" wp14:anchorId="21061727" wp14:editId="01B2EA8B">
                  <wp:extent cx="6030595" cy="226250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30595" cy="2262505"/>
                          </a:xfrm>
                          <a:prstGeom prst="rect">
                            <a:avLst/>
                          </a:prstGeom>
                        </pic:spPr>
                      </pic:pic>
                    </a:graphicData>
                  </a:graphic>
                </wp:inline>
              </w:drawing>
            </w:r>
          </w:p>
          <w:p w14:paraId="178B892F" w14:textId="77777777" w:rsidR="005C5275" w:rsidRPr="008C5681" w:rsidRDefault="005C5275" w:rsidP="005C5275">
            <w:pPr>
              <w:spacing w:before="60" w:after="60"/>
              <w:jc w:val="center"/>
              <w:rPr>
                <w:rFonts w:cs="Times New Roman"/>
                <w:sz w:val="16"/>
                <w:szCs w:val="16"/>
              </w:rPr>
            </w:pPr>
          </w:p>
        </w:tc>
      </w:tr>
      <w:tr w:rsidR="005C5275" w:rsidRPr="008C5681" w14:paraId="5BF5342B" w14:textId="77777777" w:rsidTr="00700720">
        <w:tc>
          <w:tcPr>
            <w:tcW w:w="9716" w:type="dxa"/>
            <w:vAlign w:val="center"/>
          </w:tcPr>
          <w:p w14:paraId="1A3AC71C" w14:textId="3BDC500E" w:rsidR="005C5275" w:rsidRPr="0023612A" w:rsidRDefault="0023612A" w:rsidP="0023612A">
            <w:pPr>
              <w:pStyle w:val="Caption"/>
              <w:rPr>
                <w:sz w:val="20"/>
              </w:rPr>
            </w:pPr>
            <w:bookmarkStart w:id="158" w:name="_Toc525141379"/>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48</w:t>
            </w:r>
            <w:r w:rsidR="009D6843">
              <w:rPr>
                <w:noProof/>
              </w:rPr>
              <w:fldChar w:fldCharType="end"/>
            </w:r>
            <w:r w:rsidRPr="0023612A">
              <w:t xml:space="preserve">: </w:t>
            </w:r>
            <w:r w:rsidR="006002E4" w:rsidRPr="0023612A">
              <w:rPr>
                <w:sz w:val="20"/>
              </w:rPr>
              <w:t>End-of-l</w:t>
            </w:r>
            <w:r w:rsidR="005C5275" w:rsidRPr="0023612A">
              <w:rPr>
                <w:sz w:val="20"/>
              </w:rPr>
              <w:t>ife emissions by refrigerant species from 2016 to 2030 in tonnes.</w:t>
            </w:r>
            <w:bookmarkEnd w:id="158"/>
            <w:r w:rsidR="005C5275" w:rsidRPr="0023612A">
              <w:rPr>
                <w:sz w:val="20"/>
              </w:rPr>
              <w:t xml:space="preserve"> </w:t>
            </w:r>
          </w:p>
        </w:tc>
      </w:tr>
    </w:tbl>
    <w:p w14:paraId="42B5DEE3" w14:textId="77777777" w:rsidR="00AD50B1" w:rsidRPr="00AD50B1" w:rsidRDefault="00AD50B1" w:rsidP="00740CB1">
      <w:pPr>
        <w:spacing w:before="0"/>
        <w:rPr>
          <w:sz w:val="20"/>
          <w:szCs w:val="20"/>
          <w:lang w:val="en-US"/>
        </w:rPr>
      </w:pPr>
      <w:r w:rsidRPr="00AD50B1">
        <w:rPr>
          <w:sz w:val="20"/>
          <w:szCs w:val="20"/>
          <w:lang w:val="en-US"/>
        </w:rPr>
        <w:t xml:space="preserve">(Source: </w:t>
      </w:r>
      <w:r w:rsidRPr="00AD50B1">
        <w:rPr>
          <w:sz w:val="20"/>
          <w:szCs w:val="20"/>
        </w:rPr>
        <w:t>CHF3 RAC Stock model</w:t>
      </w:r>
      <w:r w:rsidRPr="00AD50B1">
        <w:rPr>
          <w:sz w:val="20"/>
          <w:szCs w:val="20"/>
          <w:lang w:val="en-US"/>
        </w:rPr>
        <w:t>)</w:t>
      </w:r>
    </w:p>
    <w:p w14:paraId="2BCD9860" w14:textId="24735A8E" w:rsidR="005C5275" w:rsidRPr="00740CB1" w:rsidRDefault="00740CB1" w:rsidP="005C5275">
      <w:pPr>
        <w:snapToGrid w:val="0"/>
        <w:spacing w:before="60"/>
        <w:rPr>
          <w:rFonts w:cs="Times New Roman"/>
        </w:rPr>
      </w:pPr>
      <w:r w:rsidRPr="00740CB1">
        <w:rPr>
          <w:rFonts w:cs="Times New Roman"/>
        </w:rPr>
        <w:t>Notes:</w:t>
      </w:r>
    </w:p>
    <w:p w14:paraId="7865B168" w14:textId="5189EB10" w:rsidR="00740CB1" w:rsidRDefault="00740CB1" w:rsidP="00740CB1">
      <w:pPr>
        <w:pStyle w:val="ListParagraph"/>
        <w:numPr>
          <w:ilvl w:val="0"/>
          <w:numId w:val="59"/>
        </w:numPr>
        <w:spacing w:before="120" w:after="0" w:line="240" w:lineRule="auto"/>
        <w:contextualSpacing w:val="0"/>
        <w:jc w:val="both"/>
        <w:rPr>
          <w:rFonts w:ascii="Times New Roman" w:hAnsi="Times New Roman"/>
          <w:sz w:val="20"/>
          <w:szCs w:val="20"/>
        </w:rPr>
      </w:pPr>
      <w:r w:rsidRPr="00740CB1">
        <w:rPr>
          <w:rFonts w:ascii="Times New Roman" w:hAnsi="Times New Roman"/>
          <w:sz w:val="20"/>
          <w:szCs w:val="20"/>
        </w:rPr>
        <w:t xml:space="preserve">The CHF3 RAC Stock model </w:t>
      </w:r>
      <w:r>
        <w:rPr>
          <w:rFonts w:ascii="Times New Roman" w:hAnsi="Times New Roman"/>
          <w:sz w:val="20"/>
          <w:szCs w:val="20"/>
        </w:rPr>
        <w:t xml:space="preserve">assumptions include an </w:t>
      </w:r>
      <w:r w:rsidR="0043194D">
        <w:rPr>
          <w:rFonts w:ascii="Times New Roman" w:hAnsi="Times New Roman"/>
          <w:sz w:val="20"/>
          <w:szCs w:val="20"/>
        </w:rPr>
        <w:t>EOL and technical recovery percent for each segment.</w:t>
      </w:r>
    </w:p>
    <w:p w14:paraId="330BB282" w14:textId="546EE87A" w:rsidR="0043194D" w:rsidRPr="00FC5FC6" w:rsidRDefault="0043194D" w:rsidP="00FC5FC6">
      <w:pPr>
        <w:pStyle w:val="ListParagraph"/>
        <w:numPr>
          <w:ilvl w:val="0"/>
          <w:numId w:val="59"/>
        </w:numPr>
        <w:spacing w:before="120" w:after="0" w:line="240" w:lineRule="auto"/>
        <w:contextualSpacing w:val="0"/>
        <w:jc w:val="both"/>
        <w:rPr>
          <w:rFonts w:ascii="Times New Roman" w:hAnsi="Times New Roman"/>
          <w:sz w:val="20"/>
          <w:szCs w:val="20"/>
        </w:rPr>
      </w:pPr>
      <w:r>
        <w:rPr>
          <w:rFonts w:ascii="Times New Roman" w:hAnsi="Times New Roman"/>
          <w:sz w:val="20"/>
          <w:szCs w:val="20"/>
        </w:rPr>
        <w:t xml:space="preserve">The model assumes EOL profile includes warranty period generally for 5 years then </w:t>
      </w:r>
      <w:r w:rsidR="00FC5FC6" w:rsidRPr="00FC5FC6">
        <w:rPr>
          <w:rFonts w:ascii="Times New Roman" w:hAnsi="Times New Roman"/>
          <w:sz w:val="20"/>
          <w:szCs w:val="20"/>
        </w:rPr>
        <w:t>follows a linear decline from 100%</w:t>
      </w:r>
      <w:r w:rsidR="00C409F7">
        <w:rPr>
          <w:rFonts w:ascii="Times New Roman" w:hAnsi="Times New Roman"/>
          <w:sz w:val="20"/>
          <w:szCs w:val="20"/>
        </w:rPr>
        <w:t xml:space="preserve"> charge</w:t>
      </w:r>
      <w:r w:rsidR="00FC5FC6" w:rsidRPr="00FC5FC6">
        <w:rPr>
          <w:rFonts w:ascii="Times New Roman" w:hAnsi="Times New Roman"/>
          <w:sz w:val="20"/>
          <w:szCs w:val="20"/>
        </w:rPr>
        <w:t xml:space="preserve"> in year five to </w:t>
      </w:r>
      <w:r w:rsidR="00FC5FC6">
        <w:rPr>
          <w:rFonts w:ascii="Times New Roman" w:hAnsi="Times New Roman"/>
          <w:sz w:val="20"/>
          <w:szCs w:val="20"/>
        </w:rPr>
        <w:t xml:space="preserve">EOL percent </w:t>
      </w:r>
      <w:r w:rsidR="00FC5FC6" w:rsidRPr="00FC5FC6">
        <w:rPr>
          <w:rFonts w:ascii="Times New Roman" w:hAnsi="Times New Roman"/>
          <w:sz w:val="20"/>
          <w:szCs w:val="20"/>
        </w:rPr>
        <w:t>of original charge at retirement.</w:t>
      </w:r>
    </w:p>
    <w:p w14:paraId="0A8798E3" w14:textId="77777777" w:rsidR="00740CB1" w:rsidRPr="008C5681" w:rsidRDefault="00740CB1" w:rsidP="005C5275">
      <w:pPr>
        <w:snapToGrid w:val="0"/>
        <w:spacing w:before="60"/>
        <w:rPr>
          <w:rFonts w:cs="Times New Roman"/>
          <w:b/>
        </w:rPr>
      </w:pPr>
    </w:p>
    <w:p w14:paraId="095B5A91" w14:textId="708A088F" w:rsidR="005C5275" w:rsidRDefault="005C5275" w:rsidP="005C5275">
      <w:pPr>
        <w:snapToGrid w:val="0"/>
        <w:rPr>
          <w:rFonts w:cs="Times New Roman"/>
        </w:rPr>
      </w:pPr>
      <w:r w:rsidRPr="00500ED5">
        <w:rPr>
          <w:rFonts w:cs="Times New Roman"/>
        </w:rPr>
        <w:t>Just as bulk imports, weighted as they are towards the service demands of the older and leakier portion of the stock of equipment</w:t>
      </w:r>
      <w:r w:rsidR="00C409F7">
        <w:rPr>
          <w:rFonts w:cs="Times New Roman"/>
        </w:rPr>
        <w:t>,</w:t>
      </w:r>
      <w:r w:rsidRPr="00500ED5">
        <w:rPr>
          <w:rFonts w:cs="Times New Roman"/>
        </w:rPr>
        <w:t xml:space="preserve"> are something of a lagging indicator of</w:t>
      </w:r>
      <w:r>
        <w:rPr>
          <w:rFonts w:cs="Times New Roman"/>
        </w:rPr>
        <w:t xml:space="preserve"> the make-</w:t>
      </w:r>
      <w:r w:rsidRPr="00500ED5">
        <w:rPr>
          <w:rFonts w:cs="Times New Roman"/>
        </w:rPr>
        <w:t xml:space="preserve">up of the bank, so too are </w:t>
      </w:r>
      <w:r w:rsidR="00044776">
        <w:rPr>
          <w:rFonts w:cs="Times New Roman"/>
        </w:rPr>
        <w:t xml:space="preserve">EOL </w:t>
      </w:r>
      <w:r w:rsidRPr="00500ED5">
        <w:rPr>
          <w:rFonts w:cs="Times New Roman"/>
        </w:rPr>
        <w:t>equipment emissions a lagging indicator of the stock.</w:t>
      </w:r>
      <w:r>
        <w:rPr>
          <w:rFonts w:cs="Times New Roman"/>
        </w:rPr>
        <w:t xml:space="preserve"> </w:t>
      </w:r>
    </w:p>
    <w:p w14:paraId="10AE2F4A" w14:textId="4D40E74E" w:rsidR="005C5275" w:rsidRDefault="005C5275" w:rsidP="005C5275">
      <w:pPr>
        <w:snapToGrid w:val="0"/>
        <w:rPr>
          <w:rFonts w:cs="Times New Roman"/>
        </w:rPr>
      </w:pPr>
      <w:r>
        <w:rPr>
          <w:rFonts w:cs="Times New Roman"/>
        </w:rPr>
        <w:t xml:space="preserve">As such it is no surprise that more than 56% of EOL emissions in 2016 </w:t>
      </w:r>
      <w:r w:rsidR="00FE74F2">
        <w:rPr>
          <w:rFonts w:cs="Times New Roman"/>
        </w:rPr>
        <w:t>were</w:t>
      </w:r>
      <w:r>
        <w:rPr>
          <w:rFonts w:cs="Times New Roman"/>
        </w:rPr>
        <w:t xml:space="preserve"> estimated to be more than 1,100 tonnes of HCFC-22, as older stationary AC is removed from service. The model projects continuing EOL emissions of HCFC-22 at, or near these levels until 2020, when the decline of HCFC-22 in the bank starts to feed through into a decline in HCFC-22 EOL emissions. </w:t>
      </w:r>
    </w:p>
    <w:p w14:paraId="0558EFB8" w14:textId="790AFA92" w:rsidR="005C5275" w:rsidRPr="00500ED5" w:rsidRDefault="005C5275" w:rsidP="005C5275">
      <w:pPr>
        <w:snapToGrid w:val="0"/>
        <w:rPr>
          <w:rFonts w:cs="Times New Roman"/>
        </w:rPr>
      </w:pPr>
      <w:r>
        <w:rPr>
          <w:rFonts w:cs="Times New Roman"/>
        </w:rPr>
        <w:t>By the end of the projection period HCFC-22 is expected to contribute only 3% of total EOL emissions with HFC-410A growing its share of EOL emissions from around 117 tonnes, or 6% of the total in 2016, to more than 1,150 tonnes, or 4</w:t>
      </w:r>
      <w:r w:rsidR="00044776">
        <w:rPr>
          <w:rFonts w:cs="Times New Roman"/>
        </w:rPr>
        <w:t>2</w:t>
      </w:r>
      <w:r>
        <w:rPr>
          <w:rFonts w:cs="Times New Roman"/>
        </w:rPr>
        <w:t>% in 2030. Throughout the period HFC-134a maintains a roughly 25% share of EOL emissions, rising from around 50</w:t>
      </w:r>
      <w:r w:rsidR="00044776">
        <w:rPr>
          <w:rFonts w:cs="Times New Roman"/>
        </w:rPr>
        <w:t>4</w:t>
      </w:r>
      <w:r>
        <w:rPr>
          <w:rFonts w:cs="Times New Roman"/>
        </w:rPr>
        <w:t xml:space="preserve"> tonnes at the start of the period to more than 740 tonnes by 2025 before falling to around 690 tonnes in 2030.</w:t>
      </w:r>
    </w:p>
    <w:p w14:paraId="3FF12469" w14:textId="37F222A2" w:rsidR="005C5275" w:rsidRDefault="005C5275" w:rsidP="005C5275">
      <w:pPr>
        <w:snapToGrid w:val="0"/>
        <w:rPr>
          <w:rFonts w:cs="Times New Roman"/>
        </w:rPr>
      </w:pPr>
      <w:r>
        <w:rPr>
          <w:rFonts w:cs="Times New Roman"/>
        </w:rPr>
        <w:t>The CO</w:t>
      </w:r>
      <w:r w:rsidRPr="00681300">
        <w:rPr>
          <w:rFonts w:cs="Times New Roman"/>
          <w:vertAlign w:val="subscript"/>
        </w:rPr>
        <w:t>2</w:t>
      </w:r>
      <w:r>
        <w:rPr>
          <w:rFonts w:cs="Times New Roman"/>
        </w:rPr>
        <w:t xml:space="preserve">e value of </w:t>
      </w:r>
      <w:r w:rsidR="00044776">
        <w:rPr>
          <w:rFonts w:cs="Times New Roman"/>
        </w:rPr>
        <w:t xml:space="preserve">the total EOL </w:t>
      </w:r>
      <w:r>
        <w:rPr>
          <w:rFonts w:cs="Times New Roman"/>
        </w:rPr>
        <w:t>emissions rises by nearly 40% to reach more than 5 million tonnes of CO</w:t>
      </w:r>
      <w:r w:rsidRPr="0049564C">
        <w:rPr>
          <w:rFonts w:cs="Times New Roman"/>
          <w:vertAlign w:val="subscript"/>
        </w:rPr>
        <w:t>2</w:t>
      </w:r>
      <w:r>
        <w:rPr>
          <w:rFonts w:cs="Times New Roman"/>
        </w:rPr>
        <w:t xml:space="preserve">e per annum in 2024 before declining slowly from that peak to end the period nearly 30% higher at 4.69 million tonnes. </w:t>
      </w:r>
    </w:p>
    <w:p w14:paraId="210E9D53" w14:textId="77777777" w:rsidR="005C5275" w:rsidRDefault="005C5275" w:rsidP="005C5275">
      <w:pPr>
        <w:spacing w:before="240"/>
        <w:rPr>
          <w:szCs w:val="22"/>
        </w:rPr>
      </w:pP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5C5275" w:rsidRPr="008C5681" w14:paraId="105F2837" w14:textId="77777777" w:rsidTr="00700720">
        <w:tc>
          <w:tcPr>
            <w:tcW w:w="9716" w:type="dxa"/>
            <w:vAlign w:val="center"/>
          </w:tcPr>
          <w:p w14:paraId="48B63013" w14:textId="5C2CD097" w:rsidR="005C5275" w:rsidRPr="008C5681" w:rsidRDefault="005C5275" w:rsidP="005C5275">
            <w:pPr>
              <w:spacing w:after="120"/>
              <w:jc w:val="center"/>
              <w:rPr>
                <w:rFonts w:cs="Times New Roman"/>
                <w:b/>
                <w:sz w:val="24"/>
              </w:rPr>
            </w:pPr>
            <w:r w:rsidRPr="008C5681">
              <w:rPr>
                <w:rFonts w:cs="Times New Roman"/>
                <w:b/>
                <w:sz w:val="24"/>
              </w:rPr>
              <w:br w:type="page"/>
            </w:r>
            <w:r w:rsidR="006002E4">
              <w:rPr>
                <w:rFonts w:cs="Times New Roman"/>
                <w:b/>
                <w:sz w:val="24"/>
              </w:rPr>
              <w:t>End-of-life emissions by s</w:t>
            </w:r>
            <w:r>
              <w:rPr>
                <w:rFonts w:cs="Times New Roman"/>
                <w:b/>
                <w:sz w:val="24"/>
              </w:rPr>
              <w:t>pecies: 2016 to 2030 (Mt CO</w:t>
            </w:r>
            <w:r w:rsidRPr="008C5681">
              <w:rPr>
                <w:rFonts w:cs="Times New Roman"/>
                <w:b/>
                <w:sz w:val="24"/>
                <w:vertAlign w:val="subscript"/>
              </w:rPr>
              <w:t>2</w:t>
            </w:r>
            <w:r>
              <w:rPr>
                <w:rFonts w:cs="Times New Roman"/>
                <w:b/>
                <w:sz w:val="24"/>
              </w:rPr>
              <w:t>e)</w:t>
            </w:r>
          </w:p>
        </w:tc>
      </w:tr>
      <w:tr w:rsidR="005C5275" w:rsidRPr="008C5681" w14:paraId="2F9787C1" w14:textId="77777777" w:rsidTr="00700720">
        <w:tc>
          <w:tcPr>
            <w:tcW w:w="9716" w:type="dxa"/>
            <w:vAlign w:val="center"/>
          </w:tcPr>
          <w:p w14:paraId="2D967B42" w14:textId="77777777" w:rsidR="005C5275" w:rsidRPr="008C5681" w:rsidRDefault="005C5275" w:rsidP="005C5275">
            <w:pPr>
              <w:spacing w:before="60" w:after="60"/>
              <w:jc w:val="center"/>
              <w:rPr>
                <w:rFonts w:cs="Times New Roman"/>
                <w:sz w:val="16"/>
                <w:szCs w:val="16"/>
              </w:rPr>
            </w:pPr>
          </w:p>
          <w:p w14:paraId="01034C13" w14:textId="3E29BB0C" w:rsidR="005C5275" w:rsidRPr="008C5681" w:rsidRDefault="00700720" w:rsidP="005C5275">
            <w:pPr>
              <w:spacing w:before="60" w:after="60"/>
              <w:jc w:val="center"/>
              <w:rPr>
                <w:rFonts w:cs="Times New Roman"/>
                <w:sz w:val="16"/>
                <w:szCs w:val="16"/>
              </w:rPr>
            </w:pPr>
            <w:r>
              <w:rPr>
                <w:noProof/>
                <w:lang w:val="en-AU" w:eastAsia="en-AU"/>
              </w:rPr>
              <w:drawing>
                <wp:inline distT="0" distB="0" distL="0" distR="0" wp14:anchorId="61F97F3E" wp14:editId="3B935D18">
                  <wp:extent cx="6030595" cy="219837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30595" cy="2198370"/>
                          </a:xfrm>
                          <a:prstGeom prst="rect">
                            <a:avLst/>
                          </a:prstGeom>
                        </pic:spPr>
                      </pic:pic>
                    </a:graphicData>
                  </a:graphic>
                </wp:inline>
              </w:drawing>
            </w:r>
          </w:p>
          <w:p w14:paraId="768A381C" w14:textId="77777777" w:rsidR="005C5275" w:rsidRPr="008C5681" w:rsidRDefault="005C5275" w:rsidP="005C5275">
            <w:pPr>
              <w:spacing w:before="60" w:after="60"/>
              <w:jc w:val="center"/>
              <w:rPr>
                <w:rFonts w:cs="Times New Roman"/>
                <w:sz w:val="16"/>
                <w:szCs w:val="16"/>
              </w:rPr>
            </w:pPr>
          </w:p>
        </w:tc>
      </w:tr>
      <w:tr w:rsidR="005C5275" w:rsidRPr="008C5681" w14:paraId="20B34429" w14:textId="77777777" w:rsidTr="00700720">
        <w:tc>
          <w:tcPr>
            <w:tcW w:w="9716" w:type="dxa"/>
            <w:vAlign w:val="center"/>
          </w:tcPr>
          <w:p w14:paraId="633FC69C" w14:textId="5212AA10" w:rsidR="005C5275" w:rsidRPr="0023612A" w:rsidRDefault="0023612A" w:rsidP="0023612A">
            <w:pPr>
              <w:pStyle w:val="Caption"/>
              <w:rPr>
                <w:sz w:val="20"/>
              </w:rPr>
            </w:pPr>
            <w:bookmarkStart w:id="159" w:name="_Toc525141380"/>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49</w:t>
            </w:r>
            <w:r w:rsidR="009D6843">
              <w:rPr>
                <w:noProof/>
              </w:rPr>
              <w:fldChar w:fldCharType="end"/>
            </w:r>
            <w:r w:rsidRPr="0023612A">
              <w:t xml:space="preserve">: </w:t>
            </w:r>
            <w:r w:rsidR="006002E4" w:rsidRPr="0023612A">
              <w:rPr>
                <w:sz w:val="20"/>
              </w:rPr>
              <w:t>End-of-l</w:t>
            </w:r>
            <w:r w:rsidR="005C5275" w:rsidRPr="0023612A">
              <w:rPr>
                <w:sz w:val="20"/>
              </w:rPr>
              <w:t>ife emissions by refrigerant species from 2016 to 2030 in Mt CO</w:t>
            </w:r>
            <w:r w:rsidR="005C5275" w:rsidRPr="0023612A">
              <w:rPr>
                <w:sz w:val="20"/>
                <w:vertAlign w:val="subscript"/>
              </w:rPr>
              <w:t>2</w:t>
            </w:r>
            <w:r w:rsidR="005C5275" w:rsidRPr="0023612A">
              <w:rPr>
                <w:sz w:val="20"/>
              </w:rPr>
              <w:t>e.</w:t>
            </w:r>
            <w:bookmarkEnd w:id="159"/>
            <w:r w:rsidR="005C5275" w:rsidRPr="0023612A">
              <w:rPr>
                <w:sz w:val="20"/>
              </w:rPr>
              <w:t xml:space="preserve"> </w:t>
            </w:r>
          </w:p>
        </w:tc>
      </w:tr>
    </w:tbl>
    <w:p w14:paraId="22E5B1E5" w14:textId="77777777" w:rsidR="00AD50B1" w:rsidRPr="00573A8B" w:rsidRDefault="00AD50B1" w:rsidP="00AD50B1">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CHF3 RAC Stock model</w:t>
      </w:r>
      <w:r w:rsidRPr="00573A8B">
        <w:rPr>
          <w:rFonts w:cs="Times New Roman"/>
          <w:sz w:val="20"/>
          <w:szCs w:val="20"/>
          <w:lang w:val="en-US"/>
        </w:rPr>
        <w:t>)</w:t>
      </w:r>
    </w:p>
    <w:p w14:paraId="3A4BF8FB" w14:textId="77777777" w:rsidR="005C5275" w:rsidRDefault="005C5275" w:rsidP="005C5275">
      <w:pPr>
        <w:snapToGrid w:val="0"/>
        <w:rPr>
          <w:rFonts w:cs="Times New Roman"/>
        </w:rPr>
      </w:pPr>
    </w:p>
    <w:p w14:paraId="0F9B85CF" w14:textId="0A01F9CF" w:rsidR="005C5275" w:rsidRPr="00500ED5" w:rsidRDefault="005C5275" w:rsidP="005C5275">
      <w:pPr>
        <w:snapToGrid w:val="0"/>
        <w:rPr>
          <w:rFonts w:cs="Times New Roman"/>
        </w:rPr>
      </w:pPr>
      <w:r>
        <w:rPr>
          <w:rFonts w:cs="Times New Roman"/>
        </w:rPr>
        <w:t>It should be noted that the peak EOL prediction, in CO</w:t>
      </w:r>
      <w:r w:rsidRPr="005C5275">
        <w:rPr>
          <w:rFonts w:cs="Times New Roman"/>
          <w:vertAlign w:val="subscript"/>
        </w:rPr>
        <w:t>2</w:t>
      </w:r>
      <w:r>
        <w:rPr>
          <w:rFonts w:cs="Times New Roman"/>
        </w:rPr>
        <w:t>e terms, of 5.02 million tonnes CO</w:t>
      </w:r>
      <w:r w:rsidRPr="0049564C">
        <w:rPr>
          <w:rFonts w:cs="Times New Roman"/>
          <w:vertAlign w:val="subscript"/>
        </w:rPr>
        <w:t>2</w:t>
      </w:r>
      <w:r>
        <w:rPr>
          <w:rFonts w:cs="Times New Roman"/>
        </w:rPr>
        <w:t>e in 2024, lags the models prediction of peak CO</w:t>
      </w:r>
      <w:r w:rsidRPr="0049564C">
        <w:rPr>
          <w:rFonts w:cs="Times New Roman"/>
          <w:vertAlign w:val="subscript"/>
        </w:rPr>
        <w:t>2</w:t>
      </w:r>
      <w:r>
        <w:rPr>
          <w:rFonts w:cs="Times New Roman"/>
        </w:rPr>
        <w:t>e of the bank, at more than 102.</w:t>
      </w:r>
      <w:r w:rsidR="00044776">
        <w:rPr>
          <w:rFonts w:cs="Times New Roman"/>
        </w:rPr>
        <w:t>4</w:t>
      </w:r>
      <w:r>
        <w:rPr>
          <w:rFonts w:cs="Times New Roman"/>
        </w:rPr>
        <w:t xml:space="preserve"> million tonnes of CO</w:t>
      </w:r>
      <w:r w:rsidRPr="0049564C">
        <w:rPr>
          <w:rFonts w:cs="Times New Roman"/>
          <w:vertAlign w:val="subscript"/>
        </w:rPr>
        <w:t>2</w:t>
      </w:r>
      <w:r>
        <w:rPr>
          <w:rFonts w:cs="Times New Roman"/>
        </w:rPr>
        <w:t xml:space="preserve">e in 2019, by just 5 years. This is expected as a result of a mix of factors including the expected rapid decline of HCFC-22 from the EOL mix from around 2021, the effect of smaller charges gradually introduced into the major equipment classes from </w:t>
      </w:r>
      <w:r w:rsidR="00E17FF7">
        <w:rPr>
          <w:rFonts w:cs="Times New Roman"/>
        </w:rPr>
        <w:t xml:space="preserve">the </w:t>
      </w:r>
      <w:r>
        <w:rPr>
          <w:rFonts w:cs="Times New Roman"/>
        </w:rPr>
        <w:t xml:space="preserve">early </w:t>
      </w:r>
      <w:r w:rsidR="00E17FF7">
        <w:rPr>
          <w:rFonts w:cs="Times New Roman"/>
        </w:rPr>
        <w:t>2000s</w:t>
      </w:r>
      <w:r>
        <w:rPr>
          <w:rFonts w:cs="Times New Roman"/>
        </w:rPr>
        <w:t xml:space="preserve">, flowing through to smaller volumes in EOL equipment in the 2020s, and the effect of the capping of growth of the HFC-134a bank, with the introduction of HCs into domestic refrigeration equipment in the mid-2000s. </w:t>
      </w:r>
    </w:p>
    <w:p w14:paraId="5C691AC2" w14:textId="3DD97E64" w:rsidR="005C5275" w:rsidRDefault="005C5275" w:rsidP="005C5275">
      <w:pPr>
        <w:snapToGrid w:val="0"/>
        <w:rPr>
          <w:rFonts w:cs="Times New Roman"/>
        </w:rPr>
      </w:pPr>
      <w:r>
        <w:rPr>
          <w:rFonts w:cs="Times New Roman"/>
        </w:rPr>
        <w:t xml:space="preserve">Given the predominance in terms of total stock numbers of small split AC in the stock of equipment it is no surprise that the largest source of EOL emissions is from this equipment segment. EOL emissions from small split AC of 576 tonnes, or more than 28% of the total, </w:t>
      </w:r>
      <w:r w:rsidR="00C409F7">
        <w:rPr>
          <w:rFonts w:cs="Times New Roman"/>
        </w:rPr>
        <w:t xml:space="preserve">are </w:t>
      </w:r>
      <w:r>
        <w:rPr>
          <w:rFonts w:cs="Times New Roman"/>
        </w:rPr>
        <w:t>expected to rise steadily throughout the projection period by more than 80% to 1,0</w:t>
      </w:r>
      <w:r w:rsidR="00824716">
        <w:rPr>
          <w:rFonts w:cs="Times New Roman"/>
        </w:rPr>
        <w:t>5</w:t>
      </w:r>
      <w:r>
        <w:rPr>
          <w:rFonts w:cs="Times New Roman"/>
        </w:rPr>
        <w:t>0 tonnes by 2030, or more than 36% of the total EOL emissions at that time. However the changing refrigerants employed result in this segment</w:t>
      </w:r>
      <w:r w:rsidR="00C409F7">
        <w:rPr>
          <w:rFonts w:cs="Times New Roman"/>
        </w:rPr>
        <w:t>’</w:t>
      </w:r>
      <w:r>
        <w:rPr>
          <w:rFonts w:cs="Times New Roman"/>
        </w:rPr>
        <w:t>s contribution to the CO</w:t>
      </w:r>
      <w:r w:rsidRPr="00F94DE0">
        <w:rPr>
          <w:rFonts w:cs="Times New Roman"/>
          <w:vertAlign w:val="subscript"/>
        </w:rPr>
        <w:t>2</w:t>
      </w:r>
      <w:r>
        <w:rPr>
          <w:rFonts w:cs="Times New Roman"/>
        </w:rPr>
        <w:t>e value of EOL emissions to rise more slowly</w:t>
      </w:r>
      <w:r w:rsidR="00C409F7">
        <w:rPr>
          <w:rFonts w:cs="Times New Roman"/>
        </w:rPr>
        <w:t>,</w:t>
      </w:r>
      <w:r>
        <w:rPr>
          <w:rFonts w:cs="Times New Roman"/>
        </w:rPr>
        <w:t xml:space="preserve"> increasing around 29% from 1.07 million tonnes CO</w:t>
      </w:r>
      <w:r w:rsidRPr="00F94DE0">
        <w:rPr>
          <w:rFonts w:cs="Times New Roman"/>
          <w:vertAlign w:val="subscript"/>
        </w:rPr>
        <w:t>2</w:t>
      </w:r>
      <w:r>
        <w:rPr>
          <w:rFonts w:cs="Times New Roman"/>
        </w:rPr>
        <w:t>e in 2016 to nearly 1.4 million tonnes CO</w:t>
      </w:r>
      <w:r w:rsidRPr="00F94DE0">
        <w:rPr>
          <w:rFonts w:cs="Times New Roman"/>
          <w:vertAlign w:val="subscript"/>
        </w:rPr>
        <w:t>2</w:t>
      </w:r>
      <w:r>
        <w:rPr>
          <w:rFonts w:cs="Times New Roman"/>
        </w:rPr>
        <w:t>e in 2030, and being roughly equal to 30% of all EOL emissions in CO</w:t>
      </w:r>
      <w:r w:rsidRPr="00F94DE0">
        <w:rPr>
          <w:rFonts w:cs="Times New Roman"/>
          <w:vertAlign w:val="subscript"/>
        </w:rPr>
        <w:t>2</w:t>
      </w:r>
      <w:r>
        <w:rPr>
          <w:rFonts w:cs="Times New Roman"/>
        </w:rPr>
        <w:t>e terms throughout the period.</w:t>
      </w:r>
    </w:p>
    <w:p w14:paraId="508EE06C" w14:textId="7BF52678" w:rsidR="000F7A90" w:rsidRPr="001E7E4A" w:rsidRDefault="005C5275" w:rsidP="001E7E4A">
      <w:pPr>
        <w:snapToGrid w:val="0"/>
        <w:rPr>
          <w:rFonts w:cs="Times New Roman"/>
        </w:rPr>
      </w:pPr>
      <w:r>
        <w:rPr>
          <w:rFonts w:cs="Times New Roman"/>
        </w:rPr>
        <w:t xml:space="preserve">Other segments of the </w:t>
      </w:r>
      <w:r w:rsidR="00E17FF7">
        <w:rPr>
          <w:rFonts w:cs="Times New Roman"/>
        </w:rPr>
        <w:t>s</w:t>
      </w:r>
      <w:r>
        <w:rPr>
          <w:rFonts w:cs="Times New Roman"/>
        </w:rPr>
        <w:t xml:space="preserve">tationary AC class are also significant contributors to EOL emissions </w:t>
      </w:r>
      <w:r w:rsidR="009F5EAE">
        <w:rPr>
          <w:rFonts w:cs="Times New Roman"/>
        </w:rPr>
        <w:t>throughout</w:t>
      </w:r>
      <w:r>
        <w:rPr>
          <w:rFonts w:cs="Times New Roman"/>
        </w:rPr>
        <w:t xml:space="preserve"> the period with </w:t>
      </w:r>
      <w:r w:rsidR="00E17FF7">
        <w:rPr>
          <w:rFonts w:cs="Times New Roman"/>
        </w:rPr>
        <w:t>s</w:t>
      </w:r>
      <w:r>
        <w:rPr>
          <w:rFonts w:cs="Times New Roman"/>
        </w:rPr>
        <w:t>tationary AC overall being responsible for more than 1,23</w:t>
      </w:r>
      <w:r w:rsidR="00824716">
        <w:rPr>
          <w:rFonts w:cs="Times New Roman"/>
        </w:rPr>
        <w:t>5</w:t>
      </w:r>
      <w:r>
        <w:rPr>
          <w:rFonts w:cs="Times New Roman"/>
        </w:rPr>
        <w:t xml:space="preserve"> tonnes of EOL emissions, or more than 62% in 2016, rising to more than 1,950 tonnes in 2030, or more than 68% at that time. In CO</w:t>
      </w:r>
      <w:r w:rsidRPr="00395044">
        <w:rPr>
          <w:rFonts w:cs="Times New Roman"/>
          <w:vertAlign w:val="subscript"/>
        </w:rPr>
        <w:t>2</w:t>
      </w:r>
      <w:r>
        <w:rPr>
          <w:rFonts w:cs="Times New Roman"/>
        </w:rPr>
        <w:t xml:space="preserve">e terms </w:t>
      </w:r>
      <w:r w:rsidR="00E17FF7">
        <w:rPr>
          <w:rFonts w:cs="Times New Roman"/>
        </w:rPr>
        <w:t>s</w:t>
      </w:r>
      <w:r>
        <w:rPr>
          <w:rFonts w:cs="Times New Roman"/>
        </w:rPr>
        <w:t>tationary AC is estimated to produce more than 2.25 million tonnes in 2016, or more than 62% at the time, rising to more than 3.12 million tonnes in 2030, or mo</w:t>
      </w:r>
      <w:r w:rsidR="001E7E4A">
        <w:rPr>
          <w:rFonts w:cs="Times New Roman"/>
        </w:rPr>
        <w:t>re than 66% at the time.</w:t>
      </w:r>
    </w:p>
    <w:p w14:paraId="4836C700" w14:textId="376FF590" w:rsidR="00BF3750" w:rsidRDefault="006002E4" w:rsidP="00BF3750">
      <w:pPr>
        <w:pStyle w:val="Heading3"/>
      </w:pPr>
      <w:bookmarkStart w:id="160" w:name="_Toc525141298"/>
      <w:r>
        <w:t>Refrigerant Reclaim Australia d</w:t>
      </w:r>
      <w:r w:rsidR="00BF3750">
        <w:t>ata</w:t>
      </w:r>
      <w:bookmarkEnd w:id="160"/>
      <w:r w:rsidR="00BF3750">
        <w:t xml:space="preserve"> </w:t>
      </w:r>
    </w:p>
    <w:p w14:paraId="64B93DED" w14:textId="2F4F57D9" w:rsidR="00100FA9" w:rsidRPr="00FC64B4" w:rsidRDefault="000C72D8" w:rsidP="00100FA9">
      <w:pPr>
        <w:snapToGrid w:val="0"/>
        <w:textAlignment w:val="baseline"/>
        <w:rPr>
          <w:rFonts w:cs="Times New Roman"/>
          <w:szCs w:val="22"/>
          <w:bdr w:val="none" w:sz="0" w:space="0" w:color="auto" w:frame="1"/>
          <w:lang w:eastAsia="en-GB"/>
        </w:rPr>
      </w:pPr>
      <w:r>
        <w:rPr>
          <w:rFonts w:cs="Times New Roman"/>
          <w:szCs w:val="22"/>
          <w:bdr w:val="none" w:sz="0" w:space="0" w:color="auto" w:frame="1"/>
          <w:lang w:eastAsia="en-GB"/>
        </w:rPr>
        <w:t xml:space="preserve">In 2016-17 </w:t>
      </w:r>
      <w:r w:rsidR="00BF3750" w:rsidRPr="00BF3750">
        <w:rPr>
          <w:rFonts w:cs="Times New Roman"/>
          <w:szCs w:val="22"/>
          <w:bdr w:val="none" w:sz="0" w:space="0" w:color="auto" w:frame="1"/>
          <w:lang w:eastAsia="en-GB"/>
        </w:rPr>
        <w:t xml:space="preserve">Refrigerant Reclaim Australia </w:t>
      </w:r>
      <w:r w:rsidR="00BF3750">
        <w:rPr>
          <w:rFonts w:cs="Times New Roman"/>
          <w:szCs w:val="22"/>
          <w:bdr w:val="none" w:sz="0" w:space="0" w:color="auto" w:frame="1"/>
          <w:lang w:eastAsia="en-GB"/>
        </w:rPr>
        <w:t>(</w:t>
      </w:r>
      <w:r w:rsidR="00100FA9" w:rsidRPr="00FC64B4">
        <w:rPr>
          <w:rFonts w:cs="Times New Roman"/>
          <w:szCs w:val="22"/>
          <w:bdr w:val="none" w:sz="0" w:space="0" w:color="auto" w:frame="1"/>
          <w:lang w:eastAsia="en-GB"/>
        </w:rPr>
        <w:t>RRA</w:t>
      </w:r>
      <w:r w:rsidR="00BF3750">
        <w:rPr>
          <w:rFonts w:cs="Times New Roman"/>
          <w:szCs w:val="22"/>
          <w:bdr w:val="none" w:sz="0" w:space="0" w:color="auto" w:frame="1"/>
          <w:lang w:eastAsia="en-GB"/>
        </w:rPr>
        <w:t>)</w:t>
      </w:r>
      <w:r w:rsidR="00100FA9" w:rsidRPr="00FC64B4">
        <w:rPr>
          <w:rFonts w:cs="Times New Roman"/>
          <w:szCs w:val="22"/>
          <w:bdr w:val="none" w:sz="0" w:space="0" w:color="auto" w:frame="1"/>
          <w:lang w:eastAsia="en-GB"/>
        </w:rPr>
        <w:t xml:space="preserve"> </w:t>
      </w:r>
      <w:r w:rsidR="00FE74F2" w:rsidRPr="00FC64B4">
        <w:rPr>
          <w:rFonts w:cs="Times New Roman"/>
          <w:szCs w:val="22"/>
          <w:bdr w:val="none" w:sz="0" w:space="0" w:color="auto" w:frame="1"/>
          <w:lang w:eastAsia="en-GB"/>
        </w:rPr>
        <w:t>collect</w:t>
      </w:r>
      <w:r w:rsidR="00FE74F2">
        <w:rPr>
          <w:rFonts w:cs="Times New Roman"/>
          <w:szCs w:val="22"/>
          <w:bdr w:val="none" w:sz="0" w:space="0" w:color="auto" w:frame="1"/>
          <w:lang w:eastAsia="en-GB"/>
        </w:rPr>
        <w:t>ed</w:t>
      </w:r>
      <w:r w:rsidR="00100FA9" w:rsidRPr="00FC64B4">
        <w:rPr>
          <w:rFonts w:cs="Times New Roman"/>
          <w:szCs w:val="22"/>
          <w:bdr w:val="none" w:sz="0" w:space="0" w:color="auto" w:frame="1"/>
          <w:lang w:eastAsia="en-GB"/>
        </w:rPr>
        <w:t xml:space="preserve"> </w:t>
      </w:r>
      <w:r>
        <w:rPr>
          <w:rFonts w:cs="Times New Roman"/>
          <w:szCs w:val="22"/>
          <w:bdr w:val="none" w:sz="0" w:space="0" w:color="auto" w:frame="1"/>
          <w:lang w:eastAsia="en-GB"/>
        </w:rPr>
        <w:t>and destroyed</w:t>
      </w:r>
      <w:r w:rsidR="00100FA9" w:rsidRPr="00FC64B4">
        <w:rPr>
          <w:rFonts w:cs="Times New Roman"/>
          <w:szCs w:val="22"/>
          <w:bdr w:val="none" w:sz="0" w:space="0" w:color="auto" w:frame="1"/>
          <w:lang w:eastAsia="en-GB"/>
        </w:rPr>
        <w:t xml:space="preserve"> 324 tonnes </w:t>
      </w:r>
      <w:r>
        <w:rPr>
          <w:rFonts w:cs="Times New Roman"/>
          <w:szCs w:val="22"/>
          <w:bdr w:val="none" w:sz="0" w:space="0" w:color="auto" w:frame="1"/>
          <w:lang w:eastAsia="en-GB"/>
        </w:rPr>
        <w:t xml:space="preserve">of waste refrigerant. RRA paid rebates on a </w:t>
      </w:r>
      <w:r w:rsidR="00100FA9" w:rsidRPr="00FC64B4">
        <w:rPr>
          <w:rFonts w:cs="Times New Roman"/>
          <w:szCs w:val="22"/>
          <w:bdr w:val="none" w:sz="0" w:space="0" w:color="auto" w:frame="1"/>
          <w:lang w:eastAsia="en-GB"/>
        </w:rPr>
        <w:t>furthe</w:t>
      </w:r>
      <w:r w:rsidR="005E4A63">
        <w:rPr>
          <w:rFonts w:cs="Times New Roman"/>
          <w:szCs w:val="22"/>
          <w:bdr w:val="none" w:sz="0" w:space="0" w:color="auto" w:frame="1"/>
          <w:lang w:eastAsia="en-GB"/>
        </w:rPr>
        <w:t xml:space="preserve">r 172 tonnes that </w:t>
      </w:r>
      <w:r w:rsidR="00FE74F2">
        <w:rPr>
          <w:rFonts w:cs="Times New Roman"/>
          <w:szCs w:val="22"/>
          <w:bdr w:val="none" w:sz="0" w:space="0" w:color="auto" w:frame="1"/>
          <w:lang w:eastAsia="en-GB"/>
        </w:rPr>
        <w:t>was</w:t>
      </w:r>
      <w:r w:rsidR="005E4A63">
        <w:rPr>
          <w:rFonts w:cs="Times New Roman"/>
          <w:szCs w:val="22"/>
          <w:bdr w:val="none" w:sz="0" w:space="0" w:color="auto" w:frame="1"/>
          <w:lang w:eastAsia="en-GB"/>
        </w:rPr>
        <w:t xml:space="preserve"> reprocessed</w:t>
      </w:r>
      <w:r w:rsidR="00100FA9" w:rsidRPr="00FC64B4">
        <w:rPr>
          <w:rFonts w:cs="Times New Roman"/>
          <w:szCs w:val="22"/>
          <w:bdr w:val="none" w:sz="0" w:space="0" w:color="auto" w:frame="1"/>
          <w:lang w:eastAsia="en-GB"/>
        </w:rPr>
        <w:t xml:space="preserve"> to </w:t>
      </w:r>
      <w:r w:rsidR="005E4A63">
        <w:rPr>
          <w:rFonts w:cs="Times New Roman"/>
          <w:szCs w:val="22"/>
          <w:bdr w:val="none" w:sz="0" w:space="0" w:color="auto" w:frame="1"/>
          <w:lang w:eastAsia="en-GB"/>
        </w:rPr>
        <w:t>‘as-</w:t>
      </w:r>
      <w:r w:rsidR="00100FA9" w:rsidRPr="00FC64B4">
        <w:rPr>
          <w:rFonts w:cs="Times New Roman"/>
          <w:szCs w:val="22"/>
          <w:bdr w:val="none" w:sz="0" w:space="0" w:color="auto" w:frame="1"/>
          <w:lang w:eastAsia="en-GB"/>
        </w:rPr>
        <w:t>new</w:t>
      </w:r>
      <w:r w:rsidR="005E4A63">
        <w:rPr>
          <w:rFonts w:cs="Times New Roman"/>
          <w:szCs w:val="22"/>
          <w:bdr w:val="none" w:sz="0" w:space="0" w:color="auto" w:frame="1"/>
          <w:lang w:eastAsia="en-GB"/>
        </w:rPr>
        <w:t>’</w:t>
      </w:r>
      <w:r w:rsidR="00100FA9" w:rsidRPr="00FC64B4">
        <w:rPr>
          <w:rFonts w:cs="Times New Roman"/>
          <w:szCs w:val="22"/>
          <w:bdr w:val="none" w:sz="0" w:space="0" w:color="auto" w:frame="1"/>
          <w:lang w:eastAsia="en-GB"/>
        </w:rPr>
        <w:t xml:space="preserve"> specification</w:t>
      </w:r>
      <w:r w:rsidR="004D352C">
        <w:rPr>
          <w:rFonts w:cs="Times New Roman"/>
          <w:szCs w:val="22"/>
          <w:bdr w:val="none" w:sz="0" w:space="0" w:color="auto" w:frame="1"/>
          <w:lang w:eastAsia="en-GB"/>
        </w:rPr>
        <w:t xml:space="preserve"> by others</w:t>
      </w:r>
      <w:r w:rsidR="00100FA9" w:rsidRPr="00FC64B4">
        <w:rPr>
          <w:rFonts w:cs="Times New Roman"/>
          <w:szCs w:val="22"/>
          <w:bdr w:val="none" w:sz="0" w:space="0" w:color="auto" w:frame="1"/>
          <w:lang w:eastAsia="en-GB"/>
        </w:rPr>
        <w:t xml:space="preserve">. RRA takes back all recovered refrigerant presented to it by the market and to ensure the long-term viability of the recovery program it is necessary for RRA to carefully forecast returns, budget costs, and calculate the required funding. </w:t>
      </w:r>
      <w:r w:rsidR="00E5701B">
        <w:rPr>
          <w:rFonts w:cs="Times New Roman"/>
          <w:i/>
          <w:szCs w:val="22"/>
          <w:bdr w:val="none" w:sz="0" w:space="0" w:color="auto" w:frame="1"/>
          <w:lang w:eastAsia="en-GB"/>
        </w:rPr>
        <w:t>Figure 5</w:t>
      </w:r>
      <w:r w:rsidR="0023612A">
        <w:rPr>
          <w:rFonts w:cs="Times New Roman"/>
          <w:i/>
          <w:szCs w:val="22"/>
          <w:bdr w:val="none" w:sz="0" w:space="0" w:color="auto" w:frame="1"/>
          <w:lang w:eastAsia="en-GB"/>
        </w:rPr>
        <w:t>0</w:t>
      </w:r>
      <w:r w:rsidR="00100FA9">
        <w:rPr>
          <w:rFonts w:cs="Times New Roman"/>
          <w:szCs w:val="22"/>
          <w:bdr w:val="none" w:sz="0" w:space="0" w:color="auto" w:frame="1"/>
          <w:lang w:eastAsia="en-GB"/>
        </w:rPr>
        <w:t xml:space="preserve"> provides an illustration of the</w:t>
      </w:r>
      <w:r w:rsidR="005E4A63">
        <w:rPr>
          <w:rFonts w:cs="Times New Roman"/>
          <w:szCs w:val="22"/>
          <w:bdr w:val="none" w:sz="0" w:space="0" w:color="auto" w:frame="1"/>
          <w:lang w:eastAsia="en-GB"/>
        </w:rPr>
        <w:t xml:space="preserve"> CFCs, HCFCs and HFCs recovered from 2010 to 2016 and</w:t>
      </w:r>
      <w:r w:rsidR="00100FA9">
        <w:rPr>
          <w:rFonts w:cs="Times New Roman"/>
          <w:szCs w:val="22"/>
          <w:bdr w:val="none" w:sz="0" w:space="0" w:color="auto" w:frame="1"/>
          <w:lang w:eastAsia="en-GB"/>
        </w:rPr>
        <w:t xml:space="preserve"> including the </w:t>
      </w:r>
      <w:r w:rsidR="00100FA9" w:rsidRPr="00FC64B4">
        <w:rPr>
          <w:rFonts w:cs="Times New Roman"/>
          <w:szCs w:val="22"/>
          <w:bdr w:val="none" w:sz="0" w:space="0" w:color="auto" w:frame="1"/>
          <w:lang w:eastAsia="en-GB"/>
        </w:rPr>
        <w:t xml:space="preserve">172 tonnes </w:t>
      </w:r>
      <w:r w:rsidR="00100FA9">
        <w:rPr>
          <w:rFonts w:cs="Times New Roman"/>
          <w:szCs w:val="22"/>
          <w:bdr w:val="none" w:sz="0" w:space="0" w:color="auto" w:frame="1"/>
          <w:lang w:eastAsia="en-GB"/>
        </w:rPr>
        <w:t xml:space="preserve">of HCFC-22 </w:t>
      </w:r>
      <w:r w:rsidR="00100FA9" w:rsidRPr="00FC64B4">
        <w:rPr>
          <w:rFonts w:cs="Times New Roman"/>
          <w:szCs w:val="22"/>
          <w:bdr w:val="none" w:sz="0" w:space="0" w:color="auto" w:frame="1"/>
          <w:lang w:eastAsia="en-GB"/>
        </w:rPr>
        <w:t xml:space="preserve">that </w:t>
      </w:r>
      <w:r w:rsidR="000F2890">
        <w:rPr>
          <w:rFonts w:cs="Times New Roman"/>
          <w:szCs w:val="22"/>
          <w:bdr w:val="none" w:sz="0" w:space="0" w:color="auto" w:frame="1"/>
          <w:lang w:eastAsia="en-GB"/>
        </w:rPr>
        <w:t>was</w:t>
      </w:r>
      <w:r w:rsidR="00100FA9" w:rsidRPr="00FC64B4">
        <w:rPr>
          <w:rFonts w:cs="Times New Roman"/>
          <w:szCs w:val="22"/>
          <w:bdr w:val="none" w:sz="0" w:space="0" w:color="auto" w:frame="1"/>
          <w:lang w:eastAsia="en-GB"/>
        </w:rPr>
        <w:t xml:space="preserve"> reclaimed to new specification</w:t>
      </w:r>
      <w:r w:rsidR="005E4A63">
        <w:rPr>
          <w:rFonts w:cs="Times New Roman"/>
          <w:szCs w:val="22"/>
          <w:bdr w:val="none" w:sz="0" w:space="0" w:color="auto" w:frame="1"/>
          <w:lang w:eastAsia="en-GB"/>
        </w:rPr>
        <w:t xml:space="preserve"> in 2016</w:t>
      </w:r>
      <w:r w:rsidR="00100FA9">
        <w:rPr>
          <w:rFonts w:cs="Times New Roman"/>
          <w:szCs w:val="22"/>
          <w:bdr w:val="none" w:sz="0" w:space="0" w:color="auto" w:frame="1"/>
          <w:lang w:eastAsia="en-GB"/>
        </w:rPr>
        <w:t>.</w:t>
      </w:r>
      <w:r w:rsidR="005E4A63">
        <w:rPr>
          <w:rFonts w:cs="Times New Roman"/>
          <w:szCs w:val="22"/>
          <w:bdr w:val="none" w:sz="0" w:space="0" w:color="auto" w:frame="1"/>
          <w:lang w:eastAsia="en-GB"/>
        </w:rPr>
        <w:t xml:space="preserve"> Recovered HCFCs in the early years of the period illustrated </w:t>
      </w:r>
      <w:r w:rsidR="00FE74F2">
        <w:rPr>
          <w:rFonts w:cs="Times New Roman"/>
          <w:szCs w:val="22"/>
          <w:bdr w:val="none" w:sz="0" w:space="0" w:color="auto" w:frame="1"/>
          <w:lang w:eastAsia="en-GB"/>
        </w:rPr>
        <w:t>are</w:t>
      </w:r>
      <w:r w:rsidR="005E4A63">
        <w:rPr>
          <w:rFonts w:cs="Times New Roman"/>
          <w:szCs w:val="22"/>
          <w:bdr w:val="none" w:sz="0" w:space="0" w:color="auto" w:frame="1"/>
          <w:lang w:eastAsia="en-GB"/>
        </w:rPr>
        <w:t xml:space="preserve"> more likely to have been destroyed than recovered for reprocessing.</w:t>
      </w:r>
    </w:p>
    <w:p w14:paraId="318995C6" w14:textId="6C5AD150" w:rsidR="00100FA9" w:rsidRPr="00FC64B4" w:rsidRDefault="00100FA9" w:rsidP="00100FA9">
      <w:pPr>
        <w:snapToGrid w:val="0"/>
        <w:textAlignment w:val="baseline"/>
        <w:rPr>
          <w:rFonts w:cs="Times New Roman"/>
          <w:szCs w:val="22"/>
          <w:bdr w:val="none" w:sz="0" w:space="0" w:color="auto" w:frame="1"/>
          <w:lang w:eastAsia="en-GB"/>
        </w:rPr>
      </w:pPr>
      <w:r w:rsidRPr="00FC64B4">
        <w:rPr>
          <w:rFonts w:cs="Times New Roman"/>
          <w:szCs w:val="22"/>
          <w:bdr w:val="none" w:sz="0" w:space="0" w:color="auto" w:frame="1"/>
          <w:lang w:eastAsia="en-GB"/>
        </w:rPr>
        <w:t xml:space="preserve">RRA estimates its recovery effectiveness between 50% and 70%, depending on the volume available for recovery. This is calculated on the </w:t>
      </w:r>
      <w:r w:rsidR="005E4A63">
        <w:rPr>
          <w:rFonts w:cs="Times New Roman"/>
          <w:szCs w:val="22"/>
          <w:bdr w:val="none" w:sz="0" w:space="0" w:color="auto" w:frame="1"/>
          <w:lang w:eastAsia="en-GB"/>
        </w:rPr>
        <w:t>estimated volume</w:t>
      </w:r>
      <w:r w:rsidRPr="00FC64B4">
        <w:rPr>
          <w:rFonts w:cs="Times New Roman"/>
          <w:szCs w:val="22"/>
          <w:bdr w:val="none" w:sz="0" w:space="0" w:color="auto" w:frame="1"/>
          <w:lang w:eastAsia="en-GB"/>
        </w:rPr>
        <w:t xml:space="preserve"> of refrigerant available for recovery being between 1,</w:t>
      </w:r>
      <w:r w:rsidR="00700720">
        <w:rPr>
          <w:rFonts w:cs="Times New Roman"/>
          <w:szCs w:val="22"/>
          <w:bdr w:val="none" w:sz="0" w:space="0" w:color="auto" w:frame="1"/>
          <w:lang w:eastAsia="en-GB"/>
        </w:rPr>
        <w:t>700</w:t>
      </w:r>
      <w:r w:rsidRPr="00FC64B4">
        <w:rPr>
          <w:rFonts w:cs="Times New Roman"/>
          <w:szCs w:val="22"/>
          <w:bdr w:val="none" w:sz="0" w:space="0" w:color="auto" w:frame="1"/>
          <w:lang w:eastAsia="en-GB"/>
        </w:rPr>
        <w:t xml:space="preserve"> and 2,550 tonnes, while the range for retention and reuse is between 1,</w:t>
      </w:r>
      <w:r w:rsidR="00700720">
        <w:rPr>
          <w:rFonts w:cs="Times New Roman"/>
          <w:szCs w:val="22"/>
          <w:bdr w:val="none" w:sz="0" w:space="0" w:color="auto" w:frame="1"/>
          <w:lang w:eastAsia="en-GB"/>
        </w:rPr>
        <w:t>000</w:t>
      </w:r>
      <w:r w:rsidRPr="00FC64B4">
        <w:rPr>
          <w:rFonts w:cs="Times New Roman"/>
          <w:szCs w:val="22"/>
          <w:bdr w:val="none" w:sz="0" w:space="0" w:color="auto" w:frame="1"/>
          <w:lang w:eastAsia="en-GB"/>
        </w:rPr>
        <w:t xml:space="preserve"> and </w:t>
      </w:r>
      <w:r w:rsidR="00700720">
        <w:rPr>
          <w:rFonts w:cs="Times New Roman"/>
          <w:szCs w:val="22"/>
          <w:bdr w:val="none" w:sz="0" w:space="0" w:color="auto" w:frame="1"/>
          <w:lang w:eastAsia="en-GB"/>
        </w:rPr>
        <w:t>1,550</w:t>
      </w:r>
      <w:r w:rsidRPr="00FC64B4">
        <w:rPr>
          <w:rFonts w:cs="Times New Roman"/>
          <w:szCs w:val="22"/>
          <w:bdr w:val="none" w:sz="0" w:space="0" w:color="auto" w:frame="1"/>
          <w:lang w:eastAsia="en-GB"/>
        </w:rPr>
        <w:t xml:space="preserve"> tonnes.</w:t>
      </w:r>
    </w:p>
    <w:p w14:paraId="06439D42" w14:textId="1AA91793" w:rsidR="00100FA9" w:rsidRPr="00FC64B4" w:rsidRDefault="00100FA9" w:rsidP="00100FA9">
      <w:pPr>
        <w:snapToGrid w:val="0"/>
        <w:textAlignment w:val="baseline"/>
        <w:rPr>
          <w:rFonts w:cs="Times New Roman"/>
          <w:szCs w:val="22"/>
          <w:bdr w:val="none" w:sz="0" w:space="0" w:color="auto" w:frame="1"/>
          <w:lang w:eastAsia="en-GB"/>
        </w:rPr>
      </w:pPr>
      <w:r w:rsidRPr="00FC64B4">
        <w:rPr>
          <w:rFonts w:cs="Times New Roman"/>
          <w:szCs w:val="22"/>
        </w:rPr>
        <w:t xml:space="preserve">The volumetric range used by RRA is consistent with the </w:t>
      </w:r>
      <w:r w:rsidR="007A1335">
        <w:rPr>
          <w:rFonts w:cs="Times New Roman"/>
          <w:szCs w:val="22"/>
          <w:bdr w:val="none" w:sz="0" w:space="0" w:color="auto" w:frame="1"/>
          <w:lang w:eastAsia="en-GB"/>
        </w:rPr>
        <w:t>CHF3 RAC Stock model</w:t>
      </w:r>
      <w:r w:rsidRPr="00FC64B4">
        <w:rPr>
          <w:rFonts w:cs="Times New Roman"/>
          <w:szCs w:val="22"/>
          <w:bdr w:val="none" w:sz="0" w:space="0" w:color="auto" w:frame="1"/>
          <w:lang w:eastAsia="en-GB"/>
        </w:rPr>
        <w:t xml:space="preserve"> that estimates EOL emissions totalled more than 1,990 tonnes of all types of refrigerants, equivalent to more than 3.6 million tonnes of CO</w:t>
      </w:r>
      <w:r w:rsidRPr="00FC64B4">
        <w:rPr>
          <w:rFonts w:cs="Times New Roman"/>
          <w:szCs w:val="22"/>
          <w:bdr w:val="none" w:sz="0" w:space="0" w:color="auto" w:frame="1"/>
          <w:vertAlign w:val="subscript"/>
          <w:lang w:eastAsia="en-GB"/>
        </w:rPr>
        <w:t>2</w:t>
      </w:r>
      <w:r w:rsidRPr="00FC64B4">
        <w:rPr>
          <w:rFonts w:cs="Times New Roman"/>
          <w:szCs w:val="22"/>
          <w:bdr w:val="none" w:sz="0" w:space="0" w:color="auto" w:frame="1"/>
          <w:lang w:eastAsia="en-GB"/>
        </w:rPr>
        <w:t xml:space="preserve"> (</w:t>
      </w:r>
      <w:r w:rsidRPr="00FC64B4">
        <w:rPr>
          <w:rFonts w:cs="Times New Roman"/>
          <w:i/>
          <w:szCs w:val="22"/>
          <w:bdr w:val="none" w:sz="0" w:space="0" w:color="auto" w:frame="1"/>
          <w:lang w:eastAsia="en-GB"/>
        </w:rPr>
        <w:t>CHF2 1,700 tonnes, 2.7 million tonnes CO</w:t>
      </w:r>
      <w:r w:rsidRPr="00FC64B4">
        <w:rPr>
          <w:rFonts w:cs="Times New Roman"/>
          <w:i/>
          <w:szCs w:val="22"/>
          <w:bdr w:val="none" w:sz="0" w:space="0" w:color="auto" w:frame="1"/>
          <w:vertAlign w:val="subscript"/>
          <w:lang w:eastAsia="en-GB"/>
        </w:rPr>
        <w:t>2</w:t>
      </w:r>
      <w:r w:rsidRPr="00FC64B4">
        <w:rPr>
          <w:rFonts w:cs="Times New Roman"/>
          <w:i/>
          <w:szCs w:val="22"/>
          <w:bdr w:val="none" w:sz="0" w:space="0" w:color="auto" w:frame="1"/>
          <w:lang w:eastAsia="en-GB"/>
        </w:rPr>
        <w:t>e</w:t>
      </w:r>
      <w:r w:rsidRPr="00FC64B4">
        <w:rPr>
          <w:rFonts w:cs="Times New Roman"/>
          <w:szCs w:val="22"/>
          <w:bdr w:val="none" w:sz="0" w:space="0" w:color="auto" w:frame="1"/>
          <w:lang w:eastAsia="en-GB"/>
        </w:rPr>
        <w:t>).</w:t>
      </w:r>
    </w:p>
    <w:p w14:paraId="441E666F" w14:textId="77777777" w:rsidR="00100FA9" w:rsidRPr="008504FD" w:rsidRDefault="00100FA9" w:rsidP="00100FA9">
      <w:pPr>
        <w:snapToGrid w:val="0"/>
        <w:rPr>
          <w:rFonts w:cs="Times New Roman"/>
          <w:szCs w:val="22"/>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36"/>
      </w:tblGrid>
      <w:tr w:rsidR="00100FA9" w:rsidRPr="008504FD" w14:paraId="5F03A068" w14:textId="77777777" w:rsidTr="005E4A63">
        <w:tc>
          <w:tcPr>
            <w:tcW w:w="9214" w:type="dxa"/>
            <w:vAlign w:val="center"/>
          </w:tcPr>
          <w:p w14:paraId="5D4C9BD8" w14:textId="39618B94" w:rsidR="00100FA9" w:rsidRPr="008504FD" w:rsidRDefault="00100FA9" w:rsidP="005E4A63">
            <w:pPr>
              <w:snapToGrid w:val="0"/>
              <w:spacing w:after="120"/>
              <w:jc w:val="center"/>
              <w:rPr>
                <w:rFonts w:cs="Times New Roman"/>
                <w:b/>
                <w:szCs w:val="22"/>
              </w:rPr>
            </w:pPr>
            <w:r w:rsidRPr="008504FD">
              <w:rPr>
                <w:rFonts w:cs="Times New Roman"/>
                <w:b/>
                <w:szCs w:val="22"/>
              </w:rPr>
              <w:br w:type="page"/>
            </w:r>
            <w:r w:rsidR="006002E4">
              <w:rPr>
                <w:rFonts w:cs="Times New Roman"/>
                <w:b/>
                <w:szCs w:val="22"/>
              </w:rPr>
              <w:t>Refrigerant r</w:t>
            </w:r>
            <w:r>
              <w:rPr>
                <w:rFonts w:cs="Times New Roman"/>
                <w:b/>
                <w:szCs w:val="22"/>
              </w:rPr>
              <w:t xml:space="preserve">ecovered by RRA from 2010 to 2016 </w:t>
            </w:r>
            <w:r w:rsidR="006002E4">
              <w:rPr>
                <w:rFonts w:cs="Times New Roman"/>
                <w:b/>
                <w:szCs w:val="22"/>
              </w:rPr>
              <w:t>(t</w:t>
            </w:r>
            <w:r w:rsidRPr="008504FD">
              <w:rPr>
                <w:rFonts w:cs="Times New Roman"/>
                <w:b/>
                <w:szCs w:val="22"/>
              </w:rPr>
              <w:t>onnes)</w:t>
            </w:r>
          </w:p>
        </w:tc>
      </w:tr>
      <w:tr w:rsidR="00100FA9" w:rsidRPr="008504FD" w14:paraId="438063CF" w14:textId="77777777" w:rsidTr="005E4A63">
        <w:tc>
          <w:tcPr>
            <w:tcW w:w="9214" w:type="dxa"/>
            <w:vAlign w:val="center"/>
          </w:tcPr>
          <w:p w14:paraId="292DA80C" w14:textId="77777777" w:rsidR="00100FA9" w:rsidRPr="008504FD" w:rsidRDefault="00100FA9" w:rsidP="005E4A63">
            <w:pPr>
              <w:spacing w:before="60" w:after="60"/>
              <w:jc w:val="center"/>
              <w:rPr>
                <w:rFonts w:cs="Times New Roman"/>
                <w:sz w:val="16"/>
                <w:szCs w:val="16"/>
              </w:rPr>
            </w:pPr>
          </w:p>
          <w:p w14:paraId="5794AE46" w14:textId="77777777" w:rsidR="00100FA9" w:rsidRPr="008504FD" w:rsidRDefault="00100FA9" w:rsidP="005E4A63">
            <w:pPr>
              <w:spacing w:before="60" w:after="60"/>
              <w:jc w:val="center"/>
              <w:rPr>
                <w:rFonts w:cs="Times New Roman"/>
                <w:sz w:val="16"/>
                <w:szCs w:val="16"/>
              </w:rPr>
            </w:pPr>
            <w:r>
              <w:rPr>
                <w:noProof/>
                <w:lang w:val="en-AU" w:eastAsia="en-AU"/>
              </w:rPr>
              <w:drawing>
                <wp:inline distT="0" distB="0" distL="0" distR="0" wp14:anchorId="0A93D99C" wp14:editId="650FF6A2">
                  <wp:extent cx="5727700" cy="217995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7700" cy="2179955"/>
                          </a:xfrm>
                          <a:prstGeom prst="rect">
                            <a:avLst/>
                          </a:prstGeom>
                        </pic:spPr>
                      </pic:pic>
                    </a:graphicData>
                  </a:graphic>
                </wp:inline>
              </w:drawing>
            </w:r>
          </w:p>
          <w:p w14:paraId="7DEE8C11" w14:textId="77777777" w:rsidR="00100FA9" w:rsidRPr="008504FD" w:rsidRDefault="00100FA9" w:rsidP="005E4A63">
            <w:pPr>
              <w:spacing w:before="60" w:after="60"/>
              <w:jc w:val="center"/>
              <w:rPr>
                <w:rFonts w:cs="Times New Roman"/>
                <w:sz w:val="16"/>
                <w:szCs w:val="16"/>
              </w:rPr>
            </w:pPr>
          </w:p>
        </w:tc>
      </w:tr>
      <w:tr w:rsidR="00100FA9" w:rsidRPr="008504FD" w14:paraId="2153A272" w14:textId="77777777" w:rsidTr="005E4A63">
        <w:tc>
          <w:tcPr>
            <w:tcW w:w="9214" w:type="dxa"/>
            <w:vAlign w:val="center"/>
          </w:tcPr>
          <w:p w14:paraId="2F81CAF3" w14:textId="3BB97226" w:rsidR="00100FA9" w:rsidRPr="0023612A" w:rsidRDefault="0023612A" w:rsidP="0023612A">
            <w:pPr>
              <w:pStyle w:val="Caption"/>
              <w:rPr>
                <w:szCs w:val="22"/>
              </w:rPr>
            </w:pPr>
            <w:bookmarkStart w:id="161" w:name="_Toc525141381"/>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50</w:t>
            </w:r>
            <w:r w:rsidR="009D6843">
              <w:rPr>
                <w:noProof/>
              </w:rPr>
              <w:fldChar w:fldCharType="end"/>
            </w:r>
            <w:r w:rsidR="006002E4" w:rsidRPr="0023612A">
              <w:rPr>
                <w:szCs w:val="22"/>
              </w:rPr>
              <w:t>: Refrigerant r</w:t>
            </w:r>
            <w:r w:rsidR="00100FA9" w:rsidRPr="0023612A">
              <w:rPr>
                <w:szCs w:val="22"/>
              </w:rPr>
              <w:t>ecovered by RRA by major species from 2010 to 2016 in tonnes.</w:t>
            </w:r>
            <w:bookmarkEnd w:id="161"/>
            <w:r w:rsidR="00100FA9" w:rsidRPr="0023612A">
              <w:rPr>
                <w:szCs w:val="22"/>
              </w:rPr>
              <w:t xml:space="preserve"> </w:t>
            </w:r>
          </w:p>
        </w:tc>
      </w:tr>
    </w:tbl>
    <w:p w14:paraId="208BC4E9" w14:textId="77777777" w:rsidR="00100FA9" w:rsidRPr="008504FD" w:rsidRDefault="00100FA9" w:rsidP="00100FA9">
      <w:pPr>
        <w:snapToGrid w:val="0"/>
        <w:spacing w:before="60"/>
        <w:rPr>
          <w:rFonts w:cs="Times New Roman"/>
          <w:noProof/>
          <w:sz w:val="20"/>
          <w:szCs w:val="20"/>
          <w:lang w:eastAsia="en-AU"/>
        </w:rPr>
      </w:pPr>
      <w:r w:rsidRPr="008504FD">
        <w:rPr>
          <w:rFonts w:cs="Times New Roman"/>
          <w:noProof/>
          <w:sz w:val="20"/>
          <w:szCs w:val="20"/>
          <w:lang w:eastAsia="en-AU"/>
        </w:rPr>
        <w:t xml:space="preserve">Notes: </w:t>
      </w:r>
    </w:p>
    <w:p w14:paraId="2D0DDBCA" w14:textId="77777777" w:rsidR="00100FA9" w:rsidRDefault="00100FA9" w:rsidP="00FC735C">
      <w:pPr>
        <w:pStyle w:val="ListParagraph"/>
        <w:numPr>
          <w:ilvl w:val="0"/>
          <w:numId w:val="50"/>
        </w:numPr>
        <w:snapToGrid w:val="0"/>
        <w:spacing w:before="60" w:after="0" w:line="240" w:lineRule="auto"/>
        <w:contextualSpacing w:val="0"/>
        <w:jc w:val="both"/>
        <w:rPr>
          <w:rFonts w:ascii="Times New Roman" w:hAnsi="Times New Roman"/>
          <w:noProof/>
          <w:sz w:val="20"/>
          <w:szCs w:val="20"/>
          <w:lang w:eastAsia="en-AU"/>
        </w:rPr>
      </w:pPr>
      <w:r>
        <w:rPr>
          <w:rFonts w:ascii="Times New Roman" w:hAnsi="Times New Roman"/>
          <w:noProof/>
          <w:sz w:val="20"/>
          <w:szCs w:val="20"/>
          <w:lang w:eastAsia="en-AU"/>
        </w:rPr>
        <w:t>CFCs includes CFC-11, CFC-12 and CFC115</w:t>
      </w:r>
      <w:r w:rsidRPr="008504FD">
        <w:rPr>
          <w:rFonts w:ascii="Times New Roman" w:hAnsi="Times New Roman"/>
          <w:noProof/>
          <w:sz w:val="20"/>
          <w:szCs w:val="20"/>
          <w:lang w:eastAsia="en-AU"/>
        </w:rPr>
        <w:t>.</w:t>
      </w:r>
    </w:p>
    <w:p w14:paraId="07B59041" w14:textId="77777777" w:rsidR="00100FA9" w:rsidRDefault="00100FA9" w:rsidP="00FC735C">
      <w:pPr>
        <w:pStyle w:val="ListParagraph"/>
        <w:numPr>
          <w:ilvl w:val="0"/>
          <w:numId w:val="50"/>
        </w:numPr>
        <w:snapToGrid w:val="0"/>
        <w:spacing w:before="60" w:after="0" w:line="240" w:lineRule="auto"/>
        <w:contextualSpacing w:val="0"/>
        <w:jc w:val="both"/>
        <w:rPr>
          <w:rFonts w:ascii="Times New Roman" w:hAnsi="Times New Roman"/>
          <w:noProof/>
          <w:sz w:val="20"/>
          <w:szCs w:val="20"/>
          <w:lang w:eastAsia="en-AU"/>
        </w:rPr>
      </w:pPr>
      <w:r>
        <w:rPr>
          <w:rFonts w:ascii="Times New Roman" w:hAnsi="Times New Roman"/>
          <w:noProof/>
          <w:sz w:val="20"/>
          <w:szCs w:val="20"/>
          <w:lang w:eastAsia="en-AU"/>
        </w:rPr>
        <w:t>HCFC-mix is HCFC-124.</w:t>
      </w:r>
    </w:p>
    <w:p w14:paraId="5B6BC61C" w14:textId="77777777" w:rsidR="00100FA9" w:rsidRDefault="00100FA9" w:rsidP="00FC735C">
      <w:pPr>
        <w:pStyle w:val="ListParagraph"/>
        <w:numPr>
          <w:ilvl w:val="0"/>
          <w:numId w:val="50"/>
        </w:numPr>
        <w:snapToGrid w:val="0"/>
        <w:spacing w:before="60" w:after="0" w:line="240" w:lineRule="auto"/>
        <w:contextualSpacing w:val="0"/>
        <w:jc w:val="both"/>
        <w:rPr>
          <w:rFonts w:ascii="Times New Roman" w:hAnsi="Times New Roman"/>
          <w:noProof/>
          <w:sz w:val="20"/>
          <w:szCs w:val="20"/>
          <w:lang w:eastAsia="en-AU"/>
        </w:rPr>
      </w:pPr>
      <w:r>
        <w:rPr>
          <w:rFonts w:ascii="Times New Roman" w:hAnsi="Times New Roman"/>
          <w:noProof/>
          <w:sz w:val="20"/>
          <w:szCs w:val="20"/>
          <w:lang w:eastAsia="en-AU"/>
        </w:rPr>
        <w:t>HFC-mix comprises HFC-125, FHC-32, HFC-143A and HFC-23.</w:t>
      </w:r>
    </w:p>
    <w:p w14:paraId="509BF85D" w14:textId="731CD1FC" w:rsidR="00100FA9" w:rsidRDefault="00100FA9" w:rsidP="00FC735C">
      <w:pPr>
        <w:pStyle w:val="ListParagraph"/>
        <w:numPr>
          <w:ilvl w:val="0"/>
          <w:numId w:val="50"/>
        </w:numPr>
        <w:snapToGrid w:val="0"/>
        <w:spacing w:before="60" w:after="0" w:line="240" w:lineRule="auto"/>
        <w:contextualSpacing w:val="0"/>
        <w:jc w:val="both"/>
        <w:rPr>
          <w:rFonts w:ascii="Times New Roman" w:hAnsi="Times New Roman"/>
          <w:noProof/>
          <w:sz w:val="20"/>
          <w:szCs w:val="20"/>
          <w:lang w:eastAsia="en-AU"/>
        </w:rPr>
      </w:pPr>
      <w:r>
        <w:rPr>
          <w:rFonts w:ascii="Times New Roman" w:hAnsi="Times New Roman"/>
          <w:noProof/>
          <w:sz w:val="20"/>
          <w:szCs w:val="20"/>
          <w:lang w:eastAsia="en-AU"/>
        </w:rPr>
        <w:t xml:space="preserve">The HCFC volumes includes refrigerant </w:t>
      </w:r>
      <w:r w:rsidRPr="00764192">
        <w:rPr>
          <w:rFonts w:ascii="Times New Roman" w:hAnsi="Times New Roman"/>
          <w:noProof/>
          <w:sz w:val="20"/>
          <w:szCs w:val="20"/>
          <w:lang w:eastAsia="en-AU"/>
        </w:rPr>
        <w:t>reclaimed to new specification</w:t>
      </w:r>
      <w:r>
        <w:rPr>
          <w:rFonts w:ascii="Times New Roman" w:hAnsi="Times New Roman"/>
          <w:noProof/>
          <w:sz w:val="20"/>
          <w:szCs w:val="20"/>
          <w:lang w:eastAsia="en-AU"/>
        </w:rPr>
        <w:t>.</w:t>
      </w:r>
    </w:p>
    <w:p w14:paraId="315D221F" w14:textId="53E0DD5E" w:rsidR="00AA0FF7" w:rsidRDefault="00AA0FF7" w:rsidP="00AA0FF7">
      <w:pPr>
        <w:pStyle w:val="Heading1"/>
      </w:pPr>
      <w:bookmarkStart w:id="162" w:name="_Toc525141299"/>
      <w:r>
        <w:t xml:space="preserve">Energy and </w:t>
      </w:r>
      <w:r w:rsidR="006002E4">
        <w:t>i</w:t>
      </w:r>
      <w:r w:rsidR="000A533E">
        <w:t xml:space="preserve">ndirect </w:t>
      </w:r>
      <w:r w:rsidR="006002E4">
        <w:t>e</w:t>
      </w:r>
      <w:r>
        <w:t>missions</w:t>
      </w:r>
      <w:bookmarkEnd w:id="162"/>
    </w:p>
    <w:p w14:paraId="3A2A2061" w14:textId="6B389D1A" w:rsidR="00B861D9" w:rsidRPr="004D267E" w:rsidRDefault="006002E4" w:rsidP="00B861D9">
      <w:pPr>
        <w:pStyle w:val="Heading2"/>
      </w:pPr>
      <w:bookmarkStart w:id="163" w:name="_Toc525141300"/>
      <w:r>
        <w:t>National e</w:t>
      </w:r>
      <w:r w:rsidR="00B861D9" w:rsidRPr="004D267E">
        <w:t xml:space="preserve">nergy </w:t>
      </w:r>
      <w:r>
        <w:t>c</w:t>
      </w:r>
      <w:r w:rsidR="00B861D9" w:rsidRPr="004D267E">
        <w:t>onsumption</w:t>
      </w:r>
      <w:bookmarkEnd w:id="163"/>
    </w:p>
    <w:p w14:paraId="7D290DDD" w14:textId="4C8B6CE0" w:rsidR="00B861D9" w:rsidRDefault="00B861D9" w:rsidP="00B861D9">
      <w:pPr>
        <w:rPr>
          <w:szCs w:val="22"/>
        </w:rPr>
      </w:pPr>
      <w:r w:rsidRPr="00BE78D9">
        <w:rPr>
          <w:szCs w:val="22"/>
        </w:rPr>
        <w:t xml:space="preserve">RAC services are a major </w:t>
      </w:r>
      <w:r>
        <w:rPr>
          <w:szCs w:val="22"/>
        </w:rPr>
        <w:t xml:space="preserve">consumer of electricity and, given the scale of the stock of equipment employed to deliver cooling services, electricity demand to fuel RAC services </w:t>
      </w:r>
      <w:r w:rsidR="0025650B">
        <w:rPr>
          <w:szCs w:val="22"/>
        </w:rPr>
        <w:t xml:space="preserve">is </w:t>
      </w:r>
      <w:r>
        <w:rPr>
          <w:szCs w:val="22"/>
        </w:rPr>
        <w:t xml:space="preserve">a significant </w:t>
      </w:r>
      <w:r w:rsidRPr="00BE78D9">
        <w:rPr>
          <w:szCs w:val="22"/>
        </w:rPr>
        <w:t xml:space="preserve">feature of the Australian energy economy. </w:t>
      </w:r>
    </w:p>
    <w:p w14:paraId="2B05D551" w14:textId="2E37AF4E" w:rsidR="00B861D9" w:rsidRDefault="00B861D9" w:rsidP="00B861D9">
      <w:pPr>
        <w:rPr>
          <w:szCs w:val="22"/>
        </w:rPr>
      </w:pPr>
      <w:r>
        <w:rPr>
          <w:szCs w:val="22"/>
        </w:rPr>
        <w:t xml:space="preserve">Based on a ‘bottom-up’ calculation of electricity use by individual stationary equipment categories the </w:t>
      </w:r>
      <w:r w:rsidR="007A1335">
        <w:rPr>
          <w:szCs w:val="22"/>
        </w:rPr>
        <w:t>CHF3 RAC Stock model</w:t>
      </w:r>
      <w:r>
        <w:rPr>
          <w:szCs w:val="22"/>
        </w:rPr>
        <w:t xml:space="preserve"> estimates that </w:t>
      </w:r>
      <w:r w:rsidRPr="00BE78D9">
        <w:rPr>
          <w:szCs w:val="22"/>
        </w:rPr>
        <w:t xml:space="preserve">RAC equipment consumed </w:t>
      </w:r>
      <w:r>
        <w:rPr>
          <w:szCs w:val="22"/>
        </w:rPr>
        <w:t>61,000 GWh of electricity in 2016 (</w:t>
      </w:r>
      <w:r w:rsidRPr="00A22351">
        <w:rPr>
          <w:i/>
          <w:szCs w:val="22"/>
        </w:rPr>
        <w:t>CHF2 59,000 GWh</w:t>
      </w:r>
      <w:r>
        <w:rPr>
          <w:szCs w:val="22"/>
        </w:rPr>
        <w:t>) costing more than $12.</w:t>
      </w:r>
      <w:r w:rsidR="00EF7F4F">
        <w:rPr>
          <w:szCs w:val="22"/>
        </w:rPr>
        <w:t>62</w:t>
      </w:r>
      <w:r>
        <w:rPr>
          <w:szCs w:val="22"/>
        </w:rPr>
        <w:t xml:space="preserve"> billion.</w:t>
      </w:r>
    </w:p>
    <w:p w14:paraId="19D54BFC" w14:textId="7BFD89B8" w:rsidR="00B861D9" w:rsidRDefault="00B861D9" w:rsidP="00B861D9">
      <w:pPr>
        <w:rPr>
          <w:szCs w:val="22"/>
        </w:rPr>
      </w:pPr>
      <w:r>
        <w:rPr>
          <w:szCs w:val="22"/>
        </w:rPr>
        <w:t xml:space="preserve">Total RAC electricity consumption in 2016 was equal to slightly more than 23.6% of the 258,000 GWh </w:t>
      </w:r>
      <w:r w:rsidRPr="00BE78D9">
        <w:rPr>
          <w:szCs w:val="22"/>
        </w:rPr>
        <w:t>of electricity production in Australia that year.</w:t>
      </w:r>
      <w:r>
        <w:rPr>
          <w:szCs w:val="22"/>
        </w:rPr>
        <w:t xml:space="preserve"> This </w:t>
      </w:r>
      <w:r w:rsidR="0025650B">
        <w:rPr>
          <w:szCs w:val="22"/>
        </w:rPr>
        <w:t xml:space="preserve">is </w:t>
      </w:r>
      <w:r>
        <w:rPr>
          <w:szCs w:val="22"/>
        </w:rPr>
        <w:t>very much in line with the 23.5% of total national electricity production consumed by RAC in 2012. However, at around 251,3</w:t>
      </w:r>
      <w:r w:rsidRPr="00BE78D9">
        <w:rPr>
          <w:szCs w:val="22"/>
        </w:rPr>
        <w:t>00 GWh</w:t>
      </w:r>
      <w:r>
        <w:rPr>
          <w:szCs w:val="22"/>
        </w:rPr>
        <w:t>, 2012 total national electricity production was reported as being slightly lower than 2016.</w:t>
      </w:r>
      <w:r>
        <w:rPr>
          <w:rStyle w:val="FootnoteReference"/>
          <w:szCs w:val="22"/>
        </w:rPr>
        <w:footnoteReference w:id="62"/>
      </w:r>
      <w:r>
        <w:rPr>
          <w:szCs w:val="22"/>
        </w:rPr>
        <w:t xml:space="preserve"> </w:t>
      </w:r>
    </w:p>
    <w:p w14:paraId="26D0C7EF" w14:textId="77777777" w:rsidR="00B861D9" w:rsidRPr="00BE78D9" w:rsidRDefault="00B861D9" w:rsidP="00B861D9">
      <w:pPr>
        <w:rPr>
          <w:szCs w:val="22"/>
        </w:rPr>
      </w:pPr>
      <w:r>
        <w:rPr>
          <w:szCs w:val="22"/>
        </w:rPr>
        <w:t>Irrespective of the relatively small annual changes to electricity production in the two comparative years, overall electricity consumption by RAC technology increased by around 3.4% as compared to 2012.</w:t>
      </w:r>
    </w:p>
    <w:p w14:paraId="3292D6F2" w14:textId="42E06EB5" w:rsidR="00B861D9" w:rsidRDefault="00B861D9" w:rsidP="00B861D9">
      <w:pPr>
        <w:rPr>
          <w:szCs w:val="22"/>
        </w:rPr>
      </w:pPr>
      <w:r w:rsidRPr="00BE78D9">
        <w:rPr>
          <w:szCs w:val="22"/>
        </w:rPr>
        <w:t xml:space="preserve">The share of electricity consumption by major class of </w:t>
      </w:r>
      <w:r>
        <w:rPr>
          <w:szCs w:val="22"/>
        </w:rPr>
        <w:t xml:space="preserve">electricity consuming RAC equipment </w:t>
      </w:r>
      <w:r w:rsidRPr="00BE78D9">
        <w:rPr>
          <w:szCs w:val="22"/>
        </w:rPr>
        <w:t xml:space="preserve">is illustrated in </w:t>
      </w:r>
      <w:r w:rsidR="00E5701B">
        <w:rPr>
          <w:i/>
          <w:szCs w:val="22"/>
        </w:rPr>
        <w:t>Figure 5</w:t>
      </w:r>
      <w:r w:rsidR="0023612A">
        <w:rPr>
          <w:i/>
          <w:szCs w:val="22"/>
        </w:rPr>
        <w:t>1</w:t>
      </w:r>
      <w:r w:rsidRPr="00BE78D9">
        <w:rPr>
          <w:szCs w:val="22"/>
        </w:rPr>
        <w:t>.</w:t>
      </w:r>
    </w:p>
    <w:p w14:paraId="57253B9C" w14:textId="2A02A4DF" w:rsidR="00EC76EA" w:rsidRDefault="00EC76EA">
      <w:pPr>
        <w:spacing w:before="0"/>
        <w:jc w:val="left"/>
      </w:pPr>
      <w:r>
        <w:br w:type="page"/>
      </w:r>
    </w:p>
    <w:p w14:paraId="427BCA04" w14:textId="77777777" w:rsidR="00810532" w:rsidRDefault="00810532" w:rsidP="00EC76EA">
      <w:pPr>
        <w:spacing w:before="0"/>
      </w:pPr>
    </w:p>
    <w:tbl>
      <w:tblPr>
        <w:tblW w:w="9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6"/>
      </w:tblGrid>
      <w:tr w:rsidR="00B861D9" w:rsidRPr="00613398" w14:paraId="67CD5732" w14:textId="77777777" w:rsidTr="00B861D9">
        <w:tc>
          <w:tcPr>
            <w:tcW w:w="9826" w:type="dxa"/>
            <w:vAlign w:val="center"/>
          </w:tcPr>
          <w:p w14:paraId="4DDE64C9" w14:textId="63EACD8B" w:rsidR="00B861D9" w:rsidRPr="00613398" w:rsidRDefault="00B861D9" w:rsidP="00B861D9">
            <w:pPr>
              <w:spacing w:after="120"/>
              <w:jc w:val="center"/>
              <w:rPr>
                <w:rFonts w:cs="Times New Roman"/>
                <w:b/>
              </w:rPr>
            </w:pPr>
            <w:r w:rsidRPr="00613398">
              <w:rPr>
                <w:rFonts w:cs="Times New Roman"/>
                <w:b/>
              </w:rPr>
              <w:br w:type="page"/>
            </w:r>
            <w:r w:rsidR="006002E4">
              <w:rPr>
                <w:rFonts w:cs="Times New Roman"/>
                <w:b/>
              </w:rPr>
              <w:t>Electricity c</w:t>
            </w:r>
            <w:r>
              <w:rPr>
                <w:rFonts w:cs="Times New Roman"/>
                <w:b/>
              </w:rPr>
              <w:t xml:space="preserve">onsumption by </w:t>
            </w:r>
            <w:r w:rsidR="006002E4">
              <w:rPr>
                <w:rFonts w:cs="Times New Roman"/>
                <w:b/>
              </w:rPr>
              <w:t>m</w:t>
            </w:r>
            <w:r>
              <w:rPr>
                <w:rFonts w:cs="Times New Roman"/>
                <w:b/>
              </w:rPr>
              <w:t xml:space="preserve">ajor </w:t>
            </w:r>
            <w:r w:rsidR="006002E4">
              <w:rPr>
                <w:rFonts w:cs="Times New Roman"/>
                <w:b/>
              </w:rPr>
              <w:t>c</w:t>
            </w:r>
            <w:r>
              <w:rPr>
                <w:rFonts w:cs="Times New Roman"/>
                <w:b/>
              </w:rPr>
              <w:t>lass (GWh)</w:t>
            </w:r>
          </w:p>
        </w:tc>
      </w:tr>
      <w:tr w:rsidR="00B861D9" w:rsidRPr="000F7FAE" w14:paraId="3510AB61" w14:textId="77777777" w:rsidTr="0035211C">
        <w:tc>
          <w:tcPr>
            <w:tcW w:w="9826" w:type="dxa"/>
            <w:vAlign w:val="center"/>
          </w:tcPr>
          <w:p w14:paraId="4B9713BF" w14:textId="77777777" w:rsidR="00B861D9" w:rsidRPr="000F7FAE" w:rsidRDefault="00B861D9" w:rsidP="00B861D9">
            <w:pPr>
              <w:spacing w:before="60" w:after="60"/>
              <w:jc w:val="center"/>
              <w:rPr>
                <w:sz w:val="16"/>
                <w:szCs w:val="16"/>
              </w:rPr>
            </w:pPr>
          </w:p>
          <w:p w14:paraId="7DDD6684" w14:textId="67A5E650" w:rsidR="00B861D9" w:rsidRPr="000F7FAE" w:rsidRDefault="0035211C" w:rsidP="00B861D9">
            <w:pPr>
              <w:spacing w:before="60" w:after="60"/>
              <w:jc w:val="center"/>
              <w:rPr>
                <w:sz w:val="16"/>
                <w:szCs w:val="16"/>
              </w:rPr>
            </w:pPr>
            <w:r>
              <w:rPr>
                <w:noProof/>
                <w:lang w:val="en-AU" w:eastAsia="en-AU"/>
              </w:rPr>
              <w:drawing>
                <wp:inline distT="0" distB="0" distL="0" distR="0" wp14:anchorId="62818BCA" wp14:editId="73FC96F6">
                  <wp:extent cx="3406247" cy="335030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6594" t="10374" r="6289" b="10408"/>
                          <a:stretch/>
                        </pic:blipFill>
                        <pic:spPr bwMode="auto">
                          <a:xfrm>
                            <a:off x="0" y="0"/>
                            <a:ext cx="3413498" cy="3357434"/>
                          </a:xfrm>
                          <a:prstGeom prst="rect">
                            <a:avLst/>
                          </a:prstGeom>
                          <a:ln>
                            <a:noFill/>
                          </a:ln>
                          <a:extLst>
                            <a:ext uri="{53640926-AAD7-44D8-BBD7-CCE9431645EC}">
                              <a14:shadowObscured xmlns:a14="http://schemas.microsoft.com/office/drawing/2010/main"/>
                            </a:ext>
                          </a:extLst>
                        </pic:spPr>
                      </pic:pic>
                    </a:graphicData>
                  </a:graphic>
                </wp:inline>
              </w:drawing>
            </w:r>
          </w:p>
          <w:p w14:paraId="31B2D7E1" w14:textId="77777777" w:rsidR="00B861D9" w:rsidRPr="000F7FAE" w:rsidRDefault="00B861D9" w:rsidP="00B861D9">
            <w:pPr>
              <w:spacing w:before="60" w:after="60"/>
              <w:jc w:val="center"/>
              <w:rPr>
                <w:sz w:val="16"/>
                <w:szCs w:val="16"/>
              </w:rPr>
            </w:pPr>
          </w:p>
        </w:tc>
      </w:tr>
      <w:tr w:rsidR="00B861D9" w:rsidRPr="00923150" w14:paraId="115AB2D4" w14:textId="77777777" w:rsidTr="00B861D9">
        <w:tc>
          <w:tcPr>
            <w:tcW w:w="9826" w:type="dxa"/>
            <w:vAlign w:val="center"/>
          </w:tcPr>
          <w:p w14:paraId="5B8B7D81" w14:textId="6767C9B8" w:rsidR="00B861D9" w:rsidRPr="0023612A" w:rsidRDefault="0023612A" w:rsidP="0023612A">
            <w:pPr>
              <w:pStyle w:val="Caption"/>
            </w:pPr>
            <w:bookmarkStart w:id="164" w:name="_Toc525141382"/>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51</w:t>
            </w:r>
            <w:r w:rsidR="009D6843">
              <w:rPr>
                <w:noProof/>
              </w:rPr>
              <w:fldChar w:fldCharType="end"/>
            </w:r>
            <w:r w:rsidR="00B861D9" w:rsidRPr="0023612A">
              <w:rPr>
                <w:bCs w:val="0"/>
              </w:rPr>
              <w:t xml:space="preserve">: </w:t>
            </w:r>
            <w:r w:rsidR="006002E4" w:rsidRPr="0023612A">
              <w:rPr>
                <w:bCs w:val="0"/>
              </w:rPr>
              <w:t>Electricity c</w:t>
            </w:r>
            <w:r w:rsidR="00B861D9" w:rsidRPr="0023612A">
              <w:rPr>
                <w:bCs w:val="0"/>
              </w:rPr>
              <w:t xml:space="preserve">onsumption by </w:t>
            </w:r>
            <w:r w:rsidR="006002E4" w:rsidRPr="0023612A">
              <w:rPr>
                <w:bCs w:val="0"/>
              </w:rPr>
              <w:t>c</w:t>
            </w:r>
            <w:r w:rsidR="00B861D9" w:rsidRPr="0023612A">
              <w:rPr>
                <w:bCs w:val="0"/>
              </w:rPr>
              <w:t>lass in GWh in 2016.</w:t>
            </w:r>
            <w:bookmarkEnd w:id="164"/>
          </w:p>
        </w:tc>
      </w:tr>
    </w:tbl>
    <w:p w14:paraId="5F8B373F" w14:textId="7A2CA412" w:rsidR="00B861D9" w:rsidRDefault="00B861D9" w:rsidP="00B861D9">
      <w:pPr>
        <w:spacing w:before="0"/>
        <w:rPr>
          <w:szCs w:val="22"/>
        </w:rPr>
      </w:pPr>
      <w:r w:rsidRPr="00116557">
        <w:rPr>
          <w:sz w:val="20"/>
          <w:szCs w:val="20"/>
        </w:rPr>
        <w:t xml:space="preserve">(Sources: </w:t>
      </w:r>
      <w:r w:rsidR="007A1335">
        <w:rPr>
          <w:sz w:val="20"/>
          <w:szCs w:val="20"/>
        </w:rPr>
        <w:t>CHF3 RAC Stock model</w:t>
      </w:r>
      <w:r>
        <w:rPr>
          <w:sz w:val="20"/>
          <w:szCs w:val="20"/>
        </w:rPr>
        <w:t>)</w:t>
      </w:r>
    </w:p>
    <w:p w14:paraId="16BC3B85" w14:textId="77777777" w:rsidR="00B861D9" w:rsidRPr="004F1C13" w:rsidRDefault="00B861D9" w:rsidP="008650A4">
      <w:pPr>
        <w:spacing w:before="60"/>
        <w:rPr>
          <w:rFonts w:cs="Times New Roman"/>
          <w:sz w:val="20"/>
          <w:szCs w:val="20"/>
          <w:lang w:val="en-AU"/>
        </w:rPr>
      </w:pPr>
      <w:r w:rsidRPr="004F1C13">
        <w:rPr>
          <w:rFonts w:cs="Times New Roman"/>
          <w:sz w:val="20"/>
          <w:szCs w:val="20"/>
          <w:lang w:val="en-AU"/>
        </w:rPr>
        <w:t>Note:</w:t>
      </w:r>
    </w:p>
    <w:p w14:paraId="4E442060" w14:textId="77777777" w:rsidR="00B861D9" w:rsidRPr="004F1C13" w:rsidRDefault="00B861D9" w:rsidP="00FC735C">
      <w:pPr>
        <w:pStyle w:val="ListParagraph"/>
        <w:numPr>
          <w:ilvl w:val="0"/>
          <w:numId w:val="43"/>
        </w:numPr>
        <w:spacing w:before="60" w:after="0" w:line="240" w:lineRule="auto"/>
        <w:ind w:left="357" w:hanging="357"/>
        <w:contextualSpacing w:val="0"/>
        <w:jc w:val="both"/>
        <w:rPr>
          <w:rFonts w:ascii="Times New Roman" w:hAnsi="Times New Roman"/>
          <w:sz w:val="20"/>
          <w:szCs w:val="20"/>
          <w:lang w:val="en-AU"/>
        </w:rPr>
      </w:pPr>
      <w:r w:rsidRPr="004F1C13">
        <w:rPr>
          <w:rFonts w:ascii="Times New Roman" w:hAnsi="Times New Roman"/>
          <w:sz w:val="20"/>
          <w:szCs w:val="20"/>
          <w:lang w:val="en-AU"/>
        </w:rPr>
        <w:t>The small slice not visible in the above chart is Mobile AC for locomotive and passenger rail.</w:t>
      </w:r>
    </w:p>
    <w:p w14:paraId="269AF285" w14:textId="77777777" w:rsidR="00B861D9" w:rsidRDefault="00B861D9" w:rsidP="00B861D9">
      <w:pPr>
        <w:spacing w:before="0"/>
        <w:rPr>
          <w:rFonts w:cs="Times New Roman"/>
          <w:szCs w:val="22"/>
          <w:lang w:val="en-AU"/>
        </w:rPr>
      </w:pPr>
    </w:p>
    <w:p w14:paraId="2156A485" w14:textId="11EF462F" w:rsidR="00B861D9" w:rsidRPr="00A606AB" w:rsidRDefault="00B861D9" w:rsidP="00B861D9">
      <w:pPr>
        <w:spacing w:before="0"/>
        <w:rPr>
          <w:szCs w:val="22"/>
        </w:rPr>
      </w:pPr>
      <w:r>
        <w:rPr>
          <w:rFonts w:cs="Times New Roman"/>
          <w:szCs w:val="22"/>
          <w:lang w:val="en-AU"/>
        </w:rPr>
        <w:t xml:space="preserve">This break down of energy end use once again shows the dominance of </w:t>
      </w:r>
      <w:r w:rsidR="0025650B">
        <w:rPr>
          <w:rFonts w:cs="Times New Roman"/>
          <w:szCs w:val="22"/>
          <w:lang w:val="en-AU"/>
        </w:rPr>
        <w:t>s</w:t>
      </w:r>
      <w:r>
        <w:rPr>
          <w:rFonts w:cs="Times New Roman"/>
          <w:szCs w:val="22"/>
          <w:lang w:val="en-AU"/>
        </w:rPr>
        <w:t xml:space="preserve">tationary AC in the stock of equipment. </w:t>
      </w:r>
      <w:r w:rsidRPr="00712F39">
        <w:rPr>
          <w:rFonts w:cs="Times New Roman"/>
          <w:szCs w:val="22"/>
          <w:lang w:val="en-AU"/>
        </w:rPr>
        <w:t xml:space="preserve">CHF3 estimates 33,452 GWh </w:t>
      </w:r>
      <w:r>
        <w:rPr>
          <w:rFonts w:cs="Times New Roman"/>
          <w:szCs w:val="22"/>
          <w:lang w:val="en-AU"/>
        </w:rPr>
        <w:t xml:space="preserve">of electricity was consumed in </w:t>
      </w:r>
      <w:r w:rsidR="0025650B">
        <w:rPr>
          <w:rFonts w:cs="Times New Roman"/>
          <w:szCs w:val="22"/>
          <w:lang w:val="en-AU"/>
        </w:rPr>
        <w:t>s</w:t>
      </w:r>
      <w:r w:rsidRPr="00712F39">
        <w:rPr>
          <w:rFonts w:cs="Times New Roman"/>
          <w:szCs w:val="22"/>
          <w:lang w:val="en-AU"/>
        </w:rPr>
        <w:t xml:space="preserve">tationary AC </w:t>
      </w:r>
      <w:r>
        <w:rPr>
          <w:rFonts w:cs="Times New Roman"/>
          <w:szCs w:val="22"/>
          <w:lang w:val="en-AU"/>
        </w:rPr>
        <w:t>applications with some 2</w:t>
      </w:r>
      <w:r w:rsidR="009008E5">
        <w:rPr>
          <w:rFonts w:cs="Times New Roman"/>
          <w:szCs w:val="22"/>
          <w:lang w:val="en-AU"/>
        </w:rPr>
        <w:t>9</w:t>
      </w:r>
      <w:r>
        <w:rPr>
          <w:rFonts w:cs="Times New Roman"/>
          <w:szCs w:val="22"/>
          <w:lang w:val="en-AU"/>
        </w:rPr>
        <w:t xml:space="preserve">% of that portion, or </w:t>
      </w:r>
      <w:r w:rsidR="00E35B7F" w:rsidRPr="00E35B7F">
        <w:rPr>
          <w:rFonts w:cs="Times New Roman"/>
          <w:szCs w:val="22"/>
          <w:lang w:val="en-AU"/>
        </w:rPr>
        <w:t>9,788</w:t>
      </w:r>
      <w:r w:rsidR="00E35B7F">
        <w:rPr>
          <w:rFonts w:cs="Times New Roman"/>
          <w:szCs w:val="22"/>
          <w:lang w:val="en-AU"/>
        </w:rPr>
        <w:t xml:space="preserve"> </w:t>
      </w:r>
      <w:r>
        <w:rPr>
          <w:rFonts w:cs="Times New Roman"/>
          <w:szCs w:val="22"/>
          <w:lang w:val="en-AU"/>
        </w:rPr>
        <w:t>GWh in r</w:t>
      </w:r>
      <w:r w:rsidRPr="00712F39">
        <w:rPr>
          <w:rFonts w:cs="Times New Roman"/>
          <w:szCs w:val="22"/>
          <w:lang w:val="en-AU"/>
        </w:rPr>
        <w:t>esidential</w:t>
      </w:r>
      <w:r>
        <w:rPr>
          <w:rFonts w:cs="Times New Roman"/>
          <w:szCs w:val="22"/>
          <w:lang w:val="en-AU"/>
        </w:rPr>
        <w:t xml:space="preserve"> applications and 7</w:t>
      </w:r>
      <w:r w:rsidR="00E35B7F">
        <w:rPr>
          <w:rFonts w:cs="Times New Roman"/>
          <w:szCs w:val="22"/>
          <w:lang w:val="en-AU"/>
        </w:rPr>
        <w:t>1</w:t>
      </w:r>
      <w:r>
        <w:rPr>
          <w:rFonts w:cs="Times New Roman"/>
          <w:szCs w:val="22"/>
          <w:lang w:val="en-AU"/>
        </w:rPr>
        <w:t xml:space="preserve">%, or </w:t>
      </w:r>
      <w:r w:rsidR="00E35B7F" w:rsidRPr="00E35B7F">
        <w:rPr>
          <w:rFonts w:cs="Times New Roman"/>
          <w:szCs w:val="22"/>
          <w:lang w:val="en-AU"/>
        </w:rPr>
        <w:t>23,665</w:t>
      </w:r>
      <w:r w:rsidRPr="00712F39">
        <w:rPr>
          <w:rFonts w:cs="Times New Roman"/>
          <w:szCs w:val="22"/>
          <w:lang w:val="en-AU"/>
        </w:rPr>
        <w:t xml:space="preserve"> GWh </w:t>
      </w:r>
      <w:r>
        <w:rPr>
          <w:rFonts w:cs="Times New Roman"/>
          <w:szCs w:val="22"/>
          <w:lang w:val="en-AU"/>
        </w:rPr>
        <w:t xml:space="preserve">providing </w:t>
      </w:r>
      <w:r w:rsidR="00A106BE">
        <w:rPr>
          <w:rFonts w:cs="Times New Roman"/>
          <w:szCs w:val="22"/>
          <w:lang w:val="en-AU"/>
        </w:rPr>
        <w:t xml:space="preserve">air conditioning </w:t>
      </w:r>
      <w:r>
        <w:rPr>
          <w:rFonts w:cs="Times New Roman"/>
          <w:szCs w:val="22"/>
          <w:lang w:val="en-AU"/>
        </w:rPr>
        <w:t>in commercial and business applications. By comparison, all electricity use in d</w:t>
      </w:r>
      <w:r w:rsidRPr="00712F39">
        <w:rPr>
          <w:rFonts w:cs="Times New Roman"/>
          <w:szCs w:val="22"/>
          <w:lang w:val="en-AU"/>
        </w:rPr>
        <w:t>omestic refrigerat</w:t>
      </w:r>
      <w:r>
        <w:rPr>
          <w:rFonts w:cs="Times New Roman"/>
          <w:szCs w:val="22"/>
          <w:lang w:val="en-AU"/>
        </w:rPr>
        <w:t xml:space="preserve">ors and freezers, at </w:t>
      </w:r>
      <w:r w:rsidRPr="00712F39">
        <w:rPr>
          <w:rFonts w:cs="Times New Roman"/>
          <w:szCs w:val="22"/>
          <w:lang w:val="en-AU"/>
        </w:rPr>
        <w:t>8</w:t>
      </w:r>
      <w:r>
        <w:rPr>
          <w:rFonts w:cs="Times New Roman"/>
          <w:szCs w:val="22"/>
          <w:lang w:val="en-AU"/>
        </w:rPr>
        <w:t>,</w:t>
      </w:r>
      <w:r w:rsidRPr="00712F39">
        <w:rPr>
          <w:rFonts w:cs="Times New Roman"/>
          <w:szCs w:val="22"/>
          <w:lang w:val="en-AU"/>
        </w:rPr>
        <w:t>5</w:t>
      </w:r>
      <w:r w:rsidR="00EF7F4F">
        <w:rPr>
          <w:rFonts w:cs="Times New Roman"/>
          <w:szCs w:val="22"/>
          <w:lang w:val="en-AU"/>
        </w:rPr>
        <w:t>34</w:t>
      </w:r>
      <w:r w:rsidRPr="00712F39">
        <w:rPr>
          <w:rFonts w:cs="Times New Roman"/>
          <w:szCs w:val="22"/>
          <w:lang w:val="en-AU"/>
        </w:rPr>
        <w:t xml:space="preserve"> GWh</w:t>
      </w:r>
      <w:r>
        <w:rPr>
          <w:rFonts w:cs="Times New Roman"/>
          <w:szCs w:val="22"/>
          <w:lang w:val="en-AU"/>
        </w:rPr>
        <w:t xml:space="preserve"> is now smaller than electricity used in residential AC. C</w:t>
      </w:r>
      <w:r w:rsidRPr="00712F39">
        <w:rPr>
          <w:rFonts w:cs="Times New Roman"/>
          <w:szCs w:val="22"/>
          <w:lang w:val="en-AU"/>
        </w:rPr>
        <w:t xml:space="preserve">ommercial and industrial refrigeration </w:t>
      </w:r>
      <w:r>
        <w:rPr>
          <w:rFonts w:cs="Times New Roman"/>
          <w:szCs w:val="22"/>
          <w:lang w:val="en-AU"/>
        </w:rPr>
        <w:t xml:space="preserve">was calculated as consuming around </w:t>
      </w:r>
      <w:r w:rsidRPr="00712F39">
        <w:rPr>
          <w:rFonts w:cs="Times New Roman"/>
          <w:szCs w:val="22"/>
          <w:lang w:val="en-AU"/>
        </w:rPr>
        <w:t xml:space="preserve">18,994 GWh </w:t>
      </w:r>
      <w:r>
        <w:rPr>
          <w:rFonts w:cs="Times New Roman"/>
          <w:szCs w:val="22"/>
          <w:lang w:val="en-AU"/>
        </w:rPr>
        <w:t>in 2016, or roughly 31% of all electricity consumed by RAC equipment in 2016</w:t>
      </w:r>
      <w:r w:rsidRPr="00712F39">
        <w:rPr>
          <w:rFonts w:cs="Times New Roman"/>
          <w:szCs w:val="22"/>
          <w:lang w:val="en-AU"/>
        </w:rPr>
        <w:t>.</w:t>
      </w:r>
      <w:r w:rsidR="008650A4">
        <w:rPr>
          <w:rFonts w:cs="Times New Roman"/>
          <w:szCs w:val="22"/>
          <w:lang w:val="en-AU"/>
        </w:rPr>
        <w:t xml:space="preserve"> Total</w:t>
      </w:r>
      <w:r w:rsidR="00F46DC8">
        <w:rPr>
          <w:rFonts w:cs="Times New Roman"/>
          <w:szCs w:val="22"/>
          <w:lang w:val="en-AU"/>
        </w:rPr>
        <w:t xml:space="preserve"> RAC</w:t>
      </w:r>
      <w:r w:rsidR="008650A4">
        <w:rPr>
          <w:rFonts w:cs="Times New Roman"/>
          <w:szCs w:val="22"/>
          <w:lang w:val="en-AU"/>
        </w:rPr>
        <w:t xml:space="preserve"> electricity consumption equating to </w:t>
      </w:r>
      <w:r w:rsidR="008650A4" w:rsidRPr="008650A4">
        <w:rPr>
          <w:rFonts w:cs="Times New Roman"/>
          <w:szCs w:val="22"/>
          <w:lang w:val="en-AU"/>
        </w:rPr>
        <w:t>61,174</w:t>
      </w:r>
      <w:r w:rsidR="008650A4">
        <w:rPr>
          <w:rFonts w:cs="Times New Roman"/>
          <w:szCs w:val="22"/>
          <w:lang w:val="en-AU"/>
        </w:rPr>
        <w:t xml:space="preserve"> GWh includes 193 GWh for air conditioning of locomotives and passenger rail.</w:t>
      </w:r>
    </w:p>
    <w:p w14:paraId="13F251BE" w14:textId="11E9F2B5" w:rsidR="00B861D9" w:rsidRDefault="00B861D9" w:rsidP="00B861D9">
      <w:pPr>
        <w:rPr>
          <w:rFonts w:cs="Times New Roman"/>
          <w:szCs w:val="22"/>
          <w:lang w:val="en-AU"/>
        </w:rPr>
      </w:pPr>
      <w:r w:rsidRPr="005C0EAC">
        <w:rPr>
          <w:rFonts w:cs="Times New Roman"/>
          <w:szCs w:val="22"/>
          <w:lang w:val="en-AU"/>
        </w:rPr>
        <w:t xml:space="preserve">Australian Energy Statistics 2017, </w:t>
      </w:r>
      <w:r>
        <w:rPr>
          <w:rFonts w:cs="Times New Roman"/>
          <w:szCs w:val="22"/>
          <w:lang w:val="en-AU"/>
        </w:rPr>
        <w:t xml:space="preserve">prepared by the </w:t>
      </w:r>
      <w:r w:rsidRPr="005C0EAC">
        <w:rPr>
          <w:rFonts w:cs="Times New Roman"/>
          <w:szCs w:val="22"/>
          <w:lang w:val="en-AU"/>
        </w:rPr>
        <w:t xml:space="preserve">Department of the Environment and Energy (formerly </w:t>
      </w:r>
      <w:r w:rsidR="0025650B">
        <w:rPr>
          <w:rFonts w:cs="Times New Roman"/>
          <w:szCs w:val="22"/>
          <w:lang w:val="en-AU"/>
        </w:rPr>
        <w:t xml:space="preserve">produced by the </w:t>
      </w:r>
      <w:r w:rsidRPr="005C0EAC">
        <w:rPr>
          <w:rFonts w:cs="Times New Roman"/>
          <w:szCs w:val="22"/>
          <w:lang w:val="en-AU"/>
        </w:rPr>
        <w:t>Bureau of Resources and Energy Economics) provides the official source of energy statistics for Australia to support decision making and help understand how energy supply and use is changing</w:t>
      </w:r>
      <w:r>
        <w:rPr>
          <w:rFonts w:cs="Times New Roman"/>
          <w:szCs w:val="22"/>
          <w:lang w:val="en-AU"/>
        </w:rPr>
        <w:t xml:space="preserve"> (DoEE 2017b)</w:t>
      </w:r>
      <w:r w:rsidRPr="005C0EAC">
        <w:rPr>
          <w:rFonts w:cs="Times New Roman"/>
          <w:szCs w:val="22"/>
          <w:lang w:val="en-AU"/>
        </w:rPr>
        <w:t>. This edition contains the latest data for 2015/</w:t>
      </w:r>
      <w:r w:rsidR="00FE74F2">
        <w:rPr>
          <w:rFonts w:cs="Times New Roman"/>
          <w:szCs w:val="22"/>
          <w:lang w:val="en-AU"/>
        </w:rPr>
        <w:t>1</w:t>
      </w:r>
      <w:r w:rsidR="00FE74F2" w:rsidRPr="005C0EAC">
        <w:rPr>
          <w:rFonts w:cs="Times New Roman"/>
          <w:szCs w:val="22"/>
          <w:lang w:val="en-AU"/>
        </w:rPr>
        <w:t>6</w:t>
      </w:r>
      <w:r w:rsidRPr="005C0EAC">
        <w:rPr>
          <w:rFonts w:cs="Times New Roman"/>
          <w:szCs w:val="22"/>
          <w:lang w:val="en-AU"/>
        </w:rPr>
        <w:t xml:space="preserve"> financial year, summarised in </w:t>
      </w:r>
      <w:r w:rsidRPr="005A572D">
        <w:rPr>
          <w:rFonts w:cs="Times New Roman"/>
          <w:i/>
          <w:szCs w:val="22"/>
          <w:lang w:val="en-AU"/>
        </w:rPr>
        <w:t xml:space="preserve">Table </w:t>
      </w:r>
      <w:r w:rsidR="005A572D" w:rsidRPr="005A572D">
        <w:rPr>
          <w:rFonts w:cs="Times New Roman"/>
          <w:i/>
          <w:szCs w:val="22"/>
          <w:lang w:val="en-AU"/>
        </w:rPr>
        <w:t>26</w:t>
      </w:r>
      <w:r w:rsidRPr="005C0EAC">
        <w:rPr>
          <w:rFonts w:cs="Times New Roman"/>
          <w:szCs w:val="22"/>
          <w:lang w:val="en-AU"/>
        </w:rPr>
        <w:t>.</w:t>
      </w:r>
    </w:p>
    <w:p w14:paraId="5236AE2E" w14:textId="77777777" w:rsidR="00B861D9" w:rsidRDefault="00B861D9" w:rsidP="00B861D9">
      <w:pPr>
        <w:rPr>
          <w:rFonts w:cs="Times New Roman"/>
          <w:szCs w:val="22"/>
          <w:lang w:val="en-AU"/>
        </w:rPr>
      </w:pPr>
      <w:r>
        <w:rPr>
          <w:rFonts w:cs="Times New Roman"/>
          <w:szCs w:val="22"/>
          <w:lang w:val="en-AU"/>
        </w:rPr>
        <w:t>When compared to total electricity consumption in Australia (as opposed to the total electricity production values used above) the numbers are even more notable. Australian electricity consumption, excluding conversion, transmission and distribution losses, was calculated to be approximately 227 GWh in 2015-16.</w:t>
      </w:r>
    </w:p>
    <w:p w14:paraId="16C4F17B" w14:textId="77777777" w:rsidR="00B861D9" w:rsidRDefault="00B861D9" w:rsidP="00B861D9">
      <w:pPr>
        <w:rPr>
          <w:rFonts w:cs="Times New Roman"/>
          <w:szCs w:val="22"/>
          <w:lang w:val="en-AU"/>
        </w:rPr>
      </w:pPr>
      <w:r>
        <w:rPr>
          <w:rFonts w:cs="Times New Roman"/>
          <w:szCs w:val="22"/>
          <w:lang w:val="en-AU"/>
        </w:rPr>
        <w:t xml:space="preserve"> </w:t>
      </w:r>
    </w:p>
    <w:p w14:paraId="1C70BC33" w14:textId="3F319E53" w:rsidR="00B861D9" w:rsidRPr="005A572D" w:rsidRDefault="005A572D" w:rsidP="005A572D">
      <w:pPr>
        <w:pStyle w:val="Caption"/>
        <w:keepNext/>
        <w:rPr>
          <w:szCs w:val="22"/>
          <w:lang w:val="en-AU"/>
        </w:rPr>
      </w:pPr>
      <w:bookmarkStart w:id="165" w:name="_Toc525141415"/>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26</w:t>
      </w:r>
      <w:r w:rsidR="009D6843">
        <w:rPr>
          <w:noProof/>
        </w:rPr>
        <w:fldChar w:fldCharType="end"/>
      </w:r>
      <w:r w:rsidRPr="005A572D">
        <w:t xml:space="preserve">: </w:t>
      </w:r>
      <w:r w:rsidR="00B861D9" w:rsidRPr="005A572D">
        <w:rPr>
          <w:szCs w:val="22"/>
          <w:lang w:val="en-AU"/>
        </w:rPr>
        <w:t>Australian electricity consumption, by end use sector in 2015/16 FY.</w:t>
      </w:r>
      <w:bookmarkEnd w:id="165"/>
    </w:p>
    <w:tbl>
      <w:tblPr>
        <w:tblStyle w:val="TableGrid"/>
        <w:tblW w:w="9351" w:type="dxa"/>
        <w:tblLook w:val="04A0" w:firstRow="1" w:lastRow="0" w:firstColumn="1" w:lastColumn="0" w:noHBand="0" w:noVBand="1"/>
      </w:tblPr>
      <w:tblGrid>
        <w:gridCol w:w="4505"/>
        <w:gridCol w:w="2252"/>
        <w:gridCol w:w="2594"/>
      </w:tblGrid>
      <w:tr w:rsidR="00B861D9" w:rsidRPr="005C0EAC" w14:paraId="01BF3061" w14:textId="77777777" w:rsidTr="009C0BC1">
        <w:tc>
          <w:tcPr>
            <w:tcW w:w="4505" w:type="dxa"/>
            <w:shd w:val="clear" w:color="auto" w:fill="B6DDE8" w:themeFill="accent5" w:themeFillTint="66"/>
          </w:tcPr>
          <w:p w14:paraId="2BF0B311" w14:textId="77777777" w:rsidR="00B861D9" w:rsidRPr="005C0EAC" w:rsidRDefault="00B861D9" w:rsidP="00B861D9">
            <w:pPr>
              <w:tabs>
                <w:tab w:val="left" w:pos="476"/>
              </w:tabs>
              <w:snapToGrid w:val="0"/>
              <w:spacing w:after="120"/>
              <w:rPr>
                <w:szCs w:val="22"/>
                <w:lang w:val="en-AU"/>
              </w:rPr>
            </w:pPr>
            <w:r w:rsidRPr="005C0EAC">
              <w:rPr>
                <w:szCs w:val="22"/>
                <w:lang w:val="en-AU"/>
              </w:rPr>
              <w:t>End use sector</w:t>
            </w:r>
          </w:p>
        </w:tc>
        <w:tc>
          <w:tcPr>
            <w:tcW w:w="2252" w:type="dxa"/>
            <w:shd w:val="clear" w:color="auto" w:fill="B6DDE8" w:themeFill="accent5" w:themeFillTint="66"/>
          </w:tcPr>
          <w:p w14:paraId="4C12520A" w14:textId="77777777" w:rsidR="00B861D9" w:rsidRPr="005C0EAC" w:rsidRDefault="00B861D9" w:rsidP="00B861D9">
            <w:pPr>
              <w:snapToGrid w:val="0"/>
              <w:spacing w:after="120"/>
              <w:jc w:val="center"/>
              <w:rPr>
                <w:szCs w:val="22"/>
                <w:lang w:val="en-AU"/>
              </w:rPr>
            </w:pPr>
            <w:r>
              <w:rPr>
                <w:color w:val="000000"/>
                <w:szCs w:val="22"/>
                <w:lang w:val="en-AU"/>
              </w:rPr>
              <w:t>Electricity</w:t>
            </w:r>
            <w:r w:rsidRPr="005C0EAC">
              <w:rPr>
                <w:color w:val="000000"/>
                <w:szCs w:val="22"/>
                <w:lang w:val="en-AU"/>
              </w:rPr>
              <w:t xml:space="preserve"> consumption </w:t>
            </w:r>
            <w:r>
              <w:rPr>
                <w:color w:val="000000"/>
                <w:szCs w:val="22"/>
                <w:lang w:val="en-AU"/>
              </w:rPr>
              <w:t xml:space="preserve">     </w:t>
            </w:r>
            <w:r w:rsidRPr="005C0EAC">
              <w:rPr>
                <w:color w:val="000000"/>
                <w:szCs w:val="22"/>
                <w:lang w:val="en-AU"/>
              </w:rPr>
              <w:t xml:space="preserve">(GWh) </w:t>
            </w:r>
            <w:r w:rsidRPr="005C0EAC">
              <w:rPr>
                <w:color w:val="000000"/>
                <w:szCs w:val="22"/>
                <w:vertAlign w:val="superscript"/>
                <w:lang w:val="en-AU"/>
              </w:rPr>
              <w:t>(1)</w:t>
            </w:r>
          </w:p>
        </w:tc>
        <w:tc>
          <w:tcPr>
            <w:tcW w:w="2594" w:type="dxa"/>
            <w:shd w:val="clear" w:color="auto" w:fill="B6DDE8" w:themeFill="accent5" w:themeFillTint="66"/>
          </w:tcPr>
          <w:p w14:paraId="75E232AE" w14:textId="77777777" w:rsidR="00B861D9" w:rsidRPr="005C0EAC" w:rsidRDefault="00B861D9" w:rsidP="00B861D9">
            <w:pPr>
              <w:snapToGrid w:val="0"/>
              <w:spacing w:after="120"/>
              <w:jc w:val="center"/>
              <w:rPr>
                <w:szCs w:val="22"/>
                <w:lang w:val="en-AU"/>
              </w:rPr>
            </w:pPr>
            <w:r w:rsidRPr="005C0EAC">
              <w:rPr>
                <w:color w:val="000000"/>
                <w:szCs w:val="22"/>
                <w:lang w:val="en-AU"/>
              </w:rPr>
              <w:t xml:space="preserve">Proportion </w:t>
            </w:r>
            <w:r>
              <w:rPr>
                <w:color w:val="000000"/>
                <w:szCs w:val="22"/>
                <w:lang w:val="en-AU"/>
              </w:rPr>
              <w:t xml:space="preserve">                     </w:t>
            </w:r>
            <w:r w:rsidRPr="005C0EAC">
              <w:rPr>
                <w:color w:val="000000"/>
                <w:szCs w:val="22"/>
                <w:lang w:val="en-AU"/>
              </w:rPr>
              <w:t>(%)</w:t>
            </w:r>
          </w:p>
        </w:tc>
      </w:tr>
      <w:tr w:rsidR="00B861D9" w:rsidRPr="005C0EAC" w14:paraId="56D77E88" w14:textId="77777777" w:rsidTr="00B861D9">
        <w:tc>
          <w:tcPr>
            <w:tcW w:w="4505" w:type="dxa"/>
          </w:tcPr>
          <w:p w14:paraId="1EAFB3C2" w14:textId="77777777" w:rsidR="00B861D9" w:rsidRPr="005C0EAC" w:rsidRDefault="00B861D9" w:rsidP="00B861D9">
            <w:pPr>
              <w:snapToGrid w:val="0"/>
              <w:spacing w:after="120"/>
              <w:rPr>
                <w:szCs w:val="22"/>
                <w:lang w:val="en-AU"/>
              </w:rPr>
            </w:pPr>
            <w:r w:rsidRPr="005C0EAC">
              <w:rPr>
                <w:szCs w:val="22"/>
                <w:lang w:val="en-AU"/>
              </w:rPr>
              <w:t>Residential</w:t>
            </w:r>
          </w:p>
        </w:tc>
        <w:tc>
          <w:tcPr>
            <w:tcW w:w="2252" w:type="dxa"/>
            <w:vAlign w:val="bottom"/>
          </w:tcPr>
          <w:p w14:paraId="558FEDFF" w14:textId="77777777" w:rsidR="00B861D9" w:rsidRPr="005C0EAC" w:rsidRDefault="00B861D9" w:rsidP="00B861D9">
            <w:pPr>
              <w:snapToGrid w:val="0"/>
              <w:spacing w:after="120"/>
              <w:jc w:val="center"/>
              <w:rPr>
                <w:szCs w:val="22"/>
                <w:lang w:val="en-AU"/>
              </w:rPr>
            </w:pPr>
            <w:r w:rsidRPr="005C0EAC">
              <w:rPr>
                <w:color w:val="000000"/>
                <w:szCs w:val="22"/>
                <w:lang w:val="en-AU"/>
              </w:rPr>
              <w:t> 59.2</w:t>
            </w:r>
          </w:p>
        </w:tc>
        <w:tc>
          <w:tcPr>
            <w:tcW w:w="2594" w:type="dxa"/>
            <w:vAlign w:val="bottom"/>
          </w:tcPr>
          <w:p w14:paraId="0DAA3C49" w14:textId="77777777" w:rsidR="00B861D9" w:rsidRPr="005C0EAC" w:rsidRDefault="00B861D9" w:rsidP="00B861D9">
            <w:pPr>
              <w:snapToGrid w:val="0"/>
              <w:spacing w:after="120"/>
              <w:jc w:val="center"/>
              <w:rPr>
                <w:szCs w:val="22"/>
                <w:lang w:val="en-AU"/>
              </w:rPr>
            </w:pPr>
            <w:r w:rsidRPr="005C0EAC">
              <w:rPr>
                <w:color w:val="000000"/>
                <w:szCs w:val="22"/>
                <w:lang w:val="en-AU"/>
              </w:rPr>
              <w:t>26%</w:t>
            </w:r>
          </w:p>
        </w:tc>
      </w:tr>
      <w:tr w:rsidR="00B861D9" w:rsidRPr="005C0EAC" w14:paraId="21898C78" w14:textId="77777777" w:rsidTr="00B861D9">
        <w:tc>
          <w:tcPr>
            <w:tcW w:w="4505" w:type="dxa"/>
          </w:tcPr>
          <w:p w14:paraId="241E0239" w14:textId="77777777" w:rsidR="00B861D9" w:rsidRPr="005C0EAC" w:rsidRDefault="00B861D9" w:rsidP="00B861D9">
            <w:pPr>
              <w:snapToGrid w:val="0"/>
              <w:spacing w:after="120"/>
              <w:rPr>
                <w:szCs w:val="22"/>
                <w:lang w:val="en-AU"/>
              </w:rPr>
            </w:pPr>
            <w:r w:rsidRPr="005C0EAC">
              <w:rPr>
                <w:szCs w:val="22"/>
                <w:lang w:val="en-AU"/>
              </w:rPr>
              <w:t>Commercial and services</w:t>
            </w:r>
          </w:p>
        </w:tc>
        <w:tc>
          <w:tcPr>
            <w:tcW w:w="2252" w:type="dxa"/>
            <w:vAlign w:val="bottom"/>
          </w:tcPr>
          <w:p w14:paraId="2E47FDE1" w14:textId="77777777" w:rsidR="00B861D9" w:rsidRPr="005C0EAC" w:rsidRDefault="00B861D9" w:rsidP="00B861D9">
            <w:pPr>
              <w:snapToGrid w:val="0"/>
              <w:spacing w:after="120"/>
              <w:jc w:val="center"/>
              <w:rPr>
                <w:szCs w:val="22"/>
                <w:lang w:val="en-AU"/>
              </w:rPr>
            </w:pPr>
            <w:r w:rsidRPr="005C0EAC">
              <w:rPr>
                <w:color w:val="000000"/>
                <w:szCs w:val="22"/>
                <w:lang w:val="en-AU"/>
              </w:rPr>
              <w:t> 67.3</w:t>
            </w:r>
          </w:p>
        </w:tc>
        <w:tc>
          <w:tcPr>
            <w:tcW w:w="2594" w:type="dxa"/>
            <w:vAlign w:val="bottom"/>
          </w:tcPr>
          <w:p w14:paraId="1AE36AEB" w14:textId="77777777" w:rsidR="00B861D9" w:rsidRPr="005C0EAC" w:rsidRDefault="00B861D9" w:rsidP="00B861D9">
            <w:pPr>
              <w:snapToGrid w:val="0"/>
              <w:spacing w:after="120"/>
              <w:jc w:val="center"/>
              <w:rPr>
                <w:szCs w:val="22"/>
                <w:lang w:val="en-AU"/>
              </w:rPr>
            </w:pPr>
            <w:r w:rsidRPr="005C0EAC">
              <w:rPr>
                <w:color w:val="000000"/>
                <w:szCs w:val="22"/>
                <w:lang w:val="en-AU"/>
              </w:rPr>
              <w:t>30%</w:t>
            </w:r>
          </w:p>
        </w:tc>
      </w:tr>
      <w:tr w:rsidR="00B861D9" w:rsidRPr="005C0EAC" w14:paraId="19148094" w14:textId="77777777" w:rsidTr="00B861D9">
        <w:tc>
          <w:tcPr>
            <w:tcW w:w="4505" w:type="dxa"/>
          </w:tcPr>
          <w:p w14:paraId="34DE9BEE" w14:textId="77777777" w:rsidR="00B861D9" w:rsidRPr="005C0EAC" w:rsidRDefault="00B861D9" w:rsidP="00B861D9">
            <w:pPr>
              <w:snapToGrid w:val="0"/>
              <w:spacing w:after="120"/>
              <w:rPr>
                <w:szCs w:val="22"/>
                <w:lang w:val="en-AU"/>
              </w:rPr>
            </w:pPr>
            <w:r w:rsidRPr="005C0EAC">
              <w:rPr>
                <w:szCs w:val="22"/>
                <w:lang w:val="en-AU"/>
              </w:rPr>
              <w:t>Agriculture</w:t>
            </w:r>
          </w:p>
        </w:tc>
        <w:tc>
          <w:tcPr>
            <w:tcW w:w="2252" w:type="dxa"/>
            <w:vAlign w:val="bottom"/>
          </w:tcPr>
          <w:p w14:paraId="5B10C61C" w14:textId="77777777" w:rsidR="00B861D9" w:rsidRPr="005C0EAC" w:rsidRDefault="00B861D9" w:rsidP="00B861D9">
            <w:pPr>
              <w:snapToGrid w:val="0"/>
              <w:spacing w:after="120"/>
              <w:jc w:val="center"/>
              <w:rPr>
                <w:szCs w:val="22"/>
                <w:lang w:val="en-AU"/>
              </w:rPr>
            </w:pPr>
            <w:r w:rsidRPr="005C0EAC">
              <w:rPr>
                <w:color w:val="000000"/>
                <w:szCs w:val="22"/>
                <w:lang w:val="en-AU"/>
              </w:rPr>
              <w:t> 1.8</w:t>
            </w:r>
          </w:p>
        </w:tc>
        <w:tc>
          <w:tcPr>
            <w:tcW w:w="2594" w:type="dxa"/>
            <w:vAlign w:val="bottom"/>
          </w:tcPr>
          <w:p w14:paraId="2D8D1968" w14:textId="77777777" w:rsidR="00B861D9" w:rsidRPr="005C0EAC" w:rsidRDefault="00B861D9" w:rsidP="00B861D9">
            <w:pPr>
              <w:snapToGrid w:val="0"/>
              <w:spacing w:after="120"/>
              <w:jc w:val="center"/>
              <w:rPr>
                <w:szCs w:val="22"/>
                <w:lang w:val="en-AU"/>
              </w:rPr>
            </w:pPr>
            <w:r w:rsidRPr="005C0EAC">
              <w:rPr>
                <w:color w:val="000000"/>
                <w:szCs w:val="22"/>
                <w:lang w:val="en-AU"/>
              </w:rPr>
              <w:t>1%</w:t>
            </w:r>
          </w:p>
        </w:tc>
      </w:tr>
      <w:tr w:rsidR="00B861D9" w:rsidRPr="005C0EAC" w14:paraId="40E31FBB" w14:textId="77777777" w:rsidTr="00B861D9">
        <w:tc>
          <w:tcPr>
            <w:tcW w:w="4505" w:type="dxa"/>
          </w:tcPr>
          <w:p w14:paraId="4295606B" w14:textId="77777777" w:rsidR="00B861D9" w:rsidRPr="005C0EAC" w:rsidRDefault="00B861D9" w:rsidP="00B861D9">
            <w:pPr>
              <w:snapToGrid w:val="0"/>
              <w:spacing w:after="120"/>
              <w:rPr>
                <w:szCs w:val="22"/>
                <w:lang w:val="en-AU"/>
              </w:rPr>
            </w:pPr>
            <w:r w:rsidRPr="005C0EAC">
              <w:rPr>
                <w:szCs w:val="22"/>
                <w:lang w:val="en-AU"/>
              </w:rPr>
              <w:t>Food, beverages, textiles</w:t>
            </w:r>
          </w:p>
        </w:tc>
        <w:tc>
          <w:tcPr>
            <w:tcW w:w="2252" w:type="dxa"/>
            <w:vAlign w:val="bottom"/>
          </w:tcPr>
          <w:p w14:paraId="77A0BA9D" w14:textId="77777777" w:rsidR="00B861D9" w:rsidRPr="005C0EAC" w:rsidRDefault="00B861D9" w:rsidP="00B861D9">
            <w:pPr>
              <w:snapToGrid w:val="0"/>
              <w:spacing w:after="120"/>
              <w:jc w:val="center"/>
              <w:rPr>
                <w:szCs w:val="22"/>
                <w:lang w:val="en-AU"/>
              </w:rPr>
            </w:pPr>
            <w:r w:rsidRPr="005C0EAC">
              <w:rPr>
                <w:color w:val="000000"/>
                <w:szCs w:val="22"/>
                <w:lang w:val="en-AU"/>
              </w:rPr>
              <w:t> 6.8</w:t>
            </w:r>
          </w:p>
        </w:tc>
        <w:tc>
          <w:tcPr>
            <w:tcW w:w="2594" w:type="dxa"/>
            <w:vAlign w:val="bottom"/>
          </w:tcPr>
          <w:p w14:paraId="6C241FC1" w14:textId="77777777" w:rsidR="00B861D9" w:rsidRPr="005C0EAC" w:rsidRDefault="00B861D9" w:rsidP="00B861D9">
            <w:pPr>
              <w:snapToGrid w:val="0"/>
              <w:spacing w:after="120"/>
              <w:jc w:val="center"/>
              <w:rPr>
                <w:szCs w:val="22"/>
                <w:lang w:val="en-AU"/>
              </w:rPr>
            </w:pPr>
            <w:r w:rsidRPr="005C0EAC">
              <w:rPr>
                <w:color w:val="000000"/>
                <w:szCs w:val="22"/>
                <w:lang w:val="en-AU"/>
              </w:rPr>
              <w:t>3%</w:t>
            </w:r>
          </w:p>
        </w:tc>
      </w:tr>
      <w:tr w:rsidR="00B861D9" w:rsidRPr="005C0EAC" w14:paraId="4D14DA47" w14:textId="77777777" w:rsidTr="00B861D9">
        <w:tc>
          <w:tcPr>
            <w:tcW w:w="4505" w:type="dxa"/>
          </w:tcPr>
          <w:p w14:paraId="64452312" w14:textId="77777777" w:rsidR="00B861D9" w:rsidRPr="005C0EAC" w:rsidRDefault="00B861D9" w:rsidP="00B861D9">
            <w:pPr>
              <w:snapToGrid w:val="0"/>
              <w:spacing w:after="120"/>
              <w:rPr>
                <w:szCs w:val="22"/>
                <w:lang w:val="en-AU"/>
              </w:rPr>
            </w:pPr>
            <w:r w:rsidRPr="005C0EAC">
              <w:rPr>
                <w:szCs w:val="22"/>
                <w:lang w:val="en-AU"/>
              </w:rPr>
              <w:t>Storage (incl. related transport and services)</w:t>
            </w:r>
          </w:p>
        </w:tc>
        <w:tc>
          <w:tcPr>
            <w:tcW w:w="2252" w:type="dxa"/>
            <w:vAlign w:val="bottom"/>
          </w:tcPr>
          <w:p w14:paraId="4B5F5715" w14:textId="77777777" w:rsidR="00B861D9" w:rsidRPr="005C0EAC" w:rsidRDefault="00B861D9" w:rsidP="00B861D9">
            <w:pPr>
              <w:snapToGrid w:val="0"/>
              <w:spacing w:after="120"/>
              <w:jc w:val="center"/>
              <w:rPr>
                <w:szCs w:val="22"/>
                <w:lang w:val="en-AU"/>
              </w:rPr>
            </w:pPr>
            <w:r w:rsidRPr="005C0EAC">
              <w:rPr>
                <w:color w:val="000000"/>
                <w:szCs w:val="22"/>
                <w:lang w:val="en-AU"/>
              </w:rPr>
              <w:t>2.6</w:t>
            </w:r>
          </w:p>
        </w:tc>
        <w:tc>
          <w:tcPr>
            <w:tcW w:w="2594" w:type="dxa"/>
            <w:vAlign w:val="bottom"/>
          </w:tcPr>
          <w:p w14:paraId="239CAFE6" w14:textId="77777777" w:rsidR="00B861D9" w:rsidRPr="005C0EAC" w:rsidRDefault="00B861D9" w:rsidP="00B861D9">
            <w:pPr>
              <w:snapToGrid w:val="0"/>
              <w:spacing w:after="120"/>
              <w:jc w:val="center"/>
              <w:rPr>
                <w:szCs w:val="22"/>
                <w:lang w:val="en-AU"/>
              </w:rPr>
            </w:pPr>
            <w:r w:rsidRPr="005C0EAC">
              <w:rPr>
                <w:color w:val="000000"/>
                <w:szCs w:val="22"/>
                <w:lang w:val="en-AU"/>
              </w:rPr>
              <w:t>1%</w:t>
            </w:r>
          </w:p>
        </w:tc>
      </w:tr>
      <w:tr w:rsidR="00B861D9" w:rsidRPr="005C0EAC" w14:paraId="2E95D558" w14:textId="77777777" w:rsidTr="00B861D9">
        <w:tc>
          <w:tcPr>
            <w:tcW w:w="4505" w:type="dxa"/>
          </w:tcPr>
          <w:p w14:paraId="3406B9D3" w14:textId="77777777" w:rsidR="00B861D9" w:rsidRPr="005C0EAC" w:rsidRDefault="00B861D9" w:rsidP="00B861D9">
            <w:pPr>
              <w:snapToGrid w:val="0"/>
              <w:spacing w:after="120"/>
              <w:rPr>
                <w:szCs w:val="22"/>
                <w:lang w:val="en-AU"/>
              </w:rPr>
            </w:pPr>
            <w:r w:rsidRPr="005C0EAC">
              <w:rPr>
                <w:szCs w:val="22"/>
                <w:lang w:val="en-AU"/>
              </w:rPr>
              <w:t>Chemical</w:t>
            </w:r>
          </w:p>
        </w:tc>
        <w:tc>
          <w:tcPr>
            <w:tcW w:w="2252" w:type="dxa"/>
            <w:vAlign w:val="bottom"/>
          </w:tcPr>
          <w:p w14:paraId="011399F0" w14:textId="77777777" w:rsidR="00B861D9" w:rsidRPr="005C0EAC" w:rsidRDefault="00B861D9" w:rsidP="00B861D9">
            <w:pPr>
              <w:snapToGrid w:val="0"/>
              <w:spacing w:after="120"/>
              <w:jc w:val="center"/>
              <w:rPr>
                <w:szCs w:val="22"/>
                <w:lang w:val="en-AU"/>
              </w:rPr>
            </w:pPr>
            <w:r w:rsidRPr="005C0EAC">
              <w:rPr>
                <w:color w:val="000000"/>
                <w:szCs w:val="22"/>
                <w:lang w:val="en-AU"/>
              </w:rPr>
              <w:t>4.0</w:t>
            </w:r>
          </w:p>
        </w:tc>
        <w:tc>
          <w:tcPr>
            <w:tcW w:w="2594" w:type="dxa"/>
            <w:vAlign w:val="bottom"/>
          </w:tcPr>
          <w:p w14:paraId="68054E32" w14:textId="77777777" w:rsidR="00B861D9" w:rsidRPr="005C0EAC" w:rsidRDefault="00B861D9" w:rsidP="00B861D9">
            <w:pPr>
              <w:snapToGrid w:val="0"/>
              <w:spacing w:after="120"/>
              <w:jc w:val="center"/>
              <w:rPr>
                <w:szCs w:val="22"/>
                <w:lang w:val="en-AU"/>
              </w:rPr>
            </w:pPr>
            <w:r w:rsidRPr="005C0EAC">
              <w:rPr>
                <w:color w:val="000000"/>
                <w:szCs w:val="22"/>
                <w:lang w:val="en-AU"/>
              </w:rPr>
              <w:t>2%</w:t>
            </w:r>
          </w:p>
        </w:tc>
      </w:tr>
      <w:tr w:rsidR="00B861D9" w:rsidRPr="005C0EAC" w14:paraId="4A9F6043" w14:textId="77777777" w:rsidTr="00B861D9">
        <w:tc>
          <w:tcPr>
            <w:tcW w:w="4505" w:type="dxa"/>
          </w:tcPr>
          <w:p w14:paraId="4526559A" w14:textId="77777777" w:rsidR="00B861D9" w:rsidRPr="005C0EAC" w:rsidRDefault="00B861D9" w:rsidP="00B861D9">
            <w:pPr>
              <w:snapToGrid w:val="0"/>
              <w:spacing w:after="120"/>
              <w:rPr>
                <w:szCs w:val="22"/>
                <w:lang w:val="en-AU"/>
              </w:rPr>
            </w:pPr>
            <w:r w:rsidRPr="005C0EAC">
              <w:rPr>
                <w:szCs w:val="22"/>
                <w:lang w:val="en-AU"/>
              </w:rPr>
              <w:t xml:space="preserve">Industrial </w:t>
            </w:r>
            <w:r w:rsidRPr="005C0EAC">
              <w:rPr>
                <w:szCs w:val="22"/>
                <w:vertAlign w:val="superscript"/>
                <w:lang w:val="en-AU"/>
              </w:rPr>
              <w:t>(2)</w:t>
            </w:r>
          </w:p>
        </w:tc>
        <w:tc>
          <w:tcPr>
            <w:tcW w:w="2252" w:type="dxa"/>
            <w:vAlign w:val="bottom"/>
          </w:tcPr>
          <w:p w14:paraId="6AAEDD78" w14:textId="77777777" w:rsidR="00B861D9" w:rsidRPr="005C0EAC" w:rsidRDefault="00B861D9" w:rsidP="00B861D9">
            <w:pPr>
              <w:snapToGrid w:val="0"/>
              <w:spacing w:after="120"/>
              <w:jc w:val="center"/>
              <w:rPr>
                <w:szCs w:val="22"/>
                <w:lang w:val="en-AU"/>
              </w:rPr>
            </w:pPr>
            <w:r w:rsidRPr="005C0EAC">
              <w:rPr>
                <w:color w:val="000000"/>
                <w:szCs w:val="22"/>
                <w:lang w:val="en-AU"/>
              </w:rPr>
              <w:t>82.3</w:t>
            </w:r>
          </w:p>
        </w:tc>
        <w:tc>
          <w:tcPr>
            <w:tcW w:w="2594" w:type="dxa"/>
            <w:vAlign w:val="bottom"/>
          </w:tcPr>
          <w:p w14:paraId="51732D58" w14:textId="77777777" w:rsidR="00B861D9" w:rsidRPr="005C0EAC" w:rsidRDefault="00B861D9" w:rsidP="00B861D9">
            <w:pPr>
              <w:snapToGrid w:val="0"/>
              <w:spacing w:after="120"/>
              <w:jc w:val="center"/>
              <w:rPr>
                <w:szCs w:val="22"/>
                <w:lang w:val="en-AU"/>
              </w:rPr>
            </w:pPr>
            <w:r w:rsidRPr="005C0EAC">
              <w:rPr>
                <w:color w:val="000000"/>
                <w:szCs w:val="22"/>
                <w:lang w:val="en-AU"/>
              </w:rPr>
              <w:t>36%</w:t>
            </w:r>
          </w:p>
        </w:tc>
      </w:tr>
      <w:tr w:rsidR="00B861D9" w:rsidRPr="005C0EAC" w14:paraId="7538A825" w14:textId="77777777" w:rsidTr="00B861D9">
        <w:tc>
          <w:tcPr>
            <w:tcW w:w="4505" w:type="dxa"/>
          </w:tcPr>
          <w:p w14:paraId="5F3CB544" w14:textId="77777777" w:rsidR="00B861D9" w:rsidRPr="005C0EAC" w:rsidRDefault="00B861D9" w:rsidP="00B861D9">
            <w:pPr>
              <w:snapToGrid w:val="0"/>
              <w:spacing w:after="120"/>
              <w:rPr>
                <w:szCs w:val="22"/>
                <w:lang w:val="en-AU"/>
              </w:rPr>
            </w:pPr>
            <w:r w:rsidRPr="005C0EAC">
              <w:rPr>
                <w:szCs w:val="22"/>
                <w:lang w:val="en-AU"/>
              </w:rPr>
              <w:t>Transport (road, rail, air and water)</w:t>
            </w:r>
          </w:p>
        </w:tc>
        <w:tc>
          <w:tcPr>
            <w:tcW w:w="2252" w:type="dxa"/>
            <w:vAlign w:val="bottom"/>
          </w:tcPr>
          <w:p w14:paraId="3702E41F" w14:textId="77777777" w:rsidR="00B861D9" w:rsidRPr="005C0EAC" w:rsidRDefault="00B861D9" w:rsidP="00B861D9">
            <w:pPr>
              <w:snapToGrid w:val="0"/>
              <w:spacing w:after="120"/>
              <w:jc w:val="center"/>
              <w:rPr>
                <w:szCs w:val="22"/>
                <w:lang w:val="en-AU"/>
              </w:rPr>
            </w:pPr>
            <w:r w:rsidRPr="005C0EAC">
              <w:rPr>
                <w:color w:val="000000"/>
                <w:szCs w:val="22"/>
                <w:lang w:val="en-AU"/>
              </w:rPr>
              <w:t>3.4</w:t>
            </w:r>
          </w:p>
        </w:tc>
        <w:tc>
          <w:tcPr>
            <w:tcW w:w="2594" w:type="dxa"/>
            <w:vAlign w:val="bottom"/>
          </w:tcPr>
          <w:p w14:paraId="04F63AC1" w14:textId="77777777" w:rsidR="00B861D9" w:rsidRPr="005C0EAC" w:rsidRDefault="00B861D9" w:rsidP="00B861D9">
            <w:pPr>
              <w:snapToGrid w:val="0"/>
              <w:spacing w:after="120"/>
              <w:jc w:val="center"/>
              <w:rPr>
                <w:szCs w:val="22"/>
                <w:lang w:val="en-AU"/>
              </w:rPr>
            </w:pPr>
            <w:r w:rsidRPr="005C0EAC">
              <w:rPr>
                <w:color w:val="000000"/>
                <w:szCs w:val="22"/>
                <w:lang w:val="en-AU"/>
              </w:rPr>
              <w:t>2%</w:t>
            </w:r>
          </w:p>
        </w:tc>
      </w:tr>
      <w:tr w:rsidR="00B861D9" w:rsidRPr="005C0EAC" w14:paraId="06470B7C" w14:textId="77777777" w:rsidTr="00B861D9">
        <w:tc>
          <w:tcPr>
            <w:tcW w:w="4505" w:type="dxa"/>
          </w:tcPr>
          <w:p w14:paraId="19978FD3" w14:textId="77777777" w:rsidR="00B861D9" w:rsidRPr="005C0EAC" w:rsidRDefault="00B861D9" w:rsidP="00B861D9">
            <w:pPr>
              <w:snapToGrid w:val="0"/>
              <w:spacing w:after="120"/>
              <w:rPr>
                <w:szCs w:val="22"/>
                <w:lang w:val="en-AU"/>
              </w:rPr>
            </w:pPr>
          </w:p>
        </w:tc>
        <w:tc>
          <w:tcPr>
            <w:tcW w:w="2252" w:type="dxa"/>
            <w:vAlign w:val="bottom"/>
          </w:tcPr>
          <w:p w14:paraId="66755935" w14:textId="77777777" w:rsidR="00B861D9" w:rsidRPr="005C0EAC" w:rsidRDefault="00B861D9" w:rsidP="00B861D9">
            <w:pPr>
              <w:snapToGrid w:val="0"/>
              <w:spacing w:after="120"/>
              <w:jc w:val="center"/>
              <w:rPr>
                <w:szCs w:val="22"/>
                <w:lang w:val="en-AU"/>
              </w:rPr>
            </w:pPr>
            <w:r w:rsidRPr="005C0EAC">
              <w:rPr>
                <w:color w:val="000000"/>
                <w:szCs w:val="22"/>
                <w:lang w:val="en-AU"/>
              </w:rPr>
              <w:t>227.4</w:t>
            </w:r>
          </w:p>
        </w:tc>
        <w:tc>
          <w:tcPr>
            <w:tcW w:w="2594" w:type="dxa"/>
            <w:vAlign w:val="bottom"/>
          </w:tcPr>
          <w:p w14:paraId="3EEC3200" w14:textId="77777777" w:rsidR="00B861D9" w:rsidRPr="005C0EAC" w:rsidRDefault="00B861D9" w:rsidP="00B861D9">
            <w:pPr>
              <w:snapToGrid w:val="0"/>
              <w:spacing w:after="120"/>
              <w:jc w:val="center"/>
              <w:rPr>
                <w:szCs w:val="22"/>
                <w:lang w:val="en-AU"/>
              </w:rPr>
            </w:pPr>
            <w:r w:rsidRPr="005C0EAC">
              <w:rPr>
                <w:color w:val="000000"/>
                <w:szCs w:val="22"/>
                <w:lang w:val="en-AU"/>
              </w:rPr>
              <w:t>100%</w:t>
            </w:r>
          </w:p>
        </w:tc>
      </w:tr>
    </w:tbl>
    <w:p w14:paraId="6E905395" w14:textId="77777777" w:rsidR="00B861D9" w:rsidRPr="005C0EAC" w:rsidRDefault="00B861D9" w:rsidP="00B861D9">
      <w:pPr>
        <w:rPr>
          <w:rFonts w:cs="Times New Roman"/>
          <w:sz w:val="20"/>
          <w:szCs w:val="20"/>
          <w:lang w:val="en-AU"/>
        </w:rPr>
      </w:pPr>
      <w:r w:rsidRPr="005C0EAC">
        <w:rPr>
          <w:rFonts w:cs="Times New Roman"/>
          <w:sz w:val="20"/>
          <w:szCs w:val="20"/>
          <w:lang w:val="en-AU"/>
        </w:rPr>
        <w:t>Notes:</w:t>
      </w:r>
    </w:p>
    <w:p w14:paraId="31E37C88" w14:textId="77777777" w:rsidR="00B861D9" w:rsidRPr="005C0EAC" w:rsidRDefault="00B861D9" w:rsidP="00FC735C">
      <w:pPr>
        <w:pStyle w:val="ListParagraph"/>
        <w:numPr>
          <w:ilvl w:val="0"/>
          <w:numId w:val="45"/>
        </w:numPr>
        <w:spacing w:before="60" w:after="0" w:line="240" w:lineRule="auto"/>
        <w:contextualSpacing w:val="0"/>
        <w:jc w:val="both"/>
        <w:rPr>
          <w:rFonts w:ascii="Times New Roman" w:hAnsi="Times New Roman"/>
          <w:sz w:val="20"/>
          <w:szCs w:val="20"/>
          <w:lang w:val="en-AU"/>
        </w:rPr>
      </w:pPr>
      <w:r w:rsidRPr="005C0EAC">
        <w:rPr>
          <w:rFonts w:ascii="Times New Roman" w:hAnsi="Times New Roman"/>
          <w:sz w:val="20"/>
          <w:szCs w:val="20"/>
          <w:lang w:val="en-AU"/>
        </w:rPr>
        <w:t>The total energy consumed in each end-use sector is equal to total primary energy supply less energy consumed or lost in conversion, transmission and distribution.</w:t>
      </w:r>
    </w:p>
    <w:p w14:paraId="7F2D3B8E" w14:textId="77777777" w:rsidR="00B861D9" w:rsidRPr="000A0640" w:rsidRDefault="00B861D9" w:rsidP="00FC735C">
      <w:pPr>
        <w:pStyle w:val="ListParagraph"/>
        <w:numPr>
          <w:ilvl w:val="0"/>
          <w:numId w:val="45"/>
        </w:numPr>
        <w:spacing w:before="60" w:after="0" w:line="240" w:lineRule="auto"/>
        <w:contextualSpacing w:val="0"/>
        <w:jc w:val="both"/>
        <w:rPr>
          <w:rFonts w:ascii="Times New Roman" w:hAnsi="Times New Roman"/>
          <w:sz w:val="20"/>
          <w:szCs w:val="20"/>
          <w:lang w:val="en-AU"/>
        </w:rPr>
      </w:pPr>
      <w:r w:rsidRPr="005C0EAC">
        <w:rPr>
          <w:rFonts w:ascii="Times New Roman" w:hAnsi="Times New Roman"/>
          <w:sz w:val="20"/>
          <w:szCs w:val="20"/>
          <w:lang w:val="en-AU"/>
        </w:rPr>
        <w:t>Industrial includes mining, wood, paper, printing, iron, non-ferrous metals, construction and other industrial processes.</w:t>
      </w:r>
    </w:p>
    <w:p w14:paraId="0552A1BD" w14:textId="77777777" w:rsidR="00B861D9" w:rsidRDefault="00B861D9" w:rsidP="00B861D9">
      <w:pPr>
        <w:snapToGrid w:val="0"/>
        <w:rPr>
          <w:rFonts w:cs="Times New Roman"/>
          <w:szCs w:val="22"/>
          <w:lang w:val="en-AU"/>
        </w:rPr>
      </w:pPr>
      <w:r>
        <w:rPr>
          <w:rFonts w:cs="Times New Roman"/>
          <w:szCs w:val="22"/>
          <w:lang w:val="en-AU"/>
        </w:rPr>
        <w:t>Assuming for the sake of the exercise that electricity consumption for calendar year 2016 was roughly in line with this financial year value, then the roughly 61 GWh consumed by RAC equipment in 2016 is equal to 26.8% of all electricity consumed in Australia, and on its own, as a class of technology, consumed more electricity than the entire residential sector in Australia.</w:t>
      </w:r>
    </w:p>
    <w:p w14:paraId="4E13798B" w14:textId="30D4A9C0" w:rsidR="00B861D9" w:rsidRDefault="00B861D9" w:rsidP="00B861D9">
      <w:pPr>
        <w:snapToGrid w:val="0"/>
        <w:rPr>
          <w:szCs w:val="22"/>
        </w:rPr>
      </w:pPr>
      <w:r w:rsidRPr="00BE78D9">
        <w:rPr>
          <w:szCs w:val="22"/>
        </w:rPr>
        <w:t>The</w:t>
      </w:r>
      <w:r>
        <w:rPr>
          <w:szCs w:val="22"/>
        </w:rPr>
        <w:t xml:space="preserve"> value</w:t>
      </w:r>
      <w:r w:rsidR="0025650B">
        <w:rPr>
          <w:szCs w:val="22"/>
        </w:rPr>
        <w:t>s</w:t>
      </w:r>
      <w:r>
        <w:rPr>
          <w:szCs w:val="22"/>
        </w:rPr>
        <w:t xml:space="preserve"> above do not include energy used in mobile AC and transported refrigeration systems. The</w:t>
      </w:r>
      <w:r w:rsidRPr="00BE78D9">
        <w:rPr>
          <w:szCs w:val="22"/>
        </w:rPr>
        <w:t xml:space="preserve"> primary fuels used in </w:t>
      </w:r>
      <w:r>
        <w:rPr>
          <w:szCs w:val="22"/>
        </w:rPr>
        <w:t xml:space="preserve">MAC and in </w:t>
      </w:r>
      <w:r w:rsidRPr="00BE78D9">
        <w:rPr>
          <w:szCs w:val="22"/>
        </w:rPr>
        <w:t>tr</w:t>
      </w:r>
      <w:r>
        <w:rPr>
          <w:szCs w:val="22"/>
        </w:rPr>
        <w:t xml:space="preserve">ansport refrigeration services are liquid fuels, whereas the other </w:t>
      </w:r>
      <w:r w:rsidR="00FB30AA">
        <w:rPr>
          <w:szCs w:val="22"/>
        </w:rPr>
        <w:t xml:space="preserve">MAC </w:t>
      </w:r>
      <w:r>
        <w:rPr>
          <w:szCs w:val="22"/>
        </w:rPr>
        <w:t xml:space="preserve">classes of equipment are </w:t>
      </w:r>
      <w:r w:rsidR="005A11B9">
        <w:rPr>
          <w:szCs w:val="22"/>
        </w:rPr>
        <w:t xml:space="preserve">powered </w:t>
      </w:r>
      <w:r w:rsidRPr="00BE78D9">
        <w:rPr>
          <w:szCs w:val="22"/>
        </w:rPr>
        <w:t>by electricity</w:t>
      </w:r>
      <w:r>
        <w:rPr>
          <w:szCs w:val="22"/>
        </w:rPr>
        <w:t xml:space="preserve"> (e.g. locomotives and passenger trains)</w:t>
      </w:r>
      <w:r w:rsidRPr="00BE78D9">
        <w:rPr>
          <w:szCs w:val="22"/>
        </w:rPr>
        <w:t>.</w:t>
      </w:r>
    </w:p>
    <w:p w14:paraId="5C2AB7F0" w14:textId="044A5883" w:rsidR="00B861D9" w:rsidRDefault="00B861D9" w:rsidP="00B861D9">
      <w:pPr>
        <w:snapToGrid w:val="0"/>
        <w:rPr>
          <w:szCs w:val="22"/>
        </w:rPr>
      </w:pPr>
      <w:r w:rsidRPr="00BE78D9">
        <w:rPr>
          <w:szCs w:val="22"/>
        </w:rPr>
        <w:t>Total electrici</w:t>
      </w:r>
      <w:r>
        <w:rPr>
          <w:szCs w:val="22"/>
        </w:rPr>
        <w:t>ty consumed by the three stationary classes of RAC equipment, AC, domestic refrigeration and the stationary equipment in the refrigerated cold food chain, is equal to some 220</w:t>
      </w:r>
      <w:r w:rsidRPr="00BE78D9">
        <w:rPr>
          <w:szCs w:val="22"/>
        </w:rPr>
        <w:t xml:space="preserve"> </w:t>
      </w:r>
      <w:r w:rsidR="00F46DC8">
        <w:rPr>
          <w:szCs w:val="22"/>
        </w:rPr>
        <w:t>p</w:t>
      </w:r>
      <w:r w:rsidRPr="00BE78D9">
        <w:rPr>
          <w:szCs w:val="22"/>
        </w:rPr>
        <w:t>eta</w:t>
      </w:r>
      <w:r>
        <w:rPr>
          <w:szCs w:val="22"/>
        </w:rPr>
        <w:t>j</w:t>
      </w:r>
      <w:r w:rsidRPr="00BE78D9">
        <w:rPr>
          <w:szCs w:val="22"/>
        </w:rPr>
        <w:t>oules (PJ) of energy.</w:t>
      </w:r>
    </w:p>
    <w:p w14:paraId="6DDF6859" w14:textId="33324E7E" w:rsidR="00B861D9" w:rsidRDefault="00B861D9" w:rsidP="00B861D9">
      <w:pPr>
        <w:snapToGrid w:val="0"/>
        <w:rPr>
          <w:szCs w:val="22"/>
        </w:rPr>
      </w:pPr>
      <w:r w:rsidRPr="00BE78D9">
        <w:rPr>
          <w:szCs w:val="22"/>
        </w:rPr>
        <w:t>With th</w:t>
      </w:r>
      <w:r>
        <w:rPr>
          <w:szCs w:val="22"/>
        </w:rPr>
        <w:t>e addition of the estimated 38</w:t>
      </w:r>
      <w:r w:rsidRPr="00BE78D9">
        <w:rPr>
          <w:szCs w:val="22"/>
        </w:rPr>
        <w:t xml:space="preserve"> PJ consumed in liquid fuels providing mobile air conditioning and transport refrigeration</w:t>
      </w:r>
      <w:r>
        <w:rPr>
          <w:szCs w:val="22"/>
        </w:rPr>
        <w:t>, t</w:t>
      </w:r>
      <w:r w:rsidRPr="00BE78D9">
        <w:rPr>
          <w:szCs w:val="22"/>
        </w:rPr>
        <w:t>otal energy consumed for the provision of R</w:t>
      </w:r>
      <w:r>
        <w:rPr>
          <w:szCs w:val="22"/>
        </w:rPr>
        <w:t>AC services in Australia in 2016</w:t>
      </w:r>
      <w:r w:rsidRPr="00BE78D9">
        <w:rPr>
          <w:szCs w:val="22"/>
        </w:rPr>
        <w:t xml:space="preserve"> </w:t>
      </w:r>
      <w:r w:rsidR="00F46DC8">
        <w:rPr>
          <w:szCs w:val="22"/>
        </w:rPr>
        <w:t xml:space="preserve">was </w:t>
      </w:r>
      <w:r>
        <w:rPr>
          <w:szCs w:val="22"/>
        </w:rPr>
        <w:t>approximately 258 PJ which, for instance, is only slightly less than twice the amount of total final energy consumption used in all Australian agriculture and construction combined in 2016. Or to provide another comparison of scale, is more than 80% of all final energy consumed in all commercial buildings and activities in Australia in 2016 (p16, DoEE 2017b).</w:t>
      </w:r>
    </w:p>
    <w:p w14:paraId="2EB30955" w14:textId="56F65406" w:rsidR="00B861D9" w:rsidRDefault="00B861D9" w:rsidP="00B861D9">
      <w:pPr>
        <w:snapToGrid w:val="0"/>
        <w:rPr>
          <w:szCs w:val="22"/>
        </w:rPr>
      </w:pPr>
      <w:r>
        <w:rPr>
          <w:szCs w:val="22"/>
        </w:rPr>
        <w:t>If the estimated $</w:t>
      </w:r>
      <w:r w:rsidR="000B2361">
        <w:rPr>
          <w:szCs w:val="22"/>
        </w:rPr>
        <w:t>1,567</w:t>
      </w:r>
      <w:r>
        <w:rPr>
          <w:szCs w:val="22"/>
        </w:rPr>
        <w:t xml:space="preserve"> million cost of liquid fuels (at an average price of $1.</w:t>
      </w:r>
      <w:r w:rsidR="000B2361">
        <w:rPr>
          <w:szCs w:val="22"/>
        </w:rPr>
        <w:t>25</w:t>
      </w:r>
      <w:r>
        <w:rPr>
          <w:szCs w:val="22"/>
        </w:rPr>
        <w:t xml:space="preserve"> per litre) consumed providing mobile AC </w:t>
      </w:r>
      <w:r w:rsidR="000B2361">
        <w:rPr>
          <w:szCs w:val="22"/>
        </w:rPr>
        <w:t xml:space="preserve">and refrigerated transport </w:t>
      </w:r>
      <w:r>
        <w:rPr>
          <w:szCs w:val="22"/>
        </w:rPr>
        <w:t>is added to the cost of electricity consumed by stationary RAC in 2016, the total cost of energy used in cooling services in Australia in 2016 was roughly $1</w:t>
      </w:r>
      <w:r w:rsidR="000B2361">
        <w:rPr>
          <w:szCs w:val="22"/>
        </w:rPr>
        <w:t>4</w:t>
      </w:r>
      <w:r>
        <w:rPr>
          <w:szCs w:val="22"/>
        </w:rPr>
        <w:t>.</w:t>
      </w:r>
      <w:r w:rsidR="000B2361">
        <w:rPr>
          <w:szCs w:val="22"/>
        </w:rPr>
        <w:t>04</w:t>
      </w:r>
      <w:r>
        <w:rPr>
          <w:szCs w:val="22"/>
        </w:rPr>
        <w:t xml:space="preserve"> billion dollars.</w:t>
      </w:r>
    </w:p>
    <w:p w14:paraId="2579C40B" w14:textId="77777777" w:rsidR="00B861D9" w:rsidRPr="00BE78D9" w:rsidRDefault="00B861D9" w:rsidP="00B861D9">
      <w:pPr>
        <w:snapToGrid w:val="0"/>
        <w:rPr>
          <w:szCs w:val="22"/>
        </w:rPr>
      </w:pPr>
    </w:p>
    <w:p w14:paraId="4B629C62" w14:textId="4FE9E09A" w:rsidR="00B861D9" w:rsidRPr="0091124D" w:rsidRDefault="00B861D9" w:rsidP="00B861D9">
      <w:pPr>
        <w:pStyle w:val="Heading2"/>
      </w:pPr>
      <w:bookmarkStart w:id="166" w:name="_Toc525141301"/>
      <w:r>
        <w:t xml:space="preserve">Indirect </w:t>
      </w:r>
      <w:r w:rsidR="006002E4">
        <w:t>e</w:t>
      </w:r>
      <w:r w:rsidRPr="0091124D">
        <w:t>missions</w:t>
      </w:r>
      <w:r w:rsidR="00D216CC">
        <w:t xml:space="preserve"> and </w:t>
      </w:r>
      <w:r w:rsidR="006002E4">
        <w:t>t</w:t>
      </w:r>
      <w:r w:rsidR="00D216CC">
        <w:t xml:space="preserve">otal </w:t>
      </w:r>
      <w:r w:rsidR="006002E4">
        <w:t>e</w:t>
      </w:r>
      <w:r w:rsidR="00D216CC">
        <w:t>missions</w:t>
      </w:r>
      <w:bookmarkEnd w:id="166"/>
    </w:p>
    <w:p w14:paraId="211632E5" w14:textId="5710B92F" w:rsidR="00B861D9" w:rsidRDefault="00FE74F2" w:rsidP="00B861D9">
      <w:pPr>
        <w:snapToGrid w:val="0"/>
        <w:rPr>
          <w:szCs w:val="22"/>
        </w:rPr>
      </w:pPr>
      <w:r>
        <w:rPr>
          <w:szCs w:val="22"/>
        </w:rPr>
        <w:t>‘Indirect’</w:t>
      </w:r>
      <w:r w:rsidR="00B861D9">
        <w:rPr>
          <w:szCs w:val="22"/>
        </w:rPr>
        <w:t xml:space="preserve"> greenhouse gas emissions result from the consumption of energy (electricity or liquid fuels) in the delivery of a service. </w:t>
      </w:r>
    </w:p>
    <w:p w14:paraId="6BAB461E" w14:textId="1A923C17" w:rsidR="00B861D9" w:rsidRPr="00916BF8" w:rsidRDefault="00B861D9" w:rsidP="00B861D9">
      <w:pPr>
        <w:snapToGrid w:val="0"/>
        <w:rPr>
          <w:szCs w:val="22"/>
        </w:rPr>
      </w:pPr>
      <w:r>
        <w:rPr>
          <w:szCs w:val="22"/>
        </w:rPr>
        <w:t>T</w:t>
      </w:r>
      <w:r w:rsidRPr="00916BF8">
        <w:rPr>
          <w:szCs w:val="22"/>
        </w:rPr>
        <w:t xml:space="preserve">he indirect emissions from </w:t>
      </w:r>
      <w:r>
        <w:rPr>
          <w:szCs w:val="22"/>
        </w:rPr>
        <w:t>energy consumed to deliver cooling</w:t>
      </w:r>
      <w:r w:rsidRPr="00916BF8">
        <w:rPr>
          <w:szCs w:val="22"/>
        </w:rPr>
        <w:t xml:space="preserve"> ser</w:t>
      </w:r>
      <w:r>
        <w:rPr>
          <w:szCs w:val="22"/>
        </w:rPr>
        <w:t>vices in Australia in 2016</w:t>
      </w:r>
      <w:r w:rsidRPr="00916BF8">
        <w:rPr>
          <w:szCs w:val="22"/>
        </w:rPr>
        <w:t xml:space="preserve"> </w:t>
      </w:r>
      <w:r w:rsidR="0025650B">
        <w:rPr>
          <w:szCs w:val="22"/>
        </w:rPr>
        <w:t xml:space="preserve">is </w:t>
      </w:r>
      <w:r>
        <w:rPr>
          <w:szCs w:val="22"/>
        </w:rPr>
        <w:t>calculated as being more than 58.</w:t>
      </w:r>
      <w:r w:rsidR="0035211C">
        <w:rPr>
          <w:szCs w:val="22"/>
        </w:rPr>
        <w:t>7</w:t>
      </w:r>
      <w:r>
        <w:rPr>
          <w:szCs w:val="22"/>
        </w:rPr>
        <w:t xml:space="preserve"> million tonnes of CO</w:t>
      </w:r>
      <w:r w:rsidRPr="007D20F4">
        <w:rPr>
          <w:szCs w:val="22"/>
          <w:vertAlign w:val="subscript"/>
        </w:rPr>
        <w:t>2</w:t>
      </w:r>
      <w:r>
        <w:rPr>
          <w:szCs w:val="22"/>
        </w:rPr>
        <w:t>e in 2016 (</w:t>
      </w:r>
      <w:r w:rsidRPr="00946F9B">
        <w:rPr>
          <w:i/>
          <w:szCs w:val="22"/>
        </w:rPr>
        <w:t>CHF2 57 Mt of CO</w:t>
      </w:r>
      <w:r w:rsidRPr="00946F9B">
        <w:rPr>
          <w:i/>
          <w:szCs w:val="22"/>
          <w:vertAlign w:val="subscript"/>
        </w:rPr>
        <w:t>2</w:t>
      </w:r>
      <w:r w:rsidRPr="00946F9B">
        <w:rPr>
          <w:i/>
          <w:szCs w:val="22"/>
        </w:rPr>
        <w:t>e</w:t>
      </w:r>
      <w:r>
        <w:rPr>
          <w:szCs w:val="22"/>
        </w:rPr>
        <w:t>)</w:t>
      </w:r>
      <w:r w:rsidRPr="00916BF8">
        <w:rPr>
          <w:szCs w:val="22"/>
        </w:rPr>
        <w:t xml:space="preserve">. </w:t>
      </w:r>
    </w:p>
    <w:p w14:paraId="24ADDF51" w14:textId="5D9BDE96" w:rsidR="00B861D9" w:rsidRPr="002F5BD9" w:rsidRDefault="00B861D9" w:rsidP="00B861D9">
      <w:pPr>
        <w:snapToGrid w:val="0"/>
        <w:rPr>
          <w:szCs w:val="22"/>
        </w:rPr>
      </w:pPr>
      <w:r w:rsidRPr="00916BF8">
        <w:rPr>
          <w:szCs w:val="22"/>
        </w:rPr>
        <w:t xml:space="preserve">The share of indirect greenhouse gas emissions produced by energy used to deliver refrigeration and air conditioning services </w:t>
      </w:r>
      <w:r w:rsidR="0025650B">
        <w:rPr>
          <w:szCs w:val="22"/>
        </w:rPr>
        <w:t>is</w:t>
      </w:r>
      <w:r w:rsidR="0025650B" w:rsidRPr="00916BF8">
        <w:rPr>
          <w:szCs w:val="22"/>
        </w:rPr>
        <w:t xml:space="preserve"> </w:t>
      </w:r>
      <w:r w:rsidRPr="00916BF8">
        <w:rPr>
          <w:szCs w:val="22"/>
        </w:rPr>
        <w:t xml:space="preserve">illustrated in </w:t>
      </w:r>
      <w:r w:rsidR="00E5701B">
        <w:rPr>
          <w:i/>
          <w:szCs w:val="22"/>
        </w:rPr>
        <w:t>Figure 5</w:t>
      </w:r>
      <w:r w:rsidR="0023612A">
        <w:rPr>
          <w:i/>
          <w:szCs w:val="22"/>
        </w:rPr>
        <w:t>2</w:t>
      </w:r>
      <w:r>
        <w:rPr>
          <w:szCs w:val="22"/>
        </w:rPr>
        <w:t xml:space="preserve">. Once again it can be seen that </w:t>
      </w:r>
      <w:r w:rsidR="0025650B">
        <w:rPr>
          <w:szCs w:val="22"/>
        </w:rPr>
        <w:t>s</w:t>
      </w:r>
      <w:r>
        <w:rPr>
          <w:szCs w:val="22"/>
        </w:rPr>
        <w:t>tationary AC dominates the analysis, producing more than 52% of energy related indirect greenhouse gas emissions from RAC.</w:t>
      </w:r>
    </w:p>
    <w:p w14:paraId="3D5CE7FD" w14:textId="77777777" w:rsidR="00B861D9" w:rsidRDefault="00B861D9" w:rsidP="00B861D9">
      <w:pPr>
        <w:snapToGrid w:val="0"/>
      </w:pPr>
    </w:p>
    <w:p w14:paraId="303CAC47" w14:textId="79ECA86C" w:rsidR="00C91D3D" w:rsidRDefault="00C91D3D">
      <w:pPr>
        <w:spacing w:before="0"/>
        <w:jc w:val="lef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B861D9" w:rsidRPr="005D159D" w14:paraId="6CA9DB3B" w14:textId="77777777" w:rsidTr="0035211C">
        <w:tc>
          <w:tcPr>
            <w:tcW w:w="9492" w:type="dxa"/>
            <w:vAlign w:val="center"/>
          </w:tcPr>
          <w:p w14:paraId="22A9F1B1" w14:textId="33616DBE" w:rsidR="00B861D9" w:rsidRPr="005D159D" w:rsidRDefault="00B861D9" w:rsidP="00B861D9">
            <w:pPr>
              <w:spacing w:after="120"/>
              <w:jc w:val="center"/>
              <w:rPr>
                <w:b/>
                <w:sz w:val="24"/>
              </w:rPr>
            </w:pPr>
            <w:r w:rsidRPr="005D159D">
              <w:rPr>
                <w:b/>
                <w:sz w:val="24"/>
              </w:rPr>
              <w:br w:type="page"/>
            </w:r>
            <w:r w:rsidR="006002E4">
              <w:rPr>
                <w:b/>
                <w:sz w:val="24"/>
              </w:rPr>
              <w:t>Indirect e</w:t>
            </w:r>
            <w:r>
              <w:rPr>
                <w:b/>
                <w:sz w:val="24"/>
              </w:rPr>
              <w:t xml:space="preserve">missions </w:t>
            </w:r>
            <w:r w:rsidRPr="0068265E">
              <w:rPr>
                <w:b/>
                <w:sz w:val="24"/>
              </w:rPr>
              <w:t xml:space="preserve">by </w:t>
            </w:r>
            <w:r w:rsidR="006002E4">
              <w:rPr>
                <w:b/>
                <w:sz w:val="24"/>
              </w:rPr>
              <w:t>m</w:t>
            </w:r>
            <w:r w:rsidRPr="0068265E">
              <w:rPr>
                <w:b/>
                <w:sz w:val="24"/>
              </w:rPr>
              <w:t xml:space="preserve">ajor </w:t>
            </w:r>
            <w:r w:rsidR="006002E4">
              <w:rPr>
                <w:b/>
                <w:sz w:val="24"/>
              </w:rPr>
              <w:t>c</w:t>
            </w:r>
            <w:r w:rsidRPr="0068265E">
              <w:rPr>
                <w:b/>
                <w:sz w:val="24"/>
              </w:rPr>
              <w:t>lass (Mt CO</w:t>
            </w:r>
            <w:r w:rsidRPr="0068265E">
              <w:rPr>
                <w:b/>
                <w:sz w:val="24"/>
                <w:vertAlign w:val="subscript"/>
              </w:rPr>
              <w:t>2</w:t>
            </w:r>
            <w:r w:rsidRPr="0068265E">
              <w:rPr>
                <w:b/>
                <w:sz w:val="24"/>
              </w:rPr>
              <w:t>e)</w:t>
            </w:r>
          </w:p>
        </w:tc>
      </w:tr>
      <w:tr w:rsidR="00B861D9" w:rsidRPr="00BD20BC" w14:paraId="0A15BDCB" w14:textId="77777777" w:rsidTr="0035211C">
        <w:tc>
          <w:tcPr>
            <w:tcW w:w="9492" w:type="dxa"/>
            <w:vAlign w:val="center"/>
          </w:tcPr>
          <w:p w14:paraId="4B4C4EA9" w14:textId="77777777" w:rsidR="00B861D9" w:rsidRDefault="00B861D9" w:rsidP="0035211C">
            <w:pPr>
              <w:spacing w:before="60" w:after="60"/>
              <w:jc w:val="center"/>
              <w:rPr>
                <w:sz w:val="16"/>
                <w:szCs w:val="16"/>
              </w:rPr>
            </w:pPr>
          </w:p>
          <w:p w14:paraId="49727658" w14:textId="10884FB8" w:rsidR="00B861D9" w:rsidRDefault="0035211C" w:rsidP="0035211C">
            <w:pPr>
              <w:spacing w:before="60" w:after="60"/>
              <w:jc w:val="center"/>
              <w:rPr>
                <w:sz w:val="16"/>
                <w:szCs w:val="16"/>
              </w:rPr>
            </w:pPr>
            <w:r>
              <w:rPr>
                <w:noProof/>
                <w:lang w:val="en-AU" w:eastAsia="en-AU"/>
              </w:rPr>
              <w:drawing>
                <wp:inline distT="0" distB="0" distL="0" distR="0" wp14:anchorId="5866F712" wp14:editId="4C68D12B">
                  <wp:extent cx="4311726" cy="402485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9785" b="4059"/>
                          <a:stretch/>
                        </pic:blipFill>
                        <pic:spPr bwMode="auto">
                          <a:xfrm>
                            <a:off x="0" y="0"/>
                            <a:ext cx="4312800" cy="4025862"/>
                          </a:xfrm>
                          <a:prstGeom prst="rect">
                            <a:avLst/>
                          </a:prstGeom>
                          <a:ln>
                            <a:noFill/>
                          </a:ln>
                          <a:extLst>
                            <a:ext uri="{53640926-AAD7-44D8-BBD7-CCE9431645EC}">
                              <a14:shadowObscured xmlns:a14="http://schemas.microsoft.com/office/drawing/2010/main"/>
                            </a:ext>
                          </a:extLst>
                        </pic:spPr>
                      </pic:pic>
                    </a:graphicData>
                  </a:graphic>
                </wp:inline>
              </w:drawing>
            </w:r>
          </w:p>
          <w:p w14:paraId="4732FCB6" w14:textId="77777777" w:rsidR="00B861D9" w:rsidRPr="00BD20BC" w:rsidRDefault="00B861D9" w:rsidP="0035211C">
            <w:pPr>
              <w:spacing w:before="60" w:after="60"/>
              <w:jc w:val="center"/>
              <w:rPr>
                <w:sz w:val="16"/>
                <w:szCs w:val="16"/>
              </w:rPr>
            </w:pPr>
          </w:p>
        </w:tc>
      </w:tr>
      <w:tr w:rsidR="00B861D9" w:rsidRPr="00042727" w14:paraId="5B0DE337" w14:textId="77777777" w:rsidTr="0035211C">
        <w:tc>
          <w:tcPr>
            <w:tcW w:w="9492" w:type="dxa"/>
            <w:vAlign w:val="center"/>
          </w:tcPr>
          <w:p w14:paraId="7F1EC8E5" w14:textId="4831437D" w:rsidR="00B861D9" w:rsidRPr="0023612A" w:rsidRDefault="0023612A" w:rsidP="0023612A">
            <w:pPr>
              <w:pStyle w:val="Caption"/>
              <w:rPr>
                <w:szCs w:val="22"/>
              </w:rPr>
            </w:pPr>
            <w:bookmarkStart w:id="167" w:name="_Toc233083993"/>
            <w:bookmarkStart w:id="168" w:name="_Toc525141383"/>
            <w:r w:rsidRPr="0023612A">
              <w:rPr>
                <w:szCs w:val="22"/>
              </w:rPr>
              <w:t xml:space="preserve">Figure </w:t>
            </w:r>
            <w:r w:rsidRPr="0023612A">
              <w:rPr>
                <w:szCs w:val="22"/>
              </w:rPr>
              <w:fldChar w:fldCharType="begin"/>
            </w:r>
            <w:r w:rsidRPr="0023612A">
              <w:rPr>
                <w:szCs w:val="22"/>
              </w:rPr>
              <w:instrText xml:space="preserve"> SEQ Figure \* ARABIC </w:instrText>
            </w:r>
            <w:r w:rsidRPr="0023612A">
              <w:rPr>
                <w:szCs w:val="22"/>
              </w:rPr>
              <w:fldChar w:fldCharType="separate"/>
            </w:r>
            <w:r w:rsidR="00715E05">
              <w:rPr>
                <w:noProof/>
                <w:szCs w:val="22"/>
              </w:rPr>
              <w:t>52</w:t>
            </w:r>
            <w:r w:rsidRPr="0023612A">
              <w:rPr>
                <w:szCs w:val="22"/>
              </w:rPr>
              <w:fldChar w:fldCharType="end"/>
            </w:r>
            <w:r w:rsidR="00B861D9" w:rsidRPr="0023612A">
              <w:rPr>
                <w:szCs w:val="22"/>
              </w:rPr>
              <w:t>: Indirect emissions by major class in Mt CO</w:t>
            </w:r>
            <w:r w:rsidR="00B861D9" w:rsidRPr="0023612A">
              <w:rPr>
                <w:szCs w:val="22"/>
                <w:vertAlign w:val="subscript"/>
              </w:rPr>
              <w:t>2</w:t>
            </w:r>
            <w:r w:rsidRPr="0023612A">
              <w:rPr>
                <w:szCs w:val="22"/>
              </w:rPr>
              <w:t>e and per</w:t>
            </w:r>
            <w:r w:rsidR="00B861D9" w:rsidRPr="0023612A">
              <w:rPr>
                <w:szCs w:val="22"/>
              </w:rPr>
              <w:t>cent</w:t>
            </w:r>
            <w:bookmarkEnd w:id="167"/>
            <w:r w:rsidR="00B861D9" w:rsidRPr="0023612A">
              <w:rPr>
                <w:szCs w:val="22"/>
              </w:rPr>
              <w:t>.</w:t>
            </w:r>
            <w:bookmarkEnd w:id="168"/>
          </w:p>
        </w:tc>
      </w:tr>
    </w:tbl>
    <w:p w14:paraId="3ED28FB8" w14:textId="00FCA920" w:rsidR="00B861D9" w:rsidRPr="005F51BB" w:rsidRDefault="00B861D9" w:rsidP="00B861D9">
      <w:pPr>
        <w:spacing w:before="0"/>
        <w:rPr>
          <w:sz w:val="20"/>
          <w:szCs w:val="20"/>
        </w:rPr>
      </w:pPr>
      <w:r w:rsidRPr="005F51BB">
        <w:rPr>
          <w:sz w:val="20"/>
          <w:szCs w:val="20"/>
        </w:rPr>
        <w:t xml:space="preserve">(Source: </w:t>
      </w:r>
      <w:r w:rsidR="007A1335">
        <w:rPr>
          <w:sz w:val="20"/>
          <w:szCs w:val="20"/>
        </w:rPr>
        <w:t>CHF3 RAC Stock model</w:t>
      </w:r>
      <w:r w:rsidRPr="005F51BB">
        <w:rPr>
          <w:sz w:val="20"/>
          <w:szCs w:val="20"/>
        </w:rPr>
        <w:t>)</w:t>
      </w:r>
    </w:p>
    <w:p w14:paraId="2EE05E69" w14:textId="77777777" w:rsidR="00B861D9" w:rsidRPr="005C0EAC" w:rsidRDefault="00B861D9" w:rsidP="0035211C">
      <w:pPr>
        <w:spacing w:before="60"/>
        <w:rPr>
          <w:rFonts w:cs="Times New Roman"/>
          <w:sz w:val="20"/>
          <w:szCs w:val="20"/>
          <w:lang w:val="en-AU"/>
        </w:rPr>
      </w:pPr>
      <w:r w:rsidRPr="005C0EAC">
        <w:rPr>
          <w:rFonts w:cs="Times New Roman"/>
          <w:sz w:val="20"/>
          <w:szCs w:val="20"/>
          <w:lang w:val="en-AU"/>
        </w:rPr>
        <w:t>Notes:</w:t>
      </w:r>
    </w:p>
    <w:p w14:paraId="7092B071" w14:textId="2BF9F464" w:rsidR="00B861D9" w:rsidRPr="005C0EAC" w:rsidRDefault="00B861D9" w:rsidP="0035211C">
      <w:pPr>
        <w:pStyle w:val="ListParagraph"/>
        <w:numPr>
          <w:ilvl w:val="0"/>
          <w:numId w:val="44"/>
        </w:numPr>
        <w:spacing w:beforeLines="60" w:before="144" w:after="0" w:line="240" w:lineRule="auto"/>
        <w:contextualSpacing w:val="0"/>
        <w:jc w:val="both"/>
        <w:rPr>
          <w:rFonts w:ascii="Times New Roman" w:hAnsi="Times New Roman"/>
          <w:sz w:val="20"/>
          <w:szCs w:val="20"/>
          <w:lang w:val="en-AU"/>
        </w:rPr>
      </w:pPr>
      <w:r w:rsidRPr="0091124D">
        <w:rPr>
          <w:rFonts w:ascii="Times New Roman" w:hAnsi="Times New Roman"/>
          <w:sz w:val="20"/>
          <w:szCs w:val="20"/>
          <w:lang w:val="en-AU"/>
        </w:rPr>
        <w:t xml:space="preserve">CHF3 </w:t>
      </w:r>
      <w:r>
        <w:rPr>
          <w:rFonts w:ascii="Times New Roman" w:hAnsi="Times New Roman"/>
          <w:sz w:val="20"/>
          <w:szCs w:val="20"/>
          <w:lang w:val="en-AU"/>
        </w:rPr>
        <w:t xml:space="preserve">uses </w:t>
      </w:r>
      <w:r w:rsidRPr="0091124D">
        <w:rPr>
          <w:rFonts w:ascii="Times New Roman" w:hAnsi="Times New Roman"/>
          <w:sz w:val="20"/>
          <w:szCs w:val="20"/>
          <w:lang w:val="en-AU"/>
        </w:rPr>
        <w:t xml:space="preserve">the latest national estimate Scope 2 and 3 emissions factors </w:t>
      </w:r>
      <w:r>
        <w:rPr>
          <w:rFonts w:ascii="Times New Roman" w:hAnsi="Times New Roman"/>
          <w:sz w:val="20"/>
          <w:szCs w:val="20"/>
          <w:lang w:val="en-AU"/>
        </w:rPr>
        <w:t xml:space="preserve">to convert electricity consumption to indirect emissions. Refer </w:t>
      </w:r>
      <w:r w:rsidRPr="0091124D">
        <w:rPr>
          <w:rFonts w:ascii="Times New Roman" w:hAnsi="Times New Roman"/>
          <w:sz w:val="20"/>
          <w:szCs w:val="20"/>
          <w:lang w:val="en-AU"/>
        </w:rPr>
        <w:t xml:space="preserve">consumption of purchased electricity by end users </w:t>
      </w:r>
      <w:r w:rsidR="00AD44DF" w:rsidRPr="0091124D">
        <w:rPr>
          <w:rFonts w:ascii="Times New Roman" w:hAnsi="Times New Roman"/>
          <w:sz w:val="20"/>
          <w:szCs w:val="20"/>
          <w:lang w:val="en-AU"/>
        </w:rPr>
        <w:t xml:space="preserve">(Table 41, </w:t>
      </w:r>
      <w:r w:rsidR="00AD44DF">
        <w:rPr>
          <w:rFonts w:ascii="Times New Roman" w:hAnsi="Times New Roman"/>
          <w:sz w:val="20"/>
          <w:szCs w:val="20"/>
        </w:rPr>
        <w:t>NGA Factor DoEE 2017</w:t>
      </w:r>
      <w:r w:rsidR="00AD44DF" w:rsidRPr="0091124D">
        <w:rPr>
          <w:rFonts w:ascii="Times New Roman" w:hAnsi="Times New Roman"/>
          <w:sz w:val="20"/>
          <w:szCs w:val="20"/>
          <w:lang w:val="en-AU"/>
        </w:rPr>
        <w:t>)</w:t>
      </w:r>
      <w:r w:rsidR="00AD44DF">
        <w:rPr>
          <w:rFonts w:ascii="Times New Roman" w:hAnsi="Times New Roman"/>
          <w:sz w:val="20"/>
          <w:szCs w:val="20"/>
          <w:lang w:val="en-AU"/>
        </w:rPr>
        <w:t xml:space="preserve"> for a value of </w:t>
      </w:r>
      <w:r>
        <w:rPr>
          <w:rFonts w:ascii="Times New Roman" w:hAnsi="Times New Roman"/>
          <w:sz w:val="20"/>
          <w:szCs w:val="20"/>
          <w:lang w:val="en-AU"/>
        </w:rPr>
        <w:t>0.</w:t>
      </w:r>
      <w:r w:rsidR="00AD44DF">
        <w:rPr>
          <w:rFonts w:ascii="Times New Roman" w:hAnsi="Times New Roman"/>
          <w:sz w:val="20"/>
          <w:szCs w:val="20"/>
          <w:lang w:val="en-AU"/>
        </w:rPr>
        <w:t>8</w:t>
      </w:r>
      <w:r>
        <w:rPr>
          <w:rFonts w:ascii="Times New Roman" w:hAnsi="Times New Roman"/>
          <w:sz w:val="20"/>
          <w:szCs w:val="20"/>
          <w:lang w:val="en-AU"/>
        </w:rPr>
        <w:t>1 kg CO</w:t>
      </w:r>
      <w:r w:rsidRPr="0091124D">
        <w:rPr>
          <w:rFonts w:ascii="Times New Roman" w:hAnsi="Times New Roman"/>
          <w:sz w:val="20"/>
          <w:szCs w:val="20"/>
          <w:vertAlign w:val="subscript"/>
          <w:lang w:val="en-AU"/>
        </w:rPr>
        <w:t>2</w:t>
      </w:r>
      <w:r>
        <w:rPr>
          <w:rFonts w:ascii="Times New Roman" w:hAnsi="Times New Roman"/>
          <w:sz w:val="20"/>
          <w:szCs w:val="20"/>
          <w:lang w:val="en-AU"/>
        </w:rPr>
        <w:t>e/kWh</w:t>
      </w:r>
      <w:r w:rsidRPr="005C0EAC">
        <w:rPr>
          <w:rFonts w:ascii="Times New Roman" w:hAnsi="Times New Roman"/>
          <w:sz w:val="20"/>
          <w:szCs w:val="20"/>
          <w:lang w:val="en-AU"/>
        </w:rPr>
        <w:t>.</w:t>
      </w:r>
    </w:p>
    <w:p w14:paraId="4687D823" w14:textId="77777777" w:rsidR="00B861D9" w:rsidRDefault="00B861D9" w:rsidP="00B861D9">
      <w:pPr>
        <w:snapToGrid w:val="0"/>
        <w:rPr>
          <w:szCs w:val="22"/>
        </w:rPr>
      </w:pPr>
    </w:p>
    <w:p w14:paraId="647B7E92" w14:textId="2F217825" w:rsidR="00B861D9" w:rsidRDefault="00B861D9" w:rsidP="00B861D9">
      <w:pPr>
        <w:snapToGrid w:val="0"/>
        <w:rPr>
          <w:szCs w:val="22"/>
        </w:rPr>
      </w:pPr>
      <w:r>
        <w:rPr>
          <w:szCs w:val="22"/>
        </w:rPr>
        <w:t>Combin</w:t>
      </w:r>
      <w:r w:rsidR="00F46DC8">
        <w:rPr>
          <w:szCs w:val="22"/>
        </w:rPr>
        <w:t>e</w:t>
      </w:r>
      <w:r>
        <w:rPr>
          <w:szCs w:val="22"/>
        </w:rPr>
        <w:t xml:space="preserve"> the calculations of the global warming impact of refrigerant lost to air, as discussed in </w:t>
      </w:r>
      <w:r w:rsidR="00F13F58">
        <w:rPr>
          <w:i/>
          <w:szCs w:val="22"/>
        </w:rPr>
        <w:t>Section 8</w:t>
      </w:r>
      <w:r>
        <w:rPr>
          <w:szCs w:val="22"/>
        </w:rPr>
        <w:t>, with these estimates of energy related emissions and it is apparent that RAC equipment has a major role to play in the national greenhouse gas inventory.</w:t>
      </w:r>
    </w:p>
    <w:p w14:paraId="32809C9C" w14:textId="0DA80997" w:rsidR="00B861D9" w:rsidRPr="005A572D" w:rsidRDefault="005A572D" w:rsidP="005A572D">
      <w:pPr>
        <w:pStyle w:val="Caption"/>
        <w:keepNext/>
        <w:rPr>
          <w:szCs w:val="22"/>
        </w:rPr>
      </w:pPr>
      <w:bookmarkStart w:id="169" w:name="_Toc525141416"/>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27</w:t>
      </w:r>
      <w:r w:rsidR="009D6843">
        <w:rPr>
          <w:noProof/>
        </w:rPr>
        <w:fldChar w:fldCharType="end"/>
      </w:r>
      <w:r w:rsidRPr="005A572D">
        <w:t xml:space="preserve">: </w:t>
      </w:r>
      <w:r w:rsidR="00B861D9" w:rsidRPr="005A572D">
        <w:rPr>
          <w:szCs w:val="22"/>
        </w:rPr>
        <w:t>Direct and indirect emissions of RAC equipment in 2016</w:t>
      </w:r>
      <w:r w:rsidR="00F46DC8">
        <w:rPr>
          <w:szCs w:val="22"/>
        </w:rPr>
        <w:t xml:space="preserve"> in Mt CO</w:t>
      </w:r>
      <w:r w:rsidR="00F46DC8" w:rsidRPr="00F46DC8">
        <w:rPr>
          <w:szCs w:val="22"/>
          <w:vertAlign w:val="subscript"/>
        </w:rPr>
        <w:t>2</w:t>
      </w:r>
      <w:r w:rsidR="00F46DC8">
        <w:rPr>
          <w:szCs w:val="22"/>
        </w:rPr>
        <w:t>e</w:t>
      </w:r>
      <w:r w:rsidR="00B861D9" w:rsidRPr="005A572D">
        <w:rPr>
          <w:szCs w:val="22"/>
        </w:rPr>
        <w:t>.</w:t>
      </w:r>
      <w:bookmarkEnd w:id="169"/>
    </w:p>
    <w:tbl>
      <w:tblPr>
        <w:tblW w:w="9498" w:type="dxa"/>
        <w:tblInd w:w="-5" w:type="dxa"/>
        <w:tblBorders>
          <w:top w:val="nil"/>
          <w:left w:val="nil"/>
          <w:right w:val="nil"/>
        </w:tblBorders>
        <w:tblLayout w:type="fixed"/>
        <w:tblLook w:val="0000" w:firstRow="0" w:lastRow="0" w:firstColumn="0" w:lastColumn="0" w:noHBand="0" w:noVBand="0"/>
      </w:tblPr>
      <w:tblGrid>
        <w:gridCol w:w="1843"/>
        <w:gridCol w:w="1275"/>
        <w:gridCol w:w="1276"/>
        <w:gridCol w:w="1276"/>
        <w:gridCol w:w="1276"/>
        <w:gridCol w:w="1276"/>
        <w:gridCol w:w="1276"/>
      </w:tblGrid>
      <w:tr w:rsidR="00B861D9" w:rsidRPr="00885839" w14:paraId="669D9507" w14:textId="77777777" w:rsidTr="007A1335">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bottom"/>
          </w:tcPr>
          <w:p w14:paraId="0B04CDCA" w14:textId="77777777" w:rsidR="00B861D9" w:rsidRPr="00885839" w:rsidRDefault="00B861D9" w:rsidP="00B861D9">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 </w:t>
            </w:r>
          </w:p>
        </w:tc>
        <w:tc>
          <w:tcPr>
            <w:tcW w:w="2551" w:type="dxa"/>
            <w:gridSpan w:val="2"/>
            <w:tcBorders>
              <w:top w:val="single" w:sz="4" w:space="0" w:color="000000"/>
              <w:bottom w:val="single" w:sz="4" w:space="0" w:color="000000"/>
              <w:right w:val="single" w:sz="4" w:space="0" w:color="000000"/>
            </w:tcBorders>
            <w:shd w:val="clear" w:color="auto" w:fill="B6DDE8" w:themeFill="accent5" w:themeFillTint="66"/>
            <w:vAlign w:val="center"/>
          </w:tcPr>
          <w:p w14:paraId="52576BF0" w14:textId="77777777" w:rsidR="00B861D9" w:rsidRPr="00885839" w:rsidRDefault="00B861D9" w:rsidP="00B861D9">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Direct emissions</w:t>
            </w:r>
          </w:p>
        </w:tc>
        <w:tc>
          <w:tcPr>
            <w:tcW w:w="2552" w:type="dxa"/>
            <w:gridSpan w:val="2"/>
            <w:tcBorders>
              <w:top w:val="single" w:sz="4" w:space="0" w:color="000000"/>
              <w:bottom w:val="single" w:sz="4" w:space="0" w:color="000000"/>
              <w:right w:val="single" w:sz="4" w:space="0" w:color="000000"/>
            </w:tcBorders>
            <w:shd w:val="clear" w:color="auto" w:fill="B6DDE8" w:themeFill="accent5" w:themeFillTint="66"/>
            <w:vAlign w:val="center"/>
          </w:tcPr>
          <w:p w14:paraId="7ED4C0CF" w14:textId="77777777" w:rsidR="00B861D9" w:rsidRPr="00885839" w:rsidRDefault="00B861D9" w:rsidP="00B861D9">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Indirect emissions</w:t>
            </w:r>
          </w:p>
        </w:tc>
        <w:tc>
          <w:tcPr>
            <w:tcW w:w="2552" w:type="dxa"/>
            <w:gridSpan w:val="2"/>
            <w:tcBorders>
              <w:top w:val="single" w:sz="4" w:space="0" w:color="000000"/>
              <w:bottom w:val="single" w:sz="4" w:space="0" w:color="000000"/>
              <w:right w:val="single" w:sz="4" w:space="0" w:color="000000"/>
            </w:tcBorders>
            <w:shd w:val="clear" w:color="auto" w:fill="B6DDE8" w:themeFill="accent5" w:themeFillTint="66"/>
            <w:vAlign w:val="center"/>
          </w:tcPr>
          <w:p w14:paraId="42F5B13F" w14:textId="77777777" w:rsidR="00B861D9" w:rsidRPr="00885839" w:rsidRDefault="00B861D9" w:rsidP="00B861D9">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Total emissions</w:t>
            </w:r>
          </w:p>
        </w:tc>
      </w:tr>
      <w:tr w:rsidR="0035211C" w:rsidRPr="00885839" w14:paraId="47C5CFAE" w14:textId="77777777" w:rsidTr="00E2172C">
        <w:tblPrEx>
          <w:tblBorders>
            <w:top w:val="none" w:sz="0" w:space="0" w:color="auto"/>
          </w:tblBorders>
        </w:tblPrEx>
        <w:tc>
          <w:tcPr>
            <w:tcW w:w="1843" w:type="dxa"/>
            <w:tcBorders>
              <w:left w:val="single" w:sz="4" w:space="0" w:color="000000"/>
              <w:bottom w:val="single" w:sz="4" w:space="0" w:color="000000"/>
              <w:right w:val="single" w:sz="4" w:space="0" w:color="000000"/>
            </w:tcBorders>
            <w:vAlign w:val="center"/>
          </w:tcPr>
          <w:p w14:paraId="466B10E6" w14:textId="77777777" w:rsidR="0035211C" w:rsidRPr="00885839" w:rsidRDefault="0035211C" w:rsidP="00E2172C">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Stationary AC</w:t>
            </w:r>
          </w:p>
        </w:tc>
        <w:tc>
          <w:tcPr>
            <w:tcW w:w="1275" w:type="dxa"/>
            <w:tcBorders>
              <w:bottom w:val="single" w:sz="4" w:space="0" w:color="000000"/>
              <w:right w:val="single" w:sz="4" w:space="0" w:color="000000"/>
            </w:tcBorders>
            <w:vAlign w:val="center"/>
          </w:tcPr>
          <w:p w14:paraId="14741BDA" w14:textId="4B9CFB04"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2.19</w:t>
            </w:r>
          </w:p>
        </w:tc>
        <w:tc>
          <w:tcPr>
            <w:tcW w:w="1276" w:type="dxa"/>
            <w:tcBorders>
              <w:bottom w:val="single" w:sz="4" w:space="0" w:color="000000"/>
              <w:right w:val="single" w:sz="4" w:space="0" w:color="000000"/>
            </w:tcBorders>
            <w:vAlign w:val="center"/>
          </w:tcPr>
          <w:p w14:paraId="455D3AEF" w14:textId="0A05879F"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34%</w:t>
            </w:r>
          </w:p>
        </w:tc>
        <w:tc>
          <w:tcPr>
            <w:tcW w:w="1276" w:type="dxa"/>
            <w:tcBorders>
              <w:bottom w:val="single" w:sz="4" w:space="0" w:color="000000"/>
              <w:right w:val="single" w:sz="4" w:space="0" w:color="000000"/>
            </w:tcBorders>
            <w:vAlign w:val="center"/>
          </w:tcPr>
          <w:p w14:paraId="24AABA44" w14:textId="28ABA429"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30.44</w:t>
            </w:r>
          </w:p>
        </w:tc>
        <w:tc>
          <w:tcPr>
            <w:tcW w:w="1276" w:type="dxa"/>
            <w:tcBorders>
              <w:bottom w:val="single" w:sz="4" w:space="0" w:color="000000"/>
              <w:right w:val="single" w:sz="4" w:space="0" w:color="000000"/>
            </w:tcBorders>
            <w:vAlign w:val="center"/>
          </w:tcPr>
          <w:p w14:paraId="44B89B91" w14:textId="77777777"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52%</w:t>
            </w:r>
          </w:p>
        </w:tc>
        <w:tc>
          <w:tcPr>
            <w:tcW w:w="1276" w:type="dxa"/>
            <w:tcBorders>
              <w:bottom w:val="single" w:sz="4" w:space="0" w:color="000000"/>
              <w:right w:val="single" w:sz="4" w:space="0" w:color="000000"/>
            </w:tcBorders>
            <w:vAlign w:val="center"/>
          </w:tcPr>
          <w:p w14:paraId="7934F3D9" w14:textId="46784F99"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32.63</w:t>
            </w:r>
          </w:p>
        </w:tc>
        <w:tc>
          <w:tcPr>
            <w:tcW w:w="1276" w:type="dxa"/>
            <w:tcBorders>
              <w:bottom w:val="single" w:sz="4" w:space="0" w:color="000000"/>
              <w:right w:val="single" w:sz="4" w:space="0" w:color="000000"/>
            </w:tcBorders>
            <w:vAlign w:val="center"/>
          </w:tcPr>
          <w:p w14:paraId="7F7BB46E" w14:textId="2FF5B64D"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50%</w:t>
            </w:r>
          </w:p>
        </w:tc>
      </w:tr>
      <w:tr w:rsidR="0035211C" w:rsidRPr="00885839" w14:paraId="667A1FFA" w14:textId="77777777" w:rsidTr="00E2172C">
        <w:tblPrEx>
          <w:tblBorders>
            <w:top w:val="none" w:sz="0" w:space="0" w:color="auto"/>
          </w:tblBorders>
        </w:tblPrEx>
        <w:tc>
          <w:tcPr>
            <w:tcW w:w="1843" w:type="dxa"/>
            <w:tcBorders>
              <w:left w:val="single" w:sz="4" w:space="0" w:color="000000"/>
              <w:bottom w:val="single" w:sz="4" w:space="0" w:color="000000"/>
              <w:right w:val="single" w:sz="4" w:space="0" w:color="000000"/>
            </w:tcBorders>
            <w:vAlign w:val="center"/>
          </w:tcPr>
          <w:p w14:paraId="0ABD1976" w14:textId="77777777" w:rsidR="0035211C" w:rsidRPr="00885839" w:rsidRDefault="0035211C" w:rsidP="00E2172C">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Mobile AC</w:t>
            </w:r>
          </w:p>
        </w:tc>
        <w:tc>
          <w:tcPr>
            <w:tcW w:w="1275" w:type="dxa"/>
            <w:tcBorders>
              <w:bottom w:val="single" w:sz="4" w:space="0" w:color="000000"/>
              <w:right w:val="single" w:sz="4" w:space="0" w:color="000000"/>
            </w:tcBorders>
            <w:vAlign w:val="center"/>
          </w:tcPr>
          <w:p w14:paraId="13866FC7" w14:textId="781577F9"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1.25</w:t>
            </w:r>
          </w:p>
        </w:tc>
        <w:tc>
          <w:tcPr>
            <w:tcW w:w="1276" w:type="dxa"/>
            <w:tcBorders>
              <w:bottom w:val="single" w:sz="4" w:space="0" w:color="000000"/>
              <w:right w:val="single" w:sz="4" w:space="0" w:color="000000"/>
            </w:tcBorders>
            <w:vAlign w:val="center"/>
          </w:tcPr>
          <w:p w14:paraId="277AE9B4" w14:textId="11A0263B"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20%</w:t>
            </w:r>
          </w:p>
        </w:tc>
        <w:tc>
          <w:tcPr>
            <w:tcW w:w="1276" w:type="dxa"/>
            <w:tcBorders>
              <w:bottom w:val="single" w:sz="4" w:space="0" w:color="000000"/>
              <w:right w:val="single" w:sz="4" w:space="0" w:color="000000"/>
            </w:tcBorders>
            <w:vAlign w:val="center"/>
          </w:tcPr>
          <w:p w14:paraId="31647203" w14:textId="016EBA91"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2.96</w:t>
            </w:r>
            <w:r w:rsidR="00E2172C">
              <w:rPr>
                <w:rFonts w:eastAsiaTheme="minorHAnsi" w:cs="Times New Roman"/>
                <w:color w:val="000000"/>
                <w:szCs w:val="22"/>
                <w:lang w:val="en-AU"/>
              </w:rPr>
              <w:t xml:space="preserve"> </w:t>
            </w:r>
            <w:r w:rsidR="00E2172C" w:rsidRPr="00E2172C">
              <w:rPr>
                <w:rFonts w:eastAsiaTheme="minorHAnsi" w:cs="Times New Roman"/>
                <w:color w:val="000000"/>
                <w:szCs w:val="22"/>
                <w:vertAlign w:val="superscript"/>
                <w:lang w:val="en-AU"/>
              </w:rPr>
              <w:t>(1)</w:t>
            </w:r>
          </w:p>
        </w:tc>
        <w:tc>
          <w:tcPr>
            <w:tcW w:w="1276" w:type="dxa"/>
            <w:tcBorders>
              <w:bottom w:val="single" w:sz="4" w:space="0" w:color="000000"/>
              <w:right w:val="single" w:sz="4" w:space="0" w:color="000000"/>
            </w:tcBorders>
            <w:vAlign w:val="center"/>
          </w:tcPr>
          <w:p w14:paraId="7576ABD6" w14:textId="77777777"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5%</w:t>
            </w:r>
          </w:p>
        </w:tc>
        <w:tc>
          <w:tcPr>
            <w:tcW w:w="1276" w:type="dxa"/>
            <w:tcBorders>
              <w:bottom w:val="single" w:sz="4" w:space="0" w:color="000000"/>
              <w:right w:val="single" w:sz="4" w:space="0" w:color="000000"/>
            </w:tcBorders>
            <w:vAlign w:val="center"/>
          </w:tcPr>
          <w:p w14:paraId="64AB2D45" w14:textId="60D95719"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4.21</w:t>
            </w:r>
          </w:p>
        </w:tc>
        <w:tc>
          <w:tcPr>
            <w:tcW w:w="1276" w:type="dxa"/>
            <w:tcBorders>
              <w:bottom w:val="single" w:sz="4" w:space="0" w:color="000000"/>
              <w:right w:val="single" w:sz="4" w:space="0" w:color="000000"/>
            </w:tcBorders>
            <w:vAlign w:val="center"/>
          </w:tcPr>
          <w:p w14:paraId="15F4AC13" w14:textId="6ADB9C0B"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6%</w:t>
            </w:r>
          </w:p>
        </w:tc>
      </w:tr>
      <w:tr w:rsidR="0035211C" w:rsidRPr="00885839" w14:paraId="7AE3A3D1" w14:textId="77777777" w:rsidTr="00E2172C">
        <w:tblPrEx>
          <w:tblBorders>
            <w:top w:val="none" w:sz="0" w:space="0" w:color="auto"/>
          </w:tblBorders>
        </w:tblPrEx>
        <w:tc>
          <w:tcPr>
            <w:tcW w:w="1843" w:type="dxa"/>
            <w:tcBorders>
              <w:left w:val="single" w:sz="4" w:space="0" w:color="000000"/>
              <w:bottom w:val="single" w:sz="4" w:space="0" w:color="000000"/>
              <w:right w:val="single" w:sz="4" w:space="0" w:color="000000"/>
            </w:tcBorders>
            <w:vAlign w:val="center"/>
          </w:tcPr>
          <w:p w14:paraId="7629BA2B" w14:textId="77777777" w:rsidR="0035211C" w:rsidRPr="00885839" w:rsidRDefault="0035211C" w:rsidP="00E2172C">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Domestic Refrigeration</w:t>
            </w:r>
          </w:p>
        </w:tc>
        <w:tc>
          <w:tcPr>
            <w:tcW w:w="1275" w:type="dxa"/>
            <w:tcBorders>
              <w:bottom w:val="single" w:sz="4" w:space="0" w:color="000000"/>
              <w:right w:val="single" w:sz="4" w:space="0" w:color="000000"/>
            </w:tcBorders>
            <w:vAlign w:val="center"/>
          </w:tcPr>
          <w:p w14:paraId="39D80998" w14:textId="5E8709A0"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0.05</w:t>
            </w:r>
          </w:p>
        </w:tc>
        <w:tc>
          <w:tcPr>
            <w:tcW w:w="1276" w:type="dxa"/>
            <w:tcBorders>
              <w:bottom w:val="single" w:sz="4" w:space="0" w:color="000000"/>
              <w:right w:val="single" w:sz="4" w:space="0" w:color="000000"/>
            </w:tcBorders>
            <w:vAlign w:val="center"/>
          </w:tcPr>
          <w:p w14:paraId="2FF4DD5E" w14:textId="0FACC6F1"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1%</w:t>
            </w:r>
          </w:p>
        </w:tc>
        <w:tc>
          <w:tcPr>
            <w:tcW w:w="1276" w:type="dxa"/>
            <w:tcBorders>
              <w:bottom w:val="single" w:sz="4" w:space="0" w:color="000000"/>
              <w:right w:val="single" w:sz="4" w:space="0" w:color="000000"/>
            </w:tcBorders>
            <w:vAlign w:val="center"/>
          </w:tcPr>
          <w:p w14:paraId="5FDD2E1F" w14:textId="351D5A61"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7.77</w:t>
            </w:r>
          </w:p>
        </w:tc>
        <w:tc>
          <w:tcPr>
            <w:tcW w:w="1276" w:type="dxa"/>
            <w:tcBorders>
              <w:bottom w:val="single" w:sz="4" w:space="0" w:color="000000"/>
              <w:right w:val="single" w:sz="4" w:space="0" w:color="000000"/>
            </w:tcBorders>
            <w:vAlign w:val="center"/>
          </w:tcPr>
          <w:p w14:paraId="433F4656" w14:textId="77777777"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13%</w:t>
            </w:r>
          </w:p>
        </w:tc>
        <w:tc>
          <w:tcPr>
            <w:tcW w:w="1276" w:type="dxa"/>
            <w:tcBorders>
              <w:bottom w:val="single" w:sz="4" w:space="0" w:color="000000"/>
              <w:right w:val="single" w:sz="4" w:space="0" w:color="000000"/>
            </w:tcBorders>
            <w:vAlign w:val="center"/>
          </w:tcPr>
          <w:p w14:paraId="6D7A1A5F" w14:textId="54C95B4E"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7.82</w:t>
            </w:r>
          </w:p>
        </w:tc>
        <w:tc>
          <w:tcPr>
            <w:tcW w:w="1276" w:type="dxa"/>
            <w:tcBorders>
              <w:bottom w:val="single" w:sz="4" w:space="0" w:color="000000"/>
              <w:right w:val="single" w:sz="4" w:space="0" w:color="000000"/>
            </w:tcBorders>
            <w:vAlign w:val="center"/>
          </w:tcPr>
          <w:p w14:paraId="00529325" w14:textId="05B8F04A"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12%</w:t>
            </w:r>
          </w:p>
        </w:tc>
      </w:tr>
      <w:tr w:rsidR="0035211C" w:rsidRPr="00885839" w14:paraId="7C63A9CD" w14:textId="77777777" w:rsidTr="00E2172C">
        <w:tblPrEx>
          <w:tblBorders>
            <w:top w:val="none" w:sz="0" w:space="0" w:color="auto"/>
          </w:tblBorders>
        </w:tblPrEx>
        <w:tc>
          <w:tcPr>
            <w:tcW w:w="1843" w:type="dxa"/>
            <w:tcBorders>
              <w:left w:val="single" w:sz="4" w:space="0" w:color="000000"/>
              <w:bottom w:val="single" w:sz="4" w:space="0" w:color="000000"/>
              <w:right w:val="single" w:sz="4" w:space="0" w:color="000000"/>
            </w:tcBorders>
            <w:vAlign w:val="center"/>
          </w:tcPr>
          <w:p w14:paraId="0A107DAB" w14:textId="77777777" w:rsidR="0035211C" w:rsidRPr="00885839" w:rsidRDefault="0035211C" w:rsidP="00E2172C">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Refrigerated cold food chain</w:t>
            </w:r>
          </w:p>
        </w:tc>
        <w:tc>
          <w:tcPr>
            <w:tcW w:w="1275" w:type="dxa"/>
            <w:tcBorders>
              <w:bottom w:val="single" w:sz="4" w:space="0" w:color="000000"/>
              <w:right w:val="single" w:sz="4" w:space="0" w:color="000000"/>
            </w:tcBorders>
            <w:vAlign w:val="center"/>
          </w:tcPr>
          <w:p w14:paraId="35B1CAD6" w14:textId="130D852F"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2.91</w:t>
            </w:r>
          </w:p>
        </w:tc>
        <w:tc>
          <w:tcPr>
            <w:tcW w:w="1276" w:type="dxa"/>
            <w:tcBorders>
              <w:bottom w:val="single" w:sz="4" w:space="0" w:color="000000"/>
              <w:right w:val="single" w:sz="4" w:space="0" w:color="000000"/>
            </w:tcBorders>
            <w:vAlign w:val="center"/>
          </w:tcPr>
          <w:p w14:paraId="00BF32B0" w14:textId="5445E2F4"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46%</w:t>
            </w:r>
          </w:p>
        </w:tc>
        <w:tc>
          <w:tcPr>
            <w:tcW w:w="1276" w:type="dxa"/>
            <w:tcBorders>
              <w:bottom w:val="single" w:sz="4" w:space="0" w:color="000000"/>
              <w:right w:val="single" w:sz="4" w:space="0" w:color="000000"/>
            </w:tcBorders>
            <w:vAlign w:val="center"/>
          </w:tcPr>
          <w:p w14:paraId="42082D3B" w14:textId="0F49417C"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17.53</w:t>
            </w:r>
            <w:r w:rsidR="00E2172C">
              <w:rPr>
                <w:rFonts w:eastAsiaTheme="minorHAnsi" w:cs="Times New Roman"/>
                <w:color w:val="000000"/>
                <w:szCs w:val="22"/>
                <w:lang w:val="en-AU"/>
              </w:rPr>
              <w:t xml:space="preserve"> </w:t>
            </w:r>
            <w:r w:rsidR="00E2172C" w:rsidRPr="00E2172C">
              <w:rPr>
                <w:rFonts w:eastAsiaTheme="minorHAnsi" w:cs="Times New Roman"/>
                <w:color w:val="000000"/>
                <w:szCs w:val="22"/>
                <w:vertAlign w:val="superscript"/>
                <w:lang w:val="en-AU"/>
              </w:rPr>
              <w:t>(1)</w:t>
            </w:r>
          </w:p>
        </w:tc>
        <w:tc>
          <w:tcPr>
            <w:tcW w:w="1276" w:type="dxa"/>
            <w:tcBorders>
              <w:bottom w:val="single" w:sz="4" w:space="0" w:color="000000"/>
              <w:right w:val="single" w:sz="4" w:space="0" w:color="000000"/>
            </w:tcBorders>
            <w:vAlign w:val="center"/>
          </w:tcPr>
          <w:p w14:paraId="4EBBF91D" w14:textId="77777777"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30%</w:t>
            </w:r>
          </w:p>
        </w:tc>
        <w:tc>
          <w:tcPr>
            <w:tcW w:w="1276" w:type="dxa"/>
            <w:tcBorders>
              <w:bottom w:val="single" w:sz="4" w:space="0" w:color="000000"/>
              <w:right w:val="single" w:sz="4" w:space="0" w:color="000000"/>
            </w:tcBorders>
            <w:vAlign w:val="center"/>
          </w:tcPr>
          <w:p w14:paraId="1C50BA2F" w14:textId="3628CBE0"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20.45</w:t>
            </w:r>
          </w:p>
        </w:tc>
        <w:tc>
          <w:tcPr>
            <w:tcW w:w="1276" w:type="dxa"/>
            <w:tcBorders>
              <w:bottom w:val="single" w:sz="4" w:space="0" w:color="000000"/>
              <w:right w:val="single" w:sz="4" w:space="0" w:color="000000"/>
            </w:tcBorders>
            <w:vAlign w:val="center"/>
          </w:tcPr>
          <w:p w14:paraId="60035F16" w14:textId="11FA0EC7"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31%</w:t>
            </w:r>
          </w:p>
        </w:tc>
      </w:tr>
      <w:tr w:rsidR="0035211C" w:rsidRPr="00885839" w14:paraId="7751661B" w14:textId="77777777" w:rsidTr="00E2172C">
        <w:tc>
          <w:tcPr>
            <w:tcW w:w="1843" w:type="dxa"/>
            <w:tcBorders>
              <w:left w:val="single" w:sz="4" w:space="0" w:color="000000"/>
              <w:bottom w:val="single" w:sz="4" w:space="0" w:color="000000"/>
              <w:right w:val="single" w:sz="4" w:space="0" w:color="000000"/>
            </w:tcBorders>
            <w:vAlign w:val="center"/>
          </w:tcPr>
          <w:p w14:paraId="1676235F" w14:textId="50F6C802" w:rsidR="0035211C" w:rsidRPr="00885839" w:rsidRDefault="0035211C" w:rsidP="00E2172C">
            <w:pPr>
              <w:autoSpaceDE w:val="0"/>
              <w:autoSpaceDN w:val="0"/>
              <w:adjustRightInd w:val="0"/>
              <w:snapToGrid w:val="0"/>
              <w:spacing w:after="120"/>
              <w:jc w:val="left"/>
              <w:rPr>
                <w:rFonts w:eastAsiaTheme="minorHAnsi" w:cs="Times New Roman"/>
                <w:color w:val="000000"/>
                <w:szCs w:val="22"/>
                <w:lang w:val="en-AU"/>
              </w:rPr>
            </w:pPr>
          </w:p>
        </w:tc>
        <w:tc>
          <w:tcPr>
            <w:tcW w:w="1275" w:type="dxa"/>
            <w:tcBorders>
              <w:bottom w:val="single" w:sz="4" w:space="0" w:color="000000"/>
              <w:right w:val="single" w:sz="4" w:space="0" w:color="000000"/>
            </w:tcBorders>
            <w:vAlign w:val="center"/>
          </w:tcPr>
          <w:p w14:paraId="4D37BDC4" w14:textId="0EA8FF5C"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6.40</w:t>
            </w:r>
          </w:p>
        </w:tc>
        <w:tc>
          <w:tcPr>
            <w:tcW w:w="1276" w:type="dxa"/>
            <w:tcBorders>
              <w:bottom w:val="single" w:sz="4" w:space="0" w:color="000000"/>
              <w:right w:val="single" w:sz="4" w:space="0" w:color="000000"/>
            </w:tcBorders>
            <w:vAlign w:val="center"/>
          </w:tcPr>
          <w:p w14:paraId="6E77E244" w14:textId="77777777"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100%</w:t>
            </w:r>
          </w:p>
        </w:tc>
        <w:tc>
          <w:tcPr>
            <w:tcW w:w="1276" w:type="dxa"/>
            <w:tcBorders>
              <w:bottom w:val="single" w:sz="4" w:space="0" w:color="000000"/>
              <w:right w:val="single" w:sz="4" w:space="0" w:color="000000"/>
            </w:tcBorders>
            <w:vAlign w:val="center"/>
          </w:tcPr>
          <w:p w14:paraId="08303149" w14:textId="1AC51AD1"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58.70</w:t>
            </w:r>
          </w:p>
        </w:tc>
        <w:tc>
          <w:tcPr>
            <w:tcW w:w="1276" w:type="dxa"/>
            <w:tcBorders>
              <w:bottom w:val="single" w:sz="4" w:space="0" w:color="000000"/>
              <w:right w:val="single" w:sz="4" w:space="0" w:color="000000"/>
            </w:tcBorders>
            <w:vAlign w:val="center"/>
          </w:tcPr>
          <w:p w14:paraId="3BDF6442" w14:textId="77777777"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100%</w:t>
            </w:r>
          </w:p>
        </w:tc>
        <w:tc>
          <w:tcPr>
            <w:tcW w:w="1276" w:type="dxa"/>
            <w:tcBorders>
              <w:bottom w:val="single" w:sz="4" w:space="0" w:color="000000"/>
              <w:right w:val="single" w:sz="4" w:space="0" w:color="000000"/>
            </w:tcBorders>
            <w:vAlign w:val="center"/>
          </w:tcPr>
          <w:p w14:paraId="04160E4C" w14:textId="75E5C6BB"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65.10</w:t>
            </w:r>
          </w:p>
        </w:tc>
        <w:tc>
          <w:tcPr>
            <w:tcW w:w="1276" w:type="dxa"/>
            <w:tcBorders>
              <w:bottom w:val="single" w:sz="4" w:space="0" w:color="000000"/>
              <w:right w:val="single" w:sz="4" w:space="0" w:color="000000"/>
            </w:tcBorders>
            <w:vAlign w:val="center"/>
          </w:tcPr>
          <w:p w14:paraId="5D2F36AD" w14:textId="77777777" w:rsidR="0035211C" w:rsidRPr="00885839" w:rsidRDefault="0035211C" w:rsidP="0035211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100%</w:t>
            </w:r>
          </w:p>
        </w:tc>
      </w:tr>
    </w:tbl>
    <w:p w14:paraId="75298DDC" w14:textId="77777777" w:rsidR="0035211C" w:rsidRPr="005C0EAC" w:rsidRDefault="0035211C" w:rsidP="00E2172C">
      <w:pPr>
        <w:spacing w:before="60"/>
        <w:rPr>
          <w:rFonts w:cs="Times New Roman"/>
          <w:sz w:val="20"/>
          <w:szCs w:val="20"/>
          <w:lang w:val="en-AU"/>
        </w:rPr>
      </w:pPr>
      <w:r w:rsidRPr="005C0EAC">
        <w:rPr>
          <w:rFonts w:cs="Times New Roman"/>
          <w:sz w:val="20"/>
          <w:szCs w:val="20"/>
          <w:lang w:val="en-AU"/>
        </w:rPr>
        <w:t>Notes:</w:t>
      </w:r>
    </w:p>
    <w:p w14:paraId="31091A98" w14:textId="49FA4BFA" w:rsidR="0035211C" w:rsidRPr="0035211C" w:rsidRDefault="00E2172C" w:rsidP="00E2172C">
      <w:pPr>
        <w:pStyle w:val="ListParagraph"/>
        <w:numPr>
          <w:ilvl w:val="0"/>
          <w:numId w:val="60"/>
        </w:numPr>
        <w:spacing w:before="60" w:after="0" w:line="240" w:lineRule="auto"/>
        <w:contextualSpacing w:val="0"/>
        <w:jc w:val="both"/>
        <w:rPr>
          <w:rFonts w:ascii="Times New Roman" w:hAnsi="Times New Roman"/>
          <w:sz w:val="20"/>
          <w:szCs w:val="20"/>
          <w:lang w:val="en-AU"/>
        </w:rPr>
      </w:pPr>
      <w:r>
        <w:rPr>
          <w:rFonts w:ascii="Times New Roman" w:hAnsi="Times New Roman"/>
          <w:sz w:val="20"/>
          <w:szCs w:val="20"/>
          <w:lang w:val="en-AU"/>
        </w:rPr>
        <w:t>These values include emissions from consumption of liquid fuels (petrol and diesel).</w:t>
      </w:r>
    </w:p>
    <w:p w14:paraId="49AC86FF" w14:textId="77777777" w:rsidR="00E2172C" w:rsidRDefault="00E2172C" w:rsidP="00E2172C">
      <w:pPr>
        <w:rPr>
          <w:szCs w:val="22"/>
        </w:rPr>
      </w:pPr>
    </w:p>
    <w:p w14:paraId="5A9C670F" w14:textId="42B9A1D7" w:rsidR="00B861D9" w:rsidRDefault="00B861D9" w:rsidP="00E2172C">
      <w:pPr>
        <w:rPr>
          <w:szCs w:val="22"/>
        </w:rPr>
      </w:pPr>
      <w:r>
        <w:rPr>
          <w:szCs w:val="22"/>
        </w:rPr>
        <w:t xml:space="preserve">Notably, while the wide variety of hard working equipment in the refrigerated cold food chain </w:t>
      </w:r>
      <w:r w:rsidR="009D50F5">
        <w:rPr>
          <w:szCs w:val="22"/>
        </w:rPr>
        <w:t xml:space="preserve">is </w:t>
      </w:r>
      <w:r>
        <w:rPr>
          <w:szCs w:val="22"/>
        </w:rPr>
        <w:t xml:space="preserve">the largest single contributor to direct emissions, the largest cause of energy related emissions is stationary AC, which when the </w:t>
      </w:r>
      <w:r w:rsidR="00193DB7">
        <w:rPr>
          <w:szCs w:val="22"/>
        </w:rPr>
        <w:t>direct emissions</w:t>
      </w:r>
      <w:r>
        <w:rPr>
          <w:szCs w:val="22"/>
        </w:rPr>
        <w:t xml:space="preserve"> </w:t>
      </w:r>
      <w:r w:rsidR="009D50F5">
        <w:rPr>
          <w:szCs w:val="22"/>
        </w:rPr>
        <w:t xml:space="preserve">are </w:t>
      </w:r>
      <w:r>
        <w:rPr>
          <w:szCs w:val="22"/>
        </w:rPr>
        <w:t>added to indirect emissions, can be seen to have contributed 50% of all greenhouse emissions from RAC in 2016.</w:t>
      </w:r>
    </w:p>
    <w:p w14:paraId="3D2A86C3" w14:textId="77777777" w:rsidR="00B861D9" w:rsidRPr="0068225F" w:rsidRDefault="00B861D9" w:rsidP="00E2172C">
      <w:pPr>
        <w:rPr>
          <w:szCs w:val="22"/>
        </w:rPr>
      </w:pPr>
      <w:r w:rsidRPr="0068225F">
        <w:rPr>
          <w:szCs w:val="22"/>
        </w:rPr>
        <w:t xml:space="preserve">In something of an obvious ‘positive’ feedback loop, though with potentially very negative consequences, the demand for RAC services goes up strongly on hot days, significantly increasing demand for electricity.  </w:t>
      </w:r>
    </w:p>
    <w:p w14:paraId="1C2AB35F" w14:textId="66829456" w:rsidR="00B861D9" w:rsidRPr="0068225F" w:rsidRDefault="00B861D9" w:rsidP="00E2172C">
      <w:pPr>
        <w:rPr>
          <w:szCs w:val="22"/>
        </w:rPr>
      </w:pPr>
      <w:r w:rsidRPr="0068225F">
        <w:rPr>
          <w:szCs w:val="22"/>
        </w:rPr>
        <w:t xml:space="preserve">Hot days and peak electrical demand combine to decrease the efficiency of the electrical distribution systems. The higher the temperature of the distribution system components, particularly the transmission lines, the greater the resistance to transmission and thus the greater the transmission losses incurred. These increased losses </w:t>
      </w:r>
      <w:r w:rsidR="009F5EAE" w:rsidRPr="0068225F">
        <w:rPr>
          <w:szCs w:val="22"/>
        </w:rPr>
        <w:t>feed</w:t>
      </w:r>
      <w:r w:rsidR="009F5EAE">
        <w:rPr>
          <w:szCs w:val="22"/>
        </w:rPr>
        <w:t>b</w:t>
      </w:r>
      <w:r w:rsidR="009F5EAE" w:rsidRPr="0068225F">
        <w:rPr>
          <w:szCs w:val="22"/>
        </w:rPr>
        <w:t>ack</w:t>
      </w:r>
      <w:r w:rsidRPr="0068225F">
        <w:rPr>
          <w:szCs w:val="22"/>
        </w:rPr>
        <w:t xml:space="preserve"> directly into the average greenhouse gas emissions calculated for every kWh of electricity consumed, and into the total national emissions.</w:t>
      </w:r>
    </w:p>
    <w:p w14:paraId="2D2FF7BD" w14:textId="577EA398" w:rsidR="00B861D9" w:rsidRPr="0068225F" w:rsidRDefault="00B861D9" w:rsidP="00E2172C">
      <w:pPr>
        <w:rPr>
          <w:szCs w:val="22"/>
        </w:rPr>
      </w:pPr>
      <w:r w:rsidRPr="0068225F">
        <w:rPr>
          <w:szCs w:val="22"/>
        </w:rPr>
        <w:t xml:space="preserve">Rapid growth in installed air conditioning, starting in earnest around the turn of the century, has often been noted in the last decade as a major driver of new </w:t>
      </w:r>
      <w:r>
        <w:rPr>
          <w:szCs w:val="22"/>
        </w:rPr>
        <w:t xml:space="preserve">electricity demand </w:t>
      </w:r>
      <w:r w:rsidRPr="0068225F">
        <w:rPr>
          <w:szCs w:val="22"/>
        </w:rPr>
        <w:t xml:space="preserve">and </w:t>
      </w:r>
      <w:r>
        <w:rPr>
          <w:szCs w:val="22"/>
        </w:rPr>
        <w:t xml:space="preserve">of </w:t>
      </w:r>
      <w:r w:rsidRPr="0068225F">
        <w:rPr>
          <w:szCs w:val="22"/>
        </w:rPr>
        <w:t>peak electric</w:t>
      </w:r>
      <w:r>
        <w:rPr>
          <w:szCs w:val="22"/>
        </w:rPr>
        <w:t xml:space="preserve">ity demand, requiring </w:t>
      </w:r>
      <w:r w:rsidRPr="0068225F">
        <w:rPr>
          <w:szCs w:val="22"/>
        </w:rPr>
        <w:t>large investments in transmission and distribution infrastructure</w:t>
      </w:r>
      <w:r>
        <w:rPr>
          <w:szCs w:val="22"/>
        </w:rPr>
        <w:t xml:space="preserve"> to ensure capacity to meet peak demand that occurs only relatively rarely throughout the year</w:t>
      </w:r>
      <w:r w:rsidRPr="0068225F">
        <w:rPr>
          <w:szCs w:val="22"/>
        </w:rPr>
        <w:t>. This investment in electr</w:t>
      </w:r>
      <w:r>
        <w:rPr>
          <w:szCs w:val="22"/>
        </w:rPr>
        <w:t>ical infrastructure has been one of the</w:t>
      </w:r>
      <w:r w:rsidRPr="0068225F">
        <w:rPr>
          <w:szCs w:val="22"/>
        </w:rPr>
        <w:t xml:space="preserve"> main reason</w:t>
      </w:r>
      <w:r>
        <w:rPr>
          <w:szCs w:val="22"/>
        </w:rPr>
        <w:t>s</w:t>
      </w:r>
      <w:r w:rsidRPr="0068225F">
        <w:rPr>
          <w:szCs w:val="22"/>
        </w:rPr>
        <w:t xml:space="preserve"> for </w:t>
      </w:r>
      <w:r>
        <w:rPr>
          <w:szCs w:val="22"/>
        </w:rPr>
        <w:t xml:space="preserve">consumer </w:t>
      </w:r>
      <w:r w:rsidRPr="0068225F">
        <w:rPr>
          <w:szCs w:val="22"/>
        </w:rPr>
        <w:t xml:space="preserve">electricity price increases in Australia in recent years. </w:t>
      </w:r>
    </w:p>
    <w:p w14:paraId="243FD84A" w14:textId="77777777" w:rsidR="00B861D9" w:rsidRPr="0068225F" w:rsidRDefault="00B861D9" w:rsidP="00E2172C">
      <w:pPr>
        <w:rPr>
          <w:szCs w:val="22"/>
        </w:rPr>
      </w:pPr>
      <w:r w:rsidRPr="0068225F">
        <w:rPr>
          <w:szCs w:val="22"/>
        </w:rPr>
        <w:t>The total energy consumption for RAC systems calculated from the stock model is dependent on the estimated average annual hours of use of equipment in each category. Many of these estimates of hours of use have been informed by manufacturer’s data, estimates from previous studies into particular equipment categories</w:t>
      </w:r>
      <w:r>
        <w:rPr>
          <w:szCs w:val="22"/>
        </w:rPr>
        <w:t>,</w:t>
      </w:r>
      <w:r w:rsidRPr="0068225F">
        <w:rPr>
          <w:szCs w:val="22"/>
        </w:rPr>
        <w:t xml:space="preserve"> and </w:t>
      </w:r>
      <w:r>
        <w:rPr>
          <w:szCs w:val="22"/>
        </w:rPr>
        <w:t xml:space="preserve">from </w:t>
      </w:r>
      <w:r w:rsidRPr="0068225F">
        <w:rPr>
          <w:szCs w:val="22"/>
        </w:rPr>
        <w:t xml:space="preserve">first-hand experience of some categories. However, even if adjusting annual hours of use to </w:t>
      </w:r>
      <w:r>
        <w:rPr>
          <w:szCs w:val="22"/>
        </w:rPr>
        <w:t xml:space="preserve">the </w:t>
      </w:r>
      <w:r w:rsidRPr="0068225F">
        <w:rPr>
          <w:szCs w:val="22"/>
        </w:rPr>
        <w:t>lowest likely estimates for the equipment categories (</w:t>
      </w:r>
      <w:r>
        <w:rPr>
          <w:szCs w:val="22"/>
        </w:rPr>
        <w:t xml:space="preserve">in those categories </w:t>
      </w:r>
      <w:r w:rsidRPr="0068225F">
        <w:rPr>
          <w:szCs w:val="22"/>
        </w:rPr>
        <w:t xml:space="preserve">where there is less certainty), the </w:t>
      </w:r>
      <w:r>
        <w:rPr>
          <w:szCs w:val="22"/>
        </w:rPr>
        <w:t xml:space="preserve">end result is a less than </w:t>
      </w:r>
      <w:r w:rsidRPr="0068225F">
        <w:rPr>
          <w:szCs w:val="22"/>
        </w:rPr>
        <w:t>10 per cent reduction in the estimates of total energy use.</w:t>
      </w:r>
    </w:p>
    <w:p w14:paraId="4059656D" w14:textId="2B322316" w:rsidR="00B861D9" w:rsidRDefault="00B861D9" w:rsidP="00E2172C">
      <w:pPr>
        <w:rPr>
          <w:szCs w:val="22"/>
        </w:rPr>
      </w:pPr>
      <w:r w:rsidRPr="0068225F">
        <w:rPr>
          <w:szCs w:val="22"/>
        </w:rPr>
        <w:t xml:space="preserve">In reality, given what we know about equipment in the field, it is possible that </w:t>
      </w:r>
      <w:r>
        <w:rPr>
          <w:szCs w:val="22"/>
        </w:rPr>
        <w:t xml:space="preserve">total </w:t>
      </w:r>
      <w:r w:rsidRPr="0068225F">
        <w:rPr>
          <w:szCs w:val="22"/>
        </w:rPr>
        <w:t>estimated energy use</w:t>
      </w:r>
      <w:r>
        <w:rPr>
          <w:szCs w:val="22"/>
        </w:rPr>
        <w:t xml:space="preserve">, and thus the proportion of total </w:t>
      </w:r>
      <w:r w:rsidR="00A106BE">
        <w:rPr>
          <w:szCs w:val="22"/>
        </w:rPr>
        <w:t xml:space="preserve">national </w:t>
      </w:r>
      <w:r>
        <w:rPr>
          <w:szCs w:val="22"/>
        </w:rPr>
        <w:t>greenhouse gas emissions</w:t>
      </w:r>
      <w:r w:rsidR="009D50F5">
        <w:rPr>
          <w:szCs w:val="22"/>
        </w:rPr>
        <w:t>,</w:t>
      </w:r>
      <w:r w:rsidRPr="0068225F">
        <w:rPr>
          <w:szCs w:val="22"/>
        </w:rPr>
        <w:t xml:space="preserve"> is low. This is particularly relevant in the smaller equipment sizes where hundreds of thousands, and in some cases millions, of pieces of equipment are likely to be </w:t>
      </w:r>
      <w:r w:rsidR="00A106BE">
        <w:rPr>
          <w:szCs w:val="22"/>
        </w:rPr>
        <w:t xml:space="preserve">under </w:t>
      </w:r>
      <w:r w:rsidRPr="0068225F">
        <w:rPr>
          <w:szCs w:val="22"/>
        </w:rPr>
        <w:t>serviced.</w:t>
      </w:r>
      <w:r>
        <w:rPr>
          <w:szCs w:val="22"/>
        </w:rPr>
        <w:t xml:space="preserve"> Routine maintenance of air conditioning equipment (or lack of it) can have a profound effect on overall energy use in RAC equipment. </w:t>
      </w:r>
    </w:p>
    <w:p w14:paraId="4094D892" w14:textId="0965FBC3" w:rsidR="00B861D9" w:rsidRPr="0068225F" w:rsidRDefault="00B861D9" w:rsidP="00E2172C">
      <w:pPr>
        <w:rPr>
          <w:szCs w:val="22"/>
        </w:rPr>
      </w:pPr>
      <w:r>
        <w:rPr>
          <w:szCs w:val="22"/>
        </w:rPr>
        <w:t xml:space="preserve">Maintenance of optimal refrigerant charge at the design specification of the compressor and condenser employed in a piece of equipment </w:t>
      </w:r>
      <w:r w:rsidR="00820460">
        <w:rPr>
          <w:szCs w:val="22"/>
        </w:rPr>
        <w:t>contributes to</w:t>
      </w:r>
      <w:r>
        <w:rPr>
          <w:szCs w:val="22"/>
        </w:rPr>
        <w:t xml:space="preserve"> the most efficient transfer of heat. </w:t>
      </w:r>
      <w:r w:rsidR="00820460">
        <w:rPr>
          <w:szCs w:val="22"/>
        </w:rPr>
        <w:t>C</w:t>
      </w:r>
      <w:r>
        <w:rPr>
          <w:szCs w:val="22"/>
        </w:rPr>
        <w:t>leaning of air filters and removing grime from heat exchange surfaces are very simple measures that have a direct impact on energy efficiency in RAC equipment as well. Unfortunately, even such simple servicing of RAC equipment is often not done.</w:t>
      </w:r>
    </w:p>
    <w:p w14:paraId="7B88F8AD" w14:textId="1F78BE3B" w:rsidR="00FD1D77" w:rsidRDefault="00654DD4" w:rsidP="00E2172C">
      <w:pPr>
        <w:rPr>
          <w:rFonts w:cs="Times New Roman"/>
          <w:szCs w:val="22"/>
        </w:rPr>
      </w:pPr>
      <w:r>
        <w:rPr>
          <w:rFonts w:cs="Times New Roman"/>
          <w:szCs w:val="22"/>
        </w:rPr>
        <w:t xml:space="preserve">When incorporating EOL emissions estimates with </w:t>
      </w:r>
      <w:r w:rsidR="00F863A5">
        <w:rPr>
          <w:rFonts w:cs="Times New Roman"/>
          <w:szCs w:val="22"/>
        </w:rPr>
        <w:t>direct emissions</w:t>
      </w:r>
      <w:r>
        <w:rPr>
          <w:rFonts w:cs="Times New Roman"/>
          <w:szCs w:val="22"/>
        </w:rPr>
        <w:t xml:space="preserve"> and energy related emissions, the significant role of RAC technology in </w:t>
      </w:r>
      <w:r w:rsidR="0029179E">
        <w:rPr>
          <w:rFonts w:cs="Times New Roman"/>
          <w:szCs w:val="22"/>
        </w:rPr>
        <w:t xml:space="preserve">Australian emissions is </w:t>
      </w:r>
      <w:r>
        <w:rPr>
          <w:rFonts w:cs="Times New Roman"/>
          <w:szCs w:val="22"/>
        </w:rPr>
        <w:t xml:space="preserve">further underlined. The sum of </w:t>
      </w:r>
      <w:r w:rsidR="00F863A5">
        <w:rPr>
          <w:rFonts w:cs="Times New Roman"/>
          <w:szCs w:val="22"/>
        </w:rPr>
        <w:t>direct emissions</w:t>
      </w:r>
      <w:r>
        <w:rPr>
          <w:rFonts w:cs="Times New Roman"/>
          <w:szCs w:val="22"/>
        </w:rPr>
        <w:t xml:space="preserve"> and EOL emissions in 2016 is calculated to be equivalent to just under 10.6 million tonnes of CO</w:t>
      </w:r>
      <w:r w:rsidRPr="007F0663">
        <w:rPr>
          <w:rFonts w:cs="Times New Roman"/>
          <w:szCs w:val="22"/>
          <w:vertAlign w:val="subscript"/>
        </w:rPr>
        <w:t>2</w:t>
      </w:r>
      <w:r>
        <w:rPr>
          <w:rFonts w:cs="Times New Roman"/>
          <w:szCs w:val="22"/>
        </w:rPr>
        <w:t xml:space="preserve">e. </w:t>
      </w:r>
      <w:r w:rsidR="0032482F">
        <w:rPr>
          <w:rFonts w:cs="Times New Roman"/>
          <w:szCs w:val="22"/>
        </w:rPr>
        <w:t>Approximately 68% or 7.2 million tonnes CO</w:t>
      </w:r>
      <w:r w:rsidR="0032482F" w:rsidRPr="0032482F">
        <w:rPr>
          <w:rFonts w:cs="Times New Roman"/>
          <w:szCs w:val="22"/>
          <w:vertAlign w:val="subscript"/>
        </w:rPr>
        <w:t>2</w:t>
      </w:r>
      <w:r w:rsidR="0032482F">
        <w:rPr>
          <w:rFonts w:cs="Times New Roman"/>
          <w:szCs w:val="22"/>
        </w:rPr>
        <w:t>e of these emissions are calculated to be HFC emissions, with the balance being the effect of the GWP of HCFC emissions.</w:t>
      </w:r>
    </w:p>
    <w:p w14:paraId="65347332" w14:textId="6AA02774" w:rsidR="00FD1D77" w:rsidRDefault="00FD1D77" w:rsidP="00E2172C">
      <w:pPr>
        <w:rPr>
          <w:rFonts w:cs="Times New Roman"/>
          <w:szCs w:val="22"/>
        </w:rPr>
      </w:pPr>
      <w:r>
        <w:rPr>
          <w:rFonts w:cs="Times New Roman"/>
          <w:szCs w:val="22"/>
        </w:rPr>
        <w:t>Recent analysis by CSIRO of atmospheric concentrations of the main species of ODS and SGGs, and their break down products, from air sampled at Cape Grim in Tasmania</w:t>
      </w:r>
      <w:r w:rsidR="0032482F">
        <w:rPr>
          <w:rFonts w:cs="Times New Roman"/>
          <w:szCs w:val="22"/>
        </w:rPr>
        <w:t xml:space="preserve"> suggests a possible underestimation of at least the HFC portion of </w:t>
      </w:r>
      <w:r w:rsidR="00F863A5">
        <w:rPr>
          <w:rFonts w:cs="Times New Roman"/>
          <w:szCs w:val="22"/>
        </w:rPr>
        <w:t>direct emissions</w:t>
      </w:r>
      <w:r w:rsidR="0032482F">
        <w:rPr>
          <w:rFonts w:cs="Times New Roman"/>
          <w:szCs w:val="22"/>
        </w:rPr>
        <w:t xml:space="preserve"> and EOL. CSIRO’s analysis of atmospheric concentrations in 2015 indicated that HFC emissions from Australia were in the order of 11.5 million tonnes CO</w:t>
      </w:r>
      <w:r w:rsidR="0032482F" w:rsidRPr="0032482F">
        <w:rPr>
          <w:rFonts w:cs="Times New Roman"/>
          <w:szCs w:val="22"/>
          <w:vertAlign w:val="subscript"/>
        </w:rPr>
        <w:t>2</w:t>
      </w:r>
      <w:r w:rsidR="0032482F">
        <w:rPr>
          <w:rFonts w:cs="Times New Roman"/>
          <w:szCs w:val="22"/>
        </w:rPr>
        <w:t xml:space="preserve">e, on their own, not including the HCFC included in the </w:t>
      </w:r>
      <w:r w:rsidR="007A1335">
        <w:rPr>
          <w:rFonts w:cs="Times New Roman"/>
          <w:szCs w:val="22"/>
        </w:rPr>
        <w:t>CHF3 RAC Stock model</w:t>
      </w:r>
      <w:r w:rsidR="0032482F">
        <w:rPr>
          <w:rFonts w:cs="Times New Roman"/>
          <w:szCs w:val="22"/>
        </w:rPr>
        <w:t xml:space="preserve"> outputs in the table below. This discrepancy between the </w:t>
      </w:r>
      <w:r w:rsidR="007A1335">
        <w:rPr>
          <w:rFonts w:cs="Times New Roman"/>
          <w:szCs w:val="22"/>
        </w:rPr>
        <w:t>CHF3 RAC Stock model</w:t>
      </w:r>
      <w:r w:rsidR="0032482F">
        <w:rPr>
          <w:rFonts w:cs="Times New Roman"/>
          <w:szCs w:val="22"/>
        </w:rPr>
        <w:t xml:space="preserve"> outputs and the Cape Grim data warrants further investigation, though may point to either an underestimate in leak rates along refrigerant supply lines, or in some product categories, or an underestimate of residual charge in some stocks of equipment.</w:t>
      </w:r>
    </w:p>
    <w:p w14:paraId="2CA7B4CD" w14:textId="6C51CC57" w:rsidR="00906C42" w:rsidRDefault="00906C42" w:rsidP="00906C42">
      <w:pPr>
        <w:rPr>
          <w:rFonts w:cs="Times New Roman"/>
          <w:szCs w:val="22"/>
        </w:rPr>
      </w:pPr>
      <w:r>
        <w:rPr>
          <w:rFonts w:cs="Times New Roman"/>
          <w:szCs w:val="22"/>
        </w:rPr>
        <w:t>When EOL emissions are added to the sum of energy related emissions and direct emissions, total RAC emissions for 2016 are calculated as equivalent to 68.71 million tonnes</w:t>
      </w:r>
      <w:r w:rsidRPr="00820460">
        <w:t xml:space="preserve"> </w:t>
      </w:r>
      <w:r w:rsidRPr="00820460">
        <w:rPr>
          <w:rFonts w:cs="Times New Roman"/>
          <w:szCs w:val="22"/>
        </w:rPr>
        <w:t>CO</w:t>
      </w:r>
      <w:r w:rsidRPr="00911293">
        <w:rPr>
          <w:rFonts w:cs="Times New Roman"/>
          <w:szCs w:val="22"/>
          <w:vertAlign w:val="subscript"/>
        </w:rPr>
        <w:t>2</w:t>
      </w:r>
      <w:r w:rsidRPr="00820460">
        <w:rPr>
          <w:rFonts w:cs="Times New Roman"/>
          <w:szCs w:val="22"/>
        </w:rPr>
        <w:t>e</w:t>
      </w:r>
      <w:r>
        <w:rPr>
          <w:rFonts w:cs="Times New Roman"/>
          <w:szCs w:val="22"/>
        </w:rPr>
        <w:t>, or 12.4% of the Australian</w:t>
      </w:r>
      <w:r w:rsidR="00F37A62">
        <w:rPr>
          <w:rFonts w:cs="Times New Roman"/>
          <w:szCs w:val="22"/>
        </w:rPr>
        <w:t xml:space="preserve"> National Greenhouse Gas Inventory</w:t>
      </w:r>
      <w:r>
        <w:rPr>
          <w:rFonts w:cs="Times New Roman"/>
          <w:szCs w:val="22"/>
        </w:rPr>
        <w:t xml:space="preserve"> </w:t>
      </w:r>
      <w:r w:rsidR="005B318E">
        <w:rPr>
          <w:rFonts w:cs="Times New Roman"/>
          <w:szCs w:val="22"/>
        </w:rPr>
        <w:t xml:space="preserve">(NGGI) </w:t>
      </w:r>
      <w:r>
        <w:rPr>
          <w:rFonts w:cs="Times New Roman"/>
          <w:szCs w:val="22"/>
        </w:rPr>
        <w:t>in 2016.</w:t>
      </w:r>
    </w:p>
    <w:p w14:paraId="22D287AF" w14:textId="77777777" w:rsidR="00B526FB" w:rsidRDefault="00B526FB" w:rsidP="007215EE">
      <w:pPr>
        <w:rPr>
          <w:rFonts w:cs="Times New Roman"/>
          <w:szCs w:val="22"/>
        </w:rPr>
      </w:pPr>
    </w:p>
    <w:p w14:paraId="66D73F6A" w14:textId="50DA3609" w:rsidR="00350659" w:rsidRPr="005A572D" w:rsidRDefault="005A572D" w:rsidP="005A572D">
      <w:pPr>
        <w:pStyle w:val="Caption"/>
        <w:keepNext/>
        <w:rPr>
          <w:szCs w:val="22"/>
        </w:rPr>
      </w:pPr>
      <w:bookmarkStart w:id="170" w:name="_Toc525141417"/>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28</w:t>
      </w:r>
      <w:r w:rsidR="009D6843">
        <w:rPr>
          <w:noProof/>
        </w:rPr>
        <w:fldChar w:fldCharType="end"/>
      </w:r>
      <w:r w:rsidRPr="005A572D">
        <w:t xml:space="preserve">: </w:t>
      </w:r>
      <w:r w:rsidR="00B526FB" w:rsidRPr="005A572D">
        <w:rPr>
          <w:szCs w:val="22"/>
        </w:rPr>
        <w:t xml:space="preserve">Total RAC Emissions (including </w:t>
      </w:r>
      <w:r w:rsidR="006002E4" w:rsidRPr="005A572D">
        <w:rPr>
          <w:szCs w:val="22"/>
        </w:rPr>
        <w:t>e</w:t>
      </w:r>
      <w:r w:rsidR="00B526FB" w:rsidRPr="005A572D">
        <w:rPr>
          <w:szCs w:val="22"/>
        </w:rPr>
        <w:t>nd-of-</w:t>
      </w:r>
      <w:r w:rsidR="006002E4" w:rsidRPr="005A572D">
        <w:rPr>
          <w:szCs w:val="22"/>
        </w:rPr>
        <w:t>l</w:t>
      </w:r>
      <w:r w:rsidR="00B526FB" w:rsidRPr="005A572D">
        <w:rPr>
          <w:szCs w:val="22"/>
        </w:rPr>
        <w:t>ife) in 2016 Mt CO</w:t>
      </w:r>
      <w:r w:rsidR="00B526FB" w:rsidRPr="005A572D">
        <w:rPr>
          <w:szCs w:val="22"/>
          <w:vertAlign w:val="subscript"/>
        </w:rPr>
        <w:t>2</w:t>
      </w:r>
      <w:r w:rsidR="00B526FB" w:rsidRPr="005A572D">
        <w:rPr>
          <w:szCs w:val="22"/>
        </w:rPr>
        <w:t>e.</w:t>
      </w:r>
      <w:bookmarkEnd w:id="170"/>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974"/>
        <w:gridCol w:w="975"/>
        <w:gridCol w:w="974"/>
        <w:gridCol w:w="975"/>
        <w:gridCol w:w="975"/>
        <w:gridCol w:w="974"/>
        <w:gridCol w:w="975"/>
        <w:gridCol w:w="975"/>
      </w:tblGrid>
      <w:tr w:rsidR="00B526FB" w:rsidRPr="00885839" w14:paraId="756A1B56" w14:textId="1A57F08B" w:rsidTr="009C0BC1">
        <w:tc>
          <w:tcPr>
            <w:tcW w:w="1701" w:type="dxa"/>
            <w:shd w:val="clear" w:color="auto" w:fill="B6DDE8" w:themeFill="accent5" w:themeFillTint="66"/>
            <w:vAlign w:val="bottom"/>
          </w:tcPr>
          <w:p w14:paraId="0CFB831C" w14:textId="77777777" w:rsidR="00B526FB" w:rsidRPr="00885839" w:rsidRDefault="00B526FB" w:rsidP="00B526FB">
            <w:pPr>
              <w:autoSpaceDE w:val="0"/>
              <w:autoSpaceDN w:val="0"/>
              <w:adjustRightInd w:val="0"/>
              <w:snapToGrid w:val="0"/>
              <w:spacing w:after="120"/>
              <w:jc w:val="left"/>
              <w:rPr>
                <w:rFonts w:eastAsiaTheme="minorHAnsi" w:cs="Times New Roman"/>
                <w:color w:val="000000"/>
                <w:szCs w:val="22"/>
                <w:lang w:val="en-AU"/>
              </w:rPr>
            </w:pPr>
          </w:p>
        </w:tc>
        <w:tc>
          <w:tcPr>
            <w:tcW w:w="1949" w:type="dxa"/>
            <w:gridSpan w:val="2"/>
            <w:shd w:val="clear" w:color="auto" w:fill="B6DDE8" w:themeFill="accent5" w:themeFillTint="66"/>
            <w:vAlign w:val="center"/>
          </w:tcPr>
          <w:p w14:paraId="0F94B3B3" w14:textId="253408AD" w:rsidR="00B526FB" w:rsidRPr="00885839" w:rsidRDefault="00B526FB" w:rsidP="00B526FB">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Direct emissions</w:t>
            </w:r>
          </w:p>
        </w:tc>
        <w:tc>
          <w:tcPr>
            <w:tcW w:w="1949" w:type="dxa"/>
            <w:gridSpan w:val="2"/>
            <w:shd w:val="clear" w:color="auto" w:fill="B6DDE8" w:themeFill="accent5" w:themeFillTint="66"/>
            <w:vAlign w:val="center"/>
          </w:tcPr>
          <w:p w14:paraId="6674190A" w14:textId="583D974F" w:rsidR="00B526FB" w:rsidRPr="00885839" w:rsidRDefault="00B526FB" w:rsidP="00B526FB">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Indirect emissions</w:t>
            </w:r>
          </w:p>
        </w:tc>
        <w:tc>
          <w:tcPr>
            <w:tcW w:w="1949" w:type="dxa"/>
            <w:gridSpan w:val="2"/>
            <w:shd w:val="clear" w:color="auto" w:fill="B6DDE8" w:themeFill="accent5" w:themeFillTint="66"/>
            <w:vAlign w:val="center"/>
          </w:tcPr>
          <w:p w14:paraId="615E3026" w14:textId="538E859C" w:rsidR="00B526FB" w:rsidRPr="00885839" w:rsidRDefault="00B526FB" w:rsidP="00B526FB">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End-of-Life</w:t>
            </w:r>
            <w:r w:rsidRPr="00885839">
              <w:rPr>
                <w:rFonts w:eastAsiaTheme="minorHAnsi" w:cs="Times New Roman"/>
                <w:color w:val="000000"/>
                <w:szCs w:val="22"/>
                <w:lang w:val="en-AU"/>
              </w:rPr>
              <w:t xml:space="preserve"> emissions</w:t>
            </w:r>
          </w:p>
        </w:tc>
        <w:tc>
          <w:tcPr>
            <w:tcW w:w="1950" w:type="dxa"/>
            <w:gridSpan w:val="2"/>
            <w:shd w:val="clear" w:color="auto" w:fill="B6DDE8" w:themeFill="accent5" w:themeFillTint="66"/>
            <w:vAlign w:val="center"/>
          </w:tcPr>
          <w:p w14:paraId="3AB3D618" w14:textId="0259524B" w:rsidR="00B526FB" w:rsidRPr="00885839" w:rsidRDefault="00B526FB" w:rsidP="00B526FB">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Total</w:t>
            </w:r>
            <w:r w:rsidRPr="00885839">
              <w:rPr>
                <w:rFonts w:eastAsiaTheme="minorHAnsi" w:cs="Times New Roman"/>
                <w:color w:val="000000"/>
                <w:szCs w:val="22"/>
                <w:lang w:val="en-AU"/>
              </w:rPr>
              <w:t xml:space="preserve"> emissions</w:t>
            </w:r>
          </w:p>
        </w:tc>
      </w:tr>
      <w:tr w:rsidR="00E2172C" w:rsidRPr="00885839" w14:paraId="62B16BC0" w14:textId="20292924" w:rsidTr="00301D49">
        <w:tc>
          <w:tcPr>
            <w:tcW w:w="1701" w:type="dxa"/>
            <w:vAlign w:val="bottom"/>
          </w:tcPr>
          <w:p w14:paraId="52528A7B" w14:textId="77777777" w:rsidR="00E2172C" w:rsidRPr="00885839" w:rsidRDefault="00E2172C" w:rsidP="00E2172C">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Stationary AC</w:t>
            </w:r>
          </w:p>
        </w:tc>
        <w:tc>
          <w:tcPr>
            <w:tcW w:w="974" w:type="dxa"/>
            <w:vAlign w:val="center"/>
          </w:tcPr>
          <w:p w14:paraId="4397784F" w14:textId="42FFC53E"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2.19</w:t>
            </w:r>
          </w:p>
        </w:tc>
        <w:tc>
          <w:tcPr>
            <w:tcW w:w="975" w:type="dxa"/>
            <w:vAlign w:val="center"/>
          </w:tcPr>
          <w:p w14:paraId="24EF508F" w14:textId="238A3BF0"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34%</w:t>
            </w:r>
          </w:p>
        </w:tc>
        <w:tc>
          <w:tcPr>
            <w:tcW w:w="974" w:type="dxa"/>
            <w:vAlign w:val="center"/>
          </w:tcPr>
          <w:p w14:paraId="0BF239F8" w14:textId="3004B679"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30.44</w:t>
            </w:r>
          </w:p>
        </w:tc>
        <w:tc>
          <w:tcPr>
            <w:tcW w:w="975" w:type="dxa"/>
            <w:vAlign w:val="center"/>
          </w:tcPr>
          <w:p w14:paraId="66A6A586" w14:textId="051EAB8A"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52%</w:t>
            </w:r>
          </w:p>
        </w:tc>
        <w:tc>
          <w:tcPr>
            <w:tcW w:w="975" w:type="dxa"/>
            <w:vAlign w:val="center"/>
          </w:tcPr>
          <w:p w14:paraId="2228FBFE" w14:textId="0CA20055"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2.25</w:t>
            </w:r>
          </w:p>
        </w:tc>
        <w:tc>
          <w:tcPr>
            <w:tcW w:w="974" w:type="dxa"/>
            <w:vAlign w:val="center"/>
          </w:tcPr>
          <w:p w14:paraId="195811D9" w14:textId="06A168FE"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62%</w:t>
            </w:r>
          </w:p>
        </w:tc>
        <w:tc>
          <w:tcPr>
            <w:tcW w:w="975" w:type="dxa"/>
            <w:vAlign w:val="bottom"/>
          </w:tcPr>
          <w:p w14:paraId="5F7CB159" w14:textId="1E3853DC"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34.88</w:t>
            </w:r>
          </w:p>
        </w:tc>
        <w:tc>
          <w:tcPr>
            <w:tcW w:w="975" w:type="dxa"/>
            <w:vAlign w:val="bottom"/>
          </w:tcPr>
          <w:p w14:paraId="661C1C6C" w14:textId="4DA8EC64"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51%</w:t>
            </w:r>
          </w:p>
        </w:tc>
      </w:tr>
      <w:tr w:rsidR="00E2172C" w:rsidRPr="00885839" w14:paraId="33040476" w14:textId="5F7B4CF9" w:rsidTr="00301D49">
        <w:tc>
          <w:tcPr>
            <w:tcW w:w="1701" w:type="dxa"/>
            <w:vAlign w:val="bottom"/>
          </w:tcPr>
          <w:p w14:paraId="4B7F8E40" w14:textId="77777777" w:rsidR="00E2172C" w:rsidRPr="00885839" w:rsidRDefault="00E2172C" w:rsidP="00E2172C">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Mobile AC</w:t>
            </w:r>
          </w:p>
        </w:tc>
        <w:tc>
          <w:tcPr>
            <w:tcW w:w="974" w:type="dxa"/>
            <w:vAlign w:val="center"/>
          </w:tcPr>
          <w:p w14:paraId="7780FD7F" w14:textId="267CAF2F"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1.25</w:t>
            </w:r>
          </w:p>
        </w:tc>
        <w:tc>
          <w:tcPr>
            <w:tcW w:w="975" w:type="dxa"/>
            <w:vAlign w:val="center"/>
          </w:tcPr>
          <w:p w14:paraId="2A89DF95" w14:textId="3B06C16E"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20%</w:t>
            </w:r>
          </w:p>
        </w:tc>
        <w:tc>
          <w:tcPr>
            <w:tcW w:w="974" w:type="dxa"/>
            <w:vAlign w:val="center"/>
          </w:tcPr>
          <w:p w14:paraId="06532715" w14:textId="57E6EE4E"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2.96</w:t>
            </w:r>
          </w:p>
        </w:tc>
        <w:tc>
          <w:tcPr>
            <w:tcW w:w="975" w:type="dxa"/>
            <w:vAlign w:val="center"/>
          </w:tcPr>
          <w:p w14:paraId="3F0EFCD6" w14:textId="53B63C5A"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5%</w:t>
            </w:r>
          </w:p>
        </w:tc>
        <w:tc>
          <w:tcPr>
            <w:tcW w:w="975" w:type="dxa"/>
            <w:vAlign w:val="center"/>
          </w:tcPr>
          <w:p w14:paraId="3D067E07" w14:textId="173EFC84"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0.51</w:t>
            </w:r>
          </w:p>
        </w:tc>
        <w:tc>
          <w:tcPr>
            <w:tcW w:w="974" w:type="dxa"/>
            <w:vAlign w:val="center"/>
          </w:tcPr>
          <w:p w14:paraId="3D1D95AE" w14:textId="7F4447E6"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14%</w:t>
            </w:r>
          </w:p>
        </w:tc>
        <w:tc>
          <w:tcPr>
            <w:tcW w:w="975" w:type="dxa"/>
            <w:vAlign w:val="bottom"/>
          </w:tcPr>
          <w:p w14:paraId="726997AE" w14:textId="02E53312"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4.72</w:t>
            </w:r>
          </w:p>
        </w:tc>
        <w:tc>
          <w:tcPr>
            <w:tcW w:w="975" w:type="dxa"/>
            <w:vAlign w:val="bottom"/>
          </w:tcPr>
          <w:p w14:paraId="1844E252" w14:textId="59053679"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7%</w:t>
            </w:r>
          </w:p>
        </w:tc>
      </w:tr>
      <w:tr w:rsidR="00E2172C" w:rsidRPr="00885839" w14:paraId="3684AC7B" w14:textId="25AB32EA" w:rsidTr="00301D49">
        <w:tc>
          <w:tcPr>
            <w:tcW w:w="1701" w:type="dxa"/>
            <w:vAlign w:val="bottom"/>
          </w:tcPr>
          <w:p w14:paraId="3C2BEAF3" w14:textId="77777777" w:rsidR="00E2172C" w:rsidRPr="00885839" w:rsidRDefault="00E2172C" w:rsidP="00E2172C">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Domestic Refrigeration</w:t>
            </w:r>
          </w:p>
        </w:tc>
        <w:tc>
          <w:tcPr>
            <w:tcW w:w="974" w:type="dxa"/>
            <w:vAlign w:val="center"/>
          </w:tcPr>
          <w:p w14:paraId="7BE13C13" w14:textId="6381A2D4"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0.05</w:t>
            </w:r>
          </w:p>
        </w:tc>
        <w:tc>
          <w:tcPr>
            <w:tcW w:w="975" w:type="dxa"/>
            <w:vAlign w:val="center"/>
          </w:tcPr>
          <w:p w14:paraId="0ACA8FE7" w14:textId="51A8A825"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1%</w:t>
            </w:r>
          </w:p>
        </w:tc>
        <w:tc>
          <w:tcPr>
            <w:tcW w:w="974" w:type="dxa"/>
            <w:vAlign w:val="center"/>
          </w:tcPr>
          <w:p w14:paraId="17FF5315" w14:textId="286E4FD8"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7.77</w:t>
            </w:r>
          </w:p>
        </w:tc>
        <w:tc>
          <w:tcPr>
            <w:tcW w:w="975" w:type="dxa"/>
            <w:vAlign w:val="center"/>
          </w:tcPr>
          <w:p w14:paraId="39230F04" w14:textId="4C8C37FF"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13%</w:t>
            </w:r>
          </w:p>
        </w:tc>
        <w:tc>
          <w:tcPr>
            <w:tcW w:w="975" w:type="dxa"/>
            <w:vAlign w:val="center"/>
          </w:tcPr>
          <w:p w14:paraId="1103E3BF" w14:textId="6932283B"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0.16</w:t>
            </w:r>
          </w:p>
        </w:tc>
        <w:tc>
          <w:tcPr>
            <w:tcW w:w="974" w:type="dxa"/>
            <w:vAlign w:val="center"/>
          </w:tcPr>
          <w:p w14:paraId="5D44E150" w14:textId="5757C45B"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4%</w:t>
            </w:r>
          </w:p>
        </w:tc>
        <w:tc>
          <w:tcPr>
            <w:tcW w:w="975" w:type="dxa"/>
            <w:vAlign w:val="bottom"/>
          </w:tcPr>
          <w:p w14:paraId="3788E9FF" w14:textId="40EA1533"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7.98</w:t>
            </w:r>
          </w:p>
        </w:tc>
        <w:tc>
          <w:tcPr>
            <w:tcW w:w="975" w:type="dxa"/>
            <w:vAlign w:val="bottom"/>
          </w:tcPr>
          <w:p w14:paraId="33CD0DA8" w14:textId="1A2D700C"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12%</w:t>
            </w:r>
          </w:p>
        </w:tc>
      </w:tr>
      <w:tr w:rsidR="00E2172C" w:rsidRPr="00885839" w14:paraId="32D86E98" w14:textId="5C91A6EB" w:rsidTr="005F073D">
        <w:tc>
          <w:tcPr>
            <w:tcW w:w="1701" w:type="dxa"/>
            <w:tcBorders>
              <w:bottom w:val="single" w:sz="4" w:space="0" w:color="auto"/>
            </w:tcBorders>
            <w:vAlign w:val="bottom"/>
          </w:tcPr>
          <w:p w14:paraId="1AD9AC2C" w14:textId="77777777" w:rsidR="00E2172C" w:rsidRPr="00885839" w:rsidRDefault="00E2172C" w:rsidP="00E2172C">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Refrigerated cold food chain</w:t>
            </w:r>
          </w:p>
        </w:tc>
        <w:tc>
          <w:tcPr>
            <w:tcW w:w="974" w:type="dxa"/>
            <w:vAlign w:val="center"/>
          </w:tcPr>
          <w:p w14:paraId="2BAEE462" w14:textId="3AEBBFE7"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2.91</w:t>
            </w:r>
          </w:p>
        </w:tc>
        <w:tc>
          <w:tcPr>
            <w:tcW w:w="975" w:type="dxa"/>
            <w:vAlign w:val="center"/>
          </w:tcPr>
          <w:p w14:paraId="6F7C599E" w14:textId="58088C52"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46%</w:t>
            </w:r>
          </w:p>
        </w:tc>
        <w:tc>
          <w:tcPr>
            <w:tcW w:w="974" w:type="dxa"/>
            <w:vAlign w:val="center"/>
          </w:tcPr>
          <w:p w14:paraId="1086F052" w14:textId="7DAA3C09"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17.53</w:t>
            </w:r>
          </w:p>
        </w:tc>
        <w:tc>
          <w:tcPr>
            <w:tcW w:w="975" w:type="dxa"/>
            <w:vAlign w:val="center"/>
          </w:tcPr>
          <w:p w14:paraId="23BE3F40" w14:textId="79C318C4"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30%</w:t>
            </w:r>
          </w:p>
        </w:tc>
        <w:tc>
          <w:tcPr>
            <w:tcW w:w="975" w:type="dxa"/>
            <w:vAlign w:val="center"/>
          </w:tcPr>
          <w:p w14:paraId="548D3C56" w14:textId="7D5B5CA8"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0.69</w:t>
            </w:r>
          </w:p>
        </w:tc>
        <w:tc>
          <w:tcPr>
            <w:tcW w:w="974" w:type="dxa"/>
            <w:vAlign w:val="center"/>
          </w:tcPr>
          <w:p w14:paraId="49509106" w14:textId="4C18D8F9"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19%</w:t>
            </w:r>
          </w:p>
        </w:tc>
        <w:tc>
          <w:tcPr>
            <w:tcW w:w="975" w:type="dxa"/>
            <w:vAlign w:val="bottom"/>
          </w:tcPr>
          <w:p w14:paraId="164DBDF8" w14:textId="6F361A35"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21.13</w:t>
            </w:r>
          </w:p>
        </w:tc>
        <w:tc>
          <w:tcPr>
            <w:tcW w:w="975" w:type="dxa"/>
            <w:vAlign w:val="bottom"/>
          </w:tcPr>
          <w:p w14:paraId="5ABD6ABF" w14:textId="40854C75" w:rsidR="00E2172C" w:rsidRPr="00885839" w:rsidRDefault="00E2172C" w:rsidP="00E2172C">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31%</w:t>
            </w:r>
          </w:p>
        </w:tc>
      </w:tr>
      <w:tr w:rsidR="006471B9" w:rsidRPr="00885839" w14:paraId="52AD57D2" w14:textId="77777777" w:rsidTr="005F073D">
        <w:tc>
          <w:tcPr>
            <w:tcW w:w="1701" w:type="dxa"/>
            <w:tcBorders>
              <w:top w:val="single" w:sz="4" w:space="0" w:color="auto"/>
              <w:left w:val="single" w:sz="4" w:space="0" w:color="auto"/>
              <w:bottom w:val="nil"/>
              <w:right w:val="single" w:sz="4" w:space="0" w:color="auto"/>
            </w:tcBorders>
            <w:vAlign w:val="bottom"/>
          </w:tcPr>
          <w:p w14:paraId="5CA01DE0" w14:textId="77777777" w:rsidR="006471B9" w:rsidRPr="00885839" w:rsidRDefault="006471B9" w:rsidP="00EE7BA6">
            <w:pPr>
              <w:autoSpaceDE w:val="0"/>
              <w:autoSpaceDN w:val="0"/>
              <w:adjustRightInd w:val="0"/>
              <w:snapToGrid w:val="0"/>
              <w:spacing w:after="120"/>
              <w:jc w:val="left"/>
              <w:rPr>
                <w:rFonts w:eastAsiaTheme="minorHAnsi" w:cs="Times New Roman"/>
                <w:color w:val="000000"/>
                <w:szCs w:val="22"/>
                <w:lang w:val="en-AU"/>
              </w:rPr>
            </w:pPr>
            <w:r w:rsidRPr="00885839">
              <w:rPr>
                <w:rFonts w:eastAsiaTheme="minorHAnsi" w:cs="Times New Roman"/>
                <w:color w:val="000000"/>
                <w:szCs w:val="22"/>
                <w:lang w:val="en-AU"/>
              </w:rPr>
              <w:t> </w:t>
            </w:r>
            <w:r>
              <w:rPr>
                <w:rFonts w:eastAsiaTheme="minorHAnsi" w:cs="Times New Roman"/>
                <w:color w:val="000000"/>
                <w:szCs w:val="22"/>
                <w:lang w:val="en-AU"/>
              </w:rPr>
              <w:t>Totals</w:t>
            </w:r>
          </w:p>
        </w:tc>
        <w:tc>
          <w:tcPr>
            <w:tcW w:w="974" w:type="dxa"/>
            <w:tcBorders>
              <w:top w:val="single" w:sz="4" w:space="0" w:color="000000"/>
              <w:left w:val="single" w:sz="4" w:space="0" w:color="auto"/>
              <w:bottom w:val="single" w:sz="4" w:space="0" w:color="000000"/>
              <w:right w:val="single" w:sz="4" w:space="0" w:color="000000"/>
            </w:tcBorders>
            <w:vAlign w:val="center"/>
          </w:tcPr>
          <w:p w14:paraId="05A6F2F2"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6.40</w:t>
            </w:r>
          </w:p>
        </w:tc>
        <w:tc>
          <w:tcPr>
            <w:tcW w:w="975" w:type="dxa"/>
            <w:tcBorders>
              <w:top w:val="single" w:sz="4" w:space="0" w:color="000000"/>
              <w:left w:val="single" w:sz="4" w:space="0" w:color="000000"/>
              <w:bottom w:val="single" w:sz="4" w:space="0" w:color="000000"/>
              <w:right w:val="single" w:sz="4" w:space="0" w:color="000000"/>
            </w:tcBorders>
            <w:vAlign w:val="center"/>
          </w:tcPr>
          <w:p w14:paraId="70C2D5D9"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100%</w:t>
            </w:r>
          </w:p>
        </w:tc>
        <w:tc>
          <w:tcPr>
            <w:tcW w:w="974" w:type="dxa"/>
            <w:tcBorders>
              <w:top w:val="single" w:sz="4" w:space="0" w:color="000000"/>
              <w:left w:val="single" w:sz="4" w:space="0" w:color="000000"/>
              <w:bottom w:val="single" w:sz="4" w:space="0" w:color="000000"/>
              <w:right w:val="single" w:sz="4" w:space="0" w:color="000000"/>
            </w:tcBorders>
            <w:vAlign w:val="center"/>
          </w:tcPr>
          <w:p w14:paraId="7D92DEEA"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sidRPr="0035211C">
              <w:rPr>
                <w:rFonts w:eastAsiaTheme="minorHAnsi" w:cs="Times New Roman"/>
                <w:color w:val="000000"/>
                <w:szCs w:val="22"/>
                <w:lang w:val="en-AU"/>
              </w:rPr>
              <w:t>58.70</w:t>
            </w:r>
          </w:p>
        </w:tc>
        <w:tc>
          <w:tcPr>
            <w:tcW w:w="975" w:type="dxa"/>
            <w:tcBorders>
              <w:top w:val="single" w:sz="4" w:space="0" w:color="000000"/>
              <w:left w:val="single" w:sz="4" w:space="0" w:color="000000"/>
              <w:bottom w:val="single" w:sz="4" w:space="0" w:color="000000"/>
              <w:right w:val="single" w:sz="4" w:space="0" w:color="000000"/>
            </w:tcBorders>
            <w:vAlign w:val="center"/>
          </w:tcPr>
          <w:p w14:paraId="067EA53B"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sidRPr="00885839">
              <w:rPr>
                <w:rFonts w:eastAsiaTheme="minorHAnsi" w:cs="Times New Roman"/>
                <w:color w:val="000000"/>
                <w:szCs w:val="22"/>
                <w:lang w:val="en-AU"/>
              </w:rPr>
              <w:t>100%</w:t>
            </w:r>
          </w:p>
        </w:tc>
        <w:tc>
          <w:tcPr>
            <w:tcW w:w="975" w:type="dxa"/>
            <w:tcBorders>
              <w:top w:val="single" w:sz="4" w:space="0" w:color="000000"/>
              <w:left w:val="single" w:sz="4" w:space="0" w:color="000000"/>
              <w:bottom w:val="single" w:sz="4" w:space="0" w:color="000000"/>
              <w:right w:val="single" w:sz="4" w:space="0" w:color="000000"/>
            </w:tcBorders>
            <w:vAlign w:val="center"/>
          </w:tcPr>
          <w:p w14:paraId="43958367"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3.61</w:t>
            </w:r>
          </w:p>
        </w:tc>
        <w:tc>
          <w:tcPr>
            <w:tcW w:w="974" w:type="dxa"/>
            <w:tcBorders>
              <w:top w:val="single" w:sz="4" w:space="0" w:color="000000"/>
              <w:left w:val="single" w:sz="4" w:space="0" w:color="000000"/>
              <w:bottom w:val="single" w:sz="4" w:space="0" w:color="000000"/>
              <w:right w:val="single" w:sz="4" w:space="0" w:color="000000"/>
            </w:tcBorders>
            <w:vAlign w:val="center"/>
          </w:tcPr>
          <w:p w14:paraId="59DEDE62"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100%</w:t>
            </w:r>
          </w:p>
        </w:tc>
        <w:tc>
          <w:tcPr>
            <w:tcW w:w="975" w:type="dxa"/>
            <w:tcBorders>
              <w:top w:val="single" w:sz="4" w:space="0" w:color="000000"/>
              <w:left w:val="single" w:sz="4" w:space="0" w:color="000000"/>
              <w:bottom w:val="single" w:sz="4" w:space="0" w:color="000000"/>
              <w:right w:val="single" w:sz="4" w:space="0" w:color="000000"/>
            </w:tcBorders>
            <w:vAlign w:val="bottom"/>
          </w:tcPr>
          <w:p w14:paraId="560638E1"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sidRPr="00E2172C">
              <w:rPr>
                <w:rFonts w:eastAsiaTheme="minorHAnsi" w:cs="Times New Roman"/>
                <w:color w:val="000000"/>
                <w:szCs w:val="22"/>
                <w:lang w:val="en-AU"/>
              </w:rPr>
              <w:t>68.71</w:t>
            </w:r>
          </w:p>
        </w:tc>
        <w:tc>
          <w:tcPr>
            <w:tcW w:w="975" w:type="dxa"/>
            <w:tcBorders>
              <w:top w:val="single" w:sz="4" w:space="0" w:color="000000"/>
              <w:left w:val="single" w:sz="4" w:space="0" w:color="000000"/>
              <w:bottom w:val="single" w:sz="4" w:space="0" w:color="000000"/>
              <w:right w:val="single" w:sz="4" w:space="0" w:color="000000"/>
            </w:tcBorders>
            <w:vAlign w:val="bottom"/>
          </w:tcPr>
          <w:p w14:paraId="47C1036D"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100%</w:t>
            </w:r>
          </w:p>
        </w:tc>
      </w:tr>
      <w:tr w:rsidR="006471B9" w14:paraId="6AF80D04" w14:textId="77777777" w:rsidTr="005F073D">
        <w:tc>
          <w:tcPr>
            <w:tcW w:w="1701" w:type="dxa"/>
            <w:vMerge/>
            <w:tcBorders>
              <w:top w:val="nil"/>
              <w:left w:val="single" w:sz="4" w:space="0" w:color="auto"/>
              <w:bottom w:val="single" w:sz="4" w:space="0" w:color="auto"/>
              <w:right w:val="single" w:sz="4" w:space="0" w:color="auto"/>
            </w:tcBorders>
            <w:vAlign w:val="bottom"/>
          </w:tcPr>
          <w:p w14:paraId="5F0EEA5B" w14:textId="77777777" w:rsidR="006471B9" w:rsidRPr="00885839" w:rsidRDefault="006471B9" w:rsidP="00EE7BA6">
            <w:pPr>
              <w:autoSpaceDE w:val="0"/>
              <w:autoSpaceDN w:val="0"/>
              <w:adjustRightInd w:val="0"/>
              <w:snapToGrid w:val="0"/>
              <w:spacing w:after="120"/>
              <w:jc w:val="left"/>
              <w:rPr>
                <w:rFonts w:eastAsiaTheme="minorHAnsi" w:cs="Times New Roman"/>
                <w:color w:val="000000"/>
                <w:szCs w:val="22"/>
                <w:lang w:val="en-AU"/>
              </w:rPr>
            </w:pPr>
          </w:p>
        </w:tc>
        <w:tc>
          <w:tcPr>
            <w:tcW w:w="1949" w:type="dxa"/>
            <w:gridSpan w:val="2"/>
            <w:tcBorders>
              <w:left w:val="single" w:sz="4" w:space="0" w:color="auto"/>
            </w:tcBorders>
            <w:vAlign w:val="center"/>
          </w:tcPr>
          <w:p w14:paraId="5A418172"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9.3%</w:t>
            </w:r>
          </w:p>
        </w:tc>
        <w:tc>
          <w:tcPr>
            <w:tcW w:w="1949" w:type="dxa"/>
            <w:gridSpan w:val="2"/>
            <w:vAlign w:val="center"/>
          </w:tcPr>
          <w:p w14:paraId="1E0FCAD5" w14:textId="77777777" w:rsidR="006471B9" w:rsidRPr="00885839" w:rsidRDefault="006471B9" w:rsidP="00EE7BA6">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85.4%</w:t>
            </w:r>
          </w:p>
        </w:tc>
        <w:tc>
          <w:tcPr>
            <w:tcW w:w="1949" w:type="dxa"/>
            <w:gridSpan w:val="2"/>
            <w:vAlign w:val="center"/>
          </w:tcPr>
          <w:p w14:paraId="5EE50DBE" w14:textId="77777777" w:rsidR="006471B9" w:rsidRDefault="006471B9" w:rsidP="00EE7BA6">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5.3%</w:t>
            </w:r>
          </w:p>
        </w:tc>
        <w:tc>
          <w:tcPr>
            <w:tcW w:w="1950" w:type="dxa"/>
            <w:gridSpan w:val="2"/>
            <w:vAlign w:val="bottom"/>
          </w:tcPr>
          <w:p w14:paraId="144D0CFD" w14:textId="77777777" w:rsidR="006471B9" w:rsidRDefault="006471B9" w:rsidP="00EE7BA6">
            <w:pPr>
              <w:autoSpaceDE w:val="0"/>
              <w:autoSpaceDN w:val="0"/>
              <w:adjustRightInd w:val="0"/>
              <w:snapToGrid w:val="0"/>
              <w:spacing w:after="120"/>
              <w:jc w:val="center"/>
              <w:rPr>
                <w:rFonts w:eastAsiaTheme="minorHAnsi" w:cs="Times New Roman"/>
                <w:color w:val="000000"/>
                <w:szCs w:val="22"/>
                <w:lang w:val="en-AU"/>
              </w:rPr>
            </w:pPr>
            <w:r>
              <w:rPr>
                <w:rFonts w:eastAsiaTheme="minorHAnsi" w:cs="Times New Roman"/>
                <w:color w:val="000000"/>
                <w:szCs w:val="22"/>
                <w:lang w:val="en-AU"/>
              </w:rPr>
              <w:t>100.0%</w:t>
            </w:r>
          </w:p>
        </w:tc>
      </w:tr>
    </w:tbl>
    <w:p w14:paraId="03854E1B" w14:textId="77777777" w:rsidR="00350659" w:rsidRDefault="00350659" w:rsidP="00350659">
      <w:pPr>
        <w:spacing w:before="240"/>
        <w:rPr>
          <w:szCs w:val="22"/>
        </w:rPr>
      </w:pPr>
    </w:p>
    <w:p w14:paraId="36AB6E3D" w14:textId="77777777" w:rsidR="00B861D9" w:rsidRDefault="00B861D9">
      <w:pPr>
        <w:spacing w:before="0"/>
        <w:jc w:val="left"/>
        <w:rPr>
          <w:rFonts w:ascii="Calibri" w:eastAsia="Times New Roman" w:hAnsi="Calibri" w:cs="Times New Roman"/>
          <w:b/>
          <w:bCs/>
          <w:kern w:val="32"/>
          <w:sz w:val="32"/>
          <w:szCs w:val="32"/>
          <w:lang w:val="en-US"/>
        </w:rPr>
      </w:pPr>
      <w:r>
        <w:br w:type="page"/>
      </w:r>
    </w:p>
    <w:p w14:paraId="01E146D2" w14:textId="3A9A6BD8" w:rsidR="007215EE" w:rsidRDefault="006002E4" w:rsidP="005903C1">
      <w:pPr>
        <w:pStyle w:val="Heading1"/>
      </w:pPr>
      <w:bookmarkStart w:id="171" w:name="_Toc525141302"/>
      <w:r>
        <w:t>Economics and e</w:t>
      </w:r>
      <w:r w:rsidR="007215EE">
        <w:t>mployment</w:t>
      </w:r>
      <w:bookmarkEnd w:id="171"/>
    </w:p>
    <w:p w14:paraId="07C0BF34" w14:textId="77777777" w:rsidR="000F7A90" w:rsidRDefault="000F7A90" w:rsidP="000F7A90">
      <w:pPr>
        <w:pStyle w:val="Heading2"/>
        <w:ind w:left="567" w:hanging="567"/>
      </w:pPr>
      <w:bookmarkStart w:id="172" w:name="_Toc233084163"/>
      <w:bookmarkStart w:id="173" w:name="_Toc525141303"/>
      <w:r>
        <w:t>Structure of the industry</w:t>
      </w:r>
      <w:bookmarkEnd w:id="172"/>
      <w:bookmarkEnd w:id="173"/>
    </w:p>
    <w:p w14:paraId="5D24DF91" w14:textId="7114D5A8" w:rsidR="003209EE" w:rsidRDefault="003209EE" w:rsidP="003209EE">
      <w:pPr>
        <w:rPr>
          <w:szCs w:val="22"/>
        </w:rPr>
      </w:pPr>
      <w:r w:rsidRPr="006F4866">
        <w:rPr>
          <w:szCs w:val="22"/>
        </w:rPr>
        <w:t>The vast majority</w:t>
      </w:r>
      <w:r>
        <w:rPr>
          <w:szCs w:val="22"/>
        </w:rPr>
        <w:t xml:space="preserve"> of the physical inputs to the RAC industry in Australia are imported – most of the equipment, the components and all of the </w:t>
      </w:r>
      <w:r w:rsidR="000F2890">
        <w:rPr>
          <w:szCs w:val="22"/>
        </w:rPr>
        <w:t xml:space="preserve">HFC and HCFC </w:t>
      </w:r>
      <w:r>
        <w:rPr>
          <w:szCs w:val="22"/>
        </w:rPr>
        <w:t>refrigerants. Despite the nearly total reliance on imported product, or at least on components</w:t>
      </w:r>
      <w:r w:rsidR="009D50F5">
        <w:rPr>
          <w:szCs w:val="22"/>
        </w:rPr>
        <w:t>,</w:t>
      </w:r>
      <w:r>
        <w:rPr>
          <w:szCs w:val="22"/>
        </w:rPr>
        <w:t xml:space="preserve"> and refrigerants for those segments where an Australian manufacturing industry has survived, the RAC industry delivers a significant economic contribution to the nation</w:t>
      </w:r>
      <w:r w:rsidRPr="006F4866">
        <w:rPr>
          <w:szCs w:val="22"/>
        </w:rPr>
        <w:t>.</w:t>
      </w:r>
      <w:r>
        <w:rPr>
          <w:szCs w:val="22"/>
        </w:rPr>
        <w:t xml:space="preserve"> </w:t>
      </w:r>
    </w:p>
    <w:p w14:paraId="691A692F" w14:textId="19190A50" w:rsidR="007215EE" w:rsidRDefault="003209EE" w:rsidP="003209EE">
      <w:pPr>
        <w:rPr>
          <w:lang w:val="en-US"/>
        </w:rPr>
      </w:pPr>
      <w:r>
        <w:rPr>
          <w:szCs w:val="22"/>
        </w:rPr>
        <w:t>The RAC industry is a significant employer, provides a range of essential services to the economy, mission critical value</w:t>
      </w:r>
      <w:r w:rsidR="009D50F5">
        <w:rPr>
          <w:szCs w:val="22"/>
        </w:rPr>
        <w:t>-</w:t>
      </w:r>
      <w:r>
        <w:rPr>
          <w:szCs w:val="22"/>
        </w:rPr>
        <w:t>adding to agricultural production and exports, and is a major energy consumer.</w:t>
      </w:r>
    </w:p>
    <w:p w14:paraId="03B3E6D2" w14:textId="39694EEE" w:rsidR="000F7A90" w:rsidRDefault="000F7A90" w:rsidP="007215EE">
      <w:pPr>
        <w:rPr>
          <w:lang w:val="en-US"/>
        </w:rPr>
      </w:pPr>
    </w:p>
    <w:p w14:paraId="100B6665" w14:textId="77777777" w:rsidR="000F7A90" w:rsidRDefault="000F7A90" w:rsidP="000F7A90">
      <w:pPr>
        <w:pStyle w:val="Heading2"/>
        <w:ind w:left="567" w:hanging="567"/>
      </w:pPr>
      <w:bookmarkStart w:id="174" w:name="_Toc233084164"/>
      <w:bookmarkStart w:id="175" w:name="_Toc525141304"/>
      <w:r>
        <w:t>Supply lines</w:t>
      </w:r>
      <w:bookmarkEnd w:id="174"/>
      <w:bookmarkEnd w:id="175"/>
    </w:p>
    <w:p w14:paraId="3DF33DC8" w14:textId="3AD1600A" w:rsidR="003209EE" w:rsidRPr="001A5550" w:rsidRDefault="003209EE" w:rsidP="003209EE">
      <w:pPr>
        <w:rPr>
          <w:szCs w:val="22"/>
        </w:rPr>
      </w:pPr>
      <w:r w:rsidRPr="001A5550">
        <w:rPr>
          <w:szCs w:val="22"/>
        </w:rPr>
        <w:t xml:space="preserve">The </w:t>
      </w:r>
      <w:r>
        <w:rPr>
          <w:szCs w:val="22"/>
        </w:rPr>
        <w:t xml:space="preserve">supply lines for RAC goods and services are complex as this cross-cutting technology demands numerous specialised and niche services to deliver it into the wide range of end use industries that rely on it, from aviation, military and seaborne systems, to the mining sector, hospitals, laboratory systems and the commercial and retail sectors. </w:t>
      </w:r>
      <w:r w:rsidR="009F5EAE">
        <w:rPr>
          <w:szCs w:val="22"/>
        </w:rPr>
        <w:t>However,</w:t>
      </w:r>
      <w:r>
        <w:rPr>
          <w:szCs w:val="22"/>
        </w:rPr>
        <w:t xml:space="preserve"> the supply lines can be dissected into </w:t>
      </w:r>
      <w:r w:rsidRPr="001A5550">
        <w:rPr>
          <w:szCs w:val="22"/>
        </w:rPr>
        <w:t xml:space="preserve">three major </w:t>
      </w:r>
      <w:r>
        <w:rPr>
          <w:szCs w:val="22"/>
        </w:rPr>
        <w:t xml:space="preserve">material supply </w:t>
      </w:r>
      <w:r w:rsidRPr="001A5550">
        <w:rPr>
          <w:szCs w:val="22"/>
        </w:rPr>
        <w:t>cha</w:t>
      </w:r>
      <w:r>
        <w:rPr>
          <w:szCs w:val="22"/>
        </w:rPr>
        <w:t>in</w:t>
      </w:r>
      <w:r w:rsidRPr="001A5550">
        <w:rPr>
          <w:szCs w:val="22"/>
        </w:rPr>
        <w:t>s:</w:t>
      </w:r>
    </w:p>
    <w:p w14:paraId="3795FDAB" w14:textId="7777777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sidRPr="001A5550">
        <w:rPr>
          <w:rFonts w:ascii="Times New Roman" w:hAnsi="Times New Roman"/>
        </w:rPr>
        <w:t xml:space="preserve">Bulk gas decanted into trading quantities for supply to manufacturers, installers and service companies; </w:t>
      </w:r>
    </w:p>
    <w:p w14:paraId="10316510" w14:textId="44FC418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sidRPr="001A5550">
        <w:rPr>
          <w:rFonts w:ascii="Times New Roman" w:hAnsi="Times New Roman"/>
        </w:rPr>
        <w:t>Imported pre-charged consumer appliances and equipment</w:t>
      </w:r>
      <w:r w:rsidR="009D50F5">
        <w:rPr>
          <w:rFonts w:ascii="Times New Roman" w:hAnsi="Times New Roman"/>
        </w:rPr>
        <w:t>;</w:t>
      </w:r>
      <w:r w:rsidRPr="001A5550">
        <w:rPr>
          <w:rFonts w:ascii="Times New Roman" w:hAnsi="Times New Roman"/>
        </w:rPr>
        <w:t xml:space="preserve"> and</w:t>
      </w:r>
    </w:p>
    <w:p w14:paraId="51FEC56B" w14:textId="7777777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sidRPr="001A5550">
        <w:rPr>
          <w:rFonts w:ascii="Times New Roman" w:hAnsi="Times New Roman"/>
        </w:rPr>
        <w:t xml:space="preserve">Locally manufactured </w:t>
      </w:r>
      <w:r>
        <w:rPr>
          <w:rFonts w:ascii="Times New Roman" w:hAnsi="Times New Roman"/>
        </w:rPr>
        <w:t>equipment</w:t>
      </w:r>
      <w:r w:rsidRPr="001A5550">
        <w:rPr>
          <w:rFonts w:ascii="Times New Roman" w:hAnsi="Times New Roman"/>
        </w:rPr>
        <w:t>.</w:t>
      </w:r>
    </w:p>
    <w:p w14:paraId="35E872F6" w14:textId="77777777" w:rsidR="003209EE" w:rsidRPr="00990DCD" w:rsidRDefault="003209EE" w:rsidP="003209EE">
      <w:r>
        <w:t xml:space="preserve">These three supply </w:t>
      </w:r>
      <w:r w:rsidRPr="00990DCD">
        <w:t>cha</w:t>
      </w:r>
      <w:r>
        <w:t>in</w:t>
      </w:r>
      <w:r w:rsidRPr="00990DCD">
        <w:t>s involve seven distinct commercial players prior to the end user:</w:t>
      </w:r>
    </w:p>
    <w:p w14:paraId="318F2015" w14:textId="7777777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sidRPr="001A5550">
        <w:rPr>
          <w:rFonts w:ascii="Times New Roman" w:hAnsi="Times New Roman"/>
        </w:rPr>
        <w:t>Importers;</w:t>
      </w:r>
    </w:p>
    <w:p w14:paraId="5ACEA1DD" w14:textId="7777777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Pr>
          <w:rFonts w:ascii="Times New Roman" w:hAnsi="Times New Roman"/>
        </w:rPr>
        <w:t>M</w:t>
      </w:r>
      <w:r w:rsidRPr="001A5550">
        <w:rPr>
          <w:rFonts w:ascii="Times New Roman" w:hAnsi="Times New Roman"/>
        </w:rPr>
        <w:t>anufacturers;</w:t>
      </w:r>
    </w:p>
    <w:p w14:paraId="44248C21" w14:textId="7777777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Pr>
          <w:rFonts w:ascii="Times New Roman" w:hAnsi="Times New Roman"/>
        </w:rPr>
        <w:t>Equipment d</w:t>
      </w:r>
      <w:r w:rsidRPr="001A5550">
        <w:rPr>
          <w:rFonts w:ascii="Times New Roman" w:hAnsi="Times New Roman"/>
        </w:rPr>
        <w:t>istributors/suppliers;</w:t>
      </w:r>
    </w:p>
    <w:p w14:paraId="49209698" w14:textId="343E0329" w:rsidR="003209EE" w:rsidRPr="001A5550" w:rsidRDefault="00B731FE" w:rsidP="00FC735C">
      <w:pPr>
        <w:pStyle w:val="ListParagraph"/>
        <w:numPr>
          <w:ilvl w:val="0"/>
          <w:numId w:val="20"/>
        </w:numPr>
        <w:spacing w:before="120" w:after="0" w:line="240" w:lineRule="auto"/>
        <w:ind w:left="357" w:hanging="357"/>
        <w:contextualSpacing w:val="0"/>
        <w:rPr>
          <w:rFonts w:ascii="Times New Roman" w:hAnsi="Times New Roman"/>
        </w:rPr>
      </w:pPr>
      <w:r>
        <w:rPr>
          <w:rFonts w:ascii="Times New Roman" w:hAnsi="Times New Roman"/>
        </w:rPr>
        <w:t>R</w:t>
      </w:r>
      <w:r w:rsidR="005E01C3">
        <w:rPr>
          <w:rFonts w:ascii="Times New Roman" w:hAnsi="Times New Roman"/>
        </w:rPr>
        <w:t>efrigerant</w:t>
      </w:r>
      <w:r w:rsidR="003209EE" w:rsidRPr="001A5550">
        <w:rPr>
          <w:rFonts w:ascii="Times New Roman" w:hAnsi="Times New Roman"/>
        </w:rPr>
        <w:t xml:space="preserve"> wholesalers;</w:t>
      </w:r>
    </w:p>
    <w:p w14:paraId="023E1F70" w14:textId="7777777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sidRPr="001A5550">
        <w:rPr>
          <w:rFonts w:ascii="Times New Roman" w:hAnsi="Times New Roman"/>
        </w:rPr>
        <w:t>Specialist dealers of heating and cooling equipment (typically with their own showroom);</w:t>
      </w:r>
    </w:p>
    <w:p w14:paraId="2448B37A" w14:textId="7777777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sidRPr="001A5550">
        <w:rPr>
          <w:rFonts w:ascii="Times New Roman" w:hAnsi="Times New Roman"/>
        </w:rPr>
        <w:t>White goods and</w:t>
      </w:r>
      <w:r>
        <w:rPr>
          <w:rFonts w:ascii="Times New Roman" w:hAnsi="Times New Roman"/>
        </w:rPr>
        <w:t xml:space="preserve"> household appliances retailers; and,</w:t>
      </w:r>
    </w:p>
    <w:p w14:paraId="141A141C" w14:textId="77777777" w:rsidR="003209EE" w:rsidRPr="001A5550" w:rsidRDefault="003209EE" w:rsidP="00FC735C">
      <w:pPr>
        <w:pStyle w:val="ListParagraph"/>
        <w:numPr>
          <w:ilvl w:val="0"/>
          <w:numId w:val="20"/>
        </w:numPr>
        <w:spacing w:before="120" w:after="0" w:line="240" w:lineRule="auto"/>
        <w:ind w:left="357" w:hanging="357"/>
        <w:contextualSpacing w:val="0"/>
        <w:rPr>
          <w:rFonts w:ascii="Times New Roman" w:hAnsi="Times New Roman"/>
        </w:rPr>
      </w:pPr>
      <w:r w:rsidRPr="001A5550">
        <w:rPr>
          <w:rFonts w:ascii="Times New Roman" w:hAnsi="Times New Roman"/>
        </w:rPr>
        <w:t xml:space="preserve">Contracting businesses </w:t>
      </w:r>
      <w:r>
        <w:rPr>
          <w:rFonts w:ascii="Times New Roman" w:hAnsi="Times New Roman"/>
        </w:rPr>
        <w:t xml:space="preserve">installing, repairing and servicing equipment, </w:t>
      </w:r>
      <w:r w:rsidRPr="001A5550">
        <w:rPr>
          <w:rFonts w:ascii="Times New Roman" w:hAnsi="Times New Roman"/>
        </w:rPr>
        <w:t>and sub-contractors</w:t>
      </w:r>
      <w:r>
        <w:rPr>
          <w:rFonts w:ascii="Times New Roman" w:hAnsi="Times New Roman"/>
        </w:rPr>
        <w:t>.</w:t>
      </w:r>
    </w:p>
    <w:p w14:paraId="478236E9" w14:textId="77777777" w:rsidR="003209EE" w:rsidRPr="001A5550" w:rsidRDefault="003209EE" w:rsidP="003209EE">
      <w:pPr>
        <w:rPr>
          <w:szCs w:val="22"/>
        </w:rPr>
      </w:pPr>
      <w:r w:rsidRPr="001A5550">
        <w:rPr>
          <w:szCs w:val="22"/>
        </w:rPr>
        <w:t xml:space="preserve">Importers take delivery of ship borne ISO containers each carrying between 10 and 18 tonnes of </w:t>
      </w:r>
      <w:r>
        <w:rPr>
          <w:szCs w:val="22"/>
        </w:rPr>
        <w:t>refrigerant</w:t>
      </w:r>
      <w:r w:rsidRPr="001A5550">
        <w:rPr>
          <w:szCs w:val="22"/>
        </w:rPr>
        <w:t xml:space="preserve">. These refrigerants are pumped into large vertical or horizontal storage tanks at the importer’s yards. The larger tanks will generally be capable of holding between 20 and 70 tonnes of </w:t>
      </w:r>
      <w:r>
        <w:rPr>
          <w:szCs w:val="22"/>
        </w:rPr>
        <w:t>refrigerant</w:t>
      </w:r>
      <w:r w:rsidRPr="001A5550">
        <w:rPr>
          <w:szCs w:val="22"/>
        </w:rPr>
        <w:t>, depending on the volumetric capacity and pressures of the refrigerant. Importers decant gas into tradeable quantities depending on purpose and market.</w:t>
      </w:r>
      <w:r>
        <w:rPr>
          <w:szCs w:val="22"/>
        </w:rPr>
        <w:t xml:space="preserve"> There are four </w:t>
      </w:r>
      <w:r w:rsidRPr="001A5550">
        <w:rPr>
          <w:szCs w:val="22"/>
        </w:rPr>
        <w:t xml:space="preserve">significant bulk import decanting facilities </w:t>
      </w:r>
      <w:r w:rsidRPr="00CD08A2">
        <w:rPr>
          <w:szCs w:val="22"/>
        </w:rPr>
        <w:t>currently operating</w:t>
      </w:r>
      <w:r>
        <w:rPr>
          <w:szCs w:val="22"/>
        </w:rPr>
        <w:t>, three</w:t>
      </w:r>
      <w:r w:rsidRPr="00CD08A2">
        <w:rPr>
          <w:szCs w:val="22"/>
        </w:rPr>
        <w:t xml:space="preserve"> in </w:t>
      </w:r>
      <w:r>
        <w:rPr>
          <w:szCs w:val="22"/>
        </w:rPr>
        <w:t xml:space="preserve">Melbourne, and one </w:t>
      </w:r>
      <w:r w:rsidRPr="00CD08A2">
        <w:rPr>
          <w:szCs w:val="22"/>
        </w:rPr>
        <w:t>in Sydney.</w:t>
      </w:r>
      <w:r w:rsidRPr="001A5550">
        <w:rPr>
          <w:szCs w:val="22"/>
        </w:rPr>
        <w:t xml:space="preserve"> </w:t>
      </w:r>
    </w:p>
    <w:p w14:paraId="69816015" w14:textId="1C6AB661" w:rsidR="003209EE" w:rsidRPr="001A5550" w:rsidRDefault="003209EE" w:rsidP="003209EE">
      <w:pPr>
        <w:rPr>
          <w:szCs w:val="22"/>
        </w:rPr>
      </w:pPr>
      <w:r w:rsidRPr="001A5550">
        <w:rPr>
          <w:szCs w:val="22"/>
        </w:rPr>
        <w:t xml:space="preserve">Gas </w:t>
      </w:r>
      <w:r>
        <w:rPr>
          <w:szCs w:val="22"/>
        </w:rPr>
        <w:t xml:space="preserve">is decanted at these sites into </w:t>
      </w:r>
      <w:r w:rsidRPr="001A5550">
        <w:rPr>
          <w:szCs w:val="22"/>
        </w:rPr>
        <w:t xml:space="preserve">thousands of cylinders ranging in size </w:t>
      </w:r>
      <w:r>
        <w:rPr>
          <w:szCs w:val="22"/>
        </w:rPr>
        <w:t>from</w:t>
      </w:r>
      <w:r w:rsidRPr="001A5550">
        <w:rPr>
          <w:szCs w:val="22"/>
        </w:rPr>
        <w:t xml:space="preserve"> 10 kg, </w:t>
      </w:r>
      <w:r>
        <w:rPr>
          <w:szCs w:val="22"/>
        </w:rPr>
        <w:t xml:space="preserve">to </w:t>
      </w:r>
      <w:r w:rsidRPr="001A5550">
        <w:rPr>
          <w:szCs w:val="22"/>
        </w:rPr>
        <w:t xml:space="preserve">18 kg, </w:t>
      </w:r>
      <w:r>
        <w:rPr>
          <w:szCs w:val="22"/>
        </w:rPr>
        <w:t xml:space="preserve">and </w:t>
      </w:r>
      <w:r w:rsidRPr="001A5550">
        <w:rPr>
          <w:szCs w:val="22"/>
        </w:rPr>
        <w:t>60 kg</w:t>
      </w:r>
      <w:r>
        <w:rPr>
          <w:szCs w:val="22"/>
        </w:rPr>
        <w:t>,</w:t>
      </w:r>
      <w:r w:rsidRPr="001A5550">
        <w:rPr>
          <w:szCs w:val="22"/>
        </w:rPr>
        <w:t xml:space="preserve"> and </w:t>
      </w:r>
      <w:r w:rsidR="009D50F5">
        <w:rPr>
          <w:szCs w:val="22"/>
        </w:rPr>
        <w:t>also</w:t>
      </w:r>
      <w:r w:rsidRPr="001A5550">
        <w:rPr>
          <w:szCs w:val="22"/>
        </w:rPr>
        <w:t xml:space="preserve"> larger transportable tanks. Transportable tanks with a volumetric capacity of approximately 900 litres are commonly referred to as ‘one tonners’, and ‘half tonners’ for tanks with a 450 litres capacity. These transportable tanks can contain between 400 kilograms and 700 kilograms of product depending on the </w:t>
      </w:r>
      <w:r>
        <w:rPr>
          <w:szCs w:val="22"/>
        </w:rPr>
        <w:t>refrigerant involved.</w:t>
      </w:r>
    </w:p>
    <w:p w14:paraId="235004DC" w14:textId="77777777" w:rsidR="003209EE" w:rsidRPr="001A5550" w:rsidRDefault="003209EE" w:rsidP="003209EE">
      <w:pPr>
        <w:rPr>
          <w:szCs w:val="22"/>
        </w:rPr>
      </w:pPr>
      <w:r w:rsidRPr="001A5550">
        <w:rPr>
          <w:szCs w:val="22"/>
        </w:rPr>
        <w:t xml:space="preserve">More than 200 </w:t>
      </w:r>
      <w:r>
        <w:rPr>
          <w:szCs w:val="22"/>
        </w:rPr>
        <w:t xml:space="preserve">refrigerant </w:t>
      </w:r>
      <w:r w:rsidRPr="001A5550">
        <w:rPr>
          <w:szCs w:val="22"/>
        </w:rPr>
        <w:t>wholesalers around the country provide the channel for the tens of thousands of small cylinders to be distributed, the majority going to contractors and service companies.</w:t>
      </w:r>
    </w:p>
    <w:p w14:paraId="4FD72FBB" w14:textId="44E37504" w:rsidR="003209EE" w:rsidRPr="001A5550" w:rsidRDefault="003209EE" w:rsidP="003209EE">
      <w:pPr>
        <w:rPr>
          <w:szCs w:val="22"/>
        </w:rPr>
      </w:pPr>
      <w:r w:rsidRPr="001A5550">
        <w:rPr>
          <w:szCs w:val="22"/>
        </w:rPr>
        <w:t xml:space="preserve">RAC </w:t>
      </w:r>
      <w:r>
        <w:rPr>
          <w:szCs w:val="22"/>
        </w:rPr>
        <w:t xml:space="preserve">equipment </w:t>
      </w:r>
      <w:r w:rsidRPr="001A5550">
        <w:rPr>
          <w:szCs w:val="22"/>
        </w:rPr>
        <w:t xml:space="preserve">manufacturers decant from transportable tanks into smaller cylinders for use around their facility and for use when commissioning or servicing their own machinery. </w:t>
      </w:r>
      <w:r w:rsidR="00E2172C" w:rsidRPr="001A5550">
        <w:rPr>
          <w:szCs w:val="22"/>
        </w:rPr>
        <w:t>However,</w:t>
      </w:r>
      <w:r w:rsidRPr="001A5550">
        <w:rPr>
          <w:szCs w:val="22"/>
        </w:rPr>
        <w:t xml:space="preserve"> they will also decant directly from the larger storage into supply lines in their factories to charge </w:t>
      </w:r>
      <w:r w:rsidR="0007691F">
        <w:rPr>
          <w:szCs w:val="22"/>
        </w:rPr>
        <w:t>equipment</w:t>
      </w:r>
      <w:r w:rsidRPr="001A5550">
        <w:rPr>
          <w:szCs w:val="22"/>
        </w:rPr>
        <w:t xml:space="preserve"> that they have manufactured</w:t>
      </w:r>
      <w:r w:rsidR="009D50F5">
        <w:rPr>
          <w:szCs w:val="22"/>
        </w:rPr>
        <w:t>,</w:t>
      </w:r>
      <w:r w:rsidRPr="001A5550">
        <w:rPr>
          <w:szCs w:val="22"/>
        </w:rPr>
        <w:t xml:space="preserve"> prior to dispatch from the factory floor.</w:t>
      </w:r>
    </w:p>
    <w:p w14:paraId="0D4F0189" w14:textId="77777777" w:rsidR="003209EE" w:rsidRPr="001A5550" w:rsidRDefault="003209EE" w:rsidP="003209EE">
      <w:pPr>
        <w:rPr>
          <w:szCs w:val="22"/>
        </w:rPr>
      </w:pPr>
      <w:r w:rsidRPr="001A5550">
        <w:rPr>
          <w:szCs w:val="22"/>
        </w:rPr>
        <w:t xml:space="preserve">Air conditioning distributors/suppliers import and distribute pre-charged equipment and do not themselves require large volumes of bottled </w:t>
      </w:r>
      <w:r>
        <w:rPr>
          <w:szCs w:val="22"/>
        </w:rPr>
        <w:t>refrigerant</w:t>
      </w:r>
      <w:r w:rsidRPr="001A5550">
        <w:rPr>
          <w:szCs w:val="22"/>
        </w:rPr>
        <w:t xml:space="preserve"> supplies from importers. They mostly purchase refrigerant from wholesalers for </w:t>
      </w:r>
      <w:r>
        <w:rPr>
          <w:szCs w:val="22"/>
        </w:rPr>
        <w:t xml:space="preserve">additional charges for </w:t>
      </w:r>
      <w:r w:rsidRPr="001A5550">
        <w:rPr>
          <w:szCs w:val="22"/>
        </w:rPr>
        <w:t xml:space="preserve">larger systems (i.e. variable refrigerant volume split systems) and small volumes when directly undertaking service work. </w:t>
      </w:r>
    </w:p>
    <w:p w14:paraId="2AFAAE20" w14:textId="77777777" w:rsidR="003209EE" w:rsidRPr="001A5550" w:rsidRDefault="003209EE" w:rsidP="003209EE">
      <w:pPr>
        <w:rPr>
          <w:szCs w:val="22"/>
        </w:rPr>
      </w:pPr>
      <w:r w:rsidRPr="001A5550">
        <w:rPr>
          <w:szCs w:val="22"/>
        </w:rPr>
        <w:t>Specialist dealers are unlikely to carry bottled gas supplies. Some dealers will be operating as contractors installing or servicing equipment for their customers, in which case they will have bottled gas demands as part of providing that service. Specialist dealers will likely get a range of product from different air conditioning distributors/suppliers and may also stock and sell equipment from local air conditioning manufacturers. If the specialist dealer does not operate as a contractor installing or servicing equipment they are likely to have close relationships with contractors whom they rely on to install and service equipment they have sold.</w:t>
      </w:r>
    </w:p>
    <w:p w14:paraId="6DF6D4CB" w14:textId="77777777" w:rsidR="003209EE" w:rsidRPr="001A5550" w:rsidRDefault="003209EE" w:rsidP="003209EE">
      <w:pPr>
        <w:rPr>
          <w:szCs w:val="22"/>
        </w:rPr>
      </w:pPr>
      <w:r w:rsidRPr="001A5550">
        <w:rPr>
          <w:szCs w:val="22"/>
        </w:rPr>
        <w:t>Retailers have no requirement for any bottled gas. Retailers sell pre-charged equipment supplied to them by air conditioning distributors/suppliers</w:t>
      </w:r>
      <w:r>
        <w:rPr>
          <w:szCs w:val="22"/>
        </w:rPr>
        <w:t>, or in some instances import directly</w:t>
      </w:r>
      <w:r w:rsidRPr="001A5550">
        <w:rPr>
          <w:szCs w:val="22"/>
        </w:rPr>
        <w:t>. Retailers may also have relationships with contractors whom they recommend for installation and service of equipment they have sold.</w:t>
      </w:r>
    </w:p>
    <w:p w14:paraId="314E616A" w14:textId="1AEC4AB5" w:rsidR="003209EE" w:rsidRDefault="003209EE" w:rsidP="003209EE">
      <w:pPr>
        <w:rPr>
          <w:szCs w:val="22"/>
        </w:rPr>
      </w:pPr>
      <w:r w:rsidRPr="00EA7137">
        <w:rPr>
          <w:szCs w:val="22"/>
        </w:rPr>
        <w:t>Contracting businesses install, repair and servic</w:t>
      </w:r>
      <w:r>
        <w:rPr>
          <w:szCs w:val="22"/>
        </w:rPr>
        <w:t>e</w:t>
      </w:r>
      <w:r w:rsidRPr="00EA7137">
        <w:rPr>
          <w:szCs w:val="22"/>
        </w:rPr>
        <w:t xml:space="preserve"> equipment, and </w:t>
      </w:r>
      <w:r>
        <w:rPr>
          <w:szCs w:val="22"/>
        </w:rPr>
        <w:t xml:space="preserve">often engage numerous individual </w:t>
      </w:r>
      <w:r w:rsidRPr="00EA7137">
        <w:rPr>
          <w:szCs w:val="22"/>
        </w:rPr>
        <w:t>sub-contractors.</w:t>
      </w:r>
      <w:r>
        <w:rPr>
          <w:szCs w:val="22"/>
        </w:rPr>
        <w:t xml:space="preserve"> </w:t>
      </w:r>
      <w:r w:rsidRPr="001A5550">
        <w:rPr>
          <w:szCs w:val="22"/>
        </w:rPr>
        <w:t xml:space="preserve">There are tens of thousands of individuals licensed to handle refrigerant and these contractors hold the majority of those licences. Contractors consume the majority of the small cylinders of </w:t>
      </w:r>
      <w:r w:rsidR="0007691F">
        <w:rPr>
          <w:szCs w:val="22"/>
        </w:rPr>
        <w:t>refrigerant</w:t>
      </w:r>
      <w:r w:rsidRPr="001A5550">
        <w:rPr>
          <w:szCs w:val="22"/>
        </w:rPr>
        <w:t xml:space="preserve"> decanted by </w:t>
      </w:r>
      <w:r>
        <w:rPr>
          <w:szCs w:val="22"/>
        </w:rPr>
        <w:t>i</w:t>
      </w:r>
      <w:r w:rsidRPr="001A5550">
        <w:rPr>
          <w:szCs w:val="22"/>
        </w:rPr>
        <w:t xml:space="preserve">mporters and distributed through </w:t>
      </w:r>
      <w:r w:rsidR="0007691F">
        <w:rPr>
          <w:szCs w:val="22"/>
        </w:rPr>
        <w:t>refrigerant</w:t>
      </w:r>
      <w:r w:rsidRPr="001A5550">
        <w:rPr>
          <w:szCs w:val="22"/>
        </w:rPr>
        <w:t xml:space="preserve"> wholesalers.</w:t>
      </w:r>
    </w:p>
    <w:p w14:paraId="26FBE81D" w14:textId="2BF3F059" w:rsidR="003209EE" w:rsidRDefault="003209EE" w:rsidP="003209EE">
      <w:pPr>
        <w:rPr>
          <w:szCs w:val="22"/>
        </w:rPr>
      </w:pPr>
      <w:r>
        <w:rPr>
          <w:szCs w:val="22"/>
        </w:rPr>
        <w:t xml:space="preserve">Some of the </w:t>
      </w:r>
      <w:r w:rsidR="009F5EAE">
        <w:rPr>
          <w:szCs w:val="22"/>
        </w:rPr>
        <w:t>businesses</w:t>
      </w:r>
      <w:r>
        <w:rPr>
          <w:szCs w:val="22"/>
        </w:rPr>
        <w:t xml:space="preserve"> involved in these supply lines are the Australian arms of international companies of global scale. Daikin for instance, a supplier of various types of equipment, is a global company, as are competitors Fujitsu, Sanyo, Mitsubishi, LG, and other equipment manufacturers. Many of the Australian based </w:t>
      </w:r>
      <w:r w:rsidR="0007691F">
        <w:rPr>
          <w:szCs w:val="22"/>
        </w:rPr>
        <w:t>businesses</w:t>
      </w:r>
      <w:r>
        <w:rPr>
          <w:szCs w:val="22"/>
        </w:rPr>
        <w:t xml:space="preserve"> are relatively small, from the sole trader refrigeration mechanic contracting services to the medium sized wholesaler to the trade</w:t>
      </w:r>
      <w:r w:rsidR="009D50F5">
        <w:rPr>
          <w:szCs w:val="22"/>
        </w:rPr>
        <w:t>rs</w:t>
      </w:r>
      <w:r>
        <w:rPr>
          <w:szCs w:val="22"/>
        </w:rPr>
        <w:t xml:space="preserve"> of ancillaries, components, specialised tools and refrigerant. The relatively rare Australian manufacturers of equipment, such as Actron Air</w:t>
      </w:r>
      <w:r w:rsidR="009D50F5">
        <w:rPr>
          <w:szCs w:val="22"/>
        </w:rPr>
        <w:t>,</w:t>
      </w:r>
      <w:r>
        <w:rPr>
          <w:szCs w:val="22"/>
        </w:rPr>
        <w:t xml:space="preserve"> Temperzone</w:t>
      </w:r>
      <w:r w:rsidR="009D50F5">
        <w:rPr>
          <w:szCs w:val="22"/>
        </w:rPr>
        <w:t>,</w:t>
      </w:r>
      <w:r>
        <w:rPr>
          <w:szCs w:val="22"/>
        </w:rPr>
        <w:t xml:space="preserve"> Advanced Refrigeration Technologies</w:t>
      </w:r>
      <w:r w:rsidR="009D50F5">
        <w:rPr>
          <w:szCs w:val="22"/>
        </w:rPr>
        <w:t>,</w:t>
      </w:r>
      <w:r>
        <w:rPr>
          <w:szCs w:val="22"/>
        </w:rPr>
        <w:t xml:space="preserve"> and Stoddart Refrigeration in Queensland</w:t>
      </w:r>
      <w:r w:rsidR="009D50F5">
        <w:rPr>
          <w:szCs w:val="22"/>
        </w:rPr>
        <w:t>, and</w:t>
      </w:r>
      <w:r>
        <w:rPr>
          <w:szCs w:val="22"/>
        </w:rPr>
        <w:t xml:space="preserve"> Williams Refrigeration and Smardt Chillers in Melbourne, have maintained and even grown their business because they produce the most energy efficient and advanced equipment in the market. </w:t>
      </w:r>
    </w:p>
    <w:p w14:paraId="29047AC0" w14:textId="241A3D4C" w:rsidR="003209EE" w:rsidRDefault="003209EE" w:rsidP="003209EE">
      <w:pPr>
        <w:rPr>
          <w:szCs w:val="22"/>
        </w:rPr>
      </w:pPr>
      <w:r>
        <w:rPr>
          <w:szCs w:val="22"/>
        </w:rPr>
        <w:t>The wide variety of</w:t>
      </w:r>
      <w:r w:rsidR="007B1373">
        <w:rPr>
          <w:szCs w:val="22"/>
        </w:rPr>
        <w:t xml:space="preserve"> </w:t>
      </w:r>
      <w:r w:rsidR="00FE74F2">
        <w:rPr>
          <w:szCs w:val="22"/>
        </w:rPr>
        <w:t>skill</w:t>
      </w:r>
      <w:r w:rsidR="003175B0">
        <w:rPr>
          <w:szCs w:val="22"/>
        </w:rPr>
        <w:t>s</w:t>
      </w:r>
      <w:r w:rsidR="007B1373">
        <w:rPr>
          <w:szCs w:val="22"/>
        </w:rPr>
        <w:t>, qualifications</w:t>
      </w:r>
      <w:r>
        <w:rPr>
          <w:szCs w:val="22"/>
        </w:rPr>
        <w:t xml:space="preserve"> and roles along the supply chain of the various parts of the industry can</w:t>
      </w:r>
      <w:r w:rsidRPr="006F4866">
        <w:rPr>
          <w:szCs w:val="22"/>
        </w:rPr>
        <w:t xml:space="preserve"> be viewed through the </w:t>
      </w:r>
      <w:r>
        <w:rPr>
          <w:szCs w:val="22"/>
        </w:rPr>
        <w:t>lens of the numerous professional</w:t>
      </w:r>
      <w:r w:rsidRPr="006F4866">
        <w:rPr>
          <w:szCs w:val="22"/>
        </w:rPr>
        <w:t xml:space="preserve"> associations that have developed to represent the interests of these groups in the wider industry</w:t>
      </w:r>
      <w:r>
        <w:rPr>
          <w:szCs w:val="22"/>
        </w:rPr>
        <w:t>,</w:t>
      </w:r>
      <w:r w:rsidRPr="006F4866">
        <w:rPr>
          <w:szCs w:val="22"/>
        </w:rPr>
        <w:t xml:space="preserve"> and to government. </w:t>
      </w:r>
      <w:r>
        <w:rPr>
          <w:szCs w:val="22"/>
        </w:rPr>
        <w:t xml:space="preserve">A list of the leading industry associations is included at the front of the document in </w:t>
      </w:r>
      <w:r w:rsidRPr="00421852">
        <w:rPr>
          <w:i/>
          <w:szCs w:val="22"/>
        </w:rPr>
        <w:t>Acknowledgements</w:t>
      </w:r>
      <w:r>
        <w:rPr>
          <w:szCs w:val="22"/>
        </w:rPr>
        <w:t>.</w:t>
      </w:r>
    </w:p>
    <w:p w14:paraId="260341DA" w14:textId="660203C3" w:rsidR="000F7A90" w:rsidRDefault="000F7A90" w:rsidP="007215EE">
      <w:pPr>
        <w:rPr>
          <w:lang w:val="en-US"/>
        </w:rPr>
      </w:pPr>
    </w:p>
    <w:p w14:paraId="43CB5BEF" w14:textId="77777777" w:rsidR="000F7A90" w:rsidRDefault="000F7A90" w:rsidP="000F7A90">
      <w:pPr>
        <w:pStyle w:val="Heading2"/>
        <w:ind w:left="567" w:hanging="567"/>
      </w:pPr>
      <w:bookmarkStart w:id="176" w:name="_Toc233084165"/>
      <w:bookmarkStart w:id="177" w:name="_Toc525141305"/>
      <w:r>
        <w:t>Indicators of value</w:t>
      </w:r>
      <w:bookmarkEnd w:id="176"/>
      <w:bookmarkEnd w:id="177"/>
    </w:p>
    <w:p w14:paraId="1165DADE" w14:textId="3B54AAAB" w:rsidR="003209EE" w:rsidRPr="001A5550" w:rsidRDefault="003209EE" w:rsidP="003209EE">
      <w:pPr>
        <w:rPr>
          <w:szCs w:val="22"/>
        </w:rPr>
      </w:pPr>
      <w:r w:rsidRPr="001A5550">
        <w:rPr>
          <w:szCs w:val="22"/>
        </w:rPr>
        <w:t xml:space="preserve">There is no simple measure of total economic activity in this sector. </w:t>
      </w:r>
      <w:r w:rsidR="009F5EAE" w:rsidRPr="001A5550">
        <w:rPr>
          <w:szCs w:val="22"/>
        </w:rPr>
        <w:t>However,</w:t>
      </w:r>
      <w:r w:rsidRPr="001A5550">
        <w:rPr>
          <w:szCs w:val="22"/>
        </w:rPr>
        <w:t xml:space="preserve"> there are a number of indicators that can be used to point to the overall size of the R</w:t>
      </w:r>
      <w:r>
        <w:rPr>
          <w:szCs w:val="22"/>
        </w:rPr>
        <w:t>AC</w:t>
      </w:r>
      <w:r w:rsidRPr="001A5550">
        <w:rPr>
          <w:szCs w:val="22"/>
        </w:rPr>
        <w:t xml:space="preserve"> industry and its economic activity.</w:t>
      </w:r>
    </w:p>
    <w:p w14:paraId="0B8A3092" w14:textId="0A147985" w:rsidR="003209EE" w:rsidRDefault="003209EE" w:rsidP="003209EE">
      <w:pPr>
        <w:rPr>
          <w:szCs w:val="22"/>
        </w:rPr>
      </w:pPr>
      <w:r w:rsidRPr="001A5550">
        <w:rPr>
          <w:szCs w:val="22"/>
        </w:rPr>
        <w:t xml:space="preserve">The total </w:t>
      </w:r>
      <w:r>
        <w:rPr>
          <w:szCs w:val="22"/>
        </w:rPr>
        <w:t>stock of equipment of approximately 5</w:t>
      </w:r>
      <w:r w:rsidR="003939E2">
        <w:rPr>
          <w:szCs w:val="22"/>
        </w:rPr>
        <w:t>4</w:t>
      </w:r>
      <w:r w:rsidRPr="001A5550">
        <w:rPr>
          <w:szCs w:val="22"/>
        </w:rPr>
        <w:t xml:space="preserve"> million devices</w:t>
      </w:r>
      <w:r>
        <w:rPr>
          <w:szCs w:val="22"/>
        </w:rPr>
        <w:t xml:space="preserve"> (</w:t>
      </w:r>
      <w:r w:rsidRPr="004D5126">
        <w:rPr>
          <w:i/>
          <w:szCs w:val="22"/>
        </w:rPr>
        <w:t>CHF2</w:t>
      </w:r>
      <w:r>
        <w:rPr>
          <w:i/>
          <w:szCs w:val="22"/>
        </w:rPr>
        <w:t>&gt;</w:t>
      </w:r>
      <w:r w:rsidRPr="004D5126">
        <w:rPr>
          <w:i/>
          <w:szCs w:val="22"/>
        </w:rPr>
        <w:t>45 million</w:t>
      </w:r>
      <w:r>
        <w:rPr>
          <w:szCs w:val="22"/>
        </w:rPr>
        <w:t>)</w:t>
      </w:r>
      <w:r w:rsidRPr="001A5550">
        <w:rPr>
          <w:szCs w:val="22"/>
        </w:rPr>
        <w:t xml:space="preserve">, is quite well understood. </w:t>
      </w:r>
      <w:r>
        <w:rPr>
          <w:szCs w:val="22"/>
        </w:rPr>
        <w:t>Imports of pre-charged equipment and Australian manufacturers</w:t>
      </w:r>
      <w:r w:rsidR="009D50F5">
        <w:rPr>
          <w:szCs w:val="22"/>
        </w:rPr>
        <w:t>;</w:t>
      </w:r>
      <w:r>
        <w:rPr>
          <w:szCs w:val="22"/>
        </w:rPr>
        <w:t xml:space="preserve"> output provides very high quality data to model growth in this stock</w:t>
      </w:r>
      <w:r w:rsidRPr="001A5550">
        <w:rPr>
          <w:szCs w:val="22"/>
        </w:rPr>
        <w:t xml:space="preserve">. </w:t>
      </w:r>
    </w:p>
    <w:p w14:paraId="4F76142D" w14:textId="77777777" w:rsidR="003209EE" w:rsidRPr="001A5550" w:rsidRDefault="003209EE" w:rsidP="003209EE">
      <w:pPr>
        <w:rPr>
          <w:szCs w:val="22"/>
        </w:rPr>
      </w:pPr>
      <w:r w:rsidRPr="001A5550">
        <w:rPr>
          <w:szCs w:val="22"/>
        </w:rPr>
        <w:t xml:space="preserve">Using </w:t>
      </w:r>
      <w:r>
        <w:rPr>
          <w:szCs w:val="22"/>
        </w:rPr>
        <w:t xml:space="preserve">ranges </w:t>
      </w:r>
      <w:r w:rsidRPr="001A5550">
        <w:rPr>
          <w:szCs w:val="22"/>
        </w:rPr>
        <w:t xml:space="preserve">of hours of operation of the various equipment categories </w:t>
      </w:r>
      <w:r>
        <w:rPr>
          <w:szCs w:val="22"/>
        </w:rPr>
        <w:t xml:space="preserve">in various climate zones, </w:t>
      </w:r>
      <w:r w:rsidRPr="001A5550">
        <w:rPr>
          <w:szCs w:val="22"/>
        </w:rPr>
        <w:t>a calculation of the quantity of electricity that must be purchased to provide RAC services every year</w:t>
      </w:r>
      <w:r>
        <w:rPr>
          <w:szCs w:val="22"/>
        </w:rPr>
        <w:t xml:space="preserve"> can be made</w:t>
      </w:r>
      <w:r w:rsidRPr="001A5550">
        <w:rPr>
          <w:szCs w:val="22"/>
        </w:rPr>
        <w:t xml:space="preserve">. </w:t>
      </w:r>
    </w:p>
    <w:p w14:paraId="7FF0D298" w14:textId="667888B5" w:rsidR="003209EE" w:rsidRDefault="003209EE" w:rsidP="003209EE">
      <w:pPr>
        <w:rPr>
          <w:szCs w:val="22"/>
        </w:rPr>
      </w:pPr>
      <w:r>
        <w:rPr>
          <w:szCs w:val="22"/>
        </w:rPr>
        <w:t>The approximately 61</w:t>
      </w:r>
      <w:r w:rsidRPr="001A5550">
        <w:rPr>
          <w:szCs w:val="22"/>
        </w:rPr>
        <w:t>,000 GWh of electricity p</w:t>
      </w:r>
      <w:r>
        <w:rPr>
          <w:szCs w:val="22"/>
        </w:rPr>
        <w:t>urchased (</w:t>
      </w:r>
      <w:r w:rsidRPr="00146EA8">
        <w:rPr>
          <w:i/>
          <w:szCs w:val="22"/>
        </w:rPr>
        <w:t>CHF2 59,000</w:t>
      </w:r>
      <w:r>
        <w:rPr>
          <w:szCs w:val="22"/>
        </w:rPr>
        <w:t>) was more than one quarter of all the electricity consumed in Australia in 2016</w:t>
      </w:r>
      <w:r w:rsidRPr="001A5550">
        <w:rPr>
          <w:szCs w:val="22"/>
        </w:rPr>
        <w:t xml:space="preserve">. </w:t>
      </w:r>
      <w:r>
        <w:rPr>
          <w:szCs w:val="22"/>
        </w:rPr>
        <w:t>Somewhat surprisingly</w:t>
      </w:r>
      <w:r w:rsidR="00677F86">
        <w:rPr>
          <w:szCs w:val="22"/>
        </w:rPr>
        <w:t xml:space="preserve"> the cost of the energy consumed in 2012 and in 2016 was effectively the same. D</w:t>
      </w:r>
      <w:r>
        <w:rPr>
          <w:szCs w:val="22"/>
        </w:rPr>
        <w:t>espite the increase in the stock of equipment in the model (some as a result of actual growth in equipment numbers and some as a result of better data revealing stocks unaccounted for in 2012) t</w:t>
      </w:r>
      <w:r w:rsidRPr="001A5550">
        <w:rPr>
          <w:szCs w:val="22"/>
        </w:rPr>
        <w:t xml:space="preserve">he value of all </w:t>
      </w:r>
      <w:r>
        <w:rPr>
          <w:szCs w:val="22"/>
        </w:rPr>
        <w:t>energy consumed in the sector in 2016 is</w:t>
      </w:r>
      <w:r w:rsidRPr="001A5550">
        <w:rPr>
          <w:szCs w:val="22"/>
        </w:rPr>
        <w:t xml:space="preserve"> estimated to have been wort</w:t>
      </w:r>
      <w:r>
        <w:rPr>
          <w:szCs w:val="22"/>
        </w:rPr>
        <w:t xml:space="preserve">h </w:t>
      </w:r>
      <w:r w:rsidR="00415BDC">
        <w:rPr>
          <w:szCs w:val="22"/>
        </w:rPr>
        <w:t xml:space="preserve">slightly </w:t>
      </w:r>
      <w:r>
        <w:rPr>
          <w:szCs w:val="22"/>
        </w:rPr>
        <w:t xml:space="preserve">more than $14 billion dollars, </w:t>
      </w:r>
      <w:r w:rsidR="00EB26CD">
        <w:rPr>
          <w:szCs w:val="22"/>
        </w:rPr>
        <w:t>which is</w:t>
      </w:r>
      <w:r>
        <w:rPr>
          <w:szCs w:val="22"/>
        </w:rPr>
        <w:t xml:space="preserve"> almost the exactly the same as the cost of energy consumed by RAC equipment in 2012. </w:t>
      </w:r>
    </w:p>
    <w:p w14:paraId="54CBFFAA" w14:textId="77777777" w:rsidR="003209EE" w:rsidRDefault="003209EE" w:rsidP="003209EE">
      <w:pPr>
        <w:rPr>
          <w:szCs w:val="22"/>
        </w:rPr>
      </w:pPr>
      <w:r>
        <w:rPr>
          <w:szCs w:val="22"/>
        </w:rPr>
        <w:t xml:space="preserve">In a large part this outcome can be attributed to falls in unit energy prices since 2012, at which time energy prices in Australia incorporated a </w:t>
      </w:r>
      <w:r w:rsidRPr="00BB75CC">
        <w:rPr>
          <w:szCs w:val="22"/>
        </w:rPr>
        <w:t>fixed carbon price of $23 per ton</w:t>
      </w:r>
      <w:r>
        <w:rPr>
          <w:szCs w:val="22"/>
        </w:rPr>
        <w:t>ne of CO</w:t>
      </w:r>
      <w:r w:rsidRPr="00A84B9B">
        <w:rPr>
          <w:szCs w:val="22"/>
          <w:vertAlign w:val="subscript"/>
        </w:rPr>
        <w:t>2</w:t>
      </w:r>
      <w:r>
        <w:rPr>
          <w:szCs w:val="22"/>
        </w:rPr>
        <w:t xml:space="preserve">, and external factors meant liquid fuel prices were higher. </w:t>
      </w:r>
    </w:p>
    <w:p w14:paraId="311BECB5" w14:textId="794767FE" w:rsidR="003209EE" w:rsidRPr="001A5550" w:rsidRDefault="003209EE" w:rsidP="003209EE">
      <w:pPr>
        <w:rPr>
          <w:szCs w:val="22"/>
        </w:rPr>
      </w:pPr>
      <w:r>
        <w:rPr>
          <w:szCs w:val="22"/>
        </w:rPr>
        <w:t xml:space="preserve">Estimated costs of energy consumption by class of equipment is set out </w:t>
      </w:r>
      <w:r>
        <w:rPr>
          <w:i/>
          <w:szCs w:val="22"/>
        </w:rPr>
        <w:t xml:space="preserve">Table </w:t>
      </w:r>
      <w:r w:rsidR="005A572D">
        <w:rPr>
          <w:i/>
          <w:szCs w:val="22"/>
        </w:rPr>
        <w:t>29</w:t>
      </w:r>
      <w:r w:rsidRPr="001A5550">
        <w:rPr>
          <w:szCs w:val="22"/>
        </w:rPr>
        <w:t>.</w:t>
      </w:r>
    </w:p>
    <w:p w14:paraId="1754AE54" w14:textId="77777777" w:rsidR="003209EE" w:rsidRDefault="003209EE" w:rsidP="003209EE">
      <w:pPr>
        <w:spacing w:before="0"/>
        <w:jc w:val="left"/>
        <w:rPr>
          <w:i/>
          <w:szCs w:val="22"/>
        </w:rPr>
      </w:pPr>
    </w:p>
    <w:p w14:paraId="26B08670" w14:textId="100234FF" w:rsidR="003209EE" w:rsidRPr="005A572D" w:rsidRDefault="005A572D" w:rsidP="005A572D">
      <w:pPr>
        <w:pStyle w:val="Caption"/>
        <w:keepNext/>
        <w:rPr>
          <w:szCs w:val="22"/>
        </w:rPr>
      </w:pPr>
      <w:bookmarkStart w:id="178" w:name="_Toc525141418"/>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29</w:t>
      </w:r>
      <w:r w:rsidR="009D6843">
        <w:rPr>
          <w:noProof/>
        </w:rPr>
        <w:fldChar w:fldCharType="end"/>
      </w:r>
      <w:r w:rsidRPr="005A572D">
        <w:t xml:space="preserve">: </w:t>
      </w:r>
      <w:r w:rsidR="003209EE" w:rsidRPr="005A572D">
        <w:rPr>
          <w:szCs w:val="22"/>
        </w:rPr>
        <w:t>Estimated cost of energy spend in air conditioning and refrigeration services in 2012 and 2016</w:t>
      </w:r>
      <w:r w:rsidR="005B318E">
        <w:rPr>
          <w:szCs w:val="22"/>
        </w:rPr>
        <w:t xml:space="preserve"> in millions</w:t>
      </w:r>
      <w:r w:rsidR="003209EE" w:rsidRPr="005A572D">
        <w:rPr>
          <w:szCs w:val="22"/>
        </w:rPr>
        <w:t>.</w:t>
      </w:r>
      <w:bookmarkEnd w:id="178"/>
    </w:p>
    <w:tbl>
      <w:tblPr>
        <w:tblStyle w:val="TableGrid"/>
        <w:tblW w:w="9493" w:type="dxa"/>
        <w:tblLook w:val="04A0" w:firstRow="1" w:lastRow="0" w:firstColumn="1" w:lastColumn="0" w:noHBand="0" w:noVBand="1"/>
      </w:tblPr>
      <w:tblGrid>
        <w:gridCol w:w="3681"/>
        <w:gridCol w:w="2906"/>
        <w:gridCol w:w="2906"/>
      </w:tblGrid>
      <w:tr w:rsidR="003209EE" w:rsidRPr="009902A4" w14:paraId="42B458CC" w14:textId="77777777" w:rsidTr="009C0BC1">
        <w:tc>
          <w:tcPr>
            <w:tcW w:w="3681" w:type="dxa"/>
            <w:shd w:val="clear" w:color="auto" w:fill="B6DDE8" w:themeFill="accent5" w:themeFillTint="66"/>
            <w:vAlign w:val="center"/>
          </w:tcPr>
          <w:p w14:paraId="5D2239D2" w14:textId="77777777" w:rsidR="003209EE" w:rsidRPr="00EE7ACF" w:rsidRDefault="003209EE" w:rsidP="00244B21">
            <w:pPr>
              <w:snapToGrid w:val="0"/>
              <w:spacing w:after="120"/>
              <w:jc w:val="left"/>
            </w:pPr>
          </w:p>
        </w:tc>
        <w:tc>
          <w:tcPr>
            <w:tcW w:w="2906" w:type="dxa"/>
            <w:shd w:val="clear" w:color="auto" w:fill="B6DDE8" w:themeFill="accent5" w:themeFillTint="66"/>
            <w:vAlign w:val="center"/>
          </w:tcPr>
          <w:p w14:paraId="051123E8" w14:textId="77777777" w:rsidR="003209EE" w:rsidRPr="00EE7ACF" w:rsidRDefault="003209EE" w:rsidP="00244B21">
            <w:pPr>
              <w:snapToGrid w:val="0"/>
              <w:spacing w:after="120"/>
              <w:jc w:val="center"/>
            </w:pPr>
            <w:r>
              <w:t>2012</w:t>
            </w:r>
          </w:p>
        </w:tc>
        <w:tc>
          <w:tcPr>
            <w:tcW w:w="2906" w:type="dxa"/>
            <w:shd w:val="clear" w:color="auto" w:fill="B6DDE8" w:themeFill="accent5" w:themeFillTint="66"/>
            <w:vAlign w:val="center"/>
          </w:tcPr>
          <w:p w14:paraId="7D9B1CFF" w14:textId="77777777" w:rsidR="003209EE" w:rsidRPr="00EE7ACF" w:rsidRDefault="003209EE" w:rsidP="00244B21">
            <w:pPr>
              <w:snapToGrid w:val="0"/>
              <w:spacing w:after="120"/>
              <w:jc w:val="center"/>
            </w:pPr>
            <w:r>
              <w:t>2016</w:t>
            </w:r>
          </w:p>
        </w:tc>
      </w:tr>
      <w:tr w:rsidR="003209EE" w:rsidRPr="009902A4" w14:paraId="22D915FC" w14:textId="77777777" w:rsidTr="00244B21">
        <w:trPr>
          <w:trHeight w:val="567"/>
        </w:trPr>
        <w:tc>
          <w:tcPr>
            <w:tcW w:w="3681" w:type="dxa"/>
            <w:vAlign w:val="center"/>
          </w:tcPr>
          <w:p w14:paraId="1BBF752F"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Stationary AC</w:t>
            </w:r>
          </w:p>
        </w:tc>
        <w:tc>
          <w:tcPr>
            <w:tcW w:w="2906" w:type="dxa"/>
            <w:vAlign w:val="center"/>
          </w:tcPr>
          <w:p w14:paraId="1AFF5535"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$7,456</w:t>
            </w:r>
          </w:p>
        </w:tc>
        <w:tc>
          <w:tcPr>
            <w:tcW w:w="2906" w:type="dxa"/>
            <w:vAlign w:val="center"/>
          </w:tcPr>
          <w:p w14:paraId="50749085"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$7,349</w:t>
            </w:r>
          </w:p>
        </w:tc>
      </w:tr>
      <w:tr w:rsidR="003209EE" w:rsidRPr="009902A4" w14:paraId="0510B9A8" w14:textId="77777777" w:rsidTr="00244B21">
        <w:trPr>
          <w:trHeight w:val="567"/>
        </w:trPr>
        <w:tc>
          <w:tcPr>
            <w:tcW w:w="3681" w:type="dxa"/>
            <w:vAlign w:val="center"/>
          </w:tcPr>
          <w:p w14:paraId="7D2D2BF3"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Domestic refrigeration</w:t>
            </w:r>
          </w:p>
        </w:tc>
        <w:tc>
          <w:tcPr>
            <w:tcW w:w="2906" w:type="dxa"/>
            <w:vAlign w:val="center"/>
          </w:tcPr>
          <w:p w14:paraId="48FC0D73"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$2,058</w:t>
            </w:r>
          </w:p>
        </w:tc>
        <w:tc>
          <w:tcPr>
            <w:tcW w:w="2906" w:type="dxa"/>
            <w:vAlign w:val="center"/>
          </w:tcPr>
          <w:p w14:paraId="089CDE81"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$2,325</w:t>
            </w:r>
          </w:p>
        </w:tc>
      </w:tr>
      <w:tr w:rsidR="003209EE" w:rsidRPr="009902A4" w14:paraId="0056AD86" w14:textId="77777777" w:rsidTr="00244B21">
        <w:trPr>
          <w:trHeight w:val="567"/>
        </w:trPr>
        <w:tc>
          <w:tcPr>
            <w:tcW w:w="3681" w:type="dxa"/>
            <w:vAlign w:val="center"/>
          </w:tcPr>
          <w:p w14:paraId="6DAF1DBF"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Refrigerated cold food chain: stationary</w:t>
            </w:r>
          </w:p>
        </w:tc>
        <w:tc>
          <w:tcPr>
            <w:tcW w:w="2906" w:type="dxa"/>
            <w:vAlign w:val="center"/>
          </w:tcPr>
          <w:p w14:paraId="72151FAB"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$2,811</w:t>
            </w:r>
          </w:p>
        </w:tc>
        <w:tc>
          <w:tcPr>
            <w:tcW w:w="2906" w:type="dxa"/>
            <w:vAlign w:val="center"/>
          </w:tcPr>
          <w:p w14:paraId="2F6CE9EB" w14:textId="6C562BBB"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$2,</w:t>
            </w:r>
            <w:r w:rsidR="008650A4">
              <w:rPr>
                <w:color w:val="000000"/>
                <w:lang w:val="en-AU"/>
              </w:rPr>
              <w:t>771</w:t>
            </w:r>
          </w:p>
        </w:tc>
      </w:tr>
      <w:tr w:rsidR="003209EE" w:rsidRPr="009902A4" w14:paraId="3D746334" w14:textId="77777777" w:rsidTr="00244B21">
        <w:trPr>
          <w:trHeight w:val="567"/>
        </w:trPr>
        <w:tc>
          <w:tcPr>
            <w:tcW w:w="3681" w:type="dxa"/>
            <w:vAlign w:val="center"/>
          </w:tcPr>
          <w:p w14:paraId="184B964B"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Refrigerated cold food chain: mobile</w:t>
            </w:r>
          </w:p>
        </w:tc>
        <w:tc>
          <w:tcPr>
            <w:tcW w:w="2906" w:type="dxa"/>
            <w:vAlign w:val="center"/>
          </w:tcPr>
          <w:p w14:paraId="26D17FF5"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$99</w:t>
            </w:r>
          </w:p>
        </w:tc>
        <w:tc>
          <w:tcPr>
            <w:tcW w:w="2906" w:type="dxa"/>
            <w:vAlign w:val="center"/>
          </w:tcPr>
          <w:p w14:paraId="4E26B180"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$174</w:t>
            </w:r>
          </w:p>
        </w:tc>
      </w:tr>
      <w:tr w:rsidR="003209EE" w:rsidRPr="009902A4" w14:paraId="633F9EFD" w14:textId="77777777" w:rsidTr="00244B21">
        <w:trPr>
          <w:trHeight w:val="567"/>
        </w:trPr>
        <w:tc>
          <w:tcPr>
            <w:tcW w:w="3681" w:type="dxa"/>
            <w:vAlign w:val="center"/>
          </w:tcPr>
          <w:p w14:paraId="350E845A"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Mobile AC</w:t>
            </w:r>
          </w:p>
        </w:tc>
        <w:tc>
          <w:tcPr>
            <w:tcW w:w="2906" w:type="dxa"/>
            <w:vAlign w:val="center"/>
          </w:tcPr>
          <w:p w14:paraId="08F84EF5"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$1,637</w:t>
            </w:r>
          </w:p>
        </w:tc>
        <w:tc>
          <w:tcPr>
            <w:tcW w:w="2906" w:type="dxa"/>
            <w:vAlign w:val="center"/>
          </w:tcPr>
          <w:p w14:paraId="38F9D3D0"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$1,418</w:t>
            </w:r>
          </w:p>
        </w:tc>
      </w:tr>
      <w:tr w:rsidR="003209EE" w:rsidRPr="00E0620E" w14:paraId="0B96E8BE" w14:textId="77777777" w:rsidTr="00244B21">
        <w:trPr>
          <w:trHeight w:val="567"/>
        </w:trPr>
        <w:tc>
          <w:tcPr>
            <w:tcW w:w="3681" w:type="dxa"/>
            <w:vAlign w:val="center"/>
          </w:tcPr>
          <w:p w14:paraId="1AC3343E" w14:textId="77777777" w:rsidR="003209EE" w:rsidRPr="00E0620E" w:rsidRDefault="003209EE" w:rsidP="00244B21">
            <w:pPr>
              <w:snapToGrid w:val="0"/>
              <w:spacing w:after="120"/>
              <w:jc w:val="left"/>
              <w:rPr>
                <w:b/>
              </w:rPr>
            </w:pPr>
            <w:r w:rsidRPr="00E0620E">
              <w:rPr>
                <w:b/>
              </w:rPr>
              <w:t>Total</w:t>
            </w:r>
            <w:r>
              <w:rPr>
                <w:b/>
              </w:rPr>
              <w:t xml:space="preserve"> energy spend</w:t>
            </w:r>
          </w:p>
        </w:tc>
        <w:tc>
          <w:tcPr>
            <w:tcW w:w="2906" w:type="dxa"/>
            <w:vAlign w:val="center"/>
          </w:tcPr>
          <w:p w14:paraId="4DB7EA51" w14:textId="77777777" w:rsidR="003209EE" w:rsidRPr="00E0620E" w:rsidRDefault="003209EE" w:rsidP="00244B21">
            <w:pPr>
              <w:snapToGrid w:val="0"/>
              <w:spacing w:after="120"/>
              <w:jc w:val="center"/>
              <w:rPr>
                <w:b/>
              </w:rPr>
            </w:pPr>
            <w:r>
              <w:rPr>
                <w:b/>
              </w:rPr>
              <w:t>$14,061</w:t>
            </w:r>
          </w:p>
        </w:tc>
        <w:tc>
          <w:tcPr>
            <w:tcW w:w="2906" w:type="dxa"/>
            <w:vAlign w:val="center"/>
          </w:tcPr>
          <w:p w14:paraId="23A4FD52" w14:textId="77777777" w:rsidR="003209EE" w:rsidRPr="00E0620E" w:rsidRDefault="003209EE" w:rsidP="00244B21">
            <w:pPr>
              <w:snapToGrid w:val="0"/>
              <w:spacing w:after="120"/>
              <w:jc w:val="center"/>
              <w:rPr>
                <w:b/>
              </w:rPr>
            </w:pPr>
            <w:r w:rsidRPr="00E0620E">
              <w:rPr>
                <w:b/>
              </w:rPr>
              <w:t>$14,037</w:t>
            </w:r>
          </w:p>
        </w:tc>
      </w:tr>
    </w:tbl>
    <w:p w14:paraId="376B6C1C" w14:textId="77777777" w:rsidR="003209EE" w:rsidRPr="00A84B9B" w:rsidRDefault="003209EE" w:rsidP="003209EE">
      <w:pPr>
        <w:rPr>
          <w:rFonts w:cs="Times New Roman"/>
          <w:sz w:val="18"/>
          <w:szCs w:val="18"/>
        </w:rPr>
      </w:pPr>
      <w:r w:rsidRPr="00A84B9B">
        <w:rPr>
          <w:rFonts w:cs="Times New Roman"/>
          <w:sz w:val="18"/>
          <w:szCs w:val="18"/>
        </w:rPr>
        <w:t>Notes:</w:t>
      </w:r>
    </w:p>
    <w:p w14:paraId="2F1F32A8" w14:textId="0DBC11FB" w:rsidR="003209EE" w:rsidRPr="008650A4" w:rsidRDefault="003209EE" w:rsidP="00FC735C">
      <w:pPr>
        <w:pStyle w:val="ListParagraph"/>
        <w:numPr>
          <w:ilvl w:val="0"/>
          <w:numId w:val="51"/>
        </w:numPr>
        <w:snapToGrid w:val="0"/>
        <w:spacing w:before="60" w:after="0" w:line="240" w:lineRule="auto"/>
        <w:ind w:left="357" w:hanging="357"/>
        <w:contextualSpacing w:val="0"/>
        <w:jc w:val="both"/>
        <w:rPr>
          <w:rFonts w:ascii="Times New Roman" w:hAnsi="Times New Roman"/>
          <w:sz w:val="20"/>
          <w:szCs w:val="20"/>
          <w:lang w:val="en-US"/>
        </w:rPr>
      </w:pPr>
      <w:r w:rsidRPr="008650A4">
        <w:rPr>
          <w:rFonts w:ascii="Times New Roman" w:hAnsi="Times New Roman"/>
          <w:sz w:val="20"/>
          <w:szCs w:val="20"/>
          <w:lang w:val="en-US"/>
        </w:rPr>
        <w:t xml:space="preserve">CHF3 applies three national average rates of 16c/kWh for commercial end-users, 28c/kWh for residential dwellings and 13c/kWh for industrial end-users such as cold storage facilities. The rates are as per the AEMO National Electricity and Gas Forecasting, Neutral Scenario, 1981 to 2037 by State, wholesale and retail prices, Australian Energy Market Operator, published 2017 (AEMO 2017). It should be noted the AEMO 2017 rates were significantly higher (i.e. commercial 20c/kWh, industrial 17c/kWh and residential 31c/kWh) and 2018 </w:t>
      </w:r>
      <w:r w:rsidR="009D50F5">
        <w:rPr>
          <w:rFonts w:ascii="Times New Roman" w:hAnsi="Times New Roman"/>
          <w:sz w:val="20"/>
          <w:szCs w:val="20"/>
          <w:lang w:val="en-US"/>
        </w:rPr>
        <w:t>(</w:t>
      </w:r>
      <w:r w:rsidRPr="008650A4">
        <w:rPr>
          <w:rFonts w:ascii="Times New Roman" w:hAnsi="Times New Roman"/>
          <w:sz w:val="20"/>
          <w:szCs w:val="20"/>
          <w:lang w:val="en-US"/>
        </w:rPr>
        <w:t>not</w:t>
      </w:r>
      <w:r w:rsidR="009D50F5">
        <w:rPr>
          <w:rFonts w:ascii="Times New Roman" w:hAnsi="Times New Roman"/>
          <w:sz w:val="20"/>
          <w:szCs w:val="20"/>
          <w:lang w:val="en-US"/>
        </w:rPr>
        <w:t xml:space="preserve"> yet</w:t>
      </w:r>
      <w:r w:rsidRPr="008650A4">
        <w:rPr>
          <w:rFonts w:ascii="Times New Roman" w:hAnsi="Times New Roman"/>
          <w:sz w:val="20"/>
          <w:szCs w:val="20"/>
          <w:lang w:val="en-US"/>
        </w:rPr>
        <w:t xml:space="preserve"> published</w:t>
      </w:r>
      <w:r w:rsidR="009D50F5">
        <w:rPr>
          <w:rFonts w:ascii="Times New Roman" w:hAnsi="Times New Roman"/>
          <w:sz w:val="20"/>
          <w:szCs w:val="20"/>
          <w:lang w:val="en-US"/>
        </w:rPr>
        <w:t>)</w:t>
      </w:r>
      <w:r w:rsidRPr="008650A4">
        <w:rPr>
          <w:rFonts w:ascii="Times New Roman" w:hAnsi="Times New Roman"/>
          <w:sz w:val="20"/>
          <w:szCs w:val="20"/>
          <w:lang w:val="en-US"/>
        </w:rPr>
        <w:t xml:space="preserve"> are expected to include similar increases.</w:t>
      </w:r>
    </w:p>
    <w:p w14:paraId="5AE7319E" w14:textId="3FB7DBF9" w:rsidR="003209EE" w:rsidRPr="008650A4" w:rsidRDefault="003209EE" w:rsidP="00FC735C">
      <w:pPr>
        <w:pStyle w:val="ListParagraph"/>
        <w:numPr>
          <w:ilvl w:val="0"/>
          <w:numId w:val="51"/>
        </w:numPr>
        <w:snapToGrid w:val="0"/>
        <w:spacing w:before="60" w:after="0" w:line="240" w:lineRule="auto"/>
        <w:ind w:left="357" w:hanging="357"/>
        <w:contextualSpacing w:val="0"/>
        <w:jc w:val="both"/>
        <w:rPr>
          <w:rFonts w:ascii="Times New Roman" w:hAnsi="Times New Roman"/>
          <w:sz w:val="20"/>
          <w:szCs w:val="20"/>
          <w:lang w:val="en-US"/>
        </w:rPr>
      </w:pPr>
      <w:r w:rsidRPr="008650A4">
        <w:rPr>
          <w:rFonts w:ascii="Times New Roman" w:hAnsi="Times New Roman"/>
          <w:sz w:val="20"/>
          <w:szCs w:val="20"/>
          <w:lang w:val="en-US"/>
        </w:rPr>
        <w:t>CHF2 applied t</w:t>
      </w:r>
      <w:r w:rsidR="009D50F5">
        <w:rPr>
          <w:rFonts w:ascii="Times New Roman" w:hAnsi="Times New Roman"/>
          <w:sz w:val="20"/>
          <w:szCs w:val="20"/>
          <w:lang w:val="en-US"/>
        </w:rPr>
        <w:t>hree</w:t>
      </w:r>
      <w:r w:rsidRPr="008650A4">
        <w:rPr>
          <w:rFonts w:ascii="Times New Roman" w:hAnsi="Times New Roman"/>
          <w:sz w:val="20"/>
          <w:szCs w:val="20"/>
          <w:lang w:val="en-US"/>
        </w:rPr>
        <w:t xml:space="preserve"> national average rates of 17c/kWh for commercial end-users</w:t>
      </w:r>
      <w:r w:rsidR="009A2D49">
        <w:rPr>
          <w:rFonts w:ascii="Times New Roman" w:hAnsi="Times New Roman"/>
          <w:sz w:val="20"/>
          <w:szCs w:val="20"/>
          <w:lang w:val="en-US"/>
        </w:rPr>
        <w:t>,</w:t>
      </w:r>
      <w:r w:rsidRPr="008650A4">
        <w:rPr>
          <w:rFonts w:ascii="Times New Roman" w:hAnsi="Times New Roman"/>
          <w:sz w:val="20"/>
          <w:szCs w:val="20"/>
          <w:lang w:val="en-US"/>
        </w:rPr>
        <w:t xml:space="preserve"> 27c/kWh for residential dwellings and 13c/kWh for industrial end-users. The AEMO prices for 2012 were 15c/kWh for commercial end-users, 28c/kWh for residential dwellings and 13c/kWh for industrial end-users (AEMO 2017).</w:t>
      </w:r>
    </w:p>
    <w:p w14:paraId="72676B63" w14:textId="77777777" w:rsidR="003209EE" w:rsidRPr="008650A4" w:rsidRDefault="003209EE" w:rsidP="00FC735C">
      <w:pPr>
        <w:pStyle w:val="ListParagraph"/>
        <w:numPr>
          <w:ilvl w:val="0"/>
          <w:numId w:val="51"/>
        </w:numPr>
        <w:snapToGrid w:val="0"/>
        <w:spacing w:before="60" w:after="0" w:line="240" w:lineRule="auto"/>
        <w:contextualSpacing w:val="0"/>
        <w:jc w:val="both"/>
        <w:rPr>
          <w:rFonts w:ascii="Times New Roman" w:hAnsi="Times New Roman"/>
          <w:sz w:val="20"/>
          <w:szCs w:val="20"/>
          <w:lang w:val="en-US"/>
        </w:rPr>
      </w:pPr>
      <w:r w:rsidRPr="008650A4">
        <w:rPr>
          <w:rFonts w:ascii="Times New Roman" w:hAnsi="Times New Roman"/>
          <w:sz w:val="20"/>
          <w:szCs w:val="20"/>
          <w:lang w:val="en-US"/>
        </w:rPr>
        <w:t>Refrigerated cold food chain: mobile is fuel consumption attributed to road and marine refrigeration systems. For example, marine refrigeration assumes 75% of ancillary is for refrigeration (and excludes 25% for HVAC, lighting, services and plug loads) and excludes main engine fuel consumption (NPF 2013, CRC 2015).</w:t>
      </w:r>
    </w:p>
    <w:p w14:paraId="048FB1E0" w14:textId="77777777" w:rsidR="003209EE" w:rsidRPr="008650A4" w:rsidRDefault="003209EE" w:rsidP="00FC735C">
      <w:pPr>
        <w:pStyle w:val="ListParagraph"/>
        <w:numPr>
          <w:ilvl w:val="0"/>
          <w:numId w:val="51"/>
        </w:numPr>
        <w:snapToGrid w:val="0"/>
        <w:spacing w:before="60" w:after="0" w:line="240" w:lineRule="auto"/>
        <w:contextualSpacing w:val="0"/>
        <w:jc w:val="both"/>
        <w:rPr>
          <w:rFonts w:ascii="Times New Roman" w:hAnsi="Times New Roman"/>
          <w:sz w:val="20"/>
          <w:szCs w:val="20"/>
          <w:lang w:val="en-US"/>
        </w:rPr>
      </w:pPr>
      <w:r w:rsidRPr="008650A4">
        <w:rPr>
          <w:rFonts w:ascii="Times New Roman" w:hAnsi="Times New Roman"/>
          <w:color w:val="000000"/>
          <w:sz w:val="20"/>
          <w:szCs w:val="20"/>
          <w:lang w:val="en-AU"/>
        </w:rPr>
        <w:t xml:space="preserve">Mobile AC energy spend is for the portion of </w:t>
      </w:r>
      <w:r w:rsidRPr="008650A4">
        <w:rPr>
          <w:rFonts w:ascii="Times New Roman" w:hAnsi="Times New Roman"/>
          <w:sz w:val="20"/>
          <w:szCs w:val="20"/>
          <w:lang w:val="en-US"/>
        </w:rPr>
        <w:t>fuel consumption attributed to the operation of mobile air conditioning units and equates to around 3.5% of total fuel consumption of registered vehicles. The in general terms the calculations assume 10% of fuel consumption is attributed to operating the vehicle air conditioner that operates 40% of the time in passenger vehicles and 50% of the time in commercial vehicles.</w:t>
      </w:r>
    </w:p>
    <w:p w14:paraId="17A78A10" w14:textId="77777777" w:rsidR="003209EE" w:rsidRPr="008650A4" w:rsidRDefault="003209EE" w:rsidP="00FC735C">
      <w:pPr>
        <w:pStyle w:val="ListParagraph"/>
        <w:numPr>
          <w:ilvl w:val="0"/>
          <w:numId w:val="51"/>
        </w:numPr>
        <w:snapToGrid w:val="0"/>
        <w:spacing w:before="60" w:after="0" w:line="240" w:lineRule="auto"/>
        <w:contextualSpacing w:val="0"/>
        <w:jc w:val="both"/>
        <w:rPr>
          <w:rFonts w:ascii="Times New Roman" w:hAnsi="Times New Roman"/>
          <w:sz w:val="20"/>
          <w:szCs w:val="20"/>
          <w:lang w:val="en-US"/>
        </w:rPr>
      </w:pPr>
      <w:r w:rsidRPr="008650A4">
        <w:rPr>
          <w:rFonts w:ascii="Times New Roman" w:hAnsi="Times New Roman"/>
          <w:color w:val="000000"/>
          <w:sz w:val="20"/>
          <w:szCs w:val="20"/>
          <w:lang w:val="en-AU"/>
        </w:rPr>
        <w:t>Mobile AC energy spend includes electricity consumption to operate air conditioners in locomotives and passenger trains.</w:t>
      </w:r>
      <w:r w:rsidRPr="008650A4">
        <w:rPr>
          <w:rFonts w:ascii="Times New Roman" w:hAnsi="Times New Roman"/>
          <w:sz w:val="20"/>
          <w:szCs w:val="20"/>
          <w:lang w:val="en-US"/>
        </w:rPr>
        <w:t xml:space="preserve">   </w:t>
      </w:r>
    </w:p>
    <w:p w14:paraId="11683752" w14:textId="19D6506B" w:rsidR="003209EE" w:rsidRPr="008650A4" w:rsidRDefault="003209EE" w:rsidP="00FC735C">
      <w:pPr>
        <w:pStyle w:val="ListParagraph"/>
        <w:numPr>
          <w:ilvl w:val="0"/>
          <w:numId w:val="51"/>
        </w:numPr>
        <w:snapToGrid w:val="0"/>
        <w:spacing w:before="60" w:after="0" w:line="240" w:lineRule="auto"/>
        <w:contextualSpacing w:val="0"/>
        <w:jc w:val="both"/>
        <w:rPr>
          <w:rFonts w:ascii="Times New Roman" w:hAnsi="Times New Roman"/>
          <w:sz w:val="20"/>
          <w:szCs w:val="20"/>
          <w:lang w:val="en-US"/>
        </w:rPr>
      </w:pPr>
      <w:r w:rsidRPr="008650A4">
        <w:rPr>
          <w:rFonts w:ascii="Times New Roman" w:hAnsi="Times New Roman"/>
          <w:sz w:val="20"/>
          <w:szCs w:val="20"/>
          <w:lang w:val="en-US"/>
        </w:rPr>
        <w:t xml:space="preserve">Fuel prices used in CHF3 were petrol $1.23 per litre and diesel $1.26 per litre. Fuel prices were based on annual average retail petrol price in the five largest cities for FY 2016-17 published by the ACCC, Report on the Australian </w:t>
      </w:r>
      <w:r w:rsidR="009A2D49">
        <w:rPr>
          <w:rFonts w:ascii="Times New Roman" w:hAnsi="Times New Roman"/>
          <w:sz w:val="20"/>
          <w:szCs w:val="20"/>
          <w:lang w:val="en-US"/>
        </w:rPr>
        <w:t>P</w:t>
      </w:r>
      <w:r w:rsidRPr="008650A4">
        <w:rPr>
          <w:rFonts w:ascii="Times New Roman" w:hAnsi="Times New Roman"/>
          <w:sz w:val="20"/>
          <w:szCs w:val="20"/>
          <w:lang w:val="en-US"/>
        </w:rPr>
        <w:t xml:space="preserve">etroleum </w:t>
      </w:r>
      <w:r w:rsidR="009A2D49">
        <w:rPr>
          <w:rFonts w:ascii="Times New Roman" w:hAnsi="Times New Roman"/>
          <w:sz w:val="20"/>
          <w:szCs w:val="20"/>
          <w:lang w:val="en-US"/>
        </w:rPr>
        <w:t>M</w:t>
      </w:r>
      <w:r w:rsidRPr="008650A4">
        <w:rPr>
          <w:rFonts w:ascii="Times New Roman" w:hAnsi="Times New Roman"/>
          <w:sz w:val="20"/>
          <w:szCs w:val="20"/>
          <w:lang w:val="en-US"/>
        </w:rPr>
        <w:t>arket (ACCC 2017).</w:t>
      </w:r>
    </w:p>
    <w:p w14:paraId="661EFE68" w14:textId="1A78AFD6" w:rsidR="003209EE" w:rsidRDefault="003209EE" w:rsidP="003209EE">
      <w:pPr>
        <w:rPr>
          <w:szCs w:val="22"/>
        </w:rPr>
      </w:pPr>
      <w:r w:rsidRPr="00BB75CC">
        <w:rPr>
          <w:szCs w:val="22"/>
        </w:rPr>
        <w:t>Another useful measure of activity is the estimate of expenditure on</w:t>
      </w:r>
      <w:r>
        <w:rPr>
          <w:szCs w:val="22"/>
        </w:rPr>
        <w:t xml:space="preserve"> new installed equipment in 2016</w:t>
      </w:r>
      <w:r w:rsidRPr="00BB75CC">
        <w:rPr>
          <w:szCs w:val="22"/>
        </w:rPr>
        <w:t xml:space="preserve"> based on well documented imports, accurate national sales data, and conservative average installation costs.</w:t>
      </w:r>
      <w:r>
        <w:rPr>
          <w:szCs w:val="22"/>
        </w:rPr>
        <w:t xml:space="preserve"> The estimated value of new equipment installed in 2016 by major equipment class is provided in </w:t>
      </w:r>
      <w:r w:rsidR="005A572D">
        <w:rPr>
          <w:i/>
          <w:szCs w:val="22"/>
        </w:rPr>
        <w:t>Table 30</w:t>
      </w:r>
      <w:r>
        <w:rPr>
          <w:szCs w:val="22"/>
        </w:rPr>
        <w:t>.</w:t>
      </w:r>
    </w:p>
    <w:p w14:paraId="22FE6E06" w14:textId="77777777" w:rsidR="00C91D3D" w:rsidRDefault="00C91D3D" w:rsidP="003209EE">
      <w:pPr>
        <w:rPr>
          <w:szCs w:val="22"/>
        </w:rPr>
      </w:pPr>
    </w:p>
    <w:p w14:paraId="42B9994D" w14:textId="1280F10F" w:rsidR="003209EE" w:rsidRPr="005A572D" w:rsidRDefault="005A572D" w:rsidP="005A572D">
      <w:pPr>
        <w:pStyle w:val="Caption"/>
        <w:keepNext/>
        <w:rPr>
          <w:szCs w:val="22"/>
        </w:rPr>
      </w:pPr>
      <w:bookmarkStart w:id="179" w:name="_Toc525141419"/>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30</w:t>
      </w:r>
      <w:r w:rsidR="009D6843">
        <w:rPr>
          <w:noProof/>
        </w:rPr>
        <w:fldChar w:fldCharType="end"/>
      </w:r>
      <w:r w:rsidRPr="005A572D">
        <w:t xml:space="preserve">: </w:t>
      </w:r>
      <w:r w:rsidR="003209EE" w:rsidRPr="005A572D">
        <w:rPr>
          <w:szCs w:val="22"/>
        </w:rPr>
        <w:t>Estimated value of new installed equipment in 2012 and 2016</w:t>
      </w:r>
      <w:r w:rsidR="009A2D49">
        <w:rPr>
          <w:szCs w:val="22"/>
        </w:rPr>
        <w:t xml:space="preserve"> in millions</w:t>
      </w:r>
      <w:r w:rsidR="003209EE" w:rsidRPr="005A572D">
        <w:rPr>
          <w:szCs w:val="22"/>
        </w:rPr>
        <w:t>.</w:t>
      </w:r>
      <w:bookmarkEnd w:id="179"/>
    </w:p>
    <w:tbl>
      <w:tblPr>
        <w:tblStyle w:val="TableGrid"/>
        <w:tblW w:w="9493" w:type="dxa"/>
        <w:tblLook w:val="04A0" w:firstRow="1" w:lastRow="0" w:firstColumn="1" w:lastColumn="0" w:noHBand="0" w:noVBand="1"/>
      </w:tblPr>
      <w:tblGrid>
        <w:gridCol w:w="3681"/>
        <w:gridCol w:w="2906"/>
        <w:gridCol w:w="2906"/>
      </w:tblGrid>
      <w:tr w:rsidR="003209EE" w:rsidRPr="009902A4" w14:paraId="668A138D" w14:textId="77777777" w:rsidTr="009C0BC1">
        <w:tc>
          <w:tcPr>
            <w:tcW w:w="3681" w:type="dxa"/>
            <w:shd w:val="clear" w:color="auto" w:fill="B6DDE8" w:themeFill="accent5" w:themeFillTint="66"/>
            <w:vAlign w:val="center"/>
          </w:tcPr>
          <w:p w14:paraId="653AE58E" w14:textId="77777777" w:rsidR="003209EE" w:rsidRPr="00EE7ACF" w:rsidRDefault="003209EE" w:rsidP="00244B21">
            <w:pPr>
              <w:snapToGrid w:val="0"/>
              <w:spacing w:after="120"/>
              <w:jc w:val="left"/>
            </w:pPr>
          </w:p>
        </w:tc>
        <w:tc>
          <w:tcPr>
            <w:tcW w:w="2906" w:type="dxa"/>
            <w:shd w:val="clear" w:color="auto" w:fill="B6DDE8" w:themeFill="accent5" w:themeFillTint="66"/>
            <w:vAlign w:val="center"/>
          </w:tcPr>
          <w:p w14:paraId="1F855679" w14:textId="77777777" w:rsidR="003209EE" w:rsidRPr="00EE7ACF" w:rsidRDefault="003209EE" w:rsidP="00244B21">
            <w:pPr>
              <w:snapToGrid w:val="0"/>
              <w:spacing w:after="120"/>
              <w:jc w:val="center"/>
            </w:pPr>
            <w:r>
              <w:t>2012</w:t>
            </w:r>
          </w:p>
        </w:tc>
        <w:tc>
          <w:tcPr>
            <w:tcW w:w="2906" w:type="dxa"/>
            <w:shd w:val="clear" w:color="auto" w:fill="B6DDE8" w:themeFill="accent5" w:themeFillTint="66"/>
            <w:vAlign w:val="center"/>
          </w:tcPr>
          <w:p w14:paraId="59532A49" w14:textId="77777777" w:rsidR="003209EE" w:rsidRPr="00EE7ACF" w:rsidRDefault="003209EE" w:rsidP="00244B21">
            <w:pPr>
              <w:snapToGrid w:val="0"/>
              <w:spacing w:after="120"/>
              <w:jc w:val="center"/>
            </w:pPr>
            <w:r>
              <w:t>2016</w:t>
            </w:r>
          </w:p>
        </w:tc>
      </w:tr>
      <w:tr w:rsidR="003209EE" w:rsidRPr="009902A4" w14:paraId="37D22D3B" w14:textId="77777777" w:rsidTr="00244B21">
        <w:trPr>
          <w:trHeight w:val="567"/>
        </w:trPr>
        <w:tc>
          <w:tcPr>
            <w:tcW w:w="3681" w:type="dxa"/>
            <w:vAlign w:val="center"/>
          </w:tcPr>
          <w:p w14:paraId="5A1CEAAD"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Stationary AC</w:t>
            </w:r>
          </w:p>
        </w:tc>
        <w:tc>
          <w:tcPr>
            <w:tcW w:w="2906" w:type="dxa"/>
            <w:vAlign w:val="center"/>
          </w:tcPr>
          <w:p w14:paraId="2263E29D"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$3,350</w:t>
            </w:r>
          </w:p>
        </w:tc>
        <w:tc>
          <w:tcPr>
            <w:tcW w:w="2906" w:type="dxa"/>
            <w:vAlign w:val="center"/>
          </w:tcPr>
          <w:p w14:paraId="6CF96CDC"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$4,856</w:t>
            </w:r>
          </w:p>
        </w:tc>
      </w:tr>
      <w:tr w:rsidR="003209EE" w:rsidRPr="009902A4" w14:paraId="7B68A713" w14:textId="77777777" w:rsidTr="00244B21">
        <w:trPr>
          <w:trHeight w:val="567"/>
        </w:trPr>
        <w:tc>
          <w:tcPr>
            <w:tcW w:w="3681" w:type="dxa"/>
            <w:vAlign w:val="center"/>
          </w:tcPr>
          <w:p w14:paraId="151E0D46"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Domestic refrigeration</w:t>
            </w:r>
          </w:p>
        </w:tc>
        <w:tc>
          <w:tcPr>
            <w:tcW w:w="2906" w:type="dxa"/>
            <w:vAlign w:val="center"/>
          </w:tcPr>
          <w:p w14:paraId="3CEFEBEE"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$1,201</w:t>
            </w:r>
          </w:p>
        </w:tc>
        <w:tc>
          <w:tcPr>
            <w:tcW w:w="2906" w:type="dxa"/>
            <w:vAlign w:val="center"/>
          </w:tcPr>
          <w:p w14:paraId="5B3AD776"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$1,423</w:t>
            </w:r>
          </w:p>
        </w:tc>
      </w:tr>
      <w:tr w:rsidR="003209EE" w:rsidRPr="009902A4" w14:paraId="5C4EEDD5" w14:textId="77777777" w:rsidTr="00244B21">
        <w:trPr>
          <w:trHeight w:val="567"/>
        </w:trPr>
        <w:tc>
          <w:tcPr>
            <w:tcW w:w="3681" w:type="dxa"/>
            <w:vAlign w:val="center"/>
          </w:tcPr>
          <w:p w14:paraId="78DE829A"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Refrigerated cold food chain: stationary</w:t>
            </w:r>
          </w:p>
        </w:tc>
        <w:tc>
          <w:tcPr>
            <w:tcW w:w="2906" w:type="dxa"/>
            <w:vAlign w:val="center"/>
          </w:tcPr>
          <w:p w14:paraId="0B455425"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$728</w:t>
            </w:r>
          </w:p>
        </w:tc>
        <w:tc>
          <w:tcPr>
            <w:tcW w:w="2906" w:type="dxa"/>
            <w:vAlign w:val="center"/>
          </w:tcPr>
          <w:p w14:paraId="7DB9CF34"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$798</w:t>
            </w:r>
          </w:p>
        </w:tc>
      </w:tr>
      <w:tr w:rsidR="003209EE" w:rsidRPr="009902A4" w14:paraId="3C4F79A0" w14:textId="77777777" w:rsidTr="00244B21">
        <w:trPr>
          <w:trHeight w:val="567"/>
        </w:trPr>
        <w:tc>
          <w:tcPr>
            <w:tcW w:w="3681" w:type="dxa"/>
            <w:vAlign w:val="center"/>
          </w:tcPr>
          <w:p w14:paraId="5B06EC9A"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Refrigerated cold food chain: mobile</w:t>
            </w:r>
          </w:p>
        </w:tc>
        <w:tc>
          <w:tcPr>
            <w:tcW w:w="2906" w:type="dxa"/>
            <w:vAlign w:val="center"/>
          </w:tcPr>
          <w:p w14:paraId="33AFC330"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$54</w:t>
            </w:r>
          </w:p>
        </w:tc>
        <w:tc>
          <w:tcPr>
            <w:tcW w:w="2906" w:type="dxa"/>
            <w:vAlign w:val="center"/>
          </w:tcPr>
          <w:p w14:paraId="78DFC9D9"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$128</w:t>
            </w:r>
          </w:p>
        </w:tc>
      </w:tr>
      <w:tr w:rsidR="003209EE" w:rsidRPr="009902A4" w14:paraId="4FD5613C" w14:textId="77777777" w:rsidTr="00244B21">
        <w:trPr>
          <w:trHeight w:val="567"/>
        </w:trPr>
        <w:tc>
          <w:tcPr>
            <w:tcW w:w="3681" w:type="dxa"/>
            <w:vAlign w:val="center"/>
          </w:tcPr>
          <w:p w14:paraId="4FF9C943" w14:textId="77777777" w:rsidR="003209EE" w:rsidRPr="00EE7ACF" w:rsidRDefault="003209EE" w:rsidP="00244B21">
            <w:pPr>
              <w:autoSpaceDE w:val="0"/>
              <w:autoSpaceDN w:val="0"/>
              <w:adjustRightInd w:val="0"/>
              <w:snapToGrid w:val="0"/>
              <w:spacing w:after="120"/>
              <w:jc w:val="left"/>
              <w:rPr>
                <w:color w:val="000000"/>
                <w:lang w:val="en-AU"/>
              </w:rPr>
            </w:pPr>
            <w:r w:rsidRPr="00EE7ACF">
              <w:rPr>
                <w:color w:val="000000"/>
                <w:lang w:val="en-AU"/>
              </w:rPr>
              <w:t>Mobile AC</w:t>
            </w:r>
          </w:p>
        </w:tc>
        <w:tc>
          <w:tcPr>
            <w:tcW w:w="2906" w:type="dxa"/>
            <w:vAlign w:val="center"/>
          </w:tcPr>
          <w:p w14:paraId="3CAAFCE3" w14:textId="77777777" w:rsidR="003209EE" w:rsidRPr="00EE7ACF" w:rsidRDefault="003209EE" w:rsidP="00244B21">
            <w:pPr>
              <w:autoSpaceDE w:val="0"/>
              <w:autoSpaceDN w:val="0"/>
              <w:adjustRightInd w:val="0"/>
              <w:snapToGrid w:val="0"/>
              <w:spacing w:after="120"/>
              <w:jc w:val="center"/>
              <w:rPr>
                <w:color w:val="000000"/>
                <w:lang w:val="en-AU"/>
              </w:rPr>
            </w:pPr>
            <w:r>
              <w:rPr>
                <w:color w:val="000000"/>
                <w:lang w:val="en-AU"/>
              </w:rPr>
              <w:t>$562</w:t>
            </w:r>
          </w:p>
        </w:tc>
        <w:tc>
          <w:tcPr>
            <w:tcW w:w="2906" w:type="dxa"/>
            <w:vAlign w:val="center"/>
          </w:tcPr>
          <w:p w14:paraId="06B45960" w14:textId="77777777" w:rsidR="003209EE" w:rsidRPr="00EE7ACF" w:rsidRDefault="003209EE" w:rsidP="00244B21">
            <w:pPr>
              <w:autoSpaceDE w:val="0"/>
              <w:autoSpaceDN w:val="0"/>
              <w:adjustRightInd w:val="0"/>
              <w:snapToGrid w:val="0"/>
              <w:spacing w:after="120"/>
              <w:jc w:val="center"/>
              <w:rPr>
                <w:color w:val="000000"/>
                <w:lang w:val="en-AU"/>
              </w:rPr>
            </w:pPr>
            <w:r w:rsidRPr="00EE7ACF">
              <w:rPr>
                <w:color w:val="000000"/>
                <w:lang w:val="en-AU"/>
              </w:rPr>
              <w:t>$977</w:t>
            </w:r>
          </w:p>
        </w:tc>
      </w:tr>
      <w:tr w:rsidR="003209EE" w:rsidRPr="00E0620E" w14:paraId="3530965C" w14:textId="77777777" w:rsidTr="00244B21">
        <w:trPr>
          <w:trHeight w:val="567"/>
        </w:trPr>
        <w:tc>
          <w:tcPr>
            <w:tcW w:w="3681" w:type="dxa"/>
            <w:vAlign w:val="center"/>
          </w:tcPr>
          <w:p w14:paraId="48001ED3" w14:textId="77777777" w:rsidR="003209EE" w:rsidRPr="00E0620E" w:rsidRDefault="003209EE" w:rsidP="00244B21">
            <w:pPr>
              <w:snapToGrid w:val="0"/>
              <w:spacing w:after="120"/>
              <w:jc w:val="left"/>
              <w:rPr>
                <w:b/>
              </w:rPr>
            </w:pPr>
            <w:r w:rsidRPr="00E0620E">
              <w:rPr>
                <w:b/>
              </w:rPr>
              <w:t>Total</w:t>
            </w:r>
            <w:r>
              <w:rPr>
                <w:b/>
              </w:rPr>
              <w:t xml:space="preserve"> equipment spend</w:t>
            </w:r>
          </w:p>
        </w:tc>
        <w:tc>
          <w:tcPr>
            <w:tcW w:w="2906" w:type="dxa"/>
            <w:vAlign w:val="center"/>
          </w:tcPr>
          <w:p w14:paraId="47AB714C" w14:textId="77777777" w:rsidR="003209EE" w:rsidRPr="00E0620E" w:rsidRDefault="003209EE" w:rsidP="00244B21">
            <w:pPr>
              <w:snapToGrid w:val="0"/>
              <w:spacing w:after="120"/>
              <w:jc w:val="center"/>
              <w:rPr>
                <w:b/>
              </w:rPr>
            </w:pPr>
            <w:r>
              <w:rPr>
                <w:b/>
              </w:rPr>
              <w:t>$5,896</w:t>
            </w:r>
          </w:p>
        </w:tc>
        <w:tc>
          <w:tcPr>
            <w:tcW w:w="2906" w:type="dxa"/>
            <w:vAlign w:val="center"/>
          </w:tcPr>
          <w:p w14:paraId="172658FD" w14:textId="77777777" w:rsidR="003209EE" w:rsidRPr="00E0620E" w:rsidRDefault="003209EE" w:rsidP="00244B21">
            <w:pPr>
              <w:snapToGrid w:val="0"/>
              <w:spacing w:after="120"/>
              <w:jc w:val="center"/>
              <w:rPr>
                <w:b/>
              </w:rPr>
            </w:pPr>
            <w:r w:rsidRPr="00E0620E">
              <w:rPr>
                <w:b/>
                <w:bCs/>
                <w:color w:val="000000"/>
                <w:lang w:val="en-AU"/>
              </w:rPr>
              <w:t>$8,181</w:t>
            </w:r>
          </w:p>
        </w:tc>
      </w:tr>
    </w:tbl>
    <w:p w14:paraId="240526F5" w14:textId="77777777" w:rsidR="003209EE" w:rsidRPr="00A84B9B" w:rsidRDefault="003209EE" w:rsidP="003209EE">
      <w:pPr>
        <w:rPr>
          <w:rFonts w:cs="Times New Roman"/>
          <w:sz w:val="18"/>
          <w:szCs w:val="18"/>
        </w:rPr>
      </w:pPr>
      <w:r w:rsidRPr="00A84B9B">
        <w:rPr>
          <w:rFonts w:cs="Times New Roman"/>
          <w:sz w:val="18"/>
          <w:szCs w:val="18"/>
        </w:rPr>
        <w:t>Notes:</w:t>
      </w:r>
    </w:p>
    <w:p w14:paraId="74B44F2E" w14:textId="77777777" w:rsidR="003209EE" w:rsidRPr="008650A4" w:rsidRDefault="003209EE" w:rsidP="00FC735C">
      <w:pPr>
        <w:pStyle w:val="ListParagraph"/>
        <w:numPr>
          <w:ilvl w:val="0"/>
          <w:numId w:val="54"/>
        </w:numPr>
        <w:snapToGrid w:val="0"/>
        <w:spacing w:before="60" w:after="0" w:line="240" w:lineRule="auto"/>
        <w:contextualSpacing w:val="0"/>
        <w:jc w:val="both"/>
        <w:rPr>
          <w:sz w:val="20"/>
          <w:szCs w:val="20"/>
        </w:rPr>
      </w:pPr>
      <w:r w:rsidRPr="008650A4">
        <w:rPr>
          <w:rFonts w:ascii="Times New Roman" w:hAnsi="Times New Roman"/>
          <w:sz w:val="20"/>
          <w:szCs w:val="20"/>
          <w:lang w:val="en-US"/>
        </w:rPr>
        <w:t xml:space="preserve">The value of new installed equipment is estimated from the sum of individual calculations for each product category that multiply the 2016 sales quantity by a typical installed price. For example, a 5 to 6 kW wall hung split system retails for around $1,500 and the installation price will cost around $800 each including 4 hours labour and ancillaries (i.e. copper pipe, mounting brackets, capping, etc.). </w:t>
      </w:r>
    </w:p>
    <w:p w14:paraId="444E912B" w14:textId="4DD7DFAE" w:rsidR="003209EE" w:rsidRPr="008650A4" w:rsidRDefault="003209EE" w:rsidP="00FC735C">
      <w:pPr>
        <w:pStyle w:val="ListParagraph"/>
        <w:numPr>
          <w:ilvl w:val="0"/>
          <w:numId w:val="54"/>
        </w:numPr>
        <w:snapToGrid w:val="0"/>
        <w:spacing w:before="60" w:after="0" w:line="240" w:lineRule="auto"/>
        <w:contextualSpacing w:val="0"/>
        <w:jc w:val="both"/>
        <w:rPr>
          <w:sz w:val="20"/>
          <w:szCs w:val="20"/>
        </w:rPr>
      </w:pPr>
      <w:r w:rsidRPr="008650A4">
        <w:rPr>
          <w:rFonts w:ascii="Times New Roman" w:hAnsi="Times New Roman"/>
          <w:sz w:val="20"/>
          <w:szCs w:val="20"/>
          <w:lang w:val="en-US"/>
        </w:rPr>
        <w:t xml:space="preserve">Similarly, the price used for a domestic refrigerator was $1,298 with no installation. The average price of a domestic refrigerator is based on </w:t>
      </w:r>
      <w:r w:rsidRPr="008650A4">
        <w:rPr>
          <w:rFonts w:ascii="Times New Roman" w:hAnsi="Times New Roman"/>
          <w:sz w:val="20"/>
          <w:szCs w:val="20"/>
        </w:rPr>
        <w:t>Canstar</w:t>
      </w:r>
      <w:r w:rsidRPr="008650A4">
        <w:rPr>
          <w:rFonts w:ascii="Times New Roman" w:hAnsi="Times New Roman"/>
          <w:sz w:val="20"/>
          <w:szCs w:val="20"/>
          <w:lang w:val="en-US"/>
        </w:rPr>
        <w:t xml:space="preserve"> Blue</w:t>
      </w:r>
      <w:r w:rsidR="009A2D49">
        <w:rPr>
          <w:rFonts w:ascii="Times New Roman" w:hAnsi="Times New Roman"/>
          <w:sz w:val="20"/>
          <w:szCs w:val="20"/>
          <w:lang w:val="en-US"/>
        </w:rPr>
        <w:t xml:space="preserve"> </w:t>
      </w:r>
      <w:r w:rsidRPr="008650A4">
        <w:rPr>
          <w:rFonts w:ascii="Times New Roman" w:hAnsi="Times New Roman"/>
          <w:sz w:val="20"/>
          <w:szCs w:val="20"/>
          <w:lang w:val="en-US"/>
        </w:rPr>
        <w:t xml:space="preserve">Fridge Reviews where they conclude </w:t>
      </w:r>
      <w:r w:rsidRPr="008650A4">
        <w:rPr>
          <w:rFonts w:ascii="Times New Roman" w:hAnsi="Times New Roman"/>
          <w:i/>
          <w:sz w:val="20"/>
          <w:szCs w:val="20"/>
          <w:lang w:val="en-US"/>
        </w:rPr>
        <w:t>“Fridges can range anywhere from about $400, all the way up to and over $3,000 for the latest and greatest. Survey results indicate that the average spend on a fridge is $1,298”</w:t>
      </w:r>
      <w:r w:rsidRPr="008650A4">
        <w:rPr>
          <w:rFonts w:ascii="Times New Roman" w:hAnsi="Times New Roman"/>
          <w:sz w:val="20"/>
          <w:szCs w:val="20"/>
          <w:lang w:val="en-US"/>
        </w:rPr>
        <w:t xml:space="preserve">. </w:t>
      </w:r>
    </w:p>
    <w:p w14:paraId="50303976" w14:textId="77777777" w:rsidR="008650A4" w:rsidRDefault="008650A4" w:rsidP="003209EE">
      <w:pPr>
        <w:rPr>
          <w:szCs w:val="22"/>
        </w:rPr>
      </w:pPr>
    </w:p>
    <w:p w14:paraId="15240966" w14:textId="40D89746" w:rsidR="003209EE" w:rsidRDefault="003209EE" w:rsidP="003209EE">
      <w:pPr>
        <w:rPr>
          <w:szCs w:val="22"/>
        </w:rPr>
      </w:pPr>
      <w:r>
        <w:rPr>
          <w:szCs w:val="22"/>
        </w:rPr>
        <w:t>Increases seen in the cost of investment in all equipment categories can be partially attributed to inflationary cost increases between these 2012 and 2016 snapshots of investment, as well as an increase in demand for equipment.</w:t>
      </w:r>
    </w:p>
    <w:p w14:paraId="22893B50" w14:textId="77777777" w:rsidR="003209EE" w:rsidRDefault="003209EE" w:rsidP="003209EE">
      <w:pPr>
        <w:rPr>
          <w:szCs w:val="22"/>
        </w:rPr>
      </w:pPr>
      <w:r w:rsidRPr="004808F3">
        <w:rPr>
          <w:szCs w:val="22"/>
        </w:rPr>
        <w:t xml:space="preserve">The estimate </w:t>
      </w:r>
      <w:r>
        <w:rPr>
          <w:szCs w:val="22"/>
        </w:rPr>
        <w:t>of expenditure on</w:t>
      </w:r>
      <w:r w:rsidRPr="004808F3">
        <w:rPr>
          <w:szCs w:val="22"/>
        </w:rPr>
        <w:t xml:space="preserve"> stationary air conditioning</w:t>
      </w:r>
      <w:r>
        <w:rPr>
          <w:szCs w:val="22"/>
        </w:rPr>
        <w:t xml:space="preserve"> systems</w:t>
      </w:r>
      <w:r w:rsidRPr="004808F3">
        <w:rPr>
          <w:szCs w:val="22"/>
        </w:rPr>
        <w:t xml:space="preserve"> is conservative and does not include the wide range of ancillary devices and mechanical services such as building management systems, pumps, etc.</w:t>
      </w:r>
      <w:r>
        <w:rPr>
          <w:szCs w:val="22"/>
        </w:rPr>
        <w:t>,</w:t>
      </w:r>
      <w:r w:rsidRPr="004808F3">
        <w:rPr>
          <w:szCs w:val="22"/>
        </w:rPr>
        <w:t xml:space="preserve"> essential to the operation of large s</w:t>
      </w:r>
      <w:r>
        <w:rPr>
          <w:szCs w:val="22"/>
        </w:rPr>
        <w:t xml:space="preserve">pace cooling chiller systems.  </w:t>
      </w:r>
    </w:p>
    <w:p w14:paraId="05B53AD1" w14:textId="04D82C1E" w:rsidR="003209EE" w:rsidRDefault="003209EE" w:rsidP="003209EE">
      <w:pPr>
        <w:rPr>
          <w:szCs w:val="22"/>
        </w:rPr>
      </w:pPr>
      <w:r w:rsidRPr="004808F3">
        <w:rPr>
          <w:szCs w:val="22"/>
        </w:rPr>
        <w:t>Th</w:t>
      </w:r>
      <w:r>
        <w:rPr>
          <w:szCs w:val="22"/>
        </w:rPr>
        <w:t xml:space="preserve">is equipment is imported, or designed and manufactured, sold installed and serviced by more than </w:t>
      </w:r>
      <w:r w:rsidRPr="004808F3">
        <w:rPr>
          <w:szCs w:val="22"/>
        </w:rPr>
        <w:t>20,0</w:t>
      </w:r>
      <w:r>
        <w:rPr>
          <w:szCs w:val="22"/>
        </w:rPr>
        <w:t xml:space="preserve">00 businesses, comprising </w:t>
      </w:r>
      <w:r w:rsidRPr="00CB2E62">
        <w:rPr>
          <w:szCs w:val="22"/>
        </w:rPr>
        <w:t xml:space="preserve">contracting businesses, </w:t>
      </w:r>
      <w:r>
        <w:rPr>
          <w:szCs w:val="22"/>
        </w:rPr>
        <w:t xml:space="preserve">components and consumables suppliers, </w:t>
      </w:r>
      <w:r w:rsidRPr="004808F3">
        <w:rPr>
          <w:szCs w:val="22"/>
        </w:rPr>
        <w:t>manufacturers</w:t>
      </w:r>
      <w:r w:rsidR="009A2D49">
        <w:rPr>
          <w:szCs w:val="22"/>
        </w:rPr>
        <w:t>,</w:t>
      </w:r>
      <w:r w:rsidRPr="004808F3">
        <w:rPr>
          <w:szCs w:val="22"/>
        </w:rPr>
        <w:t xml:space="preserve"> and other service providers</w:t>
      </w:r>
      <w:r>
        <w:rPr>
          <w:szCs w:val="22"/>
        </w:rPr>
        <w:t xml:space="preserve"> including engineers and designers</w:t>
      </w:r>
      <w:r w:rsidRPr="004808F3">
        <w:rPr>
          <w:szCs w:val="22"/>
        </w:rPr>
        <w:t xml:space="preserve">. </w:t>
      </w:r>
    </w:p>
    <w:p w14:paraId="149E13BC" w14:textId="5F8EA747" w:rsidR="003209EE" w:rsidRDefault="003209EE" w:rsidP="003209EE">
      <w:pPr>
        <w:rPr>
          <w:szCs w:val="22"/>
        </w:rPr>
      </w:pPr>
      <w:r w:rsidRPr="004808F3">
        <w:rPr>
          <w:szCs w:val="22"/>
        </w:rPr>
        <w:t xml:space="preserve">One useful measure of the number of </w:t>
      </w:r>
      <w:r w:rsidR="00690C7D">
        <w:rPr>
          <w:szCs w:val="22"/>
        </w:rPr>
        <w:t>businesses</w:t>
      </w:r>
      <w:r w:rsidRPr="004808F3">
        <w:rPr>
          <w:szCs w:val="22"/>
        </w:rPr>
        <w:t xml:space="preserve"> or contract</w:t>
      </w:r>
      <w:r w:rsidR="00690C7D">
        <w:rPr>
          <w:szCs w:val="22"/>
        </w:rPr>
        <w:t>ors</w:t>
      </w:r>
      <w:r w:rsidRPr="004808F3">
        <w:rPr>
          <w:szCs w:val="22"/>
        </w:rPr>
        <w:t xml:space="preserve"> operatin</w:t>
      </w:r>
      <w:r>
        <w:rPr>
          <w:szCs w:val="22"/>
        </w:rPr>
        <w:t>g in this industry is the 18,144</w:t>
      </w:r>
      <w:r w:rsidRPr="004808F3">
        <w:rPr>
          <w:szCs w:val="22"/>
        </w:rPr>
        <w:t xml:space="preserve"> </w:t>
      </w:r>
      <w:r>
        <w:rPr>
          <w:szCs w:val="22"/>
        </w:rPr>
        <w:t xml:space="preserve">Refrigerant Trading Authorities (RTAs) issued by the </w:t>
      </w:r>
      <w:r w:rsidRPr="004808F3">
        <w:rPr>
          <w:szCs w:val="22"/>
        </w:rPr>
        <w:t>Australian Refrigerant Council (ARC)</w:t>
      </w:r>
      <w:r>
        <w:rPr>
          <w:szCs w:val="22"/>
        </w:rPr>
        <w:t xml:space="preserve"> by the end of 2016 (</w:t>
      </w:r>
      <w:r w:rsidRPr="00DF36BE">
        <w:rPr>
          <w:i/>
          <w:szCs w:val="22"/>
        </w:rPr>
        <w:t>CHF2 17,048</w:t>
      </w:r>
      <w:r>
        <w:rPr>
          <w:szCs w:val="22"/>
        </w:rPr>
        <w:t>). RTAs are required</w:t>
      </w:r>
      <w:r w:rsidRPr="004808F3">
        <w:rPr>
          <w:szCs w:val="22"/>
        </w:rPr>
        <w:t xml:space="preserve"> business authorisations </w:t>
      </w:r>
      <w:r>
        <w:rPr>
          <w:szCs w:val="22"/>
        </w:rPr>
        <w:t>for a</w:t>
      </w:r>
      <w:r w:rsidR="00690C7D">
        <w:rPr>
          <w:szCs w:val="22"/>
        </w:rPr>
        <w:t xml:space="preserve"> business</w:t>
      </w:r>
      <w:r>
        <w:rPr>
          <w:szCs w:val="22"/>
        </w:rPr>
        <w:t xml:space="preserve"> </w:t>
      </w:r>
      <w:r w:rsidR="00FE74F2">
        <w:rPr>
          <w:szCs w:val="22"/>
        </w:rPr>
        <w:t xml:space="preserve">to </w:t>
      </w:r>
      <w:r w:rsidR="00690C7D">
        <w:rPr>
          <w:szCs w:val="22"/>
        </w:rPr>
        <w:t>buy,</w:t>
      </w:r>
      <w:r>
        <w:rPr>
          <w:szCs w:val="22"/>
        </w:rPr>
        <w:t xml:space="preserve"> sell</w:t>
      </w:r>
      <w:r w:rsidR="00690C7D">
        <w:rPr>
          <w:szCs w:val="22"/>
        </w:rPr>
        <w:t xml:space="preserve"> and store</w:t>
      </w:r>
      <w:r w:rsidRPr="004808F3">
        <w:rPr>
          <w:szCs w:val="22"/>
        </w:rPr>
        <w:t xml:space="preserve"> refrigerant. The main business types </w:t>
      </w:r>
      <w:r>
        <w:rPr>
          <w:szCs w:val="22"/>
        </w:rPr>
        <w:t>recorded in the licensing database are 49%</w:t>
      </w:r>
      <w:r w:rsidRPr="004808F3">
        <w:rPr>
          <w:szCs w:val="22"/>
        </w:rPr>
        <w:t xml:space="preserve"> automotive air conditioning</w:t>
      </w:r>
      <w:r>
        <w:rPr>
          <w:szCs w:val="22"/>
        </w:rPr>
        <w:t>, 43%</w:t>
      </w:r>
      <w:r w:rsidRPr="004808F3">
        <w:rPr>
          <w:szCs w:val="22"/>
        </w:rPr>
        <w:t xml:space="preserve"> stationary air conditioning and </w:t>
      </w:r>
      <w:r>
        <w:rPr>
          <w:szCs w:val="22"/>
        </w:rPr>
        <w:t>5%</w:t>
      </w:r>
      <w:r w:rsidRPr="004808F3">
        <w:rPr>
          <w:szCs w:val="22"/>
        </w:rPr>
        <w:t xml:space="preserve"> domestic refrigeration.</w:t>
      </w:r>
      <w:r>
        <w:rPr>
          <w:szCs w:val="22"/>
        </w:rPr>
        <w:t xml:space="preserve"> (</w:t>
      </w:r>
      <w:r w:rsidRPr="00F55968">
        <w:rPr>
          <w:i/>
          <w:szCs w:val="22"/>
        </w:rPr>
        <w:t>CHF2 47%, 46%, and 4% respectively</w:t>
      </w:r>
      <w:r>
        <w:rPr>
          <w:szCs w:val="22"/>
        </w:rPr>
        <w:t>).</w:t>
      </w:r>
    </w:p>
    <w:p w14:paraId="0F67C26E" w14:textId="77777777" w:rsidR="003209EE" w:rsidRDefault="003209EE" w:rsidP="003209EE">
      <w:pPr>
        <w:rPr>
          <w:szCs w:val="22"/>
        </w:rPr>
      </w:pPr>
      <w:r>
        <w:rPr>
          <w:szCs w:val="22"/>
        </w:rPr>
        <w:t>More recent data available shows growth in new RTAs issued during 2017 and could point to the strength of underlying business activity in the sector, as also evidenced by the growth in stock numbers in the preceding few years.</w:t>
      </w:r>
    </w:p>
    <w:p w14:paraId="3FDBA2E0" w14:textId="77777777" w:rsidR="003A7BA9" w:rsidRDefault="003A7BA9">
      <w:pPr>
        <w:spacing w:before="0"/>
        <w:jc w:val="left"/>
        <w:rPr>
          <w:rFonts w:cs="Times New Roman"/>
          <w:i/>
          <w:szCs w:val="22"/>
        </w:rPr>
      </w:pPr>
      <w:r>
        <w:rPr>
          <w:rFonts w:cs="Times New Roman"/>
          <w:i/>
          <w:szCs w:val="22"/>
        </w:rPr>
        <w:br w:type="page"/>
      </w:r>
    </w:p>
    <w:p w14:paraId="3BD5CEAD" w14:textId="3F70AF29" w:rsidR="003209EE" w:rsidRPr="005A572D" w:rsidRDefault="005A572D" w:rsidP="005A572D">
      <w:pPr>
        <w:pStyle w:val="Caption"/>
        <w:keepNext/>
        <w:rPr>
          <w:szCs w:val="22"/>
        </w:rPr>
      </w:pPr>
      <w:bookmarkStart w:id="180" w:name="_Toc525141420"/>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31</w:t>
      </w:r>
      <w:r w:rsidR="009D6843">
        <w:rPr>
          <w:noProof/>
        </w:rPr>
        <w:fldChar w:fldCharType="end"/>
      </w:r>
      <w:r w:rsidRPr="005A572D">
        <w:t xml:space="preserve">: </w:t>
      </w:r>
      <w:r w:rsidR="003209EE" w:rsidRPr="005A572D">
        <w:rPr>
          <w:szCs w:val="22"/>
        </w:rPr>
        <w:t>Number of refrigerant trading authorities by industry sector, 2016 and 2017.</w:t>
      </w:r>
      <w:bookmarkEnd w:id="180"/>
    </w:p>
    <w:tbl>
      <w:tblPr>
        <w:tblStyle w:val="TableGrid"/>
        <w:tblW w:w="9351" w:type="dxa"/>
        <w:tblLook w:val="04A0" w:firstRow="1" w:lastRow="0" w:firstColumn="1" w:lastColumn="0" w:noHBand="0" w:noVBand="1"/>
      </w:tblPr>
      <w:tblGrid>
        <w:gridCol w:w="3964"/>
        <w:gridCol w:w="2523"/>
        <w:gridCol w:w="2864"/>
      </w:tblGrid>
      <w:tr w:rsidR="003209EE" w:rsidRPr="00400631" w14:paraId="28A0C8A0" w14:textId="77777777" w:rsidTr="009C0BC1">
        <w:tc>
          <w:tcPr>
            <w:tcW w:w="3964" w:type="dxa"/>
            <w:shd w:val="clear" w:color="auto" w:fill="B6DDE8" w:themeFill="accent5" w:themeFillTint="66"/>
          </w:tcPr>
          <w:p w14:paraId="1466A1B6" w14:textId="77777777" w:rsidR="003209EE" w:rsidRPr="00400631" w:rsidRDefault="003209EE" w:rsidP="00244B21">
            <w:pPr>
              <w:spacing w:after="120"/>
              <w:rPr>
                <w:szCs w:val="22"/>
              </w:rPr>
            </w:pPr>
          </w:p>
        </w:tc>
        <w:tc>
          <w:tcPr>
            <w:tcW w:w="2523" w:type="dxa"/>
            <w:shd w:val="clear" w:color="auto" w:fill="B6DDE8" w:themeFill="accent5" w:themeFillTint="66"/>
          </w:tcPr>
          <w:p w14:paraId="405674F2" w14:textId="77777777" w:rsidR="003209EE" w:rsidRPr="00400631" w:rsidRDefault="003209EE" w:rsidP="00244B21">
            <w:pPr>
              <w:spacing w:after="120"/>
              <w:jc w:val="center"/>
              <w:rPr>
                <w:szCs w:val="22"/>
              </w:rPr>
            </w:pPr>
            <w:r>
              <w:rPr>
                <w:szCs w:val="22"/>
              </w:rPr>
              <w:t>Number RTA                         31 December 2016</w:t>
            </w:r>
          </w:p>
        </w:tc>
        <w:tc>
          <w:tcPr>
            <w:tcW w:w="2864" w:type="dxa"/>
            <w:shd w:val="clear" w:color="auto" w:fill="B6DDE8" w:themeFill="accent5" w:themeFillTint="66"/>
          </w:tcPr>
          <w:p w14:paraId="4FD139BC" w14:textId="77777777" w:rsidR="003209EE" w:rsidRPr="00400631" w:rsidRDefault="003209EE" w:rsidP="00244B21">
            <w:pPr>
              <w:spacing w:after="120"/>
              <w:jc w:val="center"/>
              <w:rPr>
                <w:szCs w:val="22"/>
              </w:rPr>
            </w:pPr>
            <w:r>
              <w:rPr>
                <w:szCs w:val="22"/>
              </w:rPr>
              <w:t>Number RTA                         31 December 2017</w:t>
            </w:r>
          </w:p>
        </w:tc>
      </w:tr>
      <w:tr w:rsidR="003209EE" w:rsidRPr="00400631" w14:paraId="5DCF99B1" w14:textId="77777777" w:rsidTr="00244B21">
        <w:tc>
          <w:tcPr>
            <w:tcW w:w="3964" w:type="dxa"/>
          </w:tcPr>
          <w:p w14:paraId="3B3D681C" w14:textId="77777777" w:rsidR="003209EE" w:rsidRPr="00400631" w:rsidRDefault="003209EE" w:rsidP="00244B21">
            <w:pPr>
              <w:spacing w:after="120"/>
              <w:rPr>
                <w:szCs w:val="22"/>
              </w:rPr>
            </w:pPr>
            <w:r w:rsidRPr="00400631">
              <w:rPr>
                <w:szCs w:val="22"/>
                <w:lang w:val="en-AU"/>
              </w:rPr>
              <w:t>Automotive Air Conditioning</w:t>
            </w:r>
          </w:p>
        </w:tc>
        <w:tc>
          <w:tcPr>
            <w:tcW w:w="2523" w:type="dxa"/>
          </w:tcPr>
          <w:p w14:paraId="3DCFC6AD" w14:textId="77777777" w:rsidR="003209EE" w:rsidRPr="00400631" w:rsidRDefault="003209EE" w:rsidP="00244B21">
            <w:pPr>
              <w:spacing w:after="120"/>
              <w:jc w:val="center"/>
              <w:rPr>
                <w:szCs w:val="22"/>
              </w:rPr>
            </w:pPr>
            <w:r>
              <w:rPr>
                <w:szCs w:val="22"/>
              </w:rPr>
              <w:t>8,875</w:t>
            </w:r>
          </w:p>
        </w:tc>
        <w:tc>
          <w:tcPr>
            <w:tcW w:w="2864" w:type="dxa"/>
          </w:tcPr>
          <w:p w14:paraId="67059FC8" w14:textId="77777777" w:rsidR="003209EE" w:rsidRPr="00400631" w:rsidRDefault="003209EE" w:rsidP="00244B21">
            <w:pPr>
              <w:spacing w:after="120"/>
              <w:jc w:val="center"/>
              <w:rPr>
                <w:szCs w:val="22"/>
              </w:rPr>
            </w:pPr>
            <w:r>
              <w:rPr>
                <w:szCs w:val="22"/>
              </w:rPr>
              <w:t>9,222</w:t>
            </w:r>
          </w:p>
        </w:tc>
      </w:tr>
      <w:tr w:rsidR="003209EE" w:rsidRPr="00400631" w14:paraId="06829F6F" w14:textId="77777777" w:rsidTr="00244B21">
        <w:tc>
          <w:tcPr>
            <w:tcW w:w="3964" w:type="dxa"/>
          </w:tcPr>
          <w:p w14:paraId="0047F392" w14:textId="77777777" w:rsidR="003209EE" w:rsidRPr="00400631" w:rsidRDefault="003209EE" w:rsidP="00244B21">
            <w:pPr>
              <w:spacing w:after="120"/>
              <w:rPr>
                <w:szCs w:val="22"/>
              </w:rPr>
            </w:pPr>
            <w:r w:rsidRPr="00400631">
              <w:rPr>
                <w:szCs w:val="22"/>
                <w:lang w:val="en-AU"/>
              </w:rPr>
              <w:t>Aviation</w:t>
            </w:r>
          </w:p>
        </w:tc>
        <w:tc>
          <w:tcPr>
            <w:tcW w:w="2523" w:type="dxa"/>
          </w:tcPr>
          <w:p w14:paraId="6357DA77" w14:textId="77777777" w:rsidR="003209EE" w:rsidRPr="00400631" w:rsidRDefault="003209EE" w:rsidP="00244B21">
            <w:pPr>
              <w:spacing w:after="120"/>
              <w:jc w:val="center"/>
              <w:rPr>
                <w:szCs w:val="22"/>
              </w:rPr>
            </w:pPr>
            <w:r>
              <w:rPr>
                <w:szCs w:val="22"/>
              </w:rPr>
              <w:t>38</w:t>
            </w:r>
          </w:p>
        </w:tc>
        <w:tc>
          <w:tcPr>
            <w:tcW w:w="2864" w:type="dxa"/>
          </w:tcPr>
          <w:p w14:paraId="3C64EA70" w14:textId="77777777" w:rsidR="003209EE" w:rsidRPr="00400631" w:rsidRDefault="003209EE" w:rsidP="00244B21">
            <w:pPr>
              <w:spacing w:after="120"/>
              <w:jc w:val="center"/>
              <w:rPr>
                <w:szCs w:val="22"/>
              </w:rPr>
            </w:pPr>
            <w:r>
              <w:rPr>
                <w:szCs w:val="22"/>
              </w:rPr>
              <w:t>38</w:t>
            </w:r>
          </w:p>
        </w:tc>
      </w:tr>
      <w:tr w:rsidR="003209EE" w:rsidRPr="00400631" w14:paraId="3AD5BCD2" w14:textId="77777777" w:rsidTr="00244B21">
        <w:tc>
          <w:tcPr>
            <w:tcW w:w="3964" w:type="dxa"/>
          </w:tcPr>
          <w:p w14:paraId="5C2B2982" w14:textId="77777777" w:rsidR="003209EE" w:rsidRPr="00400631" w:rsidRDefault="003209EE" w:rsidP="00244B21">
            <w:pPr>
              <w:spacing w:after="120"/>
              <w:rPr>
                <w:szCs w:val="22"/>
              </w:rPr>
            </w:pPr>
            <w:r w:rsidRPr="00400631">
              <w:rPr>
                <w:szCs w:val="22"/>
                <w:lang w:val="en-AU"/>
              </w:rPr>
              <w:t>Awaiting Assessment</w:t>
            </w:r>
          </w:p>
        </w:tc>
        <w:tc>
          <w:tcPr>
            <w:tcW w:w="2523" w:type="dxa"/>
          </w:tcPr>
          <w:p w14:paraId="7EE4454D" w14:textId="77777777" w:rsidR="003209EE" w:rsidRPr="00400631" w:rsidRDefault="003209EE" w:rsidP="00244B21">
            <w:pPr>
              <w:spacing w:after="120"/>
              <w:jc w:val="center"/>
              <w:rPr>
                <w:szCs w:val="22"/>
              </w:rPr>
            </w:pPr>
            <w:r>
              <w:rPr>
                <w:szCs w:val="22"/>
              </w:rPr>
              <w:t>10</w:t>
            </w:r>
          </w:p>
        </w:tc>
        <w:tc>
          <w:tcPr>
            <w:tcW w:w="2864" w:type="dxa"/>
          </w:tcPr>
          <w:p w14:paraId="16439C74" w14:textId="77777777" w:rsidR="003209EE" w:rsidRPr="00400631" w:rsidRDefault="003209EE" w:rsidP="00244B21">
            <w:pPr>
              <w:spacing w:after="120"/>
              <w:jc w:val="center"/>
              <w:rPr>
                <w:szCs w:val="22"/>
              </w:rPr>
            </w:pPr>
            <w:r>
              <w:rPr>
                <w:szCs w:val="22"/>
              </w:rPr>
              <w:t>14</w:t>
            </w:r>
          </w:p>
        </w:tc>
      </w:tr>
      <w:tr w:rsidR="003209EE" w:rsidRPr="00400631" w14:paraId="54481B13" w14:textId="77777777" w:rsidTr="00244B21">
        <w:tc>
          <w:tcPr>
            <w:tcW w:w="3964" w:type="dxa"/>
          </w:tcPr>
          <w:p w14:paraId="34B9A459" w14:textId="77777777" w:rsidR="003209EE" w:rsidRPr="00400631" w:rsidRDefault="003209EE" w:rsidP="00244B21">
            <w:pPr>
              <w:spacing w:after="120"/>
              <w:rPr>
                <w:szCs w:val="22"/>
              </w:rPr>
            </w:pPr>
            <w:r w:rsidRPr="00400631">
              <w:rPr>
                <w:szCs w:val="22"/>
                <w:lang w:val="en-AU"/>
              </w:rPr>
              <w:t>Domestic RAC</w:t>
            </w:r>
          </w:p>
        </w:tc>
        <w:tc>
          <w:tcPr>
            <w:tcW w:w="2523" w:type="dxa"/>
          </w:tcPr>
          <w:p w14:paraId="50E2BEED" w14:textId="77777777" w:rsidR="003209EE" w:rsidRPr="00400631" w:rsidRDefault="003209EE" w:rsidP="00244B21">
            <w:pPr>
              <w:spacing w:after="120"/>
              <w:jc w:val="center"/>
              <w:rPr>
                <w:szCs w:val="22"/>
              </w:rPr>
            </w:pPr>
            <w:r>
              <w:rPr>
                <w:szCs w:val="22"/>
              </w:rPr>
              <w:t>875</w:t>
            </w:r>
          </w:p>
        </w:tc>
        <w:tc>
          <w:tcPr>
            <w:tcW w:w="2864" w:type="dxa"/>
          </w:tcPr>
          <w:p w14:paraId="25C366B6" w14:textId="77777777" w:rsidR="003209EE" w:rsidRPr="00400631" w:rsidRDefault="003209EE" w:rsidP="00244B21">
            <w:pPr>
              <w:spacing w:after="120"/>
              <w:jc w:val="center"/>
              <w:rPr>
                <w:szCs w:val="22"/>
              </w:rPr>
            </w:pPr>
            <w:r>
              <w:rPr>
                <w:szCs w:val="22"/>
              </w:rPr>
              <w:t>941</w:t>
            </w:r>
          </w:p>
        </w:tc>
      </w:tr>
      <w:tr w:rsidR="003209EE" w:rsidRPr="00400631" w14:paraId="48577CDB" w14:textId="77777777" w:rsidTr="00244B21">
        <w:tc>
          <w:tcPr>
            <w:tcW w:w="3964" w:type="dxa"/>
          </w:tcPr>
          <w:p w14:paraId="0110FA4B" w14:textId="77777777" w:rsidR="003209EE" w:rsidRPr="00400631" w:rsidRDefault="003209EE" w:rsidP="00244B21">
            <w:pPr>
              <w:spacing w:after="120"/>
              <w:rPr>
                <w:szCs w:val="22"/>
              </w:rPr>
            </w:pPr>
            <w:r>
              <w:rPr>
                <w:szCs w:val="22"/>
                <w:lang w:val="en-AU"/>
              </w:rPr>
              <w:t>Manufacturer</w:t>
            </w:r>
          </w:p>
        </w:tc>
        <w:tc>
          <w:tcPr>
            <w:tcW w:w="2523" w:type="dxa"/>
          </w:tcPr>
          <w:p w14:paraId="035EBE74" w14:textId="77777777" w:rsidR="003209EE" w:rsidRPr="00400631" w:rsidRDefault="003209EE" w:rsidP="00244B21">
            <w:pPr>
              <w:spacing w:after="120"/>
              <w:jc w:val="center"/>
              <w:rPr>
                <w:szCs w:val="22"/>
              </w:rPr>
            </w:pPr>
            <w:r>
              <w:rPr>
                <w:szCs w:val="22"/>
              </w:rPr>
              <w:t>42</w:t>
            </w:r>
          </w:p>
        </w:tc>
        <w:tc>
          <w:tcPr>
            <w:tcW w:w="2864" w:type="dxa"/>
          </w:tcPr>
          <w:p w14:paraId="64BD2C40" w14:textId="77777777" w:rsidR="003209EE" w:rsidRPr="00400631" w:rsidRDefault="003209EE" w:rsidP="00244B21">
            <w:pPr>
              <w:spacing w:after="120"/>
              <w:jc w:val="center"/>
              <w:rPr>
                <w:szCs w:val="22"/>
              </w:rPr>
            </w:pPr>
            <w:r>
              <w:rPr>
                <w:szCs w:val="22"/>
              </w:rPr>
              <w:t>43</w:t>
            </w:r>
          </w:p>
        </w:tc>
      </w:tr>
      <w:tr w:rsidR="003209EE" w:rsidRPr="00400631" w14:paraId="7ED7823F" w14:textId="77777777" w:rsidTr="00244B21">
        <w:tc>
          <w:tcPr>
            <w:tcW w:w="3964" w:type="dxa"/>
          </w:tcPr>
          <w:p w14:paraId="5F5DC3D6" w14:textId="77777777" w:rsidR="003209EE" w:rsidRPr="00400631" w:rsidRDefault="003209EE" w:rsidP="00244B21">
            <w:pPr>
              <w:spacing w:after="120"/>
              <w:rPr>
                <w:szCs w:val="22"/>
              </w:rPr>
            </w:pPr>
            <w:r>
              <w:rPr>
                <w:szCs w:val="22"/>
                <w:lang w:val="en-AU"/>
              </w:rPr>
              <w:t>Marine</w:t>
            </w:r>
          </w:p>
        </w:tc>
        <w:tc>
          <w:tcPr>
            <w:tcW w:w="2523" w:type="dxa"/>
          </w:tcPr>
          <w:p w14:paraId="2B2EC043" w14:textId="77777777" w:rsidR="003209EE" w:rsidRPr="00400631" w:rsidRDefault="003209EE" w:rsidP="00244B21">
            <w:pPr>
              <w:spacing w:after="120"/>
              <w:jc w:val="center"/>
              <w:rPr>
                <w:szCs w:val="22"/>
              </w:rPr>
            </w:pPr>
            <w:r>
              <w:rPr>
                <w:szCs w:val="22"/>
              </w:rPr>
              <w:t>75</w:t>
            </w:r>
          </w:p>
        </w:tc>
        <w:tc>
          <w:tcPr>
            <w:tcW w:w="2864" w:type="dxa"/>
          </w:tcPr>
          <w:p w14:paraId="3B9283CF" w14:textId="77777777" w:rsidR="003209EE" w:rsidRPr="00400631" w:rsidRDefault="003209EE" w:rsidP="00244B21">
            <w:pPr>
              <w:spacing w:after="120"/>
              <w:jc w:val="center"/>
              <w:rPr>
                <w:szCs w:val="22"/>
              </w:rPr>
            </w:pPr>
            <w:r>
              <w:rPr>
                <w:szCs w:val="22"/>
              </w:rPr>
              <w:t>77</w:t>
            </w:r>
          </w:p>
        </w:tc>
      </w:tr>
      <w:tr w:rsidR="003209EE" w:rsidRPr="00400631" w14:paraId="17E36D25" w14:textId="77777777" w:rsidTr="00244B21">
        <w:tc>
          <w:tcPr>
            <w:tcW w:w="3964" w:type="dxa"/>
          </w:tcPr>
          <w:p w14:paraId="77F5B4FE" w14:textId="77777777" w:rsidR="003209EE" w:rsidRPr="00400631" w:rsidRDefault="003209EE" w:rsidP="00244B21">
            <w:pPr>
              <w:spacing w:after="120"/>
              <w:rPr>
                <w:szCs w:val="22"/>
                <w:lang w:val="en-AU"/>
              </w:rPr>
            </w:pPr>
            <w:r w:rsidRPr="00A85EFB">
              <w:rPr>
                <w:szCs w:val="22"/>
                <w:lang w:val="en-AU"/>
              </w:rPr>
              <w:t>Refrigerant Wholesaler</w:t>
            </w:r>
          </w:p>
        </w:tc>
        <w:tc>
          <w:tcPr>
            <w:tcW w:w="2523" w:type="dxa"/>
          </w:tcPr>
          <w:p w14:paraId="282D7C32" w14:textId="77777777" w:rsidR="003209EE" w:rsidRPr="00400631" w:rsidRDefault="003209EE" w:rsidP="00244B21">
            <w:pPr>
              <w:spacing w:after="120"/>
              <w:jc w:val="center"/>
              <w:rPr>
                <w:szCs w:val="22"/>
              </w:rPr>
            </w:pPr>
            <w:r>
              <w:rPr>
                <w:szCs w:val="22"/>
              </w:rPr>
              <w:t>174</w:t>
            </w:r>
          </w:p>
        </w:tc>
        <w:tc>
          <w:tcPr>
            <w:tcW w:w="2864" w:type="dxa"/>
          </w:tcPr>
          <w:p w14:paraId="740250D2" w14:textId="77777777" w:rsidR="003209EE" w:rsidRDefault="003209EE" w:rsidP="00244B21">
            <w:pPr>
              <w:spacing w:after="120"/>
              <w:jc w:val="center"/>
              <w:rPr>
                <w:szCs w:val="22"/>
              </w:rPr>
            </w:pPr>
            <w:r>
              <w:rPr>
                <w:szCs w:val="22"/>
              </w:rPr>
              <w:t>174</w:t>
            </w:r>
          </w:p>
        </w:tc>
      </w:tr>
      <w:tr w:rsidR="003209EE" w:rsidRPr="00400631" w14:paraId="5F06FE49" w14:textId="77777777" w:rsidTr="00244B21">
        <w:tc>
          <w:tcPr>
            <w:tcW w:w="3964" w:type="dxa"/>
          </w:tcPr>
          <w:p w14:paraId="0ADEEACD" w14:textId="77777777" w:rsidR="003209EE" w:rsidRPr="00400631" w:rsidRDefault="003209EE" w:rsidP="00244B21">
            <w:pPr>
              <w:spacing w:after="120"/>
              <w:rPr>
                <w:szCs w:val="22"/>
                <w:lang w:val="en-AU"/>
              </w:rPr>
            </w:pPr>
            <w:r w:rsidRPr="00A85EFB">
              <w:rPr>
                <w:szCs w:val="22"/>
                <w:lang w:val="en-AU"/>
              </w:rPr>
              <w:t>Restricted Automotive Parts Recycler</w:t>
            </w:r>
          </w:p>
        </w:tc>
        <w:tc>
          <w:tcPr>
            <w:tcW w:w="2523" w:type="dxa"/>
          </w:tcPr>
          <w:p w14:paraId="24E28374" w14:textId="77777777" w:rsidR="003209EE" w:rsidRPr="00400631" w:rsidRDefault="003209EE" w:rsidP="00244B21">
            <w:pPr>
              <w:spacing w:after="120"/>
              <w:jc w:val="center"/>
              <w:rPr>
                <w:szCs w:val="22"/>
              </w:rPr>
            </w:pPr>
            <w:r>
              <w:rPr>
                <w:szCs w:val="22"/>
              </w:rPr>
              <w:t>34</w:t>
            </w:r>
          </w:p>
        </w:tc>
        <w:tc>
          <w:tcPr>
            <w:tcW w:w="2864" w:type="dxa"/>
          </w:tcPr>
          <w:p w14:paraId="20D9CFD6" w14:textId="77777777" w:rsidR="003209EE" w:rsidRDefault="003209EE" w:rsidP="00244B21">
            <w:pPr>
              <w:spacing w:after="120"/>
              <w:jc w:val="center"/>
              <w:rPr>
                <w:szCs w:val="22"/>
              </w:rPr>
            </w:pPr>
            <w:r>
              <w:rPr>
                <w:szCs w:val="22"/>
              </w:rPr>
              <w:t>32</w:t>
            </w:r>
          </w:p>
        </w:tc>
      </w:tr>
      <w:tr w:rsidR="003209EE" w:rsidRPr="00400631" w14:paraId="7EC7A14D" w14:textId="77777777" w:rsidTr="00244B21">
        <w:tc>
          <w:tcPr>
            <w:tcW w:w="3964" w:type="dxa"/>
          </w:tcPr>
          <w:p w14:paraId="2A56238B" w14:textId="77777777" w:rsidR="003209EE" w:rsidRPr="00400631" w:rsidRDefault="003209EE" w:rsidP="00244B21">
            <w:pPr>
              <w:spacing w:after="120"/>
              <w:rPr>
                <w:szCs w:val="22"/>
                <w:lang w:val="en-AU"/>
              </w:rPr>
            </w:pPr>
            <w:r w:rsidRPr="00A85EFB">
              <w:rPr>
                <w:szCs w:val="22"/>
                <w:lang w:val="en-AU"/>
              </w:rPr>
              <w:t>Restricted Metal Recycler</w:t>
            </w:r>
          </w:p>
        </w:tc>
        <w:tc>
          <w:tcPr>
            <w:tcW w:w="2523" w:type="dxa"/>
          </w:tcPr>
          <w:p w14:paraId="459E49FC" w14:textId="77777777" w:rsidR="003209EE" w:rsidRPr="00400631" w:rsidRDefault="003209EE" w:rsidP="00244B21">
            <w:pPr>
              <w:spacing w:after="120"/>
              <w:jc w:val="center"/>
              <w:rPr>
                <w:szCs w:val="22"/>
              </w:rPr>
            </w:pPr>
            <w:r>
              <w:rPr>
                <w:szCs w:val="22"/>
              </w:rPr>
              <w:t>7</w:t>
            </w:r>
          </w:p>
        </w:tc>
        <w:tc>
          <w:tcPr>
            <w:tcW w:w="2864" w:type="dxa"/>
          </w:tcPr>
          <w:p w14:paraId="6489351E" w14:textId="77777777" w:rsidR="003209EE" w:rsidRDefault="003209EE" w:rsidP="00244B21">
            <w:pPr>
              <w:spacing w:after="120"/>
              <w:jc w:val="center"/>
              <w:rPr>
                <w:szCs w:val="22"/>
              </w:rPr>
            </w:pPr>
            <w:r>
              <w:rPr>
                <w:szCs w:val="22"/>
              </w:rPr>
              <w:t>6</w:t>
            </w:r>
          </w:p>
        </w:tc>
      </w:tr>
      <w:tr w:rsidR="003209EE" w:rsidRPr="00400631" w14:paraId="49FF3F28" w14:textId="77777777" w:rsidTr="00244B21">
        <w:tc>
          <w:tcPr>
            <w:tcW w:w="3964" w:type="dxa"/>
          </w:tcPr>
          <w:p w14:paraId="4B840C45" w14:textId="77777777" w:rsidR="003209EE" w:rsidRPr="00400631" w:rsidRDefault="003209EE" w:rsidP="00244B21">
            <w:pPr>
              <w:spacing w:after="120"/>
              <w:rPr>
                <w:szCs w:val="22"/>
                <w:lang w:val="en-AU"/>
              </w:rPr>
            </w:pPr>
            <w:r w:rsidRPr="00A85EFB">
              <w:rPr>
                <w:szCs w:val="22"/>
                <w:lang w:val="en-AU"/>
              </w:rPr>
              <w:t>Restricted Non Fluorocarbon Refrigerants</w:t>
            </w:r>
          </w:p>
        </w:tc>
        <w:tc>
          <w:tcPr>
            <w:tcW w:w="2523" w:type="dxa"/>
          </w:tcPr>
          <w:p w14:paraId="23D7924D" w14:textId="77777777" w:rsidR="003209EE" w:rsidRPr="00400631" w:rsidRDefault="003209EE" w:rsidP="00244B21">
            <w:pPr>
              <w:spacing w:after="120"/>
              <w:jc w:val="center"/>
              <w:rPr>
                <w:szCs w:val="22"/>
              </w:rPr>
            </w:pPr>
            <w:r>
              <w:rPr>
                <w:szCs w:val="22"/>
              </w:rPr>
              <w:t>3</w:t>
            </w:r>
          </w:p>
        </w:tc>
        <w:tc>
          <w:tcPr>
            <w:tcW w:w="2864" w:type="dxa"/>
          </w:tcPr>
          <w:p w14:paraId="201468A5" w14:textId="77777777" w:rsidR="003209EE" w:rsidRDefault="003209EE" w:rsidP="00244B21">
            <w:pPr>
              <w:spacing w:after="120"/>
              <w:jc w:val="center"/>
              <w:rPr>
                <w:szCs w:val="22"/>
              </w:rPr>
            </w:pPr>
            <w:r>
              <w:rPr>
                <w:szCs w:val="22"/>
              </w:rPr>
              <w:t>2</w:t>
            </w:r>
          </w:p>
        </w:tc>
      </w:tr>
      <w:tr w:rsidR="003209EE" w:rsidRPr="00400631" w14:paraId="00BA5607" w14:textId="77777777" w:rsidTr="00244B21">
        <w:tc>
          <w:tcPr>
            <w:tcW w:w="3964" w:type="dxa"/>
          </w:tcPr>
          <w:p w14:paraId="6026CABB" w14:textId="77777777" w:rsidR="003209EE" w:rsidRPr="00400631" w:rsidRDefault="003209EE" w:rsidP="00244B21">
            <w:pPr>
              <w:spacing w:after="120"/>
              <w:rPr>
                <w:szCs w:val="22"/>
                <w:lang w:val="en-AU"/>
              </w:rPr>
            </w:pPr>
            <w:r w:rsidRPr="00A85EFB">
              <w:rPr>
                <w:szCs w:val="22"/>
                <w:lang w:val="en-AU"/>
              </w:rPr>
              <w:t>Restricted Refrigerant Recoverer</w:t>
            </w:r>
          </w:p>
        </w:tc>
        <w:tc>
          <w:tcPr>
            <w:tcW w:w="2523" w:type="dxa"/>
          </w:tcPr>
          <w:p w14:paraId="4B3C42AC" w14:textId="77777777" w:rsidR="003209EE" w:rsidRPr="00400631" w:rsidRDefault="003209EE" w:rsidP="00244B21">
            <w:pPr>
              <w:spacing w:after="120"/>
              <w:jc w:val="center"/>
              <w:rPr>
                <w:szCs w:val="22"/>
              </w:rPr>
            </w:pPr>
            <w:r>
              <w:rPr>
                <w:szCs w:val="22"/>
              </w:rPr>
              <w:t>34</w:t>
            </w:r>
          </w:p>
        </w:tc>
        <w:tc>
          <w:tcPr>
            <w:tcW w:w="2864" w:type="dxa"/>
          </w:tcPr>
          <w:p w14:paraId="61D6990C" w14:textId="77777777" w:rsidR="003209EE" w:rsidRDefault="003209EE" w:rsidP="00244B21">
            <w:pPr>
              <w:spacing w:after="120"/>
              <w:jc w:val="center"/>
              <w:rPr>
                <w:szCs w:val="22"/>
              </w:rPr>
            </w:pPr>
            <w:r>
              <w:rPr>
                <w:szCs w:val="22"/>
              </w:rPr>
              <w:t>33</w:t>
            </w:r>
          </w:p>
        </w:tc>
      </w:tr>
      <w:tr w:rsidR="003209EE" w:rsidRPr="00400631" w14:paraId="34B6928C" w14:textId="77777777" w:rsidTr="00244B21">
        <w:tc>
          <w:tcPr>
            <w:tcW w:w="3964" w:type="dxa"/>
          </w:tcPr>
          <w:p w14:paraId="0782F6E7" w14:textId="77777777" w:rsidR="003209EE" w:rsidRPr="00400631" w:rsidRDefault="003209EE" w:rsidP="00244B21">
            <w:pPr>
              <w:spacing w:after="120"/>
              <w:rPr>
                <w:szCs w:val="22"/>
                <w:lang w:val="en-AU"/>
              </w:rPr>
            </w:pPr>
            <w:r w:rsidRPr="00A85EFB">
              <w:rPr>
                <w:szCs w:val="22"/>
                <w:lang w:val="en-AU"/>
              </w:rPr>
              <w:t>Restricted Waste Management</w:t>
            </w:r>
          </w:p>
        </w:tc>
        <w:tc>
          <w:tcPr>
            <w:tcW w:w="2523" w:type="dxa"/>
          </w:tcPr>
          <w:p w14:paraId="4646C3C6" w14:textId="77777777" w:rsidR="003209EE" w:rsidRPr="00400631" w:rsidRDefault="003209EE" w:rsidP="00244B21">
            <w:pPr>
              <w:spacing w:after="120"/>
              <w:jc w:val="center"/>
              <w:rPr>
                <w:szCs w:val="22"/>
              </w:rPr>
            </w:pPr>
            <w:r>
              <w:rPr>
                <w:szCs w:val="22"/>
              </w:rPr>
              <w:t>10</w:t>
            </w:r>
          </w:p>
        </w:tc>
        <w:tc>
          <w:tcPr>
            <w:tcW w:w="2864" w:type="dxa"/>
          </w:tcPr>
          <w:p w14:paraId="23D16FB1" w14:textId="77777777" w:rsidR="003209EE" w:rsidRDefault="003209EE" w:rsidP="00244B21">
            <w:pPr>
              <w:spacing w:after="120"/>
              <w:jc w:val="center"/>
              <w:rPr>
                <w:szCs w:val="22"/>
              </w:rPr>
            </w:pPr>
            <w:r>
              <w:rPr>
                <w:szCs w:val="22"/>
              </w:rPr>
              <w:t>12</w:t>
            </w:r>
          </w:p>
        </w:tc>
      </w:tr>
      <w:tr w:rsidR="003209EE" w:rsidRPr="00400631" w14:paraId="3EC21593" w14:textId="77777777" w:rsidTr="00244B21">
        <w:tc>
          <w:tcPr>
            <w:tcW w:w="3964" w:type="dxa"/>
          </w:tcPr>
          <w:p w14:paraId="5B20D601" w14:textId="77777777" w:rsidR="003209EE" w:rsidRPr="00400631" w:rsidRDefault="003209EE" w:rsidP="00244B21">
            <w:pPr>
              <w:spacing w:after="120"/>
              <w:rPr>
                <w:szCs w:val="22"/>
                <w:lang w:val="en-AU"/>
              </w:rPr>
            </w:pPr>
            <w:r w:rsidRPr="00A85EFB">
              <w:rPr>
                <w:szCs w:val="22"/>
                <w:lang w:val="en-AU"/>
              </w:rPr>
              <w:t>Split Systems A/C Installation</w:t>
            </w:r>
          </w:p>
        </w:tc>
        <w:tc>
          <w:tcPr>
            <w:tcW w:w="2523" w:type="dxa"/>
          </w:tcPr>
          <w:p w14:paraId="15BED9B4" w14:textId="77777777" w:rsidR="003209EE" w:rsidRPr="00400631" w:rsidRDefault="003209EE" w:rsidP="00244B21">
            <w:pPr>
              <w:spacing w:after="120"/>
              <w:jc w:val="center"/>
              <w:rPr>
                <w:szCs w:val="22"/>
              </w:rPr>
            </w:pPr>
            <w:r>
              <w:rPr>
                <w:szCs w:val="22"/>
              </w:rPr>
              <w:t>2,894</w:t>
            </w:r>
          </w:p>
        </w:tc>
        <w:tc>
          <w:tcPr>
            <w:tcW w:w="2864" w:type="dxa"/>
          </w:tcPr>
          <w:p w14:paraId="55B29319" w14:textId="77777777" w:rsidR="003209EE" w:rsidRDefault="003209EE" w:rsidP="00244B21">
            <w:pPr>
              <w:spacing w:after="120"/>
              <w:jc w:val="center"/>
              <w:rPr>
                <w:szCs w:val="22"/>
              </w:rPr>
            </w:pPr>
            <w:r>
              <w:rPr>
                <w:szCs w:val="22"/>
              </w:rPr>
              <w:t>3,080</w:t>
            </w:r>
          </w:p>
        </w:tc>
      </w:tr>
      <w:tr w:rsidR="003209EE" w:rsidRPr="00400631" w14:paraId="79C15402" w14:textId="77777777" w:rsidTr="00244B21">
        <w:tc>
          <w:tcPr>
            <w:tcW w:w="3964" w:type="dxa"/>
          </w:tcPr>
          <w:p w14:paraId="36C28D08" w14:textId="77777777" w:rsidR="003209EE" w:rsidRPr="00400631" w:rsidRDefault="003209EE" w:rsidP="00244B21">
            <w:pPr>
              <w:spacing w:after="120"/>
              <w:rPr>
                <w:szCs w:val="22"/>
                <w:lang w:val="en-AU"/>
              </w:rPr>
            </w:pPr>
            <w:r w:rsidRPr="00A85EFB">
              <w:rPr>
                <w:szCs w:val="22"/>
                <w:lang w:val="en-AU"/>
              </w:rPr>
              <w:t>Stationary RAC</w:t>
            </w:r>
          </w:p>
        </w:tc>
        <w:tc>
          <w:tcPr>
            <w:tcW w:w="2523" w:type="dxa"/>
          </w:tcPr>
          <w:p w14:paraId="60A94392" w14:textId="77777777" w:rsidR="003209EE" w:rsidRPr="00400631" w:rsidRDefault="003209EE" w:rsidP="00244B21">
            <w:pPr>
              <w:spacing w:after="120"/>
              <w:jc w:val="center"/>
              <w:rPr>
                <w:szCs w:val="22"/>
              </w:rPr>
            </w:pPr>
            <w:r>
              <w:rPr>
                <w:szCs w:val="22"/>
              </w:rPr>
              <w:t>4,959</w:t>
            </w:r>
          </w:p>
        </w:tc>
        <w:tc>
          <w:tcPr>
            <w:tcW w:w="2864" w:type="dxa"/>
          </w:tcPr>
          <w:p w14:paraId="589225CF" w14:textId="77777777" w:rsidR="003209EE" w:rsidRDefault="003209EE" w:rsidP="00244B21">
            <w:pPr>
              <w:spacing w:after="120"/>
              <w:jc w:val="center"/>
              <w:rPr>
                <w:szCs w:val="22"/>
              </w:rPr>
            </w:pPr>
            <w:r>
              <w:rPr>
                <w:szCs w:val="22"/>
              </w:rPr>
              <w:t>4,905</w:t>
            </w:r>
          </w:p>
        </w:tc>
      </w:tr>
      <w:tr w:rsidR="003209EE" w:rsidRPr="00400631" w14:paraId="122DAD50" w14:textId="77777777" w:rsidTr="00244B21">
        <w:tc>
          <w:tcPr>
            <w:tcW w:w="3964" w:type="dxa"/>
          </w:tcPr>
          <w:p w14:paraId="08C0BA74" w14:textId="77777777" w:rsidR="003209EE" w:rsidRPr="00A85EFB" w:rsidRDefault="003209EE" w:rsidP="00244B21">
            <w:pPr>
              <w:spacing w:after="120"/>
              <w:rPr>
                <w:szCs w:val="22"/>
                <w:lang w:val="en-AU"/>
              </w:rPr>
            </w:pPr>
            <w:r w:rsidRPr="00400631">
              <w:rPr>
                <w:szCs w:val="22"/>
                <w:lang w:val="en-AU"/>
              </w:rPr>
              <w:t>Transport Refrigeration</w:t>
            </w:r>
          </w:p>
        </w:tc>
        <w:tc>
          <w:tcPr>
            <w:tcW w:w="2523" w:type="dxa"/>
          </w:tcPr>
          <w:p w14:paraId="64BDB301" w14:textId="77777777" w:rsidR="003209EE" w:rsidRPr="00400631" w:rsidRDefault="003209EE" w:rsidP="00244B21">
            <w:pPr>
              <w:spacing w:after="120"/>
              <w:jc w:val="center"/>
              <w:rPr>
                <w:szCs w:val="22"/>
              </w:rPr>
            </w:pPr>
            <w:r>
              <w:rPr>
                <w:szCs w:val="22"/>
              </w:rPr>
              <w:t>111</w:t>
            </w:r>
          </w:p>
        </w:tc>
        <w:tc>
          <w:tcPr>
            <w:tcW w:w="2864" w:type="dxa"/>
          </w:tcPr>
          <w:p w14:paraId="5C891669" w14:textId="77777777" w:rsidR="003209EE" w:rsidRPr="00400631" w:rsidRDefault="003209EE" w:rsidP="00244B21">
            <w:pPr>
              <w:spacing w:after="120"/>
              <w:jc w:val="center"/>
              <w:rPr>
                <w:szCs w:val="22"/>
              </w:rPr>
            </w:pPr>
            <w:r>
              <w:rPr>
                <w:szCs w:val="22"/>
              </w:rPr>
              <w:t>107</w:t>
            </w:r>
          </w:p>
        </w:tc>
      </w:tr>
      <w:tr w:rsidR="004D352C" w:rsidRPr="00400631" w14:paraId="38168022" w14:textId="77777777" w:rsidTr="00244B21">
        <w:tc>
          <w:tcPr>
            <w:tcW w:w="3964" w:type="dxa"/>
          </w:tcPr>
          <w:p w14:paraId="4D820EEE" w14:textId="73748E70" w:rsidR="004D352C" w:rsidRPr="00400631" w:rsidRDefault="004D352C" w:rsidP="00244B21">
            <w:pPr>
              <w:spacing w:after="120"/>
              <w:rPr>
                <w:szCs w:val="22"/>
              </w:rPr>
            </w:pPr>
            <w:r>
              <w:rPr>
                <w:szCs w:val="22"/>
              </w:rPr>
              <w:t>Other</w:t>
            </w:r>
          </w:p>
        </w:tc>
        <w:tc>
          <w:tcPr>
            <w:tcW w:w="2523" w:type="dxa"/>
          </w:tcPr>
          <w:p w14:paraId="1183925D" w14:textId="6375DADA" w:rsidR="004D352C" w:rsidRDefault="004D352C" w:rsidP="00244B21">
            <w:pPr>
              <w:spacing w:after="120"/>
              <w:jc w:val="center"/>
              <w:rPr>
                <w:szCs w:val="22"/>
              </w:rPr>
            </w:pPr>
            <w:r>
              <w:rPr>
                <w:szCs w:val="22"/>
              </w:rPr>
              <w:t>3</w:t>
            </w:r>
          </w:p>
        </w:tc>
        <w:tc>
          <w:tcPr>
            <w:tcW w:w="2864" w:type="dxa"/>
          </w:tcPr>
          <w:p w14:paraId="7F92A6D0" w14:textId="11419303" w:rsidR="004D352C" w:rsidRDefault="004D352C" w:rsidP="00244B21">
            <w:pPr>
              <w:spacing w:after="120"/>
              <w:jc w:val="center"/>
              <w:rPr>
                <w:szCs w:val="22"/>
              </w:rPr>
            </w:pPr>
            <w:r>
              <w:rPr>
                <w:szCs w:val="22"/>
              </w:rPr>
              <w:t>3</w:t>
            </w:r>
          </w:p>
        </w:tc>
      </w:tr>
      <w:tr w:rsidR="003209EE" w:rsidRPr="00400631" w14:paraId="2BF3BE06" w14:textId="77777777" w:rsidTr="00244B21">
        <w:tc>
          <w:tcPr>
            <w:tcW w:w="3964" w:type="dxa"/>
          </w:tcPr>
          <w:p w14:paraId="7D5E9081" w14:textId="77777777" w:rsidR="003209EE" w:rsidRPr="00400631" w:rsidRDefault="003209EE" w:rsidP="00244B21">
            <w:pPr>
              <w:spacing w:after="120"/>
              <w:rPr>
                <w:szCs w:val="22"/>
              </w:rPr>
            </w:pPr>
            <w:r w:rsidRPr="00400631">
              <w:rPr>
                <w:szCs w:val="22"/>
              </w:rPr>
              <w:t>Total</w:t>
            </w:r>
          </w:p>
        </w:tc>
        <w:tc>
          <w:tcPr>
            <w:tcW w:w="2523" w:type="dxa"/>
          </w:tcPr>
          <w:p w14:paraId="2FDA98C7" w14:textId="77777777" w:rsidR="003209EE" w:rsidRPr="00400631" w:rsidRDefault="003209EE" w:rsidP="00244B21">
            <w:pPr>
              <w:spacing w:after="120"/>
              <w:jc w:val="center"/>
              <w:rPr>
                <w:szCs w:val="22"/>
              </w:rPr>
            </w:pPr>
            <w:r>
              <w:rPr>
                <w:szCs w:val="22"/>
              </w:rPr>
              <w:t>18,144</w:t>
            </w:r>
          </w:p>
        </w:tc>
        <w:tc>
          <w:tcPr>
            <w:tcW w:w="2864" w:type="dxa"/>
          </w:tcPr>
          <w:p w14:paraId="7023E421" w14:textId="77777777" w:rsidR="003209EE" w:rsidRPr="00400631" w:rsidRDefault="003209EE" w:rsidP="00244B21">
            <w:pPr>
              <w:spacing w:after="120"/>
              <w:jc w:val="center"/>
              <w:rPr>
                <w:szCs w:val="22"/>
              </w:rPr>
            </w:pPr>
            <w:r>
              <w:rPr>
                <w:szCs w:val="22"/>
              </w:rPr>
              <w:t>18,689</w:t>
            </w:r>
          </w:p>
        </w:tc>
      </w:tr>
    </w:tbl>
    <w:p w14:paraId="40CDC5B8" w14:textId="77777777" w:rsidR="003209EE" w:rsidRDefault="003209EE" w:rsidP="003209EE">
      <w:pPr>
        <w:rPr>
          <w:szCs w:val="22"/>
        </w:rPr>
      </w:pPr>
      <w:r>
        <w:rPr>
          <w:szCs w:val="22"/>
        </w:rPr>
        <w:t xml:space="preserve"> </w:t>
      </w:r>
    </w:p>
    <w:p w14:paraId="31270002" w14:textId="68D46781" w:rsidR="003209EE" w:rsidRPr="00C021E0" w:rsidRDefault="003209EE" w:rsidP="003209EE">
      <w:pPr>
        <w:rPr>
          <w:szCs w:val="22"/>
        </w:rPr>
      </w:pPr>
      <w:r w:rsidRPr="00BB75CC">
        <w:rPr>
          <w:szCs w:val="22"/>
        </w:rPr>
        <w:t>Based on the detailed i</w:t>
      </w:r>
      <w:r>
        <w:rPr>
          <w:szCs w:val="22"/>
        </w:rPr>
        <w:t>mport records of refrigerant</w:t>
      </w:r>
      <w:r w:rsidRPr="00BB75CC">
        <w:rPr>
          <w:szCs w:val="22"/>
        </w:rPr>
        <w:t xml:space="preserve"> and using market data on wholesale and retail </w:t>
      </w:r>
      <w:r>
        <w:rPr>
          <w:szCs w:val="22"/>
        </w:rPr>
        <w:t xml:space="preserve">refrigerant </w:t>
      </w:r>
      <w:r w:rsidRPr="00BB75CC">
        <w:rPr>
          <w:szCs w:val="22"/>
        </w:rPr>
        <w:t xml:space="preserve">prices, total expenditure on refrigerant can be estimated to be </w:t>
      </w:r>
      <w:r w:rsidRPr="00092FC3">
        <w:rPr>
          <w:szCs w:val="22"/>
        </w:rPr>
        <w:t xml:space="preserve">approximately $161 </w:t>
      </w:r>
      <w:r w:rsidRPr="00C021E0">
        <w:rPr>
          <w:szCs w:val="22"/>
        </w:rPr>
        <w:t>million</w:t>
      </w:r>
      <w:r>
        <w:rPr>
          <w:rStyle w:val="FootnoteReference"/>
          <w:szCs w:val="22"/>
        </w:rPr>
        <w:footnoteReference w:id="63"/>
      </w:r>
      <w:r w:rsidRPr="00C021E0">
        <w:rPr>
          <w:szCs w:val="22"/>
        </w:rPr>
        <w:t xml:space="preserve"> (</w:t>
      </w:r>
      <w:r w:rsidRPr="00C021E0">
        <w:rPr>
          <w:i/>
          <w:szCs w:val="22"/>
        </w:rPr>
        <w:t xml:space="preserve">CHF2 </w:t>
      </w:r>
      <w:r>
        <w:rPr>
          <w:i/>
          <w:szCs w:val="22"/>
        </w:rPr>
        <w:t>$</w:t>
      </w:r>
      <w:r w:rsidRPr="00C021E0">
        <w:rPr>
          <w:i/>
          <w:szCs w:val="22"/>
        </w:rPr>
        <w:t>533 million</w:t>
      </w:r>
      <w:r w:rsidRPr="00C021E0">
        <w:rPr>
          <w:szCs w:val="22"/>
        </w:rPr>
        <w:t xml:space="preserve">). The significant reduction in annual refrigerant costs illustrates the effect of the </w:t>
      </w:r>
      <w:r w:rsidR="0066343E">
        <w:rPr>
          <w:szCs w:val="22"/>
        </w:rPr>
        <w:t>e</w:t>
      </w:r>
      <w:r w:rsidR="0066343E" w:rsidRPr="0066343E">
        <w:rPr>
          <w:szCs w:val="22"/>
        </w:rPr>
        <w:t xml:space="preserve">quivalent </w:t>
      </w:r>
      <w:r w:rsidR="0066343E">
        <w:rPr>
          <w:szCs w:val="22"/>
        </w:rPr>
        <w:t>c</w:t>
      </w:r>
      <w:r w:rsidR="0066343E" w:rsidRPr="0066343E">
        <w:rPr>
          <w:szCs w:val="22"/>
        </w:rPr>
        <w:t xml:space="preserve">arbon </w:t>
      </w:r>
      <w:r w:rsidR="0066343E">
        <w:rPr>
          <w:szCs w:val="22"/>
        </w:rPr>
        <w:t>t</w:t>
      </w:r>
      <w:r w:rsidR="0066343E" w:rsidRPr="0066343E">
        <w:rPr>
          <w:szCs w:val="22"/>
        </w:rPr>
        <w:t>ax</w:t>
      </w:r>
      <w:r>
        <w:rPr>
          <w:szCs w:val="22"/>
        </w:rPr>
        <w:t xml:space="preserve"> </w:t>
      </w:r>
      <w:r w:rsidRPr="00C021E0">
        <w:rPr>
          <w:szCs w:val="22"/>
        </w:rPr>
        <w:t xml:space="preserve">on refrigerant prices in 2012, as compared to 2016, two years post the removal of the </w:t>
      </w:r>
      <w:r w:rsidR="00690C7D">
        <w:rPr>
          <w:szCs w:val="22"/>
        </w:rPr>
        <w:t>tax</w:t>
      </w:r>
      <w:r w:rsidRPr="00C021E0">
        <w:rPr>
          <w:szCs w:val="22"/>
        </w:rPr>
        <w:t xml:space="preserve">. </w:t>
      </w:r>
    </w:p>
    <w:p w14:paraId="4038103D" w14:textId="1DAE44CF" w:rsidR="003209EE" w:rsidRPr="004808F3" w:rsidRDefault="003209EE" w:rsidP="003209EE">
      <w:pPr>
        <w:rPr>
          <w:szCs w:val="22"/>
        </w:rPr>
      </w:pPr>
      <w:r w:rsidRPr="001301F8">
        <w:rPr>
          <w:szCs w:val="22"/>
        </w:rPr>
        <w:t>The replacement value of the refrigerant bank in 2016 was estimated to be about $2.</w:t>
      </w:r>
      <w:r>
        <w:rPr>
          <w:szCs w:val="22"/>
        </w:rPr>
        <w:t>7</w:t>
      </w:r>
      <w:r w:rsidRPr="00BB75CC">
        <w:rPr>
          <w:szCs w:val="22"/>
        </w:rPr>
        <w:t xml:space="preserve"> billion</w:t>
      </w:r>
      <w:r>
        <w:rPr>
          <w:szCs w:val="22"/>
        </w:rPr>
        <w:t xml:space="preserve"> (</w:t>
      </w:r>
      <w:r w:rsidRPr="00C021E0">
        <w:rPr>
          <w:i/>
          <w:szCs w:val="22"/>
        </w:rPr>
        <w:t>CHF2 $5.8 billion</w:t>
      </w:r>
      <w:r>
        <w:rPr>
          <w:szCs w:val="22"/>
        </w:rPr>
        <w:t xml:space="preserve">), once again emphasising the impact of the </w:t>
      </w:r>
      <w:r w:rsidR="0066343E">
        <w:rPr>
          <w:szCs w:val="22"/>
        </w:rPr>
        <w:t>e</w:t>
      </w:r>
      <w:r w:rsidR="0066343E" w:rsidRPr="0066343E">
        <w:rPr>
          <w:szCs w:val="22"/>
        </w:rPr>
        <w:t xml:space="preserve">quivalent </w:t>
      </w:r>
      <w:r w:rsidR="0066343E">
        <w:rPr>
          <w:szCs w:val="22"/>
        </w:rPr>
        <w:t>c</w:t>
      </w:r>
      <w:r w:rsidR="0066343E" w:rsidRPr="0066343E">
        <w:rPr>
          <w:szCs w:val="22"/>
        </w:rPr>
        <w:t xml:space="preserve">arbon </w:t>
      </w:r>
      <w:r w:rsidR="0066343E">
        <w:rPr>
          <w:szCs w:val="22"/>
        </w:rPr>
        <w:t>t</w:t>
      </w:r>
      <w:r w:rsidR="0066343E" w:rsidRPr="0066343E">
        <w:rPr>
          <w:szCs w:val="22"/>
        </w:rPr>
        <w:t>ax</w:t>
      </w:r>
      <w:r>
        <w:rPr>
          <w:szCs w:val="22"/>
        </w:rPr>
        <w:t xml:space="preserve"> in 2012, as compared to the un</w:t>
      </w:r>
      <w:r w:rsidR="00690C7D">
        <w:rPr>
          <w:szCs w:val="22"/>
        </w:rPr>
        <w:t>taxed</w:t>
      </w:r>
      <w:r>
        <w:rPr>
          <w:szCs w:val="22"/>
        </w:rPr>
        <w:t xml:space="preserve"> prices of refrigerants available to the market in 2016</w:t>
      </w:r>
      <w:r w:rsidRPr="00BB75CC">
        <w:rPr>
          <w:szCs w:val="22"/>
        </w:rPr>
        <w:t xml:space="preserve">. This has been calculated </w:t>
      </w:r>
      <w:r>
        <w:rPr>
          <w:szCs w:val="22"/>
        </w:rPr>
        <w:t>on market prices</w:t>
      </w:r>
      <w:r w:rsidRPr="00BB75CC">
        <w:rPr>
          <w:szCs w:val="22"/>
        </w:rPr>
        <w:t xml:space="preserve"> </w:t>
      </w:r>
      <w:r>
        <w:rPr>
          <w:szCs w:val="22"/>
        </w:rPr>
        <w:t xml:space="preserve">after </w:t>
      </w:r>
      <w:r w:rsidRPr="00BB75CC">
        <w:rPr>
          <w:szCs w:val="22"/>
        </w:rPr>
        <w:t xml:space="preserve">the introduction of the equivalent carbon </w:t>
      </w:r>
      <w:r w:rsidR="00690C7D">
        <w:rPr>
          <w:szCs w:val="22"/>
        </w:rPr>
        <w:t>tax</w:t>
      </w:r>
      <w:r w:rsidRPr="00BB75CC">
        <w:rPr>
          <w:szCs w:val="22"/>
        </w:rPr>
        <w:t>.</w:t>
      </w:r>
      <w:r>
        <w:rPr>
          <w:szCs w:val="22"/>
        </w:rPr>
        <w:t xml:space="preserve"> </w:t>
      </w:r>
    </w:p>
    <w:p w14:paraId="41D3C0E3" w14:textId="77777777" w:rsidR="003209EE" w:rsidRPr="004808F3" w:rsidRDefault="003209EE" w:rsidP="003209EE">
      <w:pPr>
        <w:rPr>
          <w:szCs w:val="22"/>
        </w:rPr>
      </w:pPr>
      <w:r>
        <w:rPr>
          <w:szCs w:val="22"/>
        </w:rPr>
        <w:t xml:space="preserve">All of this </w:t>
      </w:r>
      <w:r w:rsidRPr="004808F3">
        <w:rPr>
          <w:szCs w:val="22"/>
        </w:rPr>
        <w:t>evidence points to a very large investment in the ownership, operation a</w:t>
      </w:r>
      <w:r>
        <w:rPr>
          <w:szCs w:val="22"/>
        </w:rPr>
        <w:t>nd maintenance of RAC equipment</w:t>
      </w:r>
      <w:r w:rsidRPr="004808F3">
        <w:rPr>
          <w:szCs w:val="22"/>
        </w:rPr>
        <w:t xml:space="preserve">. </w:t>
      </w:r>
    </w:p>
    <w:p w14:paraId="739B9E4D" w14:textId="77777777" w:rsidR="003209EE" w:rsidRPr="004808F3" w:rsidRDefault="003209EE" w:rsidP="003209EE">
      <w:pPr>
        <w:rPr>
          <w:szCs w:val="22"/>
        </w:rPr>
      </w:pPr>
      <w:r>
        <w:rPr>
          <w:szCs w:val="22"/>
        </w:rPr>
        <w:t xml:space="preserve">Using sources and methods first developed for CHF2 and refined for this study an estimate can also be made of the </w:t>
      </w:r>
      <w:r w:rsidRPr="004808F3">
        <w:rPr>
          <w:szCs w:val="22"/>
        </w:rPr>
        <w:t>number people employed in this industry, developing and maintaining this substantial investment</w:t>
      </w:r>
      <w:r>
        <w:rPr>
          <w:szCs w:val="22"/>
        </w:rPr>
        <w:t xml:space="preserve">. </w:t>
      </w:r>
    </w:p>
    <w:p w14:paraId="3414E802" w14:textId="4220AC07" w:rsidR="003209EE" w:rsidRPr="004808F3" w:rsidRDefault="003209EE" w:rsidP="003209EE">
      <w:pPr>
        <w:rPr>
          <w:szCs w:val="22"/>
        </w:rPr>
      </w:pPr>
      <w:r w:rsidRPr="004808F3">
        <w:rPr>
          <w:szCs w:val="22"/>
        </w:rPr>
        <w:t>A review of the data available from the last census, and other collections of the Australian Bureau of Statistics</w:t>
      </w:r>
      <w:r>
        <w:rPr>
          <w:szCs w:val="22"/>
        </w:rPr>
        <w:t xml:space="preserve"> (ABS)</w:t>
      </w:r>
      <w:r w:rsidRPr="004808F3">
        <w:rPr>
          <w:szCs w:val="22"/>
        </w:rPr>
        <w:t>, produced results that seemed to generally align with other data t</w:t>
      </w:r>
      <w:r>
        <w:rPr>
          <w:szCs w:val="22"/>
        </w:rPr>
        <w:t xml:space="preserve">hat the RAC </w:t>
      </w:r>
      <w:r w:rsidRPr="004808F3">
        <w:rPr>
          <w:szCs w:val="22"/>
        </w:rPr>
        <w:t>industry itself could provide regarding the number of licences issued by the Australian Refrigeration Council for handling refrigerant.</w:t>
      </w:r>
    </w:p>
    <w:p w14:paraId="21156E45" w14:textId="3BAB5B66" w:rsidR="003209EE" w:rsidRPr="004808F3" w:rsidRDefault="003209EE" w:rsidP="003209EE">
      <w:pPr>
        <w:rPr>
          <w:szCs w:val="22"/>
        </w:rPr>
      </w:pPr>
      <w:r w:rsidRPr="004808F3">
        <w:rPr>
          <w:szCs w:val="22"/>
        </w:rPr>
        <w:t>The total number of refrigerant handling licences that are on issue are known, including the classes of lice</w:t>
      </w:r>
      <w:r>
        <w:rPr>
          <w:szCs w:val="22"/>
        </w:rPr>
        <w:t xml:space="preserve">nces held as set out in </w:t>
      </w:r>
      <w:r w:rsidR="005A572D">
        <w:rPr>
          <w:i/>
          <w:szCs w:val="22"/>
        </w:rPr>
        <w:t>Table 32</w:t>
      </w:r>
      <w:r w:rsidRPr="004808F3">
        <w:rPr>
          <w:szCs w:val="22"/>
        </w:rPr>
        <w:t xml:space="preserve">. </w:t>
      </w:r>
      <w:r>
        <w:rPr>
          <w:szCs w:val="22"/>
        </w:rPr>
        <w:t>The comparison of licences on issue at the end of 2016, with those on issue in 2012 is provided, in the table, although it is only the 2016 licences that are subsequently used in an estimation of total employment in the industry.</w:t>
      </w:r>
    </w:p>
    <w:p w14:paraId="4E3402DD" w14:textId="77777777" w:rsidR="003209EE" w:rsidRDefault="003209EE" w:rsidP="003209EE">
      <w:pPr>
        <w:rPr>
          <w:szCs w:val="22"/>
        </w:rPr>
      </w:pPr>
    </w:p>
    <w:p w14:paraId="3C5EC229" w14:textId="5B30420F" w:rsidR="003209EE" w:rsidRPr="005A572D" w:rsidRDefault="005A572D" w:rsidP="005A572D">
      <w:pPr>
        <w:pStyle w:val="Caption"/>
        <w:keepNext/>
        <w:rPr>
          <w:szCs w:val="22"/>
        </w:rPr>
      </w:pPr>
      <w:bookmarkStart w:id="181" w:name="_Toc525141421"/>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32</w:t>
      </w:r>
      <w:r w:rsidR="009D6843">
        <w:rPr>
          <w:noProof/>
        </w:rPr>
        <w:fldChar w:fldCharType="end"/>
      </w:r>
      <w:r w:rsidRPr="005A572D">
        <w:t xml:space="preserve">: </w:t>
      </w:r>
      <w:r w:rsidR="003209EE" w:rsidRPr="005A572D">
        <w:rPr>
          <w:szCs w:val="22"/>
        </w:rPr>
        <w:t>Number of refrigerant handling licences by industry sector, 2012 and 2016.</w:t>
      </w:r>
      <w:bookmarkEnd w:id="181"/>
    </w:p>
    <w:tbl>
      <w:tblPr>
        <w:tblStyle w:val="TableGrid"/>
        <w:tblW w:w="9351" w:type="dxa"/>
        <w:tblLook w:val="04A0" w:firstRow="1" w:lastRow="0" w:firstColumn="1" w:lastColumn="0" w:noHBand="0" w:noVBand="1"/>
      </w:tblPr>
      <w:tblGrid>
        <w:gridCol w:w="3397"/>
        <w:gridCol w:w="2977"/>
        <w:gridCol w:w="2977"/>
      </w:tblGrid>
      <w:tr w:rsidR="003209EE" w:rsidRPr="00400631" w14:paraId="61C2A3C9" w14:textId="77777777" w:rsidTr="009C0BC1">
        <w:tc>
          <w:tcPr>
            <w:tcW w:w="3397" w:type="dxa"/>
            <w:shd w:val="clear" w:color="auto" w:fill="B6DDE8" w:themeFill="accent5" w:themeFillTint="66"/>
          </w:tcPr>
          <w:p w14:paraId="1A4B6BA0" w14:textId="77777777" w:rsidR="003209EE" w:rsidRPr="00400631" w:rsidRDefault="003209EE" w:rsidP="00244B21">
            <w:pPr>
              <w:spacing w:after="120"/>
              <w:rPr>
                <w:szCs w:val="22"/>
              </w:rPr>
            </w:pPr>
          </w:p>
        </w:tc>
        <w:tc>
          <w:tcPr>
            <w:tcW w:w="2977" w:type="dxa"/>
            <w:shd w:val="clear" w:color="auto" w:fill="B6DDE8" w:themeFill="accent5" w:themeFillTint="66"/>
          </w:tcPr>
          <w:p w14:paraId="5A6C8C99" w14:textId="77777777" w:rsidR="003209EE" w:rsidRPr="00400631" w:rsidRDefault="003209EE" w:rsidP="00244B21">
            <w:pPr>
              <w:spacing w:after="120"/>
              <w:jc w:val="center"/>
              <w:rPr>
                <w:szCs w:val="22"/>
              </w:rPr>
            </w:pPr>
            <w:r>
              <w:rPr>
                <w:szCs w:val="22"/>
              </w:rPr>
              <w:t>Number RHL                         2012</w:t>
            </w:r>
          </w:p>
        </w:tc>
        <w:tc>
          <w:tcPr>
            <w:tcW w:w="2977" w:type="dxa"/>
            <w:shd w:val="clear" w:color="auto" w:fill="B6DDE8" w:themeFill="accent5" w:themeFillTint="66"/>
          </w:tcPr>
          <w:p w14:paraId="115AC19F" w14:textId="77777777" w:rsidR="003209EE" w:rsidRPr="00400631" w:rsidRDefault="003209EE" w:rsidP="00244B21">
            <w:pPr>
              <w:spacing w:after="120"/>
              <w:jc w:val="center"/>
              <w:rPr>
                <w:szCs w:val="22"/>
              </w:rPr>
            </w:pPr>
            <w:r>
              <w:rPr>
                <w:szCs w:val="22"/>
              </w:rPr>
              <w:t>Number RHL                         2016</w:t>
            </w:r>
          </w:p>
        </w:tc>
      </w:tr>
      <w:tr w:rsidR="003209EE" w:rsidRPr="00400631" w14:paraId="76ABFA5C" w14:textId="77777777" w:rsidTr="00244B21">
        <w:tc>
          <w:tcPr>
            <w:tcW w:w="3397" w:type="dxa"/>
          </w:tcPr>
          <w:p w14:paraId="03124A9D" w14:textId="77777777" w:rsidR="003209EE" w:rsidRPr="00400631" w:rsidRDefault="003209EE" w:rsidP="00244B21">
            <w:pPr>
              <w:spacing w:after="120"/>
              <w:rPr>
                <w:szCs w:val="22"/>
              </w:rPr>
            </w:pPr>
            <w:r w:rsidRPr="00400631">
              <w:rPr>
                <w:szCs w:val="22"/>
                <w:lang w:val="en-AU"/>
              </w:rPr>
              <w:t>Automotive Air Conditioning</w:t>
            </w:r>
          </w:p>
        </w:tc>
        <w:tc>
          <w:tcPr>
            <w:tcW w:w="2977" w:type="dxa"/>
          </w:tcPr>
          <w:p w14:paraId="6FC50E6C" w14:textId="77777777" w:rsidR="003209EE" w:rsidRPr="00400631" w:rsidRDefault="003209EE" w:rsidP="00244B21">
            <w:pPr>
              <w:spacing w:after="120"/>
              <w:jc w:val="center"/>
              <w:rPr>
                <w:szCs w:val="22"/>
              </w:rPr>
            </w:pPr>
            <w:r>
              <w:rPr>
                <w:szCs w:val="22"/>
              </w:rPr>
              <w:t>24,315</w:t>
            </w:r>
          </w:p>
        </w:tc>
        <w:tc>
          <w:tcPr>
            <w:tcW w:w="2977" w:type="dxa"/>
          </w:tcPr>
          <w:p w14:paraId="75C73793" w14:textId="77777777" w:rsidR="003209EE" w:rsidRPr="00400631" w:rsidRDefault="003209EE" w:rsidP="00244B21">
            <w:pPr>
              <w:spacing w:after="120"/>
              <w:jc w:val="center"/>
              <w:rPr>
                <w:szCs w:val="22"/>
              </w:rPr>
            </w:pPr>
            <w:r w:rsidRPr="00400631">
              <w:rPr>
                <w:szCs w:val="22"/>
              </w:rPr>
              <w:t>28,888</w:t>
            </w:r>
          </w:p>
        </w:tc>
      </w:tr>
      <w:tr w:rsidR="003209EE" w:rsidRPr="00400631" w14:paraId="7924FBBE" w14:textId="77777777" w:rsidTr="00244B21">
        <w:tc>
          <w:tcPr>
            <w:tcW w:w="3397" w:type="dxa"/>
          </w:tcPr>
          <w:p w14:paraId="3EB09448" w14:textId="77777777" w:rsidR="003209EE" w:rsidRPr="00400631" w:rsidRDefault="003209EE" w:rsidP="00244B21">
            <w:pPr>
              <w:spacing w:after="120"/>
              <w:rPr>
                <w:szCs w:val="22"/>
              </w:rPr>
            </w:pPr>
            <w:r w:rsidRPr="00400631">
              <w:rPr>
                <w:szCs w:val="22"/>
                <w:lang w:val="en-AU"/>
              </w:rPr>
              <w:t>Aviation</w:t>
            </w:r>
          </w:p>
        </w:tc>
        <w:tc>
          <w:tcPr>
            <w:tcW w:w="2977" w:type="dxa"/>
          </w:tcPr>
          <w:p w14:paraId="1735678C" w14:textId="77777777" w:rsidR="003209EE" w:rsidRPr="00400631" w:rsidRDefault="003209EE" w:rsidP="00244B21">
            <w:pPr>
              <w:spacing w:after="120"/>
              <w:jc w:val="center"/>
              <w:rPr>
                <w:szCs w:val="22"/>
              </w:rPr>
            </w:pPr>
            <w:r w:rsidRPr="00400631">
              <w:rPr>
                <w:szCs w:val="22"/>
              </w:rPr>
              <w:t>1</w:t>
            </w:r>
            <w:r>
              <w:rPr>
                <w:szCs w:val="22"/>
              </w:rPr>
              <w:t>22</w:t>
            </w:r>
          </w:p>
        </w:tc>
        <w:tc>
          <w:tcPr>
            <w:tcW w:w="2977" w:type="dxa"/>
          </w:tcPr>
          <w:p w14:paraId="76D23415" w14:textId="77777777" w:rsidR="003209EE" w:rsidRPr="00400631" w:rsidRDefault="003209EE" w:rsidP="00244B21">
            <w:pPr>
              <w:spacing w:after="120"/>
              <w:jc w:val="center"/>
              <w:rPr>
                <w:szCs w:val="22"/>
              </w:rPr>
            </w:pPr>
            <w:r w:rsidRPr="00400631">
              <w:rPr>
                <w:szCs w:val="22"/>
              </w:rPr>
              <w:t>188</w:t>
            </w:r>
          </w:p>
        </w:tc>
      </w:tr>
      <w:tr w:rsidR="003209EE" w:rsidRPr="00400631" w14:paraId="1F1A9951" w14:textId="77777777" w:rsidTr="00244B21">
        <w:tc>
          <w:tcPr>
            <w:tcW w:w="3397" w:type="dxa"/>
          </w:tcPr>
          <w:p w14:paraId="1ADA9A71" w14:textId="77777777" w:rsidR="003209EE" w:rsidRPr="00400631" w:rsidRDefault="003209EE" w:rsidP="00244B21">
            <w:pPr>
              <w:spacing w:after="120"/>
              <w:rPr>
                <w:szCs w:val="22"/>
              </w:rPr>
            </w:pPr>
            <w:r w:rsidRPr="00400631">
              <w:rPr>
                <w:szCs w:val="22"/>
                <w:lang w:val="en-AU"/>
              </w:rPr>
              <w:t>Awaiting Assessment</w:t>
            </w:r>
          </w:p>
        </w:tc>
        <w:tc>
          <w:tcPr>
            <w:tcW w:w="2977" w:type="dxa"/>
          </w:tcPr>
          <w:p w14:paraId="4F63A29D" w14:textId="77777777" w:rsidR="003209EE" w:rsidRPr="00400631" w:rsidRDefault="003209EE" w:rsidP="00244B21">
            <w:pPr>
              <w:spacing w:after="120"/>
              <w:jc w:val="center"/>
              <w:rPr>
                <w:szCs w:val="22"/>
              </w:rPr>
            </w:pPr>
            <w:r>
              <w:rPr>
                <w:szCs w:val="22"/>
              </w:rPr>
              <w:t>-</w:t>
            </w:r>
          </w:p>
        </w:tc>
        <w:tc>
          <w:tcPr>
            <w:tcW w:w="2977" w:type="dxa"/>
          </w:tcPr>
          <w:p w14:paraId="3C623867" w14:textId="77777777" w:rsidR="003209EE" w:rsidRPr="00400631" w:rsidRDefault="003209EE" w:rsidP="00244B21">
            <w:pPr>
              <w:spacing w:after="120"/>
              <w:jc w:val="center"/>
              <w:rPr>
                <w:szCs w:val="22"/>
              </w:rPr>
            </w:pPr>
            <w:r w:rsidRPr="00400631">
              <w:rPr>
                <w:szCs w:val="22"/>
              </w:rPr>
              <w:t>361</w:t>
            </w:r>
          </w:p>
        </w:tc>
      </w:tr>
      <w:tr w:rsidR="003209EE" w:rsidRPr="00400631" w14:paraId="769A5677" w14:textId="77777777" w:rsidTr="00244B21">
        <w:tc>
          <w:tcPr>
            <w:tcW w:w="3397" w:type="dxa"/>
          </w:tcPr>
          <w:p w14:paraId="5A78805B" w14:textId="77777777" w:rsidR="003209EE" w:rsidRPr="00400631" w:rsidRDefault="003209EE" w:rsidP="00244B21">
            <w:pPr>
              <w:spacing w:after="120"/>
              <w:rPr>
                <w:szCs w:val="22"/>
              </w:rPr>
            </w:pPr>
            <w:r w:rsidRPr="00400631">
              <w:rPr>
                <w:szCs w:val="22"/>
                <w:lang w:val="en-AU"/>
              </w:rPr>
              <w:t>Domestic RAC</w:t>
            </w:r>
          </w:p>
        </w:tc>
        <w:tc>
          <w:tcPr>
            <w:tcW w:w="2977" w:type="dxa"/>
          </w:tcPr>
          <w:p w14:paraId="5BE10B48" w14:textId="77777777" w:rsidR="003209EE" w:rsidRPr="00400631" w:rsidRDefault="003209EE" w:rsidP="00244B21">
            <w:pPr>
              <w:spacing w:after="120"/>
              <w:jc w:val="center"/>
              <w:rPr>
                <w:szCs w:val="22"/>
              </w:rPr>
            </w:pPr>
            <w:r>
              <w:rPr>
                <w:szCs w:val="22"/>
              </w:rPr>
              <w:t>387</w:t>
            </w:r>
          </w:p>
        </w:tc>
        <w:tc>
          <w:tcPr>
            <w:tcW w:w="2977" w:type="dxa"/>
          </w:tcPr>
          <w:p w14:paraId="637ABC65" w14:textId="77777777" w:rsidR="003209EE" w:rsidRPr="00400631" w:rsidRDefault="003209EE" w:rsidP="00244B21">
            <w:pPr>
              <w:spacing w:after="120"/>
              <w:jc w:val="center"/>
              <w:rPr>
                <w:szCs w:val="22"/>
              </w:rPr>
            </w:pPr>
            <w:r w:rsidRPr="00400631">
              <w:rPr>
                <w:szCs w:val="22"/>
              </w:rPr>
              <w:t>346</w:t>
            </w:r>
          </w:p>
        </w:tc>
      </w:tr>
      <w:tr w:rsidR="003209EE" w:rsidRPr="00400631" w14:paraId="6D54B85C" w14:textId="77777777" w:rsidTr="00244B21">
        <w:tc>
          <w:tcPr>
            <w:tcW w:w="3397" w:type="dxa"/>
          </w:tcPr>
          <w:p w14:paraId="19F40307" w14:textId="77777777" w:rsidR="003209EE" w:rsidRPr="00400631" w:rsidRDefault="003209EE" w:rsidP="00244B21">
            <w:pPr>
              <w:spacing w:after="120"/>
              <w:rPr>
                <w:szCs w:val="22"/>
              </w:rPr>
            </w:pPr>
            <w:r w:rsidRPr="00400631">
              <w:rPr>
                <w:szCs w:val="22"/>
                <w:lang w:val="en-AU"/>
              </w:rPr>
              <w:t>Marine</w:t>
            </w:r>
          </w:p>
        </w:tc>
        <w:tc>
          <w:tcPr>
            <w:tcW w:w="2977" w:type="dxa"/>
          </w:tcPr>
          <w:p w14:paraId="4124D752" w14:textId="77777777" w:rsidR="003209EE" w:rsidRPr="00400631" w:rsidRDefault="003209EE" w:rsidP="00244B21">
            <w:pPr>
              <w:spacing w:after="120"/>
              <w:jc w:val="center"/>
              <w:rPr>
                <w:szCs w:val="22"/>
              </w:rPr>
            </w:pPr>
            <w:r>
              <w:rPr>
                <w:szCs w:val="22"/>
              </w:rPr>
              <w:t>241</w:t>
            </w:r>
          </w:p>
        </w:tc>
        <w:tc>
          <w:tcPr>
            <w:tcW w:w="2977" w:type="dxa"/>
          </w:tcPr>
          <w:p w14:paraId="3D652BF9" w14:textId="77777777" w:rsidR="003209EE" w:rsidRPr="00400631" w:rsidRDefault="003209EE" w:rsidP="00244B21">
            <w:pPr>
              <w:spacing w:after="120"/>
              <w:jc w:val="center"/>
              <w:rPr>
                <w:szCs w:val="22"/>
              </w:rPr>
            </w:pPr>
            <w:r w:rsidRPr="00400631">
              <w:rPr>
                <w:szCs w:val="22"/>
              </w:rPr>
              <w:t>169</w:t>
            </w:r>
          </w:p>
        </w:tc>
      </w:tr>
      <w:tr w:rsidR="003209EE" w:rsidRPr="00400631" w14:paraId="150C185B" w14:textId="77777777" w:rsidTr="00244B21">
        <w:tc>
          <w:tcPr>
            <w:tcW w:w="3397" w:type="dxa"/>
          </w:tcPr>
          <w:p w14:paraId="66319782" w14:textId="77777777" w:rsidR="003209EE" w:rsidRPr="00400631" w:rsidRDefault="003209EE" w:rsidP="00244B21">
            <w:pPr>
              <w:spacing w:after="120"/>
              <w:rPr>
                <w:szCs w:val="22"/>
              </w:rPr>
            </w:pPr>
            <w:r w:rsidRPr="00400631">
              <w:rPr>
                <w:szCs w:val="22"/>
                <w:lang w:val="en-AU"/>
              </w:rPr>
              <w:t>Refrigerant Handler</w:t>
            </w:r>
          </w:p>
        </w:tc>
        <w:tc>
          <w:tcPr>
            <w:tcW w:w="2977" w:type="dxa"/>
          </w:tcPr>
          <w:p w14:paraId="178E3A42" w14:textId="77777777" w:rsidR="003209EE" w:rsidRPr="00400631" w:rsidRDefault="003209EE" w:rsidP="00244B21">
            <w:pPr>
              <w:spacing w:after="120"/>
              <w:jc w:val="center"/>
              <w:rPr>
                <w:szCs w:val="22"/>
              </w:rPr>
            </w:pPr>
            <w:r>
              <w:rPr>
                <w:szCs w:val="22"/>
              </w:rPr>
              <w:t>267</w:t>
            </w:r>
          </w:p>
        </w:tc>
        <w:tc>
          <w:tcPr>
            <w:tcW w:w="2977" w:type="dxa"/>
          </w:tcPr>
          <w:p w14:paraId="465DBC42" w14:textId="77777777" w:rsidR="003209EE" w:rsidRPr="00400631" w:rsidRDefault="003209EE" w:rsidP="00244B21">
            <w:pPr>
              <w:spacing w:after="120"/>
              <w:jc w:val="center"/>
              <w:rPr>
                <w:szCs w:val="22"/>
              </w:rPr>
            </w:pPr>
            <w:r w:rsidRPr="00400631">
              <w:rPr>
                <w:szCs w:val="22"/>
              </w:rPr>
              <w:t>158</w:t>
            </w:r>
          </w:p>
        </w:tc>
      </w:tr>
      <w:tr w:rsidR="003209EE" w:rsidRPr="00400631" w14:paraId="679E9EE9" w14:textId="77777777" w:rsidTr="00244B21">
        <w:tc>
          <w:tcPr>
            <w:tcW w:w="3397" w:type="dxa"/>
          </w:tcPr>
          <w:p w14:paraId="0C0F0F83" w14:textId="77777777" w:rsidR="003209EE" w:rsidRPr="00400631" w:rsidRDefault="003209EE" w:rsidP="00244B21">
            <w:pPr>
              <w:spacing w:after="120"/>
              <w:rPr>
                <w:szCs w:val="22"/>
              </w:rPr>
            </w:pPr>
            <w:r w:rsidRPr="00400631">
              <w:rPr>
                <w:szCs w:val="22"/>
                <w:lang w:val="en-AU"/>
              </w:rPr>
              <w:t>Refrigerant Recoverer</w:t>
            </w:r>
          </w:p>
        </w:tc>
        <w:tc>
          <w:tcPr>
            <w:tcW w:w="2977" w:type="dxa"/>
          </w:tcPr>
          <w:p w14:paraId="38D2CDC3" w14:textId="77777777" w:rsidR="003209EE" w:rsidRPr="00400631" w:rsidRDefault="003209EE" w:rsidP="00244B21">
            <w:pPr>
              <w:spacing w:after="120"/>
              <w:jc w:val="center"/>
              <w:rPr>
                <w:szCs w:val="22"/>
              </w:rPr>
            </w:pPr>
            <w:r>
              <w:rPr>
                <w:szCs w:val="22"/>
              </w:rPr>
              <w:t>231</w:t>
            </w:r>
          </w:p>
        </w:tc>
        <w:tc>
          <w:tcPr>
            <w:tcW w:w="2977" w:type="dxa"/>
          </w:tcPr>
          <w:p w14:paraId="0A2C7C06" w14:textId="77777777" w:rsidR="003209EE" w:rsidRPr="00400631" w:rsidRDefault="003209EE" w:rsidP="00244B21">
            <w:pPr>
              <w:spacing w:after="120"/>
              <w:jc w:val="center"/>
              <w:rPr>
                <w:szCs w:val="22"/>
              </w:rPr>
            </w:pPr>
            <w:r w:rsidRPr="00400631">
              <w:rPr>
                <w:szCs w:val="22"/>
              </w:rPr>
              <w:t>307</w:t>
            </w:r>
          </w:p>
        </w:tc>
      </w:tr>
      <w:tr w:rsidR="003209EE" w:rsidRPr="00400631" w14:paraId="01F46DCC" w14:textId="77777777" w:rsidTr="00244B21">
        <w:tc>
          <w:tcPr>
            <w:tcW w:w="3397" w:type="dxa"/>
          </w:tcPr>
          <w:p w14:paraId="4B433B58" w14:textId="77777777" w:rsidR="003209EE" w:rsidRPr="00400631" w:rsidRDefault="003209EE" w:rsidP="00244B21">
            <w:pPr>
              <w:spacing w:after="120"/>
              <w:rPr>
                <w:szCs w:val="22"/>
              </w:rPr>
            </w:pPr>
            <w:r w:rsidRPr="00400631">
              <w:rPr>
                <w:szCs w:val="22"/>
                <w:lang w:val="en-AU"/>
              </w:rPr>
              <w:t>Split Systems</w:t>
            </w:r>
          </w:p>
        </w:tc>
        <w:tc>
          <w:tcPr>
            <w:tcW w:w="2977" w:type="dxa"/>
          </w:tcPr>
          <w:p w14:paraId="6D486B9E" w14:textId="77777777" w:rsidR="003209EE" w:rsidRPr="00400631" w:rsidRDefault="003209EE" w:rsidP="00244B21">
            <w:pPr>
              <w:spacing w:after="120"/>
              <w:jc w:val="center"/>
              <w:rPr>
                <w:szCs w:val="22"/>
              </w:rPr>
            </w:pPr>
            <w:r>
              <w:rPr>
                <w:szCs w:val="22"/>
              </w:rPr>
              <w:t>7,443</w:t>
            </w:r>
          </w:p>
        </w:tc>
        <w:tc>
          <w:tcPr>
            <w:tcW w:w="2977" w:type="dxa"/>
          </w:tcPr>
          <w:p w14:paraId="0E5585A3" w14:textId="77777777" w:rsidR="003209EE" w:rsidRPr="00400631" w:rsidRDefault="003209EE" w:rsidP="00244B21">
            <w:pPr>
              <w:spacing w:after="120"/>
              <w:jc w:val="center"/>
              <w:rPr>
                <w:szCs w:val="22"/>
              </w:rPr>
            </w:pPr>
            <w:r w:rsidRPr="00400631">
              <w:rPr>
                <w:szCs w:val="22"/>
              </w:rPr>
              <w:t>11,683</w:t>
            </w:r>
          </w:p>
        </w:tc>
      </w:tr>
      <w:tr w:rsidR="003209EE" w:rsidRPr="00400631" w14:paraId="640A104F" w14:textId="77777777" w:rsidTr="00244B21">
        <w:tc>
          <w:tcPr>
            <w:tcW w:w="3397" w:type="dxa"/>
          </w:tcPr>
          <w:p w14:paraId="1924EBB3" w14:textId="77777777" w:rsidR="003209EE" w:rsidRPr="00400631" w:rsidRDefault="003209EE" w:rsidP="00244B21">
            <w:pPr>
              <w:spacing w:after="120"/>
              <w:rPr>
                <w:szCs w:val="22"/>
              </w:rPr>
            </w:pPr>
            <w:r w:rsidRPr="00400631">
              <w:rPr>
                <w:szCs w:val="22"/>
                <w:lang w:val="en-AU"/>
              </w:rPr>
              <w:t>Stationary RAC</w:t>
            </w:r>
          </w:p>
        </w:tc>
        <w:tc>
          <w:tcPr>
            <w:tcW w:w="2977" w:type="dxa"/>
          </w:tcPr>
          <w:p w14:paraId="3872FB89" w14:textId="77777777" w:rsidR="003209EE" w:rsidRPr="00400631" w:rsidRDefault="003209EE" w:rsidP="00244B21">
            <w:pPr>
              <w:spacing w:after="120"/>
              <w:jc w:val="center"/>
              <w:rPr>
                <w:szCs w:val="22"/>
              </w:rPr>
            </w:pPr>
            <w:r>
              <w:rPr>
                <w:szCs w:val="22"/>
              </w:rPr>
              <w:t>20,975</w:t>
            </w:r>
          </w:p>
        </w:tc>
        <w:tc>
          <w:tcPr>
            <w:tcW w:w="2977" w:type="dxa"/>
          </w:tcPr>
          <w:p w14:paraId="2E288885" w14:textId="77777777" w:rsidR="003209EE" w:rsidRPr="00400631" w:rsidRDefault="003209EE" w:rsidP="00244B21">
            <w:pPr>
              <w:spacing w:after="120"/>
              <w:jc w:val="center"/>
              <w:rPr>
                <w:szCs w:val="22"/>
              </w:rPr>
            </w:pPr>
            <w:r w:rsidRPr="00400631">
              <w:rPr>
                <w:szCs w:val="22"/>
              </w:rPr>
              <w:t>24,076</w:t>
            </w:r>
          </w:p>
        </w:tc>
      </w:tr>
      <w:tr w:rsidR="003209EE" w:rsidRPr="00400631" w14:paraId="3E002B88" w14:textId="77777777" w:rsidTr="00244B21">
        <w:tc>
          <w:tcPr>
            <w:tcW w:w="3397" w:type="dxa"/>
          </w:tcPr>
          <w:p w14:paraId="7120972A" w14:textId="77777777" w:rsidR="003209EE" w:rsidRPr="00400631" w:rsidRDefault="003209EE" w:rsidP="00244B21">
            <w:pPr>
              <w:spacing w:after="120"/>
              <w:rPr>
                <w:szCs w:val="22"/>
              </w:rPr>
            </w:pPr>
            <w:r w:rsidRPr="00400631">
              <w:rPr>
                <w:szCs w:val="22"/>
                <w:lang w:val="en-AU"/>
              </w:rPr>
              <w:t>Transport Refrigeration</w:t>
            </w:r>
          </w:p>
        </w:tc>
        <w:tc>
          <w:tcPr>
            <w:tcW w:w="2977" w:type="dxa"/>
          </w:tcPr>
          <w:p w14:paraId="0A5418C0" w14:textId="77777777" w:rsidR="003209EE" w:rsidRPr="00400631" w:rsidRDefault="003209EE" w:rsidP="00244B21">
            <w:pPr>
              <w:spacing w:after="120"/>
              <w:jc w:val="center"/>
              <w:rPr>
                <w:szCs w:val="22"/>
              </w:rPr>
            </w:pPr>
            <w:r>
              <w:rPr>
                <w:szCs w:val="22"/>
              </w:rPr>
              <w:t>121</w:t>
            </w:r>
          </w:p>
        </w:tc>
        <w:tc>
          <w:tcPr>
            <w:tcW w:w="2977" w:type="dxa"/>
          </w:tcPr>
          <w:p w14:paraId="57464634" w14:textId="77777777" w:rsidR="003209EE" w:rsidRPr="00400631" w:rsidRDefault="003209EE" w:rsidP="00244B21">
            <w:pPr>
              <w:spacing w:after="120"/>
              <w:jc w:val="center"/>
              <w:rPr>
                <w:szCs w:val="22"/>
              </w:rPr>
            </w:pPr>
            <w:r w:rsidRPr="00400631">
              <w:rPr>
                <w:szCs w:val="22"/>
              </w:rPr>
              <w:t>118</w:t>
            </w:r>
          </w:p>
        </w:tc>
      </w:tr>
      <w:tr w:rsidR="003209EE" w:rsidRPr="008D0536" w14:paraId="14C34D82" w14:textId="77777777" w:rsidTr="00244B21">
        <w:tc>
          <w:tcPr>
            <w:tcW w:w="3397" w:type="dxa"/>
          </w:tcPr>
          <w:p w14:paraId="2792D6CD" w14:textId="77777777" w:rsidR="003209EE" w:rsidRPr="008D0536" w:rsidRDefault="003209EE" w:rsidP="00244B21">
            <w:pPr>
              <w:spacing w:after="120"/>
              <w:rPr>
                <w:b/>
                <w:szCs w:val="22"/>
              </w:rPr>
            </w:pPr>
            <w:r w:rsidRPr="008D0536">
              <w:rPr>
                <w:b/>
                <w:szCs w:val="22"/>
              </w:rPr>
              <w:t>Total</w:t>
            </w:r>
          </w:p>
        </w:tc>
        <w:tc>
          <w:tcPr>
            <w:tcW w:w="2977" w:type="dxa"/>
          </w:tcPr>
          <w:p w14:paraId="47473A82" w14:textId="77777777" w:rsidR="003209EE" w:rsidRPr="008D0536" w:rsidRDefault="003209EE" w:rsidP="00244B21">
            <w:pPr>
              <w:spacing w:after="120"/>
              <w:jc w:val="center"/>
              <w:rPr>
                <w:b/>
                <w:szCs w:val="22"/>
              </w:rPr>
            </w:pPr>
            <w:r w:rsidRPr="008D0536">
              <w:rPr>
                <w:b/>
                <w:szCs w:val="22"/>
              </w:rPr>
              <w:t>54,102</w:t>
            </w:r>
          </w:p>
        </w:tc>
        <w:tc>
          <w:tcPr>
            <w:tcW w:w="2977" w:type="dxa"/>
          </w:tcPr>
          <w:p w14:paraId="129C645F" w14:textId="77777777" w:rsidR="003209EE" w:rsidRPr="008D0536" w:rsidRDefault="003209EE" w:rsidP="00244B21">
            <w:pPr>
              <w:spacing w:after="120"/>
              <w:jc w:val="center"/>
              <w:rPr>
                <w:b/>
                <w:szCs w:val="22"/>
              </w:rPr>
            </w:pPr>
            <w:r w:rsidRPr="008D0536">
              <w:rPr>
                <w:b/>
                <w:szCs w:val="22"/>
              </w:rPr>
              <w:t>66,294</w:t>
            </w:r>
          </w:p>
        </w:tc>
      </w:tr>
    </w:tbl>
    <w:p w14:paraId="23812229" w14:textId="77777777" w:rsidR="003209EE" w:rsidRDefault="003209EE" w:rsidP="003209EE">
      <w:pPr>
        <w:spacing w:before="0"/>
        <w:rPr>
          <w:sz w:val="20"/>
          <w:szCs w:val="20"/>
        </w:rPr>
      </w:pPr>
    </w:p>
    <w:p w14:paraId="2C083FA2" w14:textId="77777777" w:rsidR="003209EE" w:rsidRDefault="003209EE" w:rsidP="003209EE">
      <w:pPr>
        <w:spacing w:before="0"/>
        <w:rPr>
          <w:sz w:val="20"/>
          <w:szCs w:val="20"/>
        </w:rPr>
      </w:pPr>
    </w:p>
    <w:p w14:paraId="537E014B" w14:textId="77777777" w:rsidR="003209EE" w:rsidRDefault="003209EE" w:rsidP="003209EE">
      <w:pPr>
        <w:rPr>
          <w:rFonts w:cs="Times New Roman"/>
          <w:szCs w:val="22"/>
        </w:rPr>
      </w:pPr>
      <w:r>
        <w:rPr>
          <w:szCs w:val="22"/>
        </w:rPr>
        <w:t xml:space="preserve">In a mix not dissimilar to the mix of RTAs, </w:t>
      </w:r>
      <w:r>
        <w:rPr>
          <w:rFonts w:cs="Times New Roman"/>
          <w:szCs w:val="22"/>
        </w:rPr>
        <w:t>around 43% of RHLs are a</w:t>
      </w:r>
      <w:r w:rsidRPr="008B0442">
        <w:rPr>
          <w:rFonts w:cs="Times New Roman"/>
          <w:szCs w:val="22"/>
        </w:rPr>
        <w:t xml:space="preserve">utomotive </w:t>
      </w:r>
      <w:r>
        <w:rPr>
          <w:rFonts w:cs="Times New Roman"/>
          <w:szCs w:val="22"/>
        </w:rPr>
        <w:t>a</w:t>
      </w:r>
      <w:r w:rsidRPr="008B0442">
        <w:rPr>
          <w:rFonts w:cs="Times New Roman"/>
          <w:szCs w:val="22"/>
        </w:rPr>
        <w:t xml:space="preserve">ir </w:t>
      </w:r>
      <w:r>
        <w:rPr>
          <w:rFonts w:cs="Times New Roman"/>
          <w:szCs w:val="22"/>
        </w:rPr>
        <w:t>c</w:t>
      </w:r>
      <w:r w:rsidRPr="008B0442">
        <w:rPr>
          <w:rFonts w:cs="Times New Roman"/>
          <w:szCs w:val="22"/>
        </w:rPr>
        <w:t>onditioning</w:t>
      </w:r>
      <w:r>
        <w:rPr>
          <w:rFonts w:cs="Times New Roman"/>
          <w:szCs w:val="22"/>
        </w:rPr>
        <w:t xml:space="preserve">, almost 19% are split system installers and 36% are </w:t>
      </w:r>
      <w:r w:rsidRPr="00400631">
        <w:rPr>
          <w:rFonts w:cs="Times New Roman"/>
          <w:szCs w:val="22"/>
          <w:lang w:val="en-AU"/>
        </w:rPr>
        <w:t xml:space="preserve">stationary </w:t>
      </w:r>
      <w:r>
        <w:rPr>
          <w:rFonts w:cs="Times New Roman"/>
          <w:szCs w:val="22"/>
          <w:lang w:val="en-AU"/>
        </w:rPr>
        <w:t>refrigeration and air conditioning mechanics.</w:t>
      </w:r>
    </w:p>
    <w:p w14:paraId="2404731D" w14:textId="7484C064" w:rsidR="003209EE" w:rsidRDefault="003209EE" w:rsidP="003209EE">
      <w:pPr>
        <w:rPr>
          <w:szCs w:val="22"/>
        </w:rPr>
      </w:pPr>
      <w:r w:rsidRPr="00042DEF">
        <w:rPr>
          <w:szCs w:val="22"/>
        </w:rPr>
        <w:t xml:space="preserve">Once again, in </w:t>
      </w:r>
      <w:r w:rsidR="005A572D">
        <w:rPr>
          <w:i/>
          <w:szCs w:val="22"/>
        </w:rPr>
        <w:t>Table 33</w:t>
      </w:r>
      <w:r w:rsidRPr="00042DEF">
        <w:rPr>
          <w:szCs w:val="22"/>
        </w:rPr>
        <w:t xml:space="preserve"> below, more recent annual data confirms the continuing trend illustrated by the comparison of 2012 and 2016 licence numbers. </w:t>
      </w:r>
    </w:p>
    <w:p w14:paraId="59C0E358" w14:textId="77777777" w:rsidR="003209EE" w:rsidRDefault="003209EE" w:rsidP="003209EE">
      <w:pPr>
        <w:rPr>
          <w:szCs w:val="22"/>
        </w:rPr>
      </w:pPr>
    </w:p>
    <w:p w14:paraId="068424CB" w14:textId="77777777" w:rsidR="003A7BA9" w:rsidRDefault="003A7BA9">
      <w:pPr>
        <w:spacing w:before="0"/>
        <w:jc w:val="left"/>
        <w:rPr>
          <w:rFonts w:cs="Times New Roman"/>
          <w:i/>
          <w:szCs w:val="22"/>
        </w:rPr>
      </w:pPr>
      <w:r>
        <w:rPr>
          <w:rFonts w:cs="Times New Roman"/>
          <w:i/>
          <w:szCs w:val="22"/>
        </w:rPr>
        <w:br w:type="page"/>
      </w:r>
    </w:p>
    <w:p w14:paraId="57DE8F91" w14:textId="29CB149A" w:rsidR="003209EE" w:rsidRPr="005A572D" w:rsidRDefault="005A572D" w:rsidP="005A572D">
      <w:pPr>
        <w:pStyle w:val="Caption"/>
        <w:keepNext/>
        <w:rPr>
          <w:szCs w:val="22"/>
        </w:rPr>
      </w:pPr>
      <w:bookmarkStart w:id="182" w:name="_Toc525141422"/>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33</w:t>
      </w:r>
      <w:r w:rsidR="009D6843">
        <w:rPr>
          <w:noProof/>
        </w:rPr>
        <w:fldChar w:fldCharType="end"/>
      </w:r>
      <w:r w:rsidRPr="005A572D">
        <w:t xml:space="preserve">: </w:t>
      </w:r>
      <w:r w:rsidR="003209EE" w:rsidRPr="005A572D">
        <w:rPr>
          <w:szCs w:val="22"/>
        </w:rPr>
        <w:t>Number of refrigerant handling licences by industry sector, 2016 and 2017.</w:t>
      </w:r>
      <w:bookmarkEnd w:id="182"/>
    </w:p>
    <w:tbl>
      <w:tblPr>
        <w:tblStyle w:val="TableGrid"/>
        <w:tblW w:w="9351" w:type="dxa"/>
        <w:tblLook w:val="04A0" w:firstRow="1" w:lastRow="0" w:firstColumn="1" w:lastColumn="0" w:noHBand="0" w:noVBand="1"/>
      </w:tblPr>
      <w:tblGrid>
        <w:gridCol w:w="3397"/>
        <w:gridCol w:w="2977"/>
        <w:gridCol w:w="2977"/>
      </w:tblGrid>
      <w:tr w:rsidR="003209EE" w:rsidRPr="00400631" w14:paraId="65F47C62" w14:textId="77777777" w:rsidTr="009C0BC1">
        <w:tc>
          <w:tcPr>
            <w:tcW w:w="3397" w:type="dxa"/>
            <w:shd w:val="clear" w:color="auto" w:fill="B6DDE8" w:themeFill="accent5" w:themeFillTint="66"/>
          </w:tcPr>
          <w:p w14:paraId="10369D66" w14:textId="77777777" w:rsidR="003209EE" w:rsidRPr="00400631" w:rsidRDefault="003209EE" w:rsidP="00244B21">
            <w:pPr>
              <w:spacing w:after="120"/>
              <w:rPr>
                <w:szCs w:val="22"/>
              </w:rPr>
            </w:pPr>
          </w:p>
        </w:tc>
        <w:tc>
          <w:tcPr>
            <w:tcW w:w="2977" w:type="dxa"/>
            <w:shd w:val="clear" w:color="auto" w:fill="B6DDE8" w:themeFill="accent5" w:themeFillTint="66"/>
          </w:tcPr>
          <w:p w14:paraId="1A40FEDD" w14:textId="77777777" w:rsidR="003209EE" w:rsidRPr="00400631" w:rsidRDefault="003209EE" w:rsidP="00244B21">
            <w:pPr>
              <w:spacing w:after="120"/>
              <w:jc w:val="center"/>
              <w:rPr>
                <w:szCs w:val="22"/>
              </w:rPr>
            </w:pPr>
            <w:r>
              <w:rPr>
                <w:szCs w:val="22"/>
              </w:rPr>
              <w:t>Number RHL                         31 December 2016</w:t>
            </w:r>
          </w:p>
        </w:tc>
        <w:tc>
          <w:tcPr>
            <w:tcW w:w="2977" w:type="dxa"/>
            <w:shd w:val="clear" w:color="auto" w:fill="B6DDE8" w:themeFill="accent5" w:themeFillTint="66"/>
          </w:tcPr>
          <w:p w14:paraId="4A7E2F96" w14:textId="77777777" w:rsidR="003209EE" w:rsidRPr="00400631" w:rsidRDefault="003209EE" w:rsidP="00244B21">
            <w:pPr>
              <w:spacing w:after="120"/>
              <w:jc w:val="center"/>
              <w:rPr>
                <w:szCs w:val="22"/>
              </w:rPr>
            </w:pPr>
            <w:r>
              <w:rPr>
                <w:szCs w:val="22"/>
              </w:rPr>
              <w:t>Number RHL                         31 December 2017</w:t>
            </w:r>
          </w:p>
        </w:tc>
      </w:tr>
      <w:tr w:rsidR="003209EE" w:rsidRPr="00400631" w14:paraId="06220486" w14:textId="77777777" w:rsidTr="00244B21">
        <w:tc>
          <w:tcPr>
            <w:tcW w:w="3397" w:type="dxa"/>
          </w:tcPr>
          <w:p w14:paraId="6F54B535" w14:textId="77777777" w:rsidR="003209EE" w:rsidRPr="00400631" w:rsidRDefault="003209EE" w:rsidP="00244B21">
            <w:pPr>
              <w:spacing w:after="120"/>
              <w:rPr>
                <w:szCs w:val="22"/>
              </w:rPr>
            </w:pPr>
            <w:r w:rsidRPr="00400631">
              <w:rPr>
                <w:szCs w:val="22"/>
                <w:lang w:val="en-AU"/>
              </w:rPr>
              <w:t>Automotive Air Conditioning</w:t>
            </w:r>
          </w:p>
        </w:tc>
        <w:tc>
          <w:tcPr>
            <w:tcW w:w="2977" w:type="dxa"/>
          </w:tcPr>
          <w:p w14:paraId="1FB8AAE4" w14:textId="77777777" w:rsidR="003209EE" w:rsidRPr="00400631" w:rsidRDefault="003209EE" w:rsidP="00244B21">
            <w:pPr>
              <w:spacing w:after="120"/>
              <w:jc w:val="center"/>
              <w:rPr>
                <w:szCs w:val="22"/>
              </w:rPr>
            </w:pPr>
            <w:r w:rsidRPr="00400631">
              <w:rPr>
                <w:szCs w:val="22"/>
              </w:rPr>
              <w:t>28,888</w:t>
            </w:r>
          </w:p>
        </w:tc>
        <w:tc>
          <w:tcPr>
            <w:tcW w:w="2977" w:type="dxa"/>
          </w:tcPr>
          <w:p w14:paraId="0A80B164" w14:textId="77777777" w:rsidR="003209EE" w:rsidRPr="00400631" w:rsidRDefault="003209EE" w:rsidP="00244B21">
            <w:pPr>
              <w:spacing w:after="120"/>
              <w:jc w:val="center"/>
              <w:rPr>
                <w:szCs w:val="22"/>
              </w:rPr>
            </w:pPr>
            <w:r>
              <w:rPr>
                <w:szCs w:val="22"/>
              </w:rPr>
              <w:t>29,895</w:t>
            </w:r>
          </w:p>
        </w:tc>
      </w:tr>
      <w:tr w:rsidR="003209EE" w:rsidRPr="00400631" w14:paraId="4A413BE2" w14:textId="77777777" w:rsidTr="00244B21">
        <w:tc>
          <w:tcPr>
            <w:tcW w:w="3397" w:type="dxa"/>
          </w:tcPr>
          <w:p w14:paraId="62144F2F" w14:textId="77777777" w:rsidR="003209EE" w:rsidRPr="00400631" w:rsidRDefault="003209EE" w:rsidP="00244B21">
            <w:pPr>
              <w:spacing w:after="120"/>
              <w:rPr>
                <w:szCs w:val="22"/>
              </w:rPr>
            </w:pPr>
            <w:r w:rsidRPr="00400631">
              <w:rPr>
                <w:szCs w:val="22"/>
                <w:lang w:val="en-AU"/>
              </w:rPr>
              <w:t>Aviation</w:t>
            </w:r>
          </w:p>
        </w:tc>
        <w:tc>
          <w:tcPr>
            <w:tcW w:w="2977" w:type="dxa"/>
          </w:tcPr>
          <w:p w14:paraId="402EBB5B" w14:textId="77777777" w:rsidR="003209EE" w:rsidRPr="00400631" w:rsidRDefault="003209EE" w:rsidP="00244B21">
            <w:pPr>
              <w:spacing w:after="120"/>
              <w:jc w:val="center"/>
              <w:rPr>
                <w:szCs w:val="22"/>
              </w:rPr>
            </w:pPr>
            <w:r w:rsidRPr="00400631">
              <w:rPr>
                <w:szCs w:val="22"/>
              </w:rPr>
              <w:t>188</w:t>
            </w:r>
          </w:p>
        </w:tc>
        <w:tc>
          <w:tcPr>
            <w:tcW w:w="2977" w:type="dxa"/>
          </w:tcPr>
          <w:p w14:paraId="5BD66082" w14:textId="77777777" w:rsidR="003209EE" w:rsidRPr="00400631" w:rsidRDefault="003209EE" w:rsidP="00244B21">
            <w:pPr>
              <w:spacing w:after="120"/>
              <w:jc w:val="center"/>
              <w:rPr>
                <w:szCs w:val="22"/>
              </w:rPr>
            </w:pPr>
            <w:r>
              <w:rPr>
                <w:szCs w:val="22"/>
              </w:rPr>
              <w:t>242</w:t>
            </w:r>
          </w:p>
        </w:tc>
      </w:tr>
      <w:tr w:rsidR="003209EE" w:rsidRPr="00400631" w14:paraId="19B70728" w14:textId="77777777" w:rsidTr="00244B21">
        <w:tc>
          <w:tcPr>
            <w:tcW w:w="3397" w:type="dxa"/>
          </w:tcPr>
          <w:p w14:paraId="43A33314" w14:textId="77777777" w:rsidR="003209EE" w:rsidRPr="00400631" w:rsidRDefault="003209EE" w:rsidP="00244B21">
            <w:pPr>
              <w:spacing w:after="120"/>
              <w:rPr>
                <w:szCs w:val="22"/>
              </w:rPr>
            </w:pPr>
            <w:r w:rsidRPr="00400631">
              <w:rPr>
                <w:szCs w:val="22"/>
                <w:lang w:val="en-AU"/>
              </w:rPr>
              <w:t>Awaiting Assessment</w:t>
            </w:r>
          </w:p>
        </w:tc>
        <w:tc>
          <w:tcPr>
            <w:tcW w:w="2977" w:type="dxa"/>
          </w:tcPr>
          <w:p w14:paraId="66EB6845" w14:textId="77777777" w:rsidR="003209EE" w:rsidRPr="00400631" w:rsidRDefault="003209EE" w:rsidP="00244B21">
            <w:pPr>
              <w:spacing w:after="120"/>
              <w:jc w:val="center"/>
              <w:rPr>
                <w:szCs w:val="22"/>
              </w:rPr>
            </w:pPr>
            <w:r w:rsidRPr="00400631">
              <w:rPr>
                <w:szCs w:val="22"/>
              </w:rPr>
              <w:t>361</w:t>
            </w:r>
          </w:p>
        </w:tc>
        <w:tc>
          <w:tcPr>
            <w:tcW w:w="2977" w:type="dxa"/>
          </w:tcPr>
          <w:p w14:paraId="700C0F62" w14:textId="77777777" w:rsidR="003209EE" w:rsidRPr="00400631" w:rsidRDefault="003209EE" w:rsidP="00244B21">
            <w:pPr>
              <w:spacing w:after="120"/>
              <w:jc w:val="center"/>
              <w:rPr>
                <w:szCs w:val="22"/>
              </w:rPr>
            </w:pPr>
            <w:r>
              <w:rPr>
                <w:szCs w:val="22"/>
              </w:rPr>
              <w:t>438</w:t>
            </w:r>
          </w:p>
        </w:tc>
      </w:tr>
      <w:tr w:rsidR="003209EE" w:rsidRPr="00400631" w14:paraId="575ACC1F" w14:textId="77777777" w:rsidTr="00244B21">
        <w:tc>
          <w:tcPr>
            <w:tcW w:w="3397" w:type="dxa"/>
          </w:tcPr>
          <w:p w14:paraId="1D9A5A62" w14:textId="77777777" w:rsidR="003209EE" w:rsidRPr="00400631" w:rsidRDefault="003209EE" w:rsidP="00244B21">
            <w:pPr>
              <w:spacing w:after="120"/>
              <w:rPr>
                <w:szCs w:val="22"/>
              </w:rPr>
            </w:pPr>
            <w:r w:rsidRPr="00400631">
              <w:rPr>
                <w:szCs w:val="22"/>
                <w:lang w:val="en-AU"/>
              </w:rPr>
              <w:t>Domestic RAC</w:t>
            </w:r>
          </w:p>
        </w:tc>
        <w:tc>
          <w:tcPr>
            <w:tcW w:w="2977" w:type="dxa"/>
          </w:tcPr>
          <w:p w14:paraId="458A14B4" w14:textId="77777777" w:rsidR="003209EE" w:rsidRPr="00400631" w:rsidRDefault="003209EE" w:rsidP="00244B21">
            <w:pPr>
              <w:spacing w:after="120"/>
              <w:jc w:val="center"/>
              <w:rPr>
                <w:szCs w:val="22"/>
              </w:rPr>
            </w:pPr>
            <w:r w:rsidRPr="00400631">
              <w:rPr>
                <w:szCs w:val="22"/>
              </w:rPr>
              <w:t>346</w:t>
            </w:r>
          </w:p>
        </w:tc>
        <w:tc>
          <w:tcPr>
            <w:tcW w:w="2977" w:type="dxa"/>
          </w:tcPr>
          <w:p w14:paraId="5D491295" w14:textId="77777777" w:rsidR="003209EE" w:rsidRPr="00400631" w:rsidRDefault="003209EE" w:rsidP="00244B21">
            <w:pPr>
              <w:spacing w:after="120"/>
              <w:jc w:val="center"/>
              <w:rPr>
                <w:szCs w:val="22"/>
              </w:rPr>
            </w:pPr>
            <w:r>
              <w:rPr>
                <w:szCs w:val="22"/>
              </w:rPr>
              <w:t>353</w:t>
            </w:r>
          </w:p>
        </w:tc>
      </w:tr>
      <w:tr w:rsidR="003209EE" w:rsidRPr="00400631" w14:paraId="236B966E" w14:textId="77777777" w:rsidTr="00244B21">
        <w:tc>
          <w:tcPr>
            <w:tcW w:w="3397" w:type="dxa"/>
          </w:tcPr>
          <w:p w14:paraId="5155B3FA" w14:textId="77777777" w:rsidR="003209EE" w:rsidRPr="00400631" w:rsidRDefault="003209EE" w:rsidP="00244B21">
            <w:pPr>
              <w:spacing w:after="120"/>
              <w:rPr>
                <w:szCs w:val="22"/>
              </w:rPr>
            </w:pPr>
            <w:r w:rsidRPr="00400631">
              <w:rPr>
                <w:szCs w:val="22"/>
                <w:lang w:val="en-AU"/>
              </w:rPr>
              <w:t>Marine</w:t>
            </w:r>
          </w:p>
        </w:tc>
        <w:tc>
          <w:tcPr>
            <w:tcW w:w="2977" w:type="dxa"/>
          </w:tcPr>
          <w:p w14:paraId="5FE65B2E" w14:textId="77777777" w:rsidR="003209EE" w:rsidRPr="00400631" w:rsidRDefault="003209EE" w:rsidP="00244B21">
            <w:pPr>
              <w:spacing w:after="120"/>
              <w:jc w:val="center"/>
              <w:rPr>
                <w:szCs w:val="22"/>
              </w:rPr>
            </w:pPr>
            <w:r w:rsidRPr="00400631">
              <w:rPr>
                <w:szCs w:val="22"/>
              </w:rPr>
              <w:t>169</w:t>
            </w:r>
          </w:p>
        </w:tc>
        <w:tc>
          <w:tcPr>
            <w:tcW w:w="2977" w:type="dxa"/>
          </w:tcPr>
          <w:p w14:paraId="2344D9FD" w14:textId="77777777" w:rsidR="003209EE" w:rsidRPr="00400631" w:rsidRDefault="003209EE" w:rsidP="00244B21">
            <w:pPr>
              <w:spacing w:after="120"/>
              <w:jc w:val="center"/>
              <w:rPr>
                <w:szCs w:val="22"/>
              </w:rPr>
            </w:pPr>
            <w:r>
              <w:rPr>
                <w:szCs w:val="22"/>
              </w:rPr>
              <w:t>153</w:t>
            </w:r>
          </w:p>
        </w:tc>
      </w:tr>
      <w:tr w:rsidR="003209EE" w:rsidRPr="00400631" w14:paraId="002CEED4" w14:textId="77777777" w:rsidTr="00244B21">
        <w:tc>
          <w:tcPr>
            <w:tcW w:w="3397" w:type="dxa"/>
          </w:tcPr>
          <w:p w14:paraId="7176B36E" w14:textId="77777777" w:rsidR="003209EE" w:rsidRPr="00400631" w:rsidRDefault="003209EE" w:rsidP="00244B21">
            <w:pPr>
              <w:spacing w:after="120"/>
              <w:rPr>
                <w:szCs w:val="22"/>
              </w:rPr>
            </w:pPr>
            <w:r w:rsidRPr="00400631">
              <w:rPr>
                <w:szCs w:val="22"/>
                <w:lang w:val="en-AU"/>
              </w:rPr>
              <w:t>Refrigerant Handler</w:t>
            </w:r>
          </w:p>
        </w:tc>
        <w:tc>
          <w:tcPr>
            <w:tcW w:w="2977" w:type="dxa"/>
          </w:tcPr>
          <w:p w14:paraId="71CE6903" w14:textId="77777777" w:rsidR="003209EE" w:rsidRPr="00400631" w:rsidRDefault="003209EE" w:rsidP="00244B21">
            <w:pPr>
              <w:spacing w:after="120"/>
              <w:jc w:val="center"/>
              <w:rPr>
                <w:szCs w:val="22"/>
              </w:rPr>
            </w:pPr>
            <w:r w:rsidRPr="00400631">
              <w:rPr>
                <w:szCs w:val="22"/>
              </w:rPr>
              <w:t>158</w:t>
            </w:r>
          </w:p>
        </w:tc>
        <w:tc>
          <w:tcPr>
            <w:tcW w:w="2977" w:type="dxa"/>
          </w:tcPr>
          <w:p w14:paraId="169F8138" w14:textId="77777777" w:rsidR="003209EE" w:rsidRPr="00400631" w:rsidRDefault="003209EE" w:rsidP="00244B21">
            <w:pPr>
              <w:spacing w:after="120"/>
              <w:jc w:val="center"/>
              <w:rPr>
                <w:szCs w:val="22"/>
              </w:rPr>
            </w:pPr>
            <w:r>
              <w:rPr>
                <w:szCs w:val="22"/>
              </w:rPr>
              <w:t>140</w:t>
            </w:r>
          </w:p>
        </w:tc>
      </w:tr>
      <w:tr w:rsidR="003209EE" w:rsidRPr="00400631" w14:paraId="7EAD45CA" w14:textId="77777777" w:rsidTr="00244B21">
        <w:tc>
          <w:tcPr>
            <w:tcW w:w="3397" w:type="dxa"/>
          </w:tcPr>
          <w:p w14:paraId="56D2F84E" w14:textId="77777777" w:rsidR="003209EE" w:rsidRPr="00400631" w:rsidRDefault="003209EE" w:rsidP="00244B21">
            <w:pPr>
              <w:spacing w:after="120"/>
              <w:rPr>
                <w:szCs w:val="22"/>
              </w:rPr>
            </w:pPr>
            <w:r w:rsidRPr="00400631">
              <w:rPr>
                <w:szCs w:val="22"/>
                <w:lang w:val="en-AU"/>
              </w:rPr>
              <w:t>Refrigerant Recoverer</w:t>
            </w:r>
          </w:p>
        </w:tc>
        <w:tc>
          <w:tcPr>
            <w:tcW w:w="2977" w:type="dxa"/>
          </w:tcPr>
          <w:p w14:paraId="768CB881" w14:textId="77777777" w:rsidR="003209EE" w:rsidRPr="00400631" w:rsidRDefault="003209EE" w:rsidP="00244B21">
            <w:pPr>
              <w:spacing w:after="120"/>
              <w:jc w:val="center"/>
              <w:rPr>
                <w:szCs w:val="22"/>
              </w:rPr>
            </w:pPr>
            <w:r w:rsidRPr="00400631">
              <w:rPr>
                <w:szCs w:val="22"/>
              </w:rPr>
              <w:t>307</w:t>
            </w:r>
          </w:p>
        </w:tc>
        <w:tc>
          <w:tcPr>
            <w:tcW w:w="2977" w:type="dxa"/>
          </w:tcPr>
          <w:p w14:paraId="0F8F11DF" w14:textId="77777777" w:rsidR="003209EE" w:rsidRPr="00400631" w:rsidRDefault="003209EE" w:rsidP="00244B21">
            <w:pPr>
              <w:spacing w:after="120"/>
              <w:jc w:val="center"/>
              <w:rPr>
                <w:szCs w:val="22"/>
              </w:rPr>
            </w:pPr>
            <w:r>
              <w:rPr>
                <w:szCs w:val="22"/>
              </w:rPr>
              <w:t>306</w:t>
            </w:r>
          </w:p>
        </w:tc>
      </w:tr>
      <w:tr w:rsidR="003209EE" w:rsidRPr="00400631" w14:paraId="101B1E7D" w14:textId="77777777" w:rsidTr="00244B21">
        <w:tc>
          <w:tcPr>
            <w:tcW w:w="3397" w:type="dxa"/>
          </w:tcPr>
          <w:p w14:paraId="585B55E9" w14:textId="77777777" w:rsidR="003209EE" w:rsidRPr="00400631" w:rsidRDefault="003209EE" w:rsidP="00244B21">
            <w:pPr>
              <w:spacing w:after="120"/>
              <w:rPr>
                <w:szCs w:val="22"/>
              </w:rPr>
            </w:pPr>
            <w:r w:rsidRPr="00400631">
              <w:rPr>
                <w:szCs w:val="22"/>
                <w:lang w:val="en-AU"/>
              </w:rPr>
              <w:t>Split Systems</w:t>
            </w:r>
          </w:p>
        </w:tc>
        <w:tc>
          <w:tcPr>
            <w:tcW w:w="2977" w:type="dxa"/>
          </w:tcPr>
          <w:p w14:paraId="42FBAB7A" w14:textId="77777777" w:rsidR="003209EE" w:rsidRPr="00400631" w:rsidRDefault="003209EE" w:rsidP="00244B21">
            <w:pPr>
              <w:spacing w:after="120"/>
              <w:jc w:val="center"/>
              <w:rPr>
                <w:szCs w:val="22"/>
              </w:rPr>
            </w:pPr>
            <w:r w:rsidRPr="00400631">
              <w:rPr>
                <w:szCs w:val="22"/>
              </w:rPr>
              <w:t>11,683</w:t>
            </w:r>
          </w:p>
        </w:tc>
        <w:tc>
          <w:tcPr>
            <w:tcW w:w="2977" w:type="dxa"/>
          </w:tcPr>
          <w:p w14:paraId="4BEE4D5F" w14:textId="77777777" w:rsidR="003209EE" w:rsidRPr="00400631" w:rsidRDefault="003209EE" w:rsidP="00244B21">
            <w:pPr>
              <w:spacing w:after="120"/>
              <w:jc w:val="center"/>
              <w:rPr>
                <w:szCs w:val="22"/>
              </w:rPr>
            </w:pPr>
            <w:r>
              <w:rPr>
                <w:szCs w:val="22"/>
              </w:rPr>
              <w:t>12,878</w:t>
            </w:r>
          </w:p>
        </w:tc>
      </w:tr>
      <w:tr w:rsidR="003209EE" w:rsidRPr="00400631" w14:paraId="6CC5DD94" w14:textId="77777777" w:rsidTr="00244B21">
        <w:tc>
          <w:tcPr>
            <w:tcW w:w="3397" w:type="dxa"/>
          </w:tcPr>
          <w:p w14:paraId="7B6D673D" w14:textId="77777777" w:rsidR="003209EE" w:rsidRPr="00400631" w:rsidRDefault="003209EE" w:rsidP="00244B21">
            <w:pPr>
              <w:spacing w:after="120"/>
              <w:rPr>
                <w:szCs w:val="22"/>
              </w:rPr>
            </w:pPr>
            <w:r w:rsidRPr="00400631">
              <w:rPr>
                <w:szCs w:val="22"/>
                <w:lang w:val="en-AU"/>
              </w:rPr>
              <w:t>Stationary RAC</w:t>
            </w:r>
          </w:p>
        </w:tc>
        <w:tc>
          <w:tcPr>
            <w:tcW w:w="2977" w:type="dxa"/>
          </w:tcPr>
          <w:p w14:paraId="2F1E9A74" w14:textId="77777777" w:rsidR="003209EE" w:rsidRPr="00400631" w:rsidRDefault="003209EE" w:rsidP="00244B21">
            <w:pPr>
              <w:spacing w:after="120"/>
              <w:jc w:val="center"/>
              <w:rPr>
                <w:szCs w:val="22"/>
              </w:rPr>
            </w:pPr>
            <w:r w:rsidRPr="00400631">
              <w:rPr>
                <w:szCs w:val="22"/>
              </w:rPr>
              <w:t>24,076</w:t>
            </w:r>
          </w:p>
        </w:tc>
        <w:tc>
          <w:tcPr>
            <w:tcW w:w="2977" w:type="dxa"/>
          </w:tcPr>
          <w:p w14:paraId="44182164" w14:textId="77777777" w:rsidR="003209EE" w:rsidRPr="00400631" w:rsidRDefault="003209EE" w:rsidP="00244B21">
            <w:pPr>
              <w:spacing w:after="120"/>
              <w:jc w:val="center"/>
              <w:rPr>
                <w:szCs w:val="22"/>
              </w:rPr>
            </w:pPr>
            <w:r>
              <w:rPr>
                <w:szCs w:val="22"/>
              </w:rPr>
              <w:t>24,965</w:t>
            </w:r>
          </w:p>
        </w:tc>
      </w:tr>
      <w:tr w:rsidR="003209EE" w:rsidRPr="00400631" w14:paraId="104A3BDC" w14:textId="77777777" w:rsidTr="00244B21">
        <w:tc>
          <w:tcPr>
            <w:tcW w:w="3397" w:type="dxa"/>
          </w:tcPr>
          <w:p w14:paraId="7DD27850" w14:textId="77777777" w:rsidR="003209EE" w:rsidRPr="00400631" w:rsidRDefault="003209EE" w:rsidP="00244B21">
            <w:pPr>
              <w:spacing w:after="120"/>
              <w:rPr>
                <w:szCs w:val="22"/>
              </w:rPr>
            </w:pPr>
            <w:r w:rsidRPr="00400631">
              <w:rPr>
                <w:szCs w:val="22"/>
                <w:lang w:val="en-AU"/>
              </w:rPr>
              <w:t>Transport Refrigeration</w:t>
            </w:r>
          </w:p>
        </w:tc>
        <w:tc>
          <w:tcPr>
            <w:tcW w:w="2977" w:type="dxa"/>
          </w:tcPr>
          <w:p w14:paraId="0E5E9784" w14:textId="77777777" w:rsidR="003209EE" w:rsidRPr="00400631" w:rsidRDefault="003209EE" w:rsidP="00244B21">
            <w:pPr>
              <w:spacing w:after="120"/>
              <w:jc w:val="center"/>
              <w:rPr>
                <w:szCs w:val="22"/>
              </w:rPr>
            </w:pPr>
            <w:r w:rsidRPr="00400631">
              <w:rPr>
                <w:szCs w:val="22"/>
              </w:rPr>
              <w:t>118</w:t>
            </w:r>
          </w:p>
        </w:tc>
        <w:tc>
          <w:tcPr>
            <w:tcW w:w="2977" w:type="dxa"/>
          </w:tcPr>
          <w:p w14:paraId="5DE75F92" w14:textId="77777777" w:rsidR="003209EE" w:rsidRPr="00400631" w:rsidRDefault="003209EE" w:rsidP="00244B21">
            <w:pPr>
              <w:spacing w:after="120"/>
              <w:jc w:val="center"/>
              <w:rPr>
                <w:szCs w:val="22"/>
              </w:rPr>
            </w:pPr>
            <w:r>
              <w:rPr>
                <w:szCs w:val="22"/>
              </w:rPr>
              <w:t>121</w:t>
            </w:r>
          </w:p>
        </w:tc>
      </w:tr>
      <w:tr w:rsidR="003209EE" w:rsidRPr="00400631" w14:paraId="5D7FA36D" w14:textId="77777777" w:rsidTr="00244B21">
        <w:tc>
          <w:tcPr>
            <w:tcW w:w="3397" w:type="dxa"/>
          </w:tcPr>
          <w:p w14:paraId="0AE715E8" w14:textId="77777777" w:rsidR="003209EE" w:rsidRPr="00400631" w:rsidRDefault="003209EE" w:rsidP="00244B21">
            <w:pPr>
              <w:spacing w:after="120"/>
              <w:rPr>
                <w:szCs w:val="22"/>
              </w:rPr>
            </w:pPr>
            <w:r w:rsidRPr="00400631">
              <w:rPr>
                <w:szCs w:val="22"/>
              </w:rPr>
              <w:t>Total</w:t>
            </w:r>
          </w:p>
        </w:tc>
        <w:tc>
          <w:tcPr>
            <w:tcW w:w="2977" w:type="dxa"/>
          </w:tcPr>
          <w:p w14:paraId="5E40147C" w14:textId="77777777" w:rsidR="003209EE" w:rsidRPr="00400631" w:rsidRDefault="003209EE" w:rsidP="00244B21">
            <w:pPr>
              <w:spacing w:after="120"/>
              <w:jc w:val="center"/>
              <w:rPr>
                <w:szCs w:val="22"/>
              </w:rPr>
            </w:pPr>
            <w:r w:rsidRPr="00400631">
              <w:rPr>
                <w:szCs w:val="22"/>
              </w:rPr>
              <w:t>66,294</w:t>
            </w:r>
          </w:p>
        </w:tc>
        <w:tc>
          <w:tcPr>
            <w:tcW w:w="2977" w:type="dxa"/>
          </w:tcPr>
          <w:p w14:paraId="5B5EC385" w14:textId="77777777" w:rsidR="003209EE" w:rsidRPr="00400631" w:rsidRDefault="003209EE" w:rsidP="00244B21">
            <w:pPr>
              <w:spacing w:after="120"/>
              <w:jc w:val="center"/>
              <w:rPr>
                <w:szCs w:val="22"/>
              </w:rPr>
            </w:pPr>
            <w:r>
              <w:rPr>
                <w:szCs w:val="22"/>
              </w:rPr>
              <w:t>69,491</w:t>
            </w:r>
          </w:p>
        </w:tc>
      </w:tr>
    </w:tbl>
    <w:p w14:paraId="04AD6BD6" w14:textId="77777777" w:rsidR="003209EE" w:rsidRDefault="003209EE" w:rsidP="003209EE">
      <w:pPr>
        <w:rPr>
          <w:rFonts w:cs="Times New Roman"/>
          <w:szCs w:val="22"/>
        </w:rPr>
      </w:pPr>
    </w:p>
    <w:p w14:paraId="0C0E9F0D" w14:textId="77777777" w:rsidR="003209EE" w:rsidRDefault="003209EE" w:rsidP="003209EE">
      <w:pPr>
        <w:spacing w:before="0"/>
        <w:rPr>
          <w:szCs w:val="22"/>
        </w:rPr>
      </w:pPr>
    </w:p>
    <w:p w14:paraId="6B20872F" w14:textId="77777777" w:rsidR="003A7BA9" w:rsidRDefault="003A7BA9">
      <w:pPr>
        <w:spacing w:before="0"/>
        <w:jc w:val="left"/>
        <w:rPr>
          <w:rFonts w:cs="Times New Roman"/>
          <w:szCs w:val="22"/>
        </w:rPr>
      </w:pPr>
      <w:r>
        <w:rPr>
          <w:rFonts w:cs="Times New Roman"/>
          <w:szCs w:val="22"/>
        </w:rPr>
        <w:br w:type="page"/>
      </w:r>
    </w:p>
    <w:p w14:paraId="27F872F1" w14:textId="06BD361A" w:rsidR="003209EE" w:rsidRDefault="003209EE" w:rsidP="003209EE">
      <w:pPr>
        <w:snapToGrid w:val="0"/>
        <w:rPr>
          <w:rFonts w:cs="Times New Roman"/>
          <w:szCs w:val="22"/>
        </w:rPr>
      </w:pPr>
      <w:r>
        <w:rPr>
          <w:rFonts w:cs="Times New Roman"/>
          <w:szCs w:val="22"/>
        </w:rPr>
        <w:t xml:space="preserve">Using multipliers of employment developed for CHF2 and tested again for CHF3, the total number of Refrigerant Handling Licences can be used as a basis from which to project the direct employment in the RAC industry, as set out in </w:t>
      </w:r>
      <w:r w:rsidR="005A572D">
        <w:rPr>
          <w:rFonts w:cs="Times New Roman"/>
          <w:i/>
          <w:szCs w:val="22"/>
        </w:rPr>
        <w:t>Table 34</w:t>
      </w:r>
      <w:r>
        <w:rPr>
          <w:rFonts w:cs="Times New Roman"/>
          <w:szCs w:val="22"/>
        </w:rPr>
        <w:t xml:space="preserve"> below.</w:t>
      </w:r>
    </w:p>
    <w:p w14:paraId="015E4A64" w14:textId="77777777" w:rsidR="003209EE" w:rsidRDefault="003209EE" w:rsidP="003209EE">
      <w:pPr>
        <w:snapToGrid w:val="0"/>
        <w:rPr>
          <w:rFonts w:cs="Times New Roman"/>
          <w:szCs w:val="22"/>
        </w:rPr>
      </w:pPr>
    </w:p>
    <w:p w14:paraId="195892B5" w14:textId="614970E9" w:rsidR="003209EE" w:rsidRPr="005A572D" w:rsidRDefault="005A572D" w:rsidP="005A572D">
      <w:pPr>
        <w:pStyle w:val="Caption"/>
        <w:keepNext/>
        <w:rPr>
          <w:szCs w:val="22"/>
        </w:rPr>
      </w:pPr>
      <w:bookmarkStart w:id="183" w:name="_Toc525141423"/>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34</w:t>
      </w:r>
      <w:r w:rsidR="009D6843">
        <w:rPr>
          <w:noProof/>
        </w:rPr>
        <w:fldChar w:fldCharType="end"/>
      </w:r>
      <w:r w:rsidRPr="005A572D">
        <w:t xml:space="preserve">: </w:t>
      </w:r>
      <w:r w:rsidR="003209EE" w:rsidRPr="005A572D">
        <w:rPr>
          <w:szCs w:val="22"/>
        </w:rPr>
        <w:t>Method for calculating total employment in the RAC industry in Australia in 2016.</w:t>
      </w:r>
      <w:bookmarkEnd w:id="183"/>
    </w:p>
    <w:tbl>
      <w:tblPr>
        <w:tblStyle w:val="TableGrid"/>
        <w:tblW w:w="9493" w:type="dxa"/>
        <w:tblLayout w:type="fixed"/>
        <w:tblLook w:val="04A0" w:firstRow="1" w:lastRow="0" w:firstColumn="1" w:lastColumn="0" w:noHBand="0" w:noVBand="1"/>
      </w:tblPr>
      <w:tblGrid>
        <w:gridCol w:w="1838"/>
        <w:gridCol w:w="1531"/>
        <w:gridCol w:w="1531"/>
        <w:gridCol w:w="1531"/>
        <w:gridCol w:w="1531"/>
        <w:gridCol w:w="1531"/>
      </w:tblGrid>
      <w:tr w:rsidR="003209EE" w14:paraId="20313193" w14:textId="77777777" w:rsidTr="009C0BC1">
        <w:tc>
          <w:tcPr>
            <w:tcW w:w="1838" w:type="dxa"/>
            <w:shd w:val="clear" w:color="auto" w:fill="B6DDE8" w:themeFill="accent5" w:themeFillTint="66"/>
            <w:vAlign w:val="center"/>
          </w:tcPr>
          <w:p w14:paraId="7600DBF4" w14:textId="77777777" w:rsidR="003209EE" w:rsidRPr="00606CAD" w:rsidRDefault="003209EE" w:rsidP="00244B21">
            <w:pPr>
              <w:autoSpaceDE w:val="0"/>
              <w:autoSpaceDN w:val="0"/>
              <w:adjustRightInd w:val="0"/>
              <w:snapToGrid w:val="0"/>
              <w:spacing w:before="60" w:after="60"/>
              <w:jc w:val="left"/>
              <w:rPr>
                <w:bCs/>
                <w:color w:val="000000" w:themeColor="text1"/>
                <w:lang w:val="en-AU"/>
              </w:rPr>
            </w:pPr>
            <w:r w:rsidRPr="00606CAD">
              <w:rPr>
                <w:bCs/>
                <w:color w:val="000000" w:themeColor="text1"/>
                <w:lang w:val="en-AU"/>
              </w:rPr>
              <w:t>Licence type</w:t>
            </w:r>
          </w:p>
        </w:tc>
        <w:tc>
          <w:tcPr>
            <w:tcW w:w="1531" w:type="dxa"/>
            <w:shd w:val="clear" w:color="auto" w:fill="B6DDE8" w:themeFill="accent5" w:themeFillTint="66"/>
            <w:vAlign w:val="center"/>
          </w:tcPr>
          <w:p w14:paraId="1A031FCF" w14:textId="77777777" w:rsidR="003209EE" w:rsidRPr="00606CAD" w:rsidRDefault="003209EE" w:rsidP="00244B21">
            <w:pPr>
              <w:autoSpaceDE w:val="0"/>
              <w:autoSpaceDN w:val="0"/>
              <w:adjustRightInd w:val="0"/>
              <w:snapToGrid w:val="0"/>
              <w:spacing w:before="60" w:after="60"/>
              <w:jc w:val="center"/>
              <w:rPr>
                <w:bCs/>
                <w:color w:val="000000" w:themeColor="text1"/>
                <w:lang w:val="en-AU"/>
              </w:rPr>
            </w:pPr>
            <w:r w:rsidRPr="00606CAD">
              <w:rPr>
                <w:bCs/>
                <w:color w:val="000000" w:themeColor="text1"/>
                <w:lang w:val="en-AU"/>
              </w:rPr>
              <w:t>Number</w:t>
            </w:r>
            <w:r>
              <w:rPr>
                <w:bCs/>
                <w:color w:val="000000" w:themeColor="text1"/>
                <w:lang w:val="en-AU"/>
              </w:rPr>
              <w:t xml:space="preserve"> of RHLs</w:t>
            </w:r>
          </w:p>
        </w:tc>
        <w:tc>
          <w:tcPr>
            <w:tcW w:w="1531" w:type="dxa"/>
            <w:shd w:val="clear" w:color="auto" w:fill="B6DDE8" w:themeFill="accent5" w:themeFillTint="66"/>
            <w:vAlign w:val="center"/>
          </w:tcPr>
          <w:p w14:paraId="04E80352" w14:textId="77777777" w:rsidR="003209EE" w:rsidRPr="00606CAD" w:rsidRDefault="003209EE" w:rsidP="00244B21">
            <w:pPr>
              <w:autoSpaceDE w:val="0"/>
              <w:autoSpaceDN w:val="0"/>
              <w:adjustRightInd w:val="0"/>
              <w:snapToGrid w:val="0"/>
              <w:spacing w:before="60" w:after="60"/>
              <w:jc w:val="center"/>
              <w:rPr>
                <w:bCs/>
                <w:color w:val="000000" w:themeColor="text1"/>
                <w:lang w:val="en-AU"/>
              </w:rPr>
            </w:pPr>
            <w:r>
              <w:rPr>
                <w:bCs/>
                <w:color w:val="000000" w:themeColor="text1"/>
                <w:lang w:val="en-AU"/>
              </w:rPr>
              <w:t>% of RHLs</w:t>
            </w:r>
          </w:p>
        </w:tc>
        <w:tc>
          <w:tcPr>
            <w:tcW w:w="1531" w:type="dxa"/>
            <w:shd w:val="clear" w:color="auto" w:fill="B6DDE8" w:themeFill="accent5" w:themeFillTint="66"/>
            <w:vAlign w:val="center"/>
          </w:tcPr>
          <w:p w14:paraId="53D42054" w14:textId="77777777" w:rsidR="003209EE" w:rsidRPr="00606CAD" w:rsidRDefault="003209EE" w:rsidP="00244B21">
            <w:pPr>
              <w:autoSpaceDE w:val="0"/>
              <w:autoSpaceDN w:val="0"/>
              <w:adjustRightInd w:val="0"/>
              <w:snapToGrid w:val="0"/>
              <w:spacing w:before="60" w:after="60"/>
              <w:jc w:val="center"/>
              <w:rPr>
                <w:bCs/>
                <w:color w:val="000000" w:themeColor="text1"/>
                <w:lang w:val="en-AU"/>
              </w:rPr>
            </w:pPr>
            <w:r>
              <w:rPr>
                <w:bCs/>
                <w:color w:val="000000" w:themeColor="text1"/>
                <w:lang w:val="en-AU"/>
              </w:rPr>
              <w:t>Employment</w:t>
            </w:r>
            <w:r w:rsidRPr="00606CAD">
              <w:rPr>
                <w:bCs/>
                <w:color w:val="000000" w:themeColor="text1"/>
                <w:lang w:val="en-AU"/>
              </w:rPr>
              <w:t xml:space="preserve"> Multipliers</w:t>
            </w:r>
            <w:r>
              <w:rPr>
                <w:bCs/>
                <w:color w:val="000000" w:themeColor="text1"/>
                <w:lang w:val="en-AU"/>
              </w:rPr>
              <w:t xml:space="preserve"> </w:t>
            </w:r>
            <w:r w:rsidRPr="005D6235">
              <w:rPr>
                <w:bCs/>
                <w:color w:val="000000" w:themeColor="text1"/>
                <w:vertAlign w:val="superscript"/>
                <w:lang w:val="en-AU"/>
              </w:rPr>
              <w:t>(1)</w:t>
            </w:r>
          </w:p>
        </w:tc>
        <w:tc>
          <w:tcPr>
            <w:tcW w:w="1531" w:type="dxa"/>
            <w:shd w:val="clear" w:color="auto" w:fill="B6DDE8" w:themeFill="accent5" w:themeFillTint="66"/>
            <w:vAlign w:val="center"/>
          </w:tcPr>
          <w:p w14:paraId="0BE9118F" w14:textId="77777777" w:rsidR="003209EE" w:rsidRPr="00606CAD" w:rsidRDefault="003209EE" w:rsidP="00244B21">
            <w:pPr>
              <w:autoSpaceDE w:val="0"/>
              <w:autoSpaceDN w:val="0"/>
              <w:adjustRightInd w:val="0"/>
              <w:snapToGrid w:val="0"/>
              <w:spacing w:before="60" w:after="60"/>
              <w:jc w:val="center"/>
              <w:rPr>
                <w:bCs/>
                <w:color w:val="000000" w:themeColor="text1"/>
                <w:lang w:val="en-AU"/>
              </w:rPr>
            </w:pPr>
            <w:r w:rsidRPr="00606CAD">
              <w:rPr>
                <w:bCs/>
                <w:color w:val="000000" w:themeColor="text1"/>
                <w:lang w:val="en-AU"/>
              </w:rPr>
              <w:t>Total Direct Employment</w:t>
            </w:r>
          </w:p>
        </w:tc>
        <w:tc>
          <w:tcPr>
            <w:tcW w:w="1531" w:type="dxa"/>
            <w:shd w:val="clear" w:color="auto" w:fill="B6DDE8" w:themeFill="accent5" w:themeFillTint="66"/>
            <w:vAlign w:val="center"/>
          </w:tcPr>
          <w:p w14:paraId="075342AA" w14:textId="77777777" w:rsidR="003209EE" w:rsidRPr="00606CAD" w:rsidRDefault="003209EE" w:rsidP="00244B21">
            <w:pPr>
              <w:autoSpaceDE w:val="0"/>
              <w:autoSpaceDN w:val="0"/>
              <w:adjustRightInd w:val="0"/>
              <w:snapToGrid w:val="0"/>
              <w:spacing w:before="60" w:after="60"/>
              <w:jc w:val="center"/>
              <w:rPr>
                <w:bCs/>
                <w:color w:val="000000" w:themeColor="text1"/>
                <w:lang w:val="en-AU"/>
              </w:rPr>
            </w:pPr>
            <w:r>
              <w:rPr>
                <w:bCs/>
                <w:color w:val="000000" w:themeColor="text1"/>
                <w:lang w:val="en-AU"/>
              </w:rPr>
              <w:t>% of D</w:t>
            </w:r>
            <w:r w:rsidRPr="00606CAD">
              <w:rPr>
                <w:bCs/>
                <w:color w:val="000000" w:themeColor="text1"/>
                <w:lang w:val="en-AU"/>
              </w:rPr>
              <w:t xml:space="preserve">irect </w:t>
            </w:r>
            <w:r>
              <w:rPr>
                <w:bCs/>
                <w:color w:val="000000" w:themeColor="text1"/>
                <w:lang w:val="en-AU"/>
              </w:rPr>
              <w:t>E</w:t>
            </w:r>
            <w:r w:rsidRPr="00606CAD">
              <w:rPr>
                <w:bCs/>
                <w:color w:val="000000" w:themeColor="text1"/>
                <w:lang w:val="en-AU"/>
              </w:rPr>
              <w:t xml:space="preserve">mployment </w:t>
            </w:r>
          </w:p>
        </w:tc>
      </w:tr>
      <w:tr w:rsidR="00D15F52" w14:paraId="598720B7" w14:textId="77777777" w:rsidTr="00D15F52">
        <w:trPr>
          <w:trHeight w:val="567"/>
        </w:trPr>
        <w:tc>
          <w:tcPr>
            <w:tcW w:w="1838" w:type="dxa"/>
            <w:vAlign w:val="center"/>
          </w:tcPr>
          <w:p w14:paraId="1A47A8A0"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Automotive AC</w:t>
            </w:r>
          </w:p>
        </w:tc>
        <w:tc>
          <w:tcPr>
            <w:tcW w:w="1531" w:type="dxa"/>
            <w:vAlign w:val="center"/>
          </w:tcPr>
          <w:p w14:paraId="4A1CBBE5"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28,888</w:t>
            </w:r>
          </w:p>
        </w:tc>
        <w:tc>
          <w:tcPr>
            <w:tcW w:w="1531" w:type="dxa"/>
            <w:vAlign w:val="center"/>
          </w:tcPr>
          <w:p w14:paraId="4B611BC1"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43.6%</w:t>
            </w:r>
          </w:p>
        </w:tc>
        <w:tc>
          <w:tcPr>
            <w:tcW w:w="1531" w:type="dxa"/>
            <w:vAlign w:val="center"/>
          </w:tcPr>
          <w:p w14:paraId="6772939A" w14:textId="30DEF6E1" w:rsidR="00D15F52" w:rsidRPr="00606CAD" w:rsidRDefault="00D15F52" w:rsidP="00D15F52">
            <w:pPr>
              <w:autoSpaceDE w:val="0"/>
              <w:autoSpaceDN w:val="0"/>
              <w:adjustRightInd w:val="0"/>
              <w:snapToGrid w:val="0"/>
              <w:spacing w:before="60" w:after="60"/>
              <w:jc w:val="center"/>
              <w:rPr>
                <w:color w:val="000000" w:themeColor="text1"/>
                <w:lang w:val="en-AU"/>
              </w:rPr>
            </w:pPr>
            <w:r>
              <w:rPr>
                <w:color w:val="000000" w:themeColor="text1"/>
                <w:lang w:val="en-AU"/>
              </w:rPr>
              <w:t>2</w:t>
            </w:r>
            <w:r w:rsidRPr="00606CAD">
              <w:rPr>
                <w:color w:val="000000" w:themeColor="text1"/>
                <w:lang w:val="en-AU"/>
              </w:rPr>
              <w:t>.</w:t>
            </w:r>
            <w:r>
              <w:rPr>
                <w:color w:val="000000" w:themeColor="text1"/>
                <w:lang w:val="en-AU"/>
              </w:rPr>
              <w:t>4</w:t>
            </w:r>
            <w:r w:rsidRPr="00606CAD">
              <w:rPr>
                <w:color w:val="000000" w:themeColor="text1"/>
                <w:lang w:val="en-AU"/>
              </w:rPr>
              <w:t>0</w:t>
            </w:r>
          </w:p>
        </w:tc>
        <w:tc>
          <w:tcPr>
            <w:tcW w:w="1531" w:type="dxa"/>
            <w:vAlign w:val="center"/>
          </w:tcPr>
          <w:p w14:paraId="319568A4" w14:textId="1E207943"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69,331</w:t>
            </w:r>
          </w:p>
        </w:tc>
        <w:tc>
          <w:tcPr>
            <w:tcW w:w="1531" w:type="dxa"/>
            <w:vAlign w:val="center"/>
          </w:tcPr>
          <w:p w14:paraId="4BDC326B" w14:textId="38A119CE"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31.7%</w:t>
            </w:r>
          </w:p>
        </w:tc>
      </w:tr>
      <w:tr w:rsidR="00D15F52" w14:paraId="294C9CAD" w14:textId="77777777" w:rsidTr="00D15F52">
        <w:trPr>
          <w:trHeight w:val="567"/>
        </w:trPr>
        <w:tc>
          <w:tcPr>
            <w:tcW w:w="1838" w:type="dxa"/>
            <w:vAlign w:val="center"/>
          </w:tcPr>
          <w:p w14:paraId="2FFEF143"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Aviation</w:t>
            </w:r>
          </w:p>
        </w:tc>
        <w:tc>
          <w:tcPr>
            <w:tcW w:w="1531" w:type="dxa"/>
            <w:vAlign w:val="center"/>
          </w:tcPr>
          <w:p w14:paraId="627A5694"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188</w:t>
            </w:r>
          </w:p>
        </w:tc>
        <w:tc>
          <w:tcPr>
            <w:tcW w:w="1531" w:type="dxa"/>
            <w:vAlign w:val="center"/>
          </w:tcPr>
          <w:p w14:paraId="0A58514C"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0.3%</w:t>
            </w:r>
          </w:p>
        </w:tc>
        <w:tc>
          <w:tcPr>
            <w:tcW w:w="1531" w:type="dxa"/>
            <w:vAlign w:val="center"/>
          </w:tcPr>
          <w:p w14:paraId="793388CD"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2.00</w:t>
            </w:r>
          </w:p>
        </w:tc>
        <w:tc>
          <w:tcPr>
            <w:tcW w:w="1531" w:type="dxa"/>
            <w:vAlign w:val="center"/>
          </w:tcPr>
          <w:p w14:paraId="49142984" w14:textId="3F55B3CA"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376</w:t>
            </w:r>
          </w:p>
        </w:tc>
        <w:tc>
          <w:tcPr>
            <w:tcW w:w="1531" w:type="dxa"/>
            <w:vAlign w:val="center"/>
          </w:tcPr>
          <w:p w14:paraId="25898F56" w14:textId="01D1D3FA"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0.2%</w:t>
            </w:r>
          </w:p>
        </w:tc>
      </w:tr>
      <w:tr w:rsidR="00D15F52" w14:paraId="6B76ECC6" w14:textId="77777777" w:rsidTr="00D15F52">
        <w:trPr>
          <w:trHeight w:val="567"/>
        </w:trPr>
        <w:tc>
          <w:tcPr>
            <w:tcW w:w="1838" w:type="dxa"/>
            <w:vAlign w:val="center"/>
          </w:tcPr>
          <w:p w14:paraId="7B2368CB"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Awaiting Assessment</w:t>
            </w:r>
          </w:p>
        </w:tc>
        <w:tc>
          <w:tcPr>
            <w:tcW w:w="1531" w:type="dxa"/>
            <w:vAlign w:val="center"/>
          </w:tcPr>
          <w:p w14:paraId="18782CAF"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361</w:t>
            </w:r>
          </w:p>
        </w:tc>
        <w:tc>
          <w:tcPr>
            <w:tcW w:w="1531" w:type="dxa"/>
            <w:vAlign w:val="center"/>
          </w:tcPr>
          <w:p w14:paraId="5556EFA5"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0.5%</w:t>
            </w:r>
          </w:p>
        </w:tc>
        <w:tc>
          <w:tcPr>
            <w:tcW w:w="1531" w:type="dxa"/>
            <w:vAlign w:val="center"/>
          </w:tcPr>
          <w:p w14:paraId="03345E05"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0.00</w:t>
            </w:r>
          </w:p>
        </w:tc>
        <w:tc>
          <w:tcPr>
            <w:tcW w:w="1531" w:type="dxa"/>
            <w:vAlign w:val="center"/>
          </w:tcPr>
          <w:p w14:paraId="0B078776" w14:textId="6C9F0C51"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0</w:t>
            </w:r>
          </w:p>
        </w:tc>
        <w:tc>
          <w:tcPr>
            <w:tcW w:w="1531" w:type="dxa"/>
            <w:vAlign w:val="center"/>
          </w:tcPr>
          <w:p w14:paraId="3AE482B3" w14:textId="2FE57B60"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0.0%</w:t>
            </w:r>
          </w:p>
        </w:tc>
      </w:tr>
      <w:tr w:rsidR="00D15F52" w14:paraId="63A84184" w14:textId="77777777" w:rsidTr="00D15F52">
        <w:trPr>
          <w:trHeight w:val="567"/>
        </w:trPr>
        <w:tc>
          <w:tcPr>
            <w:tcW w:w="1838" w:type="dxa"/>
            <w:vAlign w:val="center"/>
          </w:tcPr>
          <w:p w14:paraId="4C665E17"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Domestic RAC</w:t>
            </w:r>
          </w:p>
        </w:tc>
        <w:tc>
          <w:tcPr>
            <w:tcW w:w="1531" w:type="dxa"/>
            <w:vAlign w:val="center"/>
          </w:tcPr>
          <w:p w14:paraId="0E34836E"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346</w:t>
            </w:r>
          </w:p>
        </w:tc>
        <w:tc>
          <w:tcPr>
            <w:tcW w:w="1531" w:type="dxa"/>
            <w:vAlign w:val="center"/>
          </w:tcPr>
          <w:p w14:paraId="0FA2DC18"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0.5%</w:t>
            </w:r>
          </w:p>
        </w:tc>
        <w:tc>
          <w:tcPr>
            <w:tcW w:w="1531" w:type="dxa"/>
            <w:vAlign w:val="center"/>
          </w:tcPr>
          <w:p w14:paraId="75E242FB"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1.50</w:t>
            </w:r>
          </w:p>
        </w:tc>
        <w:tc>
          <w:tcPr>
            <w:tcW w:w="1531" w:type="dxa"/>
            <w:vAlign w:val="center"/>
          </w:tcPr>
          <w:p w14:paraId="04309538" w14:textId="54E7CFD2"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519</w:t>
            </w:r>
          </w:p>
        </w:tc>
        <w:tc>
          <w:tcPr>
            <w:tcW w:w="1531" w:type="dxa"/>
            <w:vAlign w:val="center"/>
          </w:tcPr>
          <w:p w14:paraId="56D92689" w14:textId="47A7630B"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0.2%</w:t>
            </w:r>
          </w:p>
        </w:tc>
      </w:tr>
      <w:tr w:rsidR="00D15F52" w14:paraId="4B0FA9D3" w14:textId="77777777" w:rsidTr="00D15F52">
        <w:trPr>
          <w:trHeight w:val="567"/>
        </w:trPr>
        <w:tc>
          <w:tcPr>
            <w:tcW w:w="1838" w:type="dxa"/>
            <w:vAlign w:val="center"/>
          </w:tcPr>
          <w:p w14:paraId="48E6466F"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Marine</w:t>
            </w:r>
          </w:p>
        </w:tc>
        <w:tc>
          <w:tcPr>
            <w:tcW w:w="1531" w:type="dxa"/>
            <w:vAlign w:val="center"/>
          </w:tcPr>
          <w:p w14:paraId="4528F63A"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169</w:t>
            </w:r>
          </w:p>
        </w:tc>
        <w:tc>
          <w:tcPr>
            <w:tcW w:w="1531" w:type="dxa"/>
            <w:vAlign w:val="center"/>
          </w:tcPr>
          <w:p w14:paraId="4F7AEA1C"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0.3%</w:t>
            </w:r>
          </w:p>
        </w:tc>
        <w:tc>
          <w:tcPr>
            <w:tcW w:w="1531" w:type="dxa"/>
            <w:vAlign w:val="center"/>
          </w:tcPr>
          <w:p w14:paraId="3974023F"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2.00</w:t>
            </w:r>
          </w:p>
        </w:tc>
        <w:tc>
          <w:tcPr>
            <w:tcW w:w="1531" w:type="dxa"/>
            <w:vAlign w:val="center"/>
          </w:tcPr>
          <w:p w14:paraId="32870F11" w14:textId="4F511BF5"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338</w:t>
            </w:r>
          </w:p>
        </w:tc>
        <w:tc>
          <w:tcPr>
            <w:tcW w:w="1531" w:type="dxa"/>
            <w:vAlign w:val="center"/>
          </w:tcPr>
          <w:p w14:paraId="0259D366" w14:textId="4C7802C3"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0.2%</w:t>
            </w:r>
          </w:p>
        </w:tc>
      </w:tr>
      <w:tr w:rsidR="00D15F52" w14:paraId="55768961" w14:textId="77777777" w:rsidTr="00D15F52">
        <w:trPr>
          <w:trHeight w:val="567"/>
        </w:trPr>
        <w:tc>
          <w:tcPr>
            <w:tcW w:w="1838" w:type="dxa"/>
            <w:vAlign w:val="center"/>
          </w:tcPr>
          <w:p w14:paraId="32F2DF38"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Commercial refrigeration</w:t>
            </w:r>
          </w:p>
        </w:tc>
        <w:tc>
          <w:tcPr>
            <w:tcW w:w="1531" w:type="dxa"/>
            <w:vAlign w:val="center"/>
          </w:tcPr>
          <w:p w14:paraId="2A6A307A" w14:textId="27DA95EC" w:rsidR="00D15F52" w:rsidRPr="00606CAD" w:rsidRDefault="00D15F52" w:rsidP="00D15F52">
            <w:pPr>
              <w:autoSpaceDE w:val="0"/>
              <w:autoSpaceDN w:val="0"/>
              <w:adjustRightInd w:val="0"/>
              <w:snapToGrid w:val="0"/>
              <w:spacing w:before="60" w:after="60"/>
              <w:jc w:val="center"/>
              <w:rPr>
                <w:color w:val="000000" w:themeColor="text1"/>
                <w:lang w:val="en-AU"/>
              </w:rPr>
            </w:pPr>
            <w:r w:rsidRPr="00551A73">
              <w:t>7,223</w:t>
            </w:r>
          </w:p>
        </w:tc>
        <w:tc>
          <w:tcPr>
            <w:tcW w:w="1531" w:type="dxa"/>
            <w:vAlign w:val="center"/>
          </w:tcPr>
          <w:p w14:paraId="46D27696" w14:textId="38033709" w:rsidR="00D15F52" w:rsidRPr="00540BA2" w:rsidRDefault="00D15F52" w:rsidP="00D15F52">
            <w:pPr>
              <w:autoSpaceDE w:val="0"/>
              <w:autoSpaceDN w:val="0"/>
              <w:adjustRightInd w:val="0"/>
              <w:snapToGrid w:val="0"/>
              <w:spacing w:before="60" w:after="60"/>
              <w:jc w:val="center"/>
              <w:rPr>
                <w:color w:val="000000" w:themeColor="text1"/>
                <w:lang w:val="en-AU"/>
              </w:rPr>
            </w:pPr>
            <w:r w:rsidRPr="00540BA2">
              <w:rPr>
                <w:color w:val="000000"/>
                <w:szCs w:val="22"/>
              </w:rPr>
              <w:t>10.9%</w:t>
            </w:r>
          </w:p>
        </w:tc>
        <w:tc>
          <w:tcPr>
            <w:tcW w:w="1531" w:type="dxa"/>
            <w:vAlign w:val="center"/>
          </w:tcPr>
          <w:p w14:paraId="131C3029" w14:textId="691A0AC9" w:rsidR="00D15F52" w:rsidRPr="00606CAD" w:rsidRDefault="00D15F52" w:rsidP="00D15F52">
            <w:pPr>
              <w:autoSpaceDE w:val="0"/>
              <w:autoSpaceDN w:val="0"/>
              <w:adjustRightInd w:val="0"/>
              <w:snapToGrid w:val="0"/>
              <w:spacing w:before="60" w:after="60"/>
              <w:jc w:val="center"/>
              <w:rPr>
                <w:color w:val="000000" w:themeColor="text1"/>
                <w:lang w:val="en-AU"/>
              </w:rPr>
            </w:pPr>
            <w:r>
              <w:rPr>
                <w:color w:val="000000" w:themeColor="text1"/>
                <w:lang w:val="en-AU"/>
              </w:rPr>
              <w:t>5</w:t>
            </w:r>
            <w:r w:rsidRPr="00606CAD">
              <w:rPr>
                <w:color w:val="000000" w:themeColor="text1"/>
                <w:lang w:val="en-AU"/>
              </w:rPr>
              <w:t>.00</w:t>
            </w:r>
          </w:p>
        </w:tc>
        <w:tc>
          <w:tcPr>
            <w:tcW w:w="1531" w:type="dxa"/>
            <w:vAlign w:val="center"/>
          </w:tcPr>
          <w:p w14:paraId="3B705C4D" w14:textId="26E073FA"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36,114</w:t>
            </w:r>
          </w:p>
        </w:tc>
        <w:tc>
          <w:tcPr>
            <w:tcW w:w="1531" w:type="dxa"/>
            <w:vAlign w:val="center"/>
          </w:tcPr>
          <w:p w14:paraId="6091D3C8" w14:textId="5CDCDDB4"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16.5%</w:t>
            </w:r>
          </w:p>
        </w:tc>
      </w:tr>
      <w:tr w:rsidR="00D15F52" w14:paraId="2BA18986" w14:textId="77777777" w:rsidTr="00D15F52">
        <w:trPr>
          <w:trHeight w:val="567"/>
        </w:trPr>
        <w:tc>
          <w:tcPr>
            <w:tcW w:w="1838" w:type="dxa"/>
            <w:vAlign w:val="center"/>
          </w:tcPr>
          <w:p w14:paraId="3F813364"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Pr>
                <w:color w:val="000000" w:themeColor="text1"/>
                <w:lang w:val="en-AU"/>
              </w:rPr>
              <w:t>C</w:t>
            </w:r>
            <w:r w:rsidRPr="00606CAD">
              <w:rPr>
                <w:color w:val="000000" w:themeColor="text1"/>
                <w:lang w:val="en-AU"/>
              </w:rPr>
              <w:t>ommercial</w:t>
            </w:r>
            <w:r>
              <w:rPr>
                <w:color w:val="000000" w:themeColor="text1"/>
                <w:lang w:val="en-AU"/>
              </w:rPr>
              <w:t xml:space="preserve"> AC </w:t>
            </w:r>
            <w:r w:rsidRPr="001C361F">
              <w:rPr>
                <w:color w:val="000000" w:themeColor="text1"/>
                <w:vertAlign w:val="superscript"/>
                <w:lang w:val="en-AU"/>
              </w:rPr>
              <w:t>(</w:t>
            </w:r>
            <w:r>
              <w:rPr>
                <w:color w:val="000000" w:themeColor="text1"/>
                <w:vertAlign w:val="superscript"/>
                <w:lang w:val="en-AU"/>
              </w:rPr>
              <w:t>2</w:t>
            </w:r>
            <w:r w:rsidRPr="001C361F">
              <w:rPr>
                <w:color w:val="000000" w:themeColor="text1"/>
                <w:vertAlign w:val="superscript"/>
                <w:lang w:val="en-AU"/>
              </w:rPr>
              <w:t>)</w:t>
            </w:r>
          </w:p>
        </w:tc>
        <w:tc>
          <w:tcPr>
            <w:tcW w:w="1531" w:type="dxa"/>
            <w:vAlign w:val="center"/>
          </w:tcPr>
          <w:p w14:paraId="5A9D6568" w14:textId="76D8CEF2" w:rsidR="00D15F52" w:rsidRPr="00606CAD" w:rsidRDefault="00D15F52" w:rsidP="00D15F52">
            <w:pPr>
              <w:autoSpaceDE w:val="0"/>
              <w:autoSpaceDN w:val="0"/>
              <w:adjustRightInd w:val="0"/>
              <w:snapToGrid w:val="0"/>
              <w:spacing w:before="60" w:after="60"/>
              <w:jc w:val="center"/>
              <w:rPr>
                <w:color w:val="000000" w:themeColor="text1"/>
                <w:lang w:val="en-AU"/>
              </w:rPr>
            </w:pPr>
            <w:r w:rsidRPr="00551A73">
              <w:t>16,853</w:t>
            </w:r>
          </w:p>
        </w:tc>
        <w:tc>
          <w:tcPr>
            <w:tcW w:w="1531" w:type="dxa"/>
            <w:vAlign w:val="center"/>
          </w:tcPr>
          <w:p w14:paraId="63483E11" w14:textId="69F612F5" w:rsidR="00D15F52" w:rsidRPr="00540BA2" w:rsidRDefault="00D15F52" w:rsidP="00D15F52">
            <w:pPr>
              <w:autoSpaceDE w:val="0"/>
              <w:autoSpaceDN w:val="0"/>
              <w:adjustRightInd w:val="0"/>
              <w:snapToGrid w:val="0"/>
              <w:spacing w:before="60" w:after="60"/>
              <w:jc w:val="center"/>
              <w:rPr>
                <w:color w:val="000000" w:themeColor="text1"/>
                <w:lang w:val="en-AU"/>
              </w:rPr>
            </w:pPr>
            <w:r w:rsidRPr="00540BA2">
              <w:rPr>
                <w:color w:val="000000"/>
                <w:szCs w:val="22"/>
              </w:rPr>
              <w:t>25.4%</w:t>
            </w:r>
          </w:p>
        </w:tc>
        <w:tc>
          <w:tcPr>
            <w:tcW w:w="1531" w:type="dxa"/>
            <w:vAlign w:val="center"/>
          </w:tcPr>
          <w:p w14:paraId="6581F29B" w14:textId="124D9A7D" w:rsidR="00D15F52" w:rsidRPr="00606CAD" w:rsidRDefault="00D15F52" w:rsidP="00D15F52">
            <w:pPr>
              <w:autoSpaceDE w:val="0"/>
              <w:autoSpaceDN w:val="0"/>
              <w:adjustRightInd w:val="0"/>
              <w:snapToGrid w:val="0"/>
              <w:spacing w:before="60" w:after="60"/>
              <w:jc w:val="center"/>
              <w:rPr>
                <w:color w:val="000000" w:themeColor="text1"/>
                <w:lang w:val="en-AU"/>
              </w:rPr>
            </w:pPr>
            <w:r>
              <w:rPr>
                <w:color w:val="000000" w:themeColor="text1"/>
                <w:lang w:val="en-AU"/>
              </w:rPr>
              <w:t>5</w:t>
            </w:r>
            <w:r w:rsidRPr="00606CAD">
              <w:rPr>
                <w:color w:val="000000" w:themeColor="text1"/>
                <w:lang w:val="en-AU"/>
              </w:rPr>
              <w:t>.00</w:t>
            </w:r>
          </w:p>
        </w:tc>
        <w:tc>
          <w:tcPr>
            <w:tcW w:w="1531" w:type="dxa"/>
            <w:vAlign w:val="center"/>
          </w:tcPr>
          <w:p w14:paraId="45451BBF" w14:textId="77443B8E"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84,266</w:t>
            </w:r>
          </w:p>
        </w:tc>
        <w:tc>
          <w:tcPr>
            <w:tcW w:w="1531" w:type="dxa"/>
            <w:vAlign w:val="center"/>
          </w:tcPr>
          <w:p w14:paraId="07463666" w14:textId="41DE6227"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38.6%</w:t>
            </w:r>
          </w:p>
        </w:tc>
      </w:tr>
      <w:tr w:rsidR="00D15F52" w14:paraId="573D2BC1" w14:textId="77777777" w:rsidTr="00D15F52">
        <w:trPr>
          <w:trHeight w:val="567"/>
        </w:trPr>
        <w:tc>
          <w:tcPr>
            <w:tcW w:w="1838" w:type="dxa"/>
            <w:vAlign w:val="center"/>
          </w:tcPr>
          <w:p w14:paraId="6F25A26F"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 xml:space="preserve">Split systems </w:t>
            </w:r>
            <w:r>
              <w:rPr>
                <w:color w:val="000000" w:themeColor="text1"/>
                <w:lang w:val="en-AU"/>
              </w:rPr>
              <w:t xml:space="preserve">      </w:t>
            </w:r>
            <w:r w:rsidRPr="00606CAD">
              <w:rPr>
                <w:color w:val="000000" w:themeColor="text1"/>
                <w:lang w:val="en-AU"/>
              </w:rPr>
              <w:t>(up to 18kWr)</w:t>
            </w:r>
          </w:p>
        </w:tc>
        <w:tc>
          <w:tcPr>
            <w:tcW w:w="1531" w:type="dxa"/>
            <w:vAlign w:val="center"/>
          </w:tcPr>
          <w:p w14:paraId="11D5647A" w14:textId="5D3C6FC8" w:rsidR="00D15F52" w:rsidRPr="00606CAD" w:rsidRDefault="00D15F52" w:rsidP="00D15F52">
            <w:pPr>
              <w:autoSpaceDE w:val="0"/>
              <w:autoSpaceDN w:val="0"/>
              <w:adjustRightInd w:val="0"/>
              <w:snapToGrid w:val="0"/>
              <w:spacing w:before="60" w:after="60"/>
              <w:jc w:val="center"/>
              <w:rPr>
                <w:color w:val="000000" w:themeColor="text1"/>
                <w:lang w:val="en-AU"/>
              </w:rPr>
            </w:pPr>
            <w:r w:rsidRPr="00551A73">
              <w:t>11,683</w:t>
            </w:r>
          </w:p>
        </w:tc>
        <w:tc>
          <w:tcPr>
            <w:tcW w:w="1531" w:type="dxa"/>
            <w:vAlign w:val="center"/>
          </w:tcPr>
          <w:p w14:paraId="427C6261" w14:textId="27177396" w:rsidR="00D15F52" w:rsidRPr="00540BA2" w:rsidRDefault="00D15F52" w:rsidP="00D15F52">
            <w:pPr>
              <w:autoSpaceDE w:val="0"/>
              <w:autoSpaceDN w:val="0"/>
              <w:adjustRightInd w:val="0"/>
              <w:snapToGrid w:val="0"/>
              <w:spacing w:before="60" w:after="60"/>
              <w:jc w:val="center"/>
              <w:rPr>
                <w:color w:val="000000" w:themeColor="text1"/>
                <w:lang w:val="en-AU"/>
              </w:rPr>
            </w:pPr>
            <w:r w:rsidRPr="00540BA2">
              <w:rPr>
                <w:color w:val="000000"/>
                <w:szCs w:val="22"/>
              </w:rPr>
              <w:t>17.6%</w:t>
            </w:r>
          </w:p>
        </w:tc>
        <w:tc>
          <w:tcPr>
            <w:tcW w:w="1531" w:type="dxa"/>
            <w:vAlign w:val="center"/>
          </w:tcPr>
          <w:p w14:paraId="38D6F6B6"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2.25</w:t>
            </w:r>
          </w:p>
        </w:tc>
        <w:tc>
          <w:tcPr>
            <w:tcW w:w="1531" w:type="dxa"/>
            <w:vAlign w:val="center"/>
          </w:tcPr>
          <w:p w14:paraId="29C364EF" w14:textId="12DA9CB5"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26,287</w:t>
            </w:r>
          </w:p>
        </w:tc>
        <w:tc>
          <w:tcPr>
            <w:tcW w:w="1531" w:type="dxa"/>
            <w:vAlign w:val="center"/>
          </w:tcPr>
          <w:p w14:paraId="4803DCDF" w14:textId="394A50A5"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12.0%</w:t>
            </w:r>
          </w:p>
        </w:tc>
      </w:tr>
      <w:tr w:rsidR="00D15F52" w14:paraId="3924F069" w14:textId="77777777" w:rsidTr="00D15F52">
        <w:trPr>
          <w:trHeight w:val="567"/>
        </w:trPr>
        <w:tc>
          <w:tcPr>
            <w:tcW w:w="1838" w:type="dxa"/>
            <w:vAlign w:val="center"/>
          </w:tcPr>
          <w:p w14:paraId="60C475A9"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Refrigerant handler</w:t>
            </w:r>
          </w:p>
        </w:tc>
        <w:tc>
          <w:tcPr>
            <w:tcW w:w="1531" w:type="dxa"/>
            <w:vAlign w:val="center"/>
          </w:tcPr>
          <w:p w14:paraId="6BE2B978"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158</w:t>
            </w:r>
          </w:p>
        </w:tc>
        <w:tc>
          <w:tcPr>
            <w:tcW w:w="1531" w:type="dxa"/>
            <w:vAlign w:val="center"/>
          </w:tcPr>
          <w:p w14:paraId="73F23211"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0.2%</w:t>
            </w:r>
          </w:p>
        </w:tc>
        <w:tc>
          <w:tcPr>
            <w:tcW w:w="1531" w:type="dxa"/>
            <w:vAlign w:val="center"/>
          </w:tcPr>
          <w:p w14:paraId="2D77B196"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2.00</w:t>
            </w:r>
          </w:p>
        </w:tc>
        <w:tc>
          <w:tcPr>
            <w:tcW w:w="1531" w:type="dxa"/>
            <w:vAlign w:val="center"/>
          </w:tcPr>
          <w:p w14:paraId="63E48143" w14:textId="78EC2963"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316</w:t>
            </w:r>
          </w:p>
        </w:tc>
        <w:tc>
          <w:tcPr>
            <w:tcW w:w="1531" w:type="dxa"/>
            <w:vAlign w:val="center"/>
          </w:tcPr>
          <w:p w14:paraId="503FC2E7" w14:textId="10F864C4"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0.1%</w:t>
            </w:r>
          </w:p>
        </w:tc>
      </w:tr>
      <w:tr w:rsidR="00D15F52" w14:paraId="0AC20178" w14:textId="77777777" w:rsidTr="00D15F52">
        <w:trPr>
          <w:trHeight w:val="567"/>
        </w:trPr>
        <w:tc>
          <w:tcPr>
            <w:tcW w:w="1838" w:type="dxa"/>
            <w:vAlign w:val="center"/>
          </w:tcPr>
          <w:p w14:paraId="5927B37A"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Refrigerant recoverer</w:t>
            </w:r>
          </w:p>
        </w:tc>
        <w:tc>
          <w:tcPr>
            <w:tcW w:w="1531" w:type="dxa"/>
            <w:vAlign w:val="center"/>
          </w:tcPr>
          <w:p w14:paraId="631D2629"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307</w:t>
            </w:r>
          </w:p>
        </w:tc>
        <w:tc>
          <w:tcPr>
            <w:tcW w:w="1531" w:type="dxa"/>
            <w:vAlign w:val="center"/>
          </w:tcPr>
          <w:p w14:paraId="704DE0BD"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0.5%</w:t>
            </w:r>
          </w:p>
        </w:tc>
        <w:tc>
          <w:tcPr>
            <w:tcW w:w="1531" w:type="dxa"/>
            <w:vAlign w:val="center"/>
          </w:tcPr>
          <w:p w14:paraId="76B39770"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2.00</w:t>
            </w:r>
          </w:p>
        </w:tc>
        <w:tc>
          <w:tcPr>
            <w:tcW w:w="1531" w:type="dxa"/>
            <w:vAlign w:val="center"/>
          </w:tcPr>
          <w:p w14:paraId="62C5895D" w14:textId="771B6428"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614</w:t>
            </w:r>
          </w:p>
        </w:tc>
        <w:tc>
          <w:tcPr>
            <w:tcW w:w="1531" w:type="dxa"/>
            <w:vAlign w:val="center"/>
          </w:tcPr>
          <w:p w14:paraId="4F33A15B" w14:textId="0B62D6F4"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0.3%</w:t>
            </w:r>
          </w:p>
        </w:tc>
      </w:tr>
      <w:tr w:rsidR="00D15F52" w14:paraId="017330B7" w14:textId="77777777" w:rsidTr="00D15F52">
        <w:trPr>
          <w:trHeight w:val="567"/>
        </w:trPr>
        <w:tc>
          <w:tcPr>
            <w:tcW w:w="1838" w:type="dxa"/>
            <w:vAlign w:val="center"/>
          </w:tcPr>
          <w:p w14:paraId="4FBF112A" w14:textId="77777777" w:rsidR="00D15F52" w:rsidRPr="00606CAD" w:rsidRDefault="00D15F52" w:rsidP="00D15F52">
            <w:pPr>
              <w:autoSpaceDE w:val="0"/>
              <w:autoSpaceDN w:val="0"/>
              <w:adjustRightInd w:val="0"/>
              <w:snapToGrid w:val="0"/>
              <w:spacing w:before="60" w:after="60"/>
              <w:jc w:val="left"/>
              <w:rPr>
                <w:color w:val="000000" w:themeColor="text1"/>
                <w:lang w:val="en-AU"/>
              </w:rPr>
            </w:pPr>
            <w:r w:rsidRPr="00606CAD">
              <w:rPr>
                <w:color w:val="000000" w:themeColor="text1"/>
                <w:lang w:val="en-AU"/>
              </w:rPr>
              <w:t>Transport refrigeration</w:t>
            </w:r>
          </w:p>
        </w:tc>
        <w:tc>
          <w:tcPr>
            <w:tcW w:w="1531" w:type="dxa"/>
            <w:vAlign w:val="center"/>
          </w:tcPr>
          <w:p w14:paraId="7002576A"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118</w:t>
            </w:r>
          </w:p>
        </w:tc>
        <w:tc>
          <w:tcPr>
            <w:tcW w:w="1531" w:type="dxa"/>
            <w:vAlign w:val="center"/>
          </w:tcPr>
          <w:p w14:paraId="24E07193"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0.2%</w:t>
            </w:r>
          </w:p>
        </w:tc>
        <w:tc>
          <w:tcPr>
            <w:tcW w:w="1531" w:type="dxa"/>
            <w:vAlign w:val="center"/>
          </w:tcPr>
          <w:p w14:paraId="5171D5D0" w14:textId="77777777" w:rsidR="00D15F52" w:rsidRPr="00606CAD" w:rsidRDefault="00D15F52" w:rsidP="00D15F52">
            <w:pPr>
              <w:autoSpaceDE w:val="0"/>
              <w:autoSpaceDN w:val="0"/>
              <w:adjustRightInd w:val="0"/>
              <w:snapToGrid w:val="0"/>
              <w:spacing w:before="60" w:after="60"/>
              <w:jc w:val="center"/>
              <w:rPr>
                <w:color w:val="000000" w:themeColor="text1"/>
                <w:lang w:val="en-AU"/>
              </w:rPr>
            </w:pPr>
            <w:r w:rsidRPr="00606CAD">
              <w:rPr>
                <w:color w:val="000000" w:themeColor="text1"/>
                <w:lang w:val="en-AU"/>
              </w:rPr>
              <w:t>3.00</w:t>
            </w:r>
          </w:p>
        </w:tc>
        <w:tc>
          <w:tcPr>
            <w:tcW w:w="1531" w:type="dxa"/>
            <w:vAlign w:val="center"/>
          </w:tcPr>
          <w:p w14:paraId="17247C5C" w14:textId="1C7D6398" w:rsidR="00D15F52" w:rsidRPr="00606CAD" w:rsidRDefault="00D15F52" w:rsidP="00D15F52">
            <w:pPr>
              <w:autoSpaceDE w:val="0"/>
              <w:autoSpaceDN w:val="0"/>
              <w:adjustRightInd w:val="0"/>
              <w:snapToGrid w:val="0"/>
              <w:spacing w:before="60" w:after="60"/>
              <w:jc w:val="center"/>
              <w:rPr>
                <w:color w:val="000000" w:themeColor="text1"/>
                <w:lang w:val="en-AU"/>
              </w:rPr>
            </w:pPr>
            <w:r w:rsidRPr="00CC79C3">
              <w:t>354</w:t>
            </w:r>
          </w:p>
        </w:tc>
        <w:tc>
          <w:tcPr>
            <w:tcW w:w="1531" w:type="dxa"/>
            <w:vAlign w:val="center"/>
          </w:tcPr>
          <w:p w14:paraId="6DC38932" w14:textId="5D6AD8CB" w:rsidR="00D15F52" w:rsidRPr="00606CAD" w:rsidRDefault="00D15F52" w:rsidP="00D15F52">
            <w:pPr>
              <w:autoSpaceDE w:val="0"/>
              <w:autoSpaceDN w:val="0"/>
              <w:adjustRightInd w:val="0"/>
              <w:snapToGrid w:val="0"/>
              <w:spacing w:before="60" w:after="60"/>
              <w:jc w:val="center"/>
              <w:rPr>
                <w:color w:val="000000" w:themeColor="text1"/>
                <w:lang w:val="en-AU"/>
              </w:rPr>
            </w:pPr>
            <w:r w:rsidRPr="006140C9">
              <w:t>0.2%</w:t>
            </w:r>
          </w:p>
        </w:tc>
      </w:tr>
      <w:tr w:rsidR="00D15F52" w14:paraId="1F8025EC" w14:textId="77777777" w:rsidTr="00D15F52">
        <w:trPr>
          <w:trHeight w:val="567"/>
        </w:trPr>
        <w:tc>
          <w:tcPr>
            <w:tcW w:w="1838" w:type="dxa"/>
            <w:vAlign w:val="center"/>
          </w:tcPr>
          <w:p w14:paraId="3B207F2C" w14:textId="77777777" w:rsidR="00D15F52" w:rsidRPr="00D15F52" w:rsidRDefault="00D15F52" w:rsidP="00D15F52">
            <w:pPr>
              <w:snapToGrid w:val="0"/>
              <w:spacing w:before="60" w:after="60"/>
              <w:jc w:val="left"/>
              <w:rPr>
                <w:b/>
              </w:rPr>
            </w:pPr>
            <w:r w:rsidRPr="00D15F52">
              <w:rPr>
                <w:b/>
              </w:rPr>
              <w:t xml:space="preserve">Total RHLs </w:t>
            </w:r>
          </w:p>
        </w:tc>
        <w:tc>
          <w:tcPr>
            <w:tcW w:w="1531" w:type="dxa"/>
            <w:vAlign w:val="center"/>
          </w:tcPr>
          <w:p w14:paraId="68BB98A5" w14:textId="77777777" w:rsidR="00D15F52" w:rsidRPr="00D15F52" w:rsidRDefault="00D15F52" w:rsidP="00D15F52">
            <w:pPr>
              <w:snapToGrid w:val="0"/>
              <w:spacing w:before="60" w:after="60"/>
              <w:jc w:val="center"/>
              <w:rPr>
                <w:b/>
              </w:rPr>
            </w:pPr>
            <w:r w:rsidRPr="00D15F52">
              <w:rPr>
                <w:b/>
              </w:rPr>
              <w:t>66,294</w:t>
            </w:r>
          </w:p>
        </w:tc>
        <w:tc>
          <w:tcPr>
            <w:tcW w:w="1531" w:type="dxa"/>
            <w:vAlign w:val="center"/>
          </w:tcPr>
          <w:p w14:paraId="7FDBD930" w14:textId="77777777" w:rsidR="00D15F52" w:rsidRPr="00D15F52" w:rsidRDefault="00D15F52" w:rsidP="00D15F52">
            <w:pPr>
              <w:snapToGrid w:val="0"/>
              <w:spacing w:before="60" w:after="60"/>
              <w:jc w:val="center"/>
              <w:rPr>
                <w:b/>
              </w:rPr>
            </w:pPr>
          </w:p>
        </w:tc>
        <w:tc>
          <w:tcPr>
            <w:tcW w:w="1531" w:type="dxa"/>
            <w:vAlign w:val="center"/>
          </w:tcPr>
          <w:p w14:paraId="3028122E" w14:textId="77777777" w:rsidR="00D15F52" w:rsidRPr="00D15F52" w:rsidRDefault="00D15F52" w:rsidP="00D15F52">
            <w:pPr>
              <w:snapToGrid w:val="0"/>
              <w:spacing w:before="60" w:after="60"/>
              <w:jc w:val="center"/>
              <w:rPr>
                <w:b/>
              </w:rPr>
            </w:pPr>
          </w:p>
        </w:tc>
        <w:tc>
          <w:tcPr>
            <w:tcW w:w="1531" w:type="dxa"/>
            <w:vAlign w:val="center"/>
          </w:tcPr>
          <w:p w14:paraId="0C4E3F6A" w14:textId="0C1A6406" w:rsidR="00D15F52" w:rsidRPr="00D15F52" w:rsidRDefault="00D15F52" w:rsidP="00D15F52">
            <w:pPr>
              <w:autoSpaceDE w:val="0"/>
              <w:autoSpaceDN w:val="0"/>
              <w:adjustRightInd w:val="0"/>
              <w:snapToGrid w:val="0"/>
              <w:spacing w:before="60" w:after="60"/>
              <w:jc w:val="center"/>
              <w:rPr>
                <w:b/>
                <w:bCs/>
                <w:color w:val="000000" w:themeColor="text1"/>
                <w:lang w:val="en-AU"/>
              </w:rPr>
            </w:pPr>
            <w:r w:rsidRPr="00D15F52">
              <w:rPr>
                <w:b/>
              </w:rPr>
              <w:t>218,515</w:t>
            </w:r>
          </w:p>
        </w:tc>
        <w:tc>
          <w:tcPr>
            <w:tcW w:w="1531" w:type="dxa"/>
            <w:vAlign w:val="center"/>
          </w:tcPr>
          <w:p w14:paraId="30E36AAC" w14:textId="77777777" w:rsidR="00D15F52" w:rsidRPr="00D15F52" w:rsidRDefault="00D15F52" w:rsidP="00D15F52">
            <w:pPr>
              <w:autoSpaceDE w:val="0"/>
              <w:autoSpaceDN w:val="0"/>
              <w:adjustRightInd w:val="0"/>
              <w:snapToGrid w:val="0"/>
              <w:spacing w:before="60" w:after="60"/>
              <w:jc w:val="center"/>
              <w:rPr>
                <w:b/>
                <w:bCs/>
                <w:color w:val="000000" w:themeColor="text1"/>
                <w:lang w:val="en-AU"/>
              </w:rPr>
            </w:pPr>
            <w:r w:rsidRPr="00D15F52">
              <w:rPr>
                <w:b/>
                <w:color w:val="000000" w:themeColor="text1"/>
                <w:lang w:val="en-AU"/>
              </w:rPr>
              <w:t>100.0%</w:t>
            </w:r>
          </w:p>
        </w:tc>
      </w:tr>
      <w:tr w:rsidR="00D15F52" w14:paraId="4C5EEAC1" w14:textId="77777777" w:rsidTr="00244B21">
        <w:trPr>
          <w:trHeight w:val="567"/>
        </w:trPr>
        <w:tc>
          <w:tcPr>
            <w:tcW w:w="1838" w:type="dxa"/>
            <w:vAlign w:val="center"/>
          </w:tcPr>
          <w:p w14:paraId="1FF9357A" w14:textId="5CCEBFCA" w:rsidR="00D15F52" w:rsidRPr="00606CAD" w:rsidRDefault="00DE60B6" w:rsidP="00244B21">
            <w:pPr>
              <w:autoSpaceDE w:val="0"/>
              <w:autoSpaceDN w:val="0"/>
              <w:adjustRightInd w:val="0"/>
              <w:snapToGrid w:val="0"/>
              <w:spacing w:before="60" w:after="60"/>
              <w:jc w:val="left"/>
              <w:rPr>
                <w:color w:val="000000" w:themeColor="text1"/>
                <w:lang w:val="en-AU"/>
              </w:rPr>
            </w:pPr>
            <w:r>
              <w:rPr>
                <w:color w:val="000000" w:themeColor="text1"/>
                <w:lang w:val="en-AU"/>
              </w:rPr>
              <w:t>Industry s</w:t>
            </w:r>
            <w:r w:rsidR="00D15F52" w:rsidRPr="00606CAD">
              <w:rPr>
                <w:color w:val="000000" w:themeColor="text1"/>
                <w:lang w:val="en-AU"/>
              </w:rPr>
              <w:t>ervices</w:t>
            </w:r>
          </w:p>
        </w:tc>
        <w:tc>
          <w:tcPr>
            <w:tcW w:w="1531" w:type="dxa"/>
            <w:vAlign w:val="center"/>
          </w:tcPr>
          <w:p w14:paraId="3685427E" w14:textId="065BDF58" w:rsidR="00D15F52" w:rsidRDefault="00D15F52" w:rsidP="00244B21">
            <w:pPr>
              <w:snapToGrid w:val="0"/>
              <w:spacing w:before="60" w:after="60"/>
              <w:jc w:val="center"/>
            </w:pPr>
            <w:r>
              <w:t>66,294</w:t>
            </w:r>
          </w:p>
        </w:tc>
        <w:tc>
          <w:tcPr>
            <w:tcW w:w="1531" w:type="dxa"/>
            <w:vAlign w:val="center"/>
          </w:tcPr>
          <w:p w14:paraId="3154A5F4" w14:textId="41927584" w:rsidR="00D15F52" w:rsidRPr="00606CAD" w:rsidRDefault="00FE74F2" w:rsidP="00244B21">
            <w:pPr>
              <w:snapToGrid w:val="0"/>
              <w:spacing w:before="60" w:after="60"/>
              <w:jc w:val="center"/>
            </w:pPr>
            <w:r>
              <w:t>X</w:t>
            </w:r>
          </w:p>
        </w:tc>
        <w:tc>
          <w:tcPr>
            <w:tcW w:w="1531" w:type="dxa"/>
            <w:vAlign w:val="center"/>
          </w:tcPr>
          <w:p w14:paraId="176F54BD" w14:textId="232046BC" w:rsidR="00D15F52" w:rsidRPr="00606CAD" w:rsidRDefault="00D15F52" w:rsidP="00244B21">
            <w:pPr>
              <w:snapToGrid w:val="0"/>
              <w:spacing w:before="60" w:after="60"/>
              <w:jc w:val="center"/>
            </w:pPr>
            <w:r>
              <w:t>0.05</w:t>
            </w:r>
          </w:p>
        </w:tc>
        <w:tc>
          <w:tcPr>
            <w:tcW w:w="1531" w:type="dxa"/>
            <w:vAlign w:val="center"/>
          </w:tcPr>
          <w:p w14:paraId="25129AFF" w14:textId="17284A27" w:rsidR="00D15F52" w:rsidRPr="00606CAD" w:rsidRDefault="00D15F52" w:rsidP="00244B21">
            <w:pPr>
              <w:autoSpaceDE w:val="0"/>
              <w:autoSpaceDN w:val="0"/>
              <w:adjustRightInd w:val="0"/>
              <w:snapToGrid w:val="0"/>
              <w:spacing w:before="60" w:after="60"/>
              <w:jc w:val="center"/>
              <w:rPr>
                <w:color w:val="000000" w:themeColor="text1"/>
                <w:lang w:val="en-AU"/>
              </w:rPr>
            </w:pPr>
            <w:r w:rsidRPr="00D15F52">
              <w:rPr>
                <w:color w:val="000000" w:themeColor="text1"/>
                <w:lang w:val="en-AU"/>
              </w:rPr>
              <w:t>3,315</w:t>
            </w:r>
          </w:p>
        </w:tc>
        <w:tc>
          <w:tcPr>
            <w:tcW w:w="1531" w:type="dxa"/>
            <w:vAlign w:val="center"/>
          </w:tcPr>
          <w:p w14:paraId="55D0F54A" w14:textId="77777777" w:rsidR="00D15F52" w:rsidRPr="00606CAD" w:rsidRDefault="00D15F52" w:rsidP="00244B21">
            <w:pPr>
              <w:snapToGrid w:val="0"/>
              <w:spacing w:before="60" w:after="60"/>
              <w:jc w:val="center"/>
            </w:pPr>
          </w:p>
        </w:tc>
      </w:tr>
      <w:tr w:rsidR="003209EE" w14:paraId="017B0787" w14:textId="77777777" w:rsidTr="00244B21">
        <w:trPr>
          <w:trHeight w:val="567"/>
        </w:trPr>
        <w:tc>
          <w:tcPr>
            <w:tcW w:w="1838" w:type="dxa"/>
            <w:vAlign w:val="center"/>
          </w:tcPr>
          <w:p w14:paraId="123B959F" w14:textId="7E52A920" w:rsidR="003209EE" w:rsidRPr="00606CAD" w:rsidRDefault="00DE60B6" w:rsidP="00244B21">
            <w:pPr>
              <w:autoSpaceDE w:val="0"/>
              <w:autoSpaceDN w:val="0"/>
              <w:adjustRightInd w:val="0"/>
              <w:snapToGrid w:val="0"/>
              <w:spacing w:before="60" w:after="60"/>
              <w:jc w:val="left"/>
              <w:rPr>
                <w:color w:val="000000" w:themeColor="text1"/>
                <w:lang w:val="en-AU"/>
              </w:rPr>
            </w:pPr>
            <w:r>
              <w:rPr>
                <w:color w:val="000000" w:themeColor="text1"/>
                <w:lang w:val="en-AU"/>
              </w:rPr>
              <w:t>Refrigerated t</w:t>
            </w:r>
            <w:r w:rsidR="003209EE" w:rsidRPr="00606CAD">
              <w:rPr>
                <w:color w:val="000000" w:themeColor="text1"/>
                <w:lang w:val="en-AU"/>
              </w:rPr>
              <w:t xml:space="preserve">ransport </w:t>
            </w:r>
            <w:r>
              <w:rPr>
                <w:color w:val="000000" w:themeColor="text1"/>
                <w:lang w:val="en-AU"/>
              </w:rPr>
              <w:t>v</w:t>
            </w:r>
            <w:r w:rsidR="003209EE" w:rsidRPr="00606CAD">
              <w:rPr>
                <w:color w:val="000000" w:themeColor="text1"/>
                <w:lang w:val="en-AU"/>
              </w:rPr>
              <w:t>ehicles</w:t>
            </w:r>
          </w:p>
        </w:tc>
        <w:tc>
          <w:tcPr>
            <w:tcW w:w="1531" w:type="dxa"/>
            <w:vAlign w:val="center"/>
          </w:tcPr>
          <w:p w14:paraId="12E7A1CC" w14:textId="77777777" w:rsidR="003209EE" w:rsidRPr="00606CAD" w:rsidRDefault="003209EE" w:rsidP="00244B21">
            <w:pPr>
              <w:snapToGrid w:val="0"/>
              <w:spacing w:before="60" w:after="60"/>
              <w:jc w:val="center"/>
            </w:pPr>
            <w:r>
              <w:t>38,284</w:t>
            </w:r>
          </w:p>
        </w:tc>
        <w:tc>
          <w:tcPr>
            <w:tcW w:w="1531" w:type="dxa"/>
            <w:vAlign w:val="center"/>
          </w:tcPr>
          <w:p w14:paraId="5B36C8F4" w14:textId="2AB32B43" w:rsidR="003209EE" w:rsidRPr="00606CAD" w:rsidRDefault="00FE74F2" w:rsidP="00244B21">
            <w:pPr>
              <w:snapToGrid w:val="0"/>
              <w:spacing w:before="60" w:after="60"/>
              <w:jc w:val="center"/>
            </w:pPr>
            <w:r>
              <w:t>X</w:t>
            </w:r>
          </w:p>
        </w:tc>
        <w:tc>
          <w:tcPr>
            <w:tcW w:w="1531" w:type="dxa"/>
            <w:vAlign w:val="center"/>
          </w:tcPr>
          <w:p w14:paraId="5FC81B2B" w14:textId="77777777" w:rsidR="003209EE" w:rsidRPr="00606CAD" w:rsidRDefault="003209EE" w:rsidP="00244B21">
            <w:pPr>
              <w:snapToGrid w:val="0"/>
              <w:spacing w:before="60" w:after="60"/>
              <w:jc w:val="center"/>
            </w:pPr>
            <w:r w:rsidRPr="00606CAD">
              <w:t>2.00</w:t>
            </w:r>
          </w:p>
        </w:tc>
        <w:tc>
          <w:tcPr>
            <w:tcW w:w="1531" w:type="dxa"/>
            <w:vAlign w:val="center"/>
          </w:tcPr>
          <w:p w14:paraId="1AC73B5B" w14:textId="77777777" w:rsidR="003209EE" w:rsidRPr="00606CAD" w:rsidRDefault="003209EE" w:rsidP="00244B21">
            <w:pPr>
              <w:autoSpaceDE w:val="0"/>
              <w:autoSpaceDN w:val="0"/>
              <w:adjustRightInd w:val="0"/>
              <w:snapToGrid w:val="0"/>
              <w:spacing w:before="60" w:after="60"/>
              <w:jc w:val="center"/>
              <w:rPr>
                <w:color w:val="000000" w:themeColor="text1"/>
                <w:lang w:val="en-AU"/>
              </w:rPr>
            </w:pPr>
            <w:r w:rsidRPr="00606CAD">
              <w:rPr>
                <w:color w:val="000000" w:themeColor="text1"/>
                <w:lang w:val="en-AU"/>
              </w:rPr>
              <w:t>76,569</w:t>
            </w:r>
          </w:p>
        </w:tc>
        <w:tc>
          <w:tcPr>
            <w:tcW w:w="1531" w:type="dxa"/>
            <w:vAlign w:val="center"/>
          </w:tcPr>
          <w:p w14:paraId="683CD9C3" w14:textId="77777777" w:rsidR="003209EE" w:rsidRPr="00606CAD" w:rsidRDefault="003209EE" w:rsidP="00244B21">
            <w:pPr>
              <w:snapToGrid w:val="0"/>
              <w:spacing w:before="60" w:after="60"/>
              <w:jc w:val="center"/>
            </w:pPr>
          </w:p>
        </w:tc>
      </w:tr>
      <w:tr w:rsidR="003209EE" w14:paraId="679B9EB6" w14:textId="77777777" w:rsidTr="00244B21">
        <w:trPr>
          <w:trHeight w:val="567"/>
        </w:trPr>
        <w:tc>
          <w:tcPr>
            <w:tcW w:w="6431" w:type="dxa"/>
            <w:gridSpan w:val="4"/>
            <w:vAlign w:val="center"/>
          </w:tcPr>
          <w:p w14:paraId="67F315D2" w14:textId="77777777" w:rsidR="003209EE" w:rsidRPr="00606CAD" w:rsidRDefault="003209EE" w:rsidP="00244B21">
            <w:pPr>
              <w:snapToGrid w:val="0"/>
              <w:spacing w:before="60" w:after="60"/>
              <w:jc w:val="left"/>
            </w:pPr>
            <w:r w:rsidRPr="001C361F">
              <w:rPr>
                <w:b/>
              </w:rPr>
              <w:t>Total Employment in RAC Industry in Australia</w:t>
            </w:r>
          </w:p>
        </w:tc>
        <w:tc>
          <w:tcPr>
            <w:tcW w:w="1531" w:type="dxa"/>
            <w:vAlign w:val="center"/>
          </w:tcPr>
          <w:p w14:paraId="7398F530" w14:textId="3C9994DD" w:rsidR="003209EE" w:rsidRPr="00606CAD" w:rsidRDefault="00D15F52" w:rsidP="00244B21">
            <w:pPr>
              <w:autoSpaceDE w:val="0"/>
              <w:autoSpaceDN w:val="0"/>
              <w:adjustRightInd w:val="0"/>
              <w:snapToGrid w:val="0"/>
              <w:spacing w:before="60" w:after="60"/>
              <w:jc w:val="center"/>
              <w:rPr>
                <w:color w:val="000000" w:themeColor="text1"/>
                <w:lang w:val="en-AU"/>
              </w:rPr>
            </w:pPr>
            <w:r w:rsidRPr="00D15F52">
              <w:rPr>
                <w:b/>
                <w:bCs/>
                <w:color w:val="000000" w:themeColor="text1"/>
                <w:lang w:val="en-AU"/>
              </w:rPr>
              <w:t>298,398</w:t>
            </w:r>
          </w:p>
        </w:tc>
        <w:tc>
          <w:tcPr>
            <w:tcW w:w="1531" w:type="dxa"/>
            <w:vAlign w:val="center"/>
          </w:tcPr>
          <w:p w14:paraId="4E031724" w14:textId="77777777" w:rsidR="003209EE" w:rsidRPr="00606CAD" w:rsidRDefault="003209EE" w:rsidP="00244B21">
            <w:pPr>
              <w:snapToGrid w:val="0"/>
              <w:spacing w:before="60" w:after="60"/>
              <w:jc w:val="center"/>
            </w:pPr>
          </w:p>
        </w:tc>
      </w:tr>
    </w:tbl>
    <w:p w14:paraId="582495C4" w14:textId="77777777" w:rsidR="003209EE" w:rsidRPr="0097399C" w:rsidRDefault="003209EE" w:rsidP="003209EE">
      <w:pPr>
        <w:rPr>
          <w:rFonts w:cs="Times New Roman"/>
          <w:sz w:val="20"/>
          <w:szCs w:val="20"/>
        </w:rPr>
      </w:pPr>
      <w:bookmarkStart w:id="184" w:name="_Toc233084071"/>
      <w:r w:rsidRPr="0097399C">
        <w:rPr>
          <w:rFonts w:cs="Times New Roman"/>
          <w:sz w:val="20"/>
          <w:szCs w:val="20"/>
        </w:rPr>
        <w:t>Notes:</w:t>
      </w:r>
    </w:p>
    <w:p w14:paraId="19D06A93" w14:textId="77777777" w:rsidR="00540BA2" w:rsidRDefault="003209EE" w:rsidP="00CE6F99">
      <w:pPr>
        <w:pStyle w:val="ListParagraph"/>
        <w:numPr>
          <w:ilvl w:val="0"/>
          <w:numId w:val="52"/>
        </w:numPr>
        <w:spacing w:before="120" w:after="0" w:line="240" w:lineRule="auto"/>
        <w:contextualSpacing w:val="0"/>
        <w:jc w:val="both"/>
        <w:rPr>
          <w:rFonts w:ascii="Times New Roman" w:hAnsi="Times New Roman"/>
          <w:sz w:val="20"/>
          <w:szCs w:val="20"/>
        </w:rPr>
      </w:pPr>
      <w:r w:rsidRPr="00540BA2">
        <w:rPr>
          <w:rFonts w:ascii="Times New Roman" w:hAnsi="Times New Roman"/>
          <w:sz w:val="20"/>
          <w:szCs w:val="20"/>
        </w:rPr>
        <w:t>Employment multipliers were derived for each class of licence type to provide full time employment numbers in that technology segment directly involved with selling or servicing the technology including the licence holder themselves, and people employed in administration and sales of parts, equipment and materials that directly support the employment of the licence holder.</w:t>
      </w:r>
    </w:p>
    <w:p w14:paraId="203BE22B" w14:textId="067F84C9" w:rsidR="003209EE" w:rsidRPr="00540BA2" w:rsidRDefault="003209EE" w:rsidP="00CE6F99">
      <w:pPr>
        <w:pStyle w:val="ListParagraph"/>
        <w:numPr>
          <w:ilvl w:val="0"/>
          <w:numId w:val="52"/>
        </w:numPr>
        <w:spacing w:before="120" w:after="0" w:line="240" w:lineRule="auto"/>
        <w:contextualSpacing w:val="0"/>
        <w:jc w:val="both"/>
        <w:rPr>
          <w:rFonts w:ascii="Times New Roman" w:hAnsi="Times New Roman"/>
          <w:sz w:val="20"/>
          <w:szCs w:val="20"/>
        </w:rPr>
      </w:pPr>
      <w:r w:rsidRPr="00540BA2">
        <w:rPr>
          <w:rFonts w:ascii="Times New Roman" w:hAnsi="Times New Roman"/>
          <w:sz w:val="20"/>
          <w:szCs w:val="20"/>
        </w:rPr>
        <w:t>Commercial AC includes RHLs permitted to install light commercial system</w:t>
      </w:r>
      <w:r w:rsidR="009A2D49">
        <w:rPr>
          <w:rFonts w:ascii="Times New Roman" w:hAnsi="Times New Roman"/>
          <w:sz w:val="20"/>
          <w:szCs w:val="20"/>
        </w:rPr>
        <w:t>s</w:t>
      </w:r>
      <w:r w:rsidRPr="00540BA2">
        <w:rPr>
          <w:rFonts w:ascii="Times New Roman" w:hAnsi="Times New Roman"/>
          <w:sz w:val="20"/>
          <w:szCs w:val="20"/>
        </w:rPr>
        <w:t xml:space="preserve"> (typically &gt;18 kWr) for residential and commercial applications as space chillers.</w:t>
      </w:r>
      <w:r w:rsidR="00540BA2" w:rsidRPr="00540BA2">
        <w:rPr>
          <w:rFonts w:ascii="Times New Roman" w:hAnsi="Times New Roman"/>
          <w:sz w:val="20"/>
          <w:szCs w:val="20"/>
        </w:rPr>
        <w:t xml:space="preserve"> Assumed a 70%/30% split for </w:t>
      </w:r>
      <w:r w:rsidR="00540BA2">
        <w:rPr>
          <w:rFonts w:ascii="Times New Roman" w:hAnsi="Times New Roman"/>
          <w:sz w:val="20"/>
          <w:szCs w:val="20"/>
        </w:rPr>
        <w:t>c</w:t>
      </w:r>
      <w:r w:rsidR="00540BA2" w:rsidRPr="00540BA2">
        <w:rPr>
          <w:rFonts w:ascii="Times New Roman" w:hAnsi="Times New Roman"/>
          <w:sz w:val="20"/>
          <w:szCs w:val="20"/>
        </w:rPr>
        <w:t xml:space="preserve">ommercial </w:t>
      </w:r>
      <w:r w:rsidR="00540BA2">
        <w:rPr>
          <w:rFonts w:ascii="Times New Roman" w:hAnsi="Times New Roman"/>
          <w:sz w:val="20"/>
          <w:szCs w:val="20"/>
        </w:rPr>
        <w:t>air conditioning /</w:t>
      </w:r>
      <w:r w:rsidR="00540BA2" w:rsidRPr="00540BA2">
        <w:rPr>
          <w:rFonts w:ascii="Times New Roman" w:hAnsi="Times New Roman"/>
          <w:sz w:val="20"/>
          <w:szCs w:val="20"/>
        </w:rPr>
        <w:t>refrigeration</w:t>
      </w:r>
      <w:r w:rsidR="00540BA2">
        <w:rPr>
          <w:rFonts w:ascii="Times New Roman" w:hAnsi="Times New Roman"/>
          <w:sz w:val="20"/>
          <w:szCs w:val="20"/>
        </w:rPr>
        <w:t>.</w:t>
      </w:r>
    </w:p>
    <w:p w14:paraId="34605C2C" w14:textId="778ED0B0" w:rsidR="003209EE" w:rsidRPr="001C6486" w:rsidRDefault="003209EE" w:rsidP="00FC735C">
      <w:pPr>
        <w:pStyle w:val="ListParagraph"/>
        <w:numPr>
          <w:ilvl w:val="0"/>
          <w:numId w:val="52"/>
        </w:numPr>
        <w:spacing w:before="120" w:after="0" w:line="240" w:lineRule="auto"/>
        <w:contextualSpacing w:val="0"/>
        <w:jc w:val="both"/>
        <w:rPr>
          <w:rFonts w:ascii="Times New Roman" w:hAnsi="Times New Roman"/>
          <w:sz w:val="20"/>
          <w:szCs w:val="20"/>
        </w:rPr>
      </w:pPr>
      <w:r w:rsidRPr="001C6486">
        <w:rPr>
          <w:rFonts w:ascii="Times New Roman" w:hAnsi="Times New Roman"/>
          <w:sz w:val="20"/>
          <w:szCs w:val="20"/>
        </w:rPr>
        <w:t xml:space="preserve">Automotive air conditioning: Employed to inspect and service air conditioning in the Australian fleet of private motor vehicles, buses, trucks, trains and other unregistered mobile systems. A majority of these licence holders would most likely be primarily employed as auto mechanics servicing private motor vehicles and would hold the automotive air conditioning licence as a necessary 'ticket' for their employment. These 'part time' air conditioning maintenance jobs are however multiplied by administration staff that assist with the supply of parts associated with this large stock of equipment. Costs of importers engaged in delivering new and pre-charged equipment </w:t>
      </w:r>
      <w:r w:rsidR="009A2D49">
        <w:rPr>
          <w:rFonts w:ascii="Times New Roman" w:hAnsi="Times New Roman"/>
          <w:sz w:val="20"/>
          <w:szCs w:val="20"/>
        </w:rPr>
        <w:t xml:space="preserve">are </w:t>
      </w:r>
      <w:r w:rsidRPr="001C6486">
        <w:rPr>
          <w:rFonts w:ascii="Times New Roman" w:hAnsi="Times New Roman"/>
          <w:sz w:val="20"/>
          <w:szCs w:val="20"/>
        </w:rPr>
        <w:t>picked up in spending on hardware.</w:t>
      </w:r>
    </w:p>
    <w:p w14:paraId="6FBCC193" w14:textId="6DACE2A3" w:rsidR="003209EE" w:rsidRPr="001C6486" w:rsidRDefault="003209EE" w:rsidP="00FC735C">
      <w:pPr>
        <w:pStyle w:val="ListParagraph"/>
        <w:numPr>
          <w:ilvl w:val="0"/>
          <w:numId w:val="52"/>
        </w:numPr>
        <w:spacing w:before="120" w:after="0" w:line="240" w:lineRule="auto"/>
        <w:contextualSpacing w:val="0"/>
        <w:jc w:val="both"/>
        <w:rPr>
          <w:rFonts w:ascii="Times New Roman" w:hAnsi="Times New Roman"/>
          <w:sz w:val="20"/>
          <w:szCs w:val="20"/>
        </w:rPr>
      </w:pPr>
      <w:r w:rsidRPr="001C6486">
        <w:rPr>
          <w:rFonts w:ascii="Times New Roman" w:hAnsi="Times New Roman"/>
          <w:sz w:val="20"/>
          <w:szCs w:val="20"/>
        </w:rPr>
        <w:t>Aviation: This small number of licence holders inspect, maintain and service air conditioning systems in the entire aviation fleet and are supported by skilled engineering, design and sales and administration personnel in this specialised area requiring designing, procuring, delivering, testing, recording and inspecting equipment installed.</w:t>
      </w:r>
    </w:p>
    <w:p w14:paraId="375B0A15" w14:textId="77777777" w:rsidR="003209EE" w:rsidRPr="001C6486" w:rsidRDefault="003209EE" w:rsidP="00FC735C">
      <w:pPr>
        <w:pStyle w:val="ListParagraph"/>
        <w:numPr>
          <w:ilvl w:val="0"/>
          <w:numId w:val="52"/>
        </w:numPr>
        <w:spacing w:before="120" w:after="0" w:line="240" w:lineRule="auto"/>
        <w:contextualSpacing w:val="0"/>
        <w:jc w:val="both"/>
        <w:rPr>
          <w:rFonts w:ascii="Times New Roman" w:hAnsi="Times New Roman"/>
          <w:sz w:val="20"/>
          <w:szCs w:val="20"/>
        </w:rPr>
      </w:pPr>
      <w:r w:rsidRPr="001C6486">
        <w:rPr>
          <w:rFonts w:ascii="Times New Roman" w:hAnsi="Times New Roman"/>
          <w:sz w:val="20"/>
          <w:szCs w:val="20"/>
        </w:rPr>
        <w:t>Domestic RAC: Employed only in either the refurbishment of domestic refrigeration for resale or in the installation of domestic air conditioners, cost of transport, sales people, office administration for sales etc. covered by retail price of product. Installation requires labour from electrical trades for every install.</w:t>
      </w:r>
    </w:p>
    <w:p w14:paraId="3A9E8DD6" w14:textId="1C7F6B8C" w:rsidR="003209EE" w:rsidRPr="001C6486" w:rsidRDefault="003209EE" w:rsidP="00FC735C">
      <w:pPr>
        <w:pStyle w:val="ListParagraph"/>
        <w:numPr>
          <w:ilvl w:val="0"/>
          <w:numId w:val="52"/>
        </w:numPr>
        <w:spacing w:before="120" w:after="0" w:line="240" w:lineRule="auto"/>
        <w:contextualSpacing w:val="0"/>
        <w:jc w:val="both"/>
        <w:rPr>
          <w:rFonts w:ascii="Times New Roman" w:hAnsi="Times New Roman"/>
          <w:sz w:val="20"/>
          <w:szCs w:val="20"/>
        </w:rPr>
      </w:pPr>
      <w:r w:rsidRPr="001C6486">
        <w:rPr>
          <w:rFonts w:ascii="Times New Roman" w:hAnsi="Times New Roman"/>
          <w:sz w:val="20"/>
          <w:szCs w:val="20"/>
        </w:rPr>
        <w:t>Marine: Licence holders dealing with largely customised systems that have been designed by engineers for each individual vessel, ranging from large pleasure craft to deep sea fishing vessels to passenger liners and large ships with refrigerated holds. Each licensee installs, inspects and maintains equipment designed by engineers and supplied by specialised procurement and sales staff</w:t>
      </w:r>
      <w:r w:rsidR="009A2D49">
        <w:rPr>
          <w:rFonts w:ascii="Times New Roman" w:hAnsi="Times New Roman"/>
          <w:sz w:val="20"/>
          <w:szCs w:val="20"/>
        </w:rPr>
        <w:t>,</w:t>
      </w:r>
      <w:r w:rsidRPr="001C6486">
        <w:rPr>
          <w:rFonts w:ascii="Times New Roman" w:hAnsi="Times New Roman"/>
          <w:sz w:val="20"/>
          <w:szCs w:val="20"/>
        </w:rPr>
        <w:t xml:space="preserve"> all supported by admin.</w:t>
      </w:r>
    </w:p>
    <w:p w14:paraId="6FB42C25" w14:textId="4E74FB5D" w:rsidR="003209EE" w:rsidRPr="001C6486" w:rsidRDefault="00540BA2" w:rsidP="00FC735C">
      <w:pPr>
        <w:pStyle w:val="ListParagraph"/>
        <w:numPr>
          <w:ilvl w:val="0"/>
          <w:numId w:val="52"/>
        </w:numPr>
        <w:spacing w:before="120" w:after="0" w:line="240" w:lineRule="auto"/>
        <w:contextualSpacing w:val="0"/>
        <w:jc w:val="both"/>
        <w:rPr>
          <w:rFonts w:ascii="Times New Roman" w:hAnsi="Times New Roman"/>
          <w:sz w:val="20"/>
          <w:szCs w:val="20"/>
        </w:rPr>
      </w:pPr>
      <w:r>
        <w:rPr>
          <w:rFonts w:ascii="Times New Roman" w:hAnsi="Times New Roman"/>
          <w:sz w:val="20"/>
          <w:szCs w:val="20"/>
        </w:rPr>
        <w:t>Commercial r</w:t>
      </w:r>
      <w:r w:rsidR="003209EE" w:rsidRPr="001C6486">
        <w:rPr>
          <w:rFonts w:ascii="Times New Roman" w:hAnsi="Times New Roman"/>
          <w:sz w:val="20"/>
          <w:szCs w:val="20"/>
        </w:rPr>
        <w:t>efrigeration: Employment multiplier in commercial refrigeration includes a significant number of employees, including system designers and engineers who design and deliver large supermarket and distribution centre systems, construction workers, smaller cool room contractor</w:t>
      </w:r>
      <w:r w:rsidR="009A2D49">
        <w:rPr>
          <w:rFonts w:ascii="Times New Roman" w:hAnsi="Times New Roman"/>
          <w:sz w:val="20"/>
          <w:szCs w:val="20"/>
        </w:rPr>
        <w:t>s</w:t>
      </w:r>
      <w:r w:rsidR="003209EE" w:rsidRPr="001C6486">
        <w:rPr>
          <w:rFonts w:ascii="Times New Roman" w:hAnsi="Times New Roman"/>
          <w:sz w:val="20"/>
          <w:szCs w:val="20"/>
        </w:rPr>
        <w:t xml:space="preserve"> and manual labourers and other component suppliers. Other employees include electrical trades and plumbing trades involved in these sometimes very large construction and installation projects, and in regular maintenance and repairs, control system makers, programmers, administration and services, including data monitoring insurances, financial reporting etc. </w:t>
      </w:r>
      <w:r w:rsidR="00B42686" w:rsidRPr="001C6486">
        <w:rPr>
          <w:rFonts w:ascii="Times New Roman" w:hAnsi="Times New Roman"/>
          <w:sz w:val="20"/>
          <w:szCs w:val="20"/>
        </w:rPr>
        <w:t>Additionally,</w:t>
      </w:r>
      <w:r w:rsidR="003209EE" w:rsidRPr="001C6486">
        <w:rPr>
          <w:rFonts w:ascii="Times New Roman" w:hAnsi="Times New Roman"/>
          <w:sz w:val="20"/>
          <w:szCs w:val="20"/>
        </w:rPr>
        <w:t xml:space="preserve"> the large commercial refrigeration units themselves, from the huge distribution stores at ports and rail heads, and other transport links</w:t>
      </w:r>
      <w:r w:rsidR="0044312D">
        <w:rPr>
          <w:rFonts w:ascii="Times New Roman" w:hAnsi="Times New Roman"/>
          <w:sz w:val="20"/>
          <w:szCs w:val="20"/>
        </w:rPr>
        <w:t>,</w:t>
      </w:r>
      <w:r w:rsidR="003209EE" w:rsidRPr="001C6486">
        <w:rPr>
          <w:rFonts w:ascii="Times New Roman" w:hAnsi="Times New Roman"/>
          <w:sz w:val="20"/>
          <w:szCs w:val="20"/>
        </w:rPr>
        <w:t xml:space="preserve"> have full time employment on site dealing with daily maintenance, operation and use of these infrastructure scale facilities.</w:t>
      </w:r>
    </w:p>
    <w:p w14:paraId="6E0E8CBD" w14:textId="5F4D95BA" w:rsidR="003209EE" w:rsidRPr="0097399C" w:rsidRDefault="003209EE" w:rsidP="00FC735C">
      <w:pPr>
        <w:pStyle w:val="ListParagraph"/>
        <w:numPr>
          <w:ilvl w:val="0"/>
          <w:numId w:val="52"/>
        </w:numPr>
        <w:snapToGrid w:val="0"/>
        <w:spacing w:before="60" w:after="0" w:line="240" w:lineRule="auto"/>
        <w:ind w:left="357" w:hanging="357"/>
        <w:contextualSpacing w:val="0"/>
        <w:jc w:val="both"/>
        <w:rPr>
          <w:rFonts w:ascii="Times New Roman" w:hAnsi="Times New Roman"/>
          <w:sz w:val="20"/>
          <w:szCs w:val="20"/>
          <w:lang w:val="en-US"/>
        </w:rPr>
      </w:pPr>
      <w:r w:rsidRPr="0097399C">
        <w:rPr>
          <w:rFonts w:ascii="Times New Roman" w:hAnsi="Times New Roman"/>
          <w:sz w:val="20"/>
          <w:szCs w:val="20"/>
          <w:lang w:val="en-US"/>
        </w:rPr>
        <w:t>Commercial AC</w:t>
      </w:r>
      <w:r w:rsidR="0044312D">
        <w:rPr>
          <w:rFonts w:ascii="Times New Roman" w:hAnsi="Times New Roman"/>
          <w:sz w:val="20"/>
          <w:szCs w:val="20"/>
          <w:lang w:val="en-US"/>
        </w:rPr>
        <w:t>:</w:t>
      </w:r>
      <w:r w:rsidRPr="0097399C">
        <w:rPr>
          <w:rFonts w:ascii="Times New Roman" w:hAnsi="Times New Roman"/>
          <w:sz w:val="20"/>
          <w:szCs w:val="20"/>
          <w:lang w:val="en-US"/>
        </w:rPr>
        <w:t xml:space="preserve"> </w:t>
      </w:r>
      <w:r w:rsidR="0044312D">
        <w:rPr>
          <w:rFonts w:ascii="Times New Roman" w:hAnsi="Times New Roman"/>
          <w:sz w:val="20"/>
          <w:szCs w:val="20"/>
          <w:lang w:val="en-US"/>
        </w:rPr>
        <w:t>I</w:t>
      </w:r>
      <w:r w:rsidRPr="0097399C">
        <w:rPr>
          <w:rFonts w:ascii="Times New Roman" w:hAnsi="Times New Roman"/>
          <w:sz w:val="20"/>
          <w:szCs w:val="20"/>
          <w:lang w:val="en-US"/>
        </w:rPr>
        <w:t>ncludes RHLs permitted to install light commercial system</w:t>
      </w:r>
      <w:r w:rsidR="0044312D">
        <w:rPr>
          <w:rFonts w:ascii="Times New Roman" w:hAnsi="Times New Roman"/>
          <w:sz w:val="20"/>
          <w:szCs w:val="20"/>
          <w:lang w:val="en-US"/>
        </w:rPr>
        <w:t>s</w:t>
      </w:r>
      <w:r w:rsidRPr="0097399C">
        <w:rPr>
          <w:rFonts w:ascii="Times New Roman" w:hAnsi="Times New Roman"/>
          <w:sz w:val="20"/>
          <w:szCs w:val="20"/>
          <w:lang w:val="en-US"/>
        </w:rPr>
        <w:t xml:space="preserve"> (typically &gt;18 kWr) for residential and commercial applications as space chillers.</w:t>
      </w:r>
      <w:r w:rsidRPr="0097399C">
        <w:rPr>
          <w:rFonts w:ascii="Times New Roman" w:hAnsi="Times New Roman"/>
          <w:sz w:val="20"/>
          <w:szCs w:val="20"/>
        </w:rPr>
        <w:t xml:space="preserve"> Employment multiplier in light commercial HVAC includes a significant number </w:t>
      </w:r>
      <w:r w:rsidR="0044312D">
        <w:rPr>
          <w:rFonts w:ascii="Times New Roman" w:hAnsi="Times New Roman"/>
          <w:sz w:val="20"/>
          <w:szCs w:val="20"/>
        </w:rPr>
        <w:t xml:space="preserve">of </w:t>
      </w:r>
      <w:r w:rsidRPr="0097399C">
        <w:rPr>
          <w:rFonts w:ascii="Times New Roman" w:hAnsi="Times New Roman"/>
          <w:sz w:val="20"/>
          <w:szCs w:val="20"/>
        </w:rPr>
        <w:t>system designers and engineers who design and deliver large commercial building systems, ducting manufacturers and installers, fan manufacturers, and fabricators of other air handling components, construction workers, parts suppliers for extensive and routine repairs and maintenance work, electrical trades and plumbing trades involved in installations, control system makers, programmers and other services, including insurances, financial reporting etc.</w:t>
      </w:r>
    </w:p>
    <w:p w14:paraId="3F3A0DE5" w14:textId="2949B7EA" w:rsidR="003209EE" w:rsidRPr="001C6486" w:rsidRDefault="00540BA2" w:rsidP="00FC735C">
      <w:pPr>
        <w:pStyle w:val="ListParagraph"/>
        <w:numPr>
          <w:ilvl w:val="0"/>
          <w:numId w:val="52"/>
        </w:numPr>
        <w:spacing w:before="120" w:after="0" w:line="240" w:lineRule="auto"/>
        <w:contextualSpacing w:val="0"/>
        <w:jc w:val="both"/>
        <w:rPr>
          <w:rFonts w:ascii="Times New Roman" w:hAnsi="Times New Roman"/>
          <w:sz w:val="20"/>
          <w:szCs w:val="20"/>
        </w:rPr>
      </w:pPr>
      <w:r>
        <w:rPr>
          <w:rFonts w:ascii="Times New Roman" w:hAnsi="Times New Roman"/>
          <w:sz w:val="20"/>
          <w:szCs w:val="20"/>
        </w:rPr>
        <w:t>Split s</w:t>
      </w:r>
      <w:r w:rsidR="003209EE" w:rsidRPr="001C6486">
        <w:rPr>
          <w:rFonts w:ascii="Times New Roman" w:hAnsi="Times New Roman"/>
          <w:sz w:val="20"/>
          <w:szCs w:val="20"/>
        </w:rPr>
        <w:t xml:space="preserve">ystems &lt;18kWr: Employment multipliers in smaller split systems for residential and small commercial include electrical trades and other building trades, suppliers of consumables, sometimes required for installations and some ducting for </w:t>
      </w:r>
      <w:r w:rsidR="003209EE">
        <w:rPr>
          <w:rFonts w:ascii="Times New Roman" w:hAnsi="Times New Roman"/>
          <w:sz w:val="20"/>
          <w:szCs w:val="20"/>
        </w:rPr>
        <w:t xml:space="preserve">a </w:t>
      </w:r>
      <w:r w:rsidR="003209EE" w:rsidRPr="001C6486">
        <w:rPr>
          <w:rFonts w:ascii="Times New Roman" w:hAnsi="Times New Roman"/>
          <w:sz w:val="20"/>
          <w:szCs w:val="20"/>
        </w:rPr>
        <w:t xml:space="preserve">smaller proportion of these systems. All of these employment categories are involved in delivering and installing the more than 1 million of these units sold every year. The costs of importers, sales and administration support for sales </w:t>
      </w:r>
      <w:r w:rsidR="0044312D">
        <w:rPr>
          <w:rFonts w:ascii="Times New Roman" w:hAnsi="Times New Roman"/>
          <w:sz w:val="20"/>
          <w:szCs w:val="20"/>
        </w:rPr>
        <w:t xml:space="preserve">are </w:t>
      </w:r>
      <w:r w:rsidR="003209EE" w:rsidRPr="001C6486">
        <w:rPr>
          <w:rFonts w:ascii="Times New Roman" w:hAnsi="Times New Roman"/>
          <w:sz w:val="20"/>
          <w:szCs w:val="20"/>
        </w:rPr>
        <w:t>all covered in cost of hardware.</w:t>
      </w:r>
    </w:p>
    <w:p w14:paraId="3133DEF0" w14:textId="1866B80C" w:rsidR="003209EE" w:rsidRPr="001C6486" w:rsidRDefault="00540BA2" w:rsidP="00FC735C">
      <w:pPr>
        <w:pStyle w:val="ListParagraph"/>
        <w:numPr>
          <w:ilvl w:val="0"/>
          <w:numId w:val="52"/>
        </w:numPr>
        <w:spacing w:before="120" w:after="0" w:line="240" w:lineRule="auto"/>
        <w:contextualSpacing w:val="0"/>
        <w:jc w:val="both"/>
        <w:rPr>
          <w:rFonts w:ascii="Times New Roman" w:hAnsi="Times New Roman"/>
          <w:sz w:val="20"/>
          <w:szCs w:val="20"/>
        </w:rPr>
      </w:pPr>
      <w:r>
        <w:rPr>
          <w:rFonts w:ascii="Times New Roman" w:hAnsi="Times New Roman"/>
          <w:sz w:val="20"/>
          <w:szCs w:val="20"/>
        </w:rPr>
        <w:t>Refrigerant h</w:t>
      </w:r>
      <w:r w:rsidR="003209EE" w:rsidRPr="001C6486">
        <w:rPr>
          <w:rFonts w:ascii="Times New Roman" w:hAnsi="Times New Roman"/>
          <w:sz w:val="20"/>
          <w:szCs w:val="20"/>
        </w:rPr>
        <w:t>andler: Multiplier for refrigerant handling licence primarily in administration and sales in wholesale suppliers of gas.</w:t>
      </w:r>
    </w:p>
    <w:p w14:paraId="2DFC6160" w14:textId="465A257A" w:rsidR="003209EE" w:rsidRPr="001C6486" w:rsidRDefault="00540BA2" w:rsidP="00FC735C">
      <w:pPr>
        <w:pStyle w:val="ListParagraph"/>
        <w:numPr>
          <w:ilvl w:val="0"/>
          <w:numId w:val="52"/>
        </w:numPr>
        <w:spacing w:before="120" w:after="0" w:line="240" w:lineRule="auto"/>
        <w:contextualSpacing w:val="0"/>
        <w:jc w:val="both"/>
        <w:rPr>
          <w:rFonts w:ascii="Times New Roman" w:hAnsi="Times New Roman"/>
          <w:sz w:val="20"/>
          <w:szCs w:val="20"/>
        </w:rPr>
      </w:pPr>
      <w:r>
        <w:rPr>
          <w:rFonts w:ascii="Times New Roman" w:hAnsi="Times New Roman"/>
          <w:sz w:val="20"/>
          <w:szCs w:val="20"/>
        </w:rPr>
        <w:t>Refrigerant r</w:t>
      </w:r>
      <w:r w:rsidR="003209EE" w:rsidRPr="001C6486">
        <w:rPr>
          <w:rFonts w:ascii="Times New Roman" w:hAnsi="Times New Roman"/>
          <w:sz w:val="20"/>
          <w:szCs w:val="20"/>
        </w:rPr>
        <w:t>ecoverer: Refrigerant recovery may not be full time employment for some holders of these licences, however the process of recovery creates jobs in a 'reverse supply chain' for the return of gas for destruction or reuse via various chemical processes and testing to bring gas back to specification.</w:t>
      </w:r>
    </w:p>
    <w:p w14:paraId="46305E97" w14:textId="493329E2" w:rsidR="003209EE" w:rsidRPr="001C6486" w:rsidRDefault="003209EE" w:rsidP="00FC735C">
      <w:pPr>
        <w:pStyle w:val="ListParagraph"/>
        <w:numPr>
          <w:ilvl w:val="0"/>
          <w:numId w:val="52"/>
        </w:numPr>
        <w:spacing w:before="120" w:after="0" w:line="240" w:lineRule="auto"/>
        <w:contextualSpacing w:val="0"/>
        <w:jc w:val="both"/>
        <w:rPr>
          <w:rFonts w:ascii="Times New Roman" w:hAnsi="Times New Roman"/>
          <w:sz w:val="20"/>
          <w:szCs w:val="20"/>
        </w:rPr>
      </w:pPr>
      <w:r w:rsidRPr="001C6486">
        <w:rPr>
          <w:rFonts w:ascii="Times New Roman" w:hAnsi="Times New Roman"/>
          <w:sz w:val="20"/>
          <w:szCs w:val="20"/>
        </w:rPr>
        <w:t xml:space="preserve">Transport </w:t>
      </w:r>
      <w:r w:rsidR="00540BA2">
        <w:rPr>
          <w:rFonts w:ascii="Times New Roman" w:hAnsi="Times New Roman"/>
          <w:sz w:val="20"/>
          <w:szCs w:val="20"/>
        </w:rPr>
        <w:t>r</w:t>
      </w:r>
      <w:r w:rsidRPr="001C6486">
        <w:rPr>
          <w:rFonts w:ascii="Times New Roman" w:hAnsi="Times New Roman"/>
          <w:sz w:val="20"/>
          <w:szCs w:val="20"/>
        </w:rPr>
        <w:t xml:space="preserve">efrigeration: The small number of licence holders in this class deal with an enormous fleet of refrigerated vehicles and shipping containers that are very hard working and consume relatively high volumes of parts and consumables. Some of the refrigerated transport fleet is certainly being serviced by licence holders in the commercial refrigeration category. </w:t>
      </w:r>
      <w:r w:rsidR="00B42686" w:rsidRPr="001C6486">
        <w:rPr>
          <w:rFonts w:ascii="Times New Roman" w:hAnsi="Times New Roman"/>
          <w:sz w:val="20"/>
          <w:szCs w:val="20"/>
        </w:rPr>
        <w:t>However,</w:t>
      </w:r>
      <w:r w:rsidRPr="001C6486">
        <w:rPr>
          <w:rFonts w:ascii="Times New Roman" w:hAnsi="Times New Roman"/>
          <w:sz w:val="20"/>
          <w:szCs w:val="20"/>
        </w:rPr>
        <w:t xml:space="preserve"> it is also highly likely that a significant proportion of the transport refrigeration fleet is also being serviced by skilled tradesmen who are not licen</w:t>
      </w:r>
      <w:r>
        <w:rPr>
          <w:rFonts w:ascii="Times New Roman" w:hAnsi="Times New Roman"/>
          <w:sz w:val="20"/>
          <w:szCs w:val="20"/>
        </w:rPr>
        <w:t>s</w:t>
      </w:r>
      <w:r w:rsidRPr="001C6486">
        <w:rPr>
          <w:rFonts w:ascii="Times New Roman" w:hAnsi="Times New Roman"/>
          <w:sz w:val="20"/>
          <w:szCs w:val="20"/>
        </w:rPr>
        <w:t>ed.</w:t>
      </w:r>
    </w:p>
    <w:p w14:paraId="48A9A1F8" w14:textId="4B15D77B" w:rsidR="003209EE" w:rsidRPr="001C6486" w:rsidRDefault="003209EE" w:rsidP="00FC735C">
      <w:pPr>
        <w:pStyle w:val="ListParagraph"/>
        <w:numPr>
          <w:ilvl w:val="0"/>
          <w:numId w:val="52"/>
        </w:numPr>
        <w:spacing w:before="120" w:after="0" w:line="240" w:lineRule="auto"/>
        <w:contextualSpacing w:val="0"/>
        <w:jc w:val="both"/>
        <w:rPr>
          <w:rFonts w:ascii="Times New Roman" w:hAnsi="Times New Roman"/>
          <w:sz w:val="20"/>
          <w:szCs w:val="20"/>
        </w:rPr>
      </w:pPr>
      <w:r w:rsidRPr="001C6486">
        <w:rPr>
          <w:rFonts w:ascii="Times New Roman" w:hAnsi="Times New Roman"/>
          <w:sz w:val="20"/>
          <w:szCs w:val="20"/>
        </w:rPr>
        <w:t xml:space="preserve">Refrigerated </w:t>
      </w:r>
      <w:r w:rsidR="00540BA2">
        <w:rPr>
          <w:rFonts w:ascii="Times New Roman" w:hAnsi="Times New Roman"/>
          <w:sz w:val="20"/>
          <w:szCs w:val="20"/>
        </w:rPr>
        <w:t>t</w:t>
      </w:r>
      <w:r w:rsidRPr="001C6486">
        <w:rPr>
          <w:rFonts w:ascii="Times New Roman" w:hAnsi="Times New Roman"/>
          <w:sz w:val="20"/>
          <w:szCs w:val="20"/>
        </w:rPr>
        <w:t xml:space="preserve">ransport </w:t>
      </w:r>
      <w:r w:rsidR="00540BA2">
        <w:rPr>
          <w:rFonts w:ascii="Times New Roman" w:hAnsi="Times New Roman"/>
          <w:sz w:val="20"/>
          <w:szCs w:val="20"/>
        </w:rPr>
        <w:t>v</w:t>
      </w:r>
      <w:r w:rsidRPr="001C6486">
        <w:rPr>
          <w:rFonts w:ascii="Times New Roman" w:hAnsi="Times New Roman"/>
          <w:sz w:val="20"/>
          <w:szCs w:val="20"/>
        </w:rPr>
        <w:t>ehicles:</w:t>
      </w:r>
      <w:r w:rsidR="00540BA2">
        <w:rPr>
          <w:rFonts w:ascii="Times New Roman" w:hAnsi="Times New Roman"/>
          <w:sz w:val="20"/>
          <w:szCs w:val="20"/>
        </w:rPr>
        <w:t xml:space="preserve"> </w:t>
      </w:r>
      <w:r w:rsidRPr="001C6486">
        <w:rPr>
          <w:rFonts w:ascii="Times New Roman" w:hAnsi="Times New Roman"/>
          <w:sz w:val="20"/>
          <w:szCs w:val="20"/>
        </w:rPr>
        <w:t>Employment multiplier for each registered refrigerated freight truck includes an average of 1.25 truck drivers for each vehicle with the balance being store men and packers, logistics and freight forwarders and administrative and sales personnel associated with consigning freight and physically getting product on and off this significant fleet of refrigerated vehicles.</w:t>
      </w:r>
    </w:p>
    <w:p w14:paraId="2EB77C24" w14:textId="5348E0E2" w:rsidR="003209EE" w:rsidRPr="0097399C" w:rsidRDefault="00540BA2" w:rsidP="00FC735C">
      <w:pPr>
        <w:pStyle w:val="ListParagraph"/>
        <w:numPr>
          <w:ilvl w:val="0"/>
          <w:numId w:val="52"/>
        </w:numPr>
        <w:spacing w:before="120" w:after="0" w:line="240" w:lineRule="auto"/>
        <w:contextualSpacing w:val="0"/>
        <w:jc w:val="both"/>
        <w:rPr>
          <w:rFonts w:ascii="Times New Roman" w:hAnsi="Times New Roman"/>
          <w:sz w:val="20"/>
          <w:szCs w:val="20"/>
        </w:rPr>
      </w:pPr>
      <w:r>
        <w:rPr>
          <w:rFonts w:ascii="Times New Roman" w:hAnsi="Times New Roman"/>
          <w:sz w:val="20"/>
          <w:szCs w:val="20"/>
        </w:rPr>
        <w:t>Industry s</w:t>
      </w:r>
      <w:r w:rsidR="003209EE" w:rsidRPr="001C6486">
        <w:rPr>
          <w:rFonts w:ascii="Times New Roman" w:hAnsi="Times New Roman"/>
          <w:sz w:val="20"/>
          <w:szCs w:val="20"/>
        </w:rPr>
        <w:t xml:space="preserve">ervices: Including curriculum development, training and education, industry associations, professional development, testing services, public administration, consulting and regulatory development, publishing, marketing, advertising, exhibition services and compliance services at </w:t>
      </w:r>
      <w:r>
        <w:rPr>
          <w:rFonts w:ascii="Times New Roman" w:hAnsi="Times New Roman"/>
          <w:sz w:val="20"/>
          <w:szCs w:val="20"/>
        </w:rPr>
        <w:t>5</w:t>
      </w:r>
      <w:r w:rsidR="003209EE" w:rsidRPr="001C6486">
        <w:rPr>
          <w:rFonts w:ascii="Times New Roman" w:hAnsi="Times New Roman"/>
          <w:sz w:val="20"/>
          <w:szCs w:val="20"/>
        </w:rPr>
        <w:t xml:space="preserve"> per cent of total licences.</w:t>
      </w:r>
    </w:p>
    <w:p w14:paraId="7FC94AD0" w14:textId="77777777" w:rsidR="00540BA2" w:rsidRDefault="00540BA2" w:rsidP="003209EE">
      <w:pPr>
        <w:rPr>
          <w:szCs w:val="22"/>
        </w:rPr>
      </w:pPr>
    </w:p>
    <w:p w14:paraId="50222AC6" w14:textId="5EBBBA7D" w:rsidR="003209EE" w:rsidRDefault="003209EE" w:rsidP="003209EE">
      <w:pPr>
        <w:rPr>
          <w:szCs w:val="22"/>
        </w:rPr>
      </w:pPr>
      <w:r>
        <w:rPr>
          <w:szCs w:val="22"/>
        </w:rPr>
        <w:t>Using the multipliers set out above it can be shown that the activity of this highly skilled and diverse licen</w:t>
      </w:r>
      <w:r w:rsidR="005615D9">
        <w:rPr>
          <w:szCs w:val="22"/>
        </w:rPr>
        <w:t>s</w:t>
      </w:r>
      <w:r w:rsidR="00735D84">
        <w:rPr>
          <w:szCs w:val="22"/>
        </w:rPr>
        <w:t>e</w:t>
      </w:r>
      <w:r>
        <w:rPr>
          <w:szCs w:val="22"/>
        </w:rPr>
        <w:t xml:space="preserve">d workforce produces totally national direct employment of nearly </w:t>
      </w:r>
      <w:r w:rsidR="00DE60B6">
        <w:rPr>
          <w:szCs w:val="22"/>
        </w:rPr>
        <w:t>298,400</w:t>
      </w:r>
      <w:r>
        <w:rPr>
          <w:szCs w:val="22"/>
        </w:rPr>
        <w:t xml:space="preserve"> jobs.</w:t>
      </w:r>
    </w:p>
    <w:p w14:paraId="49CFC286" w14:textId="400CDF13" w:rsidR="003209EE" w:rsidRPr="007122D9" w:rsidRDefault="003209EE" w:rsidP="003209EE">
      <w:pPr>
        <w:rPr>
          <w:szCs w:val="22"/>
        </w:rPr>
      </w:pPr>
      <w:r w:rsidRPr="00E703BB">
        <w:rPr>
          <w:szCs w:val="22"/>
        </w:rPr>
        <w:t xml:space="preserve">Separately from this body of employment, the refrigerated cold food chain is supplied with perishable foods via a fleet of </w:t>
      </w:r>
      <w:r>
        <w:rPr>
          <w:szCs w:val="22"/>
        </w:rPr>
        <w:t>38,</w:t>
      </w:r>
      <w:r w:rsidR="00DE60B6">
        <w:rPr>
          <w:szCs w:val="22"/>
        </w:rPr>
        <w:t>000</w:t>
      </w:r>
      <w:r>
        <w:rPr>
          <w:szCs w:val="22"/>
        </w:rPr>
        <w:t xml:space="preserve"> refrigerated vehicles (</w:t>
      </w:r>
      <w:r w:rsidRPr="00CB2E62">
        <w:rPr>
          <w:i/>
          <w:szCs w:val="22"/>
        </w:rPr>
        <w:t>CHF2 28,900</w:t>
      </w:r>
      <w:r>
        <w:rPr>
          <w:szCs w:val="22"/>
        </w:rPr>
        <w:t>)</w:t>
      </w:r>
      <w:r w:rsidRPr="00E703BB">
        <w:rPr>
          <w:szCs w:val="22"/>
        </w:rPr>
        <w:t>. Assuming that driving and keeping each of these vehicles on the road keeps two people employed full-time, i</w:t>
      </w:r>
      <w:r>
        <w:rPr>
          <w:szCs w:val="22"/>
        </w:rPr>
        <w:t>t would equate to another 76,569</w:t>
      </w:r>
      <w:r w:rsidRPr="00E703BB">
        <w:rPr>
          <w:szCs w:val="22"/>
        </w:rPr>
        <w:t xml:space="preserve"> jobs.</w:t>
      </w:r>
    </w:p>
    <w:p w14:paraId="42666B4B" w14:textId="6B9F605A" w:rsidR="003209EE" w:rsidRDefault="003209EE" w:rsidP="003209EE">
      <w:pPr>
        <w:rPr>
          <w:rFonts w:cs="Times New Roman"/>
          <w:szCs w:val="22"/>
        </w:rPr>
      </w:pPr>
      <w:r>
        <w:rPr>
          <w:rFonts w:cs="Times New Roman"/>
          <w:szCs w:val="22"/>
        </w:rPr>
        <w:t>The total labour force in Australia at the end of 2016 was 11.984 million (ABS 6202.0 2017). With total direct e</w:t>
      </w:r>
      <w:r w:rsidRPr="005D6235">
        <w:rPr>
          <w:rFonts w:cs="Times New Roman"/>
          <w:szCs w:val="22"/>
        </w:rPr>
        <w:t>mployment in RAC Industry in Australia</w:t>
      </w:r>
      <w:r>
        <w:rPr>
          <w:rFonts w:cs="Times New Roman"/>
          <w:szCs w:val="22"/>
        </w:rPr>
        <w:t xml:space="preserve"> in 2016 coming in at </w:t>
      </w:r>
      <w:r w:rsidR="00D15F52" w:rsidRPr="00D15F52">
        <w:rPr>
          <w:rFonts w:cs="Times New Roman"/>
          <w:szCs w:val="22"/>
        </w:rPr>
        <w:t>298,398</w:t>
      </w:r>
      <w:r>
        <w:rPr>
          <w:rFonts w:cs="Times New Roman"/>
          <w:szCs w:val="22"/>
        </w:rPr>
        <w:t>, (</w:t>
      </w:r>
      <w:r w:rsidRPr="00E9444C">
        <w:rPr>
          <w:rFonts w:cs="Times New Roman"/>
          <w:i/>
          <w:szCs w:val="22"/>
        </w:rPr>
        <w:t>CHF2, 173,638</w:t>
      </w:r>
      <w:r w:rsidR="00781C3C">
        <w:rPr>
          <w:rStyle w:val="FootnoteReference"/>
          <w:rFonts w:cs="Times New Roman"/>
          <w:i/>
          <w:szCs w:val="22"/>
        </w:rPr>
        <w:footnoteReference w:id="64"/>
      </w:r>
      <w:r>
        <w:rPr>
          <w:rFonts w:cs="Times New Roman"/>
          <w:szCs w:val="22"/>
        </w:rPr>
        <w:t xml:space="preserve">) this means that in 2016 the RAC industry provided </w:t>
      </w:r>
      <w:r w:rsidR="00D15F52">
        <w:rPr>
          <w:rFonts w:cs="Times New Roman"/>
          <w:szCs w:val="22"/>
        </w:rPr>
        <w:t>2.5</w:t>
      </w:r>
      <w:r>
        <w:rPr>
          <w:rFonts w:cs="Times New Roman"/>
          <w:szCs w:val="22"/>
        </w:rPr>
        <w:t>% of total employment in Australia (</w:t>
      </w:r>
      <w:r w:rsidRPr="00E9444C">
        <w:rPr>
          <w:rFonts w:cs="Times New Roman"/>
          <w:i/>
          <w:szCs w:val="22"/>
        </w:rPr>
        <w:t>CHF2 1.5%</w:t>
      </w:r>
      <w:r>
        <w:rPr>
          <w:rFonts w:cs="Times New Roman"/>
          <w:szCs w:val="22"/>
        </w:rPr>
        <w:t>).</w:t>
      </w:r>
    </w:p>
    <w:p w14:paraId="6E2EE333" w14:textId="77777777" w:rsidR="003209EE" w:rsidRDefault="003209EE" w:rsidP="003209EE">
      <w:pPr>
        <w:rPr>
          <w:rFonts w:cs="Times New Roman"/>
          <w:szCs w:val="22"/>
        </w:rPr>
      </w:pPr>
      <w:r>
        <w:rPr>
          <w:rFonts w:cs="Times New Roman"/>
          <w:szCs w:val="22"/>
        </w:rPr>
        <w:t>A very interesting metric available for this edition of Cold Hard Facts, but not reported in 2012, is the average age of an RHL holder in 2017 was around 40 years. In future studies this metric could be used to evidence the success of industry efforts to secure younger tradespeople and apprentices to enter the industry.</w:t>
      </w:r>
    </w:p>
    <w:p w14:paraId="17CF1C42" w14:textId="77777777" w:rsidR="003209EE" w:rsidRDefault="003209EE" w:rsidP="003209EE">
      <w:pPr>
        <w:rPr>
          <w:rFonts w:cs="Times New Roman"/>
          <w:szCs w:val="22"/>
        </w:rPr>
      </w:pPr>
    </w:p>
    <w:p w14:paraId="7F7BC5D9" w14:textId="5A015FAE" w:rsidR="003209EE" w:rsidRPr="005A572D" w:rsidRDefault="005A572D" w:rsidP="005A572D">
      <w:pPr>
        <w:pStyle w:val="Caption"/>
        <w:keepNext/>
        <w:rPr>
          <w:szCs w:val="22"/>
        </w:rPr>
      </w:pPr>
      <w:bookmarkStart w:id="185" w:name="_Toc525141424"/>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35</w:t>
      </w:r>
      <w:r w:rsidR="009D6843">
        <w:rPr>
          <w:noProof/>
        </w:rPr>
        <w:fldChar w:fldCharType="end"/>
      </w:r>
      <w:r w:rsidRPr="005A572D">
        <w:t xml:space="preserve">: </w:t>
      </w:r>
      <w:r w:rsidR="003209EE" w:rsidRPr="005A572D">
        <w:rPr>
          <w:szCs w:val="22"/>
        </w:rPr>
        <w:t>Average age of refrigerant handling licence holders by major sector 2017.</w:t>
      </w:r>
      <w:bookmarkEnd w:id="185"/>
    </w:p>
    <w:tbl>
      <w:tblPr>
        <w:tblStyle w:val="TableGrid"/>
        <w:tblW w:w="9351" w:type="dxa"/>
        <w:tblLook w:val="04A0" w:firstRow="1" w:lastRow="0" w:firstColumn="1" w:lastColumn="0" w:noHBand="0" w:noVBand="1"/>
      </w:tblPr>
      <w:tblGrid>
        <w:gridCol w:w="4505"/>
        <w:gridCol w:w="4846"/>
      </w:tblGrid>
      <w:tr w:rsidR="003209EE" w14:paraId="76767318" w14:textId="77777777" w:rsidTr="00244B21">
        <w:tc>
          <w:tcPr>
            <w:tcW w:w="4505" w:type="dxa"/>
          </w:tcPr>
          <w:p w14:paraId="4A6206AC" w14:textId="77777777" w:rsidR="003209EE" w:rsidRDefault="003209EE" w:rsidP="00244B21">
            <w:pPr>
              <w:spacing w:after="120"/>
              <w:rPr>
                <w:szCs w:val="22"/>
              </w:rPr>
            </w:pPr>
          </w:p>
        </w:tc>
        <w:tc>
          <w:tcPr>
            <w:tcW w:w="4846" w:type="dxa"/>
          </w:tcPr>
          <w:p w14:paraId="2DA6E39B" w14:textId="77777777" w:rsidR="003209EE" w:rsidRDefault="003209EE" w:rsidP="00244B21">
            <w:pPr>
              <w:spacing w:after="120"/>
              <w:jc w:val="center"/>
              <w:rPr>
                <w:szCs w:val="22"/>
              </w:rPr>
            </w:pPr>
            <w:r>
              <w:rPr>
                <w:szCs w:val="22"/>
              </w:rPr>
              <w:t>Average age (Years)</w:t>
            </w:r>
          </w:p>
        </w:tc>
      </w:tr>
      <w:tr w:rsidR="003209EE" w14:paraId="18D7F221" w14:textId="77777777" w:rsidTr="00244B21">
        <w:tc>
          <w:tcPr>
            <w:tcW w:w="4505" w:type="dxa"/>
          </w:tcPr>
          <w:p w14:paraId="392A4BFE" w14:textId="77777777" w:rsidR="003209EE" w:rsidRDefault="003209EE" w:rsidP="00244B21">
            <w:pPr>
              <w:spacing w:after="120"/>
              <w:rPr>
                <w:szCs w:val="22"/>
              </w:rPr>
            </w:pPr>
            <w:r w:rsidRPr="00400631">
              <w:rPr>
                <w:szCs w:val="22"/>
                <w:lang w:val="en-AU"/>
              </w:rPr>
              <w:t>Stationary R</w:t>
            </w:r>
            <w:r>
              <w:rPr>
                <w:szCs w:val="22"/>
                <w:lang w:val="en-AU"/>
              </w:rPr>
              <w:t xml:space="preserve">efrigeration and </w:t>
            </w:r>
            <w:r w:rsidRPr="00400631">
              <w:rPr>
                <w:szCs w:val="22"/>
                <w:lang w:val="en-AU"/>
              </w:rPr>
              <w:t>A</w:t>
            </w:r>
            <w:r>
              <w:rPr>
                <w:szCs w:val="22"/>
                <w:lang w:val="en-AU"/>
              </w:rPr>
              <w:t>ir Conditioning</w:t>
            </w:r>
          </w:p>
        </w:tc>
        <w:tc>
          <w:tcPr>
            <w:tcW w:w="4846" w:type="dxa"/>
          </w:tcPr>
          <w:p w14:paraId="26B214E2" w14:textId="77777777" w:rsidR="003209EE" w:rsidRDefault="003209EE" w:rsidP="00244B21">
            <w:pPr>
              <w:spacing w:after="120"/>
              <w:jc w:val="center"/>
              <w:rPr>
                <w:szCs w:val="22"/>
              </w:rPr>
            </w:pPr>
            <w:r>
              <w:rPr>
                <w:szCs w:val="22"/>
              </w:rPr>
              <w:t>39</w:t>
            </w:r>
          </w:p>
        </w:tc>
      </w:tr>
      <w:tr w:rsidR="003209EE" w14:paraId="52CF64BE" w14:textId="77777777" w:rsidTr="00244B21">
        <w:tc>
          <w:tcPr>
            <w:tcW w:w="4505" w:type="dxa"/>
          </w:tcPr>
          <w:p w14:paraId="2F708F2A" w14:textId="77777777" w:rsidR="003209EE" w:rsidRDefault="003209EE" w:rsidP="00244B21">
            <w:pPr>
              <w:spacing w:after="120"/>
              <w:rPr>
                <w:szCs w:val="22"/>
              </w:rPr>
            </w:pPr>
            <w:r w:rsidRPr="00400631">
              <w:rPr>
                <w:szCs w:val="22"/>
                <w:lang w:val="en-AU"/>
              </w:rPr>
              <w:t>Split Systems</w:t>
            </w:r>
            <w:r>
              <w:rPr>
                <w:szCs w:val="22"/>
                <w:lang w:val="en-AU"/>
              </w:rPr>
              <w:t xml:space="preserve"> Installation</w:t>
            </w:r>
          </w:p>
        </w:tc>
        <w:tc>
          <w:tcPr>
            <w:tcW w:w="4846" w:type="dxa"/>
          </w:tcPr>
          <w:p w14:paraId="0C311A6C" w14:textId="77777777" w:rsidR="003209EE" w:rsidRDefault="003209EE" w:rsidP="00244B21">
            <w:pPr>
              <w:spacing w:after="120"/>
              <w:jc w:val="center"/>
              <w:rPr>
                <w:szCs w:val="22"/>
              </w:rPr>
            </w:pPr>
            <w:r>
              <w:rPr>
                <w:szCs w:val="22"/>
              </w:rPr>
              <w:t>39</w:t>
            </w:r>
          </w:p>
        </w:tc>
      </w:tr>
      <w:tr w:rsidR="003209EE" w14:paraId="0A351EA0" w14:textId="77777777" w:rsidTr="00244B21">
        <w:tc>
          <w:tcPr>
            <w:tcW w:w="4505" w:type="dxa"/>
          </w:tcPr>
          <w:p w14:paraId="7958C01C" w14:textId="77777777" w:rsidR="003209EE" w:rsidRDefault="003209EE" w:rsidP="00244B21">
            <w:pPr>
              <w:spacing w:after="120"/>
              <w:rPr>
                <w:szCs w:val="22"/>
              </w:rPr>
            </w:pPr>
            <w:r w:rsidRPr="00400631">
              <w:rPr>
                <w:szCs w:val="22"/>
                <w:lang w:val="en-AU"/>
              </w:rPr>
              <w:t>Automotive Air Conditioning</w:t>
            </w:r>
          </w:p>
        </w:tc>
        <w:tc>
          <w:tcPr>
            <w:tcW w:w="4846" w:type="dxa"/>
          </w:tcPr>
          <w:p w14:paraId="5CCEF25F" w14:textId="77777777" w:rsidR="003209EE" w:rsidRDefault="003209EE" w:rsidP="00244B21">
            <w:pPr>
              <w:spacing w:after="120"/>
              <w:jc w:val="center"/>
              <w:rPr>
                <w:szCs w:val="22"/>
              </w:rPr>
            </w:pPr>
            <w:r>
              <w:rPr>
                <w:szCs w:val="22"/>
              </w:rPr>
              <w:t>40</w:t>
            </w:r>
          </w:p>
        </w:tc>
      </w:tr>
    </w:tbl>
    <w:p w14:paraId="32E49A1F" w14:textId="77777777" w:rsidR="003209EE" w:rsidRPr="00783EC3" w:rsidRDefault="003209EE" w:rsidP="003209EE">
      <w:pPr>
        <w:spacing w:before="0"/>
        <w:rPr>
          <w:rFonts w:cs="Times New Roman"/>
          <w:sz w:val="20"/>
          <w:szCs w:val="20"/>
        </w:rPr>
      </w:pPr>
      <w:r w:rsidRPr="00783EC3">
        <w:rPr>
          <w:rFonts w:cs="Times New Roman"/>
          <w:sz w:val="20"/>
          <w:szCs w:val="20"/>
        </w:rPr>
        <w:t>(Source: Arctick 2017)</w:t>
      </w:r>
    </w:p>
    <w:p w14:paraId="06F9615F" w14:textId="77777777" w:rsidR="003209EE" w:rsidRDefault="003209EE" w:rsidP="003209EE">
      <w:pPr>
        <w:rPr>
          <w:rFonts w:cs="Times New Roman"/>
          <w:szCs w:val="22"/>
        </w:rPr>
      </w:pPr>
    </w:p>
    <w:bookmarkEnd w:id="184"/>
    <w:p w14:paraId="28191F47" w14:textId="77777777" w:rsidR="003209EE" w:rsidRPr="0097399C" w:rsidRDefault="003209EE" w:rsidP="003209EE">
      <w:pPr>
        <w:spacing w:before="0"/>
        <w:rPr>
          <w:i/>
          <w:szCs w:val="22"/>
        </w:rPr>
      </w:pPr>
      <w:r w:rsidRPr="001C6486">
        <w:rPr>
          <w:szCs w:val="22"/>
        </w:rPr>
        <w:t>While this analysis could not be said to be exhaustive, the results are not unreasonable. In the research for CHF1, a survey of industry leaders and associations at that time arrived at a number of approximately 160,000 people employed across the industry</w:t>
      </w:r>
      <w:r>
        <w:rPr>
          <w:szCs w:val="22"/>
        </w:rPr>
        <w:t xml:space="preserve"> in 2006</w:t>
      </w:r>
      <w:r w:rsidRPr="001C6486">
        <w:rPr>
          <w:szCs w:val="22"/>
        </w:rPr>
        <w:t>, although that figure was essentially arrived at on the basis of informal survey and anecdotal evidence.</w:t>
      </w:r>
      <w:r>
        <w:rPr>
          <w:szCs w:val="22"/>
        </w:rPr>
        <w:t xml:space="preserve"> Six years later in the research for CHF2 the method developed and used above identified a total workforce of some 173,000.</w:t>
      </w:r>
    </w:p>
    <w:p w14:paraId="66D1AF3F" w14:textId="0C2152D2" w:rsidR="003209EE" w:rsidRPr="001C6486" w:rsidRDefault="003209EE" w:rsidP="003209EE">
      <w:pPr>
        <w:rPr>
          <w:szCs w:val="22"/>
        </w:rPr>
      </w:pPr>
      <w:r w:rsidRPr="001C6486">
        <w:rPr>
          <w:szCs w:val="22"/>
        </w:rPr>
        <w:t xml:space="preserve">Further, the proportions of employment (calculated in </w:t>
      </w:r>
      <w:r w:rsidR="005A572D">
        <w:rPr>
          <w:i/>
          <w:szCs w:val="22"/>
        </w:rPr>
        <w:t>Table 34</w:t>
      </w:r>
      <w:r w:rsidRPr="001C6486">
        <w:rPr>
          <w:szCs w:val="22"/>
        </w:rPr>
        <w:t>) relating directly to issued licences align quite well with the relative scale of the stock of equipment and bank of working gases in the broad classes of stationary air conditioning (looking at large systems and split systems combined), refrigerated cold food chain</w:t>
      </w:r>
      <w:r w:rsidR="0044312D">
        <w:rPr>
          <w:szCs w:val="22"/>
        </w:rPr>
        <w:t>,</w:t>
      </w:r>
      <w:r w:rsidRPr="001C6486">
        <w:rPr>
          <w:szCs w:val="22"/>
        </w:rPr>
        <w:t xml:space="preserve"> and mobile air conditioning.</w:t>
      </w:r>
    </w:p>
    <w:p w14:paraId="153CF688" w14:textId="3E75DF6E" w:rsidR="003209EE" w:rsidRPr="002E1210" w:rsidRDefault="007B1373" w:rsidP="003209EE">
      <w:pPr>
        <w:snapToGrid w:val="0"/>
        <w:spacing w:before="60"/>
        <w:rPr>
          <w:lang w:val="en-US"/>
        </w:rPr>
      </w:pPr>
      <w:r>
        <w:t xml:space="preserve">To calculate total wages paid in the industry both average annual earnings and a RAC industry ‘skilled labour’ earnings figure is used. </w:t>
      </w:r>
      <w:r w:rsidR="003209EE">
        <w:t>A</w:t>
      </w:r>
      <w:r w:rsidR="003209EE" w:rsidRPr="001C6486">
        <w:t xml:space="preserve">verage annual earnings in Australia </w:t>
      </w:r>
      <w:r w:rsidR="0044312D">
        <w:t>was</w:t>
      </w:r>
      <w:r w:rsidR="003209EE" w:rsidRPr="001C6486">
        <w:t xml:space="preserve"> </w:t>
      </w:r>
      <w:r w:rsidR="003209EE" w:rsidRPr="002E1210">
        <w:rPr>
          <w:lang w:val="en-US"/>
        </w:rPr>
        <w:t xml:space="preserve">$78,832 </w:t>
      </w:r>
      <w:r w:rsidR="0044312D">
        <w:rPr>
          <w:lang w:val="en-US"/>
        </w:rPr>
        <w:t>in 201</w:t>
      </w:r>
      <w:r w:rsidR="00F37A62">
        <w:rPr>
          <w:lang w:val="en-US"/>
        </w:rPr>
        <w:t xml:space="preserve">6 </w:t>
      </w:r>
      <w:r w:rsidR="003209EE">
        <w:t>(</w:t>
      </w:r>
      <w:r w:rsidR="003209EE" w:rsidRPr="002E1210">
        <w:rPr>
          <w:i/>
        </w:rPr>
        <w:t>CHF2 $69,992</w:t>
      </w:r>
      <w:r w:rsidR="003209EE">
        <w:t xml:space="preserve">). </w:t>
      </w:r>
      <w:r w:rsidR="00B42686">
        <w:t>However,</w:t>
      </w:r>
      <w:r w:rsidR="003209EE">
        <w:t xml:space="preserve"> </w:t>
      </w:r>
      <w:r w:rsidR="003209EE">
        <w:rPr>
          <w:lang w:val="en-US"/>
        </w:rPr>
        <w:t>t</w:t>
      </w:r>
      <w:r w:rsidR="003209EE" w:rsidRPr="002E1210">
        <w:rPr>
          <w:lang w:val="en-US"/>
        </w:rPr>
        <w:t xml:space="preserve">he average hourly rate for </w:t>
      </w:r>
      <w:r w:rsidR="003209EE">
        <w:rPr>
          <w:lang w:val="en-US"/>
        </w:rPr>
        <w:t xml:space="preserve">RAC </w:t>
      </w:r>
      <w:r w:rsidR="003209EE" w:rsidRPr="002E1210">
        <w:rPr>
          <w:lang w:val="en-US"/>
        </w:rPr>
        <w:t xml:space="preserve">service technicians </w:t>
      </w:r>
      <w:r w:rsidR="003209EE">
        <w:rPr>
          <w:lang w:val="en-US"/>
        </w:rPr>
        <w:t xml:space="preserve">with </w:t>
      </w:r>
      <w:r w:rsidR="003209EE" w:rsidRPr="002E1210">
        <w:rPr>
          <w:lang w:val="en-US"/>
        </w:rPr>
        <w:t>grea</w:t>
      </w:r>
      <w:r w:rsidR="003209EE">
        <w:rPr>
          <w:lang w:val="en-US"/>
        </w:rPr>
        <w:t xml:space="preserve">ter than 5 years’ experience was </w:t>
      </w:r>
      <w:r w:rsidR="003209EE" w:rsidRPr="002E1210">
        <w:rPr>
          <w:lang w:val="en-US"/>
        </w:rPr>
        <w:t xml:space="preserve">$41.20 </w:t>
      </w:r>
      <w:r w:rsidR="003209EE">
        <w:rPr>
          <w:lang w:val="en-US"/>
        </w:rPr>
        <w:t xml:space="preserve">in 2017, </w:t>
      </w:r>
      <w:r w:rsidR="003209EE" w:rsidRPr="002E1210">
        <w:rPr>
          <w:lang w:val="en-US"/>
        </w:rPr>
        <w:t>equating to $85,696 based on a 40 hour week and 52 weeks with no overtime and bonuses (AMCA 2017).</w:t>
      </w:r>
    </w:p>
    <w:p w14:paraId="5ECA6F6F" w14:textId="023D1B86" w:rsidR="003209EE" w:rsidRPr="001C6486" w:rsidRDefault="003209EE" w:rsidP="003209EE">
      <w:pPr>
        <w:rPr>
          <w:szCs w:val="22"/>
        </w:rPr>
      </w:pPr>
      <w:r>
        <w:rPr>
          <w:szCs w:val="22"/>
        </w:rPr>
        <w:t>Assuming that 15% of the licen</w:t>
      </w:r>
      <w:r w:rsidR="00D72BFF">
        <w:rPr>
          <w:szCs w:val="22"/>
        </w:rPr>
        <w:t>s</w:t>
      </w:r>
      <w:r>
        <w:rPr>
          <w:szCs w:val="22"/>
        </w:rPr>
        <w:t>ed RAC workforce has less than 5 years experience, and assuming their income was on the national average (without overtime or bonuses) for 2016, and applying the value reported by AMCA for the income of the other 85% of the licen</w:t>
      </w:r>
      <w:r w:rsidR="00D72BFF">
        <w:rPr>
          <w:szCs w:val="22"/>
        </w:rPr>
        <w:t>s</w:t>
      </w:r>
      <w:r>
        <w:rPr>
          <w:szCs w:val="22"/>
        </w:rPr>
        <w:t>ed workforce, gives</w:t>
      </w:r>
      <w:r w:rsidRPr="001C6486">
        <w:rPr>
          <w:szCs w:val="22"/>
        </w:rPr>
        <w:t xml:space="preserve"> a total annual wages spend </w:t>
      </w:r>
      <w:r w:rsidR="00E8642F">
        <w:rPr>
          <w:szCs w:val="22"/>
        </w:rPr>
        <w:t xml:space="preserve">on </w:t>
      </w:r>
      <w:r w:rsidR="00FE74F2">
        <w:rPr>
          <w:szCs w:val="22"/>
        </w:rPr>
        <w:t>licensed</w:t>
      </w:r>
      <w:r w:rsidR="00E8642F">
        <w:rPr>
          <w:szCs w:val="22"/>
        </w:rPr>
        <w:t xml:space="preserve"> technicians </w:t>
      </w:r>
      <w:r>
        <w:rPr>
          <w:szCs w:val="22"/>
        </w:rPr>
        <w:t>in the Australian RAC industry of $</w:t>
      </w:r>
      <w:r w:rsidR="003206C8">
        <w:rPr>
          <w:szCs w:val="22"/>
        </w:rPr>
        <w:t>5.6</w:t>
      </w:r>
      <w:r w:rsidR="00E8642F">
        <w:rPr>
          <w:szCs w:val="22"/>
        </w:rPr>
        <w:t>1</w:t>
      </w:r>
      <w:r>
        <w:rPr>
          <w:szCs w:val="22"/>
        </w:rPr>
        <w:t xml:space="preserve"> billion. Using average wages for the balance of the workforce engaged in refrigerated transport and services results in another $</w:t>
      </w:r>
      <w:r w:rsidR="00E8642F">
        <w:rPr>
          <w:szCs w:val="22"/>
        </w:rPr>
        <w:t>18.30</w:t>
      </w:r>
      <w:r w:rsidR="00D72BFF">
        <w:rPr>
          <w:szCs w:val="22"/>
        </w:rPr>
        <w:t> </w:t>
      </w:r>
      <w:r>
        <w:rPr>
          <w:szCs w:val="22"/>
        </w:rPr>
        <w:t xml:space="preserve">billion for a total 2016 wages cost </w:t>
      </w:r>
      <w:r w:rsidRPr="001C6486">
        <w:rPr>
          <w:szCs w:val="22"/>
        </w:rPr>
        <w:t xml:space="preserve">of approximately </w:t>
      </w:r>
      <w:r>
        <w:rPr>
          <w:szCs w:val="22"/>
        </w:rPr>
        <w:t>$</w:t>
      </w:r>
      <w:r w:rsidR="00E8642F">
        <w:rPr>
          <w:szCs w:val="22"/>
        </w:rPr>
        <w:t>23.91</w:t>
      </w:r>
      <w:r>
        <w:rPr>
          <w:szCs w:val="22"/>
        </w:rPr>
        <w:t xml:space="preserve"> billion (</w:t>
      </w:r>
      <w:r w:rsidRPr="002E1210">
        <w:rPr>
          <w:i/>
          <w:szCs w:val="22"/>
        </w:rPr>
        <w:t>CHF2 $12.174 billion</w:t>
      </w:r>
      <w:r>
        <w:rPr>
          <w:szCs w:val="22"/>
        </w:rPr>
        <w:t>)</w:t>
      </w:r>
      <w:r w:rsidRPr="001C6486">
        <w:rPr>
          <w:szCs w:val="22"/>
        </w:rPr>
        <w:t>.</w:t>
      </w:r>
    </w:p>
    <w:p w14:paraId="1721DFBA" w14:textId="0C87C4E6" w:rsidR="003209EE" w:rsidRPr="001C6486" w:rsidRDefault="003209EE" w:rsidP="003209EE">
      <w:pPr>
        <w:rPr>
          <w:szCs w:val="22"/>
        </w:rPr>
      </w:pPr>
      <w:r w:rsidRPr="001C6486">
        <w:rPr>
          <w:szCs w:val="22"/>
        </w:rPr>
        <w:t xml:space="preserve">It is too simplistic however to add the dollar values derived from the cost of new hardware, the cost of refrigerant, total energy cost and wages costs together to declare total economic activity in the RAC industry. The major uncertainty in these values is about the level of double counting. For instance, one can reasonably assume that some of the wages costs are in fact represented by the cost of new hardware </w:t>
      </w:r>
      <w:r>
        <w:rPr>
          <w:szCs w:val="22"/>
        </w:rPr>
        <w:t xml:space="preserve">supplied and </w:t>
      </w:r>
      <w:r w:rsidRPr="001C6486">
        <w:rPr>
          <w:szCs w:val="22"/>
        </w:rPr>
        <w:t xml:space="preserve">installed, and the value of some refrigerant sales included in the costs of some maintenance and service.  </w:t>
      </w:r>
    </w:p>
    <w:p w14:paraId="0990935A" w14:textId="77777777" w:rsidR="003209EE" w:rsidRPr="001C6486" w:rsidRDefault="003209EE" w:rsidP="003209EE">
      <w:pPr>
        <w:rPr>
          <w:szCs w:val="22"/>
        </w:rPr>
      </w:pPr>
      <w:r w:rsidRPr="001C6486">
        <w:rPr>
          <w:szCs w:val="22"/>
        </w:rPr>
        <w:t xml:space="preserve">Obviously there is a lot of skilled services and labour involved in the industry that is paid for separately from the cost of new hardware and refrigerant. These services and labour include the design and engineering involved in the construction of commercial buildings and new commercial refrigeration plants, plus the extensive labour involved in maintenance and refurbishment of the </w:t>
      </w:r>
      <w:r>
        <w:rPr>
          <w:szCs w:val="22"/>
        </w:rPr>
        <w:t>large</w:t>
      </w:r>
      <w:r w:rsidRPr="001C6486">
        <w:rPr>
          <w:szCs w:val="22"/>
        </w:rPr>
        <w:t xml:space="preserve"> stock of equipment.  </w:t>
      </w:r>
    </w:p>
    <w:p w14:paraId="0A71A0B1" w14:textId="51D16120" w:rsidR="003209EE" w:rsidRDefault="003209EE" w:rsidP="003209EE">
      <w:pPr>
        <w:rPr>
          <w:szCs w:val="22"/>
        </w:rPr>
      </w:pPr>
      <w:r w:rsidRPr="001C6486">
        <w:rPr>
          <w:szCs w:val="22"/>
        </w:rPr>
        <w:t xml:space="preserve">However even offsetting </w:t>
      </w:r>
      <w:r>
        <w:rPr>
          <w:szCs w:val="22"/>
        </w:rPr>
        <w:t xml:space="preserve">100% </w:t>
      </w:r>
      <w:r w:rsidRPr="001C6486">
        <w:rPr>
          <w:szCs w:val="22"/>
        </w:rPr>
        <w:t xml:space="preserve">of the cost of new installed hardware and sales of refrigerant from calculated wages costs, leaves </w:t>
      </w:r>
      <w:r w:rsidRPr="00BD3FDB">
        <w:rPr>
          <w:i/>
          <w:szCs w:val="22"/>
        </w:rPr>
        <w:t>a total discounted wages value</w:t>
      </w:r>
      <w:r w:rsidRPr="001C6486">
        <w:rPr>
          <w:szCs w:val="22"/>
        </w:rPr>
        <w:t xml:space="preserve"> of </w:t>
      </w:r>
      <w:r>
        <w:rPr>
          <w:szCs w:val="22"/>
        </w:rPr>
        <w:t>$</w:t>
      </w:r>
      <w:r w:rsidR="00E8642F">
        <w:rPr>
          <w:szCs w:val="22"/>
        </w:rPr>
        <w:t>15.73</w:t>
      </w:r>
      <w:r>
        <w:rPr>
          <w:szCs w:val="22"/>
        </w:rPr>
        <w:t xml:space="preserve"> billion (</w:t>
      </w:r>
      <w:r w:rsidRPr="00BD3FDB">
        <w:rPr>
          <w:i/>
          <w:szCs w:val="22"/>
        </w:rPr>
        <w:t>CHF2 $5.743 billion</w:t>
      </w:r>
      <w:r>
        <w:rPr>
          <w:szCs w:val="22"/>
        </w:rPr>
        <w:t>)</w:t>
      </w:r>
      <w:r w:rsidRPr="001C6486">
        <w:rPr>
          <w:szCs w:val="22"/>
        </w:rPr>
        <w:t xml:space="preserve">. Using that figure as the value for wages not accounted for elsewhere, a summary of the main economic indicators that point to the size of the RAC industry has been compiled into </w:t>
      </w:r>
      <w:r w:rsidR="005A572D">
        <w:rPr>
          <w:i/>
          <w:szCs w:val="22"/>
        </w:rPr>
        <w:t>Table 36</w:t>
      </w:r>
      <w:r w:rsidRPr="001C6486">
        <w:rPr>
          <w:szCs w:val="22"/>
        </w:rPr>
        <w:t>.</w:t>
      </w:r>
    </w:p>
    <w:p w14:paraId="442E543B" w14:textId="77777777" w:rsidR="003209EE" w:rsidRDefault="003209EE" w:rsidP="003209EE"/>
    <w:p w14:paraId="40624289" w14:textId="4EA0CC21" w:rsidR="003209EE" w:rsidRPr="005A572D" w:rsidRDefault="005A572D" w:rsidP="005A572D">
      <w:pPr>
        <w:pStyle w:val="Caption"/>
        <w:keepNext/>
        <w:rPr>
          <w:szCs w:val="22"/>
        </w:rPr>
      </w:pPr>
      <w:bookmarkStart w:id="186" w:name="_Toc525141425"/>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36</w:t>
      </w:r>
      <w:r w:rsidR="009D6843">
        <w:rPr>
          <w:noProof/>
        </w:rPr>
        <w:fldChar w:fldCharType="end"/>
      </w:r>
      <w:r w:rsidRPr="005A572D">
        <w:t xml:space="preserve">: </w:t>
      </w:r>
      <w:r w:rsidR="003209EE" w:rsidRPr="005A572D">
        <w:rPr>
          <w:szCs w:val="22"/>
        </w:rPr>
        <w:t xml:space="preserve">Total economic value of the RAC industry in Australia in </w:t>
      </w:r>
      <w:r w:rsidR="00735D84" w:rsidRPr="005A572D">
        <w:rPr>
          <w:szCs w:val="22"/>
        </w:rPr>
        <w:t xml:space="preserve">millions of dollars in </w:t>
      </w:r>
      <w:r w:rsidR="003209EE" w:rsidRPr="005A572D">
        <w:rPr>
          <w:szCs w:val="22"/>
        </w:rPr>
        <w:t>2016.</w:t>
      </w:r>
      <w:bookmarkEnd w:id="186"/>
    </w:p>
    <w:tbl>
      <w:tblPr>
        <w:tblStyle w:val="TableGrid"/>
        <w:tblW w:w="9493" w:type="dxa"/>
        <w:tblLook w:val="04A0" w:firstRow="1" w:lastRow="0" w:firstColumn="1" w:lastColumn="0" w:noHBand="0" w:noVBand="1"/>
      </w:tblPr>
      <w:tblGrid>
        <w:gridCol w:w="2079"/>
        <w:gridCol w:w="1454"/>
        <w:gridCol w:w="1454"/>
        <w:gridCol w:w="1455"/>
        <w:gridCol w:w="1454"/>
        <w:gridCol w:w="1597"/>
      </w:tblGrid>
      <w:tr w:rsidR="003209EE" w:rsidRPr="009902A4" w14:paraId="2F45B58A" w14:textId="77777777" w:rsidTr="009C0BC1">
        <w:tc>
          <w:tcPr>
            <w:tcW w:w="2079" w:type="dxa"/>
            <w:shd w:val="clear" w:color="auto" w:fill="B6DDE8" w:themeFill="accent5" w:themeFillTint="66"/>
          </w:tcPr>
          <w:p w14:paraId="149F5937" w14:textId="77777777" w:rsidR="003209EE" w:rsidRPr="00EE7ACF" w:rsidRDefault="003209EE" w:rsidP="00244B21">
            <w:pPr>
              <w:snapToGrid w:val="0"/>
              <w:spacing w:after="120"/>
            </w:pPr>
          </w:p>
        </w:tc>
        <w:tc>
          <w:tcPr>
            <w:tcW w:w="1454" w:type="dxa"/>
            <w:shd w:val="clear" w:color="auto" w:fill="B6DDE8" w:themeFill="accent5" w:themeFillTint="66"/>
          </w:tcPr>
          <w:p w14:paraId="402E457C" w14:textId="77777777" w:rsidR="003209EE" w:rsidRPr="00EE7ACF" w:rsidRDefault="003209EE" w:rsidP="00735D84">
            <w:pPr>
              <w:snapToGrid w:val="0"/>
              <w:spacing w:after="120"/>
              <w:jc w:val="center"/>
            </w:pPr>
            <w:r w:rsidRPr="00EE7ACF">
              <w:t>Equipment spend       (installed)</w:t>
            </w:r>
          </w:p>
        </w:tc>
        <w:tc>
          <w:tcPr>
            <w:tcW w:w="1454" w:type="dxa"/>
            <w:shd w:val="clear" w:color="auto" w:fill="B6DDE8" w:themeFill="accent5" w:themeFillTint="66"/>
          </w:tcPr>
          <w:p w14:paraId="4A2C69DB" w14:textId="77777777" w:rsidR="003209EE" w:rsidRPr="00EE7ACF" w:rsidRDefault="003209EE" w:rsidP="00735D84">
            <w:pPr>
              <w:snapToGrid w:val="0"/>
              <w:spacing w:after="120"/>
              <w:jc w:val="center"/>
            </w:pPr>
            <w:r>
              <w:t xml:space="preserve">Discounted </w:t>
            </w:r>
            <w:r w:rsidRPr="00EE7ACF">
              <w:t>wages cost</w:t>
            </w:r>
          </w:p>
        </w:tc>
        <w:tc>
          <w:tcPr>
            <w:tcW w:w="1455" w:type="dxa"/>
            <w:shd w:val="clear" w:color="auto" w:fill="B6DDE8" w:themeFill="accent5" w:themeFillTint="66"/>
          </w:tcPr>
          <w:p w14:paraId="24E5DF29" w14:textId="5B26A052" w:rsidR="003209EE" w:rsidRPr="00EE7ACF" w:rsidRDefault="003209EE" w:rsidP="00735D84">
            <w:pPr>
              <w:snapToGrid w:val="0"/>
              <w:spacing w:after="120"/>
              <w:jc w:val="center"/>
            </w:pPr>
            <w:r>
              <w:t>Refrigerant</w:t>
            </w:r>
            <w:r w:rsidR="003939E2">
              <w:t xml:space="preserve"> </w:t>
            </w:r>
            <w:r>
              <w:t xml:space="preserve">cost </w:t>
            </w:r>
            <w:r w:rsidR="00735D84">
              <w:t xml:space="preserve">      </w:t>
            </w:r>
            <w:r>
              <w:t xml:space="preserve">  (end-user)</w:t>
            </w:r>
          </w:p>
        </w:tc>
        <w:tc>
          <w:tcPr>
            <w:tcW w:w="1454" w:type="dxa"/>
            <w:shd w:val="clear" w:color="auto" w:fill="B6DDE8" w:themeFill="accent5" w:themeFillTint="66"/>
          </w:tcPr>
          <w:p w14:paraId="21AEF140" w14:textId="77777777" w:rsidR="003209EE" w:rsidRPr="00EE7ACF" w:rsidRDefault="003209EE" w:rsidP="00735D84">
            <w:pPr>
              <w:snapToGrid w:val="0"/>
              <w:spacing w:after="120"/>
              <w:jc w:val="center"/>
            </w:pPr>
            <w:r w:rsidRPr="00EE7ACF">
              <w:t xml:space="preserve">Energy spend </w:t>
            </w:r>
            <w:r>
              <w:t xml:space="preserve">      </w:t>
            </w:r>
            <w:r w:rsidRPr="00EE7ACF">
              <w:t>(</w:t>
            </w:r>
            <w:r>
              <w:t>end-user</w:t>
            </w:r>
            <w:r w:rsidRPr="00EE7ACF">
              <w:t>)</w:t>
            </w:r>
          </w:p>
        </w:tc>
        <w:tc>
          <w:tcPr>
            <w:tcW w:w="1597" w:type="dxa"/>
            <w:shd w:val="clear" w:color="auto" w:fill="B6DDE8" w:themeFill="accent5" w:themeFillTint="66"/>
          </w:tcPr>
          <w:p w14:paraId="4F69F76B" w14:textId="4B095727" w:rsidR="003209EE" w:rsidRPr="00EE7ACF" w:rsidRDefault="003209EE" w:rsidP="00D94647">
            <w:pPr>
              <w:snapToGrid w:val="0"/>
              <w:spacing w:after="120"/>
              <w:jc w:val="center"/>
            </w:pPr>
            <w:r w:rsidRPr="00EE7ACF">
              <w:t xml:space="preserve">Total spend including </w:t>
            </w:r>
            <w:r w:rsidR="00D94647">
              <w:t>e</w:t>
            </w:r>
            <w:r w:rsidRPr="00EE7ACF">
              <w:t>nergy</w:t>
            </w:r>
          </w:p>
        </w:tc>
      </w:tr>
      <w:tr w:rsidR="003209EE" w:rsidRPr="009902A4" w14:paraId="74CA14E1" w14:textId="77777777" w:rsidTr="003A7BA9">
        <w:trPr>
          <w:trHeight w:val="567"/>
        </w:trPr>
        <w:tc>
          <w:tcPr>
            <w:tcW w:w="2079" w:type="dxa"/>
            <w:vAlign w:val="center"/>
          </w:tcPr>
          <w:p w14:paraId="205237AA" w14:textId="77777777" w:rsidR="003209EE" w:rsidRPr="00EE7ACF" w:rsidRDefault="003209EE" w:rsidP="003939E2">
            <w:pPr>
              <w:autoSpaceDE w:val="0"/>
              <w:autoSpaceDN w:val="0"/>
              <w:adjustRightInd w:val="0"/>
              <w:snapToGrid w:val="0"/>
              <w:spacing w:after="120"/>
              <w:jc w:val="left"/>
              <w:rPr>
                <w:color w:val="000000"/>
                <w:lang w:val="en-AU"/>
              </w:rPr>
            </w:pPr>
            <w:r w:rsidRPr="00EE7ACF">
              <w:rPr>
                <w:color w:val="000000"/>
                <w:lang w:val="en-AU"/>
              </w:rPr>
              <w:t>Stationary AC</w:t>
            </w:r>
          </w:p>
        </w:tc>
        <w:tc>
          <w:tcPr>
            <w:tcW w:w="1454" w:type="dxa"/>
            <w:vAlign w:val="center"/>
          </w:tcPr>
          <w:p w14:paraId="0D2E4802" w14:textId="77777777" w:rsidR="003209EE" w:rsidRPr="00EE7ACF" w:rsidRDefault="003209EE" w:rsidP="003A7BA9">
            <w:pPr>
              <w:autoSpaceDE w:val="0"/>
              <w:autoSpaceDN w:val="0"/>
              <w:adjustRightInd w:val="0"/>
              <w:spacing w:before="60" w:after="60" w:line="360" w:lineRule="atLeast"/>
              <w:jc w:val="center"/>
              <w:rPr>
                <w:color w:val="000000"/>
                <w:lang w:val="en-AU"/>
              </w:rPr>
            </w:pPr>
            <w:r w:rsidRPr="00EE7ACF">
              <w:rPr>
                <w:color w:val="000000"/>
                <w:lang w:val="en-AU"/>
              </w:rPr>
              <w:t>$4,856</w:t>
            </w:r>
          </w:p>
        </w:tc>
        <w:tc>
          <w:tcPr>
            <w:tcW w:w="1454" w:type="dxa"/>
            <w:vMerge w:val="restart"/>
            <w:vAlign w:val="center"/>
          </w:tcPr>
          <w:p w14:paraId="438D20A2" w14:textId="6EE8D4BF" w:rsidR="003209EE" w:rsidRPr="00EE7ACF" w:rsidRDefault="003209EE" w:rsidP="003A7BA9">
            <w:pPr>
              <w:autoSpaceDE w:val="0"/>
              <w:autoSpaceDN w:val="0"/>
              <w:adjustRightInd w:val="0"/>
              <w:snapToGrid w:val="0"/>
              <w:spacing w:after="120"/>
              <w:jc w:val="center"/>
              <w:rPr>
                <w:color w:val="000000"/>
                <w:lang w:val="en-AU"/>
              </w:rPr>
            </w:pPr>
            <w:r>
              <w:rPr>
                <w:color w:val="000000"/>
                <w:lang w:val="en-AU"/>
              </w:rPr>
              <w:t>$</w:t>
            </w:r>
            <w:r w:rsidR="00E8642F">
              <w:rPr>
                <w:color w:val="000000"/>
                <w:lang w:val="en-AU"/>
              </w:rPr>
              <w:t>1</w:t>
            </w:r>
            <w:r>
              <w:rPr>
                <w:color w:val="000000"/>
                <w:lang w:val="en-AU"/>
              </w:rPr>
              <w:t>5,</w:t>
            </w:r>
            <w:r w:rsidR="00E8642F">
              <w:rPr>
                <w:color w:val="000000"/>
                <w:lang w:val="en-AU"/>
              </w:rPr>
              <w:t>729</w:t>
            </w:r>
          </w:p>
        </w:tc>
        <w:tc>
          <w:tcPr>
            <w:tcW w:w="1455" w:type="dxa"/>
            <w:vMerge w:val="restart"/>
            <w:vAlign w:val="center"/>
          </w:tcPr>
          <w:p w14:paraId="1829D1A1" w14:textId="77777777" w:rsidR="003209EE" w:rsidRPr="00EE7ACF" w:rsidRDefault="003209EE" w:rsidP="003A7BA9">
            <w:pPr>
              <w:autoSpaceDE w:val="0"/>
              <w:autoSpaceDN w:val="0"/>
              <w:adjustRightInd w:val="0"/>
              <w:snapToGrid w:val="0"/>
              <w:spacing w:after="120"/>
              <w:jc w:val="center"/>
              <w:rPr>
                <w:color w:val="000000"/>
                <w:lang w:val="en-AU"/>
              </w:rPr>
            </w:pPr>
            <w:r>
              <w:rPr>
                <w:color w:val="000000"/>
                <w:lang w:val="en-AU"/>
              </w:rPr>
              <w:t>$161</w:t>
            </w:r>
          </w:p>
        </w:tc>
        <w:tc>
          <w:tcPr>
            <w:tcW w:w="1454" w:type="dxa"/>
            <w:vAlign w:val="center"/>
          </w:tcPr>
          <w:p w14:paraId="175BBABF" w14:textId="77777777" w:rsidR="003209EE" w:rsidRPr="00EE7ACF" w:rsidRDefault="003209EE" w:rsidP="003A7BA9">
            <w:pPr>
              <w:autoSpaceDE w:val="0"/>
              <w:autoSpaceDN w:val="0"/>
              <w:adjustRightInd w:val="0"/>
              <w:snapToGrid w:val="0"/>
              <w:spacing w:before="60" w:after="60"/>
              <w:jc w:val="center"/>
              <w:rPr>
                <w:color w:val="000000"/>
                <w:lang w:val="en-AU"/>
              </w:rPr>
            </w:pPr>
            <w:r w:rsidRPr="00EE7ACF">
              <w:rPr>
                <w:color w:val="000000"/>
                <w:lang w:val="en-AU"/>
              </w:rPr>
              <w:t>$7,349</w:t>
            </w:r>
          </w:p>
        </w:tc>
        <w:tc>
          <w:tcPr>
            <w:tcW w:w="1597" w:type="dxa"/>
            <w:vMerge w:val="restart"/>
            <w:vAlign w:val="center"/>
          </w:tcPr>
          <w:p w14:paraId="35180023" w14:textId="5CDDD760" w:rsidR="003209EE" w:rsidRPr="00EE7ACF" w:rsidRDefault="003209EE" w:rsidP="003A7BA9">
            <w:pPr>
              <w:autoSpaceDE w:val="0"/>
              <w:autoSpaceDN w:val="0"/>
              <w:adjustRightInd w:val="0"/>
              <w:snapToGrid w:val="0"/>
              <w:spacing w:after="120"/>
              <w:jc w:val="center"/>
              <w:rPr>
                <w:color w:val="000000"/>
                <w:lang w:val="en-AU"/>
              </w:rPr>
            </w:pPr>
            <w:r w:rsidRPr="00273FFC">
              <w:rPr>
                <w:color w:val="000000"/>
                <w:lang w:val="en-AU"/>
              </w:rPr>
              <w:t>$</w:t>
            </w:r>
            <w:r w:rsidR="003A7BA9">
              <w:rPr>
                <w:color w:val="000000"/>
                <w:lang w:val="en-AU"/>
              </w:rPr>
              <w:t>3</w:t>
            </w:r>
            <w:r w:rsidRPr="00273FFC">
              <w:rPr>
                <w:color w:val="000000"/>
                <w:lang w:val="en-AU"/>
              </w:rPr>
              <w:t>8,</w:t>
            </w:r>
            <w:r w:rsidR="003A7BA9">
              <w:rPr>
                <w:color w:val="000000"/>
                <w:lang w:val="en-AU"/>
              </w:rPr>
              <w:t>108</w:t>
            </w:r>
          </w:p>
        </w:tc>
      </w:tr>
      <w:tr w:rsidR="003209EE" w:rsidRPr="009902A4" w14:paraId="3B7E2CBB" w14:textId="77777777" w:rsidTr="003A7BA9">
        <w:trPr>
          <w:trHeight w:val="567"/>
        </w:trPr>
        <w:tc>
          <w:tcPr>
            <w:tcW w:w="2079" w:type="dxa"/>
            <w:vAlign w:val="center"/>
          </w:tcPr>
          <w:p w14:paraId="078FF799" w14:textId="77777777" w:rsidR="003209EE" w:rsidRPr="00EE7ACF" w:rsidRDefault="003209EE" w:rsidP="003939E2">
            <w:pPr>
              <w:autoSpaceDE w:val="0"/>
              <w:autoSpaceDN w:val="0"/>
              <w:adjustRightInd w:val="0"/>
              <w:snapToGrid w:val="0"/>
              <w:spacing w:after="120"/>
              <w:jc w:val="left"/>
              <w:rPr>
                <w:color w:val="000000"/>
                <w:lang w:val="en-AU"/>
              </w:rPr>
            </w:pPr>
            <w:r w:rsidRPr="00EE7ACF">
              <w:rPr>
                <w:color w:val="000000"/>
                <w:lang w:val="en-AU"/>
              </w:rPr>
              <w:t>Domestic refrigeration</w:t>
            </w:r>
          </w:p>
        </w:tc>
        <w:tc>
          <w:tcPr>
            <w:tcW w:w="1454" w:type="dxa"/>
            <w:vAlign w:val="center"/>
          </w:tcPr>
          <w:p w14:paraId="391A65CD" w14:textId="77777777" w:rsidR="003209EE" w:rsidRPr="00EE7ACF" w:rsidRDefault="003209EE" w:rsidP="003A7BA9">
            <w:pPr>
              <w:autoSpaceDE w:val="0"/>
              <w:autoSpaceDN w:val="0"/>
              <w:adjustRightInd w:val="0"/>
              <w:spacing w:before="60" w:after="60" w:line="360" w:lineRule="atLeast"/>
              <w:jc w:val="center"/>
              <w:rPr>
                <w:color w:val="000000"/>
                <w:lang w:val="en-AU"/>
              </w:rPr>
            </w:pPr>
            <w:r w:rsidRPr="00EE7ACF">
              <w:rPr>
                <w:color w:val="000000"/>
                <w:lang w:val="en-AU"/>
              </w:rPr>
              <w:t>$1,423</w:t>
            </w:r>
          </w:p>
        </w:tc>
        <w:tc>
          <w:tcPr>
            <w:tcW w:w="1454" w:type="dxa"/>
            <w:vMerge/>
            <w:vAlign w:val="center"/>
          </w:tcPr>
          <w:p w14:paraId="44C02C4F" w14:textId="77777777" w:rsidR="003209EE" w:rsidRPr="00EE7ACF" w:rsidRDefault="003209EE" w:rsidP="003A7BA9">
            <w:pPr>
              <w:autoSpaceDE w:val="0"/>
              <w:autoSpaceDN w:val="0"/>
              <w:adjustRightInd w:val="0"/>
              <w:snapToGrid w:val="0"/>
              <w:spacing w:after="120"/>
              <w:jc w:val="center"/>
              <w:rPr>
                <w:color w:val="000000"/>
                <w:lang w:val="en-AU"/>
              </w:rPr>
            </w:pPr>
          </w:p>
        </w:tc>
        <w:tc>
          <w:tcPr>
            <w:tcW w:w="1455" w:type="dxa"/>
            <w:vMerge/>
            <w:vAlign w:val="center"/>
          </w:tcPr>
          <w:p w14:paraId="1B70AD71" w14:textId="77777777" w:rsidR="003209EE" w:rsidRPr="00EE7ACF" w:rsidRDefault="003209EE" w:rsidP="003A7BA9">
            <w:pPr>
              <w:autoSpaceDE w:val="0"/>
              <w:autoSpaceDN w:val="0"/>
              <w:adjustRightInd w:val="0"/>
              <w:snapToGrid w:val="0"/>
              <w:spacing w:after="120"/>
              <w:jc w:val="center"/>
              <w:rPr>
                <w:color w:val="000000"/>
                <w:lang w:val="en-AU"/>
              </w:rPr>
            </w:pPr>
          </w:p>
        </w:tc>
        <w:tc>
          <w:tcPr>
            <w:tcW w:w="1454" w:type="dxa"/>
            <w:vAlign w:val="center"/>
          </w:tcPr>
          <w:p w14:paraId="4CBA7A41" w14:textId="77777777" w:rsidR="003209EE" w:rsidRPr="00EE7ACF" w:rsidRDefault="003209EE" w:rsidP="003A7BA9">
            <w:pPr>
              <w:autoSpaceDE w:val="0"/>
              <w:autoSpaceDN w:val="0"/>
              <w:adjustRightInd w:val="0"/>
              <w:snapToGrid w:val="0"/>
              <w:spacing w:before="60" w:after="60"/>
              <w:jc w:val="center"/>
              <w:rPr>
                <w:color w:val="000000"/>
                <w:lang w:val="en-AU"/>
              </w:rPr>
            </w:pPr>
            <w:r w:rsidRPr="00EE7ACF">
              <w:rPr>
                <w:color w:val="000000"/>
                <w:lang w:val="en-AU"/>
              </w:rPr>
              <w:t>$2,325</w:t>
            </w:r>
          </w:p>
        </w:tc>
        <w:tc>
          <w:tcPr>
            <w:tcW w:w="1597" w:type="dxa"/>
            <w:vMerge/>
            <w:vAlign w:val="center"/>
          </w:tcPr>
          <w:p w14:paraId="28F0DDEA" w14:textId="77777777" w:rsidR="003209EE" w:rsidRPr="00EE7ACF" w:rsidRDefault="003209EE" w:rsidP="003A7BA9">
            <w:pPr>
              <w:autoSpaceDE w:val="0"/>
              <w:autoSpaceDN w:val="0"/>
              <w:adjustRightInd w:val="0"/>
              <w:snapToGrid w:val="0"/>
              <w:spacing w:after="120"/>
              <w:jc w:val="center"/>
              <w:rPr>
                <w:color w:val="000000"/>
                <w:lang w:val="en-AU"/>
              </w:rPr>
            </w:pPr>
          </w:p>
        </w:tc>
      </w:tr>
      <w:tr w:rsidR="003209EE" w:rsidRPr="009902A4" w14:paraId="0D3AE841" w14:textId="77777777" w:rsidTr="003A7BA9">
        <w:trPr>
          <w:trHeight w:val="567"/>
        </w:trPr>
        <w:tc>
          <w:tcPr>
            <w:tcW w:w="2079" w:type="dxa"/>
            <w:vAlign w:val="center"/>
          </w:tcPr>
          <w:p w14:paraId="7286C9C9" w14:textId="77777777" w:rsidR="003209EE" w:rsidRPr="00EE7ACF" w:rsidRDefault="003209EE" w:rsidP="003939E2">
            <w:pPr>
              <w:autoSpaceDE w:val="0"/>
              <w:autoSpaceDN w:val="0"/>
              <w:adjustRightInd w:val="0"/>
              <w:snapToGrid w:val="0"/>
              <w:spacing w:after="120"/>
              <w:jc w:val="left"/>
              <w:rPr>
                <w:color w:val="000000"/>
                <w:lang w:val="en-AU"/>
              </w:rPr>
            </w:pPr>
            <w:r w:rsidRPr="00EE7ACF">
              <w:rPr>
                <w:color w:val="000000"/>
                <w:lang w:val="en-AU"/>
              </w:rPr>
              <w:t>Refrigerated cold food chain: stationary</w:t>
            </w:r>
          </w:p>
        </w:tc>
        <w:tc>
          <w:tcPr>
            <w:tcW w:w="1454" w:type="dxa"/>
            <w:vAlign w:val="center"/>
          </w:tcPr>
          <w:p w14:paraId="37F82BA4" w14:textId="77777777" w:rsidR="003209EE" w:rsidRPr="00EE7ACF" w:rsidRDefault="003209EE" w:rsidP="003A7BA9">
            <w:pPr>
              <w:autoSpaceDE w:val="0"/>
              <w:autoSpaceDN w:val="0"/>
              <w:adjustRightInd w:val="0"/>
              <w:spacing w:before="60" w:after="60" w:line="360" w:lineRule="atLeast"/>
              <w:jc w:val="center"/>
              <w:rPr>
                <w:color w:val="000000"/>
                <w:lang w:val="en-AU"/>
              </w:rPr>
            </w:pPr>
            <w:r w:rsidRPr="00EE7ACF">
              <w:rPr>
                <w:color w:val="000000"/>
                <w:lang w:val="en-AU"/>
              </w:rPr>
              <w:t>$798</w:t>
            </w:r>
          </w:p>
        </w:tc>
        <w:tc>
          <w:tcPr>
            <w:tcW w:w="1454" w:type="dxa"/>
            <w:vMerge/>
            <w:vAlign w:val="center"/>
          </w:tcPr>
          <w:p w14:paraId="46AF03BA" w14:textId="77777777" w:rsidR="003209EE" w:rsidRPr="00EE7ACF" w:rsidRDefault="003209EE" w:rsidP="003A7BA9">
            <w:pPr>
              <w:autoSpaceDE w:val="0"/>
              <w:autoSpaceDN w:val="0"/>
              <w:adjustRightInd w:val="0"/>
              <w:snapToGrid w:val="0"/>
              <w:spacing w:after="120"/>
              <w:jc w:val="center"/>
              <w:rPr>
                <w:color w:val="000000"/>
                <w:lang w:val="en-AU"/>
              </w:rPr>
            </w:pPr>
          </w:p>
        </w:tc>
        <w:tc>
          <w:tcPr>
            <w:tcW w:w="1455" w:type="dxa"/>
            <w:vMerge/>
            <w:vAlign w:val="center"/>
          </w:tcPr>
          <w:p w14:paraId="432EC58B" w14:textId="77777777" w:rsidR="003209EE" w:rsidRPr="00EE7ACF" w:rsidRDefault="003209EE" w:rsidP="003A7BA9">
            <w:pPr>
              <w:autoSpaceDE w:val="0"/>
              <w:autoSpaceDN w:val="0"/>
              <w:adjustRightInd w:val="0"/>
              <w:snapToGrid w:val="0"/>
              <w:spacing w:after="120"/>
              <w:jc w:val="center"/>
              <w:rPr>
                <w:color w:val="000000"/>
                <w:lang w:val="en-AU"/>
              </w:rPr>
            </w:pPr>
          </w:p>
        </w:tc>
        <w:tc>
          <w:tcPr>
            <w:tcW w:w="1454" w:type="dxa"/>
            <w:vAlign w:val="center"/>
          </w:tcPr>
          <w:p w14:paraId="745D5091" w14:textId="576C0195" w:rsidR="003209EE" w:rsidRPr="00EE7ACF" w:rsidRDefault="003939E2" w:rsidP="003A7BA9">
            <w:pPr>
              <w:autoSpaceDE w:val="0"/>
              <w:autoSpaceDN w:val="0"/>
              <w:adjustRightInd w:val="0"/>
              <w:snapToGrid w:val="0"/>
              <w:spacing w:before="60" w:after="60"/>
              <w:jc w:val="center"/>
              <w:rPr>
                <w:color w:val="000000"/>
                <w:lang w:val="en-AU"/>
              </w:rPr>
            </w:pPr>
            <w:r>
              <w:rPr>
                <w:color w:val="000000"/>
                <w:lang w:val="en-AU"/>
              </w:rPr>
              <w:t>$2,771</w:t>
            </w:r>
          </w:p>
        </w:tc>
        <w:tc>
          <w:tcPr>
            <w:tcW w:w="1597" w:type="dxa"/>
            <w:vMerge/>
            <w:vAlign w:val="center"/>
          </w:tcPr>
          <w:p w14:paraId="3AE8BA2B" w14:textId="77777777" w:rsidR="003209EE" w:rsidRPr="00EE7ACF" w:rsidRDefault="003209EE" w:rsidP="003A7BA9">
            <w:pPr>
              <w:autoSpaceDE w:val="0"/>
              <w:autoSpaceDN w:val="0"/>
              <w:adjustRightInd w:val="0"/>
              <w:snapToGrid w:val="0"/>
              <w:spacing w:after="120"/>
              <w:jc w:val="center"/>
              <w:rPr>
                <w:color w:val="000000"/>
                <w:lang w:val="en-AU"/>
              </w:rPr>
            </w:pPr>
          </w:p>
        </w:tc>
      </w:tr>
      <w:tr w:rsidR="003209EE" w:rsidRPr="009902A4" w14:paraId="75A4D339" w14:textId="77777777" w:rsidTr="003A7BA9">
        <w:trPr>
          <w:trHeight w:val="567"/>
        </w:trPr>
        <w:tc>
          <w:tcPr>
            <w:tcW w:w="2079" w:type="dxa"/>
            <w:vAlign w:val="center"/>
          </w:tcPr>
          <w:p w14:paraId="27ECB6EB" w14:textId="77777777" w:rsidR="003209EE" w:rsidRPr="00EE7ACF" w:rsidRDefault="003209EE" w:rsidP="003939E2">
            <w:pPr>
              <w:autoSpaceDE w:val="0"/>
              <w:autoSpaceDN w:val="0"/>
              <w:adjustRightInd w:val="0"/>
              <w:snapToGrid w:val="0"/>
              <w:spacing w:after="120"/>
              <w:jc w:val="left"/>
              <w:rPr>
                <w:color w:val="000000"/>
                <w:lang w:val="en-AU"/>
              </w:rPr>
            </w:pPr>
            <w:r w:rsidRPr="00EE7ACF">
              <w:rPr>
                <w:color w:val="000000"/>
                <w:lang w:val="en-AU"/>
              </w:rPr>
              <w:t>Refrigerated cold food chain: mobile</w:t>
            </w:r>
          </w:p>
        </w:tc>
        <w:tc>
          <w:tcPr>
            <w:tcW w:w="1454" w:type="dxa"/>
            <w:vAlign w:val="center"/>
          </w:tcPr>
          <w:p w14:paraId="3F321CC7" w14:textId="77777777" w:rsidR="003209EE" w:rsidRPr="00EE7ACF" w:rsidRDefault="003209EE" w:rsidP="003A7BA9">
            <w:pPr>
              <w:autoSpaceDE w:val="0"/>
              <w:autoSpaceDN w:val="0"/>
              <w:adjustRightInd w:val="0"/>
              <w:spacing w:before="60" w:after="60" w:line="360" w:lineRule="atLeast"/>
              <w:jc w:val="center"/>
              <w:rPr>
                <w:color w:val="000000"/>
                <w:lang w:val="en-AU"/>
              </w:rPr>
            </w:pPr>
            <w:r w:rsidRPr="00EE7ACF">
              <w:rPr>
                <w:color w:val="000000"/>
                <w:lang w:val="en-AU"/>
              </w:rPr>
              <w:t>$128</w:t>
            </w:r>
          </w:p>
        </w:tc>
        <w:tc>
          <w:tcPr>
            <w:tcW w:w="1454" w:type="dxa"/>
            <w:vMerge/>
            <w:vAlign w:val="center"/>
          </w:tcPr>
          <w:p w14:paraId="0086DC1B" w14:textId="77777777" w:rsidR="003209EE" w:rsidRPr="00EE7ACF" w:rsidRDefault="003209EE" w:rsidP="003A7BA9">
            <w:pPr>
              <w:autoSpaceDE w:val="0"/>
              <w:autoSpaceDN w:val="0"/>
              <w:adjustRightInd w:val="0"/>
              <w:snapToGrid w:val="0"/>
              <w:spacing w:after="120"/>
              <w:jc w:val="center"/>
              <w:rPr>
                <w:color w:val="000000"/>
                <w:lang w:val="en-AU"/>
              </w:rPr>
            </w:pPr>
          </w:p>
        </w:tc>
        <w:tc>
          <w:tcPr>
            <w:tcW w:w="1455" w:type="dxa"/>
            <w:vMerge/>
            <w:vAlign w:val="center"/>
          </w:tcPr>
          <w:p w14:paraId="50B6BB2B" w14:textId="77777777" w:rsidR="003209EE" w:rsidRPr="00EE7ACF" w:rsidRDefault="003209EE" w:rsidP="003A7BA9">
            <w:pPr>
              <w:autoSpaceDE w:val="0"/>
              <w:autoSpaceDN w:val="0"/>
              <w:adjustRightInd w:val="0"/>
              <w:snapToGrid w:val="0"/>
              <w:spacing w:after="120"/>
              <w:jc w:val="center"/>
              <w:rPr>
                <w:color w:val="000000"/>
                <w:lang w:val="en-AU"/>
              </w:rPr>
            </w:pPr>
          </w:p>
        </w:tc>
        <w:tc>
          <w:tcPr>
            <w:tcW w:w="1454" w:type="dxa"/>
            <w:vAlign w:val="center"/>
          </w:tcPr>
          <w:p w14:paraId="0D3745C7" w14:textId="77777777" w:rsidR="003209EE" w:rsidRPr="00EE7ACF" w:rsidRDefault="003209EE" w:rsidP="003A7BA9">
            <w:pPr>
              <w:autoSpaceDE w:val="0"/>
              <w:autoSpaceDN w:val="0"/>
              <w:adjustRightInd w:val="0"/>
              <w:snapToGrid w:val="0"/>
              <w:spacing w:before="60" w:after="60"/>
              <w:jc w:val="center"/>
              <w:rPr>
                <w:color w:val="000000"/>
                <w:lang w:val="en-AU"/>
              </w:rPr>
            </w:pPr>
            <w:r w:rsidRPr="00EE7ACF">
              <w:rPr>
                <w:color w:val="000000"/>
                <w:lang w:val="en-AU"/>
              </w:rPr>
              <w:t>$174</w:t>
            </w:r>
          </w:p>
        </w:tc>
        <w:tc>
          <w:tcPr>
            <w:tcW w:w="1597" w:type="dxa"/>
            <w:vMerge/>
            <w:vAlign w:val="center"/>
          </w:tcPr>
          <w:p w14:paraId="1C7CAA7A" w14:textId="77777777" w:rsidR="003209EE" w:rsidRPr="00EE7ACF" w:rsidRDefault="003209EE" w:rsidP="003A7BA9">
            <w:pPr>
              <w:autoSpaceDE w:val="0"/>
              <w:autoSpaceDN w:val="0"/>
              <w:adjustRightInd w:val="0"/>
              <w:snapToGrid w:val="0"/>
              <w:spacing w:after="120"/>
              <w:jc w:val="center"/>
              <w:rPr>
                <w:color w:val="000000"/>
                <w:lang w:val="en-AU"/>
              </w:rPr>
            </w:pPr>
          </w:p>
        </w:tc>
      </w:tr>
      <w:tr w:rsidR="003209EE" w:rsidRPr="009902A4" w14:paraId="4488E339" w14:textId="77777777" w:rsidTr="003A7BA9">
        <w:trPr>
          <w:trHeight w:val="567"/>
        </w:trPr>
        <w:tc>
          <w:tcPr>
            <w:tcW w:w="2079" w:type="dxa"/>
            <w:vAlign w:val="center"/>
          </w:tcPr>
          <w:p w14:paraId="4F4827CB" w14:textId="77777777" w:rsidR="003209EE" w:rsidRPr="00EE7ACF" w:rsidRDefault="003209EE" w:rsidP="003939E2">
            <w:pPr>
              <w:autoSpaceDE w:val="0"/>
              <w:autoSpaceDN w:val="0"/>
              <w:adjustRightInd w:val="0"/>
              <w:snapToGrid w:val="0"/>
              <w:spacing w:after="120"/>
              <w:jc w:val="left"/>
              <w:rPr>
                <w:color w:val="000000"/>
                <w:lang w:val="en-AU"/>
              </w:rPr>
            </w:pPr>
            <w:r w:rsidRPr="00EE7ACF">
              <w:rPr>
                <w:color w:val="000000"/>
                <w:lang w:val="en-AU"/>
              </w:rPr>
              <w:t>Mobile AC</w:t>
            </w:r>
          </w:p>
        </w:tc>
        <w:tc>
          <w:tcPr>
            <w:tcW w:w="1454" w:type="dxa"/>
            <w:vAlign w:val="center"/>
          </w:tcPr>
          <w:p w14:paraId="1E2B7AC7" w14:textId="77777777" w:rsidR="003209EE" w:rsidRPr="00EE7ACF" w:rsidRDefault="003209EE" w:rsidP="003A7BA9">
            <w:pPr>
              <w:autoSpaceDE w:val="0"/>
              <w:autoSpaceDN w:val="0"/>
              <w:adjustRightInd w:val="0"/>
              <w:spacing w:before="60" w:after="60" w:line="360" w:lineRule="atLeast"/>
              <w:jc w:val="center"/>
              <w:rPr>
                <w:color w:val="000000"/>
                <w:lang w:val="en-AU"/>
              </w:rPr>
            </w:pPr>
            <w:r w:rsidRPr="00EE7ACF">
              <w:rPr>
                <w:color w:val="000000"/>
                <w:lang w:val="en-AU"/>
              </w:rPr>
              <w:t>$977</w:t>
            </w:r>
          </w:p>
        </w:tc>
        <w:tc>
          <w:tcPr>
            <w:tcW w:w="1454" w:type="dxa"/>
            <w:vMerge/>
            <w:vAlign w:val="center"/>
          </w:tcPr>
          <w:p w14:paraId="0511EA94" w14:textId="77777777" w:rsidR="003209EE" w:rsidRPr="00EE7ACF" w:rsidRDefault="003209EE" w:rsidP="003A7BA9">
            <w:pPr>
              <w:autoSpaceDE w:val="0"/>
              <w:autoSpaceDN w:val="0"/>
              <w:adjustRightInd w:val="0"/>
              <w:snapToGrid w:val="0"/>
              <w:spacing w:after="120"/>
              <w:jc w:val="center"/>
              <w:rPr>
                <w:color w:val="000000"/>
                <w:lang w:val="en-AU"/>
              </w:rPr>
            </w:pPr>
          </w:p>
        </w:tc>
        <w:tc>
          <w:tcPr>
            <w:tcW w:w="1455" w:type="dxa"/>
            <w:vMerge/>
            <w:vAlign w:val="center"/>
          </w:tcPr>
          <w:p w14:paraId="1B60F1C8" w14:textId="77777777" w:rsidR="003209EE" w:rsidRPr="00EE7ACF" w:rsidRDefault="003209EE" w:rsidP="003A7BA9">
            <w:pPr>
              <w:autoSpaceDE w:val="0"/>
              <w:autoSpaceDN w:val="0"/>
              <w:adjustRightInd w:val="0"/>
              <w:snapToGrid w:val="0"/>
              <w:spacing w:after="120"/>
              <w:jc w:val="center"/>
              <w:rPr>
                <w:color w:val="000000"/>
                <w:lang w:val="en-AU"/>
              </w:rPr>
            </w:pPr>
          </w:p>
        </w:tc>
        <w:tc>
          <w:tcPr>
            <w:tcW w:w="1454" w:type="dxa"/>
            <w:vAlign w:val="center"/>
          </w:tcPr>
          <w:p w14:paraId="71283A1A" w14:textId="77777777" w:rsidR="003209EE" w:rsidRPr="00EE7ACF" w:rsidRDefault="003209EE" w:rsidP="003A7BA9">
            <w:pPr>
              <w:autoSpaceDE w:val="0"/>
              <w:autoSpaceDN w:val="0"/>
              <w:adjustRightInd w:val="0"/>
              <w:snapToGrid w:val="0"/>
              <w:spacing w:before="60" w:after="60"/>
              <w:jc w:val="center"/>
              <w:rPr>
                <w:color w:val="000000"/>
                <w:lang w:val="en-AU"/>
              </w:rPr>
            </w:pPr>
            <w:r w:rsidRPr="00EE7ACF">
              <w:rPr>
                <w:color w:val="000000"/>
                <w:lang w:val="en-AU"/>
              </w:rPr>
              <w:t>$1,418</w:t>
            </w:r>
          </w:p>
        </w:tc>
        <w:tc>
          <w:tcPr>
            <w:tcW w:w="1597" w:type="dxa"/>
            <w:vMerge/>
            <w:vAlign w:val="center"/>
          </w:tcPr>
          <w:p w14:paraId="2F49FD58" w14:textId="77777777" w:rsidR="003209EE" w:rsidRPr="00EE7ACF" w:rsidRDefault="003209EE" w:rsidP="003A7BA9">
            <w:pPr>
              <w:autoSpaceDE w:val="0"/>
              <w:autoSpaceDN w:val="0"/>
              <w:adjustRightInd w:val="0"/>
              <w:snapToGrid w:val="0"/>
              <w:spacing w:after="120"/>
              <w:jc w:val="center"/>
              <w:rPr>
                <w:color w:val="000000"/>
                <w:lang w:val="en-AU"/>
              </w:rPr>
            </w:pPr>
          </w:p>
        </w:tc>
      </w:tr>
      <w:tr w:rsidR="003209EE" w:rsidRPr="00E0620E" w14:paraId="4DE3391F" w14:textId="77777777" w:rsidTr="00244B21">
        <w:trPr>
          <w:trHeight w:val="567"/>
        </w:trPr>
        <w:tc>
          <w:tcPr>
            <w:tcW w:w="2079" w:type="dxa"/>
          </w:tcPr>
          <w:p w14:paraId="5281DBC5" w14:textId="77777777" w:rsidR="003209EE" w:rsidRPr="00E0620E" w:rsidRDefault="003209EE" w:rsidP="00244B21">
            <w:pPr>
              <w:snapToGrid w:val="0"/>
              <w:spacing w:after="120"/>
              <w:rPr>
                <w:b/>
              </w:rPr>
            </w:pPr>
            <w:r w:rsidRPr="00E0620E">
              <w:rPr>
                <w:b/>
              </w:rPr>
              <w:t>Total</w:t>
            </w:r>
          </w:p>
        </w:tc>
        <w:tc>
          <w:tcPr>
            <w:tcW w:w="1454" w:type="dxa"/>
            <w:vAlign w:val="center"/>
          </w:tcPr>
          <w:p w14:paraId="5AD8FB24" w14:textId="77777777" w:rsidR="003209EE" w:rsidRPr="00E0620E" w:rsidRDefault="003209EE" w:rsidP="00244B21">
            <w:pPr>
              <w:snapToGrid w:val="0"/>
              <w:spacing w:after="120"/>
              <w:jc w:val="center"/>
              <w:rPr>
                <w:b/>
              </w:rPr>
            </w:pPr>
            <w:r w:rsidRPr="00E0620E">
              <w:rPr>
                <w:b/>
                <w:bCs/>
                <w:color w:val="000000"/>
                <w:lang w:val="en-AU"/>
              </w:rPr>
              <w:t>$8,181</w:t>
            </w:r>
          </w:p>
        </w:tc>
        <w:tc>
          <w:tcPr>
            <w:tcW w:w="1454" w:type="dxa"/>
            <w:vAlign w:val="center"/>
          </w:tcPr>
          <w:p w14:paraId="51278778" w14:textId="75369294" w:rsidR="003209EE" w:rsidRPr="00E0620E" w:rsidRDefault="003209EE" w:rsidP="00244B21">
            <w:pPr>
              <w:autoSpaceDE w:val="0"/>
              <w:autoSpaceDN w:val="0"/>
              <w:adjustRightInd w:val="0"/>
              <w:snapToGrid w:val="0"/>
              <w:spacing w:after="120"/>
              <w:jc w:val="center"/>
              <w:rPr>
                <w:b/>
                <w:color w:val="000000"/>
                <w:lang w:val="en-AU"/>
              </w:rPr>
            </w:pPr>
            <w:r w:rsidRPr="00273FFC">
              <w:rPr>
                <w:b/>
                <w:color w:val="000000"/>
                <w:lang w:val="en-AU"/>
              </w:rPr>
              <w:t>$</w:t>
            </w:r>
            <w:r w:rsidR="00E8642F">
              <w:rPr>
                <w:b/>
                <w:color w:val="000000"/>
                <w:lang w:val="en-AU"/>
              </w:rPr>
              <w:t>15,729</w:t>
            </w:r>
          </w:p>
        </w:tc>
        <w:tc>
          <w:tcPr>
            <w:tcW w:w="1455" w:type="dxa"/>
            <w:vAlign w:val="center"/>
          </w:tcPr>
          <w:p w14:paraId="7484D5F1" w14:textId="77777777" w:rsidR="003209EE" w:rsidRPr="00E0620E" w:rsidRDefault="003209EE" w:rsidP="00244B21">
            <w:pPr>
              <w:autoSpaceDE w:val="0"/>
              <w:autoSpaceDN w:val="0"/>
              <w:adjustRightInd w:val="0"/>
              <w:snapToGrid w:val="0"/>
              <w:spacing w:after="120"/>
              <w:jc w:val="center"/>
              <w:rPr>
                <w:b/>
                <w:color w:val="000000"/>
                <w:lang w:val="en-AU"/>
              </w:rPr>
            </w:pPr>
            <w:r w:rsidRPr="00E0620E">
              <w:rPr>
                <w:b/>
                <w:color w:val="000000"/>
                <w:lang w:val="en-AU"/>
              </w:rPr>
              <w:t>$161</w:t>
            </w:r>
          </w:p>
        </w:tc>
        <w:tc>
          <w:tcPr>
            <w:tcW w:w="1454" w:type="dxa"/>
            <w:vAlign w:val="center"/>
          </w:tcPr>
          <w:p w14:paraId="2710661B" w14:textId="77777777" w:rsidR="003209EE" w:rsidRPr="00E0620E" w:rsidRDefault="003209EE" w:rsidP="00244B21">
            <w:pPr>
              <w:snapToGrid w:val="0"/>
              <w:spacing w:after="120"/>
              <w:jc w:val="center"/>
              <w:rPr>
                <w:b/>
              </w:rPr>
            </w:pPr>
            <w:r w:rsidRPr="00E0620E">
              <w:rPr>
                <w:b/>
              </w:rPr>
              <w:t>$14,037</w:t>
            </w:r>
          </w:p>
        </w:tc>
        <w:tc>
          <w:tcPr>
            <w:tcW w:w="1597" w:type="dxa"/>
            <w:vAlign w:val="center"/>
          </w:tcPr>
          <w:p w14:paraId="3B29CE7C" w14:textId="4CD92764" w:rsidR="003209EE" w:rsidRPr="00E0620E" w:rsidRDefault="003209EE" w:rsidP="00244B21">
            <w:pPr>
              <w:snapToGrid w:val="0"/>
              <w:spacing w:after="120"/>
              <w:jc w:val="center"/>
              <w:rPr>
                <w:b/>
              </w:rPr>
            </w:pPr>
            <w:r w:rsidRPr="00E0620E">
              <w:rPr>
                <w:b/>
                <w:color w:val="000000"/>
                <w:lang w:val="en-AU"/>
              </w:rPr>
              <w:t>$</w:t>
            </w:r>
            <w:r w:rsidR="00E8642F">
              <w:rPr>
                <w:b/>
                <w:color w:val="000000"/>
                <w:lang w:val="en-AU"/>
              </w:rPr>
              <w:t>38,108</w:t>
            </w:r>
          </w:p>
        </w:tc>
      </w:tr>
    </w:tbl>
    <w:p w14:paraId="21133E71" w14:textId="77777777" w:rsidR="003209EE" w:rsidRPr="00EC7BCC" w:rsidRDefault="003209EE" w:rsidP="003209EE">
      <w:pPr>
        <w:snapToGrid w:val="0"/>
        <w:spacing w:before="60"/>
        <w:rPr>
          <w:sz w:val="20"/>
          <w:szCs w:val="20"/>
          <w:lang w:val="en-US"/>
        </w:rPr>
      </w:pPr>
      <w:r w:rsidRPr="00EC7BCC">
        <w:rPr>
          <w:sz w:val="20"/>
          <w:szCs w:val="20"/>
          <w:lang w:val="en-US"/>
        </w:rPr>
        <w:t>Notes:</w:t>
      </w:r>
    </w:p>
    <w:p w14:paraId="7A4F4944" w14:textId="406144FD" w:rsidR="003209EE" w:rsidRPr="00EC7BCC" w:rsidRDefault="003209EE" w:rsidP="00FC735C">
      <w:pPr>
        <w:pStyle w:val="ListParagraph"/>
        <w:numPr>
          <w:ilvl w:val="0"/>
          <w:numId w:val="53"/>
        </w:numPr>
        <w:snapToGrid w:val="0"/>
        <w:spacing w:before="60" w:after="0" w:line="240" w:lineRule="auto"/>
        <w:ind w:left="357" w:hanging="357"/>
        <w:contextualSpacing w:val="0"/>
        <w:jc w:val="both"/>
        <w:rPr>
          <w:rFonts w:ascii="Times New Roman" w:hAnsi="Times New Roman"/>
          <w:sz w:val="20"/>
          <w:szCs w:val="20"/>
          <w:lang w:val="en-US"/>
        </w:rPr>
      </w:pPr>
      <w:r w:rsidRPr="00EC7BCC">
        <w:rPr>
          <w:rFonts w:ascii="Times New Roman" w:hAnsi="Times New Roman"/>
          <w:sz w:val="20"/>
          <w:szCs w:val="20"/>
          <w:lang w:val="en-US"/>
        </w:rPr>
        <w:t>The discounted wages calculation deducts 100% of the annual expenditure on equipment and refrigerants from total wages calculated for the year of $</w:t>
      </w:r>
      <w:r w:rsidR="00E8642F">
        <w:rPr>
          <w:rFonts w:ascii="Times New Roman" w:hAnsi="Times New Roman"/>
          <w:sz w:val="20"/>
          <w:szCs w:val="20"/>
          <w:lang w:val="en-US"/>
        </w:rPr>
        <w:t>23.91</w:t>
      </w:r>
      <w:r w:rsidRPr="00EC7BCC">
        <w:rPr>
          <w:rFonts w:ascii="Times New Roman" w:hAnsi="Times New Roman"/>
          <w:sz w:val="20"/>
          <w:szCs w:val="20"/>
          <w:lang w:val="en-US"/>
        </w:rPr>
        <w:t xml:space="preserve"> billion. </w:t>
      </w:r>
    </w:p>
    <w:p w14:paraId="4EBABC33" w14:textId="77777777" w:rsidR="003209EE" w:rsidRPr="00EC7BCC" w:rsidRDefault="003209EE" w:rsidP="00FC735C">
      <w:pPr>
        <w:pStyle w:val="ListParagraph"/>
        <w:numPr>
          <w:ilvl w:val="0"/>
          <w:numId w:val="53"/>
        </w:numPr>
        <w:snapToGrid w:val="0"/>
        <w:spacing w:before="60" w:after="0" w:line="240" w:lineRule="auto"/>
        <w:ind w:left="360"/>
        <w:contextualSpacing w:val="0"/>
        <w:jc w:val="both"/>
        <w:rPr>
          <w:rFonts w:ascii="Times New Roman" w:hAnsi="Times New Roman"/>
          <w:sz w:val="20"/>
          <w:szCs w:val="20"/>
          <w:lang w:val="en-US"/>
        </w:rPr>
      </w:pPr>
      <w:r w:rsidRPr="00EC7BCC">
        <w:rPr>
          <w:rFonts w:ascii="Times New Roman" w:hAnsi="Times New Roman"/>
          <w:sz w:val="20"/>
          <w:szCs w:val="20"/>
          <w:lang w:val="en-US"/>
        </w:rPr>
        <w:t xml:space="preserve">The refrigerant cost to end-user calculation assumed all refrigerants had a 50% mark up from average contractor sales price to end users, except hydrocarbon had an 80% mark up as it is primarily sold into the automotive aftermarket sector. </w:t>
      </w:r>
    </w:p>
    <w:p w14:paraId="6CD2CC2A" w14:textId="77777777" w:rsidR="003209EE" w:rsidRDefault="003209EE" w:rsidP="003209EE">
      <w:pPr>
        <w:rPr>
          <w:szCs w:val="22"/>
        </w:rPr>
      </w:pPr>
    </w:p>
    <w:p w14:paraId="6DEF46B7" w14:textId="6EA0853C" w:rsidR="003209EE" w:rsidRDefault="003209EE" w:rsidP="003209EE">
      <w:pPr>
        <w:rPr>
          <w:szCs w:val="22"/>
        </w:rPr>
      </w:pPr>
      <w:r>
        <w:rPr>
          <w:szCs w:val="22"/>
        </w:rPr>
        <w:t xml:space="preserve">If this </w:t>
      </w:r>
      <w:r w:rsidRPr="00B42686">
        <w:rPr>
          <w:szCs w:val="22"/>
          <w:lang w:val="en-AU"/>
        </w:rPr>
        <w:t>calculation</w:t>
      </w:r>
      <w:r>
        <w:rPr>
          <w:szCs w:val="22"/>
        </w:rPr>
        <w:t xml:space="preserve"> of expenditure of $</w:t>
      </w:r>
      <w:r w:rsidR="00E8642F">
        <w:rPr>
          <w:szCs w:val="22"/>
        </w:rPr>
        <w:t>3</w:t>
      </w:r>
      <w:r>
        <w:rPr>
          <w:szCs w:val="22"/>
        </w:rPr>
        <w:t>8 billion on the purchase and operation of RAC equipment is considered a valid indicator of the value of the industry, then this represents 2.3% of Australia’s $1.</w:t>
      </w:r>
      <w:r w:rsidR="00E8642F">
        <w:rPr>
          <w:szCs w:val="22"/>
        </w:rPr>
        <w:t>68</w:t>
      </w:r>
      <w:r>
        <w:rPr>
          <w:szCs w:val="22"/>
        </w:rPr>
        <w:t xml:space="preserve"> trillion GDP in 2016 (</w:t>
      </w:r>
      <w:r w:rsidRPr="006C69A6">
        <w:rPr>
          <w:i/>
          <w:szCs w:val="22"/>
        </w:rPr>
        <w:t>CHF2 1.67% of national GDP of $1.57 trillion</w:t>
      </w:r>
      <w:r>
        <w:rPr>
          <w:szCs w:val="22"/>
        </w:rPr>
        <w:t>)</w:t>
      </w:r>
      <w:r w:rsidR="00CE7FB3">
        <w:rPr>
          <w:rStyle w:val="FootnoteReference"/>
          <w:szCs w:val="22"/>
        </w:rPr>
        <w:footnoteReference w:id="65"/>
      </w:r>
      <w:r w:rsidR="00D94647">
        <w:rPr>
          <w:szCs w:val="22"/>
        </w:rPr>
        <w:t>.</w:t>
      </w:r>
    </w:p>
    <w:p w14:paraId="0F78C435" w14:textId="145E26FC" w:rsidR="003209EE" w:rsidRDefault="003209EE" w:rsidP="003209EE">
      <w:pPr>
        <w:rPr>
          <w:szCs w:val="22"/>
        </w:rPr>
      </w:pPr>
      <w:r>
        <w:rPr>
          <w:szCs w:val="22"/>
        </w:rPr>
        <w:t>Of course, this relatively simple method of calculating the value of the industry makes no attempt to put any value on the vast array of essential services provided by the industry from hospitals and la</w:t>
      </w:r>
      <w:r w:rsidR="000F2890" w:rsidRPr="000F2890">
        <w:rPr>
          <w:szCs w:val="22"/>
        </w:rPr>
        <w:t>boratories</w:t>
      </w:r>
      <w:r>
        <w:rPr>
          <w:szCs w:val="22"/>
        </w:rPr>
        <w:t xml:space="preserve">, to </w:t>
      </w:r>
      <w:r w:rsidR="00CA5131">
        <w:rPr>
          <w:szCs w:val="22"/>
        </w:rPr>
        <w:t>data cent</w:t>
      </w:r>
      <w:r w:rsidR="00B42686">
        <w:rPr>
          <w:szCs w:val="22"/>
        </w:rPr>
        <w:t>re</w:t>
      </w:r>
      <w:r w:rsidR="00CA5131">
        <w:rPr>
          <w:szCs w:val="22"/>
        </w:rPr>
        <w:t>s</w:t>
      </w:r>
      <w:r>
        <w:rPr>
          <w:szCs w:val="22"/>
        </w:rPr>
        <w:t xml:space="preserve">, shopping malls and </w:t>
      </w:r>
      <w:r w:rsidR="00904CB4">
        <w:rPr>
          <w:szCs w:val="22"/>
        </w:rPr>
        <w:t>high-rise</w:t>
      </w:r>
      <w:r>
        <w:rPr>
          <w:szCs w:val="22"/>
        </w:rPr>
        <w:t xml:space="preserve"> </w:t>
      </w:r>
      <w:r w:rsidR="007B1373">
        <w:rPr>
          <w:szCs w:val="22"/>
        </w:rPr>
        <w:t>offices</w:t>
      </w:r>
      <w:r>
        <w:rPr>
          <w:szCs w:val="22"/>
        </w:rPr>
        <w:t>, nor does it attempt to incorporate the enormous direct value add that the RAC industry provides to Australian agriculture and food exports. As such the real economic value of the RAC industry to Australia is very much an open question. But even counted as 2.3% of GDP, this is a major industry on the economic landscape.</w:t>
      </w:r>
    </w:p>
    <w:p w14:paraId="270BE41F" w14:textId="26CB3F6D" w:rsidR="003209EE" w:rsidRPr="001C6486" w:rsidRDefault="003209EE" w:rsidP="003209EE">
      <w:pPr>
        <w:rPr>
          <w:szCs w:val="22"/>
        </w:rPr>
      </w:pPr>
      <w:r>
        <w:rPr>
          <w:szCs w:val="22"/>
        </w:rPr>
        <w:t xml:space="preserve">When comparing the values derived using the same methods in 2012, with the 2016 values, as set out in </w:t>
      </w:r>
      <w:r w:rsidR="005A572D">
        <w:rPr>
          <w:i/>
          <w:szCs w:val="22"/>
        </w:rPr>
        <w:t>Table 37</w:t>
      </w:r>
      <w:r>
        <w:rPr>
          <w:szCs w:val="22"/>
        </w:rPr>
        <w:t xml:space="preserve"> below, some interesting observations can be drawn.</w:t>
      </w:r>
    </w:p>
    <w:p w14:paraId="0E3B3BF4" w14:textId="77777777" w:rsidR="003209EE" w:rsidRDefault="003209EE" w:rsidP="003209EE">
      <w:pPr>
        <w:spacing w:before="0"/>
        <w:jc w:val="left"/>
        <w:rPr>
          <w:szCs w:val="22"/>
        </w:rPr>
      </w:pPr>
    </w:p>
    <w:p w14:paraId="1177A615" w14:textId="2F90CC12" w:rsidR="003209EE" w:rsidRPr="005A572D" w:rsidRDefault="005A572D" w:rsidP="005A572D">
      <w:pPr>
        <w:pStyle w:val="Caption"/>
        <w:keepNext/>
        <w:rPr>
          <w:szCs w:val="22"/>
        </w:rPr>
      </w:pPr>
      <w:bookmarkStart w:id="187" w:name="_Toc233084073"/>
      <w:bookmarkStart w:id="188" w:name="_Toc525141426"/>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37</w:t>
      </w:r>
      <w:r w:rsidR="009D6843">
        <w:rPr>
          <w:noProof/>
        </w:rPr>
        <w:fldChar w:fldCharType="end"/>
      </w:r>
      <w:r w:rsidRPr="005A572D">
        <w:t xml:space="preserve">: </w:t>
      </w:r>
      <w:r w:rsidR="003209EE" w:rsidRPr="005A572D">
        <w:rPr>
          <w:szCs w:val="22"/>
        </w:rPr>
        <w:t>Main economic indicators of RAC industry activity in 2012</w:t>
      </w:r>
      <w:bookmarkEnd w:id="187"/>
      <w:r w:rsidR="003209EE" w:rsidRPr="005A572D">
        <w:rPr>
          <w:szCs w:val="22"/>
        </w:rPr>
        <w:t xml:space="preserve"> and 2016.</w:t>
      </w:r>
      <w:bookmarkEnd w:id="188"/>
    </w:p>
    <w:tbl>
      <w:tblPr>
        <w:tblStyle w:val="TableGrid"/>
        <w:tblW w:w="9350" w:type="dxa"/>
        <w:tblLook w:val="04A0" w:firstRow="1" w:lastRow="0" w:firstColumn="1" w:lastColumn="0" w:noHBand="0" w:noVBand="1"/>
      </w:tblPr>
      <w:tblGrid>
        <w:gridCol w:w="3269"/>
        <w:gridCol w:w="3203"/>
        <w:gridCol w:w="2878"/>
      </w:tblGrid>
      <w:tr w:rsidR="003209EE" w14:paraId="4D8C39FC" w14:textId="77777777" w:rsidTr="009C0BC1">
        <w:tc>
          <w:tcPr>
            <w:tcW w:w="3269" w:type="dxa"/>
            <w:shd w:val="clear" w:color="auto" w:fill="B6DDE8" w:themeFill="accent5" w:themeFillTint="66"/>
          </w:tcPr>
          <w:p w14:paraId="362B2E13" w14:textId="77777777" w:rsidR="003209EE" w:rsidRDefault="003209EE" w:rsidP="00244B21">
            <w:pPr>
              <w:spacing w:after="120"/>
              <w:rPr>
                <w:szCs w:val="22"/>
              </w:rPr>
            </w:pPr>
            <w:r>
              <w:rPr>
                <w:szCs w:val="22"/>
              </w:rPr>
              <w:t>Expenditure categories</w:t>
            </w:r>
          </w:p>
        </w:tc>
        <w:tc>
          <w:tcPr>
            <w:tcW w:w="3203" w:type="dxa"/>
            <w:shd w:val="clear" w:color="auto" w:fill="B6DDE8" w:themeFill="accent5" w:themeFillTint="66"/>
          </w:tcPr>
          <w:p w14:paraId="31935C74" w14:textId="77777777" w:rsidR="003209EE" w:rsidRDefault="003209EE" w:rsidP="00244B21">
            <w:pPr>
              <w:spacing w:after="120"/>
              <w:jc w:val="center"/>
              <w:rPr>
                <w:szCs w:val="22"/>
              </w:rPr>
            </w:pPr>
            <w:r>
              <w:rPr>
                <w:szCs w:val="22"/>
              </w:rPr>
              <w:t>Economic spend in 2012                 ($ Billion)</w:t>
            </w:r>
          </w:p>
        </w:tc>
        <w:tc>
          <w:tcPr>
            <w:tcW w:w="2878" w:type="dxa"/>
            <w:shd w:val="clear" w:color="auto" w:fill="B6DDE8" w:themeFill="accent5" w:themeFillTint="66"/>
          </w:tcPr>
          <w:p w14:paraId="7D4EA7E7" w14:textId="77777777" w:rsidR="003209EE" w:rsidRDefault="003209EE" w:rsidP="00244B21">
            <w:pPr>
              <w:spacing w:after="120"/>
              <w:jc w:val="center"/>
              <w:rPr>
                <w:szCs w:val="22"/>
              </w:rPr>
            </w:pPr>
            <w:r>
              <w:rPr>
                <w:szCs w:val="22"/>
              </w:rPr>
              <w:t>Economic spend in 2016            ($ Billion)</w:t>
            </w:r>
          </w:p>
        </w:tc>
      </w:tr>
      <w:tr w:rsidR="003209EE" w14:paraId="4509D9BF" w14:textId="77777777" w:rsidTr="00244B21">
        <w:tc>
          <w:tcPr>
            <w:tcW w:w="3269" w:type="dxa"/>
          </w:tcPr>
          <w:p w14:paraId="17995623" w14:textId="77777777" w:rsidR="003209EE" w:rsidRDefault="003209EE" w:rsidP="00244B21">
            <w:pPr>
              <w:spacing w:after="120"/>
              <w:rPr>
                <w:szCs w:val="22"/>
              </w:rPr>
            </w:pPr>
            <w:r>
              <w:rPr>
                <w:szCs w:val="22"/>
              </w:rPr>
              <w:t>New hardware costs installed</w:t>
            </w:r>
          </w:p>
        </w:tc>
        <w:tc>
          <w:tcPr>
            <w:tcW w:w="3203" w:type="dxa"/>
          </w:tcPr>
          <w:p w14:paraId="708A2B2B" w14:textId="77777777" w:rsidR="003209EE" w:rsidRDefault="003209EE" w:rsidP="00244B21">
            <w:pPr>
              <w:spacing w:after="120"/>
              <w:jc w:val="center"/>
              <w:rPr>
                <w:szCs w:val="22"/>
              </w:rPr>
            </w:pPr>
            <w:r>
              <w:rPr>
                <w:szCs w:val="22"/>
              </w:rPr>
              <w:t>$5.90</w:t>
            </w:r>
          </w:p>
        </w:tc>
        <w:tc>
          <w:tcPr>
            <w:tcW w:w="2878" w:type="dxa"/>
          </w:tcPr>
          <w:p w14:paraId="7FA70222" w14:textId="77777777" w:rsidR="003209EE" w:rsidRDefault="003209EE" w:rsidP="00244B21">
            <w:pPr>
              <w:spacing w:after="120"/>
              <w:jc w:val="center"/>
              <w:rPr>
                <w:szCs w:val="22"/>
              </w:rPr>
            </w:pPr>
            <w:r>
              <w:rPr>
                <w:szCs w:val="22"/>
              </w:rPr>
              <w:t>$8.18</w:t>
            </w:r>
          </w:p>
        </w:tc>
      </w:tr>
      <w:tr w:rsidR="003209EE" w14:paraId="596D6A41" w14:textId="77777777" w:rsidTr="00244B21">
        <w:tc>
          <w:tcPr>
            <w:tcW w:w="3269" w:type="dxa"/>
          </w:tcPr>
          <w:p w14:paraId="25F356EB" w14:textId="77777777" w:rsidR="003209EE" w:rsidRDefault="003209EE" w:rsidP="00244B21">
            <w:pPr>
              <w:spacing w:after="120"/>
              <w:rPr>
                <w:szCs w:val="22"/>
              </w:rPr>
            </w:pPr>
            <w:r>
              <w:rPr>
                <w:szCs w:val="22"/>
              </w:rPr>
              <w:t>Annual refrigerant cost to end user</w:t>
            </w:r>
          </w:p>
        </w:tc>
        <w:tc>
          <w:tcPr>
            <w:tcW w:w="3203" w:type="dxa"/>
          </w:tcPr>
          <w:p w14:paraId="035A49BF" w14:textId="77777777" w:rsidR="003209EE" w:rsidRDefault="003209EE" w:rsidP="00244B21">
            <w:pPr>
              <w:spacing w:after="120"/>
              <w:jc w:val="center"/>
              <w:rPr>
                <w:szCs w:val="22"/>
              </w:rPr>
            </w:pPr>
            <w:r>
              <w:rPr>
                <w:szCs w:val="22"/>
              </w:rPr>
              <w:t>$0.54</w:t>
            </w:r>
          </w:p>
        </w:tc>
        <w:tc>
          <w:tcPr>
            <w:tcW w:w="2878" w:type="dxa"/>
          </w:tcPr>
          <w:p w14:paraId="39CBC5BB" w14:textId="77777777" w:rsidR="003209EE" w:rsidRDefault="003209EE" w:rsidP="00244B21">
            <w:pPr>
              <w:spacing w:after="120"/>
              <w:jc w:val="center"/>
              <w:rPr>
                <w:szCs w:val="22"/>
              </w:rPr>
            </w:pPr>
            <w:r>
              <w:rPr>
                <w:szCs w:val="22"/>
              </w:rPr>
              <w:t>$0.16</w:t>
            </w:r>
          </w:p>
        </w:tc>
      </w:tr>
      <w:tr w:rsidR="003209EE" w14:paraId="7623D93E" w14:textId="77777777" w:rsidTr="00244B21">
        <w:tc>
          <w:tcPr>
            <w:tcW w:w="3269" w:type="dxa"/>
          </w:tcPr>
          <w:p w14:paraId="559218DA" w14:textId="77777777" w:rsidR="003209EE" w:rsidRDefault="003209EE" w:rsidP="00244B21">
            <w:pPr>
              <w:spacing w:after="120"/>
              <w:rPr>
                <w:szCs w:val="22"/>
              </w:rPr>
            </w:pPr>
            <w:r>
              <w:rPr>
                <w:szCs w:val="22"/>
              </w:rPr>
              <w:t>Energy costs to end users</w:t>
            </w:r>
          </w:p>
        </w:tc>
        <w:tc>
          <w:tcPr>
            <w:tcW w:w="3203" w:type="dxa"/>
          </w:tcPr>
          <w:p w14:paraId="60D049D8" w14:textId="77777777" w:rsidR="003209EE" w:rsidRDefault="003209EE" w:rsidP="00244B21">
            <w:pPr>
              <w:spacing w:after="120"/>
              <w:jc w:val="center"/>
              <w:rPr>
                <w:szCs w:val="22"/>
              </w:rPr>
            </w:pPr>
            <w:r>
              <w:rPr>
                <w:szCs w:val="22"/>
              </w:rPr>
              <w:t>$14.06</w:t>
            </w:r>
          </w:p>
        </w:tc>
        <w:tc>
          <w:tcPr>
            <w:tcW w:w="2878" w:type="dxa"/>
          </w:tcPr>
          <w:p w14:paraId="31ADDDD4" w14:textId="77777777" w:rsidR="003209EE" w:rsidRDefault="003209EE" w:rsidP="00244B21">
            <w:pPr>
              <w:spacing w:after="120"/>
              <w:jc w:val="center"/>
              <w:rPr>
                <w:szCs w:val="22"/>
              </w:rPr>
            </w:pPr>
            <w:r>
              <w:rPr>
                <w:szCs w:val="22"/>
              </w:rPr>
              <w:t>$14.04</w:t>
            </w:r>
          </w:p>
        </w:tc>
      </w:tr>
      <w:tr w:rsidR="003209EE" w14:paraId="5890126D" w14:textId="77777777" w:rsidTr="00244B21">
        <w:tc>
          <w:tcPr>
            <w:tcW w:w="3269" w:type="dxa"/>
          </w:tcPr>
          <w:p w14:paraId="58520773" w14:textId="77777777" w:rsidR="003209EE" w:rsidRDefault="003209EE" w:rsidP="00244B21">
            <w:pPr>
              <w:spacing w:after="120"/>
              <w:rPr>
                <w:szCs w:val="22"/>
              </w:rPr>
            </w:pPr>
            <w:r>
              <w:rPr>
                <w:szCs w:val="22"/>
              </w:rPr>
              <w:t>Discounted wages cost</w:t>
            </w:r>
          </w:p>
        </w:tc>
        <w:tc>
          <w:tcPr>
            <w:tcW w:w="3203" w:type="dxa"/>
          </w:tcPr>
          <w:p w14:paraId="5DF49E38" w14:textId="77777777" w:rsidR="003209EE" w:rsidRDefault="003209EE" w:rsidP="00244B21">
            <w:pPr>
              <w:spacing w:after="120"/>
              <w:jc w:val="center"/>
              <w:rPr>
                <w:szCs w:val="22"/>
              </w:rPr>
            </w:pPr>
            <w:r>
              <w:rPr>
                <w:szCs w:val="22"/>
              </w:rPr>
              <w:t>$5.74</w:t>
            </w:r>
          </w:p>
        </w:tc>
        <w:tc>
          <w:tcPr>
            <w:tcW w:w="2878" w:type="dxa"/>
          </w:tcPr>
          <w:p w14:paraId="0C66A336" w14:textId="6CD2D0B2" w:rsidR="003209EE" w:rsidRDefault="003209EE" w:rsidP="00244B21">
            <w:pPr>
              <w:spacing w:after="120"/>
              <w:jc w:val="center"/>
              <w:rPr>
                <w:szCs w:val="22"/>
              </w:rPr>
            </w:pPr>
            <w:r>
              <w:rPr>
                <w:szCs w:val="22"/>
              </w:rPr>
              <w:t>$</w:t>
            </w:r>
            <w:r w:rsidR="00FD458B">
              <w:rPr>
                <w:szCs w:val="22"/>
              </w:rPr>
              <w:t>15.73</w:t>
            </w:r>
          </w:p>
        </w:tc>
      </w:tr>
      <w:tr w:rsidR="003209EE" w14:paraId="12B512BC" w14:textId="77777777" w:rsidTr="00244B21">
        <w:tc>
          <w:tcPr>
            <w:tcW w:w="3269" w:type="dxa"/>
          </w:tcPr>
          <w:p w14:paraId="2A1FC833" w14:textId="77777777" w:rsidR="003209EE" w:rsidRPr="00EC7BCC" w:rsidRDefault="003209EE" w:rsidP="00244B21">
            <w:pPr>
              <w:spacing w:after="120"/>
              <w:rPr>
                <w:b/>
                <w:szCs w:val="22"/>
              </w:rPr>
            </w:pPr>
            <w:r w:rsidRPr="00EC7BCC">
              <w:rPr>
                <w:b/>
                <w:szCs w:val="22"/>
              </w:rPr>
              <w:t>Total economic spend</w:t>
            </w:r>
          </w:p>
        </w:tc>
        <w:tc>
          <w:tcPr>
            <w:tcW w:w="3203" w:type="dxa"/>
          </w:tcPr>
          <w:p w14:paraId="205015E2" w14:textId="77777777" w:rsidR="003209EE" w:rsidRPr="00EC7BCC" w:rsidRDefault="003209EE" w:rsidP="00244B21">
            <w:pPr>
              <w:spacing w:after="120"/>
              <w:jc w:val="center"/>
              <w:rPr>
                <w:b/>
                <w:szCs w:val="22"/>
              </w:rPr>
            </w:pPr>
            <w:r w:rsidRPr="00EC7BCC">
              <w:rPr>
                <w:b/>
                <w:szCs w:val="22"/>
              </w:rPr>
              <w:t>$26.24</w:t>
            </w:r>
          </w:p>
        </w:tc>
        <w:tc>
          <w:tcPr>
            <w:tcW w:w="2878" w:type="dxa"/>
          </w:tcPr>
          <w:p w14:paraId="3B645246" w14:textId="1F0A1B6F" w:rsidR="003209EE" w:rsidRPr="00EC7BCC" w:rsidRDefault="003209EE" w:rsidP="00244B21">
            <w:pPr>
              <w:spacing w:after="120"/>
              <w:jc w:val="center"/>
              <w:rPr>
                <w:b/>
                <w:szCs w:val="22"/>
              </w:rPr>
            </w:pPr>
            <w:r w:rsidRPr="00EC7BCC">
              <w:rPr>
                <w:b/>
                <w:szCs w:val="22"/>
              </w:rPr>
              <w:t>$</w:t>
            </w:r>
            <w:r w:rsidR="00FD458B">
              <w:rPr>
                <w:b/>
                <w:szCs w:val="22"/>
              </w:rPr>
              <w:t>3</w:t>
            </w:r>
            <w:r w:rsidRPr="00EC7BCC">
              <w:rPr>
                <w:b/>
                <w:szCs w:val="22"/>
              </w:rPr>
              <w:t>8.</w:t>
            </w:r>
            <w:r w:rsidR="00FD458B">
              <w:rPr>
                <w:b/>
                <w:szCs w:val="22"/>
              </w:rPr>
              <w:t>11</w:t>
            </w:r>
          </w:p>
        </w:tc>
      </w:tr>
    </w:tbl>
    <w:p w14:paraId="479C7ED4" w14:textId="77777777" w:rsidR="003209EE" w:rsidRDefault="003209EE" w:rsidP="003209EE">
      <w:pPr>
        <w:rPr>
          <w:szCs w:val="22"/>
        </w:rPr>
      </w:pPr>
    </w:p>
    <w:p w14:paraId="59BA5E42" w14:textId="132BBCE7" w:rsidR="003209EE" w:rsidRDefault="003209EE" w:rsidP="003209EE">
      <w:pPr>
        <w:rPr>
          <w:szCs w:val="22"/>
        </w:rPr>
      </w:pPr>
      <w:r>
        <w:rPr>
          <w:szCs w:val="22"/>
        </w:rPr>
        <w:t xml:space="preserve">The most notable observation when comparing these two snapshots of the industry is that, while the value of </w:t>
      </w:r>
      <w:r w:rsidR="0021378A">
        <w:rPr>
          <w:szCs w:val="22"/>
        </w:rPr>
        <w:t xml:space="preserve">new </w:t>
      </w:r>
      <w:r>
        <w:rPr>
          <w:szCs w:val="22"/>
        </w:rPr>
        <w:t xml:space="preserve">equipment sales </w:t>
      </w:r>
      <w:r w:rsidR="0021378A">
        <w:rPr>
          <w:szCs w:val="22"/>
        </w:rPr>
        <w:t xml:space="preserve">installed </w:t>
      </w:r>
      <w:r>
        <w:rPr>
          <w:szCs w:val="22"/>
        </w:rPr>
        <w:t>has increased</w:t>
      </w:r>
      <w:r w:rsidR="00FD458B">
        <w:rPr>
          <w:szCs w:val="22"/>
        </w:rPr>
        <w:t xml:space="preserve"> by more than 38%</w:t>
      </w:r>
      <w:r>
        <w:rPr>
          <w:szCs w:val="22"/>
        </w:rPr>
        <w:t xml:space="preserve">, the discounted wages </w:t>
      </w:r>
      <w:r w:rsidR="00447533">
        <w:rPr>
          <w:szCs w:val="22"/>
        </w:rPr>
        <w:t>value for 2016 is significantly larger. This is the direct result of industry feedback suggesting that (and providing some reasonable evidence in support</w:t>
      </w:r>
      <w:r w:rsidR="00E40B67">
        <w:rPr>
          <w:szCs w:val="22"/>
        </w:rPr>
        <w:t xml:space="preserve"> of the assertion</w:t>
      </w:r>
      <w:r w:rsidR="00447533">
        <w:rPr>
          <w:szCs w:val="22"/>
        </w:rPr>
        <w:t>) the employment multipliers used to generate the estimate of total employment in 2012 were too low, particularly in the large MAC sector, but also in the supply, installation</w:t>
      </w:r>
      <w:r w:rsidR="00D94647">
        <w:rPr>
          <w:szCs w:val="22"/>
        </w:rPr>
        <w:t>,</w:t>
      </w:r>
      <w:r w:rsidR="00447533">
        <w:rPr>
          <w:szCs w:val="22"/>
        </w:rPr>
        <w:t xml:space="preserve"> and operation of stationary AC</w:t>
      </w:r>
      <w:r w:rsidR="00306A29">
        <w:rPr>
          <w:szCs w:val="22"/>
        </w:rPr>
        <w:t xml:space="preserve"> and commercial refrigeration</w:t>
      </w:r>
      <w:r w:rsidR="00447533">
        <w:rPr>
          <w:szCs w:val="22"/>
        </w:rPr>
        <w:t xml:space="preserve">. </w:t>
      </w:r>
      <w:r w:rsidR="00E40B67">
        <w:rPr>
          <w:szCs w:val="22"/>
        </w:rPr>
        <w:t xml:space="preserve">The adoption of the higher employment multipliers had the effect of expanding the total workforce estimate by 39% in 2016 as compared to the estimate that would have been generated if the 2012 multipliers were applied. </w:t>
      </w:r>
      <w:r w:rsidR="00DC14EF">
        <w:rPr>
          <w:szCs w:val="22"/>
        </w:rPr>
        <w:t>In the absence of more exacting workforce survey data, the authors are confident in the workforce estimate above.</w:t>
      </w:r>
      <w:r>
        <w:rPr>
          <w:szCs w:val="22"/>
        </w:rPr>
        <w:t xml:space="preserve"> </w:t>
      </w:r>
    </w:p>
    <w:p w14:paraId="5DBF029C" w14:textId="77777777" w:rsidR="003209EE" w:rsidRDefault="003209EE" w:rsidP="00306A29">
      <w:pPr>
        <w:rPr>
          <w:szCs w:val="22"/>
        </w:rPr>
      </w:pPr>
      <w:r>
        <w:rPr>
          <w:szCs w:val="22"/>
        </w:rPr>
        <w:t>While underlying energy costs are lower in 2016 than in 2012, the similarity in total energy costs, to run an increased stock of equipment, suggests that decades of government, industry and community focus on energy efficiency may be starting to show dividends in delivering increased energy services at lower cost to the economy.</w:t>
      </w:r>
    </w:p>
    <w:p w14:paraId="03D40573" w14:textId="1F243B25" w:rsidR="003209EE" w:rsidRDefault="003209EE" w:rsidP="00306A29">
      <w:pPr>
        <w:rPr>
          <w:szCs w:val="22"/>
        </w:rPr>
      </w:pPr>
      <w:r>
        <w:rPr>
          <w:szCs w:val="22"/>
        </w:rPr>
        <w:t xml:space="preserve">The very significant change in the value of the refrigerant purchased in 2012 versus 2016 points to both the impact that the </w:t>
      </w:r>
      <w:r w:rsidR="007C2D36">
        <w:rPr>
          <w:szCs w:val="22"/>
        </w:rPr>
        <w:t>e</w:t>
      </w:r>
      <w:r w:rsidR="007C2D36" w:rsidRPr="007C2D36">
        <w:rPr>
          <w:szCs w:val="22"/>
        </w:rPr>
        <w:t xml:space="preserve">quivalent carbon tax </w:t>
      </w:r>
      <w:r>
        <w:rPr>
          <w:szCs w:val="22"/>
        </w:rPr>
        <w:t xml:space="preserve">had on the price of refrigerants (and to a lesser degree on the price of pre-charged equipment imports) in 2012, but also to the high global warming potential of most refrigerants and how the prices under a </w:t>
      </w:r>
      <w:r w:rsidR="00D72BFF">
        <w:rPr>
          <w:szCs w:val="22"/>
        </w:rPr>
        <w:t>tax</w:t>
      </w:r>
      <w:r>
        <w:rPr>
          <w:szCs w:val="22"/>
        </w:rPr>
        <w:t xml:space="preserve"> based on the GWP of refrigerants highlights the un-costed externality of most refrigerant GWPs.  </w:t>
      </w:r>
    </w:p>
    <w:p w14:paraId="77E1BA08" w14:textId="528BE7B5" w:rsidR="003209EE" w:rsidRPr="0021378A" w:rsidRDefault="003209EE" w:rsidP="00306A29">
      <w:pPr>
        <w:rPr>
          <w:rFonts w:cs="Times New Roman"/>
          <w:szCs w:val="22"/>
          <w:lang w:val="en-AU"/>
        </w:rPr>
      </w:pPr>
      <w:r w:rsidRPr="0021378A">
        <w:rPr>
          <w:rFonts w:cs="Times New Roman"/>
          <w:szCs w:val="22"/>
          <w:lang w:val="en-AU"/>
        </w:rPr>
        <w:t>The total industry expenditure for installed equipment to end users</w:t>
      </w:r>
      <w:r w:rsidR="00DC14EF" w:rsidRPr="0021378A">
        <w:rPr>
          <w:rFonts w:cs="Times New Roman"/>
          <w:szCs w:val="22"/>
          <w:lang w:val="en-AU"/>
        </w:rPr>
        <w:t xml:space="preserve"> in 2016,</w:t>
      </w:r>
      <w:r w:rsidRPr="0021378A">
        <w:rPr>
          <w:rFonts w:cs="Times New Roman"/>
          <w:szCs w:val="22"/>
          <w:lang w:val="en-AU"/>
        </w:rPr>
        <w:t xml:space="preserve"> excluding energy spend</w:t>
      </w:r>
      <w:r w:rsidR="00DC14EF" w:rsidRPr="0021378A">
        <w:rPr>
          <w:rFonts w:cs="Times New Roman"/>
          <w:szCs w:val="22"/>
          <w:lang w:val="en-AU"/>
        </w:rPr>
        <w:t>,</w:t>
      </w:r>
      <w:r w:rsidRPr="0021378A">
        <w:rPr>
          <w:rFonts w:cs="Times New Roman"/>
          <w:szCs w:val="22"/>
          <w:lang w:val="en-AU"/>
        </w:rPr>
        <w:t xml:space="preserve"> is $2</w:t>
      </w:r>
      <w:r w:rsidR="0021378A" w:rsidRPr="0021378A">
        <w:rPr>
          <w:rFonts w:cs="Times New Roman"/>
          <w:szCs w:val="22"/>
          <w:lang w:val="en-AU"/>
        </w:rPr>
        <w:t>4</w:t>
      </w:r>
      <w:r w:rsidRPr="0021378A">
        <w:rPr>
          <w:rFonts w:cs="Times New Roman"/>
          <w:szCs w:val="22"/>
          <w:lang w:val="en-AU"/>
        </w:rPr>
        <w:t>.</w:t>
      </w:r>
      <w:r w:rsidR="0021378A" w:rsidRPr="0021378A">
        <w:rPr>
          <w:rFonts w:cs="Times New Roman"/>
          <w:szCs w:val="22"/>
          <w:lang w:val="en-AU"/>
        </w:rPr>
        <w:t>1</w:t>
      </w:r>
      <w:r w:rsidRPr="0021378A">
        <w:rPr>
          <w:rFonts w:cs="Times New Roman"/>
          <w:szCs w:val="22"/>
          <w:lang w:val="en-AU"/>
        </w:rPr>
        <w:t xml:space="preserve"> </w:t>
      </w:r>
      <w:r w:rsidR="00D72BFF" w:rsidRPr="0021378A">
        <w:rPr>
          <w:rFonts w:cs="Times New Roman"/>
          <w:szCs w:val="22"/>
          <w:lang w:val="en-AU"/>
        </w:rPr>
        <w:t>b</w:t>
      </w:r>
      <w:r w:rsidRPr="0021378A">
        <w:rPr>
          <w:rFonts w:cs="Times New Roman"/>
          <w:szCs w:val="22"/>
          <w:lang w:val="en-AU"/>
        </w:rPr>
        <w:t>illion and $3</w:t>
      </w:r>
      <w:r w:rsidR="0021378A" w:rsidRPr="0021378A">
        <w:rPr>
          <w:rFonts w:cs="Times New Roman"/>
          <w:szCs w:val="22"/>
          <w:lang w:val="en-AU"/>
        </w:rPr>
        <w:t>8</w:t>
      </w:r>
      <w:r w:rsidRPr="0021378A">
        <w:rPr>
          <w:rFonts w:cs="Times New Roman"/>
          <w:szCs w:val="22"/>
          <w:lang w:val="en-AU"/>
        </w:rPr>
        <w:t>.</w:t>
      </w:r>
      <w:r w:rsidR="0021378A" w:rsidRPr="0021378A">
        <w:rPr>
          <w:rFonts w:cs="Times New Roman"/>
          <w:szCs w:val="22"/>
          <w:lang w:val="en-AU"/>
        </w:rPr>
        <w:t>1</w:t>
      </w:r>
      <w:r w:rsidRPr="0021378A">
        <w:rPr>
          <w:rFonts w:cs="Times New Roman"/>
          <w:szCs w:val="22"/>
          <w:lang w:val="en-AU"/>
        </w:rPr>
        <w:t xml:space="preserve"> </w:t>
      </w:r>
      <w:r w:rsidR="00D72BFF" w:rsidRPr="0021378A">
        <w:rPr>
          <w:rFonts w:cs="Times New Roman"/>
          <w:szCs w:val="22"/>
          <w:lang w:val="en-AU"/>
        </w:rPr>
        <w:t>b</w:t>
      </w:r>
      <w:r w:rsidRPr="0021378A">
        <w:rPr>
          <w:rFonts w:cs="Times New Roman"/>
          <w:szCs w:val="22"/>
          <w:lang w:val="en-AU"/>
        </w:rPr>
        <w:t>illion including energy spend.</w:t>
      </w:r>
    </w:p>
    <w:bookmarkEnd w:id="133"/>
    <w:p w14:paraId="563C957B" w14:textId="77777777" w:rsidR="00E0585B" w:rsidRDefault="00DC14EF" w:rsidP="00306A29">
      <w:r w:rsidRPr="0021378A">
        <w:t>Further work in this area is recommended</w:t>
      </w:r>
      <w:r w:rsidR="00306A29" w:rsidRPr="0021378A">
        <w:t xml:space="preserve"> including an analysis of</w:t>
      </w:r>
      <w:r w:rsidR="00306A29">
        <w:t xml:space="preserve"> the </w:t>
      </w:r>
      <w:r w:rsidR="00306A29" w:rsidRPr="00306A29">
        <w:t>value adding the RAC industry delivers across the many sectors of the Australian economy</w:t>
      </w:r>
      <w:r w:rsidR="00306A29">
        <w:t>.</w:t>
      </w:r>
    </w:p>
    <w:p w14:paraId="349AAD09" w14:textId="77777777" w:rsidR="00E0585B" w:rsidRDefault="00E0585B" w:rsidP="00306A29"/>
    <w:p w14:paraId="5B4420EF" w14:textId="196FC874" w:rsidR="006B3710" w:rsidRPr="00E0585B" w:rsidRDefault="006B3710" w:rsidP="00E0585B">
      <w:bookmarkStart w:id="189" w:name="_Toc494661772"/>
      <w:r>
        <w:br w:type="page"/>
      </w:r>
    </w:p>
    <w:p w14:paraId="7F2087A0" w14:textId="335B93DC" w:rsidR="00A563D7" w:rsidRPr="00974916" w:rsidRDefault="00A563D7" w:rsidP="00A563D7">
      <w:pPr>
        <w:pStyle w:val="Heading1"/>
        <w:numPr>
          <w:ilvl w:val="0"/>
          <w:numId w:val="0"/>
        </w:numPr>
        <w:ind w:left="432" w:hanging="432"/>
      </w:pPr>
      <w:bookmarkStart w:id="190" w:name="_Toc525141306"/>
      <w:r>
        <w:t>Acknowledgements</w:t>
      </w:r>
      <w:bookmarkEnd w:id="189"/>
      <w:bookmarkEnd w:id="190"/>
    </w:p>
    <w:p w14:paraId="1DFFFDD6" w14:textId="4D52832D" w:rsidR="00A563D7" w:rsidRDefault="00A563D7" w:rsidP="00A563D7">
      <w:pPr>
        <w:spacing w:before="0"/>
      </w:pPr>
      <w:r>
        <w:t xml:space="preserve">The authors would like to thank the following industry associations and the individuals in the companies who have provided invaluable information, expert advice and participated in in-confidence surveys </w:t>
      </w:r>
      <w:r>
        <w:rPr>
          <w:rFonts w:hint="eastAsia"/>
        </w:rPr>
        <w:t>during the course of preparing this study.</w:t>
      </w:r>
    </w:p>
    <w:p w14:paraId="00B9C633" w14:textId="77777777" w:rsidR="00A563D7" w:rsidRDefault="00A563D7" w:rsidP="00A563D7">
      <w:pPr>
        <w:spacing w:befor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A563D7" w14:paraId="690A0BDB" w14:textId="77777777" w:rsidTr="000A70D0">
        <w:tc>
          <w:tcPr>
            <w:tcW w:w="9497" w:type="dxa"/>
            <w:gridSpan w:val="2"/>
          </w:tcPr>
          <w:p w14:paraId="71F542A1" w14:textId="77777777" w:rsidR="00A563D7" w:rsidRPr="00AF3F53" w:rsidRDefault="00A563D7" w:rsidP="00900966">
            <w:pPr>
              <w:spacing w:before="60" w:after="60"/>
              <w:jc w:val="left"/>
              <w:rPr>
                <w:b/>
              </w:rPr>
            </w:pPr>
            <w:r w:rsidRPr="00AF3F53">
              <w:rPr>
                <w:b/>
              </w:rPr>
              <w:t>Industry associations</w:t>
            </w:r>
          </w:p>
        </w:tc>
      </w:tr>
      <w:tr w:rsidR="00A563D7" w14:paraId="5ACED473" w14:textId="77777777" w:rsidTr="000A70D0">
        <w:tc>
          <w:tcPr>
            <w:tcW w:w="9497" w:type="dxa"/>
            <w:gridSpan w:val="2"/>
          </w:tcPr>
          <w:p w14:paraId="4175AF31" w14:textId="3C6E3E88" w:rsidR="00A563D7" w:rsidRPr="00F324A8" w:rsidRDefault="00A563D7" w:rsidP="00900966">
            <w:pPr>
              <w:spacing w:before="60" w:after="60"/>
              <w:jc w:val="left"/>
              <w:rPr>
                <w:szCs w:val="22"/>
              </w:rPr>
            </w:pPr>
            <w:r w:rsidRPr="00F324A8">
              <w:rPr>
                <w:szCs w:val="22"/>
              </w:rPr>
              <w:t xml:space="preserve">Australian Institute of Refrigeration Air Conditioning and Heating </w:t>
            </w:r>
            <w:r w:rsidR="009E69CD">
              <w:rPr>
                <w:szCs w:val="22"/>
              </w:rPr>
              <w:t>(AIRAH)</w:t>
            </w:r>
          </w:p>
        </w:tc>
      </w:tr>
      <w:tr w:rsidR="00A563D7" w14:paraId="17BF4C92" w14:textId="77777777" w:rsidTr="000A70D0">
        <w:tc>
          <w:tcPr>
            <w:tcW w:w="9497" w:type="dxa"/>
            <w:gridSpan w:val="2"/>
          </w:tcPr>
          <w:p w14:paraId="4BB91DF6" w14:textId="4485F246" w:rsidR="00A563D7" w:rsidRPr="00F324A8" w:rsidRDefault="00A563D7" w:rsidP="00900966">
            <w:pPr>
              <w:spacing w:before="60" w:after="60"/>
              <w:jc w:val="left"/>
              <w:rPr>
                <w:szCs w:val="22"/>
              </w:rPr>
            </w:pPr>
            <w:r w:rsidRPr="00F324A8">
              <w:rPr>
                <w:szCs w:val="22"/>
              </w:rPr>
              <w:t>Air Conditioning &amp; Refrigeration Equipment Manufacturers Association of Australia</w:t>
            </w:r>
            <w:r w:rsidR="009E69CD">
              <w:rPr>
                <w:szCs w:val="22"/>
              </w:rPr>
              <w:t xml:space="preserve"> (AREMA)</w:t>
            </w:r>
          </w:p>
        </w:tc>
      </w:tr>
      <w:tr w:rsidR="00A563D7" w14:paraId="31525773" w14:textId="77777777" w:rsidTr="000A70D0">
        <w:tc>
          <w:tcPr>
            <w:tcW w:w="9497" w:type="dxa"/>
            <w:gridSpan w:val="2"/>
          </w:tcPr>
          <w:p w14:paraId="20E94D97" w14:textId="72DF4DF0" w:rsidR="00A563D7" w:rsidRPr="00F324A8" w:rsidRDefault="00A563D7" w:rsidP="009E69CD">
            <w:pPr>
              <w:spacing w:before="60" w:after="60"/>
              <w:jc w:val="left"/>
              <w:rPr>
                <w:szCs w:val="22"/>
              </w:rPr>
            </w:pPr>
            <w:r w:rsidRPr="00F324A8">
              <w:rPr>
                <w:szCs w:val="22"/>
              </w:rPr>
              <w:t>Air Conditioning and Mechanical Contractors' Association of Australia</w:t>
            </w:r>
            <w:r w:rsidR="009E69CD">
              <w:rPr>
                <w:szCs w:val="22"/>
              </w:rPr>
              <w:t xml:space="preserve"> (AMCA)</w:t>
            </w:r>
          </w:p>
        </w:tc>
      </w:tr>
      <w:tr w:rsidR="00A563D7" w14:paraId="5517DCDA" w14:textId="77777777" w:rsidTr="000A70D0">
        <w:tc>
          <w:tcPr>
            <w:tcW w:w="9497" w:type="dxa"/>
            <w:gridSpan w:val="2"/>
          </w:tcPr>
          <w:p w14:paraId="3EF19618" w14:textId="6435E4EF" w:rsidR="00A563D7" w:rsidRPr="00F324A8" w:rsidRDefault="00A563D7" w:rsidP="00900966">
            <w:pPr>
              <w:spacing w:before="60" w:after="60"/>
              <w:jc w:val="left"/>
              <w:rPr>
                <w:szCs w:val="22"/>
              </w:rPr>
            </w:pPr>
            <w:r w:rsidRPr="00F324A8">
              <w:rPr>
                <w:szCs w:val="22"/>
              </w:rPr>
              <w:t>Australian Refrigeration Association</w:t>
            </w:r>
            <w:r w:rsidR="009E69CD">
              <w:rPr>
                <w:szCs w:val="22"/>
              </w:rPr>
              <w:t xml:space="preserve"> (ARA)</w:t>
            </w:r>
          </w:p>
        </w:tc>
      </w:tr>
      <w:tr w:rsidR="003628CA" w14:paraId="44384FA7" w14:textId="77777777" w:rsidTr="000A70D0">
        <w:tc>
          <w:tcPr>
            <w:tcW w:w="9497" w:type="dxa"/>
            <w:gridSpan w:val="2"/>
          </w:tcPr>
          <w:p w14:paraId="08BC8B4A" w14:textId="6F8E1178" w:rsidR="003628CA" w:rsidRPr="00F324A8" w:rsidRDefault="003628CA" w:rsidP="00900966">
            <w:pPr>
              <w:spacing w:before="60" w:after="60"/>
              <w:jc w:val="left"/>
              <w:rPr>
                <w:szCs w:val="22"/>
              </w:rPr>
            </w:pPr>
            <w:r w:rsidRPr="00F324A8">
              <w:rPr>
                <w:szCs w:val="22"/>
              </w:rPr>
              <w:t>Australian Refrigeration Mechanics Association</w:t>
            </w:r>
            <w:r w:rsidR="009E69CD">
              <w:rPr>
                <w:szCs w:val="22"/>
              </w:rPr>
              <w:t xml:space="preserve"> (ARMA)</w:t>
            </w:r>
          </w:p>
        </w:tc>
      </w:tr>
      <w:tr w:rsidR="00A563D7" w14:paraId="4D9436E8" w14:textId="77777777" w:rsidTr="000A70D0">
        <w:tc>
          <w:tcPr>
            <w:tcW w:w="9497" w:type="dxa"/>
            <w:gridSpan w:val="2"/>
          </w:tcPr>
          <w:p w14:paraId="0F8071A3" w14:textId="5A34BAEA" w:rsidR="00A563D7" w:rsidRPr="00F324A8" w:rsidRDefault="00A563D7" w:rsidP="000D5FE2">
            <w:pPr>
              <w:spacing w:before="60" w:after="60"/>
              <w:jc w:val="left"/>
              <w:rPr>
                <w:szCs w:val="22"/>
              </w:rPr>
            </w:pPr>
            <w:r w:rsidRPr="00F324A8">
              <w:rPr>
                <w:szCs w:val="22"/>
              </w:rPr>
              <w:t xml:space="preserve">Australian Refrigeration Council </w:t>
            </w:r>
            <w:r w:rsidR="005906DB">
              <w:rPr>
                <w:szCs w:val="22"/>
              </w:rPr>
              <w:t>(ARCtick)</w:t>
            </w:r>
          </w:p>
        </w:tc>
      </w:tr>
      <w:tr w:rsidR="00A563D7" w14:paraId="1058A188" w14:textId="77777777" w:rsidTr="000A70D0">
        <w:tc>
          <w:tcPr>
            <w:tcW w:w="9497" w:type="dxa"/>
            <w:gridSpan w:val="2"/>
          </w:tcPr>
          <w:p w14:paraId="4988635C" w14:textId="77777777" w:rsidR="00A563D7" w:rsidRPr="00F324A8" w:rsidRDefault="00A563D7" w:rsidP="00900966">
            <w:pPr>
              <w:spacing w:before="60" w:after="60"/>
              <w:jc w:val="left"/>
              <w:rPr>
                <w:szCs w:val="22"/>
              </w:rPr>
            </w:pPr>
            <w:r w:rsidRPr="00F324A8">
              <w:rPr>
                <w:szCs w:val="22"/>
              </w:rPr>
              <w:t>Refrigerated Warehouse and Transport Association</w:t>
            </w:r>
          </w:p>
        </w:tc>
      </w:tr>
      <w:tr w:rsidR="00A563D7" w14:paraId="44F441E0" w14:textId="77777777" w:rsidTr="000A70D0">
        <w:tc>
          <w:tcPr>
            <w:tcW w:w="9497" w:type="dxa"/>
            <w:gridSpan w:val="2"/>
          </w:tcPr>
          <w:p w14:paraId="3339A178" w14:textId="649F088D" w:rsidR="00A563D7" w:rsidRPr="00F324A8" w:rsidRDefault="00A563D7" w:rsidP="00900966">
            <w:pPr>
              <w:spacing w:before="60" w:after="60"/>
              <w:jc w:val="left"/>
              <w:rPr>
                <w:szCs w:val="22"/>
              </w:rPr>
            </w:pPr>
            <w:r w:rsidRPr="00F324A8">
              <w:rPr>
                <w:szCs w:val="22"/>
              </w:rPr>
              <w:t xml:space="preserve">Refrigeration and Air Conditioning Contractors Association </w:t>
            </w:r>
            <w:r w:rsidR="009E69CD">
              <w:rPr>
                <w:szCs w:val="22"/>
              </w:rPr>
              <w:t>(RACCA)</w:t>
            </w:r>
          </w:p>
        </w:tc>
      </w:tr>
      <w:tr w:rsidR="00A563D7" w14:paraId="538CCF30" w14:textId="77777777" w:rsidTr="000A70D0">
        <w:tc>
          <w:tcPr>
            <w:tcW w:w="9497" w:type="dxa"/>
            <w:gridSpan w:val="2"/>
          </w:tcPr>
          <w:p w14:paraId="7F68FC60" w14:textId="394281AE" w:rsidR="00A563D7" w:rsidRDefault="00A563D7" w:rsidP="00900966">
            <w:pPr>
              <w:spacing w:before="60" w:after="60"/>
              <w:jc w:val="left"/>
              <w:rPr>
                <w:szCs w:val="22"/>
              </w:rPr>
            </w:pPr>
            <w:r w:rsidRPr="00F324A8">
              <w:rPr>
                <w:szCs w:val="22"/>
              </w:rPr>
              <w:t xml:space="preserve">Refrigerants Australia </w:t>
            </w:r>
            <w:r w:rsidR="009E69CD">
              <w:rPr>
                <w:szCs w:val="22"/>
              </w:rPr>
              <w:t>(RA)</w:t>
            </w:r>
          </w:p>
          <w:p w14:paraId="698FFA93" w14:textId="3EA2CC16" w:rsidR="000D5FE2" w:rsidRPr="00F324A8" w:rsidRDefault="000D5FE2" w:rsidP="00900966">
            <w:pPr>
              <w:spacing w:before="60" w:after="60"/>
              <w:jc w:val="left"/>
              <w:rPr>
                <w:szCs w:val="22"/>
              </w:rPr>
            </w:pPr>
            <w:r>
              <w:rPr>
                <w:szCs w:val="22"/>
              </w:rPr>
              <w:t>Refrigerant Reclaim Australia</w:t>
            </w:r>
            <w:r w:rsidR="009E69CD">
              <w:rPr>
                <w:szCs w:val="22"/>
              </w:rPr>
              <w:t xml:space="preserve"> (RRA)</w:t>
            </w:r>
          </w:p>
        </w:tc>
      </w:tr>
      <w:tr w:rsidR="00A563D7" w14:paraId="6D7C57C5" w14:textId="77777777" w:rsidTr="000A70D0">
        <w:tc>
          <w:tcPr>
            <w:tcW w:w="9497" w:type="dxa"/>
            <w:gridSpan w:val="2"/>
          </w:tcPr>
          <w:p w14:paraId="5BF552F5" w14:textId="77777777" w:rsidR="00A563D7" w:rsidRDefault="00A563D7" w:rsidP="00900966">
            <w:pPr>
              <w:spacing w:before="60" w:after="60"/>
              <w:jc w:val="left"/>
            </w:pPr>
          </w:p>
        </w:tc>
      </w:tr>
      <w:tr w:rsidR="00A563D7" w14:paraId="716A6306" w14:textId="77777777" w:rsidTr="00B97938">
        <w:tc>
          <w:tcPr>
            <w:tcW w:w="9497" w:type="dxa"/>
            <w:gridSpan w:val="2"/>
          </w:tcPr>
          <w:p w14:paraId="56400771" w14:textId="77777777" w:rsidR="00A563D7" w:rsidRDefault="00A563D7" w:rsidP="00900966">
            <w:pPr>
              <w:spacing w:before="60" w:after="60"/>
              <w:jc w:val="left"/>
            </w:pPr>
            <w:r w:rsidRPr="00AF3F53">
              <w:rPr>
                <w:b/>
              </w:rPr>
              <w:t>Companies</w:t>
            </w:r>
          </w:p>
        </w:tc>
      </w:tr>
      <w:tr w:rsidR="006B3710" w14:paraId="70EB4CCD" w14:textId="77777777" w:rsidTr="00B97938">
        <w:trPr>
          <w:trHeight w:val="267"/>
        </w:trPr>
        <w:tc>
          <w:tcPr>
            <w:tcW w:w="4748" w:type="dxa"/>
          </w:tcPr>
          <w:p w14:paraId="402856B9" w14:textId="77777777" w:rsidR="006B3710" w:rsidRDefault="006B3710" w:rsidP="00900966">
            <w:pPr>
              <w:spacing w:before="60" w:after="60"/>
              <w:jc w:val="left"/>
            </w:pPr>
            <w:r w:rsidRPr="00DD51F5">
              <w:t>Actrol Parts</w:t>
            </w:r>
          </w:p>
          <w:p w14:paraId="6693BF83" w14:textId="77777777" w:rsidR="006B3710" w:rsidRPr="00DD51F5" w:rsidRDefault="006B3710" w:rsidP="00900966">
            <w:pPr>
              <w:spacing w:before="60" w:after="60"/>
              <w:jc w:val="left"/>
            </w:pPr>
            <w:r>
              <w:t>Actron Air</w:t>
            </w:r>
          </w:p>
          <w:p w14:paraId="4D26E94B" w14:textId="77777777" w:rsidR="006B3710" w:rsidRDefault="006B3710" w:rsidP="00900966">
            <w:pPr>
              <w:spacing w:before="60" w:after="60"/>
              <w:jc w:val="left"/>
            </w:pPr>
            <w:r w:rsidRPr="00DD51F5">
              <w:t>A-Gas Australia</w:t>
            </w:r>
          </w:p>
          <w:p w14:paraId="68D0C0E1" w14:textId="77777777" w:rsidR="006B3710" w:rsidRDefault="006B3710" w:rsidP="00900966">
            <w:pPr>
              <w:spacing w:before="60" w:after="60"/>
              <w:jc w:val="left"/>
            </w:pPr>
            <w:r w:rsidRPr="00DD51F5">
              <w:t>Airfrig Australia</w:t>
            </w:r>
          </w:p>
          <w:p w14:paraId="2B846164" w14:textId="77777777" w:rsidR="006B3710" w:rsidRDefault="006B3710" w:rsidP="00900966">
            <w:pPr>
              <w:spacing w:before="60" w:after="60"/>
              <w:jc w:val="left"/>
            </w:pPr>
            <w:r>
              <w:t>AJ Baker &amp; Sons</w:t>
            </w:r>
          </w:p>
          <w:p w14:paraId="1098F127" w14:textId="77777777" w:rsidR="006B3710" w:rsidRPr="00DD51F5" w:rsidRDefault="006B3710" w:rsidP="00900966">
            <w:pPr>
              <w:spacing w:before="60" w:after="60"/>
              <w:jc w:val="left"/>
            </w:pPr>
            <w:r>
              <w:t>Ashdown Ingram</w:t>
            </w:r>
          </w:p>
          <w:p w14:paraId="56682501" w14:textId="77777777" w:rsidR="006B3710" w:rsidRPr="00DD51F5" w:rsidRDefault="006B3710" w:rsidP="00900966">
            <w:pPr>
              <w:spacing w:before="60" w:after="60"/>
              <w:jc w:val="left"/>
            </w:pPr>
            <w:r>
              <w:t>Barry Brown &amp; Sons</w:t>
            </w:r>
          </w:p>
          <w:p w14:paraId="74608E46" w14:textId="77777777" w:rsidR="006B3710" w:rsidRDefault="006B3710" w:rsidP="00900966">
            <w:pPr>
              <w:spacing w:before="60" w:after="60"/>
              <w:jc w:val="left"/>
            </w:pPr>
            <w:r w:rsidRPr="00DD51F5">
              <w:t>Bitzer Australia</w:t>
            </w:r>
          </w:p>
          <w:p w14:paraId="373EF763" w14:textId="77777777" w:rsidR="006B3710" w:rsidRDefault="006B3710" w:rsidP="00900966">
            <w:pPr>
              <w:spacing w:before="60" w:after="60"/>
              <w:jc w:val="left"/>
            </w:pPr>
            <w:r w:rsidRPr="00DD51F5">
              <w:t>BOC Limited</w:t>
            </w:r>
          </w:p>
          <w:p w14:paraId="05A5506F" w14:textId="77777777" w:rsidR="006B3710" w:rsidRDefault="006B3710" w:rsidP="00900966">
            <w:pPr>
              <w:spacing w:before="60" w:after="60"/>
              <w:jc w:val="left"/>
            </w:pPr>
            <w:r>
              <w:t>Burson</w:t>
            </w:r>
          </w:p>
          <w:p w14:paraId="320B6008" w14:textId="77777777" w:rsidR="006B3710" w:rsidRDefault="006B3710" w:rsidP="00900966">
            <w:pPr>
              <w:spacing w:before="60" w:after="60"/>
              <w:jc w:val="left"/>
            </w:pPr>
            <w:r>
              <w:t>Carrier Transicold</w:t>
            </w:r>
          </w:p>
          <w:p w14:paraId="796FE519" w14:textId="77777777" w:rsidR="006B3710" w:rsidRDefault="006B3710" w:rsidP="00900966">
            <w:pPr>
              <w:spacing w:before="60" w:after="60"/>
              <w:jc w:val="left"/>
            </w:pPr>
            <w:r>
              <w:t>Casco Refrigeration</w:t>
            </w:r>
          </w:p>
          <w:p w14:paraId="54B4FA40" w14:textId="77777777" w:rsidR="006B3710" w:rsidRPr="00DD51F5" w:rsidRDefault="006B3710" w:rsidP="00900966">
            <w:pPr>
              <w:spacing w:before="60" w:after="60"/>
              <w:jc w:val="left"/>
            </w:pPr>
            <w:r>
              <w:t>Coles</w:t>
            </w:r>
          </w:p>
          <w:p w14:paraId="3DF140FE" w14:textId="77777777" w:rsidR="006B3710" w:rsidRPr="00DD51F5" w:rsidRDefault="006B3710" w:rsidP="00900966">
            <w:pPr>
              <w:spacing w:before="60" w:after="60"/>
              <w:jc w:val="left"/>
            </w:pPr>
            <w:r>
              <w:t>Cooldrive</w:t>
            </w:r>
          </w:p>
          <w:p w14:paraId="6B571EA5" w14:textId="77777777" w:rsidR="006B3710" w:rsidRDefault="006B3710" w:rsidP="00900966">
            <w:pPr>
              <w:spacing w:before="60" w:after="60"/>
              <w:jc w:val="left"/>
            </w:pPr>
            <w:r w:rsidRPr="00DD51F5">
              <w:t>Daikin Australia</w:t>
            </w:r>
          </w:p>
          <w:p w14:paraId="2215A4AF" w14:textId="77777777" w:rsidR="006B3710" w:rsidRDefault="006B3710" w:rsidP="00900966">
            <w:pPr>
              <w:spacing w:before="60" w:after="60"/>
              <w:jc w:val="left"/>
            </w:pPr>
            <w:r w:rsidRPr="00DD51F5">
              <w:t>Engas Australasia</w:t>
            </w:r>
          </w:p>
        </w:tc>
        <w:tc>
          <w:tcPr>
            <w:tcW w:w="4749" w:type="dxa"/>
          </w:tcPr>
          <w:p w14:paraId="7ADF915E" w14:textId="41778AD3" w:rsidR="006B3710" w:rsidRDefault="006B3710" w:rsidP="00900966">
            <w:pPr>
              <w:spacing w:before="60" w:after="60"/>
              <w:jc w:val="left"/>
            </w:pPr>
            <w:r w:rsidRPr="00DD51F5">
              <w:t>GreenFreeze</w:t>
            </w:r>
          </w:p>
          <w:p w14:paraId="6DD8B4D0" w14:textId="77777777" w:rsidR="006B3710" w:rsidRDefault="006B3710" w:rsidP="00900966">
            <w:pPr>
              <w:spacing w:before="60" w:after="60"/>
              <w:jc w:val="left"/>
            </w:pPr>
            <w:r w:rsidRPr="00DD51F5">
              <w:t>Heatcraft Australia</w:t>
            </w:r>
          </w:p>
          <w:p w14:paraId="2D9D7E88" w14:textId="77777777" w:rsidR="006B3710" w:rsidRPr="00DD51F5" w:rsidRDefault="006B3710" w:rsidP="00900966">
            <w:pPr>
              <w:spacing w:before="60" w:after="60"/>
              <w:jc w:val="left"/>
            </w:pPr>
            <w:r>
              <w:t>Highgate</w:t>
            </w:r>
          </w:p>
          <w:p w14:paraId="0E0C01B3" w14:textId="77777777" w:rsidR="006B3710" w:rsidRDefault="006B3710" w:rsidP="00900966">
            <w:pPr>
              <w:spacing w:before="60" w:after="60"/>
              <w:jc w:val="left"/>
            </w:pPr>
            <w:r w:rsidRPr="00DD51F5">
              <w:t>Hychill Australia</w:t>
            </w:r>
          </w:p>
          <w:p w14:paraId="7DA9DEC7" w14:textId="77777777" w:rsidR="006B3710" w:rsidRPr="0017594D" w:rsidRDefault="006B3710" w:rsidP="00900966">
            <w:pPr>
              <w:spacing w:before="60" w:after="60"/>
              <w:jc w:val="left"/>
            </w:pPr>
            <w:r>
              <w:t>ISECO Engineering Services (and Aldi)</w:t>
            </w:r>
          </w:p>
          <w:p w14:paraId="78D485AE" w14:textId="77777777" w:rsidR="006B3710" w:rsidRPr="003F6FAA" w:rsidRDefault="006B3710" w:rsidP="00900966">
            <w:pPr>
              <w:spacing w:before="60" w:after="60"/>
              <w:jc w:val="left"/>
            </w:pPr>
            <w:r w:rsidRPr="0017594D">
              <w:t>IXOM (formerly Orica Chemicals)</w:t>
            </w:r>
          </w:p>
          <w:p w14:paraId="0C195B20" w14:textId="77777777" w:rsidR="006B3710" w:rsidRPr="00A563D7" w:rsidRDefault="006B3710" w:rsidP="00900966">
            <w:pPr>
              <w:spacing w:before="60" w:after="60"/>
              <w:jc w:val="left"/>
              <w:rPr>
                <w:highlight w:val="yellow"/>
              </w:rPr>
            </w:pPr>
            <w:r w:rsidRPr="003F6FAA">
              <w:t>JAS Oceania</w:t>
            </w:r>
          </w:p>
          <w:p w14:paraId="43C9984B" w14:textId="5A73D26D" w:rsidR="006B3710" w:rsidRPr="007A5540" w:rsidRDefault="00FE74F2" w:rsidP="00900966">
            <w:pPr>
              <w:spacing w:before="60" w:after="60"/>
              <w:jc w:val="left"/>
            </w:pPr>
            <w:r w:rsidRPr="007A5540">
              <w:t>Mitsubishi</w:t>
            </w:r>
            <w:r w:rsidR="006B3710" w:rsidRPr="007A5540">
              <w:t xml:space="preserve"> Electric</w:t>
            </w:r>
          </w:p>
          <w:p w14:paraId="79CC926A" w14:textId="77777777" w:rsidR="006B3710" w:rsidRPr="00A563D7" w:rsidRDefault="006B3710" w:rsidP="00900966">
            <w:pPr>
              <w:spacing w:before="60" w:after="60"/>
              <w:jc w:val="left"/>
              <w:rPr>
                <w:highlight w:val="yellow"/>
              </w:rPr>
            </w:pPr>
            <w:r w:rsidRPr="001C03E6">
              <w:t>Oxford Cold Storage</w:t>
            </w:r>
          </w:p>
          <w:p w14:paraId="0DD96189" w14:textId="77777777" w:rsidR="003628CA" w:rsidRDefault="003628CA" w:rsidP="003628CA">
            <w:pPr>
              <w:spacing w:before="60" w:after="60"/>
              <w:jc w:val="left"/>
            </w:pPr>
            <w:r>
              <w:t>Repco</w:t>
            </w:r>
          </w:p>
          <w:p w14:paraId="677F7219" w14:textId="77777777" w:rsidR="003628CA" w:rsidRDefault="003628CA" w:rsidP="003628CA">
            <w:pPr>
              <w:spacing w:before="60" w:after="60"/>
              <w:jc w:val="left"/>
            </w:pPr>
            <w:r>
              <w:t>Sigma Air (</w:t>
            </w:r>
            <w:r w:rsidRPr="00D2583A">
              <w:t>Knorr Bramsse</w:t>
            </w:r>
            <w:r>
              <w:t>)</w:t>
            </w:r>
          </w:p>
          <w:p w14:paraId="1F49252A" w14:textId="77777777" w:rsidR="003628CA" w:rsidRPr="001C03E6" w:rsidRDefault="003628CA" w:rsidP="003628CA">
            <w:pPr>
              <w:spacing w:before="60" w:after="60"/>
              <w:jc w:val="left"/>
            </w:pPr>
            <w:r>
              <w:t>Smardt Chillers</w:t>
            </w:r>
          </w:p>
          <w:p w14:paraId="54238E4E" w14:textId="77777777" w:rsidR="003628CA" w:rsidRDefault="003628CA" w:rsidP="003628CA">
            <w:pPr>
              <w:spacing w:before="60" w:after="60"/>
              <w:jc w:val="left"/>
            </w:pPr>
            <w:r w:rsidRPr="001C03E6">
              <w:t>Swire Cold Storage</w:t>
            </w:r>
          </w:p>
          <w:p w14:paraId="73171C33" w14:textId="77777777" w:rsidR="003628CA" w:rsidRDefault="003628CA" w:rsidP="003628CA">
            <w:pPr>
              <w:spacing w:before="60" w:after="60"/>
              <w:jc w:val="left"/>
            </w:pPr>
            <w:r>
              <w:t>Temperzone</w:t>
            </w:r>
          </w:p>
          <w:p w14:paraId="58A1D6DF" w14:textId="77777777" w:rsidR="003628CA" w:rsidRDefault="003628CA" w:rsidP="003628CA">
            <w:pPr>
              <w:spacing w:before="60" w:after="60"/>
              <w:jc w:val="left"/>
            </w:pPr>
            <w:r>
              <w:t>Thermo King</w:t>
            </w:r>
          </w:p>
          <w:p w14:paraId="1965C961" w14:textId="53BD1D13" w:rsidR="006B3710" w:rsidRDefault="003628CA" w:rsidP="003628CA">
            <w:pPr>
              <w:spacing w:before="60" w:after="60"/>
              <w:jc w:val="left"/>
            </w:pPr>
            <w:r>
              <w:t>Woolworths (Group Engineering)</w:t>
            </w:r>
          </w:p>
        </w:tc>
      </w:tr>
    </w:tbl>
    <w:p w14:paraId="768C4ADA" w14:textId="77777777" w:rsidR="00A563D7" w:rsidRDefault="00A563D7" w:rsidP="00FF4A30">
      <w:pPr>
        <w:rPr>
          <w:rFonts w:cs="Times New Roman"/>
          <w:szCs w:val="22"/>
        </w:rPr>
      </w:pPr>
    </w:p>
    <w:p w14:paraId="14CAB27F" w14:textId="77777777" w:rsidR="00B97938" w:rsidRDefault="00B97938">
      <w:pPr>
        <w:spacing w:before="0"/>
        <w:jc w:val="left"/>
        <w:rPr>
          <w:rFonts w:ascii="Calibri" w:eastAsia="Times New Roman" w:hAnsi="Calibri" w:cs="Times New Roman"/>
          <w:b/>
          <w:bCs/>
          <w:kern w:val="32"/>
          <w:sz w:val="32"/>
          <w:szCs w:val="32"/>
          <w:lang w:val="en-US"/>
        </w:rPr>
      </w:pPr>
      <w:r>
        <w:br w:type="page"/>
      </w:r>
    </w:p>
    <w:p w14:paraId="23F4AEE0" w14:textId="40CD0878" w:rsidR="004049A3" w:rsidRPr="005C342E" w:rsidRDefault="005C342E" w:rsidP="005C342E">
      <w:pPr>
        <w:pStyle w:val="Heading1"/>
        <w:numPr>
          <w:ilvl w:val="0"/>
          <w:numId w:val="0"/>
        </w:numPr>
        <w:ind w:left="432" w:hanging="432"/>
      </w:pPr>
      <w:bookmarkStart w:id="191" w:name="_Toc525141307"/>
      <w:r w:rsidRPr="005C342E">
        <w:t>References</w:t>
      </w:r>
      <w:bookmarkEnd w:id="191"/>
    </w:p>
    <w:tbl>
      <w:tblPr>
        <w:tblW w:w="10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8215"/>
      </w:tblGrid>
      <w:tr w:rsidR="005C342E" w:rsidRPr="00D37A89" w14:paraId="68638466" w14:textId="77777777" w:rsidTr="00D8549E">
        <w:trPr>
          <w:trHeight w:val="342"/>
        </w:trPr>
        <w:tc>
          <w:tcPr>
            <w:tcW w:w="1956" w:type="dxa"/>
          </w:tcPr>
          <w:p w14:paraId="2A886F1C"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A2EP 2017</w:t>
            </w:r>
          </w:p>
        </w:tc>
        <w:tc>
          <w:tcPr>
            <w:tcW w:w="8215" w:type="dxa"/>
          </w:tcPr>
          <w:p w14:paraId="4F1B60F5"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Alliance for Energy Productivity (A2EP), Food Cold Chain Optimisation: Improving energy productivity using real time food condition monitoring through the chain, May 2017.</w:t>
            </w:r>
          </w:p>
        </w:tc>
      </w:tr>
      <w:tr w:rsidR="005C342E" w:rsidRPr="00D37A89" w14:paraId="0F1CF4BF" w14:textId="77777777" w:rsidTr="00D8549E">
        <w:trPr>
          <w:trHeight w:val="342"/>
        </w:trPr>
        <w:tc>
          <w:tcPr>
            <w:tcW w:w="1956" w:type="dxa"/>
          </w:tcPr>
          <w:p w14:paraId="4CDB1E63"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AACS 2015</w:t>
            </w:r>
          </w:p>
        </w:tc>
        <w:tc>
          <w:tcPr>
            <w:tcW w:w="8215" w:type="dxa"/>
          </w:tcPr>
          <w:p w14:paraId="0D2993EF"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Australasian Association of Convenience Stores State of the Industry Report, 2015.</w:t>
            </w:r>
          </w:p>
        </w:tc>
      </w:tr>
      <w:tr w:rsidR="005C342E" w:rsidRPr="005C342E" w14:paraId="1C309541" w14:textId="77777777" w:rsidTr="00D8549E">
        <w:trPr>
          <w:trHeight w:val="342"/>
        </w:trPr>
        <w:tc>
          <w:tcPr>
            <w:tcW w:w="1956" w:type="dxa"/>
          </w:tcPr>
          <w:p w14:paraId="71235A08"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AB&amp;C 2017</w:t>
            </w:r>
          </w:p>
        </w:tc>
        <w:tc>
          <w:tcPr>
            <w:tcW w:w="8215" w:type="dxa"/>
          </w:tcPr>
          <w:p w14:paraId="7441D260" w14:textId="77777777" w:rsidR="005C342E" w:rsidRPr="00443F81" w:rsidRDefault="005C342E" w:rsidP="00900966">
            <w:pPr>
              <w:spacing w:before="60" w:after="60"/>
              <w:jc w:val="left"/>
              <w:rPr>
                <w:rFonts w:eastAsia="Times New Roman" w:cs="Times New Roman"/>
                <w:sz w:val="20"/>
                <w:szCs w:val="20"/>
              </w:rPr>
            </w:pPr>
            <w:r w:rsidRPr="00443F81">
              <w:rPr>
                <w:rFonts w:eastAsia="Times New Roman" w:cs="Times New Roman"/>
                <w:sz w:val="20"/>
                <w:szCs w:val="20"/>
              </w:rPr>
              <w:t>Australasian Bus &amp; Coach (AB&amp;C) bus and coach deliveries data from 1998 to 2017.</w:t>
            </w:r>
          </w:p>
        </w:tc>
      </w:tr>
      <w:tr w:rsidR="00826A09" w:rsidRPr="00C624A6" w14:paraId="278A96F9" w14:textId="77777777" w:rsidTr="00D8549E">
        <w:trPr>
          <w:trHeight w:val="342"/>
        </w:trPr>
        <w:tc>
          <w:tcPr>
            <w:tcW w:w="1956" w:type="dxa"/>
          </w:tcPr>
          <w:p w14:paraId="513A0B42" w14:textId="695F3359" w:rsidR="00826A09" w:rsidRPr="00443F81" w:rsidRDefault="00826A09" w:rsidP="00300C77">
            <w:pPr>
              <w:pStyle w:val="BodyText"/>
              <w:spacing w:before="60" w:after="60"/>
              <w:jc w:val="left"/>
              <w:rPr>
                <w:rFonts w:ascii="Times New Roman" w:hAnsi="Times New Roman"/>
                <w:sz w:val="20"/>
                <w:szCs w:val="20"/>
              </w:rPr>
            </w:pPr>
            <w:r w:rsidRPr="00443F81">
              <w:rPr>
                <w:rFonts w:ascii="Times New Roman" w:hAnsi="Times New Roman"/>
                <w:sz w:val="20"/>
                <w:szCs w:val="20"/>
              </w:rPr>
              <w:t>ABARES 2017</w:t>
            </w:r>
          </w:p>
        </w:tc>
        <w:tc>
          <w:tcPr>
            <w:tcW w:w="8215" w:type="dxa"/>
          </w:tcPr>
          <w:p w14:paraId="3ACEB88C" w14:textId="19F87E08" w:rsidR="00826A09" w:rsidRPr="00443F81" w:rsidRDefault="00826A09" w:rsidP="00300C77">
            <w:pPr>
              <w:spacing w:before="60" w:after="60"/>
              <w:jc w:val="left"/>
              <w:rPr>
                <w:rFonts w:eastAsia="Times New Roman" w:cs="Times New Roman"/>
                <w:sz w:val="20"/>
                <w:szCs w:val="20"/>
              </w:rPr>
            </w:pPr>
            <w:r w:rsidRPr="00443F81">
              <w:rPr>
                <w:rFonts w:eastAsia="Times New Roman" w:cs="Times New Roman"/>
                <w:sz w:val="20"/>
                <w:szCs w:val="20"/>
              </w:rPr>
              <w:t>Agricultural commodity statistics, 2017, Department of Agriculture and Water Resource Economics and Sciences (ABARES), Published December 2017.</w:t>
            </w:r>
          </w:p>
        </w:tc>
      </w:tr>
      <w:tr w:rsidR="005C342E" w:rsidRPr="00C624A6" w14:paraId="574F0667" w14:textId="77777777" w:rsidTr="00D8549E">
        <w:trPr>
          <w:trHeight w:val="342"/>
        </w:trPr>
        <w:tc>
          <w:tcPr>
            <w:tcW w:w="1956" w:type="dxa"/>
          </w:tcPr>
          <w:p w14:paraId="0EDA9324" w14:textId="4CF4FB45" w:rsidR="005C342E" w:rsidRPr="00443F81" w:rsidRDefault="005C342E" w:rsidP="00300C77">
            <w:pPr>
              <w:pStyle w:val="BodyText"/>
              <w:spacing w:before="60" w:after="60"/>
              <w:jc w:val="left"/>
              <w:rPr>
                <w:rFonts w:ascii="Times New Roman" w:hAnsi="Times New Roman"/>
                <w:sz w:val="20"/>
                <w:szCs w:val="20"/>
              </w:rPr>
            </w:pPr>
            <w:r w:rsidRPr="00443F81">
              <w:rPr>
                <w:rFonts w:ascii="Times New Roman" w:hAnsi="Times New Roman"/>
                <w:sz w:val="20"/>
                <w:szCs w:val="20"/>
              </w:rPr>
              <w:t>ABS 3101.0 201</w:t>
            </w:r>
            <w:r w:rsidR="00443F81">
              <w:rPr>
                <w:rFonts w:ascii="Times New Roman" w:hAnsi="Times New Roman"/>
                <w:sz w:val="20"/>
                <w:szCs w:val="20"/>
              </w:rPr>
              <w:t>8</w:t>
            </w:r>
          </w:p>
        </w:tc>
        <w:tc>
          <w:tcPr>
            <w:tcW w:w="8215" w:type="dxa"/>
          </w:tcPr>
          <w:p w14:paraId="724B8C37" w14:textId="7769EF4B" w:rsidR="005C342E" w:rsidRPr="00443F81" w:rsidRDefault="005C342E" w:rsidP="00300C77">
            <w:pPr>
              <w:spacing w:before="60" w:after="60"/>
              <w:jc w:val="left"/>
              <w:rPr>
                <w:rFonts w:eastAsia="Times New Roman" w:cs="Times New Roman"/>
                <w:sz w:val="20"/>
                <w:szCs w:val="20"/>
              </w:rPr>
            </w:pPr>
            <w:r w:rsidRPr="00443F81">
              <w:rPr>
                <w:rFonts w:eastAsia="Times New Roman" w:cs="Times New Roman"/>
                <w:sz w:val="20"/>
                <w:szCs w:val="20"/>
              </w:rPr>
              <w:t xml:space="preserve">Australian Bureau of Statistics, catalogue 3101.0, Australian Demographic Statistics, </w:t>
            </w:r>
            <w:r w:rsidR="00300C77" w:rsidRPr="00443F81">
              <w:rPr>
                <w:rFonts w:eastAsia="Times New Roman" w:cs="Times New Roman"/>
                <w:sz w:val="20"/>
                <w:szCs w:val="20"/>
              </w:rPr>
              <w:t xml:space="preserve">March </w:t>
            </w:r>
            <w:r w:rsidRPr="00443F81">
              <w:rPr>
                <w:rFonts w:eastAsia="Times New Roman" w:cs="Times New Roman"/>
                <w:sz w:val="20"/>
                <w:szCs w:val="20"/>
              </w:rPr>
              <w:t>201</w:t>
            </w:r>
            <w:r w:rsidR="00300C77" w:rsidRPr="00443F81">
              <w:rPr>
                <w:rFonts w:eastAsia="Times New Roman" w:cs="Times New Roman"/>
                <w:sz w:val="20"/>
                <w:szCs w:val="20"/>
              </w:rPr>
              <w:t>7</w:t>
            </w:r>
            <w:r w:rsidRPr="00443F81">
              <w:rPr>
                <w:rFonts w:eastAsia="Times New Roman" w:cs="Times New Roman"/>
                <w:sz w:val="20"/>
                <w:szCs w:val="20"/>
              </w:rPr>
              <w:t>.</w:t>
            </w:r>
          </w:p>
        </w:tc>
      </w:tr>
      <w:tr w:rsidR="00443F81" w:rsidRPr="00C624A6" w14:paraId="3D871E1B" w14:textId="77777777" w:rsidTr="00D8549E">
        <w:trPr>
          <w:trHeight w:val="342"/>
        </w:trPr>
        <w:tc>
          <w:tcPr>
            <w:tcW w:w="1956" w:type="dxa"/>
          </w:tcPr>
          <w:p w14:paraId="72B9EFD2" w14:textId="4A2BC16B" w:rsidR="00443F81" w:rsidRPr="00443F81" w:rsidRDefault="00443F81" w:rsidP="00900966">
            <w:pPr>
              <w:pStyle w:val="BodyText"/>
              <w:spacing w:before="60" w:after="60"/>
              <w:jc w:val="left"/>
              <w:rPr>
                <w:rFonts w:ascii="Times New Roman" w:hAnsi="Times New Roman"/>
                <w:sz w:val="20"/>
                <w:szCs w:val="20"/>
              </w:rPr>
            </w:pPr>
            <w:r>
              <w:rPr>
                <w:rFonts w:ascii="Times New Roman" w:hAnsi="Times New Roman"/>
                <w:sz w:val="20"/>
                <w:szCs w:val="20"/>
              </w:rPr>
              <w:t>ABS 5206.0 2017</w:t>
            </w:r>
          </w:p>
        </w:tc>
        <w:tc>
          <w:tcPr>
            <w:tcW w:w="8215" w:type="dxa"/>
          </w:tcPr>
          <w:p w14:paraId="623244D2" w14:textId="21C6C5FA" w:rsidR="00443F81" w:rsidRPr="00443F81" w:rsidRDefault="00443F81"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 xml:space="preserve">Australian Bureau of Statistics, catalogue </w:t>
            </w:r>
            <w:r>
              <w:rPr>
                <w:rFonts w:ascii="Times New Roman" w:hAnsi="Times New Roman"/>
                <w:sz w:val="20"/>
                <w:szCs w:val="20"/>
              </w:rPr>
              <w:t xml:space="preserve">5206.0, </w:t>
            </w:r>
            <w:r w:rsidRPr="00443F81">
              <w:rPr>
                <w:rFonts w:ascii="Times New Roman" w:hAnsi="Times New Roman"/>
                <w:sz w:val="20"/>
                <w:szCs w:val="20"/>
              </w:rPr>
              <w:t>Australian National Accounts: National Income, Expenditure and Product, Dec</w:t>
            </w:r>
            <w:r>
              <w:rPr>
                <w:rFonts w:ascii="Times New Roman" w:hAnsi="Times New Roman"/>
                <w:sz w:val="20"/>
                <w:szCs w:val="20"/>
              </w:rPr>
              <w:t xml:space="preserve"> </w:t>
            </w:r>
            <w:r w:rsidRPr="00443F81">
              <w:rPr>
                <w:rFonts w:ascii="Times New Roman" w:hAnsi="Times New Roman"/>
                <w:sz w:val="20"/>
                <w:szCs w:val="20"/>
              </w:rPr>
              <w:t>2017 released on 7 March 2018</w:t>
            </w:r>
            <w:r>
              <w:rPr>
                <w:rFonts w:ascii="Times New Roman" w:hAnsi="Times New Roman"/>
                <w:sz w:val="20"/>
                <w:szCs w:val="20"/>
              </w:rPr>
              <w:t xml:space="preserve">. For GDP refer to </w:t>
            </w:r>
            <w:r w:rsidRPr="00443F81">
              <w:rPr>
                <w:rFonts w:ascii="Times New Roman" w:hAnsi="Times New Roman"/>
                <w:sz w:val="20"/>
                <w:szCs w:val="20"/>
              </w:rPr>
              <w:t>Table 1, Key National Accounts Aggregates, Column BB. Gross domestic product: Chain volume measure seasonally adjusted (in Australian dollars).</w:t>
            </w:r>
          </w:p>
        </w:tc>
      </w:tr>
      <w:tr w:rsidR="007051AF" w:rsidRPr="00C624A6" w14:paraId="12FC1A70" w14:textId="77777777" w:rsidTr="00D8549E">
        <w:trPr>
          <w:trHeight w:val="342"/>
        </w:trPr>
        <w:tc>
          <w:tcPr>
            <w:tcW w:w="1956" w:type="dxa"/>
          </w:tcPr>
          <w:p w14:paraId="64D2FB2E" w14:textId="13300626" w:rsidR="007051AF" w:rsidRPr="00443F81" w:rsidRDefault="007051AF"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ABS 6202.0 2018</w:t>
            </w:r>
          </w:p>
        </w:tc>
        <w:tc>
          <w:tcPr>
            <w:tcW w:w="8215" w:type="dxa"/>
          </w:tcPr>
          <w:p w14:paraId="0CFAF7AB" w14:textId="17C2A2CA" w:rsidR="007051AF" w:rsidRPr="00443F81" w:rsidRDefault="007051AF"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Bureau of Statistics, catalogue 6202.0, Labour Force in Australia, January 2018.</w:t>
            </w:r>
          </w:p>
        </w:tc>
      </w:tr>
      <w:tr w:rsidR="007051AF" w:rsidRPr="00C624A6" w14:paraId="6DF447A5" w14:textId="77777777" w:rsidTr="00D8549E">
        <w:trPr>
          <w:trHeight w:val="342"/>
        </w:trPr>
        <w:tc>
          <w:tcPr>
            <w:tcW w:w="1956" w:type="dxa"/>
          </w:tcPr>
          <w:p w14:paraId="2E9EDBED" w14:textId="2D8AE2DA" w:rsidR="007051AF" w:rsidRPr="00443F81" w:rsidRDefault="007051AF"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ABS 6291.0 2017</w:t>
            </w:r>
          </w:p>
        </w:tc>
        <w:tc>
          <w:tcPr>
            <w:tcW w:w="8215" w:type="dxa"/>
          </w:tcPr>
          <w:p w14:paraId="1F67D8C9" w14:textId="525E4D32" w:rsidR="007051AF" w:rsidRPr="00443F81" w:rsidRDefault="007051AF"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Bureau of Statistics, catalogue 6291.0, Labour Force, Australia, Detailed, Quarterly, Nov 2017.</w:t>
            </w:r>
          </w:p>
        </w:tc>
      </w:tr>
      <w:tr w:rsidR="005C342E" w:rsidRPr="00C624A6" w14:paraId="5A4B273D" w14:textId="77777777" w:rsidTr="00D8549E">
        <w:trPr>
          <w:trHeight w:val="342"/>
        </w:trPr>
        <w:tc>
          <w:tcPr>
            <w:tcW w:w="1956" w:type="dxa"/>
          </w:tcPr>
          <w:p w14:paraId="1DBFA7F8" w14:textId="12A58A5C"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ABS 8165.0 201</w:t>
            </w:r>
            <w:r w:rsidR="00ED04D3" w:rsidRPr="00443F81">
              <w:rPr>
                <w:rFonts w:ascii="Times New Roman" w:hAnsi="Times New Roman"/>
                <w:sz w:val="20"/>
                <w:szCs w:val="20"/>
              </w:rPr>
              <w:t>7</w:t>
            </w:r>
          </w:p>
        </w:tc>
        <w:tc>
          <w:tcPr>
            <w:tcW w:w="8215" w:type="dxa"/>
          </w:tcPr>
          <w:p w14:paraId="5C9BA664" w14:textId="347EBECE"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Bureau of Statistics, catalogue 8165.0, Counts of Australian Businesses, June 201</w:t>
            </w:r>
            <w:r w:rsidR="00ED04D3" w:rsidRPr="00443F81">
              <w:rPr>
                <w:rFonts w:ascii="Times New Roman" w:hAnsi="Times New Roman"/>
                <w:sz w:val="20"/>
                <w:szCs w:val="20"/>
              </w:rPr>
              <w:t>7</w:t>
            </w:r>
            <w:r w:rsidRPr="00443F81">
              <w:rPr>
                <w:rFonts w:ascii="Times New Roman" w:hAnsi="Times New Roman"/>
                <w:sz w:val="20"/>
                <w:szCs w:val="20"/>
              </w:rPr>
              <w:t>.</w:t>
            </w:r>
          </w:p>
        </w:tc>
      </w:tr>
      <w:tr w:rsidR="005C342E" w:rsidRPr="00D37A89" w14:paraId="289060C1" w14:textId="77777777" w:rsidTr="00D8549E">
        <w:trPr>
          <w:trHeight w:val="342"/>
        </w:trPr>
        <w:tc>
          <w:tcPr>
            <w:tcW w:w="1956" w:type="dxa"/>
          </w:tcPr>
          <w:p w14:paraId="102D31FE" w14:textId="0D909535"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ABS 9208.0 201</w:t>
            </w:r>
            <w:r w:rsidR="00716638" w:rsidRPr="00443F81">
              <w:rPr>
                <w:rFonts w:ascii="Times New Roman" w:hAnsi="Times New Roman"/>
                <w:sz w:val="20"/>
                <w:szCs w:val="20"/>
              </w:rPr>
              <w:t>7</w:t>
            </w:r>
          </w:p>
        </w:tc>
        <w:tc>
          <w:tcPr>
            <w:tcW w:w="8215" w:type="dxa"/>
          </w:tcPr>
          <w:p w14:paraId="30E3A727" w14:textId="341B1F6F"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 xml:space="preserve">Australian Bureau of Statistics, catalogue 9208.0, Survey of Motor Vehicle Use, </w:t>
            </w:r>
            <w:r w:rsidR="00716638" w:rsidRPr="00443F81">
              <w:rPr>
                <w:rFonts w:ascii="Times New Roman" w:hAnsi="Times New Roman"/>
                <w:sz w:val="20"/>
                <w:szCs w:val="20"/>
              </w:rPr>
              <w:t>March</w:t>
            </w:r>
            <w:r w:rsidRPr="00443F81">
              <w:rPr>
                <w:rFonts w:ascii="Times New Roman" w:hAnsi="Times New Roman"/>
                <w:sz w:val="20"/>
                <w:szCs w:val="20"/>
              </w:rPr>
              <w:t xml:space="preserve"> 201</w:t>
            </w:r>
            <w:r w:rsidR="00716638" w:rsidRPr="00443F81">
              <w:rPr>
                <w:rFonts w:ascii="Times New Roman" w:hAnsi="Times New Roman"/>
                <w:sz w:val="20"/>
                <w:szCs w:val="20"/>
              </w:rPr>
              <w:t>7</w:t>
            </w:r>
            <w:r w:rsidRPr="00443F81">
              <w:rPr>
                <w:rFonts w:ascii="Times New Roman" w:hAnsi="Times New Roman"/>
                <w:sz w:val="20"/>
                <w:szCs w:val="20"/>
              </w:rPr>
              <w:t>.</w:t>
            </w:r>
          </w:p>
        </w:tc>
      </w:tr>
      <w:tr w:rsidR="005C342E" w:rsidRPr="00D37A89" w14:paraId="4F3646C7" w14:textId="77777777" w:rsidTr="00D8549E">
        <w:trPr>
          <w:trHeight w:val="342"/>
        </w:trPr>
        <w:tc>
          <w:tcPr>
            <w:tcW w:w="1956" w:type="dxa"/>
          </w:tcPr>
          <w:p w14:paraId="45DCA0EF"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ABS 9309.0 2017</w:t>
            </w:r>
          </w:p>
        </w:tc>
        <w:tc>
          <w:tcPr>
            <w:tcW w:w="8215" w:type="dxa"/>
          </w:tcPr>
          <w:p w14:paraId="3C16BBFA"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Bureau of Statistics, catalogue 9309.0, Motor Vehicle Census, July 2017.</w:t>
            </w:r>
          </w:p>
        </w:tc>
      </w:tr>
      <w:tr w:rsidR="005C342E" w:rsidRPr="00D37A89" w14:paraId="61954529" w14:textId="77777777" w:rsidTr="00D8549E">
        <w:trPr>
          <w:trHeight w:val="342"/>
        </w:trPr>
        <w:tc>
          <w:tcPr>
            <w:tcW w:w="1956" w:type="dxa"/>
          </w:tcPr>
          <w:p w14:paraId="70461BC7"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ABS 9314.0 2017</w:t>
            </w:r>
          </w:p>
        </w:tc>
        <w:tc>
          <w:tcPr>
            <w:tcW w:w="8215" w:type="dxa"/>
          </w:tcPr>
          <w:p w14:paraId="4CA4992E"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Bureau of Statistics, catalogue 9314.0, Sales of New Motor Vehicles, Australia, December 2012 and Jan 2017.</w:t>
            </w:r>
          </w:p>
        </w:tc>
      </w:tr>
      <w:tr w:rsidR="00DE7DD6" w:rsidRPr="00D37A89" w14:paraId="54027E15" w14:textId="77777777" w:rsidTr="00D8549E">
        <w:trPr>
          <w:trHeight w:val="342"/>
        </w:trPr>
        <w:tc>
          <w:tcPr>
            <w:tcW w:w="1956" w:type="dxa"/>
          </w:tcPr>
          <w:p w14:paraId="349EF987" w14:textId="46D9C719" w:rsidR="00DE7DD6" w:rsidRPr="00443F81" w:rsidRDefault="00DE7DD6"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ACCC 2017</w:t>
            </w:r>
          </w:p>
        </w:tc>
        <w:tc>
          <w:tcPr>
            <w:tcW w:w="8215" w:type="dxa"/>
          </w:tcPr>
          <w:p w14:paraId="51D7847D" w14:textId="0A78A6D1" w:rsidR="00DE7DD6" w:rsidRPr="00443F81" w:rsidRDefault="00DE7DD6" w:rsidP="00A62170">
            <w:pPr>
              <w:pStyle w:val="BodyText"/>
              <w:spacing w:before="60" w:after="60"/>
              <w:jc w:val="left"/>
              <w:rPr>
                <w:rFonts w:ascii="Times New Roman" w:hAnsi="Times New Roman"/>
                <w:sz w:val="20"/>
                <w:szCs w:val="20"/>
              </w:rPr>
            </w:pPr>
            <w:r w:rsidRPr="00443F81">
              <w:rPr>
                <w:rFonts w:ascii="Times New Roman" w:hAnsi="Times New Roman"/>
                <w:sz w:val="20"/>
                <w:szCs w:val="20"/>
              </w:rPr>
              <w:t>Report on the Australian petroleum market, Australian Competition &amp; Consumer Commission, June 2017.</w:t>
            </w:r>
          </w:p>
        </w:tc>
      </w:tr>
      <w:tr w:rsidR="00A62170" w:rsidRPr="00D37A89" w14:paraId="4E94B062" w14:textId="77777777" w:rsidTr="00D8549E">
        <w:trPr>
          <w:trHeight w:val="342"/>
        </w:trPr>
        <w:tc>
          <w:tcPr>
            <w:tcW w:w="1956" w:type="dxa"/>
          </w:tcPr>
          <w:p w14:paraId="46071DF9" w14:textId="32F7515F" w:rsidR="00A62170" w:rsidRPr="00443F81" w:rsidRDefault="00A62170"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AEMO 2017</w:t>
            </w:r>
          </w:p>
        </w:tc>
        <w:tc>
          <w:tcPr>
            <w:tcW w:w="8215" w:type="dxa"/>
          </w:tcPr>
          <w:p w14:paraId="0851D586" w14:textId="77777777" w:rsidR="00A62170" w:rsidRPr="00443F81" w:rsidRDefault="00A62170" w:rsidP="00A62170">
            <w:pPr>
              <w:pStyle w:val="BodyText"/>
              <w:spacing w:before="60" w:after="60"/>
              <w:jc w:val="left"/>
              <w:rPr>
                <w:rFonts w:ascii="Times New Roman" w:hAnsi="Times New Roman"/>
                <w:sz w:val="20"/>
                <w:szCs w:val="20"/>
              </w:rPr>
            </w:pPr>
            <w:r w:rsidRPr="00443F81">
              <w:rPr>
                <w:rFonts w:ascii="Times New Roman" w:hAnsi="Times New Roman"/>
                <w:sz w:val="20"/>
                <w:szCs w:val="20"/>
              </w:rPr>
              <w:t xml:space="preserve">AEMO National Electricity and Gas Forecasting, Neutral Scenario, 1981 to 2037 by State, wholesale and retail prices, Australian Energy Market Operator, published 2017. </w:t>
            </w:r>
          </w:p>
          <w:p w14:paraId="1A15BA31" w14:textId="5449EC33" w:rsidR="00A62170" w:rsidRPr="00443F81" w:rsidRDefault="00A62170"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http://forecasting.aemo.com.au/Electricity/AnnualConsumption/Operational</w:t>
            </w:r>
          </w:p>
        </w:tc>
      </w:tr>
      <w:tr w:rsidR="005C342E" w:rsidRPr="00D37A89" w14:paraId="6758DE6C" w14:textId="77777777" w:rsidTr="00D8549E">
        <w:trPr>
          <w:trHeight w:val="342"/>
        </w:trPr>
        <w:tc>
          <w:tcPr>
            <w:tcW w:w="1956" w:type="dxa"/>
          </w:tcPr>
          <w:p w14:paraId="368B32BA"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AIRAH 2017a</w:t>
            </w:r>
          </w:p>
        </w:tc>
        <w:tc>
          <w:tcPr>
            <w:tcW w:w="8215" w:type="dxa"/>
          </w:tcPr>
          <w:p w14:paraId="1525D494"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Institute of Refrigeration, Air Conditioning and Heating Refrigeration Conference, May 2017. Presentation: Dario Ferlin, Woolworths sustainable innovations engineer.</w:t>
            </w:r>
          </w:p>
        </w:tc>
      </w:tr>
      <w:tr w:rsidR="005C342E" w:rsidRPr="00D37A89" w14:paraId="7BFBA35B" w14:textId="77777777" w:rsidTr="00D8549E">
        <w:trPr>
          <w:trHeight w:val="342"/>
        </w:trPr>
        <w:tc>
          <w:tcPr>
            <w:tcW w:w="1956" w:type="dxa"/>
          </w:tcPr>
          <w:p w14:paraId="5759B8F6"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AIRAH 2017b</w:t>
            </w:r>
          </w:p>
        </w:tc>
        <w:tc>
          <w:tcPr>
            <w:tcW w:w="8215" w:type="dxa"/>
          </w:tcPr>
          <w:p w14:paraId="2819AC81"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Case study, 100 per cent natural flavor, Ecolibrium, August 2017, Volume 16.7, the Australian Institute of Refrigeration, Air Conditioning and Heating.</w:t>
            </w:r>
          </w:p>
        </w:tc>
      </w:tr>
      <w:tr w:rsidR="005C342E" w:rsidRPr="00D37A89" w14:paraId="3E997D52" w14:textId="77777777" w:rsidTr="00D8549E">
        <w:trPr>
          <w:trHeight w:val="342"/>
        </w:trPr>
        <w:tc>
          <w:tcPr>
            <w:tcW w:w="1956" w:type="dxa"/>
          </w:tcPr>
          <w:p w14:paraId="7FB6D9BC" w14:textId="13C070EC"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AIP 201</w:t>
            </w:r>
            <w:r w:rsidR="00FD42C9" w:rsidRPr="00443F81">
              <w:rPr>
                <w:rFonts w:ascii="Times New Roman" w:hAnsi="Times New Roman"/>
                <w:sz w:val="20"/>
                <w:szCs w:val="20"/>
              </w:rPr>
              <w:t>7</w:t>
            </w:r>
          </w:p>
        </w:tc>
        <w:tc>
          <w:tcPr>
            <w:tcW w:w="8215" w:type="dxa"/>
          </w:tcPr>
          <w:p w14:paraId="24CBEEEB" w14:textId="44D8AF45" w:rsidR="005C342E" w:rsidRPr="00443F81" w:rsidRDefault="005C342E" w:rsidP="00FD42C9">
            <w:pPr>
              <w:pStyle w:val="BodyText"/>
              <w:spacing w:before="60" w:after="60"/>
              <w:jc w:val="left"/>
              <w:rPr>
                <w:rFonts w:ascii="Times New Roman" w:hAnsi="Times New Roman"/>
                <w:sz w:val="20"/>
                <w:szCs w:val="20"/>
              </w:rPr>
            </w:pPr>
            <w:r w:rsidRPr="00443F81">
              <w:rPr>
                <w:rFonts w:ascii="Times New Roman" w:hAnsi="Times New Roman"/>
                <w:sz w:val="20"/>
                <w:szCs w:val="20"/>
              </w:rPr>
              <w:t>Data available online for petrol and diesel prices in April 2013, Australian Institute of Petroleum, 201</w:t>
            </w:r>
            <w:r w:rsidR="00FD42C9" w:rsidRPr="00443F81">
              <w:rPr>
                <w:rFonts w:ascii="Times New Roman" w:hAnsi="Times New Roman"/>
                <w:sz w:val="20"/>
                <w:szCs w:val="20"/>
              </w:rPr>
              <w:t>7</w:t>
            </w:r>
            <w:r w:rsidRPr="00443F81">
              <w:rPr>
                <w:rFonts w:ascii="Times New Roman" w:hAnsi="Times New Roman"/>
                <w:sz w:val="20"/>
                <w:szCs w:val="20"/>
              </w:rPr>
              <w:t xml:space="preserve">. </w:t>
            </w:r>
          </w:p>
        </w:tc>
      </w:tr>
      <w:tr w:rsidR="007051AF" w:rsidRPr="00D37A89" w14:paraId="202A4532" w14:textId="77777777" w:rsidTr="00D8549E">
        <w:trPr>
          <w:trHeight w:val="342"/>
        </w:trPr>
        <w:tc>
          <w:tcPr>
            <w:tcW w:w="1956" w:type="dxa"/>
          </w:tcPr>
          <w:p w14:paraId="2A0B2AA5" w14:textId="1E9B36A2" w:rsidR="007051AF" w:rsidRPr="00443F81" w:rsidRDefault="007051AF"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AMCA 2017</w:t>
            </w:r>
          </w:p>
        </w:tc>
        <w:tc>
          <w:tcPr>
            <w:tcW w:w="8215" w:type="dxa"/>
          </w:tcPr>
          <w:p w14:paraId="096FC6CC" w14:textId="47715E66" w:rsidR="007051AF" w:rsidRPr="00443F81" w:rsidRDefault="007051AF"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Survey of Service Technician Hourly Rates, Australian Mechanical Contractors Association, 2017.</w:t>
            </w:r>
          </w:p>
        </w:tc>
      </w:tr>
      <w:tr w:rsidR="005C342E" w:rsidRPr="00D37A89" w14:paraId="46F7B4E4" w14:textId="77777777" w:rsidTr="00D8549E">
        <w:trPr>
          <w:trHeight w:val="342"/>
        </w:trPr>
        <w:tc>
          <w:tcPr>
            <w:tcW w:w="1956" w:type="dxa"/>
          </w:tcPr>
          <w:p w14:paraId="2169855D"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AMSA 2017</w:t>
            </w:r>
          </w:p>
        </w:tc>
        <w:tc>
          <w:tcPr>
            <w:tcW w:w="8215" w:type="dxa"/>
          </w:tcPr>
          <w:p w14:paraId="682DFAB4"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Registrar of Ships, Ship Inspection and Registration Division, Ship Safety Division, Australian Maritime Safety Authority, 2017.</w:t>
            </w:r>
          </w:p>
        </w:tc>
      </w:tr>
      <w:tr w:rsidR="005C342E" w:rsidRPr="00D37A89" w14:paraId="57080821" w14:textId="77777777" w:rsidTr="00D8549E">
        <w:trPr>
          <w:trHeight w:val="342"/>
        </w:trPr>
        <w:tc>
          <w:tcPr>
            <w:tcW w:w="1956" w:type="dxa"/>
          </w:tcPr>
          <w:p w14:paraId="27E35F14"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ANSI/ASHRAE 34</w:t>
            </w:r>
          </w:p>
        </w:tc>
        <w:tc>
          <w:tcPr>
            <w:tcW w:w="8215" w:type="dxa"/>
          </w:tcPr>
          <w:p w14:paraId="58C34A58"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ANSI/ASHRAE 34, Designation and Safety Classification of Refrigerant, which is published on the ASHRAE website.</w:t>
            </w:r>
          </w:p>
        </w:tc>
      </w:tr>
      <w:tr w:rsidR="005C342E" w:rsidRPr="00D37A89" w14:paraId="27D9FB4A" w14:textId="77777777" w:rsidTr="00D8549E">
        <w:trPr>
          <w:trHeight w:val="342"/>
        </w:trPr>
        <w:tc>
          <w:tcPr>
            <w:tcW w:w="1956" w:type="dxa"/>
          </w:tcPr>
          <w:p w14:paraId="6A2CC4FC"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ARCtick 2017</w:t>
            </w:r>
          </w:p>
        </w:tc>
        <w:tc>
          <w:tcPr>
            <w:tcW w:w="8215" w:type="dxa"/>
          </w:tcPr>
          <w:p w14:paraId="528DE012" w14:textId="0E7A63C1"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License data provided by ARCtick Australian Refrigeration Council by technician and business types.</w:t>
            </w:r>
          </w:p>
        </w:tc>
      </w:tr>
      <w:tr w:rsidR="005C342E" w:rsidRPr="00A66346" w14:paraId="4E5FF9D8" w14:textId="77777777" w:rsidTr="00D8549E">
        <w:trPr>
          <w:trHeight w:val="342"/>
        </w:trPr>
        <w:tc>
          <w:tcPr>
            <w:tcW w:w="1956" w:type="dxa"/>
          </w:tcPr>
          <w:p w14:paraId="708A1D2C"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BIC 2017</w:t>
            </w:r>
          </w:p>
        </w:tc>
        <w:tc>
          <w:tcPr>
            <w:tcW w:w="8215" w:type="dxa"/>
          </w:tcPr>
          <w:p w14:paraId="7D8E1246"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Review of Australian Bus Fleet, National Technical and Suppliers Summit, February 2017.</w:t>
            </w:r>
          </w:p>
        </w:tc>
      </w:tr>
      <w:tr w:rsidR="005C342E" w:rsidRPr="00A66346" w14:paraId="55F6B658" w14:textId="77777777" w:rsidTr="00D8549E">
        <w:trPr>
          <w:trHeight w:val="342"/>
        </w:trPr>
        <w:tc>
          <w:tcPr>
            <w:tcW w:w="1956" w:type="dxa"/>
          </w:tcPr>
          <w:p w14:paraId="5300BB65"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BITRE 2016</w:t>
            </w:r>
          </w:p>
        </w:tc>
        <w:tc>
          <w:tcPr>
            <w:tcW w:w="8215" w:type="dxa"/>
          </w:tcPr>
          <w:p w14:paraId="5E21E90E"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Bureau of Infrastructure, Transport and Regional Economics (BITRE) and Australasian Railway Association (ARA), Trainline 4 Statistical Report, 2016.</w:t>
            </w:r>
          </w:p>
        </w:tc>
      </w:tr>
      <w:tr w:rsidR="005C342E" w:rsidRPr="00B97938" w14:paraId="3A0D8DA1" w14:textId="77777777" w:rsidTr="00D8549E">
        <w:trPr>
          <w:trHeight w:val="342"/>
        </w:trPr>
        <w:tc>
          <w:tcPr>
            <w:tcW w:w="1956" w:type="dxa"/>
          </w:tcPr>
          <w:p w14:paraId="74BE3C43" w14:textId="1718E92B"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BREE 201</w:t>
            </w:r>
            <w:r w:rsidR="00B97938" w:rsidRPr="00443F81">
              <w:rPr>
                <w:rFonts w:ascii="Times New Roman" w:hAnsi="Times New Roman"/>
                <w:sz w:val="20"/>
                <w:szCs w:val="20"/>
              </w:rPr>
              <w:t>7</w:t>
            </w:r>
          </w:p>
        </w:tc>
        <w:tc>
          <w:tcPr>
            <w:tcW w:w="8215" w:type="dxa"/>
          </w:tcPr>
          <w:p w14:paraId="411ABE91" w14:textId="436417C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Energy Statistics, Bureau of Resources and Energy Economics, Canberra, 201</w:t>
            </w:r>
            <w:r w:rsidR="00B97938" w:rsidRPr="00443F81">
              <w:rPr>
                <w:rFonts w:ascii="Times New Roman" w:hAnsi="Times New Roman"/>
                <w:sz w:val="20"/>
                <w:szCs w:val="20"/>
              </w:rPr>
              <w:t>7</w:t>
            </w:r>
            <w:r w:rsidRPr="00443F81">
              <w:rPr>
                <w:rFonts w:ascii="Times New Roman" w:hAnsi="Times New Roman"/>
                <w:sz w:val="20"/>
                <w:szCs w:val="20"/>
              </w:rPr>
              <w:t>.</w:t>
            </w:r>
          </w:p>
        </w:tc>
      </w:tr>
      <w:tr w:rsidR="005C342E" w:rsidRPr="00D37A89" w14:paraId="65B356D2" w14:textId="77777777" w:rsidTr="00D8549E">
        <w:trPr>
          <w:trHeight w:val="342"/>
        </w:trPr>
        <w:tc>
          <w:tcPr>
            <w:tcW w:w="1956" w:type="dxa"/>
          </w:tcPr>
          <w:p w14:paraId="357DB14C"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Coles 2017</w:t>
            </w:r>
          </w:p>
        </w:tc>
        <w:tc>
          <w:tcPr>
            <w:tcW w:w="8215" w:type="dxa"/>
          </w:tcPr>
          <w:p w14:paraId="3207862E"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Coles Supermarkets Australia, 2016 Year in Review, published 2017.</w:t>
            </w:r>
          </w:p>
        </w:tc>
      </w:tr>
      <w:tr w:rsidR="002502D8" w:rsidRPr="009B1A87" w14:paraId="417DDF72" w14:textId="77777777" w:rsidTr="00D8549E">
        <w:trPr>
          <w:trHeight w:val="342"/>
        </w:trPr>
        <w:tc>
          <w:tcPr>
            <w:tcW w:w="1956" w:type="dxa"/>
          </w:tcPr>
          <w:p w14:paraId="49257E23" w14:textId="1753CCF7" w:rsidR="002502D8" w:rsidRPr="00443F81" w:rsidRDefault="002502D8"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CRC 2015</w:t>
            </w:r>
          </w:p>
        </w:tc>
        <w:tc>
          <w:tcPr>
            <w:tcW w:w="8215" w:type="dxa"/>
          </w:tcPr>
          <w:p w14:paraId="3E64F0FD" w14:textId="0BA85E69" w:rsidR="002502D8" w:rsidRPr="00443F81" w:rsidRDefault="002502D8" w:rsidP="002502D8">
            <w:pPr>
              <w:pStyle w:val="BodyText"/>
              <w:spacing w:before="60" w:after="60"/>
              <w:jc w:val="left"/>
              <w:rPr>
                <w:rFonts w:ascii="Times New Roman" w:hAnsi="Times New Roman"/>
                <w:sz w:val="20"/>
                <w:szCs w:val="20"/>
              </w:rPr>
            </w:pPr>
            <w:r w:rsidRPr="00443F81">
              <w:rPr>
                <w:rFonts w:ascii="Times New Roman" w:hAnsi="Times New Roman"/>
                <w:sz w:val="20"/>
                <w:szCs w:val="20"/>
              </w:rPr>
              <w:t>Refrigeration from Catch to Market, A study of refrigeration technology options for the Northern Prawn Fishery and the Sydney Fish Markets; and A new refrigeration system reference design and demonstration prototype for fishing vessels by Expert Group for Seafood CRC, Fisheries Research and Development Corporation and the Northern Prawn Fisheries (NPF Industry Ltd).</w:t>
            </w:r>
          </w:p>
        </w:tc>
      </w:tr>
      <w:tr w:rsidR="005C342E" w:rsidRPr="009B1A87" w14:paraId="49CBF178" w14:textId="77777777" w:rsidTr="00D8549E">
        <w:trPr>
          <w:trHeight w:val="342"/>
        </w:trPr>
        <w:tc>
          <w:tcPr>
            <w:tcW w:w="1956" w:type="dxa"/>
          </w:tcPr>
          <w:p w14:paraId="6A7E54AD"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CVIAA 2016</w:t>
            </w:r>
          </w:p>
        </w:tc>
        <w:tc>
          <w:tcPr>
            <w:tcW w:w="8215" w:type="dxa"/>
          </w:tcPr>
          <w:p w14:paraId="0B835E79"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Caravan and Campervan Data Report 2016, Caravan Industry Association of Australia Ltd, Published October 2016.</w:t>
            </w:r>
          </w:p>
        </w:tc>
      </w:tr>
      <w:tr w:rsidR="00C9319D" w:rsidRPr="00733EA3" w14:paraId="300E27AF" w14:textId="77777777" w:rsidTr="00D8549E">
        <w:trPr>
          <w:trHeight w:val="342"/>
        </w:trPr>
        <w:tc>
          <w:tcPr>
            <w:tcW w:w="1956" w:type="dxa"/>
          </w:tcPr>
          <w:p w14:paraId="63213ABB" w14:textId="18062694" w:rsidR="00C9319D" w:rsidRPr="00443F81" w:rsidRDefault="00C9319D" w:rsidP="00900966">
            <w:pPr>
              <w:pStyle w:val="BodyText"/>
              <w:spacing w:before="60" w:after="60"/>
              <w:ind w:left="1440" w:hanging="1440"/>
              <w:jc w:val="left"/>
              <w:rPr>
                <w:rFonts w:ascii="Times New Roman" w:hAnsi="Times New Roman"/>
                <w:sz w:val="20"/>
                <w:szCs w:val="20"/>
              </w:rPr>
            </w:pPr>
            <w:r w:rsidRPr="00443F81">
              <w:rPr>
                <w:rFonts w:ascii="Times New Roman" w:hAnsi="Times New Roman"/>
                <w:sz w:val="20"/>
                <w:szCs w:val="20"/>
              </w:rPr>
              <w:t>DoEE 2018</w:t>
            </w:r>
          </w:p>
        </w:tc>
        <w:tc>
          <w:tcPr>
            <w:tcW w:w="8215" w:type="dxa"/>
          </w:tcPr>
          <w:p w14:paraId="0CD70602" w14:textId="6951DAD0" w:rsidR="00C9319D" w:rsidRPr="00443F81" w:rsidRDefault="00C9319D" w:rsidP="00C9319D">
            <w:pPr>
              <w:pStyle w:val="BodyText"/>
              <w:spacing w:before="60" w:after="60"/>
              <w:jc w:val="left"/>
              <w:rPr>
                <w:rFonts w:ascii="Times New Roman" w:hAnsi="Times New Roman"/>
                <w:sz w:val="20"/>
                <w:szCs w:val="20"/>
              </w:rPr>
            </w:pPr>
            <w:r w:rsidRPr="00443F81">
              <w:rPr>
                <w:rFonts w:ascii="Times New Roman" w:hAnsi="Times New Roman"/>
                <w:sz w:val="20"/>
                <w:szCs w:val="20"/>
              </w:rPr>
              <w:t xml:space="preserve">National Inventory by Economic Sector 2016, Australia’s National Greenhouse Accounts by Department of the Environment and Energy, National Inventory Team, February 2018. </w:t>
            </w:r>
          </w:p>
        </w:tc>
      </w:tr>
      <w:tr w:rsidR="005C342E" w:rsidRPr="00733EA3" w14:paraId="5AA05760" w14:textId="77777777" w:rsidTr="00D8549E">
        <w:trPr>
          <w:trHeight w:val="342"/>
        </w:trPr>
        <w:tc>
          <w:tcPr>
            <w:tcW w:w="1956" w:type="dxa"/>
          </w:tcPr>
          <w:p w14:paraId="06E2E6F5" w14:textId="2A1FE382" w:rsidR="005C342E" w:rsidRPr="00443F81" w:rsidRDefault="005C342E" w:rsidP="00900966">
            <w:pPr>
              <w:pStyle w:val="BodyText"/>
              <w:spacing w:before="60" w:after="60"/>
              <w:ind w:left="1440" w:hanging="1440"/>
              <w:jc w:val="left"/>
              <w:rPr>
                <w:rFonts w:ascii="Times New Roman" w:hAnsi="Times New Roman"/>
                <w:sz w:val="20"/>
                <w:szCs w:val="20"/>
              </w:rPr>
            </w:pPr>
            <w:r w:rsidRPr="00443F81">
              <w:rPr>
                <w:rFonts w:ascii="Times New Roman" w:hAnsi="Times New Roman"/>
                <w:sz w:val="20"/>
                <w:szCs w:val="20"/>
              </w:rPr>
              <w:t>DoEE 2017</w:t>
            </w:r>
            <w:r w:rsidR="009912C4" w:rsidRPr="00443F81">
              <w:rPr>
                <w:rFonts w:ascii="Times New Roman" w:hAnsi="Times New Roman"/>
                <w:sz w:val="20"/>
                <w:szCs w:val="20"/>
              </w:rPr>
              <w:t>a</w:t>
            </w:r>
          </w:p>
        </w:tc>
        <w:tc>
          <w:tcPr>
            <w:tcW w:w="8215" w:type="dxa"/>
          </w:tcPr>
          <w:p w14:paraId="49C30B96"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Data (i.e. bulk and pre-charged equipment import statistics by quantity, mass, species, licence holder, product category from 2006 to 2017) provided by the Department of the Environment and Energy, Ozone and Synthetic Gas Team, July 2017.</w:t>
            </w:r>
          </w:p>
        </w:tc>
      </w:tr>
      <w:tr w:rsidR="009912C4" w:rsidRPr="00D37A89" w14:paraId="02A5B510" w14:textId="77777777" w:rsidTr="00D8549E">
        <w:trPr>
          <w:trHeight w:val="342"/>
        </w:trPr>
        <w:tc>
          <w:tcPr>
            <w:tcW w:w="1956" w:type="dxa"/>
          </w:tcPr>
          <w:p w14:paraId="769EFFAD" w14:textId="3B59F99D" w:rsidR="009912C4" w:rsidRPr="00443F81" w:rsidRDefault="009912C4" w:rsidP="00900966">
            <w:pPr>
              <w:pStyle w:val="BodyText"/>
              <w:spacing w:before="60" w:after="60"/>
              <w:ind w:left="1440" w:hanging="1440"/>
              <w:jc w:val="left"/>
              <w:rPr>
                <w:rFonts w:ascii="Times New Roman" w:hAnsi="Times New Roman"/>
                <w:sz w:val="20"/>
                <w:szCs w:val="20"/>
              </w:rPr>
            </w:pPr>
            <w:r w:rsidRPr="00443F81">
              <w:rPr>
                <w:rFonts w:ascii="Times New Roman" w:hAnsi="Times New Roman"/>
                <w:sz w:val="20"/>
                <w:szCs w:val="20"/>
              </w:rPr>
              <w:t>DoEE 2017b</w:t>
            </w:r>
          </w:p>
        </w:tc>
        <w:tc>
          <w:tcPr>
            <w:tcW w:w="8215" w:type="dxa"/>
          </w:tcPr>
          <w:p w14:paraId="4CC37D2B" w14:textId="6F9940D8" w:rsidR="009912C4" w:rsidRPr="00443F81" w:rsidRDefault="009912C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Australian Energy Statistics 2017, Australian Energy Update, Energy Statistics and Analysis Section, Department of the Environment and Energy August 2017.</w:t>
            </w:r>
          </w:p>
        </w:tc>
      </w:tr>
      <w:tr w:rsidR="005C342E" w:rsidRPr="00D37A89" w14:paraId="39912F36" w14:textId="77777777" w:rsidTr="00D8549E">
        <w:trPr>
          <w:trHeight w:val="342"/>
        </w:trPr>
        <w:tc>
          <w:tcPr>
            <w:tcW w:w="1956" w:type="dxa"/>
          </w:tcPr>
          <w:p w14:paraId="5444EE91" w14:textId="77777777" w:rsidR="005C342E" w:rsidRPr="00443F81" w:rsidRDefault="005C342E" w:rsidP="00900966">
            <w:pPr>
              <w:pStyle w:val="BodyText"/>
              <w:spacing w:before="60" w:after="60"/>
              <w:ind w:left="1440" w:hanging="1440"/>
              <w:jc w:val="left"/>
              <w:rPr>
                <w:rFonts w:ascii="Times New Roman" w:hAnsi="Times New Roman"/>
                <w:sz w:val="20"/>
                <w:szCs w:val="20"/>
              </w:rPr>
            </w:pPr>
            <w:r w:rsidRPr="00443F81">
              <w:rPr>
                <w:rFonts w:ascii="Times New Roman" w:hAnsi="Times New Roman"/>
                <w:sz w:val="20"/>
                <w:szCs w:val="20"/>
              </w:rPr>
              <w:t>DoE 2016</w:t>
            </w:r>
          </w:p>
        </w:tc>
        <w:tc>
          <w:tcPr>
            <w:tcW w:w="8215" w:type="dxa"/>
          </w:tcPr>
          <w:p w14:paraId="738111B5"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HFC Demand in Australia and Projections to 2030 as compared to International Proposals for HFC Phase Down timetables prepared by Expert Group for the Department of the Environment, Ozone and Synthetic Gas Team, April 2016.</w:t>
            </w:r>
          </w:p>
        </w:tc>
      </w:tr>
      <w:tr w:rsidR="005C342E" w:rsidRPr="00D37A89" w14:paraId="234697AC" w14:textId="77777777" w:rsidTr="00D8549E">
        <w:trPr>
          <w:trHeight w:val="342"/>
        </w:trPr>
        <w:tc>
          <w:tcPr>
            <w:tcW w:w="1956" w:type="dxa"/>
          </w:tcPr>
          <w:p w14:paraId="11CCF82C" w14:textId="77777777" w:rsidR="005C342E" w:rsidRPr="00443F81" w:rsidRDefault="005C342E" w:rsidP="00900966">
            <w:pPr>
              <w:pStyle w:val="BodyText"/>
              <w:spacing w:before="60" w:after="60"/>
              <w:ind w:left="1440" w:hanging="1440"/>
              <w:jc w:val="left"/>
              <w:rPr>
                <w:rFonts w:ascii="Times New Roman" w:hAnsi="Times New Roman"/>
                <w:sz w:val="20"/>
                <w:szCs w:val="20"/>
              </w:rPr>
            </w:pPr>
            <w:r w:rsidRPr="00443F81">
              <w:rPr>
                <w:rFonts w:ascii="Times New Roman" w:hAnsi="Times New Roman"/>
                <w:sz w:val="20"/>
                <w:szCs w:val="20"/>
              </w:rPr>
              <w:t>DoEE 2015a</w:t>
            </w:r>
          </w:p>
        </w:tc>
        <w:tc>
          <w:tcPr>
            <w:tcW w:w="8215" w:type="dxa"/>
          </w:tcPr>
          <w:p w14:paraId="7F596362" w14:textId="6E620D5D"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 xml:space="preserve">Assessment of environmental impacts from the Ozone Protection and Synthetic Greenhouse Gas Management Act 1989 (the </w:t>
            </w:r>
            <w:r w:rsidR="009E69CD">
              <w:rPr>
                <w:rFonts w:ascii="Times New Roman" w:hAnsi="Times New Roman"/>
                <w:sz w:val="20"/>
                <w:szCs w:val="20"/>
              </w:rPr>
              <w:t xml:space="preserve">OPSGGM </w:t>
            </w:r>
            <w:r w:rsidRPr="00443F81">
              <w:rPr>
                <w:rFonts w:ascii="Times New Roman" w:hAnsi="Times New Roman"/>
                <w:sz w:val="20"/>
                <w:szCs w:val="20"/>
              </w:rPr>
              <w:t>Act) prepared by Expert Group for the Australian Government, Department of Environment and Energy, Ozone and Synthetic Gas Team. Refer Attachment B: Environmental Impact Assessment, April 2015.</w:t>
            </w:r>
          </w:p>
        </w:tc>
      </w:tr>
      <w:tr w:rsidR="005C342E" w:rsidRPr="00D37A89" w14:paraId="30B88E8F" w14:textId="77777777" w:rsidTr="00D8549E">
        <w:trPr>
          <w:trHeight w:val="342"/>
        </w:trPr>
        <w:tc>
          <w:tcPr>
            <w:tcW w:w="1956" w:type="dxa"/>
          </w:tcPr>
          <w:p w14:paraId="663558B4" w14:textId="77777777" w:rsidR="005C342E" w:rsidRPr="00443F81" w:rsidRDefault="005C342E" w:rsidP="00900966">
            <w:pPr>
              <w:pStyle w:val="BodyText"/>
              <w:spacing w:before="60" w:after="60"/>
              <w:ind w:left="1440" w:hanging="1440"/>
              <w:jc w:val="left"/>
              <w:rPr>
                <w:rFonts w:ascii="Times New Roman" w:hAnsi="Times New Roman"/>
                <w:sz w:val="20"/>
                <w:szCs w:val="20"/>
              </w:rPr>
            </w:pPr>
            <w:r w:rsidRPr="00443F81">
              <w:rPr>
                <w:rFonts w:ascii="Times New Roman" w:hAnsi="Times New Roman"/>
                <w:sz w:val="20"/>
                <w:szCs w:val="20"/>
              </w:rPr>
              <w:t>DoEE 2015b</w:t>
            </w:r>
          </w:p>
        </w:tc>
        <w:tc>
          <w:tcPr>
            <w:tcW w:w="8215" w:type="dxa"/>
          </w:tcPr>
          <w:p w14:paraId="2798EC93" w14:textId="05B27C2D"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Environmental Impacts of Refrig</w:t>
            </w:r>
            <w:r w:rsidR="00FC5FC6" w:rsidRPr="00443F81">
              <w:rPr>
                <w:rFonts w:ascii="Times New Roman" w:hAnsi="Times New Roman"/>
                <w:sz w:val="20"/>
                <w:szCs w:val="20"/>
              </w:rPr>
              <w:t>erant Gas in End-</w:t>
            </w:r>
            <w:r w:rsidRPr="00443F81">
              <w:rPr>
                <w:rFonts w:ascii="Times New Roman" w:hAnsi="Times New Roman"/>
                <w:sz w:val="20"/>
                <w:szCs w:val="20"/>
              </w:rPr>
              <w:t>of</w:t>
            </w:r>
            <w:r w:rsidR="00FC5FC6" w:rsidRPr="00443F81">
              <w:rPr>
                <w:rFonts w:ascii="Times New Roman" w:hAnsi="Times New Roman"/>
                <w:sz w:val="20"/>
                <w:szCs w:val="20"/>
              </w:rPr>
              <w:t>-</w:t>
            </w:r>
            <w:r w:rsidRPr="00443F81">
              <w:rPr>
                <w:rFonts w:ascii="Times New Roman" w:hAnsi="Times New Roman"/>
                <w:sz w:val="20"/>
                <w:szCs w:val="20"/>
              </w:rPr>
              <w:t>Life Vehicles in Australia, Expert Group for the Australian Government, Department of Environment and Energy, Ozone and Synthetic Gas Team, March 2015.</w:t>
            </w:r>
          </w:p>
        </w:tc>
      </w:tr>
      <w:tr w:rsidR="005C342E" w:rsidRPr="00D37A89" w14:paraId="004D5613" w14:textId="77777777" w:rsidTr="00D8549E">
        <w:trPr>
          <w:trHeight w:val="342"/>
        </w:trPr>
        <w:tc>
          <w:tcPr>
            <w:tcW w:w="1956" w:type="dxa"/>
          </w:tcPr>
          <w:p w14:paraId="3341BE8B"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DoEE 2014</w:t>
            </w:r>
          </w:p>
        </w:tc>
        <w:tc>
          <w:tcPr>
            <w:tcW w:w="8215" w:type="dxa"/>
          </w:tcPr>
          <w:p w14:paraId="7C37B5FB"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A study into HFC consumption in Australia in 2013, and an assessment of the capacity of Australian industry to transition in accordance with the North American Amendment proposal, under the Montreal Protocol, by Expert Group for the Australian Government, Department of Environment and Energy, Environmental Standards Branch, March 2015.</w:t>
            </w:r>
          </w:p>
        </w:tc>
      </w:tr>
      <w:tr w:rsidR="005C342E" w:rsidRPr="00D37A89" w14:paraId="4AEFB36A" w14:textId="77777777" w:rsidTr="00D8549E">
        <w:trPr>
          <w:trHeight w:val="342"/>
        </w:trPr>
        <w:tc>
          <w:tcPr>
            <w:tcW w:w="1956" w:type="dxa"/>
          </w:tcPr>
          <w:p w14:paraId="31EBBBFE"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DoEE 2013</w:t>
            </w:r>
          </w:p>
        </w:tc>
        <w:tc>
          <w:tcPr>
            <w:tcW w:w="8215" w:type="dxa"/>
          </w:tcPr>
          <w:p w14:paraId="3B97D5BE"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Cold Hard Facts 2, A study of the refrigeration and air conditioning industry in Australia and associated model, prepared by Expert Group for the Department of the Environment, Ozone and Synthetic Gas Team 2013.</w:t>
            </w:r>
          </w:p>
        </w:tc>
      </w:tr>
      <w:tr w:rsidR="00B97938" w:rsidRPr="00D37A89" w14:paraId="173CD8C3" w14:textId="77777777" w:rsidTr="00D8549E">
        <w:trPr>
          <w:trHeight w:val="342"/>
        </w:trPr>
        <w:tc>
          <w:tcPr>
            <w:tcW w:w="1956" w:type="dxa"/>
          </w:tcPr>
          <w:p w14:paraId="7B171832" w14:textId="789775AC" w:rsidR="00B97938" w:rsidRPr="00443F81" w:rsidRDefault="00BE580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DoEE 2008</w:t>
            </w:r>
          </w:p>
        </w:tc>
        <w:tc>
          <w:tcPr>
            <w:tcW w:w="8215" w:type="dxa"/>
          </w:tcPr>
          <w:p w14:paraId="40083DEF" w14:textId="5F885A9F" w:rsidR="00B97938" w:rsidRPr="00443F81" w:rsidRDefault="00BE580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ODS and SGGs in Australia: A study of end uses, emissions and opportunities for reclamation, prepared by Peter Brodribb and Michael McCann for Department of the Environment, Water, Heritage and the Arts, Ozone &amp; Synthetic Gas Team, 2008.</w:t>
            </w:r>
          </w:p>
        </w:tc>
      </w:tr>
      <w:tr w:rsidR="005C342E" w:rsidRPr="00D37A89" w14:paraId="18BD85B4" w14:textId="77777777" w:rsidTr="00D8549E">
        <w:trPr>
          <w:trHeight w:val="342"/>
        </w:trPr>
        <w:tc>
          <w:tcPr>
            <w:tcW w:w="1956" w:type="dxa"/>
          </w:tcPr>
          <w:p w14:paraId="68C2B7BB"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DoEE, 2007</w:t>
            </w:r>
          </w:p>
        </w:tc>
        <w:tc>
          <w:tcPr>
            <w:tcW w:w="8215" w:type="dxa"/>
          </w:tcPr>
          <w:p w14:paraId="110F730D"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Cold Hard Facts, prepared by Energy Strategies in association with Expert Group for DEWHA and Refrigerants Australia, 2007.</w:t>
            </w:r>
          </w:p>
        </w:tc>
      </w:tr>
      <w:tr w:rsidR="005C342E" w:rsidRPr="00D37A89" w14:paraId="650E9D5C" w14:textId="77777777" w:rsidTr="00D8549E">
        <w:trPr>
          <w:trHeight w:val="342"/>
        </w:trPr>
        <w:tc>
          <w:tcPr>
            <w:tcW w:w="1956" w:type="dxa"/>
          </w:tcPr>
          <w:p w14:paraId="51C9C797" w14:textId="1DB376F6"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E3 2017</w:t>
            </w:r>
            <w:r w:rsidR="00A23A14" w:rsidRPr="00443F81">
              <w:rPr>
                <w:rFonts w:ascii="Times New Roman" w:hAnsi="Times New Roman"/>
                <w:sz w:val="20"/>
                <w:szCs w:val="20"/>
              </w:rPr>
              <w:t>a</w:t>
            </w:r>
          </w:p>
        </w:tc>
        <w:tc>
          <w:tcPr>
            <w:tcW w:w="8215" w:type="dxa"/>
          </w:tcPr>
          <w:p w14:paraId="44FAD01C" w14:textId="77777777" w:rsidR="005C342E" w:rsidRPr="00443F81" w:rsidRDefault="005C342E"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Decision and Consultation Regulation Impact Statement Air conditioners, Chillers and Close Control Air Conditioner: Energy Modelling &amp; Cost Benefit Analysis prepared by EnergyConsult on behalf of the trans-Tasman Equipment Energy Efficiency (E3) programme, 2015 to 2017. </w:t>
            </w:r>
          </w:p>
        </w:tc>
      </w:tr>
      <w:tr w:rsidR="00A23A14" w:rsidRPr="00D37A89" w14:paraId="075DE5A8" w14:textId="77777777" w:rsidTr="00D8549E">
        <w:trPr>
          <w:trHeight w:val="342"/>
        </w:trPr>
        <w:tc>
          <w:tcPr>
            <w:tcW w:w="1956" w:type="dxa"/>
          </w:tcPr>
          <w:p w14:paraId="4ECDEABB" w14:textId="60EEDDC5"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E3 2017b</w:t>
            </w:r>
          </w:p>
        </w:tc>
        <w:tc>
          <w:tcPr>
            <w:tcW w:w="8215" w:type="dxa"/>
          </w:tcPr>
          <w:p w14:paraId="4CB2EDE9" w14:textId="46BEA688"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Consultation Regulation Impact Statement - Fans in Australia and New Zealand, prepared by Sustainability Victoria (SV) and Expert Group on behalf of Equipment Energy Efficiency (E3) programme, April 2017.</w:t>
            </w:r>
          </w:p>
        </w:tc>
      </w:tr>
      <w:tr w:rsidR="00A23A14" w:rsidRPr="00D37A89" w14:paraId="2F2F4363" w14:textId="77777777" w:rsidTr="00D8549E">
        <w:trPr>
          <w:trHeight w:val="342"/>
        </w:trPr>
        <w:tc>
          <w:tcPr>
            <w:tcW w:w="1956" w:type="dxa"/>
          </w:tcPr>
          <w:p w14:paraId="7CB7AE6E" w14:textId="77777777"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E3 2016</w:t>
            </w:r>
          </w:p>
        </w:tc>
        <w:tc>
          <w:tcPr>
            <w:tcW w:w="8215" w:type="dxa"/>
          </w:tcPr>
          <w:p w14:paraId="2DABB443" w14:textId="77777777"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Consultation Regulation Impact Statement, Refrigerated Display and Storage Cabinets in Australia and New Zealand, prepared by Expert Group for Energy Efficiency and Conservation Authority (ECCA) on behalf of Equipment Energy Efficiency (E3) programme, 2016.</w:t>
            </w:r>
          </w:p>
        </w:tc>
      </w:tr>
      <w:tr w:rsidR="00A23A14" w:rsidRPr="00D37A89" w14:paraId="05538787" w14:textId="77777777" w:rsidTr="00D8549E">
        <w:trPr>
          <w:trHeight w:val="342"/>
        </w:trPr>
        <w:tc>
          <w:tcPr>
            <w:tcW w:w="1956" w:type="dxa"/>
          </w:tcPr>
          <w:p w14:paraId="4338E6A9" w14:textId="77777777"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E3 2015</w:t>
            </w:r>
          </w:p>
        </w:tc>
        <w:tc>
          <w:tcPr>
            <w:tcW w:w="8215" w:type="dxa"/>
          </w:tcPr>
          <w:p w14:paraId="78F5B5FC" w14:textId="77777777"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Residential Energy Baseline Study: New Zealand, Department of Industry and Science, prepared by EnergyConsult on behalf of the trans-Tasman Equipment Energy Efficiency (E3) programme, August 2015. </w:t>
            </w:r>
          </w:p>
        </w:tc>
      </w:tr>
      <w:tr w:rsidR="00A23A14" w:rsidRPr="00D37A89" w14:paraId="14CC6B01" w14:textId="77777777" w:rsidTr="00D8549E">
        <w:trPr>
          <w:trHeight w:val="376"/>
        </w:trPr>
        <w:tc>
          <w:tcPr>
            <w:tcW w:w="1956" w:type="dxa"/>
          </w:tcPr>
          <w:p w14:paraId="7082E6A2" w14:textId="1AEAF200"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E3 2009a</w:t>
            </w:r>
          </w:p>
        </w:tc>
        <w:tc>
          <w:tcPr>
            <w:tcW w:w="8215" w:type="dxa"/>
          </w:tcPr>
          <w:p w14:paraId="68D6D594" w14:textId="4252A591"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Draft Non-Domestic Energy Efficiency Strategy: In from the Cold, prepared by Mark Ellis, Peter Brodribb, Tony Fairclough, Rod King and Kevin Finn for DEWHA, October 2009.</w:t>
            </w:r>
          </w:p>
        </w:tc>
      </w:tr>
      <w:tr w:rsidR="00A23A14" w:rsidRPr="00D37A89" w14:paraId="668B5008" w14:textId="77777777" w:rsidTr="00D8549E">
        <w:trPr>
          <w:trHeight w:val="342"/>
        </w:trPr>
        <w:tc>
          <w:tcPr>
            <w:tcW w:w="1956" w:type="dxa"/>
          </w:tcPr>
          <w:p w14:paraId="42BDB503" w14:textId="47064AFB"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FCAI 2017</w:t>
            </w:r>
          </w:p>
        </w:tc>
        <w:tc>
          <w:tcPr>
            <w:tcW w:w="8215" w:type="dxa"/>
          </w:tcPr>
          <w:p w14:paraId="02D5FE59" w14:textId="18BBCB90"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VFACTS Extracts from National Reports, Federal Chamber of Automotive Industries, 2017.</w:t>
            </w:r>
          </w:p>
        </w:tc>
      </w:tr>
      <w:tr w:rsidR="00A23A14" w:rsidRPr="000C72E5" w14:paraId="3633EB8D" w14:textId="77777777" w:rsidTr="00D8549E">
        <w:trPr>
          <w:trHeight w:val="377"/>
        </w:trPr>
        <w:tc>
          <w:tcPr>
            <w:tcW w:w="1956" w:type="dxa"/>
          </w:tcPr>
          <w:p w14:paraId="098A297D" w14:textId="11FBCAC0"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ICF 2010</w:t>
            </w:r>
          </w:p>
        </w:tc>
        <w:tc>
          <w:tcPr>
            <w:tcW w:w="8215" w:type="dxa"/>
          </w:tcPr>
          <w:p w14:paraId="14665E14" w14:textId="5852245D"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Identifying and Assessing Policy Options for Promoting the Recovery and Destruction of Ozone Depleting Substances (ODS) and Certain Fluorinated Greenhouse Gases (F-Gases) Banked In Products and Equipment, ICF International, May 2010.</w:t>
            </w:r>
          </w:p>
        </w:tc>
      </w:tr>
      <w:tr w:rsidR="00A23A14" w:rsidRPr="00D37A89" w14:paraId="2195DD72" w14:textId="77777777" w:rsidTr="00D8549E">
        <w:trPr>
          <w:trHeight w:val="342"/>
        </w:trPr>
        <w:tc>
          <w:tcPr>
            <w:tcW w:w="1956" w:type="dxa"/>
          </w:tcPr>
          <w:p w14:paraId="1FCEC709" w14:textId="16C9DEE0"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IPCC 2007</w:t>
            </w:r>
          </w:p>
        </w:tc>
        <w:tc>
          <w:tcPr>
            <w:tcW w:w="8215" w:type="dxa"/>
          </w:tcPr>
          <w:p w14:paraId="5AB66036" w14:textId="2CBAD6A9"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IPCC Fourth Assessment Report: Climate Change 2007 (AR4), Physical Science Basis, Chapter2, prepared by the Intergovernmental Panel on Climate Change, 2007.</w:t>
            </w:r>
          </w:p>
        </w:tc>
      </w:tr>
      <w:tr w:rsidR="00A23A14" w:rsidRPr="00D37A89" w14:paraId="2F2142D8" w14:textId="77777777" w:rsidTr="00D8549E">
        <w:trPr>
          <w:trHeight w:val="342"/>
        </w:trPr>
        <w:tc>
          <w:tcPr>
            <w:tcW w:w="1956" w:type="dxa"/>
          </w:tcPr>
          <w:p w14:paraId="034FE8E7" w14:textId="0AB8CA3E"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MC 2017</w:t>
            </w:r>
          </w:p>
        </w:tc>
        <w:tc>
          <w:tcPr>
            <w:tcW w:w="8215" w:type="dxa"/>
          </w:tcPr>
          <w:p w14:paraId="2BA68AA2" w14:textId="41B7CB8A"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Metcash Ltd, Annual Report, 2017.</w:t>
            </w:r>
          </w:p>
        </w:tc>
      </w:tr>
      <w:tr w:rsidR="00A23A14" w:rsidRPr="00D37A89" w14:paraId="3D5E4307" w14:textId="77777777" w:rsidTr="00D8549E">
        <w:trPr>
          <w:trHeight w:val="342"/>
        </w:trPr>
        <w:tc>
          <w:tcPr>
            <w:tcW w:w="1956" w:type="dxa"/>
          </w:tcPr>
          <w:p w14:paraId="65EAC20E" w14:textId="643E337D"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MfE 2017</w:t>
            </w:r>
          </w:p>
        </w:tc>
        <w:tc>
          <w:tcPr>
            <w:tcW w:w="8215" w:type="dxa"/>
          </w:tcPr>
          <w:p w14:paraId="7A237577" w14:textId="555E9E33" w:rsidR="00A23A14" w:rsidRPr="00443F81" w:rsidRDefault="00A23A14" w:rsidP="007D2BD9">
            <w:pPr>
              <w:pStyle w:val="BodyText"/>
              <w:spacing w:before="60" w:after="60"/>
              <w:jc w:val="left"/>
              <w:rPr>
                <w:rFonts w:ascii="Times New Roman" w:hAnsi="Times New Roman"/>
                <w:sz w:val="20"/>
                <w:szCs w:val="20"/>
              </w:rPr>
            </w:pPr>
            <w:r w:rsidRPr="00443F81">
              <w:rPr>
                <w:rFonts w:ascii="Times New Roman" w:hAnsi="Times New Roman"/>
                <w:sz w:val="20"/>
                <w:szCs w:val="20"/>
              </w:rPr>
              <w:t>Hydrofluorocarbon Consumption in New Zealand, prepared by Expert Group for the New Zealand Ministry for the Environment, October 2017.</w:t>
            </w:r>
          </w:p>
        </w:tc>
      </w:tr>
      <w:tr w:rsidR="006B1747" w:rsidRPr="00D37A89" w14:paraId="0D622A22" w14:textId="77777777" w:rsidTr="00D8549E">
        <w:trPr>
          <w:trHeight w:val="342"/>
        </w:trPr>
        <w:tc>
          <w:tcPr>
            <w:tcW w:w="1956" w:type="dxa"/>
          </w:tcPr>
          <w:p w14:paraId="0DE3E484" w14:textId="12692B50" w:rsidR="006B1747" w:rsidRPr="00443F81" w:rsidRDefault="006B1747"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NGA</w:t>
            </w:r>
            <w:r w:rsidR="00EC540A" w:rsidRPr="00443F81">
              <w:rPr>
                <w:rFonts w:ascii="Times New Roman" w:hAnsi="Times New Roman"/>
                <w:sz w:val="20"/>
                <w:szCs w:val="20"/>
              </w:rPr>
              <w:t xml:space="preserve"> </w:t>
            </w:r>
            <w:r w:rsidRPr="00443F81">
              <w:rPr>
                <w:rFonts w:ascii="Times New Roman" w:hAnsi="Times New Roman"/>
                <w:sz w:val="20"/>
                <w:szCs w:val="20"/>
              </w:rPr>
              <w:t>F</w:t>
            </w:r>
            <w:r w:rsidR="00EC540A" w:rsidRPr="00443F81">
              <w:rPr>
                <w:rFonts w:ascii="Times New Roman" w:hAnsi="Times New Roman"/>
                <w:sz w:val="20"/>
                <w:szCs w:val="20"/>
              </w:rPr>
              <w:t>actor</w:t>
            </w:r>
            <w:r w:rsidR="003E2AC2">
              <w:rPr>
                <w:rFonts w:ascii="Times New Roman" w:hAnsi="Times New Roman"/>
                <w:sz w:val="20"/>
                <w:szCs w:val="20"/>
              </w:rPr>
              <w:t>s</w:t>
            </w:r>
            <w:r w:rsidRPr="00443F81">
              <w:rPr>
                <w:rFonts w:ascii="Times New Roman" w:hAnsi="Times New Roman"/>
                <w:sz w:val="20"/>
                <w:szCs w:val="20"/>
              </w:rPr>
              <w:t xml:space="preserve"> DoEE 2017 </w:t>
            </w:r>
          </w:p>
        </w:tc>
        <w:tc>
          <w:tcPr>
            <w:tcW w:w="8215" w:type="dxa"/>
          </w:tcPr>
          <w:p w14:paraId="7AC25C77" w14:textId="23071D86" w:rsidR="006B1747" w:rsidRPr="00443F81" w:rsidRDefault="006B1747"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National Greenhouse Accounts Factors July 2017, Department of the Environment and Energy.</w:t>
            </w:r>
          </w:p>
        </w:tc>
      </w:tr>
      <w:tr w:rsidR="00A23A14" w:rsidRPr="00D37A89" w14:paraId="35498202" w14:textId="77777777" w:rsidTr="00D8549E">
        <w:trPr>
          <w:trHeight w:val="342"/>
        </w:trPr>
        <w:tc>
          <w:tcPr>
            <w:tcW w:w="1956" w:type="dxa"/>
          </w:tcPr>
          <w:p w14:paraId="44B6D544" w14:textId="7AE248B1"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NGERS</w:t>
            </w:r>
          </w:p>
        </w:tc>
        <w:tc>
          <w:tcPr>
            <w:tcW w:w="8215" w:type="dxa"/>
          </w:tcPr>
          <w:p w14:paraId="35205AD6" w14:textId="79B46D81"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NGERS technical guidelines for the estimation of emissions by facilities in Australia, in the 2016-17 reporting year, Department of the Environment and Energy</w:t>
            </w:r>
            <w:r w:rsidR="00DB7E5D" w:rsidRPr="00443F81">
              <w:rPr>
                <w:rFonts w:ascii="Times New Roman" w:hAnsi="Times New Roman"/>
                <w:sz w:val="20"/>
                <w:szCs w:val="20"/>
              </w:rPr>
              <w:t>, and previous editions used in CHF2</w:t>
            </w:r>
            <w:r w:rsidRPr="00443F81">
              <w:rPr>
                <w:rFonts w:ascii="Times New Roman" w:hAnsi="Times New Roman"/>
                <w:sz w:val="20"/>
                <w:szCs w:val="20"/>
              </w:rPr>
              <w:t>.</w:t>
            </w:r>
          </w:p>
        </w:tc>
      </w:tr>
      <w:tr w:rsidR="00A23A14" w:rsidRPr="00D37A89" w14:paraId="03D56CE5" w14:textId="77777777" w:rsidTr="00D8549E">
        <w:trPr>
          <w:trHeight w:val="342"/>
        </w:trPr>
        <w:tc>
          <w:tcPr>
            <w:tcW w:w="1956" w:type="dxa"/>
          </w:tcPr>
          <w:p w14:paraId="600D5E64" w14:textId="5BD73474"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OPSGGM</w:t>
            </w:r>
            <w:r w:rsidR="00D94647">
              <w:rPr>
                <w:rFonts w:ascii="Times New Roman" w:hAnsi="Times New Roman"/>
                <w:sz w:val="20"/>
                <w:szCs w:val="20"/>
              </w:rPr>
              <w:t xml:space="preserve"> </w:t>
            </w:r>
            <w:r w:rsidRPr="00443F81">
              <w:rPr>
                <w:rFonts w:ascii="Times New Roman" w:hAnsi="Times New Roman"/>
                <w:sz w:val="20"/>
                <w:szCs w:val="20"/>
              </w:rPr>
              <w:t>A</w:t>
            </w:r>
            <w:r w:rsidR="00D94647">
              <w:rPr>
                <w:rFonts w:ascii="Times New Roman" w:hAnsi="Times New Roman"/>
                <w:sz w:val="20"/>
                <w:szCs w:val="20"/>
              </w:rPr>
              <w:t>ct</w:t>
            </w:r>
          </w:p>
        </w:tc>
        <w:tc>
          <w:tcPr>
            <w:tcW w:w="8215" w:type="dxa"/>
          </w:tcPr>
          <w:p w14:paraId="7BEB1018" w14:textId="307C6520"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Ozone Protection and Synthetic Greenhouse Gas Management Act 1959, including amendments.</w:t>
            </w:r>
          </w:p>
        </w:tc>
      </w:tr>
      <w:tr w:rsidR="00A23A14" w:rsidRPr="00D37A89" w14:paraId="5CA142F4" w14:textId="77777777" w:rsidTr="00D8549E">
        <w:trPr>
          <w:trHeight w:val="342"/>
        </w:trPr>
        <w:tc>
          <w:tcPr>
            <w:tcW w:w="1956" w:type="dxa"/>
          </w:tcPr>
          <w:p w14:paraId="2DBF508E" w14:textId="50A9B744"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QGDME 2017</w:t>
            </w:r>
          </w:p>
        </w:tc>
        <w:tc>
          <w:tcPr>
            <w:tcW w:w="8215" w:type="dxa"/>
          </w:tcPr>
          <w:p w14:paraId="1F821661" w14:textId="09BC6723"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Hydrocarbon Appliance Register, Queensland Government, Department of Mines and Energy, 2017.</w:t>
            </w:r>
          </w:p>
        </w:tc>
      </w:tr>
      <w:tr w:rsidR="00A23A14" w:rsidRPr="00D37A89" w14:paraId="6F46E4FA" w14:textId="77777777" w:rsidTr="00D8549E">
        <w:trPr>
          <w:trHeight w:val="342"/>
        </w:trPr>
        <w:tc>
          <w:tcPr>
            <w:tcW w:w="1956" w:type="dxa"/>
          </w:tcPr>
          <w:p w14:paraId="521169B0" w14:textId="1F50C946"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TIC 2016</w:t>
            </w:r>
          </w:p>
        </w:tc>
        <w:tc>
          <w:tcPr>
            <w:tcW w:w="8215" w:type="dxa"/>
          </w:tcPr>
          <w:p w14:paraId="01107436" w14:textId="1AA21C80" w:rsidR="00A23A14" w:rsidRPr="00443F81" w:rsidRDefault="00A23A14" w:rsidP="00900966">
            <w:pPr>
              <w:spacing w:before="60" w:after="60"/>
              <w:jc w:val="left"/>
              <w:rPr>
                <w:rFonts w:eastAsia="Times New Roman" w:cs="Times New Roman"/>
                <w:sz w:val="20"/>
                <w:szCs w:val="20"/>
              </w:rPr>
            </w:pPr>
            <w:r w:rsidRPr="00443F81">
              <w:rPr>
                <w:rFonts w:eastAsia="Times New Roman" w:cs="Times New Roman"/>
                <w:sz w:val="20"/>
                <w:szCs w:val="20"/>
              </w:rPr>
              <w:t>Truck Industry Council, Fleet Report, published March 2016.</w:t>
            </w:r>
          </w:p>
        </w:tc>
      </w:tr>
      <w:tr w:rsidR="00A23A14" w:rsidRPr="00D37A89" w14:paraId="62A1E7A6" w14:textId="77777777" w:rsidTr="00D8549E">
        <w:trPr>
          <w:trHeight w:val="342"/>
        </w:trPr>
        <w:tc>
          <w:tcPr>
            <w:tcW w:w="1956" w:type="dxa"/>
          </w:tcPr>
          <w:p w14:paraId="0DCB2EDB" w14:textId="2FA4E486"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WF 2017a</w:t>
            </w:r>
          </w:p>
        </w:tc>
        <w:tc>
          <w:tcPr>
            <w:tcW w:w="8215" w:type="dxa"/>
          </w:tcPr>
          <w:p w14:paraId="46D13318" w14:textId="31DB9F5E" w:rsidR="00A23A14" w:rsidRPr="00443F81" w:rsidRDefault="00A23A14" w:rsidP="00900966">
            <w:pPr>
              <w:spacing w:before="60" w:after="60"/>
              <w:jc w:val="left"/>
              <w:rPr>
                <w:rFonts w:eastAsia="Times New Roman" w:cs="Times New Roman"/>
                <w:sz w:val="20"/>
                <w:szCs w:val="20"/>
              </w:rPr>
            </w:pPr>
            <w:r w:rsidRPr="00443F81">
              <w:rPr>
                <w:rFonts w:eastAsia="Times New Roman" w:cs="Times New Roman"/>
                <w:sz w:val="20"/>
                <w:szCs w:val="20"/>
              </w:rPr>
              <w:t>Wesfarmers, Annual Report 2017, and Coles Supermarkets Australia, 2016 Year in Review, published 2017.</w:t>
            </w:r>
          </w:p>
        </w:tc>
      </w:tr>
      <w:tr w:rsidR="00A23A14" w:rsidRPr="00D37A89" w14:paraId="1EECF316" w14:textId="77777777" w:rsidTr="00D8549E">
        <w:trPr>
          <w:trHeight w:val="342"/>
        </w:trPr>
        <w:tc>
          <w:tcPr>
            <w:tcW w:w="1956" w:type="dxa"/>
          </w:tcPr>
          <w:p w14:paraId="7840B387" w14:textId="2BCF087F"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WF 2017b</w:t>
            </w:r>
          </w:p>
        </w:tc>
        <w:tc>
          <w:tcPr>
            <w:tcW w:w="8215" w:type="dxa"/>
          </w:tcPr>
          <w:p w14:paraId="65343548" w14:textId="517DAF2A" w:rsidR="00A23A14" w:rsidRPr="00443F81" w:rsidRDefault="00A23A14" w:rsidP="00900966">
            <w:pPr>
              <w:spacing w:before="60" w:after="60"/>
              <w:jc w:val="left"/>
              <w:rPr>
                <w:rFonts w:eastAsia="Times New Roman" w:cs="Times New Roman"/>
                <w:sz w:val="20"/>
                <w:szCs w:val="20"/>
              </w:rPr>
            </w:pPr>
            <w:r w:rsidRPr="00443F81">
              <w:rPr>
                <w:rFonts w:eastAsia="Times New Roman" w:cs="Times New Roman"/>
                <w:sz w:val="20"/>
                <w:szCs w:val="20"/>
              </w:rPr>
              <w:t>Wesfarmers, Sustainability Report 2016, Case Study: Natural refrigerants set the standard at Coles, August 2017.</w:t>
            </w:r>
          </w:p>
        </w:tc>
      </w:tr>
      <w:tr w:rsidR="00A23A14" w:rsidRPr="00D37A89" w14:paraId="21ECD2B5" w14:textId="77777777" w:rsidTr="00D8549E">
        <w:trPr>
          <w:trHeight w:val="342"/>
        </w:trPr>
        <w:tc>
          <w:tcPr>
            <w:tcW w:w="1956" w:type="dxa"/>
          </w:tcPr>
          <w:p w14:paraId="03364400" w14:textId="037E823E"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WOW 2017a</w:t>
            </w:r>
          </w:p>
        </w:tc>
        <w:tc>
          <w:tcPr>
            <w:tcW w:w="8215" w:type="dxa"/>
          </w:tcPr>
          <w:p w14:paraId="53DB5F88" w14:textId="57B5F90C" w:rsidR="00A23A14" w:rsidRPr="00443F81" w:rsidRDefault="00A23A14" w:rsidP="00900966">
            <w:pPr>
              <w:spacing w:before="60" w:after="60"/>
              <w:jc w:val="left"/>
              <w:rPr>
                <w:rFonts w:eastAsia="Times New Roman" w:cs="Times New Roman"/>
                <w:sz w:val="20"/>
                <w:szCs w:val="20"/>
              </w:rPr>
            </w:pPr>
            <w:r w:rsidRPr="00443F81">
              <w:rPr>
                <w:rFonts w:eastAsia="Times New Roman" w:cs="Times New Roman"/>
                <w:sz w:val="20"/>
                <w:szCs w:val="20"/>
              </w:rPr>
              <w:t>Woolworths Limited, Annual Report 2017.</w:t>
            </w:r>
          </w:p>
        </w:tc>
      </w:tr>
      <w:tr w:rsidR="00A23A14" w:rsidRPr="00D37A89" w14:paraId="792DAE9E" w14:textId="77777777" w:rsidTr="00D8549E">
        <w:trPr>
          <w:trHeight w:val="342"/>
        </w:trPr>
        <w:tc>
          <w:tcPr>
            <w:tcW w:w="1956" w:type="dxa"/>
          </w:tcPr>
          <w:p w14:paraId="155C1C42" w14:textId="1C037B2E" w:rsidR="00A23A14" w:rsidRPr="00443F81" w:rsidRDefault="00A23A14" w:rsidP="00900966">
            <w:pPr>
              <w:pStyle w:val="BodyText"/>
              <w:spacing w:before="60" w:after="60"/>
              <w:jc w:val="left"/>
              <w:rPr>
                <w:rFonts w:ascii="Times New Roman" w:hAnsi="Times New Roman"/>
                <w:sz w:val="20"/>
                <w:szCs w:val="20"/>
              </w:rPr>
            </w:pPr>
            <w:r w:rsidRPr="00443F81">
              <w:rPr>
                <w:rFonts w:ascii="Times New Roman" w:hAnsi="Times New Roman"/>
                <w:sz w:val="20"/>
                <w:szCs w:val="20"/>
              </w:rPr>
              <w:t>WOW 2017b</w:t>
            </w:r>
          </w:p>
        </w:tc>
        <w:tc>
          <w:tcPr>
            <w:tcW w:w="8215" w:type="dxa"/>
          </w:tcPr>
          <w:p w14:paraId="09B4D3CA" w14:textId="31D0B124" w:rsidR="00A23A14" w:rsidRPr="00443F81" w:rsidRDefault="00A23A14" w:rsidP="00900966">
            <w:pPr>
              <w:spacing w:before="60" w:after="60"/>
              <w:jc w:val="left"/>
              <w:rPr>
                <w:rFonts w:eastAsia="Times New Roman" w:cs="Times New Roman"/>
                <w:sz w:val="20"/>
                <w:szCs w:val="20"/>
              </w:rPr>
            </w:pPr>
            <w:r w:rsidRPr="00443F81">
              <w:rPr>
                <w:rFonts w:eastAsia="Times New Roman" w:cs="Times New Roman"/>
                <w:sz w:val="20"/>
                <w:szCs w:val="20"/>
              </w:rPr>
              <w:t>Woolworths Limited, Woolworths Group Corporate Responsibility Strategy 2020.</w:t>
            </w:r>
          </w:p>
        </w:tc>
      </w:tr>
    </w:tbl>
    <w:p w14:paraId="2FD79D90" w14:textId="77777777" w:rsidR="007A5540" w:rsidRDefault="007A5540" w:rsidP="00FF4A30">
      <w:pPr>
        <w:spacing w:before="0" w:after="120"/>
        <w:jc w:val="left"/>
        <w:rPr>
          <w:rFonts w:asciiTheme="majorHAnsi" w:hAnsiTheme="majorHAnsi"/>
          <w:b/>
          <w:sz w:val="32"/>
          <w:szCs w:val="32"/>
        </w:rPr>
      </w:pPr>
    </w:p>
    <w:p w14:paraId="3E34CB22" w14:textId="77777777" w:rsidR="00BE5804" w:rsidRDefault="00BE5804">
      <w:pPr>
        <w:spacing w:before="0"/>
        <w:jc w:val="left"/>
        <w:rPr>
          <w:rFonts w:ascii="Calibri" w:eastAsia="Times New Roman" w:hAnsi="Calibri" w:cs="Times New Roman"/>
          <w:b/>
          <w:bCs/>
          <w:kern w:val="32"/>
          <w:sz w:val="32"/>
          <w:szCs w:val="32"/>
          <w:lang w:val="en-US"/>
        </w:rPr>
      </w:pPr>
      <w:r>
        <w:br w:type="page"/>
      </w:r>
    </w:p>
    <w:p w14:paraId="464933A0" w14:textId="617E144B" w:rsidR="00D40D87" w:rsidRDefault="00B47F6C" w:rsidP="00E02F71">
      <w:pPr>
        <w:pStyle w:val="Heading1"/>
      </w:pPr>
      <w:bookmarkStart w:id="192" w:name="_Toc525141308"/>
      <w:r w:rsidRPr="00220AB1">
        <w:t>Appendix</w:t>
      </w:r>
      <w:r>
        <w:t xml:space="preserve"> </w:t>
      </w:r>
      <w:r w:rsidR="000900C0">
        <w:t>A</w:t>
      </w:r>
      <w:r w:rsidRPr="00482A8A">
        <w:t>:</w:t>
      </w:r>
      <w:r w:rsidRPr="00220AB1">
        <w:t xml:space="preserve"> </w:t>
      </w:r>
      <w:r w:rsidR="00D40D87">
        <w:t>Methodology</w:t>
      </w:r>
      <w:r w:rsidR="00FE1A13">
        <w:t xml:space="preserve"> </w:t>
      </w:r>
      <w:r w:rsidR="003B28F3">
        <w:t>–</w:t>
      </w:r>
      <w:r w:rsidR="00FE1A13">
        <w:t xml:space="preserve"> </w:t>
      </w:r>
      <w:r w:rsidR="003B28F3">
        <w:t>Taxonomy,</w:t>
      </w:r>
      <w:r w:rsidR="00D40D87">
        <w:t xml:space="preserve"> </w:t>
      </w:r>
      <w:r w:rsidR="00CB0097">
        <w:t>d</w:t>
      </w:r>
      <w:r w:rsidR="00D40D87">
        <w:t xml:space="preserve">ata and </w:t>
      </w:r>
      <w:r w:rsidR="00CB0097">
        <w:t>a</w:t>
      </w:r>
      <w:r w:rsidR="00D40D87">
        <w:t>ssumptions</w:t>
      </w:r>
      <w:bookmarkEnd w:id="192"/>
    </w:p>
    <w:p w14:paraId="0115C080" w14:textId="4599E1EC" w:rsidR="00B47F6C" w:rsidRPr="00220AB1" w:rsidRDefault="006A0D0B" w:rsidP="003F0437">
      <w:pPr>
        <w:pStyle w:val="Heading2"/>
      </w:pPr>
      <w:bookmarkStart w:id="193" w:name="_Toc525141309"/>
      <w:r>
        <w:t>Taxonomy</w:t>
      </w:r>
      <w:r w:rsidR="00915574">
        <w:t xml:space="preserve"> of a </w:t>
      </w:r>
      <w:r w:rsidR="00DA45F3">
        <w:t>t</w:t>
      </w:r>
      <w:r w:rsidR="00915574">
        <w:t>echnology</w:t>
      </w:r>
      <w:bookmarkEnd w:id="193"/>
    </w:p>
    <w:p w14:paraId="4C25C2BD" w14:textId="717F2AEA" w:rsidR="00C92F98" w:rsidRPr="00BC0934" w:rsidRDefault="00C92F98" w:rsidP="00C92F98">
      <w:pPr>
        <w:rPr>
          <w:rFonts w:cs="Times New Roman"/>
          <w:szCs w:val="22"/>
          <w:lang w:val="en-US"/>
        </w:rPr>
      </w:pPr>
      <w:r w:rsidRPr="00BC0934">
        <w:rPr>
          <w:rFonts w:cs="Times New Roman"/>
          <w:szCs w:val="22"/>
          <w:lang w:val="en-US"/>
        </w:rPr>
        <w:t xml:space="preserve">The data presented in this report has been derived from an extensive Excel workbook that has, at its core, a stock model of all RAC </w:t>
      </w:r>
      <w:r w:rsidR="00496B73">
        <w:rPr>
          <w:rFonts w:cs="Times New Roman"/>
          <w:szCs w:val="22"/>
          <w:lang w:val="en-US"/>
        </w:rPr>
        <w:t xml:space="preserve">equipment </w:t>
      </w:r>
      <w:r w:rsidRPr="00BC0934">
        <w:rPr>
          <w:rFonts w:cs="Times New Roman"/>
          <w:szCs w:val="22"/>
          <w:lang w:val="en-US"/>
        </w:rPr>
        <w:t>employed in Australia. The central feature of</w:t>
      </w:r>
      <w:r w:rsidR="00496B73">
        <w:rPr>
          <w:rFonts w:cs="Times New Roman"/>
          <w:szCs w:val="22"/>
          <w:lang w:val="en-US"/>
        </w:rPr>
        <w:t xml:space="preserve"> </w:t>
      </w:r>
      <w:r w:rsidRPr="00BC0934">
        <w:rPr>
          <w:rFonts w:cs="Times New Roman"/>
          <w:szCs w:val="22"/>
          <w:lang w:val="en-US"/>
        </w:rPr>
        <w:t>the stock of equipment in this model is that it all employs vapor compression refrigeration systems in the delivery of an energy service, either cooling or heating</w:t>
      </w:r>
      <w:r w:rsidR="00496B73">
        <w:rPr>
          <w:rFonts w:cs="Times New Roman"/>
          <w:szCs w:val="22"/>
          <w:lang w:val="en-US"/>
        </w:rPr>
        <w:t>, or both</w:t>
      </w:r>
      <w:r w:rsidRPr="00BC0934">
        <w:rPr>
          <w:rFonts w:cs="Times New Roman"/>
          <w:szCs w:val="22"/>
          <w:lang w:val="en-US"/>
        </w:rPr>
        <w:t xml:space="preserve">. </w:t>
      </w:r>
    </w:p>
    <w:p w14:paraId="56C048E2" w14:textId="51D6E176" w:rsidR="00C92F98" w:rsidRPr="00BC0934" w:rsidRDefault="00514A16" w:rsidP="00514A16">
      <w:pPr>
        <w:rPr>
          <w:rFonts w:cs="Times New Roman"/>
          <w:szCs w:val="22"/>
          <w:lang w:val="en-US"/>
        </w:rPr>
      </w:pPr>
      <w:r w:rsidRPr="00BC0934">
        <w:rPr>
          <w:rFonts w:cs="Times New Roman"/>
          <w:szCs w:val="22"/>
          <w:lang w:val="en-US"/>
        </w:rPr>
        <w:t xml:space="preserve">All electro-mechanical RAC </w:t>
      </w:r>
      <w:r w:rsidR="001F64CE" w:rsidRPr="00BC0934">
        <w:rPr>
          <w:rFonts w:cs="Times New Roman"/>
          <w:szCs w:val="22"/>
          <w:lang w:val="en-US"/>
        </w:rPr>
        <w:t>equipment</w:t>
      </w:r>
      <w:r w:rsidRPr="00BC0934">
        <w:rPr>
          <w:rFonts w:cs="Times New Roman"/>
          <w:szCs w:val="22"/>
          <w:lang w:val="en-US"/>
        </w:rPr>
        <w:t xml:space="preserve"> employing vapor compression refrigeration systems use just </w:t>
      </w:r>
      <w:r w:rsidR="00EA08CF" w:rsidRPr="00BC0934">
        <w:rPr>
          <w:rFonts w:cs="Times New Roman"/>
          <w:szCs w:val="22"/>
          <w:lang w:val="en-US"/>
        </w:rPr>
        <w:t>four essential</w:t>
      </w:r>
      <w:r w:rsidRPr="00BC0934">
        <w:rPr>
          <w:rFonts w:cs="Times New Roman"/>
          <w:szCs w:val="22"/>
          <w:lang w:val="en-US"/>
        </w:rPr>
        <w:t xml:space="preserve"> technical elements</w:t>
      </w:r>
      <w:r w:rsidR="00C92F98" w:rsidRPr="00BC0934">
        <w:rPr>
          <w:rFonts w:cs="Times New Roman"/>
          <w:szCs w:val="22"/>
          <w:lang w:val="en-US"/>
        </w:rPr>
        <w:t>:</w:t>
      </w:r>
    </w:p>
    <w:p w14:paraId="4FFAEA05" w14:textId="024B9391" w:rsidR="00C92F98" w:rsidRPr="00BC0934" w:rsidRDefault="00514A16" w:rsidP="00BC0934">
      <w:pPr>
        <w:pStyle w:val="ListParagraph"/>
        <w:numPr>
          <w:ilvl w:val="0"/>
          <w:numId w:val="9"/>
        </w:numPr>
        <w:spacing w:before="120" w:after="0" w:line="240" w:lineRule="auto"/>
        <w:ind w:left="357" w:hanging="357"/>
        <w:contextualSpacing w:val="0"/>
        <w:jc w:val="both"/>
        <w:rPr>
          <w:rFonts w:ascii="Times New Roman" w:hAnsi="Times New Roman"/>
        </w:rPr>
      </w:pPr>
      <w:r w:rsidRPr="00BC0934">
        <w:rPr>
          <w:rFonts w:ascii="Times New Roman" w:hAnsi="Times New Roman"/>
        </w:rPr>
        <w:t>a compressor</w:t>
      </w:r>
      <w:r w:rsidR="00C92F98" w:rsidRPr="00BC0934">
        <w:rPr>
          <w:rFonts w:ascii="Times New Roman" w:hAnsi="Times New Roman"/>
        </w:rPr>
        <w:t>;</w:t>
      </w:r>
    </w:p>
    <w:p w14:paraId="5F8A15B8" w14:textId="750C5FE3" w:rsidR="00C92F98" w:rsidRPr="00BC0934" w:rsidRDefault="00514A16" w:rsidP="00BC0934">
      <w:pPr>
        <w:pStyle w:val="ListParagraph"/>
        <w:numPr>
          <w:ilvl w:val="0"/>
          <w:numId w:val="9"/>
        </w:numPr>
        <w:spacing w:before="120" w:after="0" w:line="240" w:lineRule="auto"/>
        <w:ind w:left="357" w:hanging="357"/>
        <w:contextualSpacing w:val="0"/>
        <w:jc w:val="both"/>
        <w:rPr>
          <w:rFonts w:ascii="Times New Roman" w:hAnsi="Times New Roman"/>
        </w:rPr>
      </w:pPr>
      <w:r w:rsidRPr="00BC0934">
        <w:rPr>
          <w:rFonts w:ascii="Times New Roman" w:hAnsi="Times New Roman"/>
        </w:rPr>
        <w:t>a refrigerant (the thermal medium which is used to move heat from one place to another)</w:t>
      </w:r>
      <w:r w:rsidR="00C92F98" w:rsidRPr="00BC0934">
        <w:rPr>
          <w:rFonts w:ascii="Times New Roman" w:hAnsi="Times New Roman"/>
        </w:rPr>
        <w:t>;</w:t>
      </w:r>
    </w:p>
    <w:p w14:paraId="17185F74" w14:textId="2F8B6B6F" w:rsidR="00C92F98" w:rsidRPr="00BC0934" w:rsidRDefault="00514A16" w:rsidP="00BC0934">
      <w:pPr>
        <w:pStyle w:val="ListParagraph"/>
        <w:numPr>
          <w:ilvl w:val="0"/>
          <w:numId w:val="9"/>
        </w:numPr>
        <w:spacing w:before="120" w:after="0" w:line="240" w:lineRule="auto"/>
        <w:ind w:left="357" w:hanging="357"/>
        <w:contextualSpacing w:val="0"/>
        <w:jc w:val="both"/>
        <w:rPr>
          <w:rFonts w:ascii="Times New Roman" w:hAnsi="Times New Roman"/>
        </w:rPr>
      </w:pPr>
      <w:r w:rsidRPr="00BC0934">
        <w:rPr>
          <w:rFonts w:ascii="Times New Roman" w:hAnsi="Times New Roman"/>
        </w:rPr>
        <w:t>an evaporator that uses the adiabatic effect to reduce the temperature of a space by evaporating the previously compressed refrigerant gas</w:t>
      </w:r>
      <w:r w:rsidR="00C92F98" w:rsidRPr="00BC0934">
        <w:rPr>
          <w:rFonts w:ascii="Times New Roman" w:hAnsi="Times New Roman"/>
        </w:rPr>
        <w:t>;</w:t>
      </w:r>
      <w:r w:rsidRPr="00BC0934">
        <w:rPr>
          <w:rFonts w:ascii="Times New Roman" w:hAnsi="Times New Roman"/>
        </w:rPr>
        <w:t xml:space="preserve"> and</w:t>
      </w:r>
      <w:r w:rsidR="00C92F98" w:rsidRPr="00BC0934">
        <w:rPr>
          <w:rFonts w:ascii="Times New Roman" w:hAnsi="Times New Roman"/>
        </w:rPr>
        <w:t>,</w:t>
      </w:r>
    </w:p>
    <w:p w14:paraId="7437ABFF" w14:textId="37466AAB" w:rsidR="00514A16" w:rsidRPr="00BC0934" w:rsidRDefault="00514A16" w:rsidP="00BC0934">
      <w:pPr>
        <w:pStyle w:val="ListParagraph"/>
        <w:numPr>
          <w:ilvl w:val="0"/>
          <w:numId w:val="9"/>
        </w:numPr>
        <w:spacing w:before="120" w:after="0" w:line="240" w:lineRule="auto"/>
        <w:ind w:left="357" w:hanging="357"/>
        <w:contextualSpacing w:val="0"/>
        <w:jc w:val="both"/>
        <w:rPr>
          <w:rFonts w:ascii="Times New Roman" w:hAnsi="Times New Roman"/>
        </w:rPr>
      </w:pPr>
      <w:r w:rsidRPr="00BC0934">
        <w:rPr>
          <w:rFonts w:ascii="Times New Roman" w:hAnsi="Times New Roman"/>
        </w:rPr>
        <w:t>a</w:t>
      </w:r>
      <w:r w:rsidR="00CA7310" w:rsidRPr="00BC0934">
        <w:rPr>
          <w:rFonts w:ascii="Times New Roman" w:hAnsi="Times New Roman"/>
        </w:rPr>
        <w:t xml:space="preserve"> condenser or heat exchanger</w:t>
      </w:r>
      <w:r w:rsidRPr="00BC0934">
        <w:rPr>
          <w:rFonts w:ascii="Times New Roman" w:hAnsi="Times New Roman"/>
        </w:rPr>
        <w:t xml:space="preserve"> outside the refrigerated space that allows the evaporated</w:t>
      </w:r>
      <w:r w:rsidR="00C92F98" w:rsidRPr="00BC0934">
        <w:rPr>
          <w:rFonts w:ascii="Times New Roman" w:hAnsi="Times New Roman"/>
        </w:rPr>
        <w:t xml:space="preserve"> then recompressed</w:t>
      </w:r>
      <w:r w:rsidRPr="00BC0934">
        <w:rPr>
          <w:rFonts w:ascii="Times New Roman" w:hAnsi="Times New Roman"/>
        </w:rPr>
        <w:t xml:space="preserve"> gas to cool, </w:t>
      </w:r>
      <w:r w:rsidR="001F64CE">
        <w:rPr>
          <w:rFonts w:ascii="Times New Roman" w:hAnsi="Times New Roman"/>
        </w:rPr>
        <w:t>transferring</w:t>
      </w:r>
      <w:r w:rsidRPr="00BC0934">
        <w:rPr>
          <w:rFonts w:ascii="Times New Roman" w:hAnsi="Times New Roman"/>
        </w:rPr>
        <w:t xml:space="preserve"> the </w:t>
      </w:r>
      <w:r w:rsidR="00C92F98" w:rsidRPr="00BC0934">
        <w:rPr>
          <w:rFonts w:ascii="Times New Roman" w:hAnsi="Times New Roman"/>
        </w:rPr>
        <w:t>excess heat to the atmosphere (air</w:t>
      </w:r>
      <w:r w:rsidR="00BC0934">
        <w:rPr>
          <w:rFonts w:ascii="Times New Roman" w:hAnsi="Times New Roman"/>
        </w:rPr>
        <w:t xml:space="preserve"> </w:t>
      </w:r>
      <w:r w:rsidR="00C92F98" w:rsidRPr="00BC0934">
        <w:rPr>
          <w:rFonts w:ascii="Times New Roman" w:hAnsi="Times New Roman"/>
        </w:rPr>
        <w:t>cooled) or into water (water cooled).</w:t>
      </w:r>
    </w:p>
    <w:p w14:paraId="512EC168" w14:textId="2FDE4867" w:rsidR="00C92F98" w:rsidRPr="00BC0934" w:rsidRDefault="00C92F98" w:rsidP="00C92F98">
      <w:pPr>
        <w:rPr>
          <w:rFonts w:cs="Times New Roman"/>
          <w:szCs w:val="22"/>
          <w:lang w:val="en-US"/>
        </w:rPr>
      </w:pPr>
      <w:r w:rsidRPr="00BC0934">
        <w:rPr>
          <w:rFonts w:cs="Times New Roman"/>
          <w:szCs w:val="22"/>
          <w:lang w:val="en-US"/>
        </w:rPr>
        <w:t xml:space="preserve">These common electro-mechanical elements of RAC technology can be fabricated into equipment in a number of different ways, with the main components incorporated in quite different physical relationships to each other, to deliver heat exchange/cooling services. For </w:t>
      </w:r>
      <w:r w:rsidR="001F64CE" w:rsidRPr="00BC0934">
        <w:rPr>
          <w:rFonts w:cs="Times New Roman"/>
          <w:szCs w:val="22"/>
          <w:lang w:val="en-US"/>
        </w:rPr>
        <w:t>instance,</w:t>
      </w:r>
      <w:r w:rsidRPr="00BC0934">
        <w:rPr>
          <w:rFonts w:cs="Times New Roman"/>
          <w:szCs w:val="22"/>
          <w:lang w:val="en-US"/>
        </w:rPr>
        <w:t xml:space="preserve"> all of the four basic elements of vapor compression refrigeration are present in both a domestic refrigerator that is small enough for a single person can pick up, and into a system that has the capacity to regulate the temperature and humidity of an airport terminal, or the cockpit of a fighter aircraft, but obviously all in very different formats. </w:t>
      </w:r>
    </w:p>
    <w:p w14:paraId="00410660" w14:textId="259E3EE0" w:rsidR="00C92F98" w:rsidRDefault="00C92F98" w:rsidP="00C92F98">
      <w:pPr>
        <w:rPr>
          <w:rFonts w:cs="Times New Roman"/>
          <w:szCs w:val="22"/>
          <w:lang w:val="en-US"/>
        </w:rPr>
      </w:pPr>
      <w:r w:rsidRPr="00BC0934">
        <w:rPr>
          <w:rFonts w:cs="Times New Roman"/>
          <w:szCs w:val="22"/>
          <w:lang w:val="en-US"/>
        </w:rPr>
        <w:t>Because RAC technology and services, after 150 years of development</w:t>
      </w:r>
      <w:r w:rsidR="009E69CD">
        <w:rPr>
          <w:rFonts w:cs="Times New Roman"/>
          <w:szCs w:val="22"/>
          <w:lang w:val="en-US"/>
        </w:rPr>
        <w:t>,</w:t>
      </w:r>
      <w:r w:rsidRPr="00BC0934">
        <w:rPr>
          <w:rFonts w:cs="Times New Roman"/>
          <w:szCs w:val="22"/>
          <w:lang w:val="en-US"/>
        </w:rPr>
        <w:t xml:space="preserve"> </w:t>
      </w:r>
      <w:r w:rsidR="00FE74F2" w:rsidRPr="00BC0934">
        <w:rPr>
          <w:rFonts w:cs="Times New Roman"/>
          <w:szCs w:val="22"/>
          <w:lang w:val="en-US"/>
        </w:rPr>
        <w:t>ha</w:t>
      </w:r>
      <w:r w:rsidR="00FE74F2">
        <w:rPr>
          <w:rFonts w:cs="Times New Roman"/>
          <w:szCs w:val="22"/>
          <w:lang w:val="en-US"/>
        </w:rPr>
        <w:t>ve</w:t>
      </w:r>
      <w:r w:rsidRPr="00BC0934">
        <w:rPr>
          <w:rFonts w:cs="Times New Roman"/>
          <w:szCs w:val="22"/>
          <w:lang w:val="en-US"/>
        </w:rPr>
        <w:t xml:space="preserve"> become integrated into every sector of the modern </w:t>
      </w:r>
      <w:r w:rsidR="001F64CE" w:rsidRPr="00BC0934">
        <w:rPr>
          <w:rFonts w:cs="Times New Roman"/>
          <w:szCs w:val="22"/>
          <w:lang w:val="en-US"/>
        </w:rPr>
        <w:t>economy</w:t>
      </w:r>
      <w:r w:rsidRPr="00BC0934">
        <w:rPr>
          <w:rFonts w:cs="Times New Roman"/>
          <w:szCs w:val="22"/>
          <w:lang w:val="en-US"/>
        </w:rPr>
        <w:t>, the number and variety of equipment formats that the RAC industry now supplies</w:t>
      </w:r>
      <w:r>
        <w:rPr>
          <w:rFonts w:cs="Times New Roman"/>
          <w:szCs w:val="22"/>
          <w:lang w:val="en-US"/>
        </w:rPr>
        <w:t xml:space="preserve"> is highly varied. </w:t>
      </w:r>
    </w:p>
    <w:p w14:paraId="2C1EB0BD" w14:textId="42DED6B1" w:rsidR="00C84973" w:rsidRDefault="00C84973" w:rsidP="004D19DE">
      <w:pPr>
        <w:rPr>
          <w:rFonts w:cs="Times New Roman"/>
          <w:szCs w:val="22"/>
          <w:lang w:val="en-US"/>
        </w:rPr>
      </w:pPr>
      <w:r>
        <w:rPr>
          <w:rFonts w:cs="Times New Roman"/>
          <w:szCs w:val="22"/>
          <w:lang w:val="en-US"/>
        </w:rPr>
        <w:t>To best manage the mass of data that must be captured and analysed in the stock model to understand the scale of the RAC industry and all of the applications and equipment formats that it delivers</w:t>
      </w:r>
      <w:r w:rsidR="009E69CD">
        <w:rPr>
          <w:rFonts w:cs="Times New Roman"/>
          <w:szCs w:val="22"/>
          <w:lang w:val="en-US"/>
        </w:rPr>
        <w:t>,</w:t>
      </w:r>
      <w:r>
        <w:rPr>
          <w:rFonts w:cs="Times New Roman"/>
          <w:szCs w:val="22"/>
          <w:lang w:val="en-US"/>
        </w:rPr>
        <w:t xml:space="preserve"> t</w:t>
      </w:r>
      <w:r w:rsidR="006A0D0B" w:rsidRPr="006A0D0B">
        <w:rPr>
          <w:rFonts w:cs="Times New Roman"/>
          <w:szCs w:val="22"/>
          <w:lang w:val="en-US"/>
        </w:rPr>
        <w:t>he stock of RAC equipment</w:t>
      </w:r>
      <w:r>
        <w:rPr>
          <w:rFonts w:cs="Times New Roman"/>
          <w:szCs w:val="22"/>
          <w:lang w:val="en-US"/>
        </w:rPr>
        <w:t xml:space="preserve"> has been divided and</w:t>
      </w:r>
      <w:r w:rsidR="006A0D0B" w:rsidRPr="006A0D0B">
        <w:rPr>
          <w:rFonts w:cs="Times New Roman"/>
          <w:szCs w:val="22"/>
          <w:lang w:val="en-US"/>
        </w:rPr>
        <w:t xml:space="preserve"> categori</w:t>
      </w:r>
      <w:r w:rsidR="00F62242">
        <w:rPr>
          <w:rFonts w:cs="Times New Roman"/>
          <w:szCs w:val="22"/>
          <w:lang w:val="en-US"/>
        </w:rPr>
        <w:t>s</w:t>
      </w:r>
      <w:r w:rsidR="006A0D0B" w:rsidRPr="006A0D0B">
        <w:rPr>
          <w:rFonts w:cs="Times New Roman"/>
          <w:szCs w:val="22"/>
          <w:lang w:val="en-US"/>
        </w:rPr>
        <w:t xml:space="preserve">ed into </w:t>
      </w:r>
      <w:r w:rsidR="00C7565E">
        <w:rPr>
          <w:rFonts w:cs="Times New Roman"/>
          <w:szCs w:val="22"/>
          <w:lang w:val="en-US"/>
        </w:rPr>
        <w:t>a taxonomy</w:t>
      </w:r>
      <w:r>
        <w:rPr>
          <w:rFonts w:cs="Times New Roman"/>
          <w:szCs w:val="22"/>
          <w:lang w:val="en-US"/>
        </w:rPr>
        <w:t>.</w:t>
      </w:r>
      <w:r w:rsidR="00C7565E">
        <w:rPr>
          <w:rFonts w:cs="Times New Roman"/>
          <w:szCs w:val="22"/>
          <w:lang w:val="en-US"/>
        </w:rPr>
        <w:t xml:space="preserve"> </w:t>
      </w:r>
    </w:p>
    <w:p w14:paraId="6D00F8E4" w14:textId="07860E41" w:rsidR="00C7565E" w:rsidRDefault="00C84973" w:rsidP="004D19DE">
      <w:pPr>
        <w:rPr>
          <w:rFonts w:cs="Times New Roman"/>
          <w:szCs w:val="22"/>
          <w:lang w:val="en-US"/>
        </w:rPr>
      </w:pPr>
      <w:r>
        <w:rPr>
          <w:rFonts w:cs="Times New Roman"/>
          <w:szCs w:val="22"/>
          <w:lang w:val="en-US"/>
        </w:rPr>
        <w:t xml:space="preserve">This taxonomy of a technology is </w:t>
      </w:r>
      <w:r w:rsidR="00C7565E">
        <w:rPr>
          <w:rFonts w:cs="Times New Roman"/>
          <w:szCs w:val="22"/>
          <w:lang w:val="en-US"/>
        </w:rPr>
        <w:t xml:space="preserve">made up of </w:t>
      </w:r>
      <w:r w:rsidR="006A0D0B" w:rsidRPr="006A0D0B">
        <w:rPr>
          <w:rFonts w:cs="Times New Roman"/>
          <w:szCs w:val="22"/>
          <w:lang w:val="en-US"/>
        </w:rPr>
        <w:t xml:space="preserve">4 broad </w:t>
      </w:r>
      <w:r w:rsidR="00CB0097">
        <w:rPr>
          <w:rFonts w:cs="Times New Roman"/>
          <w:szCs w:val="22"/>
          <w:lang w:val="en-US"/>
        </w:rPr>
        <w:t>c</w:t>
      </w:r>
      <w:r w:rsidR="006A0D0B" w:rsidRPr="006A0D0B">
        <w:rPr>
          <w:rFonts w:cs="Times New Roman"/>
          <w:szCs w:val="22"/>
          <w:lang w:val="en-US"/>
        </w:rPr>
        <w:t>lasses</w:t>
      </w:r>
      <w:r w:rsidR="006A0D0B" w:rsidRPr="00CB0097">
        <w:rPr>
          <w:rFonts w:cs="Times New Roman"/>
          <w:szCs w:val="22"/>
          <w:lang w:val="en-US"/>
        </w:rPr>
        <w:t>, 1</w:t>
      </w:r>
      <w:r w:rsidR="00CB0097" w:rsidRPr="00CB0097">
        <w:rPr>
          <w:rFonts w:cs="Times New Roman"/>
          <w:szCs w:val="22"/>
          <w:lang w:val="en-US"/>
        </w:rPr>
        <w:t>4</w:t>
      </w:r>
      <w:r w:rsidR="006A0D0B" w:rsidRPr="006A0D0B">
        <w:rPr>
          <w:rFonts w:cs="Times New Roman"/>
          <w:szCs w:val="22"/>
          <w:lang w:val="en-US"/>
        </w:rPr>
        <w:t xml:space="preserve"> </w:t>
      </w:r>
      <w:r w:rsidR="00CB0097">
        <w:rPr>
          <w:rFonts w:cs="Times New Roman"/>
          <w:szCs w:val="22"/>
          <w:lang w:val="en-US"/>
        </w:rPr>
        <w:t>s</w:t>
      </w:r>
      <w:r w:rsidR="006A0D0B" w:rsidRPr="006A0D0B">
        <w:rPr>
          <w:rFonts w:cs="Times New Roman"/>
          <w:szCs w:val="22"/>
          <w:lang w:val="en-US"/>
        </w:rPr>
        <w:t xml:space="preserve">egments and </w:t>
      </w:r>
      <w:r w:rsidR="00D32D3D">
        <w:rPr>
          <w:rFonts w:cs="Times New Roman"/>
          <w:szCs w:val="22"/>
          <w:lang w:val="en-US"/>
        </w:rPr>
        <w:t>59</w:t>
      </w:r>
      <w:r w:rsidR="006A0D0B" w:rsidRPr="006A0D0B">
        <w:rPr>
          <w:rFonts w:cs="Times New Roman"/>
          <w:szCs w:val="22"/>
          <w:lang w:val="en-US"/>
        </w:rPr>
        <w:t xml:space="preserve"> </w:t>
      </w:r>
      <w:r w:rsidR="00CB0097">
        <w:rPr>
          <w:rFonts w:cs="Times New Roman"/>
          <w:szCs w:val="22"/>
          <w:lang w:val="en-US"/>
        </w:rPr>
        <w:t>p</w:t>
      </w:r>
      <w:r w:rsidR="006A0D0B">
        <w:rPr>
          <w:rFonts w:cs="Times New Roman"/>
          <w:szCs w:val="22"/>
          <w:lang w:val="en-US"/>
        </w:rPr>
        <w:t xml:space="preserve">roduct </w:t>
      </w:r>
      <w:r w:rsidR="00CB0097">
        <w:rPr>
          <w:rFonts w:cs="Times New Roman"/>
          <w:szCs w:val="22"/>
          <w:lang w:val="en-US"/>
        </w:rPr>
        <w:t>c</w:t>
      </w:r>
      <w:r w:rsidR="006A0D0B" w:rsidRPr="006A0D0B">
        <w:rPr>
          <w:rFonts w:cs="Times New Roman"/>
          <w:szCs w:val="22"/>
          <w:lang w:val="en-US"/>
        </w:rPr>
        <w:t>ategories</w:t>
      </w:r>
      <w:r w:rsidR="00C7565E">
        <w:rPr>
          <w:rFonts w:cs="Times New Roman"/>
          <w:szCs w:val="22"/>
          <w:lang w:val="en-US"/>
        </w:rPr>
        <w:t xml:space="preserve"> as set out in </w:t>
      </w:r>
      <w:r w:rsidR="00CB0097" w:rsidRPr="00CB0097">
        <w:rPr>
          <w:rFonts w:cs="Times New Roman"/>
          <w:i/>
          <w:szCs w:val="22"/>
          <w:lang w:val="en-US"/>
        </w:rPr>
        <w:t>Appendix: B1: CHF3 Taxonomy</w:t>
      </w:r>
      <w:r w:rsidR="00C7565E">
        <w:rPr>
          <w:rFonts w:cs="Times New Roman"/>
          <w:szCs w:val="22"/>
          <w:lang w:val="en-US"/>
        </w:rPr>
        <w:t xml:space="preserve">. </w:t>
      </w:r>
    </w:p>
    <w:p w14:paraId="36BEC143" w14:textId="3C094A08" w:rsidR="00C7565E" w:rsidRDefault="00C7565E" w:rsidP="004D19DE">
      <w:pPr>
        <w:rPr>
          <w:rFonts w:cs="Times New Roman"/>
          <w:szCs w:val="22"/>
          <w:lang w:val="en-US"/>
        </w:rPr>
      </w:pPr>
      <w:r>
        <w:rPr>
          <w:rFonts w:cs="Times New Roman"/>
          <w:szCs w:val="22"/>
          <w:lang w:val="en-US"/>
        </w:rPr>
        <w:t>The 4 classes of equipment encompass</w:t>
      </w:r>
      <w:r w:rsidR="0073541B">
        <w:rPr>
          <w:rFonts w:cs="Times New Roman"/>
          <w:szCs w:val="22"/>
          <w:lang w:val="en-US"/>
        </w:rPr>
        <w:t xml:space="preserve"> </w:t>
      </w:r>
      <w:r w:rsidR="00C84973">
        <w:rPr>
          <w:rFonts w:cs="Times New Roman"/>
          <w:szCs w:val="22"/>
          <w:lang w:val="en-US"/>
        </w:rPr>
        <w:t xml:space="preserve">the four </w:t>
      </w:r>
      <w:r w:rsidR="0073541B">
        <w:rPr>
          <w:rFonts w:cs="Times New Roman"/>
          <w:szCs w:val="22"/>
          <w:lang w:val="en-US"/>
        </w:rPr>
        <w:t xml:space="preserve">main applications for RAC </w:t>
      </w:r>
      <w:r w:rsidR="00C84973">
        <w:rPr>
          <w:rFonts w:cs="Times New Roman"/>
          <w:szCs w:val="22"/>
          <w:lang w:val="en-US"/>
        </w:rPr>
        <w:t>technology</w:t>
      </w:r>
      <w:r w:rsidR="009E69CD">
        <w:rPr>
          <w:rFonts w:cs="Times New Roman"/>
          <w:szCs w:val="22"/>
          <w:lang w:val="en-US"/>
        </w:rPr>
        <w:t>,</w:t>
      </w:r>
      <w:r w:rsidR="00C84973">
        <w:rPr>
          <w:rFonts w:cs="Times New Roman"/>
          <w:szCs w:val="22"/>
          <w:lang w:val="en-US"/>
        </w:rPr>
        <w:t xml:space="preserve"> </w:t>
      </w:r>
      <w:r w:rsidR="00CB0097">
        <w:rPr>
          <w:rFonts w:cs="Times New Roman"/>
          <w:szCs w:val="22"/>
          <w:lang w:val="en-US"/>
        </w:rPr>
        <w:t>being s</w:t>
      </w:r>
      <w:r>
        <w:rPr>
          <w:rFonts w:cs="Times New Roman"/>
          <w:szCs w:val="22"/>
          <w:lang w:val="en-US"/>
        </w:rPr>
        <w:t xml:space="preserve">tationary </w:t>
      </w:r>
      <w:r w:rsidR="00CB0097">
        <w:rPr>
          <w:rFonts w:cs="Times New Roman"/>
          <w:szCs w:val="22"/>
          <w:lang w:val="en-US"/>
        </w:rPr>
        <w:t>a</w:t>
      </w:r>
      <w:r>
        <w:rPr>
          <w:rFonts w:cs="Times New Roman"/>
          <w:szCs w:val="22"/>
          <w:lang w:val="en-US"/>
        </w:rPr>
        <w:t xml:space="preserve">ir </w:t>
      </w:r>
      <w:r w:rsidR="00CB0097">
        <w:rPr>
          <w:rFonts w:cs="Times New Roman"/>
          <w:szCs w:val="22"/>
          <w:lang w:val="en-US"/>
        </w:rPr>
        <w:t>c</w:t>
      </w:r>
      <w:r>
        <w:rPr>
          <w:rFonts w:cs="Times New Roman"/>
          <w:szCs w:val="22"/>
          <w:lang w:val="en-US"/>
        </w:rPr>
        <w:t xml:space="preserve">onditioning, </w:t>
      </w:r>
      <w:r w:rsidR="00CB0097">
        <w:rPr>
          <w:rFonts w:cs="Times New Roman"/>
          <w:szCs w:val="22"/>
          <w:lang w:val="en-US"/>
        </w:rPr>
        <w:t>m</w:t>
      </w:r>
      <w:r>
        <w:rPr>
          <w:rFonts w:cs="Times New Roman"/>
          <w:szCs w:val="22"/>
          <w:lang w:val="en-US"/>
        </w:rPr>
        <w:t xml:space="preserve">obile </w:t>
      </w:r>
      <w:r w:rsidR="00CB0097">
        <w:rPr>
          <w:rFonts w:cs="Times New Roman"/>
          <w:szCs w:val="22"/>
          <w:lang w:val="en-US"/>
        </w:rPr>
        <w:t>a</w:t>
      </w:r>
      <w:r>
        <w:rPr>
          <w:rFonts w:cs="Times New Roman"/>
          <w:szCs w:val="22"/>
          <w:lang w:val="en-US"/>
        </w:rPr>
        <w:t xml:space="preserve">ir </w:t>
      </w:r>
      <w:r w:rsidR="00CB0097">
        <w:rPr>
          <w:rFonts w:cs="Times New Roman"/>
          <w:szCs w:val="22"/>
          <w:lang w:val="en-US"/>
        </w:rPr>
        <w:t>c</w:t>
      </w:r>
      <w:r>
        <w:rPr>
          <w:rFonts w:cs="Times New Roman"/>
          <w:szCs w:val="22"/>
          <w:lang w:val="en-US"/>
        </w:rPr>
        <w:t xml:space="preserve">onditioning, </w:t>
      </w:r>
      <w:r w:rsidR="00CB0097">
        <w:rPr>
          <w:rFonts w:cs="Times New Roman"/>
          <w:szCs w:val="22"/>
          <w:lang w:val="en-US"/>
        </w:rPr>
        <w:t>d</w:t>
      </w:r>
      <w:r>
        <w:rPr>
          <w:rFonts w:cs="Times New Roman"/>
          <w:szCs w:val="22"/>
          <w:lang w:val="en-US"/>
        </w:rPr>
        <w:t xml:space="preserve">omestic </w:t>
      </w:r>
      <w:r w:rsidR="00CB0097">
        <w:rPr>
          <w:rFonts w:cs="Times New Roman"/>
          <w:szCs w:val="22"/>
          <w:lang w:val="en-US"/>
        </w:rPr>
        <w:t>r</w:t>
      </w:r>
      <w:r>
        <w:rPr>
          <w:rFonts w:cs="Times New Roman"/>
          <w:szCs w:val="22"/>
          <w:lang w:val="en-US"/>
        </w:rPr>
        <w:t>efrigeration</w:t>
      </w:r>
      <w:r w:rsidR="009E69CD">
        <w:rPr>
          <w:rFonts w:cs="Times New Roman"/>
          <w:szCs w:val="22"/>
          <w:lang w:val="en-US"/>
        </w:rPr>
        <w:t>,</w:t>
      </w:r>
      <w:r>
        <w:rPr>
          <w:rFonts w:cs="Times New Roman"/>
          <w:szCs w:val="22"/>
          <w:lang w:val="en-US"/>
        </w:rPr>
        <w:t xml:space="preserve"> and the </w:t>
      </w:r>
      <w:r w:rsidR="00CB0097">
        <w:rPr>
          <w:rFonts w:cs="Times New Roman"/>
          <w:szCs w:val="22"/>
          <w:lang w:val="en-US"/>
        </w:rPr>
        <w:t>r</w:t>
      </w:r>
      <w:r>
        <w:rPr>
          <w:rFonts w:cs="Times New Roman"/>
          <w:szCs w:val="22"/>
          <w:lang w:val="en-US"/>
        </w:rPr>
        <w:t xml:space="preserve">efrigerated </w:t>
      </w:r>
      <w:r w:rsidR="00CB0097">
        <w:rPr>
          <w:rFonts w:cs="Times New Roman"/>
          <w:szCs w:val="22"/>
          <w:lang w:val="en-US"/>
        </w:rPr>
        <w:t>c</w:t>
      </w:r>
      <w:r>
        <w:rPr>
          <w:rFonts w:cs="Times New Roman"/>
          <w:szCs w:val="22"/>
          <w:lang w:val="en-US"/>
        </w:rPr>
        <w:t xml:space="preserve">old </w:t>
      </w:r>
      <w:r w:rsidR="00CB0097">
        <w:rPr>
          <w:rFonts w:cs="Times New Roman"/>
          <w:szCs w:val="22"/>
          <w:lang w:val="en-US"/>
        </w:rPr>
        <w:t>f</w:t>
      </w:r>
      <w:r>
        <w:rPr>
          <w:rFonts w:cs="Times New Roman"/>
          <w:szCs w:val="22"/>
          <w:lang w:val="en-US"/>
        </w:rPr>
        <w:t xml:space="preserve">ood </w:t>
      </w:r>
      <w:r w:rsidR="00CB0097">
        <w:rPr>
          <w:rFonts w:cs="Times New Roman"/>
          <w:szCs w:val="22"/>
          <w:lang w:val="en-US"/>
        </w:rPr>
        <w:t>c</w:t>
      </w:r>
      <w:r>
        <w:rPr>
          <w:rFonts w:cs="Times New Roman"/>
          <w:szCs w:val="22"/>
          <w:lang w:val="en-US"/>
        </w:rPr>
        <w:t xml:space="preserve">hain. These four classes are listed in order of the size of the </w:t>
      </w:r>
      <w:r w:rsidR="009F4CB3">
        <w:rPr>
          <w:rFonts w:cs="Times New Roman"/>
          <w:szCs w:val="22"/>
          <w:lang w:val="en-US"/>
        </w:rPr>
        <w:t>refrigerant bank</w:t>
      </w:r>
      <w:r>
        <w:rPr>
          <w:rFonts w:cs="Times New Roman"/>
          <w:szCs w:val="22"/>
          <w:lang w:val="en-US"/>
        </w:rPr>
        <w:t xml:space="preserve"> of refrigerant they employ, at least in the Australian context.</w:t>
      </w:r>
    </w:p>
    <w:p w14:paraId="535F1D17" w14:textId="38E90C35" w:rsidR="0030784C" w:rsidRDefault="0030784C" w:rsidP="004D19DE">
      <w:pPr>
        <w:rPr>
          <w:rFonts w:cs="Times New Roman"/>
          <w:szCs w:val="22"/>
          <w:lang w:val="en-US"/>
        </w:rPr>
      </w:pPr>
      <w:r>
        <w:rPr>
          <w:rFonts w:cs="Times New Roman"/>
          <w:szCs w:val="22"/>
          <w:lang w:val="en-US"/>
        </w:rPr>
        <w:t xml:space="preserve">Starting with these four </w:t>
      </w:r>
      <w:r w:rsidR="00CB0097">
        <w:rPr>
          <w:rFonts w:cs="Times New Roman"/>
          <w:szCs w:val="22"/>
          <w:lang w:val="en-US"/>
        </w:rPr>
        <w:t>c</w:t>
      </w:r>
      <w:r>
        <w:rPr>
          <w:rFonts w:cs="Times New Roman"/>
          <w:szCs w:val="22"/>
          <w:lang w:val="en-US"/>
        </w:rPr>
        <w:t xml:space="preserve">lasses the taxonomy is built on </w:t>
      </w:r>
      <w:r w:rsidR="00FD58C2">
        <w:rPr>
          <w:rFonts w:cs="Times New Roman"/>
          <w:szCs w:val="22"/>
          <w:lang w:val="en-US"/>
        </w:rPr>
        <w:t>a</w:t>
      </w:r>
      <w:r>
        <w:rPr>
          <w:rFonts w:cs="Times New Roman"/>
          <w:szCs w:val="22"/>
          <w:lang w:val="en-US"/>
        </w:rPr>
        <w:t xml:space="preserve"> second and </w:t>
      </w:r>
      <w:r w:rsidR="00FD58C2">
        <w:rPr>
          <w:rFonts w:cs="Times New Roman"/>
          <w:szCs w:val="22"/>
          <w:lang w:val="en-US"/>
        </w:rPr>
        <w:t xml:space="preserve">a </w:t>
      </w:r>
      <w:r>
        <w:rPr>
          <w:rFonts w:cs="Times New Roman"/>
          <w:szCs w:val="22"/>
          <w:lang w:val="en-US"/>
        </w:rPr>
        <w:t>third order classification in the following hierarchy:</w:t>
      </w:r>
    </w:p>
    <w:p w14:paraId="145E0715" w14:textId="369E3D7B" w:rsidR="0030784C" w:rsidRPr="00F62242" w:rsidRDefault="0030784C" w:rsidP="00FC735C">
      <w:pPr>
        <w:pStyle w:val="ListParagraph"/>
        <w:numPr>
          <w:ilvl w:val="0"/>
          <w:numId w:val="14"/>
        </w:numPr>
        <w:spacing w:before="120" w:after="0" w:line="240" w:lineRule="auto"/>
        <w:contextualSpacing w:val="0"/>
        <w:jc w:val="both"/>
        <w:rPr>
          <w:rFonts w:ascii="Times New Roman" w:hAnsi="Times New Roman"/>
        </w:rPr>
      </w:pPr>
      <w:r w:rsidRPr="00F62242">
        <w:rPr>
          <w:rFonts w:ascii="Times New Roman" w:hAnsi="Times New Roman"/>
        </w:rPr>
        <w:t>Class</w:t>
      </w:r>
    </w:p>
    <w:p w14:paraId="75061C1A" w14:textId="6FA975DE" w:rsidR="0030784C" w:rsidRPr="00F62242" w:rsidRDefault="0030784C" w:rsidP="00FC735C">
      <w:pPr>
        <w:pStyle w:val="ListParagraph"/>
        <w:numPr>
          <w:ilvl w:val="0"/>
          <w:numId w:val="14"/>
        </w:numPr>
        <w:spacing w:before="120" w:after="0" w:line="240" w:lineRule="auto"/>
        <w:contextualSpacing w:val="0"/>
        <w:jc w:val="both"/>
        <w:rPr>
          <w:rFonts w:ascii="Times New Roman" w:hAnsi="Times New Roman"/>
        </w:rPr>
      </w:pPr>
      <w:r w:rsidRPr="00F62242">
        <w:rPr>
          <w:rFonts w:ascii="Times New Roman" w:hAnsi="Times New Roman"/>
        </w:rPr>
        <w:t>Segment</w:t>
      </w:r>
    </w:p>
    <w:p w14:paraId="0D5C58D6" w14:textId="531BABDA" w:rsidR="0030784C" w:rsidRPr="00F62242" w:rsidRDefault="00F863A5" w:rsidP="00FC735C">
      <w:pPr>
        <w:pStyle w:val="ListParagraph"/>
        <w:numPr>
          <w:ilvl w:val="0"/>
          <w:numId w:val="14"/>
        </w:numPr>
        <w:spacing w:before="120" w:after="0" w:line="240" w:lineRule="auto"/>
        <w:contextualSpacing w:val="0"/>
        <w:jc w:val="both"/>
        <w:rPr>
          <w:rFonts w:ascii="Times New Roman" w:hAnsi="Times New Roman"/>
        </w:rPr>
      </w:pPr>
      <w:r>
        <w:rPr>
          <w:rFonts w:ascii="Times New Roman" w:hAnsi="Times New Roman"/>
        </w:rPr>
        <w:t>Product c</w:t>
      </w:r>
      <w:r w:rsidR="0030784C" w:rsidRPr="00F62242">
        <w:rPr>
          <w:rFonts w:ascii="Times New Roman" w:hAnsi="Times New Roman"/>
        </w:rPr>
        <w:t>ategory</w:t>
      </w:r>
    </w:p>
    <w:p w14:paraId="10C870AE" w14:textId="7D303540" w:rsidR="0030784C" w:rsidRDefault="0030784C" w:rsidP="004D19DE">
      <w:pPr>
        <w:rPr>
          <w:rFonts w:cs="Times New Roman"/>
          <w:szCs w:val="22"/>
          <w:lang w:val="en-US"/>
        </w:rPr>
      </w:pPr>
      <w:r>
        <w:rPr>
          <w:rFonts w:cs="Times New Roman"/>
          <w:szCs w:val="22"/>
          <w:lang w:val="en-US"/>
        </w:rPr>
        <w:t xml:space="preserve">Each </w:t>
      </w:r>
      <w:r w:rsidR="00F863A5">
        <w:rPr>
          <w:rFonts w:cs="Times New Roman"/>
          <w:szCs w:val="22"/>
          <w:lang w:val="en-US"/>
        </w:rPr>
        <w:t>product category</w:t>
      </w:r>
      <w:r>
        <w:rPr>
          <w:rFonts w:cs="Times New Roman"/>
          <w:szCs w:val="22"/>
          <w:lang w:val="en-US"/>
        </w:rPr>
        <w:t xml:space="preserve"> has a </w:t>
      </w:r>
      <w:r w:rsidR="00CB0097">
        <w:rPr>
          <w:rFonts w:cs="Times New Roman"/>
          <w:szCs w:val="22"/>
          <w:lang w:val="en-US"/>
        </w:rPr>
        <w:t>p</w:t>
      </w:r>
      <w:r>
        <w:rPr>
          <w:rFonts w:cs="Times New Roman"/>
          <w:szCs w:val="22"/>
          <w:lang w:val="en-US"/>
        </w:rPr>
        <w:t xml:space="preserve">roduct </w:t>
      </w:r>
      <w:r w:rsidR="00CB0097">
        <w:rPr>
          <w:rFonts w:cs="Times New Roman"/>
          <w:szCs w:val="22"/>
          <w:lang w:val="en-US"/>
        </w:rPr>
        <w:t>c</w:t>
      </w:r>
      <w:r>
        <w:rPr>
          <w:rFonts w:cs="Times New Roman"/>
          <w:szCs w:val="22"/>
          <w:lang w:val="en-US"/>
        </w:rPr>
        <w:t xml:space="preserve">ode which uses an abbreviation of the name of the </w:t>
      </w:r>
      <w:r w:rsidR="00CB0097">
        <w:rPr>
          <w:rFonts w:cs="Times New Roman"/>
          <w:szCs w:val="22"/>
          <w:lang w:val="en-US"/>
        </w:rPr>
        <w:t>c</w:t>
      </w:r>
      <w:r>
        <w:rPr>
          <w:rFonts w:cs="Times New Roman"/>
          <w:szCs w:val="22"/>
          <w:lang w:val="en-US"/>
        </w:rPr>
        <w:t xml:space="preserve">lass to identify the </w:t>
      </w:r>
      <w:r w:rsidR="00CB0097">
        <w:rPr>
          <w:rFonts w:cs="Times New Roman"/>
          <w:szCs w:val="22"/>
          <w:lang w:val="en-US"/>
        </w:rPr>
        <w:t>c</w:t>
      </w:r>
      <w:r>
        <w:rPr>
          <w:rFonts w:cs="Times New Roman"/>
          <w:szCs w:val="22"/>
          <w:lang w:val="en-US"/>
        </w:rPr>
        <w:t xml:space="preserve">lass </w:t>
      </w:r>
      <w:r w:rsidR="00FD58C2">
        <w:rPr>
          <w:rFonts w:cs="Times New Roman"/>
          <w:szCs w:val="22"/>
          <w:lang w:val="en-US"/>
        </w:rPr>
        <w:t xml:space="preserve">to which it belongs </w:t>
      </w:r>
      <w:r>
        <w:rPr>
          <w:rFonts w:cs="Times New Roman"/>
          <w:szCs w:val="22"/>
          <w:lang w:val="en-US"/>
        </w:rPr>
        <w:t xml:space="preserve">followed by a set of numbers identifying the </w:t>
      </w:r>
      <w:r w:rsidR="00CB0097">
        <w:rPr>
          <w:rFonts w:cs="Times New Roman"/>
          <w:szCs w:val="22"/>
          <w:lang w:val="en-US"/>
        </w:rPr>
        <w:t>s</w:t>
      </w:r>
      <w:r>
        <w:rPr>
          <w:rFonts w:cs="Times New Roman"/>
          <w:szCs w:val="22"/>
          <w:lang w:val="en-US"/>
        </w:rPr>
        <w:t xml:space="preserve">egment number within the </w:t>
      </w:r>
      <w:r w:rsidR="00CB0097">
        <w:rPr>
          <w:rFonts w:cs="Times New Roman"/>
          <w:szCs w:val="22"/>
          <w:lang w:val="en-US"/>
        </w:rPr>
        <w:t>c</w:t>
      </w:r>
      <w:r>
        <w:rPr>
          <w:rFonts w:cs="Times New Roman"/>
          <w:szCs w:val="22"/>
          <w:lang w:val="en-US"/>
        </w:rPr>
        <w:t xml:space="preserve">lass and then </w:t>
      </w:r>
      <w:r w:rsidR="00FD58C2">
        <w:rPr>
          <w:rFonts w:cs="Times New Roman"/>
          <w:szCs w:val="22"/>
          <w:lang w:val="en-US"/>
        </w:rPr>
        <w:t xml:space="preserve">the </w:t>
      </w:r>
      <w:r w:rsidR="00CB0097">
        <w:rPr>
          <w:rFonts w:cs="Times New Roman"/>
          <w:szCs w:val="22"/>
          <w:lang w:val="en-US"/>
        </w:rPr>
        <w:t>p</w:t>
      </w:r>
      <w:r>
        <w:rPr>
          <w:rFonts w:cs="Times New Roman"/>
          <w:szCs w:val="22"/>
          <w:lang w:val="en-US"/>
        </w:rPr>
        <w:t>roducts position</w:t>
      </w:r>
      <w:r w:rsidR="00FD58C2">
        <w:rPr>
          <w:rFonts w:cs="Times New Roman"/>
          <w:szCs w:val="22"/>
          <w:lang w:val="en-US"/>
        </w:rPr>
        <w:t xml:space="preserve"> or order</w:t>
      </w:r>
      <w:r>
        <w:rPr>
          <w:rFonts w:cs="Times New Roman"/>
          <w:szCs w:val="22"/>
          <w:lang w:val="en-US"/>
        </w:rPr>
        <w:t xml:space="preserve"> in the </w:t>
      </w:r>
      <w:r w:rsidR="00CB0097">
        <w:rPr>
          <w:rFonts w:cs="Times New Roman"/>
          <w:szCs w:val="22"/>
          <w:lang w:val="en-US"/>
        </w:rPr>
        <w:t>s</w:t>
      </w:r>
      <w:r>
        <w:rPr>
          <w:rFonts w:cs="Times New Roman"/>
          <w:szCs w:val="22"/>
          <w:lang w:val="en-US"/>
        </w:rPr>
        <w:t xml:space="preserve">egment. The abbreviations used </w:t>
      </w:r>
      <w:r w:rsidR="000B6E58">
        <w:rPr>
          <w:rFonts w:cs="Times New Roman"/>
          <w:szCs w:val="22"/>
          <w:lang w:val="en-US"/>
        </w:rPr>
        <w:t xml:space="preserve">for each </w:t>
      </w:r>
      <w:r w:rsidR="00CB0097">
        <w:rPr>
          <w:rFonts w:cs="Times New Roman"/>
          <w:szCs w:val="22"/>
          <w:lang w:val="en-US"/>
        </w:rPr>
        <w:t>c</w:t>
      </w:r>
      <w:r w:rsidR="000B6E58">
        <w:rPr>
          <w:rFonts w:cs="Times New Roman"/>
          <w:szCs w:val="22"/>
          <w:lang w:val="en-US"/>
        </w:rPr>
        <w:t xml:space="preserve">lass </w:t>
      </w:r>
      <w:r>
        <w:rPr>
          <w:rFonts w:cs="Times New Roman"/>
          <w:szCs w:val="22"/>
          <w:lang w:val="en-US"/>
        </w:rPr>
        <w:t>are listed below:</w:t>
      </w:r>
    </w:p>
    <w:p w14:paraId="0A83094D" w14:textId="41104262" w:rsidR="0030784C" w:rsidRPr="00F62242" w:rsidRDefault="0030784C" w:rsidP="00F62242">
      <w:pPr>
        <w:pStyle w:val="ListParagraph"/>
        <w:numPr>
          <w:ilvl w:val="0"/>
          <w:numId w:val="9"/>
        </w:numPr>
        <w:spacing w:before="120" w:after="0" w:line="240" w:lineRule="auto"/>
        <w:ind w:left="357" w:hanging="357"/>
        <w:contextualSpacing w:val="0"/>
        <w:jc w:val="both"/>
        <w:rPr>
          <w:rFonts w:ascii="Times New Roman" w:hAnsi="Times New Roman"/>
        </w:rPr>
      </w:pPr>
      <w:r w:rsidRPr="00F62242">
        <w:rPr>
          <w:rFonts w:ascii="Times New Roman" w:hAnsi="Times New Roman"/>
        </w:rPr>
        <w:t xml:space="preserve">Stationary </w:t>
      </w:r>
      <w:r w:rsidR="00CB0097">
        <w:rPr>
          <w:rFonts w:ascii="Times New Roman" w:hAnsi="Times New Roman"/>
        </w:rPr>
        <w:t>a</w:t>
      </w:r>
      <w:r w:rsidRPr="00F62242">
        <w:rPr>
          <w:rFonts w:ascii="Times New Roman" w:hAnsi="Times New Roman"/>
        </w:rPr>
        <w:t xml:space="preserve">ir </w:t>
      </w:r>
      <w:r w:rsidR="00CB0097">
        <w:rPr>
          <w:rFonts w:ascii="Times New Roman" w:hAnsi="Times New Roman"/>
        </w:rPr>
        <w:t>c</w:t>
      </w:r>
      <w:r w:rsidRPr="00F62242">
        <w:rPr>
          <w:rFonts w:ascii="Times New Roman" w:hAnsi="Times New Roman"/>
        </w:rPr>
        <w:t>onditioning – AC</w:t>
      </w:r>
    </w:p>
    <w:p w14:paraId="1A75C995" w14:textId="6225D594" w:rsidR="0030784C" w:rsidRPr="00F62242" w:rsidRDefault="0030784C" w:rsidP="00F62242">
      <w:pPr>
        <w:pStyle w:val="ListParagraph"/>
        <w:numPr>
          <w:ilvl w:val="0"/>
          <w:numId w:val="9"/>
        </w:numPr>
        <w:spacing w:before="120" w:after="0" w:line="240" w:lineRule="auto"/>
        <w:ind w:left="357" w:hanging="357"/>
        <w:contextualSpacing w:val="0"/>
        <w:jc w:val="both"/>
        <w:rPr>
          <w:rFonts w:ascii="Times New Roman" w:hAnsi="Times New Roman"/>
        </w:rPr>
      </w:pPr>
      <w:r w:rsidRPr="00F62242">
        <w:rPr>
          <w:rFonts w:ascii="Times New Roman" w:hAnsi="Times New Roman"/>
        </w:rPr>
        <w:t xml:space="preserve">Mobile </w:t>
      </w:r>
      <w:r w:rsidR="00CB0097">
        <w:rPr>
          <w:rFonts w:ascii="Times New Roman" w:hAnsi="Times New Roman"/>
        </w:rPr>
        <w:t>a</w:t>
      </w:r>
      <w:r w:rsidRPr="00F62242">
        <w:rPr>
          <w:rFonts w:ascii="Times New Roman" w:hAnsi="Times New Roman"/>
        </w:rPr>
        <w:t xml:space="preserve">ir </w:t>
      </w:r>
      <w:r w:rsidR="00CB0097">
        <w:rPr>
          <w:rFonts w:ascii="Times New Roman" w:hAnsi="Times New Roman"/>
        </w:rPr>
        <w:t>c</w:t>
      </w:r>
      <w:r w:rsidRPr="00F62242">
        <w:rPr>
          <w:rFonts w:ascii="Times New Roman" w:hAnsi="Times New Roman"/>
        </w:rPr>
        <w:t>onditioning – MAC</w:t>
      </w:r>
    </w:p>
    <w:p w14:paraId="1E41A607" w14:textId="17496107" w:rsidR="0030784C" w:rsidRPr="00F62242" w:rsidRDefault="0030784C" w:rsidP="00F62242">
      <w:pPr>
        <w:pStyle w:val="ListParagraph"/>
        <w:numPr>
          <w:ilvl w:val="0"/>
          <w:numId w:val="9"/>
        </w:numPr>
        <w:spacing w:before="120" w:after="0" w:line="240" w:lineRule="auto"/>
        <w:ind w:left="357" w:hanging="357"/>
        <w:contextualSpacing w:val="0"/>
        <w:jc w:val="both"/>
        <w:rPr>
          <w:rFonts w:ascii="Times New Roman" w:hAnsi="Times New Roman"/>
        </w:rPr>
      </w:pPr>
      <w:r w:rsidRPr="00F62242">
        <w:rPr>
          <w:rFonts w:ascii="Times New Roman" w:hAnsi="Times New Roman"/>
        </w:rPr>
        <w:t xml:space="preserve">Domestic </w:t>
      </w:r>
      <w:r w:rsidR="00CB0097">
        <w:rPr>
          <w:rFonts w:ascii="Times New Roman" w:hAnsi="Times New Roman"/>
        </w:rPr>
        <w:t>r</w:t>
      </w:r>
      <w:r w:rsidRPr="00F62242">
        <w:rPr>
          <w:rFonts w:ascii="Times New Roman" w:hAnsi="Times New Roman"/>
        </w:rPr>
        <w:t>efrigeration – DR</w:t>
      </w:r>
    </w:p>
    <w:p w14:paraId="4E308582" w14:textId="42E45B3B" w:rsidR="0030784C" w:rsidRPr="00F62242" w:rsidRDefault="0030784C" w:rsidP="00F62242">
      <w:pPr>
        <w:pStyle w:val="ListParagraph"/>
        <w:numPr>
          <w:ilvl w:val="0"/>
          <w:numId w:val="9"/>
        </w:numPr>
        <w:spacing w:before="120" w:after="0" w:line="240" w:lineRule="auto"/>
        <w:ind w:left="357" w:hanging="357"/>
        <w:contextualSpacing w:val="0"/>
        <w:jc w:val="both"/>
        <w:rPr>
          <w:rFonts w:ascii="Times New Roman" w:hAnsi="Times New Roman"/>
        </w:rPr>
      </w:pPr>
      <w:r w:rsidRPr="00F62242">
        <w:rPr>
          <w:rFonts w:ascii="Times New Roman" w:hAnsi="Times New Roman"/>
        </w:rPr>
        <w:t xml:space="preserve">Refrigerated </w:t>
      </w:r>
      <w:r w:rsidR="00CB0097">
        <w:rPr>
          <w:rFonts w:ascii="Times New Roman" w:hAnsi="Times New Roman"/>
        </w:rPr>
        <w:t>c</w:t>
      </w:r>
      <w:r w:rsidRPr="00F62242">
        <w:rPr>
          <w:rFonts w:ascii="Times New Roman" w:hAnsi="Times New Roman"/>
        </w:rPr>
        <w:t xml:space="preserve">old </w:t>
      </w:r>
      <w:r w:rsidR="00CB0097">
        <w:rPr>
          <w:rFonts w:ascii="Times New Roman" w:hAnsi="Times New Roman"/>
        </w:rPr>
        <w:t>f</w:t>
      </w:r>
      <w:r w:rsidRPr="00F62242">
        <w:rPr>
          <w:rFonts w:ascii="Times New Roman" w:hAnsi="Times New Roman"/>
        </w:rPr>
        <w:t xml:space="preserve">ood </w:t>
      </w:r>
      <w:r w:rsidR="00CB0097">
        <w:rPr>
          <w:rFonts w:ascii="Times New Roman" w:hAnsi="Times New Roman"/>
        </w:rPr>
        <w:t>c</w:t>
      </w:r>
      <w:r w:rsidRPr="00F62242">
        <w:rPr>
          <w:rFonts w:ascii="Times New Roman" w:hAnsi="Times New Roman"/>
        </w:rPr>
        <w:t>hain – RCFC</w:t>
      </w:r>
    </w:p>
    <w:p w14:paraId="765777CA" w14:textId="189C6ACA" w:rsidR="003B6F66" w:rsidRDefault="00C7565E" w:rsidP="003B6F66">
      <w:pPr>
        <w:rPr>
          <w:rFonts w:cs="Times New Roman"/>
          <w:szCs w:val="22"/>
          <w:lang w:val="en-US"/>
        </w:rPr>
      </w:pPr>
      <w:r>
        <w:rPr>
          <w:rFonts w:cs="Times New Roman"/>
          <w:szCs w:val="22"/>
          <w:lang w:val="en-US"/>
        </w:rPr>
        <w:t xml:space="preserve">The second order nomenclature of each </w:t>
      </w:r>
      <w:r w:rsidR="00CB0097">
        <w:rPr>
          <w:rFonts w:cs="Times New Roman"/>
          <w:szCs w:val="22"/>
          <w:lang w:val="en-US"/>
        </w:rPr>
        <w:t>c</w:t>
      </w:r>
      <w:r w:rsidR="000B6E58">
        <w:rPr>
          <w:rFonts w:cs="Times New Roman"/>
          <w:szCs w:val="22"/>
          <w:lang w:val="en-US"/>
        </w:rPr>
        <w:t>lass</w:t>
      </w:r>
      <w:r w:rsidR="00725D12">
        <w:rPr>
          <w:rFonts w:cs="Times New Roman"/>
          <w:szCs w:val="22"/>
          <w:lang w:val="en-US"/>
        </w:rPr>
        <w:t xml:space="preserve"> or equipment</w:t>
      </w:r>
      <w:r w:rsidR="000B6E58">
        <w:rPr>
          <w:rFonts w:cs="Times New Roman"/>
          <w:szCs w:val="22"/>
          <w:lang w:val="en-US"/>
        </w:rPr>
        <w:t xml:space="preserve"> is the </w:t>
      </w:r>
      <w:r w:rsidR="00CB0097">
        <w:rPr>
          <w:rFonts w:cs="Times New Roman"/>
          <w:szCs w:val="22"/>
          <w:lang w:val="en-US"/>
        </w:rPr>
        <w:t>s</w:t>
      </w:r>
      <w:r>
        <w:rPr>
          <w:rFonts w:cs="Times New Roman"/>
          <w:szCs w:val="22"/>
          <w:lang w:val="en-US"/>
        </w:rPr>
        <w:t>egment</w:t>
      </w:r>
      <w:r w:rsidR="00725D12">
        <w:rPr>
          <w:rFonts w:cs="Times New Roman"/>
          <w:szCs w:val="22"/>
          <w:lang w:val="en-US"/>
        </w:rPr>
        <w:t xml:space="preserve"> which describe</w:t>
      </w:r>
      <w:r w:rsidR="00FD58C2">
        <w:rPr>
          <w:rFonts w:cs="Times New Roman"/>
          <w:szCs w:val="22"/>
          <w:lang w:val="en-US"/>
        </w:rPr>
        <w:t>s</w:t>
      </w:r>
      <w:r w:rsidR="00725D12">
        <w:rPr>
          <w:rFonts w:cs="Times New Roman"/>
          <w:szCs w:val="22"/>
          <w:lang w:val="en-US"/>
        </w:rPr>
        <w:t xml:space="preserve"> the general product formats and </w:t>
      </w:r>
      <w:r w:rsidR="003B6F66">
        <w:rPr>
          <w:rFonts w:cs="Times New Roman"/>
          <w:szCs w:val="22"/>
          <w:lang w:val="en-US"/>
        </w:rPr>
        <w:t xml:space="preserve">size </w:t>
      </w:r>
      <w:r w:rsidR="00FD58C2">
        <w:rPr>
          <w:rFonts w:cs="Times New Roman"/>
          <w:szCs w:val="22"/>
          <w:lang w:val="en-US"/>
        </w:rPr>
        <w:t>of</w:t>
      </w:r>
      <w:r w:rsidR="00725D12">
        <w:rPr>
          <w:rFonts w:cs="Times New Roman"/>
          <w:szCs w:val="22"/>
          <w:lang w:val="en-US"/>
        </w:rPr>
        <w:t xml:space="preserve"> the RAC technology. </w:t>
      </w:r>
      <w:r w:rsidR="003B6F66" w:rsidRPr="003B6F66">
        <w:rPr>
          <w:rFonts w:cs="Times New Roman"/>
          <w:szCs w:val="22"/>
          <w:lang w:val="en-US"/>
        </w:rPr>
        <w:t xml:space="preserve">For </w:t>
      </w:r>
      <w:r w:rsidR="001F64CE" w:rsidRPr="003B6F66">
        <w:rPr>
          <w:rFonts w:cs="Times New Roman"/>
          <w:szCs w:val="22"/>
          <w:lang w:val="en-US"/>
        </w:rPr>
        <w:t>instance,</w:t>
      </w:r>
      <w:r w:rsidR="003B6F66" w:rsidRPr="003B6F66">
        <w:rPr>
          <w:rFonts w:cs="Times New Roman"/>
          <w:szCs w:val="22"/>
          <w:lang w:val="en-US"/>
        </w:rPr>
        <w:t xml:space="preserve"> the equipment </w:t>
      </w:r>
      <w:r w:rsidR="00CB0097">
        <w:rPr>
          <w:rFonts w:cs="Times New Roman"/>
          <w:szCs w:val="22"/>
          <w:lang w:val="en-US"/>
        </w:rPr>
        <w:t>s</w:t>
      </w:r>
      <w:r w:rsidR="003B6F66" w:rsidRPr="003B6F66">
        <w:rPr>
          <w:rFonts w:cs="Times New Roman"/>
          <w:szCs w:val="22"/>
          <w:lang w:val="en-US"/>
        </w:rPr>
        <w:t xml:space="preserve">egments in the </w:t>
      </w:r>
      <w:r w:rsidR="00CB0097">
        <w:rPr>
          <w:rFonts w:cs="Times New Roman"/>
          <w:szCs w:val="22"/>
          <w:lang w:val="en-US"/>
        </w:rPr>
        <w:t>s</w:t>
      </w:r>
      <w:r w:rsidR="003B6F66" w:rsidRPr="003B6F66">
        <w:rPr>
          <w:rFonts w:cs="Times New Roman"/>
          <w:szCs w:val="22"/>
          <w:lang w:val="en-US"/>
        </w:rPr>
        <w:t xml:space="preserve">tationary </w:t>
      </w:r>
      <w:r w:rsidR="00CB0097">
        <w:rPr>
          <w:rFonts w:cs="Times New Roman"/>
          <w:szCs w:val="22"/>
          <w:lang w:val="en-US"/>
        </w:rPr>
        <w:t>a</w:t>
      </w:r>
      <w:r w:rsidR="003B6F66" w:rsidRPr="003B6F66">
        <w:rPr>
          <w:rFonts w:cs="Times New Roman"/>
          <w:szCs w:val="22"/>
          <w:lang w:val="en-US"/>
        </w:rPr>
        <w:t xml:space="preserve">ir </w:t>
      </w:r>
      <w:r w:rsidR="00CB0097">
        <w:rPr>
          <w:rFonts w:cs="Times New Roman"/>
          <w:szCs w:val="22"/>
          <w:lang w:val="en-US"/>
        </w:rPr>
        <w:t>c</w:t>
      </w:r>
      <w:r w:rsidR="003B6F66" w:rsidRPr="003B6F66">
        <w:rPr>
          <w:rFonts w:cs="Times New Roman"/>
          <w:szCs w:val="22"/>
          <w:lang w:val="en-US"/>
        </w:rPr>
        <w:t xml:space="preserve">onditioning </w:t>
      </w:r>
      <w:r w:rsidR="00CB0097">
        <w:rPr>
          <w:rFonts w:cs="Times New Roman"/>
          <w:szCs w:val="22"/>
          <w:lang w:val="en-US"/>
        </w:rPr>
        <w:t>c</w:t>
      </w:r>
      <w:r w:rsidR="003B6F66" w:rsidRPr="003B6F66">
        <w:rPr>
          <w:rFonts w:cs="Times New Roman"/>
          <w:szCs w:val="22"/>
          <w:lang w:val="en-US"/>
        </w:rPr>
        <w:t>lass, include</w:t>
      </w:r>
      <w:r w:rsidR="003B6F66">
        <w:rPr>
          <w:rFonts w:cs="Times New Roman"/>
          <w:szCs w:val="22"/>
          <w:lang w:val="en-US"/>
        </w:rPr>
        <w:t>:</w:t>
      </w:r>
    </w:p>
    <w:p w14:paraId="028C8B98" w14:textId="2BC65612"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AC1: Small AC: Self-contained</w:t>
      </w:r>
    </w:p>
    <w:p w14:paraId="326CBB5C" w14:textId="77777777"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AC2: Small AC: Non ducted</w:t>
      </w:r>
    </w:p>
    <w:p w14:paraId="461137CD" w14:textId="296EA97C"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 xml:space="preserve">AC3: Medium AC: Ducted &amp; </w:t>
      </w:r>
      <w:r w:rsidR="00CB0097">
        <w:rPr>
          <w:rFonts w:ascii="Times New Roman" w:hAnsi="Times New Roman"/>
        </w:rPr>
        <w:t>l</w:t>
      </w:r>
      <w:r w:rsidRPr="0026041C">
        <w:rPr>
          <w:rFonts w:ascii="Times New Roman" w:hAnsi="Times New Roman"/>
        </w:rPr>
        <w:t>ight commercial</w:t>
      </w:r>
    </w:p>
    <w:p w14:paraId="14871A4A" w14:textId="77777777"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AC4: Large AC: Chillers</w:t>
      </w:r>
    </w:p>
    <w:p w14:paraId="72E0B0D3" w14:textId="4CDDA35F"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AC5: Other</w:t>
      </w:r>
    </w:p>
    <w:p w14:paraId="2F62A3A1" w14:textId="7DE94EF9" w:rsidR="00725D12" w:rsidRDefault="00725D12" w:rsidP="004D19DE">
      <w:pPr>
        <w:rPr>
          <w:rFonts w:cs="Times New Roman"/>
          <w:szCs w:val="22"/>
          <w:lang w:val="en-US"/>
        </w:rPr>
      </w:pPr>
      <w:r>
        <w:rPr>
          <w:rFonts w:cs="Times New Roman"/>
          <w:szCs w:val="22"/>
          <w:lang w:val="en-US"/>
        </w:rPr>
        <w:t>Finally the third order nomenclature of th</w:t>
      </w:r>
      <w:r w:rsidR="00FD58C2">
        <w:rPr>
          <w:rFonts w:cs="Times New Roman"/>
          <w:szCs w:val="22"/>
          <w:lang w:val="en-US"/>
        </w:rPr>
        <w:t>e</w:t>
      </w:r>
      <w:r>
        <w:rPr>
          <w:rFonts w:cs="Times New Roman"/>
          <w:szCs w:val="22"/>
          <w:lang w:val="en-US"/>
        </w:rPr>
        <w:t xml:space="preserve"> taxonomy is the </w:t>
      </w:r>
      <w:r w:rsidR="00F863A5">
        <w:rPr>
          <w:rFonts w:cs="Times New Roman"/>
          <w:szCs w:val="22"/>
          <w:lang w:val="en-US"/>
        </w:rPr>
        <w:t>product category</w:t>
      </w:r>
      <w:r>
        <w:rPr>
          <w:rFonts w:cs="Times New Roman"/>
          <w:szCs w:val="22"/>
          <w:lang w:val="en-US"/>
        </w:rPr>
        <w:t xml:space="preserve">, which are simply numbered for their order in the </w:t>
      </w:r>
      <w:r w:rsidR="009E69CD">
        <w:rPr>
          <w:rFonts w:cs="Times New Roman"/>
          <w:szCs w:val="22"/>
          <w:lang w:val="en-US"/>
        </w:rPr>
        <w:t>S</w:t>
      </w:r>
      <w:r>
        <w:rPr>
          <w:rFonts w:cs="Times New Roman"/>
          <w:szCs w:val="22"/>
          <w:lang w:val="en-US"/>
        </w:rPr>
        <w:t>egment</w:t>
      </w:r>
      <w:r w:rsidR="00FD58C2">
        <w:rPr>
          <w:rFonts w:cs="Times New Roman"/>
          <w:szCs w:val="22"/>
          <w:lang w:val="en-US"/>
        </w:rPr>
        <w:t xml:space="preserve">. Product </w:t>
      </w:r>
      <w:r w:rsidR="009E69CD">
        <w:rPr>
          <w:rFonts w:cs="Times New Roman"/>
          <w:szCs w:val="22"/>
          <w:lang w:val="en-US"/>
        </w:rPr>
        <w:t>C</w:t>
      </w:r>
      <w:r w:rsidR="00FD58C2">
        <w:rPr>
          <w:rFonts w:cs="Times New Roman"/>
          <w:szCs w:val="22"/>
          <w:lang w:val="en-US"/>
        </w:rPr>
        <w:t>ategories</w:t>
      </w:r>
      <w:r>
        <w:rPr>
          <w:rFonts w:cs="Times New Roman"/>
          <w:szCs w:val="22"/>
          <w:lang w:val="en-US"/>
        </w:rPr>
        <w:t xml:space="preserve"> may distin</w:t>
      </w:r>
      <w:r w:rsidR="00453BB7">
        <w:rPr>
          <w:rFonts w:cs="Times New Roman"/>
          <w:szCs w:val="22"/>
          <w:lang w:val="en-US"/>
        </w:rPr>
        <w:t>g</w:t>
      </w:r>
      <w:r>
        <w:rPr>
          <w:rFonts w:cs="Times New Roman"/>
          <w:szCs w:val="22"/>
          <w:lang w:val="en-US"/>
        </w:rPr>
        <w:t xml:space="preserve">uish </w:t>
      </w:r>
      <w:r w:rsidR="00FD58C2">
        <w:rPr>
          <w:rFonts w:cs="Times New Roman"/>
          <w:szCs w:val="22"/>
          <w:lang w:val="en-US"/>
        </w:rPr>
        <w:t>products</w:t>
      </w:r>
      <w:r>
        <w:rPr>
          <w:rFonts w:cs="Times New Roman"/>
          <w:szCs w:val="22"/>
          <w:lang w:val="en-US"/>
        </w:rPr>
        <w:t xml:space="preserve"> on the basis of </w:t>
      </w:r>
      <w:r w:rsidR="00FD58C2">
        <w:rPr>
          <w:rFonts w:cs="Times New Roman"/>
          <w:szCs w:val="22"/>
          <w:lang w:val="en-US"/>
        </w:rPr>
        <w:t>the size of their</w:t>
      </w:r>
      <w:r>
        <w:rPr>
          <w:rFonts w:cs="Times New Roman"/>
          <w:szCs w:val="22"/>
          <w:lang w:val="en-US"/>
        </w:rPr>
        <w:t xml:space="preserve"> refrigerant charge, </w:t>
      </w:r>
      <w:r w:rsidR="00FD58C2">
        <w:rPr>
          <w:rFonts w:cs="Times New Roman"/>
          <w:szCs w:val="22"/>
          <w:lang w:val="en-US"/>
        </w:rPr>
        <w:t xml:space="preserve">their </w:t>
      </w:r>
      <w:r>
        <w:rPr>
          <w:rFonts w:cs="Times New Roman"/>
          <w:szCs w:val="22"/>
          <w:lang w:val="en-US"/>
        </w:rPr>
        <w:t>refrigerating capacity, or some other distin</w:t>
      </w:r>
      <w:r w:rsidR="00453BB7">
        <w:rPr>
          <w:rFonts w:cs="Times New Roman"/>
          <w:szCs w:val="22"/>
          <w:lang w:val="en-US"/>
        </w:rPr>
        <w:t>g</w:t>
      </w:r>
      <w:r>
        <w:rPr>
          <w:rFonts w:cs="Times New Roman"/>
          <w:szCs w:val="22"/>
          <w:lang w:val="en-US"/>
        </w:rPr>
        <w:t>uishing feature</w:t>
      </w:r>
      <w:r w:rsidR="00FD58C2">
        <w:rPr>
          <w:rFonts w:cs="Times New Roman"/>
          <w:szCs w:val="22"/>
          <w:lang w:val="en-US"/>
        </w:rPr>
        <w:t xml:space="preserve"> that both limits or defines the application of the product, or determines the physical equipment format, the way in which the elements of the core technology of vapor compression refrigeration relate to each other</w:t>
      </w:r>
      <w:r w:rsidR="000300D8">
        <w:rPr>
          <w:rFonts w:cs="Times New Roman"/>
          <w:szCs w:val="22"/>
          <w:lang w:val="en-US"/>
        </w:rPr>
        <w:t xml:space="preserve"> (i.e. self-contained or remote condenser)</w:t>
      </w:r>
      <w:r>
        <w:rPr>
          <w:rFonts w:cs="Times New Roman"/>
          <w:szCs w:val="22"/>
          <w:lang w:val="en-US"/>
        </w:rPr>
        <w:t>.</w:t>
      </w:r>
    </w:p>
    <w:p w14:paraId="66A2FBD2" w14:textId="42D79EB5" w:rsidR="00942977" w:rsidRDefault="00942977" w:rsidP="00942977">
      <w:pPr>
        <w:rPr>
          <w:rFonts w:cs="Times New Roman"/>
          <w:szCs w:val="22"/>
          <w:lang w:val="en-US"/>
        </w:rPr>
      </w:pPr>
      <w:r>
        <w:rPr>
          <w:rFonts w:cs="Times New Roman"/>
          <w:szCs w:val="22"/>
          <w:lang w:val="en-US"/>
        </w:rPr>
        <w:t xml:space="preserve">For instance the </w:t>
      </w:r>
      <w:r w:rsidR="00CB0097">
        <w:rPr>
          <w:rFonts w:cs="Times New Roman"/>
          <w:szCs w:val="22"/>
          <w:lang w:val="en-US"/>
        </w:rPr>
        <w:t>s</w:t>
      </w:r>
      <w:r>
        <w:rPr>
          <w:rFonts w:cs="Times New Roman"/>
          <w:szCs w:val="22"/>
          <w:lang w:val="en-US"/>
        </w:rPr>
        <w:t xml:space="preserve">tationary </w:t>
      </w:r>
      <w:r w:rsidR="00CB0097">
        <w:rPr>
          <w:rFonts w:cs="Times New Roman"/>
          <w:szCs w:val="22"/>
          <w:lang w:val="en-US"/>
        </w:rPr>
        <w:t>a</w:t>
      </w:r>
      <w:r>
        <w:rPr>
          <w:rFonts w:cs="Times New Roman"/>
          <w:szCs w:val="22"/>
          <w:lang w:val="en-US"/>
        </w:rPr>
        <w:t xml:space="preserve">ir </w:t>
      </w:r>
      <w:r w:rsidR="00CB0097">
        <w:rPr>
          <w:rFonts w:cs="Times New Roman"/>
          <w:szCs w:val="22"/>
          <w:lang w:val="en-US"/>
        </w:rPr>
        <w:t>c</w:t>
      </w:r>
      <w:r>
        <w:rPr>
          <w:rFonts w:cs="Times New Roman"/>
          <w:szCs w:val="22"/>
          <w:lang w:val="en-US"/>
        </w:rPr>
        <w:t xml:space="preserve">onditioning </w:t>
      </w:r>
      <w:r w:rsidR="00CB0097">
        <w:rPr>
          <w:rFonts w:cs="Times New Roman"/>
          <w:szCs w:val="22"/>
          <w:lang w:val="en-US"/>
        </w:rPr>
        <w:t>c</w:t>
      </w:r>
      <w:r>
        <w:rPr>
          <w:rFonts w:cs="Times New Roman"/>
          <w:szCs w:val="22"/>
          <w:lang w:val="en-US"/>
        </w:rPr>
        <w:t>lass include</w:t>
      </w:r>
      <w:r w:rsidR="00FB3D0B">
        <w:rPr>
          <w:rFonts w:cs="Times New Roman"/>
          <w:szCs w:val="22"/>
          <w:lang w:val="en-US"/>
        </w:rPr>
        <w:t>s</w:t>
      </w:r>
      <w:r>
        <w:rPr>
          <w:rFonts w:cs="Times New Roman"/>
          <w:szCs w:val="22"/>
          <w:lang w:val="en-US"/>
        </w:rPr>
        <w:t xml:space="preserve"> ‘</w:t>
      </w:r>
      <w:r w:rsidR="00455D29" w:rsidRPr="00455D29">
        <w:rPr>
          <w:rFonts w:cs="Times New Roman"/>
          <w:szCs w:val="22"/>
          <w:lang w:val="en-US"/>
        </w:rPr>
        <w:t>Single split: non-ducted</w:t>
      </w:r>
      <w:r w:rsidR="00455D29">
        <w:rPr>
          <w:rFonts w:cs="Times New Roman"/>
          <w:szCs w:val="22"/>
          <w:lang w:val="en-US"/>
        </w:rPr>
        <w:t>’</w:t>
      </w:r>
      <w:r w:rsidR="00C357E9">
        <w:rPr>
          <w:rFonts w:cs="Times New Roman"/>
          <w:szCs w:val="22"/>
          <w:lang w:val="en-US"/>
        </w:rPr>
        <w:t xml:space="preserve"> (AC2-1 and AC2-2)</w:t>
      </w:r>
      <w:r>
        <w:rPr>
          <w:rFonts w:cs="Times New Roman"/>
          <w:szCs w:val="22"/>
          <w:lang w:val="en-US"/>
        </w:rPr>
        <w:t xml:space="preserve"> </w:t>
      </w:r>
      <w:r w:rsidR="00455D29">
        <w:rPr>
          <w:rFonts w:cs="Times New Roman"/>
          <w:szCs w:val="22"/>
          <w:lang w:val="en-US"/>
        </w:rPr>
        <w:t xml:space="preserve">and </w:t>
      </w:r>
      <w:r w:rsidR="00500D32">
        <w:rPr>
          <w:rFonts w:cs="Times New Roman"/>
          <w:szCs w:val="22"/>
          <w:lang w:val="en-US"/>
        </w:rPr>
        <w:t xml:space="preserve">‘Single </w:t>
      </w:r>
      <w:r w:rsidR="00CB0097">
        <w:rPr>
          <w:rFonts w:cs="Times New Roman"/>
          <w:szCs w:val="22"/>
          <w:lang w:val="en-US"/>
        </w:rPr>
        <w:t>s</w:t>
      </w:r>
      <w:r w:rsidR="00500D32">
        <w:rPr>
          <w:rFonts w:cs="Times New Roman"/>
          <w:szCs w:val="22"/>
          <w:lang w:val="en-US"/>
        </w:rPr>
        <w:t>plit</w:t>
      </w:r>
      <w:r w:rsidR="00FB3D0B">
        <w:rPr>
          <w:rFonts w:cs="Times New Roman"/>
          <w:szCs w:val="22"/>
          <w:lang w:val="en-US"/>
        </w:rPr>
        <w:t xml:space="preserve"> </w:t>
      </w:r>
      <w:r w:rsidR="00CB0097">
        <w:rPr>
          <w:rFonts w:cs="Times New Roman"/>
          <w:szCs w:val="22"/>
          <w:lang w:val="en-US"/>
        </w:rPr>
        <w:t>s</w:t>
      </w:r>
      <w:r w:rsidR="00FB3D0B">
        <w:rPr>
          <w:rFonts w:cs="Times New Roman"/>
          <w:szCs w:val="22"/>
          <w:lang w:val="en-US"/>
        </w:rPr>
        <w:t>ystem</w:t>
      </w:r>
      <w:r w:rsidR="00500D32">
        <w:rPr>
          <w:rFonts w:cs="Times New Roman"/>
          <w:szCs w:val="22"/>
          <w:lang w:val="en-US"/>
        </w:rPr>
        <w:t>: Ducted</w:t>
      </w:r>
      <w:r w:rsidR="00FB3D0B">
        <w:rPr>
          <w:rFonts w:cs="Times New Roman"/>
          <w:szCs w:val="22"/>
          <w:lang w:val="en-US"/>
        </w:rPr>
        <w:t xml:space="preserve"> (AC3-1)</w:t>
      </w:r>
      <w:r>
        <w:rPr>
          <w:rFonts w:cs="Times New Roman"/>
          <w:szCs w:val="22"/>
          <w:lang w:val="en-US"/>
        </w:rPr>
        <w:t>, describing</w:t>
      </w:r>
      <w:r w:rsidR="009E69CD">
        <w:rPr>
          <w:rFonts w:cs="Times New Roman"/>
          <w:szCs w:val="22"/>
          <w:lang w:val="en-US"/>
        </w:rPr>
        <w:t xml:space="preserve"> the</w:t>
      </w:r>
      <w:r>
        <w:rPr>
          <w:rFonts w:cs="Times New Roman"/>
          <w:szCs w:val="22"/>
          <w:lang w:val="en-US"/>
        </w:rPr>
        <w:t xml:space="preserve"> two </w:t>
      </w:r>
      <w:r w:rsidR="00FB3D0B">
        <w:rPr>
          <w:rFonts w:cs="Times New Roman"/>
          <w:szCs w:val="22"/>
          <w:lang w:val="en-US"/>
        </w:rPr>
        <w:t xml:space="preserve">most </w:t>
      </w:r>
      <w:r w:rsidR="009E69CD">
        <w:rPr>
          <w:rFonts w:cs="Times New Roman"/>
          <w:szCs w:val="22"/>
          <w:lang w:val="en-US"/>
        </w:rPr>
        <w:t>numerous</w:t>
      </w:r>
      <w:r>
        <w:rPr>
          <w:rFonts w:cs="Times New Roman"/>
          <w:szCs w:val="22"/>
          <w:lang w:val="en-US"/>
        </w:rPr>
        <w:t xml:space="preserve"> equipment formats where the indoor evaporator is mounted separately from the outdoor condenser and the two are connected by piping through which the refrigerant is pumped back and forth between them. AC</w:t>
      </w:r>
      <w:r w:rsidR="00FB3D0B">
        <w:rPr>
          <w:rFonts w:cs="Times New Roman"/>
          <w:szCs w:val="22"/>
          <w:lang w:val="en-US"/>
        </w:rPr>
        <w:t>1-1</w:t>
      </w:r>
      <w:r>
        <w:rPr>
          <w:rFonts w:cs="Times New Roman"/>
          <w:szCs w:val="22"/>
          <w:lang w:val="en-US"/>
        </w:rPr>
        <w:t xml:space="preserve"> is ‘Window Wall: Non-</w:t>
      </w:r>
      <w:r w:rsidR="00CB0097">
        <w:rPr>
          <w:rFonts w:cs="Times New Roman"/>
          <w:szCs w:val="22"/>
          <w:lang w:val="en-US"/>
        </w:rPr>
        <w:t>d</w:t>
      </w:r>
      <w:r>
        <w:rPr>
          <w:rFonts w:cs="Times New Roman"/>
          <w:szCs w:val="22"/>
          <w:lang w:val="en-US"/>
        </w:rPr>
        <w:t xml:space="preserve">ucted </w:t>
      </w:r>
      <w:r w:rsidR="00CB0097">
        <w:rPr>
          <w:rFonts w:cs="Times New Roman"/>
          <w:szCs w:val="22"/>
          <w:lang w:val="en-US"/>
        </w:rPr>
        <w:t>u</w:t>
      </w:r>
      <w:r>
        <w:rPr>
          <w:rFonts w:cs="Times New Roman"/>
          <w:szCs w:val="22"/>
          <w:lang w:val="en-US"/>
        </w:rPr>
        <w:t xml:space="preserve">nitary &lt;10kWr, distinguishing this </w:t>
      </w:r>
      <w:r w:rsidR="00F863A5">
        <w:rPr>
          <w:rFonts w:cs="Times New Roman"/>
          <w:szCs w:val="22"/>
          <w:lang w:val="en-US"/>
        </w:rPr>
        <w:t>product category</w:t>
      </w:r>
      <w:r>
        <w:rPr>
          <w:rFonts w:cs="Times New Roman"/>
          <w:szCs w:val="22"/>
          <w:lang w:val="en-US"/>
        </w:rPr>
        <w:t xml:space="preserve"> from </w:t>
      </w:r>
      <w:r w:rsidR="0037474F">
        <w:rPr>
          <w:rFonts w:cs="Times New Roman"/>
          <w:szCs w:val="22"/>
          <w:lang w:val="en-US"/>
        </w:rPr>
        <w:t xml:space="preserve">the AC2 Segment </w:t>
      </w:r>
      <w:r>
        <w:rPr>
          <w:rFonts w:cs="Times New Roman"/>
          <w:szCs w:val="22"/>
          <w:lang w:val="en-US"/>
        </w:rPr>
        <w:t>because all of the elements of the vapor compression refrigeration system are integrated into a single device.</w:t>
      </w:r>
      <w:r w:rsidR="00FB3D0B">
        <w:rPr>
          <w:rFonts w:cs="Times New Roman"/>
          <w:szCs w:val="22"/>
          <w:lang w:val="en-US"/>
        </w:rPr>
        <w:t xml:space="preserve"> Portable air conditioners are in the same </w:t>
      </w:r>
      <w:r w:rsidR="00FE74F2">
        <w:rPr>
          <w:rFonts w:cs="Times New Roman"/>
          <w:szCs w:val="22"/>
          <w:lang w:val="en-US"/>
        </w:rPr>
        <w:t>segment</w:t>
      </w:r>
      <w:r w:rsidR="00FB3D0B">
        <w:rPr>
          <w:rFonts w:cs="Times New Roman"/>
          <w:szCs w:val="22"/>
          <w:lang w:val="en-US"/>
        </w:rPr>
        <w:t xml:space="preserve"> as window wall units as they are also sealed unit (i.e. self-contained) and </w:t>
      </w:r>
      <w:r w:rsidR="0037474F">
        <w:rPr>
          <w:rFonts w:cs="Times New Roman"/>
          <w:szCs w:val="22"/>
          <w:lang w:val="en-US"/>
        </w:rPr>
        <w:t>with</w:t>
      </w:r>
      <w:r w:rsidR="00FB3D0B">
        <w:rPr>
          <w:rFonts w:cs="Times New Roman"/>
          <w:szCs w:val="22"/>
          <w:lang w:val="en-US"/>
        </w:rPr>
        <w:t xml:space="preserve"> similar </w:t>
      </w:r>
      <w:r w:rsidR="0037474F">
        <w:rPr>
          <w:rFonts w:cs="Times New Roman"/>
          <w:szCs w:val="22"/>
          <w:lang w:val="en-US"/>
        </w:rPr>
        <w:t xml:space="preserve">refrigerating </w:t>
      </w:r>
      <w:r w:rsidR="00FB3D0B">
        <w:rPr>
          <w:rFonts w:cs="Times New Roman"/>
          <w:szCs w:val="22"/>
          <w:lang w:val="en-US"/>
        </w:rPr>
        <w:t>capacities.</w:t>
      </w:r>
    </w:p>
    <w:p w14:paraId="6E2351D3" w14:textId="64F0673C" w:rsidR="00725D12" w:rsidRDefault="00FB3D0B" w:rsidP="004D19DE">
      <w:pPr>
        <w:rPr>
          <w:rFonts w:cs="Times New Roman"/>
          <w:szCs w:val="22"/>
          <w:lang w:val="en-US"/>
        </w:rPr>
      </w:pPr>
      <w:r>
        <w:rPr>
          <w:rFonts w:cs="Times New Roman"/>
          <w:szCs w:val="22"/>
          <w:lang w:val="en-US"/>
        </w:rPr>
        <w:t xml:space="preserve">Some </w:t>
      </w:r>
      <w:r w:rsidR="009E69CD">
        <w:rPr>
          <w:rFonts w:cs="Times New Roman"/>
          <w:szCs w:val="22"/>
          <w:lang w:val="en-US"/>
        </w:rPr>
        <w:t>numerous</w:t>
      </w:r>
      <w:r>
        <w:rPr>
          <w:rFonts w:cs="Times New Roman"/>
          <w:szCs w:val="22"/>
          <w:lang w:val="en-US"/>
        </w:rPr>
        <w:t xml:space="preserve"> equipment types </w:t>
      </w:r>
      <w:r w:rsidR="00F41DE1">
        <w:rPr>
          <w:rFonts w:cs="Times New Roman"/>
          <w:szCs w:val="22"/>
          <w:lang w:val="en-US"/>
        </w:rPr>
        <w:t xml:space="preserve">have two </w:t>
      </w:r>
      <w:r w:rsidR="00CB0097">
        <w:rPr>
          <w:rFonts w:cs="Times New Roman"/>
          <w:szCs w:val="22"/>
          <w:lang w:val="en-US"/>
        </w:rPr>
        <w:t>p</w:t>
      </w:r>
      <w:r w:rsidR="00F41DE1">
        <w:rPr>
          <w:rFonts w:cs="Times New Roman"/>
          <w:szCs w:val="22"/>
          <w:lang w:val="en-US"/>
        </w:rPr>
        <w:t xml:space="preserve">roduct </w:t>
      </w:r>
      <w:r w:rsidR="00CB0097">
        <w:rPr>
          <w:rFonts w:cs="Times New Roman"/>
          <w:szCs w:val="22"/>
          <w:lang w:val="en-US"/>
        </w:rPr>
        <w:t>c</w:t>
      </w:r>
      <w:r w:rsidR="00F41DE1">
        <w:rPr>
          <w:rFonts w:cs="Times New Roman"/>
          <w:szCs w:val="22"/>
          <w:lang w:val="en-US"/>
        </w:rPr>
        <w:t>ategories, f</w:t>
      </w:r>
      <w:r w:rsidR="00725D12">
        <w:rPr>
          <w:rFonts w:cs="Times New Roman"/>
          <w:szCs w:val="22"/>
          <w:lang w:val="en-US"/>
        </w:rPr>
        <w:t>or instance</w:t>
      </w:r>
      <w:r w:rsidR="00F41DE1">
        <w:rPr>
          <w:rFonts w:cs="Times New Roman"/>
          <w:szCs w:val="22"/>
          <w:lang w:val="en-US"/>
        </w:rPr>
        <w:t>:</w:t>
      </w:r>
    </w:p>
    <w:p w14:paraId="11888A19" w14:textId="36626C54" w:rsidR="00725D12" w:rsidRPr="007A5540" w:rsidRDefault="00725D12" w:rsidP="007A5540">
      <w:pPr>
        <w:pStyle w:val="ListParagraph"/>
        <w:numPr>
          <w:ilvl w:val="0"/>
          <w:numId w:val="9"/>
        </w:numPr>
        <w:spacing w:before="120" w:after="0" w:line="240" w:lineRule="auto"/>
        <w:ind w:left="357" w:hanging="357"/>
        <w:contextualSpacing w:val="0"/>
        <w:jc w:val="both"/>
        <w:rPr>
          <w:rFonts w:ascii="Times New Roman" w:hAnsi="Times New Roman"/>
        </w:rPr>
      </w:pPr>
      <w:r w:rsidRPr="007A5540">
        <w:rPr>
          <w:rFonts w:ascii="Times New Roman" w:hAnsi="Times New Roman"/>
        </w:rPr>
        <w:t xml:space="preserve">‘Single </w:t>
      </w:r>
      <w:r w:rsidR="00CB0097">
        <w:rPr>
          <w:rFonts w:ascii="Times New Roman" w:hAnsi="Times New Roman"/>
        </w:rPr>
        <w:t>s</w:t>
      </w:r>
      <w:r w:rsidRPr="007A5540">
        <w:rPr>
          <w:rFonts w:ascii="Times New Roman" w:hAnsi="Times New Roman"/>
        </w:rPr>
        <w:t xml:space="preserve">plit: Ducted </w:t>
      </w:r>
      <w:r w:rsidR="00CB0097">
        <w:rPr>
          <w:rFonts w:ascii="Times New Roman" w:hAnsi="Times New Roman"/>
        </w:rPr>
        <w:t>s</w:t>
      </w:r>
      <w:r w:rsidRPr="007A5540">
        <w:rPr>
          <w:rFonts w:ascii="Times New Roman" w:hAnsi="Times New Roman"/>
        </w:rPr>
        <w:t xml:space="preserve">ingle </w:t>
      </w:r>
      <w:r w:rsidR="00CB0097">
        <w:rPr>
          <w:rFonts w:ascii="Times New Roman" w:hAnsi="Times New Roman"/>
        </w:rPr>
        <w:t>p</w:t>
      </w:r>
      <w:r w:rsidRPr="007A5540">
        <w:rPr>
          <w:rFonts w:ascii="Times New Roman" w:hAnsi="Times New Roman"/>
        </w:rPr>
        <w:t>hase (AC</w:t>
      </w:r>
      <w:r w:rsidR="00F41DE1">
        <w:rPr>
          <w:rFonts w:ascii="Times New Roman" w:hAnsi="Times New Roman"/>
        </w:rPr>
        <w:t>3</w:t>
      </w:r>
      <w:r w:rsidRPr="007A5540">
        <w:rPr>
          <w:rFonts w:ascii="Times New Roman" w:hAnsi="Times New Roman"/>
        </w:rPr>
        <w:t xml:space="preserve">-1); and </w:t>
      </w:r>
    </w:p>
    <w:p w14:paraId="1796D99F" w14:textId="75B54EB2" w:rsidR="00FD58C2" w:rsidRPr="007A5540" w:rsidRDefault="00CB0097" w:rsidP="007A5540">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rPr>
        <w:t>‘Single s</w:t>
      </w:r>
      <w:r w:rsidR="00725D12" w:rsidRPr="007A5540">
        <w:rPr>
          <w:rFonts w:ascii="Times New Roman" w:hAnsi="Times New Roman"/>
        </w:rPr>
        <w:t xml:space="preserve">plit: Ducted </w:t>
      </w:r>
      <w:r>
        <w:rPr>
          <w:rFonts w:ascii="Times New Roman" w:hAnsi="Times New Roman"/>
        </w:rPr>
        <w:t>t</w:t>
      </w:r>
      <w:r w:rsidR="00725D12" w:rsidRPr="007A5540">
        <w:rPr>
          <w:rFonts w:ascii="Times New Roman" w:hAnsi="Times New Roman"/>
        </w:rPr>
        <w:t xml:space="preserve">hree </w:t>
      </w:r>
      <w:r>
        <w:rPr>
          <w:rFonts w:ascii="Times New Roman" w:hAnsi="Times New Roman"/>
        </w:rPr>
        <w:t>p</w:t>
      </w:r>
      <w:r w:rsidR="00725D12" w:rsidRPr="007A5540">
        <w:rPr>
          <w:rFonts w:ascii="Times New Roman" w:hAnsi="Times New Roman"/>
        </w:rPr>
        <w:t>hase (AC</w:t>
      </w:r>
      <w:r w:rsidR="00F41DE1">
        <w:rPr>
          <w:rFonts w:ascii="Times New Roman" w:hAnsi="Times New Roman"/>
        </w:rPr>
        <w:t>3</w:t>
      </w:r>
      <w:r w:rsidR="00725D12" w:rsidRPr="007A5540">
        <w:rPr>
          <w:rFonts w:ascii="Times New Roman" w:hAnsi="Times New Roman"/>
        </w:rPr>
        <w:t>-</w:t>
      </w:r>
      <w:r w:rsidR="00F41DE1">
        <w:rPr>
          <w:rFonts w:ascii="Times New Roman" w:hAnsi="Times New Roman"/>
        </w:rPr>
        <w:t>2</w:t>
      </w:r>
      <w:r w:rsidR="00725D12" w:rsidRPr="007A5540">
        <w:rPr>
          <w:rFonts w:ascii="Times New Roman" w:hAnsi="Times New Roman"/>
        </w:rPr>
        <w:t>)</w:t>
      </w:r>
      <w:r w:rsidR="009E69CD">
        <w:rPr>
          <w:rFonts w:ascii="Times New Roman" w:hAnsi="Times New Roman"/>
        </w:rPr>
        <w:t>.</w:t>
      </w:r>
    </w:p>
    <w:p w14:paraId="0396DA5C" w14:textId="4596FDC1" w:rsidR="00E46BF0" w:rsidRDefault="0026041C" w:rsidP="00E46BF0">
      <w:pPr>
        <w:rPr>
          <w:lang w:val="en-US"/>
        </w:rPr>
      </w:pPr>
      <w:r>
        <w:rPr>
          <w:lang w:val="en-US"/>
        </w:rPr>
        <w:t>T</w:t>
      </w:r>
      <w:r w:rsidR="00CB0097">
        <w:rPr>
          <w:lang w:val="en-US"/>
        </w:rPr>
        <w:t>he two p</w:t>
      </w:r>
      <w:r w:rsidR="00FD58C2">
        <w:rPr>
          <w:lang w:val="en-US"/>
        </w:rPr>
        <w:t xml:space="preserve">roduct </w:t>
      </w:r>
      <w:r w:rsidR="00CB0097">
        <w:rPr>
          <w:lang w:val="en-US"/>
        </w:rPr>
        <w:t>c</w:t>
      </w:r>
      <w:r w:rsidR="00FD58C2">
        <w:rPr>
          <w:lang w:val="en-US"/>
        </w:rPr>
        <w:t>ategories AC</w:t>
      </w:r>
      <w:r w:rsidR="00F41DE1">
        <w:rPr>
          <w:lang w:val="en-US"/>
        </w:rPr>
        <w:t>3</w:t>
      </w:r>
      <w:r w:rsidR="00FD58C2">
        <w:rPr>
          <w:lang w:val="en-US"/>
        </w:rPr>
        <w:t>-1 and AC</w:t>
      </w:r>
      <w:r w:rsidR="00F41DE1">
        <w:rPr>
          <w:lang w:val="en-US"/>
        </w:rPr>
        <w:t>3</w:t>
      </w:r>
      <w:r w:rsidR="00FD58C2">
        <w:rPr>
          <w:lang w:val="en-US"/>
        </w:rPr>
        <w:t>-2 are distin</w:t>
      </w:r>
      <w:r w:rsidR="00453BB7">
        <w:rPr>
          <w:lang w:val="en-US"/>
        </w:rPr>
        <w:t>g</w:t>
      </w:r>
      <w:r w:rsidR="00FD58C2">
        <w:rPr>
          <w:lang w:val="en-US"/>
        </w:rPr>
        <w:t xml:space="preserve">uished by </w:t>
      </w:r>
      <w:r w:rsidR="00915574">
        <w:rPr>
          <w:lang w:val="en-US"/>
        </w:rPr>
        <w:t xml:space="preserve">whether </w:t>
      </w:r>
      <w:r w:rsidR="00FD58C2">
        <w:rPr>
          <w:lang w:val="en-US"/>
        </w:rPr>
        <w:t xml:space="preserve">the equipment </w:t>
      </w:r>
      <w:r w:rsidR="0037474F">
        <w:rPr>
          <w:lang w:val="en-US"/>
        </w:rPr>
        <w:t>can be</w:t>
      </w:r>
      <w:r w:rsidR="00FD58C2">
        <w:rPr>
          <w:lang w:val="en-US"/>
        </w:rPr>
        <w:t xml:space="preserve"> connected to single phase or three phase power. In this instance this distinction provides a direct correlation to the capacity of the compressors used and thus the refrigerating capacity range of the products in each </w:t>
      </w:r>
      <w:r w:rsidR="00F863A5">
        <w:rPr>
          <w:lang w:val="en-US"/>
        </w:rPr>
        <w:t>product category</w:t>
      </w:r>
      <w:r w:rsidR="00FD58C2">
        <w:rPr>
          <w:lang w:val="en-US"/>
        </w:rPr>
        <w:t>.</w:t>
      </w:r>
    </w:p>
    <w:p w14:paraId="0AB952D1" w14:textId="2C80BE0C" w:rsidR="00F77495" w:rsidRPr="00FD58C2" w:rsidRDefault="00446D5E" w:rsidP="00E46BF0">
      <w:pPr>
        <w:rPr>
          <w:lang w:val="en-US"/>
        </w:rPr>
      </w:pPr>
      <w:r w:rsidRPr="00FD58C2">
        <w:rPr>
          <w:lang w:val="en-US"/>
        </w:rPr>
        <w:t xml:space="preserve">Not all </w:t>
      </w:r>
      <w:r w:rsidR="00F863A5">
        <w:rPr>
          <w:lang w:val="en-US"/>
        </w:rPr>
        <w:t>product category</w:t>
      </w:r>
      <w:r w:rsidRPr="00FD58C2">
        <w:rPr>
          <w:lang w:val="en-US"/>
        </w:rPr>
        <w:t xml:space="preserve"> allocations </w:t>
      </w:r>
      <w:r w:rsidR="00F77495" w:rsidRPr="00FD58C2">
        <w:rPr>
          <w:lang w:val="en-US"/>
        </w:rPr>
        <w:t>may appear an obvious fit on first inspection. For i</w:t>
      </w:r>
      <w:r w:rsidR="00453BB7">
        <w:rPr>
          <w:lang w:val="en-US"/>
        </w:rPr>
        <w:t>n</w:t>
      </w:r>
      <w:r w:rsidR="00F77495" w:rsidRPr="00FD58C2">
        <w:rPr>
          <w:lang w:val="en-US"/>
        </w:rPr>
        <w:t>stance i</w:t>
      </w:r>
      <w:r w:rsidRPr="00FD58C2">
        <w:rPr>
          <w:lang w:val="en-US"/>
        </w:rPr>
        <w:t xml:space="preserve">n the </w:t>
      </w:r>
      <w:r w:rsidR="00CB0097">
        <w:rPr>
          <w:lang w:val="en-US"/>
        </w:rPr>
        <w:t>l</w:t>
      </w:r>
      <w:r w:rsidRPr="00FD58C2">
        <w:rPr>
          <w:lang w:val="en-US"/>
        </w:rPr>
        <w:t xml:space="preserve">ight </w:t>
      </w:r>
      <w:r w:rsidR="00CB0097">
        <w:rPr>
          <w:lang w:val="en-US"/>
        </w:rPr>
        <w:t>c</w:t>
      </w:r>
      <w:r w:rsidRPr="00FD58C2">
        <w:rPr>
          <w:lang w:val="en-US"/>
        </w:rPr>
        <w:t xml:space="preserve">ommercial </w:t>
      </w:r>
      <w:r w:rsidR="00CB0097">
        <w:rPr>
          <w:lang w:val="en-US"/>
        </w:rPr>
        <w:t>s</w:t>
      </w:r>
      <w:r w:rsidRPr="00FD58C2">
        <w:rPr>
          <w:lang w:val="en-US"/>
        </w:rPr>
        <w:t xml:space="preserve">egment (AC6) of </w:t>
      </w:r>
      <w:r w:rsidR="00CB0097">
        <w:rPr>
          <w:lang w:val="en-US"/>
        </w:rPr>
        <w:t>s</w:t>
      </w:r>
      <w:r w:rsidRPr="00FD58C2">
        <w:rPr>
          <w:lang w:val="en-US"/>
        </w:rPr>
        <w:t xml:space="preserve">tationary </w:t>
      </w:r>
      <w:r w:rsidR="00CB0097">
        <w:rPr>
          <w:lang w:val="en-US"/>
        </w:rPr>
        <w:t>a</w:t>
      </w:r>
      <w:r w:rsidRPr="00FD58C2">
        <w:rPr>
          <w:lang w:val="en-US"/>
        </w:rPr>
        <w:t xml:space="preserve">ir </w:t>
      </w:r>
      <w:r w:rsidR="00CB0097">
        <w:rPr>
          <w:lang w:val="en-US"/>
        </w:rPr>
        <w:t>c</w:t>
      </w:r>
      <w:r w:rsidRPr="00FD58C2">
        <w:rPr>
          <w:lang w:val="en-US"/>
        </w:rPr>
        <w:t>onditioning</w:t>
      </w:r>
      <w:r w:rsidR="00F77495" w:rsidRPr="00FD58C2">
        <w:rPr>
          <w:lang w:val="en-US"/>
        </w:rPr>
        <w:t xml:space="preserve"> there are five </w:t>
      </w:r>
      <w:r w:rsidR="00CB0097">
        <w:rPr>
          <w:lang w:val="en-US"/>
        </w:rPr>
        <w:t>p</w:t>
      </w:r>
      <w:r w:rsidR="00F77495" w:rsidRPr="00FD58C2">
        <w:rPr>
          <w:lang w:val="en-US"/>
        </w:rPr>
        <w:t xml:space="preserve">roduct </w:t>
      </w:r>
      <w:r w:rsidR="00CB0097">
        <w:rPr>
          <w:lang w:val="en-US"/>
        </w:rPr>
        <w:t>c</w:t>
      </w:r>
      <w:r w:rsidR="00F77495" w:rsidRPr="00FD58C2">
        <w:rPr>
          <w:lang w:val="en-US"/>
        </w:rPr>
        <w:t xml:space="preserve">ategories including AC6-5 </w:t>
      </w:r>
      <w:r w:rsidR="00CB0097">
        <w:rPr>
          <w:lang w:val="en-US"/>
        </w:rPr>
        <w:t>p</w:t>
      </w:r>
      <w:r w:rsidR="00F77495" w:rsidRPr="00FD58C2">
        <w:rPr>
          <w:lang w:val="en-US"/>
        </w:rPr>
        <w:t xml:space="preserve">ool </w:t>
      </w:r>
      <w:r w:rsidR="00CB0097">
        <w:rPr>
          <w:lang w:val="en-US"/>
        </w:rPr>
        <w:t>h</w:t>
      </w:r>
      <w:r w:rsidR="00F77495" w:rsidRPr="00FD58C2">
        <w:rPr>
          <w:lang w:val="en-US"/>
        </w:rPr>
        <w:t xml:space="preserve">eat </w:t>
      </w:r>
      <w:r w:rsidR="00CB0097">
        <w:rPr>
          <w:lang w:val="en-US"/>
        </w:rPr>
        <w:t>p</w:t>
      </w:r>
      <w:r w:rsidR="00F77495" w:rsidRPr="00FD58C2">
        <w:rPr>
          <w:lang w:val="en-US"/>
        </w:rPr>
        <w:t xml:space="preserve">ump as the last </w:t>
      </w:r>
      <w:r w:rsidR="00CB0097">
        <w:rPr>
          <w:lang w:val="en-US"/>
        </w:rPr>
        <w:t>product in the s</w:t>
      </w:r>
      <w:r w:rsidR="00F77495" w:rsidRPr="00FD58C2">
        <w:rPr>
          <w:lang w:val="en-US"/>
        </w:rPr>
        <w:t xml:space="preserve">egment. </w:t>
      </w:r>
      <w:r w:rsidR="009E69CD">
        <w:rPr>
          <w:lang w:val="en-US"/>
        </w:rPr>
        <w:t>T</w:t>
      </w:r>
      <w:r w:rsidR="00F77495" w:rsidRPr="00FD58C2">
        <w:rPr>
          <w:lang w:val="en-US"/>
        </w:rPr>
        <w:t xml:space="preserve">his </w:t>
      </w:r>
      <w:r w:rsidR="00FE74F2">
        <w:rPr>
          <w:lang w:val="en-US"/>
        </w:rPr>
        <w:t>p</w:t>
      </w:r>
      <w:r w:rsidR="00FE74F2" w:rsidRPr="00FD58C2">
        <w:rPr>
          <w:lang w:val="en-US"/>
        </w:rPr>
        <w:t>roduct</w:t>
      </w:r>
      <w:r w:rsidR="00F77495" w:rsidRPr="00FD58C2">
        <w:rPr>
          <w:lang w:val="en-US"/>
        </w:rPr>
        <w:t xml:space="preserve"> has been classified in the selected </w:t>
      </w:r>
      <w:r w:rsidR="009E69CD">
        <w:rPr>
          <w:lang w:val="en-US"/>
        </w:rPr>
        <w:t>l</w:t>
      </w:r>
      <w:r w:rsidR="00F77495" w:rsidRPr="00FD58C2">
        <w:rPr>
          <w:lang w:val="en-US"/>
        </w:rPr>
        <w:t xml:space="preserve">ight </w:t>
      </w:r>
      <w:r w:rsidR="009E69CD">
        <w:rPr>
          <w:lang w:val="en-US"/>
        </w:rPr>
        <w:t>c</w:t>
      </w:r>
      <w:r w:rsidR="00F77495" w:rsidRPr="00FD58C2">
        <w:rPr>
          <w:lang w:val="en-US"/>
        </w:rPr>
        <w:t xml:space="preserve">ommercial </w:t>
      </w:r>
      <w:r w:rsidR="009E69CD">
        <w:rPr>
          <w:lang w:val="en-US"/>
        </w:rPr>
        <w:t>s</w:t>
      </w:r>
      <w:r w:rsidR="00F77495" w:rsidRPr="00FD58C2">
        <w:rPr>
          <w:lang w:val="en-US"/>
        </w:rPr>
        <w:t xml:space="preserve">egment because in terms of electrical capacity, functional design, refrigerant type, refrigerant charge size and energy service delivered, it is effectively </w:t>
      </w:r>
      <w:r w:rsidR="00E01839">
        <w:rPr>
          <w:lang w:val="en-US"/>
        </w:rPr>
        <w:t xml:space="preserve">similar to other products in the </w:t>
      </w:r>
      <w:r w:rsidR="009E69CD">
        <w:rPr>
          <w:lang w:val="en-US"/>
        </w:rPr>
        <w:t>s</w:t>
      </w:r>
      <w:r w:rsidR="00E01839">
        <w:rPr>
          <w:lang w:val="en-US"/>
        </w:rPr>
        <w:t>egment.</w:t>
      </w:r>
      <w:r w:rsidR="00F77495" w:rsidRPr="00FD58C2">
        <w:rPr>
          <w:lang w:val="en-US"/>
        </w:rPr>
        <w:t xml:space="preserve"> </w:t>
      </w:r>
    </w:p>
    <w:p w14:paraId="321E6C13" w14:textId="112BBE86" w:rsidR="00F77495" w:rsidRDefault="00F77495" w:rsidP="00725D12">
      <w:pPr>
        <w:rPr>
          <w:lang w:val="en-US"/>
        </w:rPr>
      </w:pPr>
      <w:r>
        <w:rPr>
          <w:lang w:val="en-US"/>
        </w:rPr>
        <w:t xml:space="preserve">Due </w:t>
      </w:r>
      <w:r w:rsidR="00102AB2">
        <w:rPr>
          <w:lang w:val="en-US"/>
        </w:rPr>
        <w:t>to</w:t>
      </w:r>
      <w:r>
        <w:rPr>
          <w:lang w:val="en-US"/>
        </w:rPr>
        <w:t xml:space="preserve"> the ubiquitous reach of RAC </w:t>
      </w:r>
      <w:r w:rsidR="00CB0097">
        <w:rPr>
          <w:lang w:val="en-US"/>
        </w:rPr>
        <w:t>technology there are also some segments and product c</w:t>
      </w:r>
      <w:r>
        <w:rPr>
          <w:lang w:val="en-US"/>
        </w:rPr>
        <w:t xml:space="preserve">ategories that include some ‘miscellaneous’ and ‘other’ descriptions, for instance in </w:t>
      </w:r>
      <w:r w:rsidR="00CB0097">
        <w:rPr>
          <w:lang w:val="en-US"/>
        </w:rPr>
        <w:t>the m</w:t>
      </w:r>
      <w:r w:rsidR="00DE6E15">
        <w:rPr>
          <w:lang w:val="en-US"/>
        </w:rPr>
        <w:t xml:space="preserve">obile </w:t>
      </w:r>
      <w:r w:rsidR="00CB0097">
        <w:rPr>
          <w:lang w:val="en-US"/>
        </w:rPr>
        <w:t>a</w:t>
      </w:r>
      <w:r w:rsidR="00DE6E15">
        <w:rPr>
          <w:lang w:val="en-US"/>
        </w:rPr>
        <w:t xml:space="preserve">ir </w:t>
      </w:r>
      <w:r w:rsidR="00CB0097">
        <w:rPr>
          <w:lang w:val="en-US"/>
        </w:rPr>
        <w:t>c</w:t>
      </w:r>
      <w:r w:rsidR="00DE6E15">
        <w:rPr>
          <w:lang w:val="en-US"/>
        </w:rPr>
        <w:t xml:space="preserve">onditioning </w:t>
      </w:r>
      <w:r w:rsidR="00CB0097">
        <w:rPr>
          <w:lang w:val="en-US"/>
        </w:rPr>
        <w:t>c</w:t>
      </w:r>
      <w:r w:rsidR="00DE6E15">
        <w:rPr>
          <w:lang w:val="en-US"/>
        </w:rPr>
        <w:t xml:space="preserve">lass, in the </w:t>
      </w:r>
      <w:r w:rsidR="00CB0097">
        <w:rPr>
          <w:lang w:val="en-US"/>
        </w:rPr>
        <w:t>large m</w:t>
      </w:r>
      <w:r>
        <w:rPr>
          <w:lang w:val="en-US"/>
        </w:rPr>
        <w:t xml:space="preserve">obile </w:t>
      </w:r>
      <w:r w:rsidR="00CB0097">
        <w:rPr>
          <w:lang w:val="en-US"/>
        </w:rPr>
        <w:t>a</w:t>
      </w:r>
      <w:r>
        <w:rPr>
          <w:lang w:val="en-US"/>
        </w:rPr>
        <w:t xml:space="preserve">ir </w:t>
      </w:r>
      <w:r w:rsidR="00CB0097">
        <w:rPr>
          <w:lang w:val="en-US"/>
        </w:rPr>
        <w:t>c</w:t>
      </w:r>
      <w:r>
        <w:rPr>
          <w:lang w:val="en-US"/>
        </w:rPr>
        <w:t xml:space="preserve">onditioning </w:t>
      </w:r>
      <w:r w:rsidR="00CB0097">
        <w:rPr>
          <w:lang w:val="en-US"/>
        </w:rPr>
        <w:t>s</w:t>
      </w:r>
      <w:r w:rsidR="00DE6E15">
        <w:rPr>
          <w:lang w:val="en-US"/>
        </w:rPr>
        <w:t xml:space="preserve">egment, several </w:t>
      </w:r>
      <w:r w:rsidR="00CB0097">
        <w:rPr>
          <w:lang w:val="en-US"/>
        </w:rPr>
        <w:t>p</w:t>
      </w:r>
      <w:r w:rsidR="00DE6E15">
        <w:rPr>
          <w:lang w:val="en-US"/>
        </w:rPr>
        <w:t xml:space="preserve">roduct </w:t>
      </w:r>
      <w:r w:rsidR="00CB0097">
        <w:rPr>
          <w:lang w:val="en-US"/>
        </w:rPr>
        <w:t>c</w:t>
      </w:r>
      <w:r w:rsidR="00DE6E15">
        <w:rPr>
          <w:lang w:val="en-US"/>
        </w:rPr>
        <w:t>ategories are listed that include registered shipping and aircraft, locomotives and caravans. Obviously while the physical formats and even the refrigerant</w:t>
      </w:r>
      <w:r w:rsidR="009228B2">
        <w:rPr>
          <w:lang w:val="en-US"/>
        </w:rPr>
        <w:t>s</w:t>
      </w:r>
      <w:r w:rsidR="00DE6E15">
        <w:rPr>
          <w:lang w:val="en-US"/>
        </w:rPr>
        <w:t xml:space="preserve"> used are likely to be very different across these diverse applications, all of these </w:t>
      </w:r>
      <w:r w:rsidR="00CB0097">
        <w:rPr>
          <w:lang w:val="en-US"/>
        </w:rPr>
        <w:t>p</w:t>
      </w:r>
      <w:r w:rsidR="00DE6E15">
        <w:rPr>
          <w:lang w:val="en-US"/>
        </w:rPr>
        <w:t xml:space="preserve">roduct </w:t>
      </w:r>
      <w:r w:rsidR="00CB0097">
        <w:rPr>
          <w:lang w:val="en-US"/>
        </w:rPr>
        <w:t>c</w:t>
      </w:r>
      <w:r w:rsidR="00DE6E15">
        <w:rPr>
          <w:lang w:val="en-US"/>
        </w:rPr>
        <w:t>ategories are defined by their end use in mobile systems.</w:t>
      </w:r>
    </w:p>
    <w:p w14:paraId="03B42B1E" w14:textId="1A6F7A8B" w:rsidR="00DE6E15" w:rsidRPr="00725D12" w:rsidRDefault="00DE6E15" w:rsidP="00725D12">
      <w:pPr>
        <w:rPr>
          <w:lang w:val="en-US"/>
        </w:rPr>
      </w:pPr>
      <w:r>
        <w:rPr>
          <w:lang w:val="en-US"/>
        </w:rPr>
        <w:t xml:space="preserve">The </w:t>
      </w:r>
      <w:r w:rsidR="009B7F34">
        <w:rPr>
          <w:lang w:val="en-US"/>
        </w:rPr>
        <w:t xml:space="preserve">concept and framework of the </w:t>
      </w:r>
      <w:r w:rsidR="009E69CD">
        <w:rPr>
          <w:lang w:val="en-US"/>
        </w:rPr>
        <w:t>t</w:t>
      </w:r>
      <w:r w:rsidR="009B7F34">
        <w:rPr>
          <w:lang w:val="en-US"/>
        </w:rPr>
        <w:t>axonomy</w:t>
      </w:r>
      <w:r>
        <w:rPr>
          <w:lang w:val="en-US"/>
        </w:rPr>
        <w:t xml:space="preserve"> was developed in the early stages of researching and writing Cold Hard Facts </w:t>
      </w:r>
      <w:r w:rsidR="009B7F34">
        <w:rPr>
          <w:lang w:val="en-US"/>
        </w:rPr>
        <w:t>1</w:t>
      </w:r>
      <w:r>
        <w:rPr>
          <w:lang w:val="en-US"/>
        </w:rPr>
        <w:t xml:space="preserve"> in 20</w:t>
      </w:r>
      <w:r w:rsidR="009B7F34">
        <w:rPr>
          <w:lang w:val="en-US"/>
        </w:rPr>
        <w:t xml:space="preserve">06 and was then </w:t>
      </w:r>
      <w:r w:rsidR="00FE74F2">
        <w:rPr>
          <w:lang w:val="en-US"/>
        </w:rPr>
        <w:t>formalised</w:t>
      </w:r>
      <w:r w:rsidR="009B7F34">
        <w:rPr>
          <w:lang w:val="en-US"/>
        </w:rPr>
        <w:t xml:space="preserve"> and updated in 2013</w:t>
      </w:r>
      <w:r>
        <w:rPr>
          <w:lang w:val="en-US"/>
        </w:rPr>
        <w:t xml:space="preserve">. Since that time additional data has come to light, and indeed some large populations of RAC equipment that were essentially not </w:t>
      </w:r>
      <w:r w:rsidR="00FE74F2">
        <w:rPr>
          <w:lang w:val="en-US"/>
        </w:rPr>
        <w:t>recognised</w:t>
      </w:r>
      <w:r>
        <w:rPr>
          <w:lang w:val="en-US"/>
        </w:rPr>
        <w:t xml:space="preserve"> in 2012, that has required some changes </w:t>
      </w:r>
      <w:r w:rsidR="00E01839">
        <w:rPr>
          <w:lang w:val="en-US"/>
        </w:rPr>
        <w:t xml:space="preserve">to be </w:t>
      </w:r>
      <w:r>
        <w:rPr>
          <w:lang w:val="en-US"/>
        </w:rPr>
        <w:t xml:space="preserve">made to the </w:t>
      </w:r>
      <w:r w:rsidR="009E69CD">
        <w:rPr>
          <w:lang w:val="en-US"/>
        </w:rPr>
        <w:t>t</w:t>
      </w:r>
      <w:r>
        <w:rPr>
          <w:lang w:val="en-US"/>
        </w:rPr>
        <w:t xml:space="preserve">axonomy. The </w:t>
      </w:r>
      <w:r w:rsidR="009E69CD">
        <w:rPr>
          <w:lang w:val="en-US"/>
        </w:rPr>
        <w:t>t</w:t>
      </w:r>
      <w:r>
        <w:rPr>
          <w:lang w:val="en-US"/>
        </w:rPr>
        <w:t xml:space="preserve">axonomy below is the system of </w:t>
      </w:r>
      <w:r w:rsidR="00FE74F2">
        <w:rPr>
          <w:lang w:val="en-US"/>
        </w:rPr>
        <w:t>organising</w:t>
      </w:r>
      <w:r>
        <w:rPr>
          <w:lang w:val="en-US"/>
        </w:rPr>
        <w:t xml:space="preserve"> RAC technology that has been used in research and writing this report, Cold Hard Facts 3. </w:t>
      </w:r>
    </w:p>
    <w:p w14:paraId="1BAB4F5E" w14:textId="5DED5352" w:rsidR="006A0D0B" w:rsidRDefault="00971069" w:rsidP="004D19DE">
      <w:pPr>
        <w:rPr>
          <w:rFonts w:cs="Times New Roman"/>
          <w:szCs w:val="22"/>
          <w:lang w:val="en-US"/>
        </w:rPr>
      </w:pPr>
      <w:r>
        <w:rPr>
          <w:rFonts w:cs="Times New Roman"/>
          <w:szCs w:val="22"/>
          <w:lang w:val="en-US"/>
        </w:rPr>
        <w:t xml:space="preserve">Refer to </w:t>
      </w:r>
      <w:r w:rsidRPr="00971069">
        <w:rPr>
          <w:rFonts w:cs="Times New Roman"/>
          <w:i/>
          <w:szCs w:val="22"/>
          <w:lang w:val="en-US"/>
        </w:rPr>
        <w:t xml:space="preserve">Appendix </w:t>
      </w:r>
      <w:r w:rsidR="00CB0097">
        <w:rPr>
          <w:rFonts w:cs="Times New Roman"/>
          <w:i/>
          <w:szCs w:val="22"/>
          <w:lang w:val="en-US"/>
        </w:rPr>
        <w:t>B</w:t>
      </w:r>
      <w:r w:rsidRPr="00971069">
        <w:rPr>
          <w:rFonts w:cs="Times New Roman"/>
          <w:i/>
          <w:szCs w:val="22"/>
          <w:lang w:val="en-US"/>
        </w:rPr>
        <w:t>1: CHF3 Taxonomy</w:t>
      </w:r>
      <w:r>
        <w:rPr>
          <w:rFonts w:cs="Times New Roman"/>
          <w:szCs w:val="22"/>
          <w:lang w:val="en-US"/>
        </w:rPr>
        <w:t>.</w:t>
      </w:r>
    </w:p>
    <w:p w14:paraId="3D971A8C" w14:textId="20A4A4C5" w:rsidR="00CC5847" w:rsidRDefault="00CC5847" w:rsidP="004D19DE">
      <w:pPr>
        <w:rPr>
          <w:rFonts w:cs="Times New Roman"/>
          <w:szCs w:val="22"/>
          <w:highlight w:val="yellow"/>
          <w:lang w:val="en-US"/>
        </w:rPr>
      </w:pPr>
    </w:p>
    <w:p w14:paraId="4CE0B208" w14:textId="26EC0605" w:rsidR="00FF4A30" w:rsidRPr="00220AB1" w:rsidRDefault="006002E4" w:rsidP="003F0437">
      <w:pPr>
        <w:pStyle w:val="Heading2"/>
      </w:pPr>
      <w:bookmarkStart w:id="194" w:name="_Toc525141310"/>
      <w:r>
        <w:t>Data and a</w:t>
      </w:r>
      <w:r w:rsidR="003B28F3">
        <w:t>ssumptions</w:t>
      </w:r>
      <w:bookmarkEnd w:id="194"/>
    </w:p>
    <w:p w14:paraId="631AAEE0" w14:textId="41BCEBBB" w:rsidR="00FF4A30" w:rsidRPr="00FF4A30" w:rsidRDefault="00FF4A30" w:rsidP="00FF4A30">
      <w:pPr>
        <w:rPr>
          <w:rFonts w:cs="Times New Roman"/>
          <w:szCs w:val="22"/>
          <w:lang w:val="en-US"/>
        </w:rPr>
      </w:pPr>
      <w:r w:rsidRPr="00CB0097">
        <w:rPr>
          <w:rFonts w:cs="Times New Roman"/>
          <w:szCs w:val="22"/>
          <w:lang w:val="en-US"/>
        </w:rPr>
        <w:t xml:space="preserve">The data presented in this report has been derived from an extensive Excel workbook that has, at its core, a stock model of RAC </w:t>
      </w:r>
      <w:r w:rsidR="000A1186" w:rsidRPr="00CB0097">
        <w:rPr>
          <w:rFonts w:cs="Times New Roman"/>
          <w:szCs w:val="22"/>
          <w:lang w:val="en-US"/>
        </w:rPr>
        <w:t xml:space="preserve">equipment </w:t>
      </w:r>
      <w:r w:rsidRPr="00CB0097">
        <w:rPr>
          <w:rFonts w:cs="Times New Roman"/>
          <w:szCs w:val="22"/>
          <w:lang w:val="en-US"/>
        </w:rPr>
        <w:t>employed in Australia</w:t>
      </w:r>
      <w:r w:rsidR="0037474F" w:rsidRPr="00CB0097">
        <w:rPr>
          <w:rFonts w:cs="Times New Roman"/>
          <w:szCs w:val="22"/>
          <w:lang w:val="en-US"/>
        </w:rPr>
        <w:t xml:space="preserve"> </w:t>
      </w:r>
      <w:r w:rsidR="00FE74F2" w:rsidRPr="00CB0097">
        <w:rPr>
          <w:rFonts w:cs="Times New Roman"/>
          <w:szCs w:val="22"/>
          <w:lang w:val="en-US"/>
        </w:rPr>
        <w:t>organi</w:t>
      </w:r>
      <w:r w:rsidR="00FE74F2">
        <w:rPr>
          <w:rFonts w:cs="Times New Roman"/>
          <w:szCs w:val="22"/>
          <w:lang w:val="en-US"/>
        </w:rPr>
        <w:t>s</w:t>
      </w:r>
      <w:r w:rsidR="00FE74F2" w:rsidRPr="00CB0097">
        <w:rPr>
          <w:rFonts w:cs="Times New Roman"/>
          <w:szCs w:val="22"/>
          <w:lang w:val="en-US"/>
        </w:rPr>
        <w:t>ed</w:t>
      </w:r>
      <w:r w:rsidR="0037474F" w:rsidRPr="00CB0097">
        <w:rPr>
          <w:rFonts w:cs="Times New Roman"/>
          <w:szCs w:val="22"/>
          <w:lang w:val="en-US"/>
        </w:rPr>
        <w:t xml:space="preserve"> into a comprehensive taxonomy of equipment types, sizes and end</w:t>
      </w:r>
      <w:r w:rsidR="00496B73" w:rsidRPr="00CB0097">
        <w:rPr>
          <w:rFonts w:cs="Times New Roman"/>
          <w:szCs w:val="22"/>
          <w:lang w:val="en-US"/>
        </w:rPr>
        <w:t>-</w:t>
      </w:r>
      <w:r w:rsidR="0037474F" w:rsidRPr="00CB0097">
        <w:rPr>
          <w:rFonts w:cs="Times New Roman"/>
          <w:szCs w:val="22"/>
          <w:lang w:val="en-US"/>
        </w:rPr>
        <w:t>use applications. This model also reports</w:t>
      </w:r>
      <w:r w:rsidR="000A1186" w:rsidRPr="00CB0097">
        <w:rPr>
          <w:rFonts w:cs="Times New Roman"/>
          <w:szCs w:val="22"/>
          <w:lang w:val="en-US"/>
        </w:rPr>
        <w:t xml:space="preserve"> annual </w:t>
      </w:r>
      <w:r w:rsidR="00E46C29" w:rsidRPr="00CB0097">
        <w:rPr>
          <w:rFonts w:cs="Times New Roman"/>
          <w:szCs w:val="22"/>
          <w:lang w:val="en-US"/>
        </w:rPr>
        <w:t>usage</w:t>
      </w:r>
      <w:r w:rsidR="00CB0097" w:rsidRPr="00CB0097">
        <w:rPr>
          <w:rFonts w:cs="Times New Roman"/>
          <w:szCs w:val="22"/>
          <w:lang w:val="en-US"/>
        </w:rPr>
        <w:t xml:space="preserve">, </w:t>
      </w:r>
      <w:r w:rsidRPr="00CB0097">
        <w:rPr>
          <w:rFonts w:cs="Times New Roman"/>
          <w:szCs w:val="22"/>
          <w:lang w:val="en-US"/>
        </w:rPr>
        <w:t xml:space="preserve">consumption </w:t>
      </w:r>
      <w:r w:rsidR="00CB0097" w:rsidRPr="00CB0097">
        <w:rPr>
          <w:rFonts w:cs="Times New Roman"/>
          <w:szCs w:val="22"/>
          <w:lang w:val="en-US"/>
        </w:rPr>
        <w:t xml:space="preserve">and emissions </w:t>
      </w:r>
      <w:r w:rsidR="000C141D" w:rsidRPr="00CB0097">
        <w:rPr>
          <w:rFonts w:cs="Times New Roman"/>
          <w:szCs w:val="22"/>
          <w:lang w:val="en-US"/>
        </w:rPr>
        <w:t xml:space="preserve">of ODS and SGGs </w:t>
      </w:r>
      <w:r w:rsidRPr="00CB0097">
        <w:rPr>
          <w:rFonts w:cs="Times New Roman"/>
          <w:szCs w:val="22"/>
          <w:lang w:val="en-US"/>
        </w:rPr>
        <w:t xml:space="preserve">for </w:t>
      </w:r>
      <w:r w:rsidR="000A1186" w:rsidRPr="00CB0097">
        <w:rPr>
          <w:rFonts w:cs="Times New Roman"/>
          <w:szCs w:val="22"/>
          <w:lang w:val="en-US"/>
        </w:rPr>
        <w:t xml:space="preserve">non-refrigerating </w:t>
      </w:r>
      <w:r w:rsidRPr="00CB0097">
        <w:rPr>
          <w:rFonts w:cs="Times New Roman"/>
          <w:szCs w:val="22"/>
          <w:lang w:val="en-US"/>
        </w:rPr>
        <w:t>applications</w:t>
      </w:r>
      <w:r w:rsidR="00A02C8F">
        <w:rPr>
          <w:rFonts w:cs="Times New Roman"/>
          <w:szCs w:val="22"/>
          <w:lang w:val="en-US"/>
        </w:rPr>
        <w:t xml:space="preserve"> such as foam blowing, aerosols</w:t>
      </w:r>
      <w:r w:rsidR="009E69CD">
        <w:rPr>
          <w:rFonts w:cs="Times New Roman"/>
          <w:szCs w:val="22"/>
          <w:lang w:val="en-US"/>
        </w:rPr>
        <w:t>,</w:t>
      </w:r>
      <w:r w:rsidR="00A02C8F">
        <w:rPr>
          <w:rFonts w:cs="Times New Roman"/>
          <w:szCs w:val="22"/>
          <w:lang w:val="en-US"/>
        </w:rPr>
        <w:t xml:space="preserve"> and fire protection</w:t>
      </w:r>
      <w:r w:rsidRPr="00CB0097">
        <w:rPr>
          <w:rFonts w:cs="Times New Roman"/>
          <w:szCs w:val="22"/>
          <w:lang w:val="en-US"/>
        </w:rPr>
        <w:t>.</w:t>
      </w:r>
    </w:p>
    <w:p w14:paraId="452F56B8" w14:textId="3A8D3EF4" w:rsidR="00705CFC" w:rsidRDefault="00C93EFB" w:rsidP="00E7568C">
      <w:r>
        <w:t xml:space="preserve">In this report the </w:t>
      </w:r>
      <w:r w:rsidR="000A1186">
        <w:t xml:space="preserve">Expert Group RAC </w:t>
      </w:r>
      <w:r w:rsidR="000B6359" w:rsidRPr="000B6359">
        <w:t>Age-Cohort Mass Balance Stock Model</w:t>
      </w:r>
      <w:r>
        <w:t xml:space="preserve"> is referred to as the </w:t>
      </w:r>
      <w:r w:rsidR="00C45435">
        <w:t>RAC Stock model</w:t>
      </w:r>
      <w:r>
        <w:t>.</w:t>
      </w:r>
    </w:p>
    <w:p w14:paraId="366BBF84" w14:textId="441EA8CF" w:rsidR="00FF4A30" w:rsidRPr="00FF4A30" w:rsidRDefault="00FF4A30" w:rsidP="00E7568C">
      <w:pPr>
        <w:rPr>
          <w:rFonts w:cs="Times New Roman"/>
          <w:szCs w:val="22"/>
          <w:lang w:val="en-US"/>
        </w:rPr>
      </w:pPr>
      <w:r w:rsidRPr="00FF4A30">
        <w:t xml:space="preserve"> </w:t>
      </w:r>
    </w:p>
    <w:p w14:paraId="129C530C" w14:textId="77777777" w:rsidR="00FF4A30" w:rsidRPr="00114173" w:rsidRDefault="00FF4A30" w:rsidP="00262D4C">
      <w:pPr>
        <w:pStyle w:val="Heading3"/>
      </w:pPr>
      <w:bookmarkStart w:id="195" w:name="_Toc525141311"/>
      <w:r w:rsidRPr="00114173">
        <w:t>Data underlying the stock model</w:t>
      </w:r>
      <w:bookmarkEnd w:id="195"/>
    </w:p>
    <w:p w14:paraId="122AA3B1" w14:textId="27D39674" w:rsidR="00FF4A30" w:rsidRPr="00114173" w:rsidRDefault="00FF4A30" w:rsidP="00FF4A30">
      <w:pPr>
        <w:rPr>
          <w:rFonts w:cs="Times New Roman"/>
          <w:szCs w:val="22"/>
          <w:lang w:val="en-US"/>
        </w:rPr>
      </w:pPr>
      <w:r w:rsidRPr="00114173">
        <w:rPr>
          <w:rFonts w:cs="Times New Roman"/>
          <w:szCs w:val="22"/>
          <w:lang w:val="en-US"/>
        </w:rPr>
        <w:t>Th</w:t>
      </w:r>
      <w:r w:rsidR="000D7D0D">
        <w:rPr>
          <w:rFonts w:cs="Times New Roman"/>
          <w:szCs w:val="22"/>
          <w:lang w:val="en-US"/>
        </w:rPr>
        <w:t xml:space="preserve">e first version of the </w:t>
      </w:r>
      <w:r w:rsidR="00C45435">
        <w:rPr>
          <w:rFonts w:cs="Times New Roman"/>
          <w:szCs w:val="22"/>
          <w:lang w:val="en-US"/>
        </w:rPr>
        <w:t>RAC Stock model</w:t>
      </w:r>
      <w:r w:rsidRPr="00114173">
        <w:rPr>
          <w:rFonts w:cs="Times New Roman"/>
          <w:szCs w:val="22"/>
          <w:lang w:val="en-US"/>
        </w:rPr>
        <w:t xml:space="preserve"> was developed in 2006 during research for what became the first edition of Cold Hard Facts (CHF1). Primary data sources used for the construction of the </w:t>
      </w:r>
      <w:r>
        <w:rPr>
          <w:rFonts w:cs="Times New Roman"/>
          <w:szCs w:val="22"/>
          <w:lang w:val="en-US"/>
        </w:rPr>
        <w:t xml:space="preserve">original </w:t>
      </w:r>
      <w:r w:rsidRPr="00114173">
        <w:rPr>
          <w:rFonts w:cs="Times New Roman"/>
          <w:szCs w:val="22"/>
          <w:lang w:val="en-US"/>
        </w:rPr>
        <w:t>stock model included:</w:t>
      </w:r>
    </w:p>
    <w:p w14:paraId="08D676D9" w14:textId="77777777" w:rsidR="00FF4A30" w:rsidRPr="00E4085D"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E4085D">
        <w:rPr>
          <w:rFonts w:ascii="Times New Roman" w:hAnsi="Times New Roman"/>
          <w:lang w:val="en-US"/>
        </w:rPr>
        <w:t xml:space="preserve">Australian Customs </w:t>
      </w:r>
      <w:r>
        <w:rPr>
          <w:rFonts w:ascii="Times New Roman" w:hAnsi="Times New Roman"/>
          <w:lang w:val="en-US"/>
        </w:rPr>
        <w:t xml:space="preserve">import </w:t>
      </w:r>
      <w:r w:rsidRPr="00E4085D">
        <w:rPr>
          <w:rFonts w:ascii="Times New Roman" w:hAnsi="Times New Roman"/>
          <w:lang w:val="en-US"/>
        </w:rPr>
        <w:t xml:space="preserve">reports </w:t>
      </w:r>
      <w:r>
        <w:rPr>
          <w:rFonts w:ascii="Times New Roman" w:hAnsi="Times New Roman"/>
          <w:lang w:val="en-US"/>
        </w:rPr>
        <w:t xml:space="preserve">for </w:t>
      </w:r>
      <w:r w:rsidRPr="00E4085D">
        <w:rPr>
          <w:rFonts w:ascii="Times New Roman" w:hAnsi="Times New Roman"/>
          <w:lang w:val="en-US"/>
        </w:rPr>
        <w:t xml:space="preserve">various </w:t>
      </w:r>
      <w:r>
        <w:rPr>
          <w:rFonts w:ascii="Times New Roman" w:hAnsi="Times New Roman"/>
          <w:lang w:val="en-US"/>
        </w:rPr>
        <w:t xml:space="preserve">product </w:t>
      </w:r>
      <w:r w:rsidRPr="00E4085D">
        <w:rPr>
          <w:rFonts w:ascii="Times New Roman" w:hAnsi="Times New Roman"/>
          <w:lang w:val="en-US"/>
        </w:rPr>
        <w:t xml:space="preserve">categories </w:t>
      </w:r>
      <w:r>
        <w:rPr>
          <w:rFonts w:ascii="Times New Roman" w:hAnsi="Times New Roman"/>
          <w:lang w:val="en-US"/>
        </w:rPr>
        <w:t>(primarily air conditioning equipment by capacity, and some categories)</w:t>
      </w:r>
      <w:r w:rsidRPr="00E4085D">
        <w:rPr>
          <w:rFonts w:ascii="Times New Roman" w:hAnsi="Times New Roman"/>
          <w:lang w:val="en-US"/>
        </w:rPr>
        <w:t>;</w:t>
      </w:r>
    </w:p>
    <w:p w14:paraId="269A297E" w14:textId="5288FE63" w:rsidR="00FF4A30" w:rsidRPr="00E4085D"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E4085D">
        <w:rPr>
          <w:rFonts w:ascii="Times New Roman" w:hAnsi="Times New Roman"/>
          <w:lang w:val="en-US"/>
        </w:rPr>
        <w:t xml:space="preserve">Department of Environment Water Heritage and the Arts (DEWHA) </w:t>
      </w:r>
      <w:r w:rsidR="00453BB7" w:rsidRPr="00453BB7">
        <w:rPr>
          <w:rFonts w:ascii="Times New Roman" w:hAnsi="Times New Roman"/>
          <w:lang w:val="en-US"/>
        </w:rPr>
        <w:t>(now the Department of the Environment and Energy)</w:t>
      </w:r>
      <w:r w:rsidR="00453BB7">
        <w:rPr>
          <w:rFonts w:ascii="Times New Roman" w:hAnsi="Times New Roman"/>
          <w:lang w:val="en-US"/>
        </w:rPr>
        <w:t xml:space="preserve"> </w:t>
      </w:r>
      <w:r w:rsidRPr="00E4085D">
        <w:rPr>
          <w:rFonts w:ascii="Times New Roman" w:hAnsi="Times New Roman"/>
          <w:lang w:val="en-US"/>
        </w:rPr>
        <w:t xml:space="preserve">data </w:t>
      </w:r>
      <w:r>
        <w:rPr>
          <w:rFonts w:ascii="Times New Roman" w:hAnsi="Times New Roman"/>
          <w:lang w:val="en-US"/>
        </w:rPr>
        <w:t xml:space="preserve">on </w:t>
      </w:r>
      <w:r w:rsidRPr="00E4085D">
        <w:rPr>
          <w:rFonts w:ascii="Times New Roman" w:hAnsi="Times New Roman"/>
          <w:lang w:val="en-US"/>
        </w:rPr>
        <w:t>pre-cha</w:t>
      </w:r>
      <w:r>
        <w:rPr>
          <w:rFonts w:ascii="Times New Roman" w:hAnsi="Times New Roman"/>
          <w:lang w:val="en-US"/>
        </w:rPr>
        <w:t>r</w:t>
      </w:r>
      <w:r w:rsidRPr="00E4085D">
        <w:rPr>
          <w:rFonts w:ascii="Times New Roman" w:hAnsi="Times New Roman"/>
          <w:lang w:val="en-US"/>
        </w:rPr>
        <w:t>ged equipment imports</w:t>
      </w:r>
      <w:r>
        <w:rPr>
          <w:rFonts w:ascii="Times New Roman" w:hAnsi="Times New Roman"/>
          <w:lang w:val="en-US"/>
        </w:rPr>
        <w:t xml:space="preserve"> for 2005 and 2006</w:t>
      </w:r>
      <w:r w:rsidRPr="00E4085D">
        <w:rPr>
          <w:rFonts w:ascii="Times New Roman" w:hAnsi="Times New Roman"/>
          <w:lang w:val="en-US"/>
        </w:rPr>
        <w:t>;</w:t>
      </w:r>
    </w:p>
    <w:p w14:paraId="03368545" w14:textId="77777777" w:rsidR="00FF4A30" w:rsidRPr="00114173"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E4085D">
        <w:rPr>
          <w:rFonts w:ascii="Times New Roman" w:hAnsi="Times New Roman"/>
          <w:lang w:val="en-US"/>
        </w:rPr>
        <w:t xml:space="preserve">Commercial market research estimating the numbers of residential and small commercial split </w:t>
      </w:r>
      <w:r>
        <w:rPr>
          <w:rFonts w:ascii="Times New Roman" w:hAnsi="Times New Roman"/>
          <w:lang w:val="en-US"/>
        </w:rPr>
        <w:t xml:space="preserve">and packaged </w:t>
      </w:r>
      <w:r w:rsidRPr="00E4085D">
        <w:rPr>
          <w:rFonts w:ascii="Times New Roman" w:hAnsi="Times New Roman"/>
          <w:lang w:val="en-US"/>
        </w:rPr>
        <w:t>air conditioning systems sold in the few years prior to 2006</w:t>
      </w:r>
      <w:r>
        <w:rPr>
          <w:rFonts w:ascii="Times New Roman" w:hAnsi="Times New Roman"/>
          <w:lang w:val="en-US"/>
        </w:rPr>
        <w:t xml:space="preserve"> (by capacity and product type)</w:t>
      </w:r>
      <w:r w:rsidRPr="00E4085D">
        <w:rPr>
          <w:rFonts w:ascii="Times New Roman" w:hAnsi="Times New Roman"/>
          <w:lang w:val="en-US"/>
        </w:rPr>
        <w:t>;</w:t>
      </w:r>
    </w:p>
    <w:p w14:paraId="5DA347E9" w14:textId="07F83F54" w:rsidR="00FF4A30"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114173">
        <w:rPr>
          <w:rFonts w:ascii="Times New Roman" w:hAnsi="Times New Roman"/>
          <w:lang w:val="en-US"/>
        </w:rPr>
        <w:t>Various sales datasets, some partial, from 2004 and going back as far as 1995 for domestic refrigeration, residential and small commercial air conditioning</w:t>
      </w:r>
      <w:r w:rsidR="009E69CD">
        <w:rPr>
          <w:rFonts w:ascii="Times New Roman" w:hAnsi="Times New Roman"/>
          <w:lang w:val="en-US"/>
        </w:rPr>
        <w:t>,</w:t>
      </w:r>
      <w:r w:rsidRPr="00114173">
        <w:rPr>
          <w:rFonts w:ascii="Times New Roman" w:hAnsi="Times New Roman"/>
          <w:lang w:val="en-US"/>
        </w:rPr>
        <w:t xml:space="preserve"> collected from a number of importers, manufacturers and from published market research, constructed into the early years of the model and then </w:t>
      </w:r>
      <w:r w:rsidR="00453BB7">
        <w:rPr>
          <w:rFonts w:ascii="Times New Roman" w:hAnsi="Times New Roman"/>
          <w:lang w:val="en-US"/>
        </w:rPr>
        <w:t>released</w:t>
      </w:r>
      <w:r w:rsidRPr="00114173">
        <w:rPr>
          <w:rFonts w:ascii="Times New Roman" w:hAnsi="Times New Roman"/>
          <w:lang w:val="en-US"/>
        </w:rPr>
        <w:t xml:space="preserve"> for industry comment and review;</w:t>
      </w:r>
    </w:p>
    <w:p w14:paraId="5C0A970D" w14:textId="77777777" w:rsidR="00FF4A30"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114173">
        <w:rPr>
          <w:rFonts w:ascii="Times New Roman" w:hAnsi="Times New Roman"/>
          <w:lang w:val="en-US"/>
        </w:rPr>
        <w:t xml:space="preserve">Personal communications and interviews with manufacturers and importers of commercial </w:t>
      </w:r>
      <w:r>
        <w:rPr>
          <w:rFonts w:ascii="Times New Roman" w:hAnsi="Times New Roman"/>
          <w:lang w:val="en-US"/>
        </w:rPr>
        <w:t>split systems and chillers, and</w:t>
      </w:r>
    </w:p>
    <w:p w14:paraId="1D51C3AA" w14:textId="77777777" w:rsidR="00FF4A30" w:rsidRPr="00114173"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114173">
        <w:rPr>
          <w:rFonts w:ascii="Times New Roman" w:hAnsi="Times New Roman"/>
          <w:lang w:val="en-US"/>
        </w:rPr>
        <w:t>Personal communications and interviews with manufacturers of commercial and domestic refrigeration systems.</w:t>
      </w:r>
    </w:p>
    <w:p w14:paraId="64CC007C" w14:textId="77777777" w:rsidR="00FF4A30" w:rsidRPr="00114173" w:rsidRDefault="00FF4A30" w:rsidP="00FF4A30">
      <w:pPr>
        <w:rPr>
          <w:rFonts w:cs="Times New Roman"/>
          <w:szCs w:val="22"/>
          <w:lang w:val="en-US"/>
        </w:rPr>
      </w:pPr>
      <w:r w:rsidRPr="00114173">
        <w:rPr>
          <w:rFonts w:cs="Times New Roman"/>
          <w:szCs w:val="22"/>
          <w:lang w:val="en-US"/>
        </w:rPr>
        <w:t xml:space="preserve">This extensive stock model eventually included estimates of stocks of equipment in all of the major classes of equipment and main applications from as early as 1996 through to 2006. </w:t>
      </w:r>
    </w:p>
    <w:p w14:paraId="013B89F0" w14:textId="77777777" w:rsidR="00FF4A30" w:rsidRPr="00114173" w:rsidRDefault="00FF4A30" w:rsidP="00FF4A30">
      <w:pPr>
        <w:rPr>
          <w:rFonts w:cs="Times New Roman"/>
          <w:szCs w:val="22"/>
          <w:lang w:val="en-US"/>
        </w:rPr>
      </w:pPr>
      <w:r w:rsidRPr="00114173">
        <w:rPr>
          <w:rFonts w:cs="Times New Roman"/>
          <w:szCs w:val="22"/>
          <w:lang w:val="en-US"/>
        </w:rPr>
        <w:t>Equipment retirement rates were developed using knowledge of manufacturers</w:t>
      </w:r>
      <w:r>
        <w:rPr>
          <w:rFonts w:cs="Times New Roman"/>
          <w:szCs w:val="22"/>
          <w:lang w:val="en-US"/>
        </w:rPr>
        <w:t>’</w:t>
      </w:r>
      <w:r w:rsidRPr="00114173">
        <w:rPr>
          <w:rFonts w:cs="Times New Roman"/>
          <w:szCs w:val="22"/>
          <w:lang w:val="en-US"/>
        </w:rPr>
        <w:t xml:space="preserve"> warranty conditions, interviews with suppliers, designers and engineers.</w:t>
      </w:r>
    </w:p>
    <w:p w14:paraId="64277D73" w14:textId="44D1DD3D" w:rsidR="00FF4A30" w:rsidRPr="00114173" w:rsidRDefault="00FF4A30" w:rsidP="00FF4A30">
      <w:pPr>
        <w:rPr>
          <w:rFonts w:cs="Times New Roman"/>
          <w:szCs w:val="22"/>
          <w:lang w:val="en-US"/>
        </w:rPr>
      </w:pPr>
      <w:r w:rsidRPr="00114173">
        <w:rPr>
          <w:rFonts w:cs="Times New Roman"/>
          <w:szCs w:val="22"/>
          <w:lang w:val="en-US"/>
        </w:rPr>
        <w:t>Since 2007 when the CHF1 was published, the stock model has been used by the original authors for several major studies in this field, each one adding something to the scope and substance of the model.</w:t>
      </w:r>
    </w:p>
    <w:p w14:paraId="5A0486A2" w14:textId="77777777" w:rsidR="00FF4A30" w:rsidRDefault="00FF4A30" w:rsidP="00FF4A30">
      <w:pPr>
        <w:rPr>
          <w:rFonts w:cs="Times New Roman"/>
          <w:szCs w:val="22"/>
          <w:lang w:val="en-US"/>
        </w:rPr>
      </w:pPr>
      <w:r w:rsidRPr="00114173">
        <w:rPr>
          <w:rFonts w:cs="Times New Roman"/>
          <w:szCs w:val="22"/>
          <w:lang w:val="en-US"/>
        </w:rPr>
        <w:t>As a result, the original stock model has been extended and refined with new sources of data and ma</w:t>
      </w:r>
      <w:r>
        <w:rPr>
          <w:rFonts w:cs="Times New Roman"/>
          <w:szCs w:val="22"/>
          <w:lang w:val="en-US"/>
        </w:rPr>
        <w:t>rket intelligence that included:</w:t>
      </w:r>
    </w:p>
    <w:p w14:paraId="7AADE2B1" w14:textId="25F55203" w:rsidR="00FF4A30" w:rsidRPr="00114173" w:rsidRDefault="00FF4A30" w:rsidP="00FF4A30">
      <w:pPr>
        <w:pStyle w:val="ListParagraph"/>
        <w:numPr>
          <w:ilvl w:val="0"/>
          <w:numId w:val="2"/>
        </w:numPr>
        <w:spacing w:before="120" w:after="0"/>
        <w:ind w:left="357"/>
        <w:contextualSpacing w:val="0"/>
        <w:jc w:val="both"/>
        <w:rPr>
          <w:rFonts w:ascii="Times New Roman" w:hAnsi="Times New Roman"/>
        </w:rPr>
      </w:pPr>
      <w:r>
        <w:rPr>
          <w:rFonts w:ascii="Times New Roman" w:hAnsi="Times New Roman"/>
        </w:rPr>
        <w:t xml:space="preserve">The latest issue the </w:t>
      </w:r>
      <w:r w:rsidR="00453BB7" w:rsidRPr="00453BB7">
        <w:rPr>
          <w:rFonts w:ascii="Times New Roman" w:hAnsi="Times New Roman"/>
        </w:rPr>
        <w:t>Department of the Environment and Energy</w:t>
      </w:r>
      <w:r>
        <w:rPr>
          <w:rFonts w:ascii="Times New Roman" w:hAnsi="Times New Roman"/>
        </w:rPr>
        <w:t xml:space="preserve"> data including </w:t>
      </w:r>
      <w:r w:rsidRPr="00114173">
        <w:rPr>
          <w:rFonts w:ascii="Times New Roman" w:hAnsi="Times New Roman"/>
        </w:rPr>
        <w:t>bulk and pre-charged equipment import statistics by quantity, mass, species, licen</w:t>
      </w:r>
      <w:r>
        <w:rPr>
          <w:rFonts w:ascii="Times New Roman" w:hAnsi="Times New Roman"/>
        </w:rPr>
        <w:t>c</w:t>
      </w:r>
      <w:r w:rsidRPr="00114173">
        <w:rPr>
          <w:rFonts w:ascii="Times New Roman" w:hAnsi="Times New Roman"/>
        </w:rPr>
        <w:t>e holder, product category from 2006 to 201</w:t>
      </w:r>
      <w:r w:rsidR="00453BB7">
        <w:rPr>
          <w:rFonts w:ascii="Times New Roman" w:hAnsi="Times New Roman"/>
        </w:rPr>
        <w:t>7</w:t>
      </w:r>
      <w:r w:rsidRPr="00114173">
        <w:rPr>
          <w:rFonts w:ascii="Times New Roman" w:hAnsi="Times New Roman"/>
        </w:rPr>
        <w:t xml:space="preserve"> </w:t>
      </w:r>
      <w:r>
        <w:rPr>
          <w:rFonts w:ascii="Times New Roman" w:hAnsi="Times New Roman"/>
        </w:rPr>
        <w:t>(DoE 201</w:t>
      </w:r>
      <w:r w:rsidR="00453BB7">
        <w:rPr>
          <w:rFonts w:ascii="Times New Roman" w:hAnsi="Times New Roman"/>
        </w:rPr>
        <w:t>7</w:t>
      </w:r>
      <w:r w:rsidR="008214B1">
        <w:rPr>
          <w:rFonts w:ascii="Times New Roman" w:hAnsi="Times New Roman"/>
        </w:rPr>
        <w:t>a</w:t>
      </w:r>
      <w:r>
        <w:rPr>
          <w:rFonts w:ascii="Times New Roman" w:hAnsi="Times New Roman"/>
        </w:rPr>
        <w:t>)</w:t>
      </w:r>
      <w:r w:rsidRPr="00A02C8F">
        <w:rPr>
          <w:rStyle w:val="FootnoteReference"/>
          <w:lang w:val="en-US"/>
        </w:rPr>
        <w:t xml:space="preserve"> </w:t>
      </w:r>
      <w:r w:rsidRPr="00A02C8F">
        <w:rPr>
          <w:rStyle w:val="FootnoteReference"/>
          <w:lang w:val="en-US"/>
        </w:rPr>
        <w:footnoteReference w:id="66"/>
      </w:r>
      <w:r w:rsidR="009E69CD">
        <w:rPr>
          <w:lang w:val="en-US"/>
        </w:rPr>
        <w:t>;</w:t>
      </w:r>
    </w:p>
    <w:p w14:paraId="7BDEAB70" w14:textId="4C6B3799" w:rsidR="00FF4A30" w:rsidRPr="00114173" w:rsidRDefault="00FF4A30" w:rsidP="00467DEE">
      <w:pPr>
        <w:pStyle w:val="ListParagraph"/>
        <w:numPr>
          <w:ilvl w:val="0"/>
          <w:numId w:val="4"/>
        </w:numPr>
        <w:spacing w:before="120" w:after="0" w:line="240" w:lineRule="auto"/>
        <w:contextualSpacing w:val="0"/>
        <w:jc w:val="both"/>
        <w:rPr>
          <w:rFonts w:ascii="Times New Roman" w:hAnsi="Times New Roman"/>
          <w:lang w:val="en-US"/>
        </w:rPr>
      </w:pPr>
      <w:r w:rsidRPr="00114173">
        <w:rPr>
          <w:rFonts w:ascii="Times New Roman" w:hAnsi="Times New Roman"/>
          <w:lang w:val="en-US"/>
        </w:rPr>
        <w:t xml:space="preserve">Reviews of data included in </w:t>
      </w:r>
      <w:r w:rsidR="009E69CD">
        <w:rPr>
          <w:rFonts w:ascii="Times New Roman" w:hAnsi="Times New Roman"/>
          <w:lang w:val="en-US"/>
        </w:rPr>
        <w:t>r</w:t>
      </w:r>
      <w:r w:rsidRPr="00114173">
        <w:rPr>
          <w:rFonts w:ascii="Times New Roman" w:hAnsi="Times New Roman"/>
          <w:lang w:val="en-US"/>
        </w:rPr>
        <w:t xml:space="preserve">egulatory </w:t>
      </w:r>
      <w:r w:rsidR="009E69CD">
        <w:rPr>
          <w:rFonts w:ascii="Times New Roman" w:hAnsi="Times New Roman"/>
          <w:lang w:val="en-US"/>
        </w:rPr>
        <w:t>i</w:t>
      </w:r>
      <w:r w:rsidRPr="00114173">
        <w:rPr>
          <w:rFonts w:ascii="Times New Roman" w:hAnsi="Times New Roman"/>
          <w:lang w:val="en-US"/>
        </w:rPr>
        <w:t xml:space="preserve">mpact </w:t>
      </w:r>
      <w:r w:rsidR="009E69CD">
        <w:rPr>
          <w:rFonts w:ascii="Times New Roman" w:hAnsi="Times New Roman"/>
          <w:lang w:val="en-US"/>
        </w:rPr>
        <w:t>s</w:t>
      </w:r>
      <w:r w:rsidRPr="00114173">
        <w:rPr>
          <w:rFonts w:ascii="Times New Roman" w:hAnsi="Times New Roman"/>
          <w:lang w:val="en-US"/>
        </w:rPr>
        <w:t xml:space="preserve">tatements </w:t>
      </w:r>
      <w:r>
        <w:rPr>
          <w:rFonts w:ascii="Times New Roman" w:hAnsi="Times New Roman"/>
          <w:lang w:val="en-US"/>
        </w:rPr>
        <w:t xml:space="preserve">and product profiles </w:t>
      </w:r>
      <w:r w:rsidRPr="00114173">
        <w:rPr>
          <w:rFonts w:ascii="Times New Roman" w:hAnsi="Times New Roman"/>
          <w:lang w:val="en-US"/>
        </w:rPr>
        <w:t>for air conditioning equipment</w:t>
      </w:r>
      <w:r>
        <w:rPr>
          <w:rFonts w:ascii="Times New Roman" w:hAnsi="Times New Roman"/>
          <w:lang w:val="en-US"/>
        </w:rPr>
        <w:t xml:space="preserve"> (i.e. split systems, chillers, close control, portable, etc.)</w:t>
      </w:r>
      <w:r w:rsidR="00467DEE">
        <w:rPr>
          <w:rFonts w:ascii="Times New Roman" w:hAnsi="Times New Roman"/>
          <w:lang w:val="en-US"/>
        </w:rPr>
        <w:t xml:space="preserve"> (E3 2017a)</w:t>
      </w:r>
      <w:r w:rsidR="00210FF3">
        <w:rPr>
          <w:rFonts w:ascii="Times New Roman" w:hAnsi="Times New Roman"/>
          <w:lang w:val="en-US"/>
        </w:rPr>
        <w:t>,</w:t>
      </w:r>
      <w:r>
        <w:rPr>
          <w:rFonts w:ascii="Times New Roman" w:hAnsi="Times New Roman"/>
          <w:lang w:val="en-US"/>
        </w:rPr>
        <w:t xml:space="preserve"> </w:t>
      </w:r>
      <w:r w:rsidR="00467DEE">
        <w:rPr>
          <w:rFonts w:ascii="Times New Roman" w:hAnsi="Times New Roman"/>
          <w:lang w:val="en-US"/>
        </w:rPr>
        <w:t>refrigeration display and storage cabinets (</w:t>
      </w:r>
      <w:r w:rsidR="00467DEE" w:rsidRPr="00467DEE">
        <w:rPr>
          <w:rFonts w:ascii="Times New Roman" w:hAnsi="Times New Roman"/>
          <w:lang w:val="en-US"/>
        </w:rPr>
        <w:t>E3 2016</w:t>
      </w:r>
      <w:r w:rsidR="00467DEE">
        <w:rPr>
          <w:rFonts w:ascii="Times New Roman" w:hAnsi="Times New Roman"/>
          <w:lang w:val="en-US"/>
        </w:rPr>
        <w:t>)</w:t>
      </w:r>
      <w:r w:rsidR="00210FF3">
        <w:rPr>
          <w:rFonts w:ascii="Times New Roman" w:hAnsi="Times New Roman"/>
          <w:lang w:val="en-US"/>
        </w:rPr>
        <w:t>,</w:t>
      </w:r>
      <w:r w:rsidR="00467DEE">
        <w:rPr>
          <w:rFonts w:ascii="Times New Roman" w:hAnsi="Times New Roman"/>
          <w:lang w:val="en-US"/>
        </w:rPr>
        <w:t xml:space="preserve"> </w:t>
      </w:r>
      <w:r>
        <w:rPr>
          <w:rFonts w:ascii="Times New Roman" w:hAnsi="Times New Roman"/>
          <w:lang w:val="en-US"/>
        </w:rPr>
        <w:t>domestic refrigerators and freezers, non-domestic refrigeration (</w:t>
      </w:r>
      <w:r w:rsidRPr="004B2E7E">
        <w:rPr>
          <w:rFonts w:ascii="Times New Roman" w:hAnsi="Times New Roman"/>
          <w:lang w:val="en-US"/>
        </w:rPr>
        <w:t>E3 2009</w:t>
      </w:r>
      <w:r>
        <w:rPr>
          <w:rFonts w:ascii="Times New Roman" w:hAnsi="Times New Roman"/>
          <w:lang w:val="en-US"/>
        </w:rPr>
        <w:t xml:space="preserve">), and other products such as </w:t>
      </w:r>
      <w:r w:rsidR="00467DEE">
        <w:rPr>
          <w:rFonts w:ascii="Times New Roman" w:hAnsi="Times New Roman"/>
          <w:lang w:val="en-US"/>
        </w:rPr>
        <w:t xml:space="preserve">high efficiency fans (E3 2017b) and </w:t>
      </w:r>
      <w:r>
        <w:rPr>
          <w:rFonts w:ascii="Times New Roman" w:hAnsi="Times New Roman"/>
          <w:lang w:val="en-US"/>
        </w:rPr>
        <w:t>hot water heat pumps (</w:t>
      </w:r>
      <w:r w:rsidRPr="00A84527">
        <w:rPr>
          <w:rFonts w:ascii="Times New Roman" w:hAnsi="Times New Roman"/>
          <w:lang w:val="en-US"/>
        </w:rPr>
        <w:t>E3 2012)</w:t>
      </w:r>
      <w:r>
        <w:rPr>
          <w:rFonts w:ascii="Times New Roman" w:hAnsi="Times New Roman"/>
          <w:lang w:val="en-US"/>
        </w:rPr>
        <w:t>;</w:t>
      </w:r>
    </w:p>
    <w:p w14:paraId="2863F3BB" w14:textId="77777777" w:rsidR="00FF4A30" w:rsidRPr="00114173"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114173">
        <w:rPr>
          <w:rFonts w:ascii="Times New Roman" w:hAnsi="Times New Roman"/>
          <w:lang w:val="en-US"/>
        </w:rPr>
        <w:t>Reviews of data created for models of domestic energy production;</w:t>
      </w:r>
    </w:p>
    <w:p w14:paraId="1D8A1325" w14:textId="2D84119E" w:rsidR="00FF4A30"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114173">
        <w:rPr>
          <w:rFonts w:ascii="Times New Roman" w:hAnsi="Times New Roman"/>
          <w:lang w:val="en-US"/>
        </w:rPr>
        <w:t>Interviews with and surveys of manufacturers, importers and resellers of equipment, and with importers and wholesalers of refrigerant, parts</w:t>
      </w:r>
      <w:r w:rsidR="00210FF3">
        <w:rPr>
          <w:rFonts w:ascii="Times New Roman" w:hAnsi="Times New Roman"/>
          <w:lang w:val="en-US"/>
        </w:rPr>
        <w:t>,</w:t>
      </w:r>
      <w:r w:rsidRPr="00114173">
        <w:rPr>
          <w:rFonts w:ascii="Times New Roman" w:hAnsi="Times New Roman"/>
          <w:lang w:val="en-US"/>
        </w:rPr>
        <w:t xml:space="preserve"> and tools for the purpose of other RAC industry related studies;</w:t>
      </w:r>
    </w:p>
    <w:p w14:paraId="550D2D7C" w14:textId="77777777" w:rsidR="00FF4A30" w:rsidRPr="004B2E7E"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4B2E7E">
        <w:rPr>
          <w:rFonts w:ascii="Times New Roman" w:hAnsi="Times New Roman"/>
          <w:lang w:val="en-US"/>
        </w:rPr>
        <w:t>Interviews with industry associations and professional bodies for the purposes of other industry and government programs;</w:t>
      </w:r>
    </w:p>
    <w:p w14:paraId="7596CCFA" w14:textId="77777777" w:rsidR="00FF4A30" w:rsidRPr="004B2E7E"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4B2E7E">
        <w:rPr>
          <w:rFonts w:ascii="Times New Roman" w:hAnsi="Times New Roman"/>
          <w:lang w:val="en-US"/>
        </w:rPr>
        <w:t>In-confidence industry wide surveys of major participants selling commercial refrigeration condensing units and compressors dissected by capacity and refrigerant;</w:t>
      </w:r>
    </w:p>
    <w:p w14:paraId="40461838" w14:textId="790D6848" w:rsidR="00467DEE" w:rsidRDefault="00FF4A30" w:rsidP="00CE6F99">
      <w:pPr>
        <w:pStyle w:val="ListParagraph"/>
        <w:numPr>
          <w:ilvl w:val="0"/>
          <w:numId w:val="4"/>
        </w:numPr>
        <w:spacing w:before="120" w:after="0" w:line="240" w:lineRule="auto"/>
        <w:contextualSpacing w:val="0"/>
        <w:jc w:val="both"/>
        <w:rPr>
          <w:rFonts w:ascii="Times New Roman" w:hAnsi="Times New Roman"/>
          <w:lang w:val="en-US"/>
        </w:rPr>
      </w:pPr>
      <w:r w:rsidRPr="00467DEE">
        <w:rPr>
          <w:rFonts w:ascii="Times New Roman" w:hAnsi="Times New Roman"/>
          <w:lang w:val="en-US"/>
        </w:rPr>
        <w:t>In-confidence industry wide surveys of suppliers, upstream processors and end-users of natural refrigerants to establish aggregate industry measures</w:t>
      </w:r>
      <w:r w:rsidR="00210FF3">
        <w:rPr>
          <w:rFonts w:ascii="Times New Roman" w:hAnsi="Times New Roman"/>
          <w:lang w:val="en-US"/>
        </w:rPr>
        <w:t>;</w:t>
      </w:r>
    </w:p>
    <w:p w14:paraId="492ACFC5" w14:textId="12667FEE" w:rsidR="00467DEE" w:rsidRPr="00467DEE" w:rsidRDefault="00467DEE" w:rsidP="00CE6F99">
      <w:pPr>
        <w:pStyle w:val="ListParagraph"/>
        <w:numPr>
          <w:ilvl w:val="0"/>
          <w:numId w:val="4"/>
        </w:numPr>
        <w:spacing w:before="120" w:after="0" w:line="240" w:lineRule="auto"/>
        <w:contextualSpacing w:val="0"/>
        <w:jc w:val="both"/>
        <w:rPr>
          <w:rFonts w:ascii="Times New Roman" w:hAnsi="Times New Roman"/>
          <w:lang w:val="en-US"/>
        </w:rPr>
      </w:pPr>
      <w:r>
        <w:rPr>
          <w:rFonts w:ascii="Times New Roman" w:hAnsi="Times New Roman"/>
          <w:lang w:val="en-US"/>
        </w:rPr>
        <w:t>Market intelligence reports with m</w:t>
      </w:r>
      <w:r w:rsidRPr="00467DEE">
        <w:rPr>
          <w:rFonts w:ascii="Times New Roman" w:hAnsi="Times New Roman"/>
          <w:lang w:val="en-US"/>
        </w:rPr>
        <w:t>onthly sales ($ and quantity) of HCFCs and HFCs by species including refrigerant re-use</w:t>
      </w:r>
      <w:r w:rsidR="00210FF3">
        <w:rPr>
          <w:rFonts w:ascii="Times New Roman" w:hAnsi="Times New Roman"/>
          <w:lang w:val="en-US"/>
        </w:rPr>
        <w:t>;</w:t>
      </w:r>
    </w:p>
    <w:p w14:paraId="3664E6EE" w14:textId="014684FD" w:rsidR="00467DEE" w:rsidRPr="004B2E7E" w:rsidRDefault="00467DEE" w:rsidP="00467DEE">
      <w:pPr>
        <w:pStyle w:val="ListParagraph"/>
        <w:numPr>
          <w:ilvl w:val="0"/>
          <w:numId w:val="4"/>
        </w:numPr>
        <w:spacing w:before="120" w:after="0" w:line="240" w:lineRule="auto"/>
        <w:contextualSpacing w:val="0"/>
        <w:jc w:val="both"/>
        <w:rPr>
          <w:rFonts w:ascii="Times New Roman" w:hAnsi="Times New Roman"/>
          <w:lang w:val="en-US"/>
        </w:rPr>
      </w:pPr>
      <w:r>
        <w:rPr>
          <w:rFonts w:ascii="Times New Roman" w:hAnsi="Times New Roman"/>
          <w:lang w:val="en-US"/>
        </w:rPr>
        <w:t xml:space="preserve">Market intelligence reports of refrigeration equipment </w:t>
      </w:r>
      <w:r w:rsidRPr="00467DEE">
        <w:rPr>
          <w:rFonts w:ascii="Times New Roman" w:hAnsi="Times New Roman"/>
          <w:lang w:val="en-US"/>
        </w:rPr>
        <w:t xml:space="preserve">sales </w:t>
      </w:r>
      <w:r>
        <w:rPr>
          <w:rFonts w:ascii="Times New Roman" w:hAnsi="Times New Roman"/>
          <w:lang w:val="en-US"/>
        </w:rPr>
        <w:t>(</w:t>
      </w:r>
      <w:r w:rsidRPr="00467DEE">
        <w:rPr>
          <w:rFonts w:ascii="Times New Roman" w:hAnsi="Times New Roman"/>
          <w:lang w:val="en-US"/>
        </w:rPr>
        <w:t>by type</w:t>
      </w:r>
      <w:r>
        <w:rPr>
          <w:rFonts w:ascii="Times New Roman" w:hAnsi="Times New Roman"/>
          <w:lang w:val="en-US"/>
        </w:rPr>
        <w:t xml:space="preserve"> and capacity</w:t>
      </w:r>
      <w:r w:rsidRPr="00467DEE">
        <w:rPr>
          <w:rFonts w:ascii="Times New Roman" w:hAnsi="Times New Roman"/>
          <w:lang w:val="en-US"/>
        </w:rPr>
        <w:t>)</w:t>
      </w:r>
      <w:r w:rsidR="00210FF3">
        <w:rPr>
          <w:rFonts w:ascii="Times New Roman" w:hAnsi="Times New Roman"/>
          <w:lang w:val="en-US"/>
        </w:rPr>
        <w:t>; and,</w:t>
      </w:r>
    </w:p>
    <w:p w14:paraId="56DB35D1" w14:textId="77777777" w:rsidR="00FF4A30" w:rsidRPr="004B2E7E"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4B2E7E">
        <w:rPr>
          <w:rFonts w:ascii="Times New Roman" w:hAnsi="Times New Roman"/>
          <w:lang w:val="en-US"/>
        </w:rPr>
        <w:t>Surveys of stock on the floor of domestic equipment retailers.</w:t>
      </w:r>
    </w:p>
    <w:p w14:paraId="32AC8890" w14:textId="094B4F69" w:rsidR="00FF4A30" w:rsidRDefault="00FF4A30" w:rsidP="00FF4A30">
      <w:pPr>
        <w:rPr>
          <w:rFonts w:cs="Times New Roman"/>
          <w:szCs w:val="22"/>
          <w:lang w:val="en-US"/>
        </w:rPr>
      </w:pPr>
      <w:r w:rsidRPr="004B2E7E">
        <w:rPr>
          <w:rFonts w:cs="Times New Roman"/>
          <w:szCs w:val="22"/>
          <w:lang w:val="en-US"/>
        </w:rPr>
        <w:t>The authors were unable to identify any similar stock model for any other economy to compare the methodology, the main outputs</w:t>
      </w:r>
      <w:r w:rsidR="00210FF3">
        <w:rPr>
          <w:rFonts w:cs="Times New Roman"/>
          <w:szCs w:val="22"/>
          <w:lang w:val="en-US"/>
        </w:rPr>
        <w:t>,</w:t>
      </w:r>
      <w:r w:rsidRPr="004B2E7E">
        <w:rPr>
          <w:rFonts w:cs="Times New Roman"/>
          <w:szCs w:val="22"/>
          <w:lang w:val="en-US"/>
        </w:rPr>
        <w:t xml:space="preserve"> or the structure of the model.</w:t>
      </w:r>
    </w:p>
    <w:p w14:paraId="1FFFDCE6" w14:textId="77777777" w:rsidR="00FF4A30" w:rsidRDefault="00FF4A30" w:rsidP="00FF4A30">
      <w:pPr>
        <w:rPr>
          <w:rFonts w:cs="Times New Roman"/>
          <w:szCs w:val="22"/>
          <w:lang w:val="en-US"/>
        </w:rPr>
      </w:pPr>
      <w:r>
        <w:rPr>
          <w:rFonts w:cs="Times New Roman"/>
          <w:szCs w:val="22"/>
          <w:lang w:val="en-US"/>
        </w:rPr>
        <w:t>The stock model has been further refined following more recent assignment including:</w:t>
      </w:r>
    </w:p>
    <w:p w14:paraId="35CA1C34" w14:textId="293236BD" w:rsidR="00FF4A30" w:rsidRPr="008738FD"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8738FD">
        <w:rPr>
          <w:rFonts w:ascii="Times New Roman" w:hAnsi="Times New Roman"/>
          <w:lang w:val="en-US"/>
        </w:rPr>
        <w:t xml:space="preserve">Cold Hard Facts 2 prepared the </w:t>
      </w:r>
      <w:r w:rsidR="00453BB7" w:rsidRPr="00453BB7">
        <w:rPr>
          <w:rFonts w:ascii="Times New Roman" w:hAnsi="Times New Roman"/>
          <w:lang w:val="en-US"/>
        </w:rPr>
        <w:t>Department of the Environment and Energy</w:t>
      </w:r>
      <w:r w:rsidRPr="008738FD">
        <w:rPr>
          <w:rFonts w:ascii="Times New Roman" w:hAnsi="Times New Roman"/>
          <w:lang w:val="en-US"/>
        </w:rPr>
        <w:t>,</w:t>
      </w:r>
      <w:r w:rsidR="00210FF3">
        <w:rPr>
          <w:rFonts w:ascii="Times New Roman" w:hAnsi="Times New Roman"/>
          <w:lang w:val="en-US"/>
        </w:rPr>
        <w:t xml:space="preserve"> </w:t>
      </w:r>
      <w:r w:rsidRPr="008738FD">
        <w:rPr>
          <w:rFonts w:ascii="Times New Roman" w:hAnsi="Times New Roman"/>
          <w:lang w:val="en-US"/>
        </w:rPr>
        <w:t>2013;</w:t>
      </w:r>
    </w:p>
    <w:p w14:paraId="25A8B6A8" w14:textId="394593B3" w:rsidR="00FF4A30" w:rsidRPr="008738FD"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8738FD">
        <w:rPr>
          <w:rFonts w:ascii="Times New Roman" w:hAnsi="Times New Roman"/>
          <w:lang w:val="en-US"/>
        </w:rPr>
        <w:t>A study into HFC consumption in Australia in 2013, and an assessment of the capacity of Australian industry to transition</w:t>
      </w:r>
      <w:r w:rsidR="00210FF3">
        <w:rPr>
          <w:rFonts w:ascii="Times New Roman" w:hAnsi="Times New Roman"/>
          <w:lang w:val="en-US"/>
        </w:rPr>
        <w:t xml:space="preserve"> </w:t>
      </w:r>
      <w:r w:rsidR="002B475B">
        <w:rPr>
          <w:rFonts w:ascii="Times New Roman" w:hAnsi="Times New Roman"/>
          <w:lang w:val="en-US"/>
        </w:rPr>
        <w:t xml:space="preserve">to nil and lower GWP alternatives </w:t>
      </w:r>
      <w:r w:rsidR="00210FF3">
        <w:rPr>
          <w:rFonts w:ascii="Times New Roman" w:hAnsi="Times New Roman"/>
          <w:lang w:val="en-US"/>
        </w:rPr>
        <w:t>way from HFCs</w:t>
      </w:r>
      <w:r w:rsidRPr="008738FD">
        <w:rPr>
          <w:rFonts w:ascii="Times New Roman" w:hAnsi="Times New Roman"/>
          <w:lang w:val="en-US"/>
        </w:rPr>
        <w:t>,</w:t>
      </w:r>
      <w:r w:rsidR="00210FF3">
        <w:rPr>
          <w:rFonts w:ascii="Times New Roman" w:hAnsi="Times New Roman"/>
          <w:lang w:val="en-US"/>
        </w:rPr>
        <w:t xml:space="preserve"> prepared</w:t>
      </w:r>
      <w:r w:rsidRPr="008738FD">
        <w:rPr>
          <w:rFonts w:ascii="Times New Roman" w:hAnsi="Times New Roman"/>
          <w:lang w:val="en-US"/>
        </w:rPr>
        <w:t xml:space="preserve"> for the Department of the Environment</w:t>
      </w:r>
      <w:r w:rsidR="00210FF3">
        <w:rPr>
          <w:rFonts w:ascii="Times New Roman" w:hAnsi="Times New Roman"/>
          <w:lang w:val="en-US"/>
        </w:rPr>
        <w:t xml:space="preserve"> </w:t>
      </w:r>
      <w:r w:rsidR="002B475B">
        <w:rPr>
          <w:rFonts w:ascii="Times New Roman" w:hAnsi="Times New Roman"/>
          <w:lang w:val="en-US"/>
        </w:rPr>
        <w:t>and Energy</w:t>
      </w:r>
      <w:r w:rsidRPr="008738FD">
        <w:rPr>
          <w:rFonts w:ascii="Times New Roman" w:hAnsi="Times New Roman"/>
          <w:lang w:val="en-US"/>
        </w:rPr>
        <w:t>,</w:t>
      </w:r>
      <w:r>
        <w:rPr>
          <w:rFonts w:ascii="Times New Roman" w:hAnsi="Times New Roman"/>
          <w:lang w:val="en-US"/>
        </w:rPr>
        <w:t xml:space="preserve"> </w:t>
      </w:r>
      <w:r w:rsidR="002B475B">
        <w:rPr>
          <w:rFonts w:ascii="Times New Roman" w:hAnsi="Times New Roman"/>
          <w:lang w:val="en-US"/>
        </w:rPr>
        <w:t xml:space="preserve">April </w:t>
      </w:r>
      <w:r>
        <w:rPr>
          <w:rFonts w:ascii="Times New Roman" w:hAnsi="Times New Roman"/>
          <w:lang w:val="en-US"/>
        </w:rPr>
        <w:t>2014;</w:t>
      </w:r>
    </w:p>
    <w:p w14:paraId="5474149C" w14:textId="5E3FEB8F" w:rsidR="00FF4A30"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8738FD">
        <w:rPr>
          <w:rFonts w:ascii="Times New Roman" w:hAnsi="Times New Roman"/>
          <w:lang w:val="en-US"/>
        </w:rPr>
        <w:t>Environmental Im</w:t>
      </w:r>
      <w:r w:rsidR="00FC5FC6">
        <w:rPr>
          <w:rFonts w:ascii="Times New Roman" w:hAnsi="Times New Roman"/>
          <w:lang w:val="en-US"/>
        </w:rPr>
        <w:t>pacts of Refrigerant Gas in End-</w:t>
      </w:r>
      <w:r w:rsidRPr="008738FD">
        <w:rPr>
          <w:rFonts w:ascii="Times New Roman" w:hAnsi="Times New Roman"/>
          <w:lang w:val="en-US"/>
        </w:rPr>
        <w:t>of</w:t>
      </w:r>
      <w:r w:rsidR="00FC5FC6">
        <w:rPr>
          <w:rFonts w:ascii="Times New Roman" w:hAnsi="Times New Roman"/>
          <w:lang w:val="en-US"/>
        </w:rPr>
        <w:t>-</w:t>
      </w:r>
      <w:r w:rsidRPr="008738FD">
        <w:rPr>
          <w:rFonts w:ascii="Times New Roman" w:hAnsi="Times New Roman"/>
          <w:lang w:val="en-US"/>
        </w:rPr>
        <w:t>Life Vehi</w:t>
      </w:r>
      <w:r>
        <w:rPr>
          <w:rFonts w:ascii="Times New Roman" w:hAnsi="Times New Roman"/>
          <w:lang w:val="en-US"/>
        </w:rPr>
        <w:t xml:space="preserve">cles in Australia, </w:t>
      </w:r>
      <w:r w:rsidRPr="00615D42">
        <w:rPr>
          <w:rFonts w:ascii="Times New Roman" w:hAnsi="Times New Roman"/>
          <w:lang w:val="en-US"/>
        </w:rPr>
        <w:t xml:space="preserve">prepared </w:t>
      </w:r>
      <w:r w:rsidR="00453BB7">
        <w:rPr>
          <w:rFonts w:ascii="Times New Roman" w:hAnsi="Times New Roman"/>
          <w:lang w:val="en-US"/>
        </w:rPr>
        <w:t xml:space="preserve">for </w:t>
      </w:r>
      <w:r w:rsidRPr="00615D42">
        <w:rPr>
          <w:rFonts w:ascii="Times New Roman" w:hAnsi="Times New Roman"/>
          <w:lang w:val="en-US"/>
        </w:rPr>
        <w:t>the Department of the Environment</w:t>
      </w:r>
      <w:r w:rsidR="00210FF3">
        <w:rPr>
          <w:rFonts w:ascii="Times New Roman" w:hAnsi="Times New Roman"/>
          <w:lang w:val="en-US"/>
        </w:rPr>
        <w:t xml:space="preserve"> and Energy</w:t>
      </w:r>
      <w:r w:rsidRPr="00615D42">
        <w:rPr>
          <w:rFonts w:ascii="Times New Roman" w:hAnsi="Times New Roman"/>
          <w:lang w:val="en-US"/>
        </w:rPr>
        <w:t>,</w:t>
      </w:r>
      <w:r w:rsidR="00577CEF">
        <w:rPr>
          <w:rFonts w:ascii="Times New Roman" w:hAnsi="Times New Roman"/>
          <w:lang w:val="en-US"/>
        </w:rPr>
        <w:t xml:space="preserve"> </w:t>
      </w:r>
      <w:r>
        <w:rPr>
          <w:rFonts w:ascii="Times New Roman" w:hAnsi="Times New Roman"/>
          <w:lang w:val="en-US"/>
        </w:rPr>
        <w:t>2014;</w:t>
      </w:r>
    </w:p>
    <w:p w14:paraId="04478CC0" w14:textId="553CADC1" w:rsidR="00FF4A30"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615D42">
        <w:rPr>
          <w:rFonts w:ascii="Times New Roman" w:hAnsi="Times New Roman"/>
          <w:lang w:val="en-US"/>
        </w:rPr>
        <w:t>Assessment of environmental impacts from the Ozone Protection and Synthetic Greenhouse Gas Management Act 1989</w:t>
      </w:r>
      <w:r>
        <w:rPr>
          <w:rFonts w:ascii="Times New Roman" w:hAnsi="Times New Roman"/>
          <w:lang w:val="en-US"/>
        </w:rPr>
        <w:t xml:space="preserve">, </w:t>
      </w:r>
      <w:r w:rsidRPr="00615D42">
        <w:rPr>
          <w:rFonts w:ascii="Times New Roman" w:hAnsi="Times New Roman"/>
          <w:lang w:val="en-US"/>
        </w:rPr>
        <w:t>prepared</w:t>
      </w:r>
      <w:r w:rsidR="00210FF3">
        <w:rPr>
          <w:rFonts w:ascii="Times New Roman" w:hAnsi="Times New Roman"/>
          <w:lang w:val="en-US"/>
        </w:rPr>
        <w:t xml:space="preserve"> for</w:t>
      </w:r>
      <w:r w:rsidRPr="00615D42">
        <w:rPr>
          <w:rFonts w:ascii="Times New Roman" w:hAnsi="Times New Roman"/>
          <w:lang w:val="en-US"/>
        </w:rPr>
        <w:t xml:space="preserve"> the Department of the Environment</w:t>
      </w:r>
      <w:r w:rsidR="00210FF3">
        <w:rPr>
          <w:rFonts w:ascii="Times New Roman" w:hAnsi="Times New Roman"/>
          <w:lang w:val="en-US"/>
        </w:rPr>
        <w:t xml:space="preserve"> and Energy</w:t>
      </w:r>
      <w:r w:rsidRPr="00615D42">
        <w:rPr>
          <w:rFonts w:ascii="Times New Roman" w:hAnsi="Times New Roman"/>
          <w:lang w:val="en-US"/>
        </w:rPr>
        <w:t>,</w:t>
      </w:r>
      <w:r w:rsidR="002B475B">
        <w:rPr>
          <w:rFonts w:ascii="Times New Roman" w:hAnsi="Times New Roman"/>
          <w:lang w:val="en-US"/>
        </w:rPr>
        <w:t xml:space="preserve"> </w:t>
      </w:r>
      <w:r>
        <w:rPr>
          <w:rFonts w:ascii="Times New Roman" w:hAnsi="Times New Roman"/>
          <w:lang w:val="en-US"/>
        </w:rPr>
        <w:t>April 2015; and,</w:t>
      </w:r>
    </w:p>
    <w:p w14:paraId="47EF60B1" w14:textId="13E2B908" w:rsidR="00FF4A30"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Pr>
          <w:rFonts w:ascii="Times New Roman" w:hAnsi="Times New Roman"/>
          <w:lang w:val="en-US"/>
        </w:rPr>
        <w:t xml:space="preserve">Cold Hard Facts 3, prepared for the </w:t>
      </w:r>
      <w:r w:rsidR="00467DEE">
        <w:rPr>
          <w:rFonts w:ascii="Times New Roman" w:hAnsi="Times New Roman"/>
          <w:lang w:val="en-US"/>
        </w:rPr>
        <w:t xml:space="preserve">Department of the </w:t>
      </w:r>
      <w:r w:rsidRPr="00615D42">
        <w:rPr>
          <w:rFonts w:ascii="Times New Roman" w:hAnsi="Times New Roman"/>
          <w:lang w:val="en-US"/>
        </w:rPr>
        <w:t>Environment and Energy</w:t>
      </w:r>
      <w:r w:rsidR="00210FF3">
        <w:rPr>
          <w:rFonts w:ascii="Times New Roman" w:hAnsi="Times New Roman"/>
          <w:lang w:val="en-US"/>
        </w:rPr>
        <w:t xml:space="preserve"> (this report).</w:t>
      </w:r>
      <w:r>
        <w:rPr>
          <w:rFonts w:ascii="Times New Roman" w:hAnsi="Times New Roman"/>
          <w:lang w:val="en-US"/>
        </w:rPr>
        <w:t>.</w:t>
      </w:r>
    </w:p>
    <w:p w14:paraId="36A8E0AC" w14:textId="77777777" w:rsidR="00705CFC" w:rsidRPr="00705CFC" w:rsidRDefault="00705CFC" w:rsidP="00810532">
      <w:pPr>
        <w:rPr>
          <w:lang w:val="en-US"/>
        </w:rPr>
      </w:pPr>
    </w:p>
    <w:p w14:paraId="4E921D89" w14:textId="71C287C0" w:rsidR="00AD2783" w:rsidRPr="001F5E4C" w:rsidRDefault="00AD2783" w:rsidP="00810532">
      <w:pPr>
        <w:pStyle w:val="Heading3"/>
        <w:spacing w:before="0"/>
      </w:pPr>
      <w:bookmarkStart w:id="196" w:name="_Toc525141312"/>
      <w:r w:rsidRPr="001F5E4C">
        <w:t xml:space="preserve">Product </w:t>
      </w:r>
      <w:r w:rsidR="006002E4">
        <w:t>c</w:t>
      </w:r>
      <w:r w:rsidRPr="001F5E4C">
        <w:t xml:space="preserve">ategory </w:t>
      </w:r>
      <w:r>
        <w:t>s</w:t>
      </w:r>
      <w:r w:rsidRPr="001F5E4C">
        <w:t>tock models</w:t>
      </w:r>
      <w:bookmarkEnd w:id="196"/>
    </w:p>
    <w:p w14:paraId="5683EFB4" w14:textId="7590373B" w:rsidR="00AD2783" w:rsidRPr="001F5E4C" w:rsidRDefault="00AD2783" w:rsidP="00AD2783">
      <w:pPr>
        <w:rPr>
          <w:rFonts w:cs="Times New Roman"/>
          <w:szCs w:val="22"/>
          <w:lang w:val="en-US"/>
        </w:rPr>
      </w:pPr>
      <w:r>
        <w:rPr>
          <w:rFonts w:cs="Times New Roman"/>
          <w:szCs w:val="22"/>
          <w:lang w:val="en-US"/>
        </w:rPr>
        <w:t>Detailed and quite high resolution and high confidence</w:t>
      </w:r>
      <w:r w:rsidRPr="001F5E4C">
        <w:rPr>
          <w:rFonts w:cs="Times New Roman"/>
          <w:szCs w:val="22"/>
          <w:lang w:val="en-US"/>
        </w:rPr>
        <w:t xml:space="preserve"> stock models have been developed for major </w:t>
      </w:r>
      <w:r w:rsidR="00467DEE">
        <w:rPr>
          <w:rFonts w:cs="Times New Roman"/>
          <w:szCs w:val="22"/>
          <w:lang w:val="en-US"/>
        </w:rPr>
        <w:t>p</w:t>
      </w:r>
      <w:r w:rsidRPr="001F5E4C">
        <w:rPr>
          <w:rFonts w:cs="Times New Roman"/>
          <w:szCs w:val="22"/>
          <w:lang w:val="en-US"/>
        </w:rPr>
        <w:t xml:space="preserve">roduct </w:t>
      </w:r>
      <w:r w:rsidR="00467DEE">
        <w:rPr>
          <w:rFonts w:cs="Times New Roman"/>
          <w:szCs w:val="22"/>
          <w:lang w:val="en-US"/>
        </w:rPr>
        <w:t>c</w:t>
      </w:r>
      <w:r w:rsidRPr="001F5E4C">
        <w:rPr>
          <w:rFonts w:cs="Times New Roman"/>
          <w:szCs w:val="22"/>
          <w:lang w:val="en-US"/>
        </w:rPr>
        <w:t xml:space="preserve">ategories where sufficient quality historical sales data has been discovered. These models use a cumulative distribution function of the normal distribution function to develop survival curves, stock </w:t>
      </w:r>
      <w:r>
        <w:rPr>
          <w:rFonts w:cs="Times New Roman"/>
          <w:szCs w:val="22"/>
          <w:lang w:val="en-US"/>
        </w:rPr>
        <w:t>population</w:t>
      </w:r>
      <w:r w:rsidRPr="001F5E4C">
        <w:rPr>
          <w:rFonts w:cs="Times New Roman"/>
          <w:szCs w:val="22"/>
          <w:lang w:val="en-US"/>
        </w:rPr>
        <w:t xml:space="preserve"> and </w:t>
      </w:r>
      <w:r>
        <w:rPr>
          <w:rFonts w:cs="Times New Roman"/>
          <w:szCs w:val="22"/>
          <w:lang w:val="en-US"/>
        </w:rPr>
        <w:t xml:space="preserve">annual </w:t>
      </w:r>
      <w:r w:rsidRPr="001F5E4C">
        <w:rPr>
          <w:rFonts w:cs="Times New Roman"/>
          <w:szCs w:val="22"/>
          <w:lang w:val="en-US"/>
        </w:rPr>
        <w:t>equipment retirement estimates by refrigerant species</w:t>
      </w:r>
      <w:r>
        <w:rPr>
          <w:rFonts w:cs="Times New Roman"/>
          <w:szCs w:val="22"/>
          <w:lang w:val="en-US"/>
        </w:rPr>
        <w:t>.</w:t>
      </w:r>
    </w:p>
    <w:p w14:paraId="1E8FAB8D" w14:textId="77777777" w:rsidR="00AD2783" w:rsidRPr="001F5E4C" w:rsidRDefault="00AD2783" w:rsidP="00AD2783">
      <w:pPr>
        <w:rPr>
          <w:rFonts w:cs="Times New Roman"/>
          <w:szCs w:val="22"/>
          <w:lang w:val="en-US"/>
        </w:rPr>
      </w:pPr>
      <w:r w:rsidRPr="001F5E4C">
        <w:rPr>
          <w:rFonts w:cs="Times New Roman"/>
          <w:szCs w:val="22"/>
          <w:lang w:val="en-US"/>
        </w:rPr>
        <w:t xml:space="preserve">Where data was available, the model calculates the number of units of a particular vintage that remain in service at the end of a given year as the total number of units sold in the year of the vintage, minus the proportion of units that have been scrapped prior to the end of the given year. </w:t>
      </w:r>
    </w:p>
    <w:p w14:paraId="08B50DED" w14:textId="7BE11B4E" w:rsidR="00AD2783" w:rsidRPr="001F5E4C" w:rsidRDefault="00AD2783" w:rsidP="00AD2783">
      <w:pPr>
        <w:rPr>
          <w:rFonts w:cs="Times New Roman"/>
          <w:szCs w:val="22"/>
          <w:lang w:val="en-US"/>
        </w:rPr>
      </w:pPr>
      <w:r w:rsidRPr="001F5E4C">
        <w:rPr>
          <w:rFonts w:cs="Times New Roman"/>
          <w:szCs w:val="22"/>
          <w:lang w:val="en-US"/>
        </w:rPr>
        <w:t xml:space="preserve">We assume that the lifetime of a unit is normally distributed with a mean lifespan (in years) and standard deviation (in years). The model assumes that on average, units are sold in the middle of a year. </w:t>
      </w:r>
      <w:r w:rsidR="00467DEE">
        <w:rPr>
          <w:rFonts w:cs="Times New Roman"/>
          <w:szCs w:val="22"/>
          <w:lang w:val="en-US"/>
        </w:rPr>
        <w:t>F</w:t>
      </w:r>
      <w:r w:rsidRPr="001F5E4C">
        <w:rPr>
          <w:rFonts w:cs="Times New Roman"/>
          <w:szCs w:val="22"/>
          <w:lang w:val="en-US"/>
        </w:rPr>
        <w:t>or example, the number of units that were sold in the year 2000 that remain in service at the end of 2012 is given by N</w:t>
      </w:r>
      <w:r w:rsidRPr="00F47E8A">
        <w:rPr>
          <w:rFonts w:cs="Times New Roman"/>
          <w:szCs w:val="22"/>
          <w:vertAlign w:val="subscript"/>
          <w:lang w:val="en-US"/>
        </w:rPr>
        <w:t>2000</w:t>
      </w:r>
      <w:r w:rsidRPr="001F5E4C">
        <w:rPr>
          <w:rFonts w:cs="Times New Roman"/>
          <w:szCs w:val="22"/>
          <w:lang w:val="en-US"/>
        </w:rPr>
        <w:t xml:space="preserve"> (1-p), where N</w:t>
      </w:r>
      <w:r w:rsidRPr="00F47E8A">
        <w:rPr>
          <w:rFonts w:cs="Times New Roman"/>
          <w:szCs w:val="22"/>
          <w:vertAlign w:val="subscript"/>
          <w:lang w:val="en-US"/>
        </w:rPr>
        <w:t>2000</w:t>
      </w:r>
      <w:r w:rsidRPr="001F5E4C">
        <w:rPr>
          <w:rFonts w:cs="Times New Roman"/>
          <w:szCs w:val="22"/>
          <w:lang w:val="en-US"/>
        </w:rPr>
        <w:t xml:space="preserve"> is the number of units sold in 2000, and p is the proportion that have been scrapped between 2000 and 2012 inclusive and is given by the following function:</w:t>
      </w:r>
    </w:p>
    <w:p w14:paraId="24E3FE70" w14:textId="77777777" w:rsidR="00AD2783" w:rsidRPr="001F5E4C" w:rsidRDefault="00AD2783" w:rsidP="00AD2783">
      <w:pPr>
        <w:rPr>
          <w:rFonts w:cs="Times New Roman"/>
          <w:szCs w:val="22"/>
          <w:lang w:val="en-US"/>
        </w:rPr>
      </w:pPr>
      <w:r w:rsidRPr="001F5E4C">
        <w:rPr>
          <w:rFonts w:cs="Times New Roman"/>
          <w:szCs w:val="22"/>
          <w:lang w:val="en-US"/>
        </w:rPr>
        <w:t>Φ (2012-2000+0.5;μ,σ) = Φ (12.5;μ,σ)</w:t>
      </w:r>
    </w:p>
    <w:p w14:paraId="59A4D126" w14:textId="77777777" w:rsidR="00AD2783" w:rsidRPr="001F5E4C" w:rsidRDefault="00AD2783" w:rsidP="00AD2783">
      <w:pPr>
        <w:rPr>
          <w:rFonts w:cs="Times New Roman"/>
          <w:szCs w:val="22"/>
          <w:lang w:val="en-US"/>
        </w:rPr>
      </w:pPr>
      <w:r w:rsidRPr="001F5E4C">
        <w:rPr>
          <w:rFonts w:cs="Times New Roman"/>
          <w:szCs w:val="22"/>
          <w:lang w:val="en-US"/>
        </w:rPr>
        <w:t>Where Φ (x;μ,σ) is the cumulative distribution function (CDF) of the normal distribution with mean μ and standard deviation σ evaluated at x.</w:t>
      </w:r>
    </w:p>
    <w:p w14:paraId="22F87D11" w14:textId="77777777" w:rsidR="00AD2783" w:rsidRPr="001F5E4C" w:rsidRDefault="00AD2783" w:rsidP="00AD2783">
      <w:pPr>
        <w:rPr>
          <w:rFonts w:cs="Times New Roman"/>
          <w:szCs w:val="22"/>
          <w:lang w:val="en-US"/>
        </w:rPr>
      </w:pPr>
      <w:r w:rsidRPr="001F5E4C">
        <w:rPr>
          <w:rFonts w:cs="Times New Roman"/>
          <w:szCs w:val="22"/>
          <w:lang w:val="en-US"/>
        </w:rPr>
        <w:t>The number of units of a particular vintage that are retired in a given year equates to the number of units sold in the year of the vintage that remained in service at the beginning of the given year, minus the number that remain in service at the end of the given year.</w:t>
      </w:r>
    </w:p>
    <w:p w14:paraId="75D8EA53" w14:textId="05DC4942" w:rsidR="00AD2783" w:rsidRDefault="00AD2783" w:rsidP="00705CFC">
      <w:r w:rsidRPr="001F5E4C">
        <w:rPr>
          <w:rFonts w:cs="Times New Roman"/>
          <w:szCs w:val="22"/>
          <w:lang w:val="en-US"/>
        </w:rPr>
        <w:t>The historical sales data is dissected by refrigerant species to predict the refrigerant mix of the bank and</w:t>
      </w:r>
      <w:r>
        <w:rPr>
          <w:rFonts w:cs="Times New Roman"/>
          <w:szCs w:val="22"/>
          <w:lang w:val="en-US"/>
        </w:rPr>
        <w:t xml:space="preserve"> in</w:t>
      </w:r>
      <w:r w:rsidRPr="001F5E4C">
        <w:rPr>
          <w:rFonts w:cs="Times New Roman"/>
          <w:szCs w:val="22"/>
          <w:lang w:val="en-US"/>
        </w:rPr>
        <w:t xml:space="preserve"> retiring equipment.</w:t>
      </w:r>
      <w:r>
        <w:rPr>
          <w:rFonts w:cs="Times New Roman"/>
          <w:szCs w:val="22"/>
          <w:lang w:val="en-US"/>
        </w:rPr>
        <w:t xml:space="preserve"> This methodology has been refined further for end-of-life </w:t>
      </w:r>
      <w:r w:rsidR="001F64CE">
        <w:rPr>
          <w:rFonts w:cs="Times New Roman"/>
          <w:szCs w:val="22"/>
          <w:lang w:val="en-US"/>
        </w:rPr>
        <w:t>vehicles</w:t>
      </w:r>
      <w:r>
        <w:rPr>
          <w:rFonts w:cs="Times New Roman"/>
          <w:szCs w:val="22"/>
          <w:lang w:val="en-US"/>
        </w:rPr>
        <w:t xml:space="preserve"> with a </w:t>
      </w:r>
      <w:r w:rsidRPr="008738FD">
        <w:rPr>
          <w:rFonts w:cs="Times New Roman"/>
          <w:szCs w:val="22"/>
          <w:lang w:val="en-US"/>
        </w:rPr>
        <w:t>survival curve which is a normal distribution with a mean retirement age of 18.6 years and a standard deviation of 6.2 years up to age 27, then uniform distribution out to age 64 years where it hits 100% of retirements</w:t>
      </w:r>
      <w:r>
        <w:rPr>
          <w:rFonts w:cs="Times New Roman"/>
          <w:szCs w:val="22"/>
          <w:lang w:val="en-US"/>
        </w:rPr>
        <w:t xml:space="preserve">. This curve simulates actual vehicle registrations in </w:t>
      </w:r>
      <w:r w:rsidRPr="003C63AC">
        <w:t>ABS Census of Motor Vehicles, 2014, TableBuilder</w:t>
      </w:r>
      <w:r>
        <w:t>.</w:t>
      </w:r>
    </w:p>
    <w:p w14:paraId="78202FF2" w14:textId="77777777" w:rsidR="00810532" w:rsidRPr="00810532" w:rsidRDefault="00810532" w:rsidP="00810532">
      <w:pPr>
        <w:spacing w:before="0" w:after="240"/>
        <w:rPr>
          <w:rFonts w:cs="Times New Roman"/>
          <w:szCs w:val="22"/>
          <w:lang w:val="en-US"/>
        </w:rPr>
      </w:pPr>
    </w:p>
    <w:p w14:paraId="205C8646" w14:textId="18B8712C" w:rsidR="008F331C" w:rsidRPr="001F5E4C" w:rsidRDefault="009231F3" w:rsidP="00810532">
      <w:pPr>
        <w:pStyle w:val="Heading3"/>
        <w:spacing w:before="0"/>
      </w:pPr>
      <w:bookmarkStart w:id="197" w:name="_Toc525141313"/>
      <w:r>
        <w:t>Refrigerant</w:t>
      </w:r>
      <w:r w:rsidR="008F331C" w:rsidRPr="001F5E4C">
        <w:t xml:space="preserve"> </w:t>
      </w:r>
      <w:r w:rsidR="008F331C">
        <w:t>c</w:t>
      </w:r>
      <w:r w:rsidR="008F331C" w:rsidRPr="001F5E4C">
        <w:t xml:space="preserve">harges and </w:t>
      </w:r>
      <w:r w:rsidR="008F331C">
        <w:t>s</w:t>
      </w:r>
      <w:r w:rsidR="008F331C" w:rsidRPr="001F5E4C">
        <w:t>pecies</w:t>
      </w:r>
      <w:bookmarkEnd w:id="197"/>
    </w:p>
    <w:p w14:paraId="1897DED5" w14:textId="01A1FD3B" w:rsidR="008F331C" w:rsidRDefault="008F331C" w:rsidP="008F331C">
      <w:pPr>
        <w:rPr>
          <w:rFonts w:cs="Times New Roman"/>
          <w:szCs w:val="22"/>
          <w:lang w:val="en-US"/>
        </w:rPr>
      </w:pPr>
      <w:r w:rsidRPr="001F5E4C">
        <w:rPr>
          <w:rFonts w:cs="Times New Roman"/>
          <w:szCs w:val="22"/>
          <w:lang w:val="en-US"/>
        </w:rPr>
        <w:t xml:space="preserve">The size of the </w:t>
      </w:r>
      <w:r w:rsidR="009231F3">
        <w:rPr>
          <w:rFonts w:cs="Times New Roman"/>
          <w:szCs w:val="22"/>
          <w:lang w:val="en-US"/>
        </w:rPr>
        <w:t>refrigerant</w:t>
      </w:r>
      <w:r w:rsidRPr="001F5E4C">
        <w:rPr>
          <w:rFonts w:cs="Times New Roman"/>
          <w:szCs w:val="22"/>
          <w:lang w:val="en-US"/>
        </w:rPr>
        <w:t xml:space="preserve"> charges </w:t>
      </w:r>
      <w:r w:rsidR="00B67D96">
        <w:rPr>
          <w:rFonts w:cs="Times New Roman"/>
          <w:szCs w:val="22"/>
          <w:lang w:val="en-US"/>
        </w:rPr>
        <w:t xml:space="preserve">and species used </w:t>
      </w:r>
      <w:r w:rsidRPr="001F5E4C">
        <w:rPr>
          <w:rFonts w:cs="Times New Roman"/>
          <w:szCs w:val="22"/>
          <w:lang w:val="en-US"/>
        </w:rPr>
        <w:t>in various equipment classes are known from manufacturers</w:t>
      </w:r>
      <w:r>
        <w:rPr>
          <w:rFonts w:cs="Times New Roman"/>
          <w:szCs w:val="22"/>
          <w:lang w:val="en-US"/>
        </w:rPr>
        <w:t>’</w:t>
      </w:r>
      <w:r w:rsidRPr="001F5E4C">
        <w:rPr>
          <w:rFonts w:cs="Times New Roman"/>
          <w:szCs w:val="22"/>
          <w:lang w:val="en-US"/>
        </w:rPr>
        <w:t xml:space="preserve"> documentation and checks of equipment and appliances in the market. The size of </w:t>
      </w:r>
      <w:r w:rsidR="009231F3">
        <w:rPr>
          <w:rFonts w:cs="Times New Roman"/>
          <w:szCs w:val="22"/>
          <w:lang w:val="en-US"/>
        </w:rPr>
        <w:t>refrigerant</w:t>
      </w:r>
      <w:r w:rsidRPr="001F5E4C">
        <w:rPr>
          <w:rFonts w:cs="Times New Roman"/>
          <w:szCs w:val="22"/>
          <w:lang w:val="en-US"/>
        </w:rPr>
        <w:t xml:space="preserve"> charges can </w:t>
      </w:r>
      <w:r w:rsidR="00B67D96">
        <w:rPr>
          <w:rFonts w:cs="Times New Roman"/>
          <w:szCs w:val="22"/>
          <w:lang w:val="en-US"/>
        </w:rPr>
        <w:t xml:space="preserve">also </w:t>
      </w:r>
      <w:r w:rsidRPr="001F5E4C">
        <w:rPr>
          <w:rFonts w:cs="Times New Roman"/>
          <w:szCs w:val="22"/>
          <w:lang w:val="en-US"/>
        </w:rPr>
        <w:t>be correlated (to some extent) with the input power and size of the compressor employed</w:t>
      </w:r>
      <w:r w:rsidR="00B67D96">
        <w:rPr>
          <w:rFonts w:cs="Times New Roman"/>
          <w:szCs w:val="22"/>
          <w:lang w:val="en-US"/>
        </w:rPr>
        <w:t>,</w:t>
      </w:r>
      <w:r w:rsidRPr="001F5E4C">
        <w:rPr>
          <w:rFonts w:cs="Times New Roman"/>
          <w:szCs w:val="22"/>
          <w:lang w:val="en-US"/>
        </w:rPr>
        <w:t xml:space="preserve"> and the resulting refrigerating capacity of a piece of equipment.</w:t>
      </w:r>
    </w:p>
    <w:p w14:paraId="2D756F24" w14:textId="5B31406D" w:rsidR="008F331C" w:rsidRDefault="008F331C" w:rsidP="008F331C">
      <w:pPr>
        <w:rPr>
          <w:rFonts w:cs="Times New Roman"/>
          <w:szCs w:val="22"/>
          <w:lang w:val="en-US"/>
        </w:rPr>
      </w:pPr>
      <w:r>
        <w:rPr>
          <w:rFonts w:cs="Times New Roman"/>
          <w:szCs w:val="22"/>
          <w:lang w:val="en-US"/>
        </w:rPr>
        <w:t xml:space="preserve">In some </w:t>
      </w:r>
      <w:r w:rsidR="00467DEE">
        <w:rPr>
          <w:rFonts w:cs="Times New Roman"/>
          <w:szCs w:val="22"/>
          <w:lang w:val="en-US"/>
        </w:rPr>
        <w:t>p</w:t>
      </w:r>
      <w:r w:rsidR="00B67D96">
        <w:rPr>
          <w:rFonts w:cs="Times New Roman"/>
          <w:szCs w:val="22"/>
          <w:lang w:val="en-US"/>
        </w:rPr>
        <w:t>roduct</w:t>
      </w:r>
      <w:r>
        <w:rPr>
          <w:rFonts w:cs="Times New Roman"/>
          <w:szCs w:val="22"/>
          <w:lang w:val="en-US"/>
        </w:rPr>
        <w:t xml:space="preserve"> </w:t>
      </w:r>
      <w:r w:rsidR="00467DEE">
        <w:rPr>
          <w:rFonts w:cs="Times New Roman"/>
          <w:szCs w:val="22"/>
          <w:lang w:val="en-US"/>
        </w:rPr>
        <w:t>c</w:t>
      </w:r>
      <w:r>
        <w:rPr>
          <w:rFonts w:cs="Times New Roman"/>
          <w:szCs w:val="22"/>
          <w:lang w:val="en-US"/>
        </w:rPr>
        <w:t xml:space="preserve">ategories the average charge </w:t>
      </w:r>
      <w:r w:rsidR="00B67D96">
        <w:rPr>
          <w:rFonts w:cs="Times New Roman"/>
          <w:szCs w:val="22"/>
          <w:lang w:val="en-US"/>
        </w:rPr>
        <w:t xml:space="preserve">size </w:t>
      </w:r>
      <w:r>
        <w:rPr>
          <w:rFonts w:cs="Times New Roman"/>
          <w:szCs w:val="22"/>
          <w:lang w:val="en-US"/>
        </w:rPr>
        <w:t xml:space="preserve">has </w:t>
      </w:r>
      <w:r w:rsidR="00B67D96">
        <w:rPr>
          <w:rFonts w:cs="Times New Roman"/>
          <w:szCs w:val="22"/>
          <w:lang w:val="en-US"/>
        </w:rPr>
        <w:t xml:space="preserve">been </w:t>
      </w:r>
      <w:r>
        <w:rPr>
          <w:rFonts w:cs="Times New Roman"/>
          <w:szCs w:val="22"/>
          <w:lang w:val="en-US"/>
        </w:rPr>
        <w:t xml:space="preserve">changed to </w:t>
      </w:r>
      <w:r w:rsidR="00B67D96">
        <w:rPr>
          <w:rFonts w:cs="Times New Roman"/>
          <w:szCs w:val="22"/>
          <w:lang w:val="en-US"/>
        </w:rPr>
        <w:t xml:space="preserve">reflect </w:t>
      </w:r>
      <w:r>
        <w:rPr>
          <w:rFonts w:cs="Times New Roman"/>
          <w:szCs w:val="22"/>
          <w:lang w:val="en-US"/>
        </w:rPr>
        <w:t xml:space="preserve">changing average </w:t>
      </w:r>
      <w:r w:rsidR="00B67D96">
        <w:rPr>
          <w:rFonts w:cs="Times New Roman"/>
          <w:szCs w:val="22"/>
          <w:lang w:val="en-US"/>
        </w:rPr>
        <w:t>refrigerating</w:t>
      </w:r>
      <w:r w:rsidR="00402148">
        <w:rPr>
          <w:rFonts w:cs="Times New Roman"/>
          <w:szCs w:val="22"/>
          <w:lang w:val="en-US"/>
        </w:rPr>
        <w:t xml:space="preserve"> </w:t>
      </w:r>
      <w:r>
        <w:rPr>
          <w:rFonts w:cs="Times New Roman"/>
          <w:szCs w:val="22"/>
          <w:lang w:val="en-US"/>
        </w:rPr>
        <w:t>capacity</w:t>
      </w:r>
      <w:r w:rsidR="00B67D96">
        <w:rPr>
          <w:rFonts w:cs="Times New Roman"/>
          <w:szCs w:val="22"/>
          <w:lang w:val="en-US"/>
        </w:rPr>
        <w:t>,</w:t>
      </w:r>
      <w:r>
        <w:rPr>
          <w:rFonts w:cs="Times New Roman"/>
          <w:szCs w:val="22"/>
          <w:lang w:val="en-US"/>
        </w:rPr>
        <w:t xml:space="preserve"> and </w:t>
      </w:r>
      <w:r w:rsidR="00B67D96">
        <w:rPr>
          <w:rFonts w:cs="Times New Roman"/>
          <w:szCs w:val="22"/>
          <w:lang w:val="en-US"/>
        </w:rPr>
        <w:t xml:space="preserve">due to the natural rate of improvement of the </w:t>
      </w:r>
      <w:r>
        <w:rPr>
          <w:rFonts w:cs="Times New Roman"/>
          <w:szCs w:val="22"/>
          <w:lang w:val="en-US"/>
        </w:rPr>
        <w:t xml:space="preserve">technology towards smaller charge sizes. For example, air conditioning systems on large buses and coaches greater than 12 </w:t>
      </w:r>
      <w:r w:rsidR="00577CEF">
        <w:rPr>
          <w:rFonts w:cs="Times New Roman"/>
          <w:szCs w:val="22"/>
          <w:lang w:val="en-US"/>
        </w:rPr>
        <w:t xml:space="preserve">tonnes </w:t>
      </w:r>
      <w:r>
        <w:rPr>
          <w:rFonts w:cs="Times New Roman"/>
          <w:szCs w:val="22"/>
          <w:lang w:val="en-US"/>
        </w:rPr>
        <w:t>GVM had an average charge of 9.0 kg prior to 2012</w:t>
      </w:r>
      <w:r w:rsidR="00B67D96">
        <w:rPr>
          <w:rFonts w:cs="Times New Roman"/>
          <w:szCs w:val="22"/>
          <w:lang w:val="en-US"/>
        </w:rPr>
        <w:t>.</w:t>
      </w:r>
      <w:r w:rsidR="00402148">
        <w:rPr>
          <w:rFonts w:cs="Times New Roman"/>
          <w:szCs w:val="22"/>
          <w:lang w:val="en-US"/>
        </w:rPr>
        <w:t xml:space="preserve"> </w:t>
      </w:r>
      <w:r w:rsidR="00B67D96">
        <w:rPr>
          <w:rFonts w:cs="Times New Roman"/>
          <w:szCs w:val="22"/>
          <w:lang w:val="en-US"/>
        </w:rPr>
        <w:t>F</w:t>
      </w:r>
      <w:r>
        <w:rPr>
          <w:rFonts w:cs="Times New Roman"/>
          <w:szCs w:val="22"/>
          <w:lang w:val="en-US"/>
        </w:rPr>
        <w:t xml:space="preserve">ollowing a detailed review of equipment models from major participants the average charge in 2016 has been revised </w:t>
      </w:r>
      <w:r w:rsidR="00B67D96">
        <w:rPr>
          <w:rFonts w:cs="Times New Roman"/>
          <w:szCs w:val="22"/>
          <w:lang w:val="en-US"/>
        </w:rPr>
        <w:t xml:space="preserve">down </w:t>
      </w:r>
      <w:r>
        <w:rPr>
          <w:rFonts w:cs="Times New Roman"/>
          <w:szCs w:val="22"/>
          <w:lang w:val="en-US"/>
        </w:rPr>
        <w:t>to 5.5 kg.</w:t>
      </w:r>
    </w:p>
    <w:p w14:paraId="0D3585EF" w14:textId="056E1721" w:rsidR="008F331C" w:rsidRPr="001F5E4C" w:rsidRDefault="008F331C" w:rsidP="008F331C">
      <w:pPr>
        <w:rPr>
          <w:rFonts w:cs="Times New Roman"/>
          <w:szCs w:val="22"/>
          <w:lang w:val="en-US"/>
        </w:rPr>
      </w:pPr>
      <w:r>
        <w:rPr>
          <w:rFonts w:cs="Times New Roman"/>
          <w:szCs w:val="22"/>
          <w:lang w:val="en-US"/>
        </w:rPr>
        <w:t xml:space="preserve">The average charge </w:t>
      </w:r>
      <w:r w:rsidR="00B67D96">
        <w:rPr>
          <w:rFonts w:cs="Times New Roman"/>
          <w:szCs w:val="22"/>
          <w:lang w:val="en-US"/>
        </w:rPr>
        <w:t xml:space="preserve">for the same type of equipment with roughly the same refrigerating capacity </w:t>
      </w:r>
      <w:r>
        <w:rPr>
          <w:rFonts w:cs="Times New Roman"/>
          <w:szCs w:val="22"/>
          <w:lang w:val="en-US"/>
        </w:rPr>
        <w:t>can be different by species</w:t>
      </w:r>
      <w:r w:rsidR="00B67D96">
        <w:rPr>
          <w:rFonts w:cs="Times New Roman"/>
          <w:szCs w:val="22"/>
          <w:lang w:val="en-US"/>
        </w:rPr>
        <w:t>.</w:t>
      </w:r>
      <w:r w:rsidR="00402148">
        <w:rPr>
          <w:rFonts w:cs="Times New Roman"/>
          <w:szCs w:val="22"/>
          <w:lang w:val="en-US"/>
        </w:rPr>
        <w:t xml:space="preserve"> </w:t>
      </w:r>
      <w:r w:rsidR="00B67D96">
        <w:rPr>
          <w:rFonts w:cs="Times New Roman"/>
          <w:szCs w:val="22"/>
          <w:lang w:val="en-US"/>
        </w:rPr>
        <w:t>F</w:t>
      </w:r>
      <w:r>
        <w:rPr>
          <w:rFonts w:cs="Times New Roman"/>
          <w:szCs w:val="22"/>
          <w:lang w:val="en-US"/>
        </w:rPr>
        <w:t xml:space="preserve">or </w:t>
      </w:r>
      <w:r w:rsidR="000E5451">
        <w:rPr>
          <w:rFonts w:cs="Times New Roman"/>
          <w:szCs w:val="22"/>
          <w:lang w:val="en-US"/>
        </w:rPr>
        <w:t>example,</w:t>
      </w:r>
      <w:r>
        <w:rPr>
          <w:rFonts w:cs="Times New Roman"/>
          <w:szCs w:val="22"/>
          <w:lang w:val="en-US"/>
        </w:rPr>
        <w:t xml:space="preserve"> the same capacity wall hung split air conditioning system contains an average charge of </w:t>
      </w:r>
      <w:r w:rsidRPr="000E5451">
        <w:rPr>
          <w:rFonts w:cs="Times New Roman"/>
          <w:szCs w:val="22"/>
          <w:lang w:val="en-US"/>
        </w:rPr>
        <w:t>1.7 kg of H</w:t>
      </w:r>
      <w:r w:rsidR="000E5451">
        <w:rPr>
          <w:rFonts w:cs="Times New Roman"/>
          <w:szCs w:val="22"/>
          <w:lang w:val="en-US"/>
        </w:rPr>
        <w:t>C</w:t>
      </w:r>
      <w:r w:rsidRPr="000E5451">
        <w:rPr>
          <w:rFonts w:cs="Times New Roman"/>
          <w:szCs w:val="22"/>
          <w:lang w:val="en-US"/>
        </w:rPr>
        <w:t>FC-</w:t>
      </w:r>
      <w:r w:rsidR="000E5451">
        <w:rPr>
          <w:rFonts w:cs="Times New Roman"/>
          <w:szCs w:val="22"/>
          <w:lang w:val="en-US"/>
        </w:rPr>
        <w:t>22 as this is older technology</w:t>
      </w:r>
      <w:r w:rsidRPr="000E5451">
        <w:rPr>
          <w:rFonts w:cs="Times New Roman"/>
          <w:szCs w:val="22"/>
          <w:lang w:val="en-US"/>
        </w:rPr>
        <w:t xml:space="preserve">, </w:t>
      </w:r>
      <w:r w:rsidR="000E5451">
        <w:rPr>
          <w:rFonts w:cs="Times New Roman"/>
          <w:szCs w:val="22"/>
          <w:lang w:val="en-US"/>
        </w:rPr>
        <w:t xml:space="preserve">1.45 kg of HFC-410A </w:t>
      </w:r>
      <w:r w:rsidRPr="000E5451">
        <w:rPr>
          <w:rFonts w:cs="Times New Roman"/>
          <w:szCs w:val="22"/>
          <w:lang w:val="en-US"/>
        </w:rPr>
        <w:t>and 1.</w:t>
      </w:r>
      <w:r w:rsidR="000E5451">
        <w:rPr>
          <w:rFonts w:cs="Times New Roman"/>
          <w:szCs w:val="22"/>
          <w:lang w:val="en-US"/>
        </w:rPr>
        <w:t>15</w:t>
      </w:r>
      <w:r w:rsidRPr="000E5451">
        <w:rPr>
          <w:rFonts w:cs="Times New Roman"/>
          <w:szCs w:val="22"/>
          <w:lang w:val="en-US"/>
        </w:rPr>
        <w:t xml:space="preserve"> kg of HFC-32.</w:t>
      </w:r>
      <w:r>
        <w:rPr>
          <w:rFonts w:cs="Times New Roman"/>
          <w:szCs w:val="22"/>
          <w:lang w:val="en-US"/>
        </w:rPr>
        <w:t xml:space="preserve"> </w:t>
      </w:r>
    </w:p>
    <w:p w14:paraId="2B378CC0" w14:textId="37299FA6" w:rsidR="008F331C" w:rsidRPr="001F5E4C" w:rsidRDefault="008F331C" w:rsidP="008F331C">
      <w:pPr>
        <w:rPr>
          <w:rFonts w:cs="Times New Roman"/>
          <w:szCs w:val="22"/>
          <w:lang w:val="en-US"/>
        </w:rPr>
      </w:pPr>
      <w:r w:rsidRPr="001F5E4C">
        <w:rPr>
          <w:rFonts w:cs="Times New Roman"/>
          <w:szCs w:val="22"/>
          <w:lang w:val="en-US"/>
        </w:rPr>
        <w:t xml:space="preserve">The </w:t>
      </w:r>
      <w:r w:rsidR="009231F3">
        <w:rPr>
          <w:rFonts w:cs="Times New Roman"/>
          <w:szCs w:val="22"/>
          <w:lang w:val="en-US"/>
        </w:rPr>
        <w:t>refrigerant</w:t>
      </w:r>
      <w:r w:rsidRPr="001F5E4C">
        <w:rPr>
          <w:rFonts w:cs="Times New Roman"/>
          <w:szCs w:val="22"/>
          <w:lang w:val="en-US"/>
        </w:rPr>
        <w:t xml:space="preserve"> species most commonly employed in the different products are known, although these are not entirely uniform. The proportion of any product in the stock of equipment that is estimated to employ a particular </w:t>
      </w:r>
      <w:r w:rsidR="009231F3">
        <w:rPr>
          <w:rFonts w:cs="Times New Roman"/>
          <w:szCs w:val="22"/>
          <w:lang w:val="en-US"/>
        </w:rPr>
        <w:t>refrigerant</w:t>
      </w:r>
      <w:r w:rsidRPr="001F5E4C">
        <w:rPr>
          <w:rFonts w:cs="Times New Roman"/>
          <w:szCs w:val="22"/>
          <w:lang w:val="en-US"/>
        </w:rPr>
        <w:t xml:space="preserve"> species can be checked in many cases by the mix of species employed in pre-charged equipment imports in any year, and against information gleaned from bulk importers and wholesalers of </w:t>
      </w:r>
      <w:r w:rsidR="009231F3">
        <w:rPr>
          <w:rFonts w:cs="Times New Roman"/>
          <w:szCs w:val="22"/>
          <w:lang w:val="en-US"/>
        </w:rPr>
        <w:t>refrigerant</w:t>
      </w:r>
      <w:r w:rsidRPr="001F5E4C">
        <w:rPr>
          <w:rFonts w:cs="Times New Roman"/>
          <w:szCs w:val="22"/>
          <w:lang w:val="en-US"/>
        </w:rPr>
        <w:t>.</w:t>
      </w:r>
    </w:p>
    <w:p w14:paraId="0D1F6184" w14:textId="6700326F" w:rsidR="008F331C" w:rsidRDefault="008F331C" w:rsidP="008F331C">
      <w:pPr>
        <w:rPr>
          <w:rFonts w:cs="Times New Roman"/>
          <w:szCs w:val="22"/>
          <w:lang w:val="en-US"/>
        </w:rPr>
      </w:pPr>
      <w:r w:rsidRPr="001F5E4C">
        <w:rPr>
          <w:rFonts w:cs="Times New Roman"/>
          <w:szCs w:val="22"/>
          <w:lang w:val="en-US"/>
        </w:rPr>
        <w:t xml:space="preserve">From 2006 to July 2012 </w:t>
      </w:r>
      <w:r w:rsidR="00A15CC5">
        <w:rPr>
          <w:rFonts w:cs="Times New Roman"/>
          <w:szCs w:val="22"/>
          <w:lang w:val="en-US"/>
        </w:rPr>
        <w:t>the Department</w:t>
      </w:r>
      <w:r w:rsidR="00210FF3">
        <w:rPr>
          <w:rFonts w:cs="Times New Roman"/>
          <w:szCs w:val="22"/>
          <w:lang w:val="en-US"/>
        </w:rPr>
        <w:t xml:space="preserve"> of the Environment and Energy</w:t>
      </w:r>
      <w:r w:rsidR="00A15CC5">
        <w:rPr>
          <w:rFonts w:cs="Times New Roman"/>
          <w:szCs w:val="22"/>
          <w:lang w:val="en-US"/>
        </w:rPr>
        <w:t xml:space="preserve"> p</w:t>
      </w:r>
      <w:r w:rsidRPr="001F5E4C">
        <w:rPr>
          <w:rFonts w:cs="Times New Roman"/>
          <w:szCs w:val="22"/>
          <w:lang w:val="en-US"/>
        </w:rPr>
        <w:t>re-charged equipment import data was dissected into specific</w:t>
      </w:r>
      <w:r>
        <w:rPr>
          <w:rFonts w:cs="Times New Roman"/>
          <w:szCs w:val="22"/>
          <w:lang w:val="en-US"/>
        </w:rPr>
        <w:t xml:space="preserve"> equipment categories including:</w:t>
      </w:r>
    </w:p>
    <w:p w14:paraId="07ECCE89"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Air conditioning chillers;</w:t>
      </w:r>
    </w:p>
    <w:p w14:paraId="22BC1F7C"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Packaged air conditioning equipment; </w:t>
      </w:r>
    </w:p>
    <w:p w14:paraId="261096FD"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Window/wall units; </w:t>
      </w:r>
    </w:p>
    <w:p w14:paraId="657D3190"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Portable air conditioning; </w:t>
      </w:r>
    </w:p>
    <w:p w14:paraId="0EE3505C"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Splits systems (single and multi-head/variable refrigerant flow); </w:t>
      </w:r>
    </w:p>
    <w:p w14:paraId="418E943E"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Aircraft; </w:t>
      </w:r>
    </w:p>
    <w:p w14:paraId="15D9D88E"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Other heat pumps;</w:t>
      </w:r>
    </w:p>
    <w:p w14:paraId="615584BE" w14:textId="019D2AC5"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Mobile air conditioning (vehicles less than and greater than 3.5t gross vehicle mass); </w:t>
      </w:r>
    </w:p>
    <w:p w14:paraId="28D25FF7"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Commercial refrigerated cabinets; </w:t>
      </w:r>
    </w:p>
    <w:p w14:paraId="29B852A2"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Domestic refrigerators and freezers; </w:t>
      </w:r>
    </w:p>
    <w:p w14:paraId="1F46EAC5" w14:textId="0334C3FB"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Transport refrigeration (self and vehicle powered truck refrigeration)</w:t>
      </w:r>
      <w:r w:rsidR="00210FF3">
        <w:rPr>
          <w:rFonts w:ascii="Times New Roman" w:hAnsi="Times New Roman"/>
          <w:lang w:val="en-US"/>
        </w:rPr>
        <w:t>;</w:t>
      </w:r>
      <w:r w:rsidRPr="00F47E8A">
        <w:rPr>
          <w:rFonts w:ascii="Times New Roman" w:hAnsi="Times New Roman"/>
          <w:lang w:val="en-US"/>
        </w:rPr>
        <w:t xml:space="preserve"> and</w:t>
      </w:r>
      <w:r w:rsidR="00210FF3">
        <w:rPr>
          <w:rFonts w:ascii="Times New Roman" w:hAnsi="Times New Roman"/>
          <w:lang w:val="en-US"/>
        </w:rPr>
        <w:t>,</w:t>
      </w:r>
      <w:r w:rsidRPr="00F47E8A">
        <w:rPr>
          <w:rFonts w:ascii="Times New Roman" w:hAnsi="Times New Roman"/>
          <w:lang w:val="en-US"/>
        </w:rPr>
        <w:t xml:space="preserve"> </w:t>
      </w:r>
    </w:p>
    <w:p w14:paraId="7EA939D7"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Other commercial refrigeration categories.  </w:t>
      </w:r>
    </w:p>
    <w:p w14:paraId="3D1CE8BD" w14:textId="3D065F85" w:rsidR="008F331C" w:rsidRDefault="008F331C" w:rsidP="008F331C">
      <w:pPr>
        <w:rPr>
          <w:rFonts w:cs="Times New Roman"/>
          <w:szCs w:val="22"/>
          <w:lang w:val="en-US"/>
        </w:rPr>
      </w:pPr>
      <w:r w:rsidRPr="00E96D15">
        <w:rPr>
          <w:rFonts w:cs="Times New Roman"/>
          <w:szCs w:val="22"/>
          <w:lang w:val="en-US"/>
        </w:rPr>
        <w:t xml:space="preserve">This information provided seven years of history that was reviewed in great detail to form or confirm views about average </w:t>
      </w:r>
      <w:r w:rsidR="009231F3">
        <w:rPr>
          <w:rFonts w:cs="Times New Roman"/>
          <w:szCs w:val="22"/>
          <w:lang w:val="en-US"/>
        </w:rPr>
        <w:t>refrigerant</w:t>
      </w:r>
      <w:r w:rsidRPr="00E96D15">
        <w:rPr>
          <w:rFonts w:cs="Times New Roman"/>
          <w:szCs w:val="22"/>
          <w:lang w:val="en-US"/>
        </w:rPr>
        <w:t xml:space="preserve"> charges in various products, and the dissection and transition of refrigerant species in products.</w:t>
      </w:r>
      <w:r w:rsidR="00A46950">
        <w:rPr>
          <w:rFonts w:cs="Times New Roman"/>
          <w:szCs w:val="22"/>
          <w:lang w:val="en-US"/>
        </w:rPr>
        <w:t xml:space="preserve"> The pre-charged equipment </w:t>
      </w:r>
      <w:r w:rsidR="00A15CC5">
        <w:rPr>
          <w:rFonts w:cs="Times New Roman"/>
          <w:szCs w:val="22"/>
          <w:lang w:val="en-US"/>
        </w:rPr>
        <w:t xml:space="preserve">date collected by the Department </w:t>
      </w:r>
      <w:r w:rsidR="00A46950">
        <w:rPr>
          <w:rFonts w:cs="Times New Roman"/>
          <w:szCs w:val="22"/>
          <w:lang w:val="en-US"/>
        </w:rPr>
        <w:t xml:space="preserve">since </w:t>
      </w:r>
      <w:r w:rsidR="00A46950" w:rsidRPr="00A46950">
        <w:rPr>
          <w:rFonts w:cs="Times New Roman"/>
          <w:szCs w:val="22"/>
          <w:lang w:val="en-US"/>
        </w:rPr>
        <w:t>July 2012</w:t>
      </w:r>
      <w:r w:rsidR="00A46950">
        <w:rPr>
          <w:rFonts w:cs="Times New Roman"/>
          <w:szCs w:val="22"/>
          <w:lang w:val="en-US"/>
        </w:rPr>
        <w:t xml:space="preserve"> has been aggregated into broader equipment categories that require greater interpretation to </w:t>
      </w:r>
      <w:r w:rsidR="00A15CC5">
        <w:rPr>
          <w:rFonts w:cs="Times New Roman"/>
          <w:szCs w:val="22"/>
          <w:lang w:val="en-US"/>
        </w:rPr>
        <w:t>assess average charges and refrigerant types.</w:t>
      </w:r>
    </w:p>
    <w:p w14:paraId="7E9B5439" w14:textId="5009B5FF" w:rsidR="00DC7657" w:rsidRDefault="00DC7657" w:rsidP="00DC7657">
      <w:pPr>
        <w:rPr>
          <w:szCs w:val="22"/>
        </w:rPr>
      </w:pPr>
      <w:r>
        <w:rPr>
          <w:szCs w:val="22"/>
        </w:rPr>
        <w:t xml:space="preserve">The average charge used in the table above is the average charge of the most common species found in that </w:t>
      </w:r>
      <w:r w:rsidR="00F863A5">
        <w:rPr>
          <w:szCs w:val="22"/>
        </w:rPr>
        <w:t>product category</w:t>
      </w:r>
      <w:r>
        <w:rPr>
          <w:szCs w:val="22"/>
        </w:rPr>
        <w:t xml:space="preserve">. Charges of other species used in the same </w:t>
      </w:r>
      <w:r w:rsidR="00F863A5">
        <w:rPr>
          <w:szCs w:val="22"/>
        </w:rPr>
        <w:t>product category</w:t>
      </w:r>
      <w:r>
        <w:rPr>
          <w:szCs w:val="22"/>
        </w:rPr>
        <w:t xml:space="preserve"> may differ to some extent. </w:t>
      </w:r>
    </w:p>
    <w:p w14:paraId="41DB2DA1" w14:textId="0590C58F" w:rsidR="000E5451" w:rsidRDefault="00DC7657" w:rsidP="003270E5">
      <w:pPr>
        <w:rPr>
          <w:rFonts w:cs="Times New Roman"/>
          <w:szCs w:val="22"/>
          <w:lang w:val="en-US"/>
        </w:rPr>
      </w:pPr>
      <w:r>
        <w:rPr>
          <w:szCs w:val="22"/>
        </w:rPr>
        <w:t>R</w:t>
      </w:r>
      <w:r>
        <w:rPr>
          <w:rFonts w:cs="Times New Roman"/>
          <w:szCs w:val="22"/>
          <w:lang w:val="en-US"/>
        </w:rPr>
        <w:t xml:space="preserve">efer to </w:t>
      </w:r>
      <w:r w:rsidR="00F13F58">
        <w:rPr>
          <w:rFonts w:cs="Times New Roman"/>
          <w:i/>
          <w:szCs w:val="22"/>
          <w:lang w:val="en-US"/>
        </w:rPr>
        <w:t>Table 38</w:t>
      </w:r>
      <w:r w:rsidR="007A5FD5" w:rsidRPr="007A5FD5">
        <w:rPr>
          <w:rFonts w:cs="Times New Roman"/>
          <w:i/>
          <w:szCs w:val="22"/>
          <w:lang w:val="en-US"/>
        </w:rPr>
        <w:t xml:space="preserve">: </w:t>
      </w:r>
      <w:r w:rsidR="00F13F58" w:rsidRPr="00F13F58">
        <w:rPr>
          <w:rFonts w:cs="Times New Roman"/>
          <w:i/>
          <w:szCs w:val="22"/>
          <w:lang w:val="en-US"/>
        </w:rPr>
        <w:t>Technical characteristics by product category (average charge, end-of-life factors, service rates, leak rates and average lifespan) for most common substance</w:t>
      </w:r>
      <w:r w:rsidR="00A73D83">
        <w:rPr>
          <w:rFonts w:cs="Times New Roman"/>
          <w:i/>
          <w:szCs w:val="22"/>
          <w:lang w:val="en-US"/>
        </w:rPr>
        <w:t>,</w:t>
      </w:r>
      <w:r w:rsidR="007A5FD5">
        <w:rPr>
          <w:rFonts w:cs="Times New Roman"/>
          <w:szCs w:val="22"/>
          <w:lang w:val="en-US"/>
        </w:rPr>
        <w:t xml:space="preserve"> for </w:t>
      </w:r>
      <w:r>
        <w:rPr>
          <w:rFonts w:cs="Times New Roman"/>
          <w:szCs w:val="22"/>
          <w:lang w:val="en-US"/>
        </w:rPr>
        <w:t xml:space="preserve">average charges applied to all </w:t>
      </w:r>
      <w:r w:rsidR="000E5451">
        <w:rPr>
          <w:rFonts w:cs="Times New Roman"/>
          <w:szCs w:val="22"/>
          <w:lang w:val="en-US"/>
        </w:rPr>
        <w:t>p</w:t>
      </w:r>
      <w:r>
        <w:rPr>
          <w:rFonts w:cs="Times New Roman"/>
          <w:szCs w:val="22"/>
          <w:lang w:val="en-US"/>
        </w:rPr>
        <w:t xml:space="preserve">roduct </w:t>
      </w:r>
      <w:r w:rsidR="000E5451">
        <w:rPr>
          <w:rFonts w:cs="Times New Roman"/>
          <w:szCs w:val="22"/>
          <w:lang w:val="en-US"/>
        </w:rPr>
        <w:t>c</w:t>
      </w:r>
      <w:r>
        <w:rPr>
          <w:rFonts w:cs="Times New Roman"/>
          <w:szCs w:val="22"/>
          <w:lang w:val="en-US"/>
        </w:rPr>
        <w:t>ategories in the taxonomy</w:t>
      </w:r>
      <w:r w:rsidR="007A5FD5">
        <w:rPr>
          <w:rFonts w:cs="Times New Roman"/>
          <w:szCs w:val="22"/>
          <w:lang w:val="en-US"/>
        </w:rPr>
        <w:t>.</w:t>
      </w:r>
    </w:p>
    <w:p w14:paraId="7EE07FB9" w14:textId="77777777" w:rsidR="00810532" w:rsidRDefault="00810532" w:rsidP="003270E5">
      <w:pPr>
        <w:rPr>
          <w:rFonts w:cs="Times New Roman"/>
          <w:szCs w:val="22"/>
          <w:lang w:val="en-US"/>
        </w:rPr>
      </w:pPr>
    </w:p>
    <w:p w14:paraId="7C8FB497" w14:textId="60408477" w:rsidR="00BA3F6C" w:rsidRDefault="003C0683" w:rsidP="003C0683">
      <w:pPr>
        <w:pStyle w:val="Heading3"/>
      </w:pPr>
      <w:bookmarkStart w:id="198" w:name="_Toc525141314"/>
      <w:r>
        <w:t xml:space="preserve">Small MAC </w:t>
      </w:r>
      <w:r w:rsidR="00D72BFF">
        <w:t>r</w:t>
      </w:r>
      <w:r w:rsidR="00451C08">
        <w:t>efrigerant</w:t>
      </w:r>
      <w:r w:rsidRPr="001F5E4C">
        <w:t xml:space="preserve"> </w:t>
      </w:r>
      <w:r>
        <w:t>c</w:t>
      </w:r>
      <w:r w:rsidRPr="001F5E4C">
        <w:t>harges</w:t>
      </w:r>
      <w:bookmarkEnd w:id="198"/>
      <w:r>
        <w:t xml:space="preserve"> </w:t>
      </w:r>
    </w:p>
    <w:p w14:paraId="3010006A" w14:textId="436C7A0D" w:rsidR="00BA3F6C" w:rsidRDefault="00BA3F6C" w:rsidP="00BA3F6C">
      <w:pPr>
        <w:rPr>
          <w:rFonts w:cs="Times New Roman"/>
          <w:lang w:val="en-AU"/>
        </w:rPr>
      </w:pPr>
      <w:r>
        <w:rPr>
          <w:rFonts w:cs="Times New Roman"/>
          <w:lang w:val="en-AU"/>
        </w:rPr>
        <w:t xml:space="preserve">The </w:t>
      </w:r>
      <w:r w:rsidR="000E5451">
        <w:rPr>
          <w:rFonts w:cs="Times New Roman"/>
          <w:lang w:val="en-AU"/>
        </w:rPr>
        <w:t xml:space="preserve">CHF3 </w:t>
      </w:r>
      <w:r w:rsidR="000951E5">
        <w:rPr>
          <w:rFonts w:cs="Times New Roman"/>
          <w:lang w:val="en-AU"/>
        </w:rPr>
        <w:t>RAC Stock model</w:t>
      </w:r>
      <w:r>
        <w:rPr>
          <w:rFonts w:cs="Times New Roman"/>
          <w:lang w:val="en-AU"/>
        </w:rPr>
        <w:t xml:space="preserve"> uses both ABS sales (</w:t>
      </w:r>
      <w:r w:rsidRPr="002106DF">
        <w:rPr>
          <w:rFonts w:cs="Times New Roman"/>
          <w:lang w:val="en-AU"/>
        </w:rPr>
        <w:t>ABS 9314.0 2017</w:t>
      </w:r>
      <w:r>
        <w:rPr>
          <w:rFonts w:cs="Times New Roman"/>
          <w:lang w:val="en-AU"/>
        </w:rPr>
        <w:t xml:space="preserve">) and registration data (ABS 93090.0 2017) to calculate the current fleet of small MAC comprising </w:t>
      </w:r>
      <w:r w:rsidR="000E5451">
        <w:rPr>
          <w:rFonts w:cs="Times New Roman"/>
          <w:lang w:val="en-AU"/>
        </w:rPr>
        <w:t>p</w:t>
      </w:r>
      <w:r w:rsidRPr="002106DF">
        <w:rPr>
          <w:rFonts w:cs="Times New Roman"/>
          <w:lang w:val="en-AU"/>
        </w:rPr>
        <w:t xml:space="preserve">assenger </w:t>
      </w:r>
      <w:r>
        <w:rPr>
          <w:rFonts w:cs="Times New Roman"/>
          <w:lang w:val="en-AU"/>
        </w:rPr>
        <w:t xml:space="preserve">and </w:t>
      </w:r>
      <w:r w:rsidR="000E5451">
        <w:rPr>
          <w:rFonts w:cs="Times New Roman"/>
          <w:lang w:val="en-AU"/>
        </w:rPr>
        <w:t>l</w:t>
      </w:r>
      <w:r w:rsidRPr="002106DF">
        <w:rPr>
          <w:rFonts w:cs="Times New Roman"/>
          <w:lang w:val="en-AU"/>
        </w:rPr>
        <w:t>ight commercial vehicles</w:t>
      </w:r>
      <w:r w:rsidR="00210FF3">
        <w:rPr>
          <w:rFonts w:cs="Times New Roman"/>
          <w:lang w:val="en-AU"/>
        </w:rPr>
        <w:t xml:space="preserve">, </w:t>
      </w:r>
      <w:r>
        <w:rPr>
          <w:rFonts w:cs="Times New Roman"/>
          <w:lang w:val="en-AU"/>
        </w:rPr>
        <w:t>r</w:t>
      </w:r>
      <w:r w:rsidRPr="002106DF">
        <w:rPr>
          <w:rFonts w:cs="Times New Roman"/>
          <w:lang w:val="en-AU"/>
        </w:rPr>
        <w:t>igid trucks</w:t>
      </w:r>
      <w:r w:rsidR="00210FF3">
        <w:rPr>
          <w:rFonts w:cs="Times New Roman"/>
          <w:lang w:val="en-AU"/>
        </w:rPr>
        <w:t>,</w:t>
      </w:r>
      <w:r>
        <w:rPr>
          <w:rFonts w:cs="Times New Roman"/>
          <w:lang w:val="en-AU"/>
        </w:rPr>
        <w:t xml:space="preserve"> a</w:t>
      </w:r>
      <w:r w:rsidRPr="002106DF">
        <w:rPr>
          <w:rFonts w:cs="Times New Roman"/>
          <w:lang w:val="en-AU"/>
        </w:rPr>
        <w:t>rticulated trucks</w:t>
      </w:r>
      <w:r w:rsidR="00210FF3">
        <w:rPr>
          <w:rFonts w:cs="Times New Roman"/>
          <w:lang w:val="en-AU"/>
        </w:rPr>
        <w:t>,</w:t>
      </w:r>
      <w:r>
        <w:rPr>
          <w:rFonts w:cs="Times New Roman"/>
          <w:lang w:val="en-AU"/>
        </w:rPr>
        <w:t xml:space="preserve"> n</w:t>
      </w:r>
      <w:r w:rsidRPr="002106DF">
        <w:rPr>
          <w:rFonts w:cs="Times New Roman"/>
          <w:lang w:val="en-AU"/>
        </w:rPr>
        <w:t>on-freight trucks</w:t>
      </w:r>
      <w:r w:rsidR="00210FF3">
        <w:rPr>
          <w:rFonts w:cs="Times New Roman"/>
          <w:lang w:val="en-AU"/>
        </w:rPr>
        <w:t>.</w:t>
      </w:r>
      <w:r>
        <w:rPr>
          <w:rFonts w:cs="Times New Roman"/>
          <w:lang w:val="en-AU"/>
        </w:rPr>
        <w:t xml:space="preserve"> and small buses with a </w:t>
      </w:r>
      <w:r w:rsidRPr="00F86A6D">
        <w:rPr>
          <w:rFonts w:cs="Times New Roman"/>
          <w:lang w:val="en-AU"/>
        </w:rPr>
        <w:t>G</w:t>
      </w:r>
      <w:r>
        <w:rPr>
          <w:rFonts w:cs="Times New Roman"/>
          <w:lang w:val="en-AU"/>
        </w:rPr>
        <w:t xml:space="preserve">VM less than 4.5 </w:t>
      </w:r>
      <w:r w:rsidR="001F64CE">
        <w:rPr>
          <w:rFonts w:cs="Times New Roman"/>
          <w:lang w:val="en-AU"/>
        </w:rPr>
        <w:t>tonnes and</w:t>
      </w:r>
      <w:r>
        <w:rPr>
          <w:rFonts w:cs="Times New Roman"/>
          <w:lang w:val="en-AU"/>
        </w:rPr>
        <w:t xml:space="preserve"> assumes 100% of vehicles manufactured after 2000 contain air conditioning.</w:t>
      </w:r>
    </w:p>
    <w:p w14:paraId="6A0B3C66" w14:textId="68219AD4" w:rsidR="00A43A03" w:rsidRDefault="00A43A03" w:rsidP="00BA3F6C">
      <w:pPr>
        <w:rPr>
          <w:rFonts w:cs="Times New Roman"/>
          <w:lang w:val="en-AU"/>
        </w:rPr>
      </w:pPr>
      <w:r>
        <w:rPr>
          <w:rFonts w:cs="Times New Roman"/>
          <w:lang w:val="en-AU"/>
        </w:rPr>
        <w:t xml:space="preserve">The </w:t>
      </w:r>
      <w:r w:rsidR="000951E5">
        <w:rPr>
          <w:rFonts w:cs="Times New Roman"/>
          <w:lang w:val="en-AU"/>
        </w:rPr>
        <w:t>RAC Stock model</w:t>
      </w:r>
      <w:r>
        <w:rPr>
          <w:rFonts w:cs="Times New Roman"/>
          <w:lang w:val="en-AU"/>
        </w:rPr>
        <w:t xml:space="preserve"> uses the polynomial in </w:t>
      </w:r>
      <w:r w:rsidRPr="00A73D83">
        <w:rPr>
          <w:rFonts w:cs="Times New Roman"/>
          <w:i/>
          <w:lang w:val="en-AU"/>
        </w:rPr>
        <w:t>Figure</w:t>
      </w:r>
      <w:r w:rsidR="00E5701B">
        <w:rPr>
          <w:rFonts w:cs="Times New Roman"/>
          <w:i/>
          <w:lang w:val="en-AU"/>
        </w:rPr>
        <w:t xml:space="preserve"> 5</w:t>
      </w:r>
      <w:r w:rsidR="0023612A">
        <w:rPr>
          <w:rFonts w:cs="Times New Roman"/>
          <w:i/>
          <w:lang w:val="en-AU"/>
        </w:rPr>
        <w:t>3</w:t>
      </w:r>
      <w:r>
        <w:rPr>
          <w:rFonts w:cs="Times New Roman"/>
          <w:lang w:val="en-AU"/>
        </w:rPr>
        <w:t xml:space="preserve"> to calculate average </w:t>
      </w:r>
      <w:r w:rsidR="00210FF3">
        <w:rPr>
          <w:rFonts w:cs="Times New Roman"/>
          <w:lang w:val="en-AU"/>
        </w:rPr>
        <w:t xml:space="preserve">charge </w:t>
      </w:r>
      <w:r>
        <w:rPr>
          <w:rFonts w:cs="Times New Roman"/>
          <w:lang w:val="en-AU"/>
        </w:rPr>
        <w:t>by yea</w:t>
      </w:r>
      <w:r w:rsidR="00810532">
        <w:rPr>
          <w:rFonts w:cs="Times New Roman"/>
          <w:lang w:val="en-AU"/>
        </w:rPr>
        <w:t>r of manufacture for Small MAC.</w:t>
      </w:r>
    </w:p>
    <w:p w14:paraId="3B0FCC69" w14:textId="77777777" w:rsidR="00810532" w:rsidRDefault="00810532" w:rsidP="00BA3F6C">
      <w:pPr>
        <w:rPr>
          <w:rFonts w:cs="Times New Roman"/>
          <w:lang w:val="en-AU"/>
        </w:rPr>
      </w:pPr>
    </w:p>
    <w:tbl>
      <w:tblPr>
        <w:tblW w:w="9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6"/>
      </w:tblGrid>
      <w:tr w:rsidR="00196929" w:rsidRPr="00613398" w14:paraId="097F07BE" w14:textId="77777777" w:rsidTr="00D8549E">
        <w:tc>
          <w:tcPr>
            <w:tcW w:w="9826" w:type="dxa"/>
            <w:vAlign w:val="center"/>
          </w:tcPr>
          <w:p w14:paraId="3D693E12" w14:textId="4BFD98C9" w:rsidR="00196929" w:rsidRPr="00613398" w:rsidRDefault="00196929" w:rsidP="00196929">
            <w:pPr>
              <w:spacing w:after="120"/>
              <w:jc w:val="center"/>
              <w:rPr>
                <w:rFonts w:cs="Times New Roman"/>
                <w:b/>
              </w:rPr>
            </w:pPr>
            <w:r w:rsidRPr="00613398">
              <w:rPr>
                <w:rFonts w:cs="Times New Roman"/>
                <w:b/>
              </w:rPr>
              <w:br w:type="page"/>
            </w:r>
            <w:r>
              <w:rPr>
                <w:rFonts w:cs="Times New Roman"/>
                <w:b/>
              </w:rPr>
              <w:t>Small MAC: Average charge by year of manufacture</w:t>
            </w:r>
          </w:p>
        </w:tc>
      </w:tr>
      <w:tr w:rsidR="00196929" w:rsidRPr="000F7FAE" w14:paraId="68DFE07D" w14:textId="77777777" w:rsidTr="00D8549E">
        <w:tc>
          <w:tcPr>
            <w:tcW w:w="9826" w:type="dxa"/>
            <w:vAlign w:val="center"/>
          </w:tcPr>
          <w:p w14:paraId="6958B746" w14:textId="77777777" w:rsidR="00196929" w:rsidRPr="000F7FAE" w:rsidRDefault="00196929" w:rsidP="00CE3D18">
            <w:pPr>
              <w:spacing w:before="60" w:after="60"/>
              <w:jc w:val="center"/>
              <w:rPr>
                <w:sz w:val="16"/>
                <w:szCs w:val="16"/>
              </w:rPr>
            </w:pPr>
          </w:p>
          <w:p w14:paraId="29A2E2B4" w14:textId="5712C60C" w:rsidR="00196929" w:rsidRPr="000F7FAE" w:rsidRDefault="00A43A03" w:rsidP="00810532">
            <w:pPr>
              <w:spacing w:before="60" w:after="60"/>
              <w:jc w:val="center"/>
              <w:rPr>
                <w:sz w:val="16"/>
                <w:szCs w:val="16"/>
              </w:rPr>
            </w:pPr>
            <w:r>
              <w:rPr>
                <w:noProof/>
                <w:lang w:val="en-AU" w:eastAsia="en-AU"/>
              </w:rPr>
              <w:drawing>
                <wp:inline distT="0" distB="0" distL="0" distR="0" wp14:anchorId="58403D53" wp14:editId="1C17B874">
                  <wp:extent cx="4685288" cy="278624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76271" cy="2840346"/>
                          </a:xfrm>
                          <a:prstGeom prst="rect">
                            <a:avLst/>
                          </a:prstGeom>
                        </pic:spPr>
                      </pic:pic>
                    </a:graphicData>
                  </a:graphic>
                </wp:inline>
              </w:drawing>
            </w:r>
          </w:p>
        </w:tc>
      </w:tr>
      <w:tr w:rsidR="00196929" w:rsidRPr="00923150" w14:paraId="6B0D0DC8" w14:textId="77777777" w:rsidTr="00D8549E">
        <w:tc>
          <w:tcPr>
            <w:tcW w:w="9826" w:type="dxa"/>
            <w:vAlign w:val="center"/>
          </w:tcPr>
          <w:p w14:paraId="6FB41817" w14:textId="765DB042" w:rsidR="00196929" w:rsidRPr="0023612A" w:rsidRDefault="0023612A" w:rsidP="0023612A">
            <w:pPr>
              <w:pStyle w:val="Caption"/>
            </w:pPr>
            <w:bookmarkStart w:id="199" w:name="_Toc525141384"/>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53</w:t>
            </w:r>
            <w:r w:rsidR="009D6843">
              <w:rPr>
                <w:noProof/>
              </w:rPr>
              <w:fldChar w:fldCharType="end"/>
            </w:r>
            <w:r w:rsidR="00196929" w:rsidRPr="0023612A">
              <w:rPr>
                <w:bCs w:val="0"/>
              </w:rPr>
              <w:t xml:space="preserve">: Polynomial used in </w:t>
            </w:r>
            <w:r w:rsidR="000951E5" w:rsidRPr="0023612A">
              <w:rPr>
                <w:bCs w:val="0"/>
              </w:rPr>
              <w:t>RAC Stock model</w:t>
            </w:r>
            <w:r w:rsidR="00196929" w:rsidRPr="0023612A">
              <w:rPr>
                <w:bCs w:val="0"/>
              </w:rPr>
              <w:t xml:space="preserve"> based on sample of more than 10,000 vehicles.</w:t>
            </w:r>
            <w:bookmarkEnd w:id="199"/>
          </w:p>
        </w:tc>
      </w:tr>
    </w:tbl>
    <w:p w14:paraId="7DD9EB3E" w14:textId="5AA18624" w:rsidR="00196929" w:rsidRPr="009D0727" w:rsidRDefault="009D0727" w:rsidP="009D0727">
      <w:pPr>
        <w:pStyle w:val="Heading3"/>
      </w:pPr>
      <w:bookmarkStart w:id="200" w:name="_Toc525141315"/>
      <w:r w:rsidRPr="009D0727">
        <w:t xml:space="preserve">Proportion of hydrocarbon in </w:t>
      </w:r>
      <w:r>
        <w:t xml:space="preserve">small </w:t>
      </w:r>
      <w:r w:rsidRPr="009D0727">
        <w:t>MAC</w:t>
      </w:r>
      <w:bookmarkEnd w:id="200"/>
    </w:p>
    <w:p w14:paraId="01DCE4B9" w14:textId="5FBB0A84" w:rsidR="009D0727" w:rsidRPr="009D0727" w:rsidRDefault="009D0727" w:rsidP="009D0727">
      <w:pPr>
        <w:rPr>
          <w:rFonts w:cs="Times New Roman"/>
          <w:lang w:val="en-AU"/>
        </w:rPr>
      </w:pPr>
      <w:r w:rsidRPr="009D0727">
        <w:rPr>
          <w:rFonts w:cs="Times New Roman"/>
          <w:lang w:val="en-AU"/>
        </w:rPr>
        <w:t>The estimated portion of the fleet containing hydrocarbon in 2012 has been revised down to 3.8%, and the 2016 estimate is at most 4.2%, which equates to around 743,000 vehicles.</w:t>
      </w:r>
      <w:r>
        <w:rPr>
          <w:rFonts w:cs="Times New Roman"/>
          <w:lang w:val="en-AU"/>
        </w:rPr>
        <w:t xml:space="preserve"> </w:t>
      </w:r>
      <w:r w:rsidRPr="009D0727">
        <w:rPr>
          <w:rFonts w:cs="Times New Roman"/>
          <w:lang w:val="en-AU"/>
        </w:rPr>
        <w:t xml:space="preserve">The </w:t>
      </w:r>
      <w:r w:rsidR="000E5451">
        <w:rPr>
          <w:rFonts w:cs="Times New Roman"/>
          <w:lang w:val="en-AU"/>
        </w:rPr>
        <w:t xml:space="preserve">CHF3 </w:t>
      </w:r>
      <w:r w:rsidR="000951E5">
        <w:rPr>
          <w:rFonts w:cs="Times New Roman"/>
          <w:lang w:val="en-AU"/>
        </w:rPr>
        <w:t>RAC Stock model</w:t>
      </w:r>
      <w:r w:rsidRPr="009D0727">
        <w:rPr>
          <w:rFonts w:cs="Times New Roman"/>
          <w:lang w:val="en-AU"/>
        </w:rPr>
        <w:t xml:space="preserve"> estimates the number of vehicles charged with hydrocarbon based on the following method</w:t>
      </w:r>
      <w:r>
        <w:rPr>
          <w:rFonts w:cs="Times New Roman"/>
          <w:lang w:val="en-AU"/>
        </w:rPr>
        <w:t xml:space="preserve"> and assumptions</w:t>
      </w:r>
      <w:r w:rsidRPr="009D0727">
        <w:rPr>
          <w:rFonts w:cs="Times New Roman"/>
          <w:lang w:val="en-AU"/>
        </w:rPr>
        <w:t>:</w:t>
      </w:r>
    </w:p>
    <w:p w14:paraId="23D881CD" w14:textId="4FB9F371" w:rsidR="009D0727" w:rsidRDefault="001F64CE" w:rsidP="009D0727">
      <w:pPr>
        <w:rPr>
          <w:rFonts w:cs="Times New Roman"/>
          <w:lang w:val="en-AU"/>
        </w:rPr>
      </w:pPr>
      <w:r>
        <w:rPr>
          <w:rFonts w:cs="Times New Roman"/>
          <w:lang w:val="en-AU"/>
        </w:rPr>
        <w:t>Calculation</w:t>
      </w:r>
      <w:r w:rsidR="009D0727">
        <w:rPr>
          <w:rFonts w:cs="Times New Roman"/>
          <w:lang w:val="en-AU"/>
        </w:rPr>
        <w:t xml:space="preserve"> method:</w:t>
      </w:r>
    </w:p>
    <w:p w14:paraId="123F4FBF" w14:textId="58980C73"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 xml:space="preserve">The annual supply of hydrocarbon, less service </w:t>
      </w:r>
      <w:r w:rsidR="003B795E">
        <w:rPr>
          <w:rFonts w:ascii="Times New Roman" w:hAnsi="Times New Roman"/>
          <w:lang w:val="en-AU"/>
        </w:rPr>
        <w:t>us</w:t>
      </w:r>
      <w:r w:rsidR="00AC10A1">
        <w:rPr>
          <w:rFonts w:ascii="Times New Roman" w:hAnsi="Times New Roman"/>
          <w:lang w:val="en-AU"/>
        </w:rPr>
        <w:t>age</w:t>
      </w:r>
      <w:r w:rsidR="003B795E" w:rsidRPr="009D0727">
        <w:rPr>
          <w:rFonts w:ascii="Times New Roman" w:hAnsi="Times New Roman"/>
          <w:lang w:val="en-AU"/>
        </w:rPr>
        <w:t xml:space="preserve"> </w:t>
      </w:r>
      <w:r w:rsidRPr="009D0727">
        <w:rPr>
          <w:rFonts w:ascii="Times New Roman" w:hAnsi="Times New Roman"/>
          <w:lang w:val="en-AU"/>
        </w:rPr>
        <w:t>equals volume available for conversions.</w:t>
      </w:r>
    </w:p>
    <w:p w14:paraId="21E31142" w14:textId="52B1DC4D"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The volume available for conversions, adds vehicles to the hydrocarbon fleet.</w:t>
      </w:r>
    </w:p>
    <w:p w14:paraId="1F19C44E" w14:textId="72FF6DE7"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The attrition rate retires vehicles from the hydrocarbon fleet.</w:t>
      </w:r>
    </w:p>
    <w:p w14:paraId="3A8CA812" w14:textId="0BB3A6B8"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 xml:space="preserve">The number of hydrocarbon charged vehicles at the commencement of the following </w:t>
      </w:r>
      <w:r w:rsidR="00210FF3">
        <w:rPr>
          <w:rFonts w:ascii="Times New Roman" w:hAnsi="Times New Roman"/>
          <w:lang w:val="en-AU"/>
        </w:rPr>
        <w:t xml:space="preserve">year </w:t>
      </w:r>
      <w:r w:rsidRPr="009D0727">
        <w:rPr>
          <w:rFonts w:ascii="Times New Roman" w:hAnsi="Times New Roman"/>
          <w:lang w:val="en-AU"/>
        </w:rPr>
        <w:t>is the starting fleet</w:t>
      </w:r>
      <w:r w:rsidR="00210FF3">
        <w:rPr>
          <w:rFonts w:ascii="Times New Roman" w:hAnsi="Times New Roman"/>
          <w:lang w:val="en-AU"/>
        </w:rPr>
        <w:t>,</w:t>
      </w:r>
      <w:r w:rsidRPr="009D0727">
        <w:rPr>
          <w:rFonts w:ascii="Times New Roman" w:hAnsi="Times New Roman"/>
          <w:lang w:val="en-AU"/>
        </w:rPr>
        <w:t xml:space="preserve"> plus conversion, less retirements.</w:t>
      </w:r>
    </w:p>
    <w:p w14:paraId="2F0FF744" w14:textId="77777777" w:rsidR="009D0727" w:rsidRPr="009D0727" w:rsidRDefault="009D0727" w:rsidP="009D0727">
      <w:pPr>
        <w:rPr>
          <w:rFonts w:cs="Times New Roman"/>
          <w:lang w:val="en-AU"/>
        </w:rPr>
      </w:pPr>
      <w:r w:rsidRPr="009D0727">
        <w:rPr>
          <w:rFonts w:cs="Times New Roman"/>
          <w:lang w:val="en-AU"/>
        </w:rPr>
        <w:t>Assumptions:</w:t>
      </w:r>
    </w:p>
    <w:p w14:paraId="128DBD27" w14:textId="1CF12C06"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Number of vehicles charged with HC in 2002 is 50,000.</w:t>
      </w:r>
    </w:p>
    <w:p w14:paraId="629E45A7" w14:textId="139AA68B"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Average age of vehicle converted is greater than 10 years.</w:t>
      </w:r>
      <w:r w:rsidRPr="009D0727">
        <w:rPr>
          <w:rFonts w:ascii="Times New Roman" w:hAnsi="Times New Roman"/>
          <w:lang w:val="en-AU"/>
        </w:rPr>
        <w:tab/>
      </w:r>
    </w:p>
    <w:p w14:paraId="6CE2F241" w14:textId="5E4FE181"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Attrition rate of vehicles greater than 10 years old is 10%.</w:t>
      </w:r>
    </w:p>
    <w:p w14:paraId="5974989B" w14:textId="21D7662F"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Annual leak rate is 10%.</w:t>
      </w:r>
    </w:p>
    <w:p w14:paraId="690F48D9" w14:textId="1655DC34"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Proportion HC charge to 134a based on mass is 30%.</w:t>
      </w:r>
    </w:p>
    <w:p w14:paraId="0A6AA52C" w14:textId="0C6431D8" w:rsidR="009D0727" w:rsidRPr="009D0727" w:rsidRDefault="009D0727" w:rsidP="00FC735C">
      <w:pPr>
        <w:pStyle w:val="ListParagraph"/>
        <w:numPr>
          <w:ilvl w:val="0"/>
          <w:numId w:val="15"/>
        </w:numPr>
        <w:spacing w:before="120" w:after="0" w:line="240" w:lineRule="auto"/>
        <w:ind w:left="357" w:hanging="357"/>
        <w:contextualSpacing w:val="0"/>
        <w:rPr>
          <w:lang w:val="en-AU"/>
        </w:rPr>
      </w:pPr>
      <w:r w:rsidRPr="009D0727">
        <w:rPr>
          <w:rFonts w:ascii="Times New Roman" w:hAnsi="Times New Roman"/>
          <w:lang w:val="en-AU"/>
        </w:rPr>
        <w:t>Growth in aggregate supply beyond 2016 is 2% per annum</w:t>
      </w:r>
      <w:r w:rsidRPr="009D0727">
        <w:rPr>
          <w:lang w:val="en-AU"/>
        </w:rPr>
        <w:t>.</w:t>
      </w:r>
    </w:p>
    <w:p w14:paraId="47E9CD74" w14:textId="38FF501B" w:rsidR="00BA3F6C" w:rsidRDefault="009D0727" w:rsidP="003270E5">
      <w:pPr>
        <w:rPr>
          <w:rFonts w:cs="Times New Roman"/>
          <w:lang w:val="en-AU"/>
        </w:rPr>
      </w:pPr>
      <w:r w:rsidRPr="009D0727">
        <w:rPr>
          <w:rFonts w:cs="Times New Roman"/>
          <w:lang w:val="en-AU"/>
        </w:rPr>
        <w:t>The annual aggregate supply of hydrocarbon to the automotive market was provided in confidence by all market participants.</w:t>
      </w:r>
    </w:p>
    <w:p w14:paraId="35B0EC95" w14:textId="77777777" w:rsidR="00A813E5" w:rsidRDefault="00A813E5" w:rsidP="003270E5">
      <w:pPr>
        <w:rPr>
          <w:rFonts w:cs="Times New Roman"/>
          <w:lang w:val="en-AU"/>
        </w:rPr>
      </w:pPr>
    </w:p>
    <w:p w14:paraId="2246D239" w14:textId="5ECA1472" w:rsidR="00A813E5" w:rsidRDefault="00A813E5" w:rsidP="00A813E5">
      <w:pPr>
        <w:pStyle w:val="Heading3"/>
      </w:pPr>
      <w:bookmarkStart w:id="201" w:name="_Toc525141316"/>
      <w:r>
        <w:t>Surveys of mobile air conditioner refrige</w:t>
      </w:r>
      <w:r w:rsidR="00923182">
        <w:t>r</w:t>
      </w:r>
      <w:r>
        <w:t>ants</w:t>
      </w:r>
      <w:bookmarkEnd w:id="201"/>
    </w:p>
    <w:p w14:paraId="23A07247" w14:textId="2626B5F4" w:rsidR="00A813E5" w:rsidRPr="00A813E5" w:rsidRDefault="00A813E5" w:rsidP="00A813E5">
      <w:pPr>
        <w:rPr>
          <w:rFonts w:cs="Times New Roman"/>
          <w:lang w:val="en-AU"/>
        </w:rPr>
      </w:pPr>
      <w:r w:rsidRPr="00A813E5">
        <w:rPr>
          <w:rFonts w:cs="Times New Roman"/>
          <w:lang w:val="en-AU"/>
        </w:rPr>
        <w:t>Refrigerant Reclaim Australia (RRA) ha</w:t>
      </w:r>
      <w:r w:rsidR="00D72BFF">
        <w:rPr>
          <w:rFonts w:cs="Times New Roman"/>
          <w:lang w:val="en-AU"/>
        </w:rPr>
        <w:t>s</w:t>
      </w:r>
      <w:r w:rsidRPr="00A813E5">
        <w:rPr>
          <w:rFonts w:cs="Times New Roman"/>
          <w:lang w:val="en-AU"/>
        </w:rPr>
        <w:t xml:space="preserve"> conducted more than 2,000 inspections of passenger and light commercial vehicles between 2013 to 2017 to analyse the refrigerants in mobile air conditioners. </w:t>
      </w:r>
    </w:p>
    <w:p w14:paraId="5D4CC188" w14:textId="1569DF74" w:rsidR="00A813E5" w:rsidRPr="00A813E5" w:rsidRDefault="00A813E5" w:rsidP="00A813E5">
      <w:pPr>
        <w:rPr>
          <w:rFonts w:cs="Times New Roman"/>
          <w:lang w:val="en-AU"/>
        </w:rPr>
      </w:pPr>
      <w:r w:rsidRPr="00A813E5">
        <w:rPr>
          <w:rFonts w:cs="Times New Roman"/>
          <w:lang w:val="en-AU"/>
        </w:rPr>
        <w:t>The surveys were conducted across all major capital cities as well as regional areas to provide national coverage and dissect the refrigerant types found into the following categories HFC-134a (100% and &gt;95%)</w:t>
      </w:r>
      <w:r w:rsidR="00210FF3">
        <w:rPr>
          <w:rFonts w:cs="Times New Roman"/>
          <w:lang w:val="en-AU"/>
        </w:rPr>
        <w:t>,</w:t>
      </w:r>
      <w:r w:rsidRPr="00A813E5">
        <w:rPr>
          <w:rFonts w:cs="Times New Roman"/>
          <w:lang w:val="en-AU"/>
        </w:rPr>
        <w:t xml:space="preserve"> HC (100%, &gt;95% and HC mix)</w:t>
      </w:r>
      <w:r w:rsidR="00210FF3">
        <w:rPr>
          <w:rFonts w:cs="Times New Roman"/>
          <w:lang w:val="en-AU"/>
        </w:rPr>
        <w:t>,</w:t>
      </w:r>
      <w:r w:rsidRPr="00A813E5">
        <w:rPr>
          <w:rFonts w:cs="Times New Roman"/>
          <w:lang w:val="en-AU"/>
        </w:rPr>
        <w:t xml:space="preserve"> CFC-12</w:t>
      </w:r>
      <w:r w:rsidR="00210FF3">
        <w:rPr>
          <w:rFonts w:cs="Times New Roman"/>
          <w:lang w:val="en-AU"/>
        </w:rPr>
        <w:t>,</w:t>
      </w:r>
      <w:r w:rsidRPr="00A813E5">
        <w:rPr>
          <w:rFonts w:cs="Times New Roman"/>
          <w:lang w:val="en-AU"/>
        </w:rPr>
        <w:t xml:space="preserve"> and empty. The survey</w:t>
      </w:r>
      <w:r w:rsidR="00210FF3">
        <w:rPr>
          <w:rFonts w:cs="Times New Roman"/>
          <w:lang w:val="en-AU"/>
        </w:rPr>
        <w:t>s</w:t>
      </w:r>
      <w:r w:rsidRPr="00A813E5">
        <w:rPr>
          <w:rFonts w:cs="Times New Roman"/>
          <w:lang w:val="en-AU"/>
        </w:rPr>
        <w:t xml:space="preserve"> record the year of vehicle manufacture, which shows a sample that is consistent with the age range of the current fleet with the vehicles most frequently inspected being around 10 years old, and with a long tail of vehicles dating back to the 1970s.</w:t>
      </w:r>
    </w:p>
    <w:p w14:paraId="37E0F697" w14:textId="46130128" w:rsidR="00A813E5" w:rsidRDefault="00A813E5" w:rsidP="00A813E5">
      <w:pPr>
        <w:rPr>
          <w:rFonts w:cs="Times New Roman"/>
          <w:lang w:val="en-AU"/>
        </w:rPr>
      </w:pPr>
      <w:r w:rsidRPr="00A813E5">
        <w:rPr>
          <w:rFonts w:cs="Times New Roman"/>
          <w:lang w:val="en-AU"/>
        </w:rPr>
        <w:t>The 2017 survey results found 86.0% of vehicles contained HFC-134a</w:t>
      </w:r>
      <w:r w:rsidR="00210FF3">
        <w:rPr>
          <w:rFonts w:cs="Times New Roman"/>
          <w:lang w:val="en-AU"/>
        </w:rPr>
        <w:t>,</w:t>
      </w:r>
      <w:r w:rsidRPr="00A813E5">
        <w:rPr>
          <w:rFonts w:cs="Times New Roman"/>
          <w:lang w:val="en-AU"/>
        </w:rPr>
        <w:t xml:space="preserve"> 6.4% contained some HC</w:t>
      </w:r>
      <w:r w:rsidR="00210FF3">
        <w:rPr>
          <w:rFonts w:cs="Times New Roman"/>
          <w:lang w:val="en-AU"/>
        </w:rPr>
        <w:t>,</w:t>
      </w:r>
      <w:r w:rsidRPr="00A813E5">
        <w:rPr>
          <w:rFonts w:cs="Times New Roman"/>
          <w:lang w:val="en-AU"/>
        </w:rPr>
        <w:t xml:space="preserve"> 0.2% contained CFC-12</w:t>
      </w:r>
      <w:r w:rsidR="00210FF3">
        <w:rPr>
          <w:rFonts w:cs="Times New Roman"/>
          <w:lang w:val="en-AU"/>
        </w:rPr>
        <w:t>,</w:t>
      </w:r>
      <w:r w:rsidRPr="00A813E5">
        <w:rPr>
          <w:rFonts w:cs="Times New Roman"/>
          <w:lang w:val="en-AU"/>
        </w:rPr>
        <w:t xml:space="preserve"> and 7.5% were empty. The presence of CFC-12 found in the surveys has declined from 2.6% in 2013 to 0.2% in 2017. The proportion of vehicles that contained some portion of hydrocarbon varied from 3.7% to 6.5% over the five year survey period, however the number of vehicles that contained &gt;95% HC ranged from 0.6% to 2.5%.</w:t>
      </w:r>
    </w:p>
    <w:p w14:paraId="3BAAC7B9" w14:textId="77777777" w:rsidR="00A813E5" w:rsidRPr="009D0727" w:rsidRDefault="00A813E5" w:rsidP="003270E5">
      <w:pPr>
        <w:rPr>
          <w:rFonts w:cs="Times New Roman"/>
          <w:lang w:val="en-AU"/>
        </w:rPr>
      </w:pPr>
    </w:p>
    <w:p w14:paraId="422BA53E" w14:textId="000EBE72" w:rsidR="008F331C" w:rsidRDefault="000E5451" w:rsidP="00A15CC5">
      <w:pPr>
        <w:pStyle w:val="Heading3"/>
      </w:pPr>
      <w:bookmarkStart w:id="202" w:name="_Toc525141317"/>
      <w:r>
        <w:t>Leak r</w:t>
      </w:r>
      <w:r w:rsidR="008F331C">
        <w:t>ates</w:t>
      </w:r>
      <w:r w:rsidR="006002E4">
        <w:t xml:space="preserve"> and </w:t>
      </w:r>
      <w:r>
        <w:t>d</w:t>
      </w:r>
      <w:r w:rsidR="00193DB7">
        <w:t>irect emissions</w:t>
      </w:r>
      <w:bookmarkEnd w:id="202"/>
    </w:p>
    <w:p w14:paraId="5EF56B1D" w14:textId="36FD91C3" w:rsidR="003719E6" w:rsidRDefault="008F331C" w:rsidP="008F331C">
      <w:r>
        <w:t>At various points in the report the ‘l</w:t>
      </w:r>
      <w:r w:rsidR="000E5451">
        <w:t>eak rate’</w:t>
      </w:r>
      <w:r w:rsidR="00320758">
        <w:t xml:space="preserve"> </w:t>
      </w:r>
      <w:r w:rsidR="000E5451">
        <w:t>of refrigerant from a c</w:t>
      </w:r>
      <w:r>
        <w:t xml:space="preserve">lass, </w:t>
      </w:r>
      <w:r w:rsidR="000E5451">
        <w:t>s</w:t>
      </w:r>
      <w:r>
        <w:t xml:space="preserve">egment or </w:t>
      </w:r>
      <w:r w:rsidR="00F863A5">
        <w:t>product category</w:t>
      </w:r>
      <w:r>
        <w:t xml:space="preserve"> is discussed.</w:t>
      </w:r>
      <w:r w:rsidR="003719E6">
        <w:t xml:space="preserve"> </w:t>
      </w:r>
    </w:p>
    <w:p w14:paraId="3A3A8774" w14:textId="4563A5B7" w:rsidR="003719E6" w:rsidRDefault="003719E6" w:rsidP="003719E6">
      <w:pPr>
        <w:rPr>
          <w:rFonts w:cs="Times New Roman"/>
          <w:szCs w:val="22"/>
          <w:lang w:val="en-US"/>
        </w:rPr>
      </w:pPr>
      <w:r>
        <w:rPr>
          <w:rFonts w:cs="Times New Roman"/>
          <w:szCs w:val="22"/>
          <w:lang w:val="en-US"/>
        </w:rPr>
        <w:t xml:space="preserve">The </w:t>
      </w:r>
      <w:r w:rsidR="00865859">
        <w:rPr>
          <w:rFonts w:cs="Times New Roman"/>
          <w:szCs w:val="22"/>
          <w:lang w:val="en-US"/>
        </w:rPr>
        <w:t xml:space="preserve">rates that </w:t>
      </w:r>
      <w:r>
        <w:rPr>
          <w:rFonts w:cs="Times New Roman"/>
          <w:szCs w:val="22"/>
          <w:lang w:val="en-US"/>
        </w:rPr>
        <w:t xml:space="preserve">different </w:t>
      </w:r>
      <w:r w:rsidR="000E5451">
        <w:rPr>
          <w:rFonts w:cs="Times New Roman"/>
          <w:szCs w:val="22"/>
          <w:lang w:val="en-US"/>
        </w:rPr>
        <w:t>p</w:t>
      </w:r>
      <w:r>
        <w:rPr>
          <w:rFonts w:cs="Times New Roman"/>
          <w:szCs w:val="22"/>
          <w:lang w:val="en-US"/>
        </w:rPr>
        <w:t xml:space="preserve">roduct </w:t>
      </w:r>
      <w:r w:rsidR="000E5451">
        <w:rPr>
          <w:rFonts w:cs="Times New Roman"/>
          <w:szCs w:val="22"/>
          <w:lang w:val="en-US"/>
        </w:rPr>
        <w:t>c</w:t>
      </w:r>
      <w:r>
        <w:rPr>
          <w:rFonts w:cs="Times New Roman"/>
          <w:szCs w:val="22"/>
          <w:lang w:val="en-US"/>
        </w:rPr>
        <w:t xml:space="preserve">ategories </w:t>
      </w:r>
      <w:r w:rsidR="00865859">
        <w:rPr>
          <w:rFonts w:cs="Times New Roman"/>
          <w:szCs w:val="22"/>
          <w:lang w:val="en-US"/>
        </w:rPr>
        <w:t xml:space="preserve">actually leak over a period </w:t>
      </w:r>
      <w:r w:rsidRPr="00F44112">
        <w:rPr>
          <w:rFonts w:cs="Times New Roman"/>
          <w:szCs w:val="22"/>
          <w:lang w:val="en-US"/>
        </w:rPr>
        <w:t>var</w:t>
      </w:r>
      <w:r w:rsidR="00865859">
        <w:rPr>
          <w:rFonts w:cs="Times New Roman"/>
          <w:szCs w:val="22"/>
          <w:lang w:val="en-US"/>
        </w:rPr>
        <w:t>ies</w:t>
      </w:r>
      <w:r w:rsidRPr="00F44112">
        <w:rPr>
          <w:rFonts w:cs="Times New Roman"/>
          <w:szCs w:val="22"/>
          <w:lang w:val="en-US"/>
        </w:rPr>
        <w:t xml:space="preserve"> significantly depending on the class of equipment, refrigerant type, vintage, equipment design (i.e. flared connections, Schrader valves, type of condenser), workmanship of installation, vibration elimination, refrigerant leak detection, maintenance</w:t>
      </w:r>
      <w:r>
        <w:rPr>
          <w:rFonts w:cs="Times New Roman"/>
          <w:szCs w:val="22"/>
          <w:lang w:val="en-US"/>
        </w:rPr>
        <w:t xml:space="preserve">, </w:t>
      </w:r>
      <w:r w:rsidRPr="00F44112">
        <w:rPr>
          <w:rFonts w:cs="Times New Roman"/>
          <w:szCs w:val="22"/>
          <w:lang w:val="en-US"/>
        </w:rPr>
        <w:t>operating conditions</w:t>
      </w:r>
      <w:r w:rsidR="00210FF3">
        <w:rPr>
          <w:rFonts w:cs="Times New Roman"/>
          <w:szCs w:val="22"/>
          <w:lang w:val="en-US"/>
        </w:rPr>
        <w:t>,</w:t>
      </w:r>
      <w:r>
        <w:rPr>
          <w:rFonts w:cs="Times New Roman"/>
          <w:szCs w:val="22"/>
          <w:lang w:val="en-US"/>
        </w:rPr>
        <w:t xml:space="preserve"> and several other factors</w:t>
      </w:r>
      <w:r w:rsidRPr="00F44112">
        <w:rPr>
          <w:rFonts w:cs="Times New Roman"/>
          <w:szCs w:val="22"/>
          <w:lang w:val="en-US"/>
        </w:rPr>
        <w:t>.</w:t>
      </w:r>
      <w:r>
        <w:rPr>
          <w:rFonts w:cs="Times New Roman"/>
          <w:szCs w:val="22"/>
          <w:lang w:val="en-US"/>
        </w:rPr>
        <w:t xml:space="preserve"> </w:t>
      </w:r>
    </w:p>
    <w:p w14:paraId="0E79B705" w14:textId="55825F99" w:rsidR="00C32EAF" w:rsidRDefault="00C32EAF" w:rsidP="008F331C">
      <w:r>
        <w:t xml:space="preserve">On occasion leak rates are discussed which refer only to the rate of loss of refrigerant from an individual type or even individual piece of working equipment over a period, or as an instantaneous observation. When the term leak is used it is not intended to capture the entirety of losses of refrigerant over the lifetime of the equipment. </w:t>
      </w:r>
    </w:p>
    <w:p w14:paraId="0615CB6E" w14:textId="13D5684F" w:rsidR="00A44937" w:rsidRDefault="00C32EAF" w:rsidP="008F331C">
      <w:r>
        <w:t>Losses of ref</w:t>
      </w:r>
      <w:r w:rsidR="00865859">
        <w:t xml:space="preserve">rigerant over the total life of a piece of equipment or even a </w:t>
      </w:r>
      <w:r w:rsidR="00193DB7">
        <w:t>c</w:t>
      </w:r>
      <w:r w:rsidR="00865859">
        <w:t>lass of equipment are referred to as</w:t>
      </w:r>
      <w:r w:rsidR="008F331C">
        <w:t xml:space="preserve"> ‘direct emissions’ when discussed in the context of greenhouse gas emissions – as compared to the ‘indirect emissions’ created by the consumption of electricity. </w:t>
      </w:r>
    </w:p>
    <w:p w14:paraId="4294A134" w14:textId="47014274" w:rsidR="008F331C" w:rsidRPr="003719E6" w:rsidRDefault="00A44937" w:rsidP="008F331C">
      <w:pPr>
        <w:rPr>
          <w:rFonts w:cs="Times New Roman"/>
          <w:szCs w:val="22"/>
          <w:lang w:val="en-US"/>
        </w:rPr>
      </w:pPr>
      <w:r w:rsidRPr="00F44112">
        <w:rPr>
          <w:rFonts w:cs="Times New Roman"/>
          <w:szCs w:val="22"/>
          <w:lang w:val="en-US"/>
        </w:rPr>
        <w:t>The annual leak rate</w:t>
      </w:r>
      <w:r>
        <w:rPr>
          <w:rFonts w:cs="Times New Roman"/>
          <w:szCs w:val="22"/>
          <w:lang w:val="en-US"/>
        </w:rPr>
        <w:t>s</w:t>
      </w:r>
      <w:r w:rsidRPr="00F44112">
        <w:rPr>
          <w:rFonts w:cs="Times New Roman"/>
          <w:szCs w:val="22"/>
          <w:lang w:val="en-US"/>
        </w:rPr>
        <w:t xml:space="preserve"> referred to </w:t>
      </w:r>
      <w:r>
        <w:rPr>
          <w:rFonts w:cs="Times New Roman"/>
          <w:szCs w:val="22"/>
          <w:lang w:val="en-US"/>
        </w:rPr>
        <w:t>above are</w:t>
      </w:r>
      <w:r w:rsidRPr="00F44112">
        <w:rPr>
          <w:rFonts w:cs="Times New Roman"/>
          <w:szCs w:val="22"/>
          <w:lang w:val="en-US"/>
        </w:rPr>
        <w:t xml:space="preserve"> expressed as a percentage of the initial charge per annum</w:t>
      </w:r>
      <w:r>
        <w:rPr>
          <w:rFonts w:cs="Times New Roman"/>
          <w:szCs w:val="22"/>
          <w:lang w:val="en-US"/>
        </w:rPr>
        <w:t xml:space="preserve">, </w:t>
      </w:r>
      <w:r w:rsidRPr="00F44112">
        <w:rPr>
          <w:rFonts w:cs="Times New Roman"/>
          <w:szCs w:val="22"/>
          <w:lang w:val="en-US"/>
        </w:rPr>
        <w:t xml:space="preserve">and </w:t>
      </w:r>
      <w:r w:rsidR="00DF792A">
        <w:rPr>
          <w:rFonts w:cs="Times New Roman"/>
          <w:szCs w:val="22"/>
          <w:lang w:val="en-US"/>
        </w:rPr>
        <w:t xml:space="preserve">defined </w:t>
      </w:r>
      <w:r w:rsidRPr="00F44112">
        <w:rPr>
          <w:rFonts w:cs="Times New Roman"/>
          <w:szCs w:val="22"/>
          <w:lang w:val="en-US"/>
        </w:rPr>
        <w:t>as</w:t>
      </w:r>
      <w:r w:rsidR="003719E6">
        <w:rPr>
          <w:rFonts w:cs="Times New Roman"/>
          <w:szCs w:val="22"/>
          <w:lang w:val="en-US"/>
        </w:rPr>
        <w:t xml:space="preserve"> </w:t>
      </w:r>
      <w:r w:rsidR="008F331C" w:rsidRPr="00FF4A30">
        <w:t>‘</w:t>
      </w:r>
      <w:r w:rsidR="00193DB7">
        <w:t>direct</w:t>
      </w:r>
      <w:r w:rsidR="008F331C" w:rsidRPr="00FF4A30">
        <w:t xml:space="preserve"> </w:t>
      </w:r>
      <w:r w:rsidR="00193DB7">
        <w:t>e</w:t>
      </w:r>
      <w:r w:rsidR="008F331C" w:rsidRPr="00FF4A30">
        <w:t>missions’ incorporat</w:t>
      </w:r>
      <w:r w:rsidR="003719E6">
        <w:t>ing</w:t>
      </w:r>
      <w:r w:rsidR="008F331C" w:rsidRPr="00FF4A30">
        <w:t>:</w:t>
      </w:r>
    </w:p>
    <w:p w14:paraId="5AF90F72" w14:textId="4F918D75" w:rsidR="008F331C" w:rsidRPr="00FF4A30" w:rsidRDefault="00451C08" w:rsidP="008F331C">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rPr>
        <w:t>Refrigerant</w:t>
      </w:r>
      <w:r w:rsidR="008F331C" w:rsidRPr="00FF4A30">
        <w:rPr>
          <w:rFonts w:ascii="Times New Roman" w:hAnsi="Times New Roman"/>
        </w:rPr>
        <w:t xml:space="preserve"> that leaks from equipment, either from slow leaks in operation, or as a result of ‘catastrophic’ losses when a piece of equipment suffers some sort of breakdown or failure of containment and the entire charge is lost to air;</w:t>
      </w:r>
    </w:p>
    <w:p w14:paraId="1FD2742A" w14:textId="1AB9BD81" w:rsidR="008F331C" w:rsidRPr="00FF4A30" w:rsidRDefault="00451C08" w:rsidP="008F331C">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rPr>
        <w:t>Refrigerant</w:t>
      </w:r>
      <w:r w:rsidR="008F331C" w:rsidRPr="00FF4A30">
        <w:rPr>
          <w:rFonts w:ascii="Times New Roman" w:hAnsi="Times New Roman"/>
        </w:rPr>
        <w:t xml:space="preserve"> that is lost through handling losses during installation and commissioning of equipment</w:t>
      </w:r>
      <w:r w:rsidR="00A44937">
        <w:rPr>
          <w:rFonts w:ascii="Times New Roman" w:hAnsi="Times New Roman"/>
        </w:rPr>
        <w:t>,</w:t>
      </w:r>
      <w:r w:rsidR="008F331C" w:rsidRPr="00FF4A30">
        <w:rPr>
          <w:rFonts w:ascii="Times New Roman" w:hAnsi="Times New Roman"/>
        </w:rPr>
        <w:t xml:space="preserve"> and </w:t>
      </w:r>
      <w:r w:rsidR="00A44937">
        <w:rPr>
          <w:rFonts w:ascii="Times New Roman" w:hAnsi="Times New Roman"/>
        </w:rPr>
        <w:t xml:space="preserve">during </w:t>
      </w:r>
      <w:r w:rsidR="008F331C" w:rsidRPr="00FF4A30">
        <w:rPr>
          <w:rFonts w:ascii="Times New Roman" w:hAnsi="Times New Roman"/>
        </w:rPr>
        <w:t>servicing of equipment; and,</w:t>
      </w:r>
    </w:p>
    <w:p w14:paraId="5090ED8F" w14:textId="6CFC0C27" w:rsidR="00865859" w:rsidRPr="00865859" w:rsidRDefault="00451C08" w:rsidP="00B735A1">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rPr>
        <w:t>Refrigerant</w:t>
      </w:r>
      <w:r w:rsidR="008F331C" w:rsidRPr="00FF4A30">
        <w:rPr>
          <w:rFonts w:ascii="Times New Roman" w:hAnsi="Times New Roman"/>
        </w:rPr>
        <w:t xml:space="preserve"> that is lost along the supply chain for the species of gas that the class of equipment requires while gas is being transported, decanted or handled.</w:t>
      </w:r>
    </w:p>
    <w:p w14:paraId="3DAACCA0" w14:textId="6AF45CCE" w:rsidR="00F80E70" w:rsidRPr="00F80E70" w:rsidRDefault="00F863A5" w:rsidP="00B735A1">
      <w:r>
        <w:t xml:space="preserve">Direct emission </w:t>
      </w:r>
      <w:r w:rsidR="00865859">
        <w:t xml:space="preserve">rates applied in the model are listed against </w:t>
      </w:r>
      <w:r>
        <w:t>p</w:t>
      </w:r>
      <w:r w:rsidR="00865859">
        <w:t xml:space="preserve">roduct </w:t>
      </w:r>
      <w:r>
        <w:t>c</w:t>
      </w:r>
      <w:r w:rsidR="00865859">
        <w:t xml:space="preserve">ategories in </w:t>
      </w:r>
      <w:r w:rsidR="005A572D" w:rsidRPr="005A572D">
        <w:rPr>
          <w:i/>
        </w:rPr>
        <w:t>Appendix: B1: CHF3 Taxonomy</w:t>
      </w:r>
      <w:r w:rsidR="00865859">
        <w:t xml:space="preserve">. </w:t>
      </w:r>
    </w:p>
    <w:p w14:paraId="26819F85" w14:textId="30132660" w:rsidR="00B735A1" w:rsidRDefault="00B735A1" w:rsidP="00B735A1">
      <w:pPr>
        <w:rPr>
          <w:rFonts w:cs="Times New Roman"/>
          <w:szCs w:val="22"/>
          <w:lang w:val="en-US"/>
        </w:rPr>
      </w:pPr>
      <w:r>
        <w:rPr>
          <w:rFonts w:cs="Times New Roman"/>
          <w:szCs w:val="22"/>
          <w:lang w:val="en-US"/>
        </w:rPr>
        <w:t xml:space="preserve">The understanding of the equipment in the </w:t>
      </w:r>
      <w:r w:rsidR="000E5451">
        <w:rPr>
          <w:rFonts w:cs="Times New Roman"/>
          <w:szCs w:val="22"/>
          <w:lang w:val="en-US"/>
        </w:rPr>
        <w:t>p</w:t>
      </w:r>
      <w:r>
        <w:rPr>
          <w:rFonts w:cs="Times New Roman"/>
          <w:szCs w:val="22"/>
          <w:lang w:val="en-US"/>
        </w:rPr>
        <w:t xml:space="preserve">roduct </w:t>
      </w:r>
      <w:r w:rsidR="000E5451">
        <w:rPr>
          <w:rFonts w:cs="Times New Roman"/>
          <w:szCs w:val="22"/>
          <w:lang w:val="en-US"/>
        </w:rPr>
        <w:t>c</w:t>
      </w:r>
      <w:r>
        <w:rPr>
          <w:rFonts w:cs="Times New Roman"/>
          <w:szCs w:val="22"/>
          <w:lang w:val="en-US"/>
        </w:rPr>
        <w:t>ategories has evolved over several years and partly as a result of having to prepare a series of research papers in this area. In the course of various projects</w:t>
      </w:r>
      <w:r w:rsidRPr="00AE2A98">
        <w:rPr>
          <w:rFonts w:cs="Times New Roman"/>
          <w:szCs w:val="22"/>
          <w:lang w:val="en-US"/>
        </w:rPr>
        <w:t xml:space="preserve"> </w:t>
      </w:r>
      <w:r>
        <w:rPr>
          <w:rFonts w:cs="Times New Roman"/>
          <w:szCs w:val="22"/>
          <w:lang w:val="en-US"/>
        </w:rPr>
        <w:t>all available data in this area</w:t>
      </w:r>
      <w:r w:rsidDel="00AE2A98">
        <w:rPr>
          <w:rFonts w:cs="Times New Roman"/>
          <w:szCs w:val="22"/>
          <w:lang w:val="en-US"/>
        </w:rPr>
        <w:t xml:space="preserve"> </w:t>
      </w:r>
      <w:r>
        <w:rPr>
          <w:rFonts w:cs="Times New Roman"/>
          <w:szCs w:val="22"/>
          <w:lang w:val="en-US"/>
        </w:rPr>
        <w:t xml:space="preserve">was reviewed and a database of findings and observations of leak rates by other researchers was constructed.  </w:t>
      </w:r>
    </w:p>
    <w:p w14:paraId="55D18A8E" w14:textId="7FEC5D26" w:rsidR="00B735A1" w:rsidRDefault="00B735A1" w:rsidP="00B735A1">
      <w:pPr>
        <w:rPr>
          <w:rFonts w:cs="Times New Roman"/>
          <w:szCs w:val="22"/>
          <w:lang w:val="en-US"/>
        </w:rPr>
      </w:pPr>
      <w:r>
        <w:rPr>
          <w:rFonts w:cs="Times New Roman"/>
          <w:szCs w:val="22"/>
          <w:lang w:val="en-US"/>
        </w:rPr>
        <w:t>The main technical papers undertaken by the authors that assisted in determining the leak rate and service rate estimates used in this report include:</w:t>
      </w:r>
    </w:p>
    <w:p w14:paraId="62BD503C" w14:textId="62204374" w:rsidR="00B735A1" w:rsidRPr="00A67EA2" w:rsidRDefault="00B735A1" w:rsidP="00B735A1">
      <w:pPr>
        <w:pStyle w:val="ListParagraph"/>
        <w:numPr>
          <w:ilvl w:val="0"/>
          <w:numId w:val="12"/>
        </w:numPr>
        <w:spacing w:before="120" w:after="0" w:line="240" w:lineRule="auto"/>
        <w:ind w:left="357" w:hanging="357"/>
        <w:contextualSpacing w:val="0"/>
        <w:jc w:val="both"/>
        <w:rPr>
          <w:rFonts w:ascii="Times New Roman" w:hAnsi="Times New Roman"/>
          <w:lang w:val="en-US"/>
        </w:rPr>
      </w:pPr>
      <w:r w:rsidRPr="00A67EA2">
        <w:rPr>
          <w:rFonts w:ascii="Times New Roman" w:hAnsi="Times New Roman"/>
          <w:i/>
          <w:lang w:val="en-US"/>
        </w:rPr>
        <w:t>A study into the HFC Consumption in Australia</w:t>
      </w:r>
      <w:r w:rsidRPr="00A67EA2">
        <w:rPr>
          <w:rFonts w:ascii="Times New Roman" w:hAnsi="Times New Roman"/>
          <w:lang w:val="en-US"/>
        </w:rPr>
        <w:t xml:space="preserve"> prepared by the Expert Group for DSEWPaC, October 2011. This assignment involved the development of a bottom up model of the national inventories of synthetic greenhouse gases in order to reconcile the tonnes of each HFC imported with consumption in key industry </w:t>
      </w:r>
      <w:r>
        <w:rPr>
          <w:rFonts w:ascii="Times New Roman" w:hAnsi="Times New Roman"/>
          <w:lang w:val="en-US"/>
        </w:rPr>
        <w:t>sector/sub-sector/applications.</w:t>
      </w:r>
    </w:p>
    <w:p w14:paraId="13BC0828" w14:textId="3BEEB810" w:rsidR="00B735A1" w:rsidRPr="00F44112" w:rsidRDefault="00B735A1" w:rsidP="008A7DB5">
      <w:pPr>
        <w:pStyle w:val="ListParagraph"/>
        <w:numPr>
          <w:ilvl w:val="0"/>
          <w:numId w:val="12"/>
        </w:numPr>
        <w:spacing w:before="120" w:after="0" w:line="240" w:lineRule="auto"/>
        <w:contextualSpacing w:val="0"/>
        <w:jc w:val="both"/>
      </w:pPr>
      <w:r w:rsidRPr="00A67EA2">
        <w:rPr>
          <w:rFonts w:ascii="Times New Roman" w:hAnsi="Times New Roman"/>
          <w:i/>
          <w:lang w:val="en-US"/>
        </w:rPr>
        <w:t>Giving Teeth to TEWI</w:t>
      </w:r>
      <w:r w:rsidRPr="00A67EA2">
        <w:rPr>
          <w:rFonts w:ascii="Times New Roman" w:hAnsi="Times New Roman"/>
          <w:lang w:val="en-US"/>
        </w:rPr>
        <w:t xml:space="preserve"> </w:t>
      </w:r>
      <w:r>
        <w:rPr>
          <w:rFonts w:ascii="Times New Roman" w:hAnsi="Times New Roman"/>
          <w:lang w:val="en-US"/>
        </w:rPr>
        <w:t xml:space="preserve">prepared by Expert Group </w:t>
      </w:r>
      <w:r w:rsidRPr="00A67EA2">
        <w:rPr>
          <w:rFonts w:ascii="Times New Roman" w:hAnsi="Times New Roman"/>
          <w:lang w:val="en-US"/>
        </w:rPr>
        <w:t>for Refrigerants Australia in association with AIRAH Natu</w:t>
      </w:r>
      <w:r>
        <w:rPr>
          <w:rFonts w:ascii="Times New Roman" w:hAnsi="Times New Roman"/>
          <w:lang w:val="en-US"/>
        </w:rPr>
        <w:t xml:space="preserve">ral Refrigerants Steering Group. This project </w:t>
      </w:r>
      <w:r w:rsidRPr="00A67EA2">
        <w:rPr>
          <w:rFonts w:ascii="Times New Roman" w:hAnsi="Times New Roman"/>
          <w:lang w:val="en-US"/>
        </w:rPr>
        <w:t>develop</w:t>
      </w:r>
      <w:r>
        <w:rPr>
          <w:rFonts w:ascii="Times New Roman" w:hAnsi="Times New Roman"/>
          <w:lang w:val="en-US"/>
        </w:rPr>
        <w:t>ed</w:t>
      </w:r>
      <w:r w:rsidRPr="00A67EA2">
        <w:rPr>
          <w:rFonts w:ascii="Times New Roman" w:hAnsi="Times New Roman"/>
          <w:lang w:val="en-US"/>
        </w:rPr>
        <w:t xml:space="preserve"> a best practice guideline and methodology for calculating Total Environmental Warming Impact</w:t>
      </w:r>
      <w:r>
        <w:rPr>
          <w:rFonts w:ascii="Times New Roman" w:hAnsi="Times New Roman"/>
          <w:lang w:val="en-US"/>
        </w:rPr>
        <w:t xml:space="preserve"> (TEWI</w:t>
      </w:r>
      <w:r w:rsidRPr="00A67EA2">
        <w:rPr>
          <w:rFonts w:ascii="Times New Roman" w:hAnsi="Times New Roman"/>
          <w:lang w:val="en-US"/>
        </w:rPr>
        <w:t xml:space="preserve">) to facilitate more informed investment decisions in low emission technology in the HVAC&amp;R industries. This research commenced in 2010 and resulted in </w:t>
      </w:r>
      <w:r w:rsidRPr="00A67EA2">
        <w:rPr>
          <w:rFonts w:ascii="Times New Roman" w:hAnsi="Times New Roman"/>
          <w:i/>
          <w:lang w:val="en-US"/>
        </w:rPr>
        <w:t>The AIRAH Best Practice Guidelines: Methods of calculating TEWI</w:t>
      </w:r>
      <w:r w:rsidRPr="00A67EA2">
        <w:rPr>
          <w:rFonts w:ascii="Times New Roman" w:hAnsi="Times New Roman"/>
          <w:lang w:val="en-US"/>
        </w:rPr>
        <w:t xml:space="preserve"> being published in 2012. The guideline includes a range of lower, upper and typical leak rates for key air conditioning and refrigeration applications. The upper</w:t>
      </w:r>
      <w:r>
        <w:rPr>
          <w:rFonts w:ascii="Times New Roman" w:hAnsi="Times New Roman"/>
          <w:lang w:val="en-US"/>
        </w:rPr>
        <w:t xml:space="preserve"> range</w:t>
      </w:r>
      <w:r w:rsidRPr="00A67EA2">
        <w:rPr>
          <w:rFonts w:ascii="Times New Roman" w:hAnsi="Times New Roman"/>
          <w:lang w:val="en-US"/>
        </w:rPr>
        <w:t xml:space="preserve"> being those cited in the </w:t>
      </w:r>
      <w:r w:rsidR="008A7DB5" w:rsidRPr="008A7DB5">
        <w:rPr>
          <w:rFonts w:ascii="Times New Roman" w:hAnsi="Times New Roman"/>
          <w:lang w:val="en-US"/>
        </w:rPr>
        <w:t>National Greenhouse and Energy Reporting</w:t>
      </w:r>
      <w:r w:rsidR="008A7DB5">
        <w:rPr>
          <w:rFonts w:ascii="Times New Roman" w:hAnsi="Times New Roman"/>
          <w:lang w:val="en-US"/>
        </w:rPr>
        <w:t xml:space="preserve"> (</w:t>
      </w:r>
      <w:r w:rsidRPr="00A67EA2">
        <w:rPr>
          <w:rFonts w:ascii="Times New Roman" w:hAnsi="Times New Roman"/>
          <w:lang w:val="en-US"/>
        </w:rPr>
        <w:t>NGERS</w:t>
      </w:r>
      <w:r w:rsidR="008A7DB5">
        <w:rPr>
          <w:rFonts w:ascii="Times New Roman" w:hAnsi="Times New Roman"/>
          <w:lang w:val="en-US"/>
        </w:rPr>
        <w:t>)</w:t>
      </w:r>
      <w:r w:rsidRPr="00A67EA2">
        <w:rPr>
          <w:rFonts w:ascii="Times New Roman" w:hAnsi="Times New Roman"/>
          <w:lang w:val="en-US"/>
        </w:rPr>
        <w:t xml:space="preserve"> Technical Guidelines and the NGERS Act 2007 that prescribes 9% for commercial air conditioning, 23% for commercial refrigeration and 16% for industrial refrigeration. Research involving reconciling consumption concludes that whilst these upper leak rates </w:t>
      </w:r>
      <w:r>
        <w:rPr>
          <w:rFonts w:ascii="Times New Roman" w:hAnsi="Times New Roman"/>
          <w:lang w:val="en-US"/>
        </w:rPr>
        <w:t xml:space="preserve">can </w:t>
      </w:r>
      <w:r w:rsidRPr="00A67EA2">
        <w:rPr>
          <w:rFonts w:ascii="Times New Roman" w:hAnsi="Times New Roman"/>
          <w:lang w:val="en-US"/>
        </w:rPr>
        <w:t xml:space="preserve">occur with some systems they are not the </w:t>
      </w:r>
      <w:r>
        <w:rPr>
          <w:rFonts w:ascii="Times New Roman" w:hAnsi="Times New Roman"/>
          <w:lang w:val="en-US"/>
        </w:rPr>
        <w:t xml:space="preserve">current </w:t>
      </w:r>
      <w:r w:rsidRPr="00A67EA2">
        <w:rPr>
          <w:rFonts w:ascii="Times New Roman" w:hAnsi="Times New Roman"/>
          <w:lang w:val="en-US"/>
        </w:rPr>
        <w:t>weighted average across the economy.</w:t>
      </w:r>
    </w:p>
    <w:p w14:paraId="2F91B1C3" w14:textId="0AC8B6E0" w:rsidR="00B735A1" w:rsidRPr="00A67EA2" w:rsidRDefault="00B735A1" w:rsidP="00B735A1">
      <w:pPr>
        <w:pStyle w:val="ListParagraph"/>
        <w:numPr>
          <w:ilvl w:val="0"/>
          <w:numId w:val="12"/>
        </w:numPr>
        <w:spacing w:before="120" w:after="0" w:line="240" w:lineRule="auto"/>
        <w:ind w:left="357" w:hanging="357"/>
        <w:contextualSpacing w:val="0"/>
        <w:jc w:val="both"/>
        <w:rPr>
          <w:rFonts w:ascii="Times New Roman" w:hAnsi="Times New Roman"/>
          <w:lang w:val="en-US"/>
        </w:rPr>
      </w:pPr>
      <w:r w:rsidRPr="00A67EA2">
        <w:rPr>
          <w:rFonts w:ascii="Times New Roman" w:hAnsi="Times New Roman"/>
          <w:i/>
          <w:lang w:val="en-US"/>
        </w:rPr>
        <w:t>Refrigerant Emissions in Australia: Sources, Causes and Remedies</w:t>
      </w:r>
      <w:r w:rsidRPr="00A67EA2">
        <w:rPr>
          <w:rFonts w:ascii="Times New Roman" w:hAnsi="Times New Roman"/>
          <w:lang w:val="en-US"/>
        </w:rPr>
        <w:t xml:space="preserve"> prepared by Expert Group for DEWHA March 2010. DEWHA commissioned this study to establish a greater understanding of the sources and causes of refrigerant leaks</w:t>
      </w:r>
      <w:r w:rsidR="008A7DB5">
        <w:rPr>
          <w:rFonts w:ascii="Times New Roman" w:hAnsi="Times New Roman"/>
          <w:lang w:val="en-US"/>
        </w:rPr>
        <w:t>,</w:t>
      </w:r>
      <w:r w:rsidRPr="00A67EA2">
        <w:rPr>
          <w:rFonts w:ascii="Times New Roman" w:hAnsi="Times New Roman"/>
          <w:lang w:val="en-US"/>
        </w:rPr>
        <w:t xml:space="preserve"> and technical standards that could reduce leaks on small to medium commercial refrigeration, and the quantitative benefits of such standards. This study involved extensive research </w:t>
      </w:r>
      <w:r>
        <w:rPr>
          <w:rFonts w:ascii="Times New Roman" w:hAnsi="Times New Roman"/>
          <w:lang w:val="en-US"/>
        </w:rPr>
        <w:t xml:space="preserve">and improved understanding </w:t>
      </w:r>
      <w:r w:rsidRPr="00A67EA2">
        <w:rPr>
          <w:rFonts w:ascii="Times New Roman" w:hAnsi="Times New Roman"/>
          <w:lang w:val="en-US"/>
        </w:rPr>
        <w:t xml:space="preserve">on leak rates </w:t>
      </w:r>
      <w:r>
        <w:rPr>
          <w:rFonts w:ascii="Times New Roman" w:hAnsi="Times New Roman"/>
          <w:lang w:val="en-US"/>
        </w:rPr>
        <w:t xml:space="preserve">found </w:t>
      </w:r>
      <w:r w:rsidRPr="00A67EA2">
        <w:rPr>
          <w:rFonts w:ascii="Times New Roman" w:hAnsi="Times New Roman"/>
          <w:lang w:val="en-US"/>
        </w:rPr>
        <w:t>in commercial refrigeration.</w:t>
      </w:r>
    </w:p>
    <w:p w14:paraId="035D4768" w14:textId="77777777" w:rsidR="00B735A1" w:rsidRDefault="00B735A1" w:rsidP="00B735A1">
      <w:pPr>
        <w:pStyle w:val="ListParagraph"/>
        <w:numPr>
          <w:ilvl w:val="0"/>
          <w:numId w:val="12"/>
        </w:numPr>
        <w:spacing w:before="120" w:after="0" w:line="240" w:lineRule="auto"/>
        <w:ind w:left="357" w:hanging="357"/>
        <w:contextualSpacing w:val="0"/>
        <w:jc w:val="both"/>
        <w:rPr>
          <w:rFonts w:ascii="Times New Roman" w:hAnsi="Times New Roman"/>
          <w:lang w:val="en-US"/>
        </w:rPr>
      </w:pPr>
      <w:r w:rsidRPr="00A67EA2">
        <w:rPr>
          <w:rFonts w:ascii="Times New Roman" w:hAnsi="Times New Roman"/>
          <w:i/>
          <w:lang w:val="en-US"/>
        </w:rPr>
        <w:t>Leak rate database for Refrigerants Australia, 2009</w:t>
      </w:r>
      <w:r w:rsidRPr="00A67EA2">
        <w:rPr>
          <w:rFonts w:ascii="Times New Roman" w:hAnsi="Times New Roman"/>
          <w:lang w:val="en-US"/>
        </w:rPr>
        <w:t>. This assignment involved developing leak rate benchmarks for each main application supported by a database of global references. This involved investigation into leak minimisation best practice and a greater understanding of the range of factors influencing leak rates.</w:t>
      </w:r>
    </w:p>
    <w:p w14:paraId="2C8911C9" w14:textId="511C5AE8" w:rsidR="00B735A1" w:rsidRPr="00FD3BBE" w:rsidRDefault="00B735A1" w:rsidP="00B735A1">
      <w:pPr>
        <w:pStyle w:val="ListParagraph"/>
        <w:numPr>
          <w:ilvl w:val="0"/>
          <w:numId w:val="12"/>
        </w:numPr>
        <w:spacing w:before="120" w:after="0" w:line="240" w:lineRule="auto"/>
        <w:ind w:left="357" w:hanging="357"/>
        <w:contextualSpacing w:val="0"/>
        <w:jc w:val="both"/>
        <w:rPr>
          <w:rFonts w:ascii="Times New Roman" w:hAnsi="Times New Roman"/>
          <w:lang w:val="en-US"/>
        </w:rPr>
      </w:pPr>
      <w:r w:rsidRPr="00FD3BBE">
        <w:rPr>
          <w:rFonts w:ascii="Times New Roman" w:hAnsi="Times New Roman"/>
          <w:lang w:val="en-US"/>
        </w:rPr>
        <w:t>Other research used to inform leak rate estimates include the various United Nations Environment Programme (UNEP) Technology and Economic Assessment Panel reports prepared by the Refrigeration, Air Conditioning and Heat Pumps, Technical Options Committee, technical papers by the Institute of Refrigeration in the UK, and a series of papers undertaken by Denis Clodic and his various associates over the last decade for various policy makers in the US and EU.</w:t>
      </w:r>
    </w:p>
    <w:p w14:paraId="335248CA" w14:textId="6D0A445D" w:rsidR="00DC7657" w:rsidRDefault="00193DB7" w:rsidP="00CB66D7">
      <w:pPr>
        <w:rPr>
          <w:rFonts w:cs="Times New Roman"/>
          <w:szCs w:val="22"/>
          <w:lang w:val="en-US"/>
        </w:rPr>
      </w:pPr>
      <w:r>
        <w:rPr>
          <w:rFonts w:cs="Times New Roman"/>
          <w:szCs w:val="22"/>
          <w:lang w:val="en-US"/>
        </w:rPr>
        <w:t>Direct emissions</w:t>
      </w:r>
      <w:r w:rsidR="003719E6">
        <w:rPr>
          <w:rFonts w:cs="Times New Roman"/>
          <w:szCs w:val="22"/>
          <w:lang w:val="en-US"/>
        </w:rPr>
        <w:t xml:space="preserve"> from </w:t>
      </w:r>
      <w:r>
        <w:rPr>
          <w:rFonts w:cs="Times New Roman"/>
          <w:szCs w:val="22"/>
          <w:lang w:val="en-US"/>
        </w:rPr>
        <w:t>p</w:t>
      </w:r>
      <w:r w:rsidR="003719E6">
        <w:rPr>
          <w:rFonts w:cs="Times New Roman"/>
          <w:szCs w:val="22"/>
          <w:lang w:val="en-US"/>
        </w:rPr>
        <w:t xml:space="preserve">roduct </w:t>
      </w:r>
      <w:r>
        <w:rPr>
          <w:rFonts w:cs="Times New Roman"/>
          <w:szCs w:val="22"/>
          <w:lang w:val="en-US"/>
        </w:rPr>
        <w:t>c</w:t>
      </w:r>
      <w:r w:rsidR="003719E6">
        <w:rPr>
          <w:rFonts w:cs="Times New Roman"/>
          <w:szCs w:val="22"/>
          <w:lang w:val="en-US"/>
        </w:rPr>
        <w:t xml:space="preserve">ategory, in any one year, are always going to be greater than or, at the very best, equal to the service </w:t>
      </w:r>
      <w:r w:rsidR="003B795E">
        <w:rPr>
          <w:rFonts w:cs="Times New Roman"/>
          <w:szCs w:val="22"/>
          <w:lang w:val="en-US"/>
        </w:rPr>
        <w:t>us</w:t>
      </w:r>
      <w:r w:rsidR="00AC10A1">
        <w:rPr>
          <w:rFonts w:cs="Times New Roman"/>
          <w:szCs w:val="22"/>
          <w:lang w:val="en-US"/>
        </w:rPr>
        <w:t>age</w:t>
      </w:r>
      <w:r w:rsidR="003B795E">
        <w:rPr>
          <w:rFonts w:cs="Times New Roman"/>
          <w:szCs w:val="22"/>
          <w:lang w:val="en-US"/>
        </w:rPr>
        <w:t xml:space="preserve"> </w:t>
      </w:r>
      <w:r w:rsidR="003719E6">
        <w:rPr>
          <w:rFonts w:cs="Times New Roman"/>
          <w:szCs w:val="22"/>
          <w:lang w:val="en-US"/>
        </w:rPr>
        <w:t xml:space="preserve">for that </w:t>
      </w:r>
      <w:r w:rsidR="00F863A5">
        <w:rPr>
          <w:rFonts w:cs="Times New Roman"/>
          <w:szCs w:val="22"/>
          <w:lang w:val="en-US"/>
        </w:rPr>
        <w:t>product category</w:t>
      </w:r>
      <w:r w:rsidR="003719E6">
        <w:rPr>
          <w:rFonts w:cs="Times New Roman"/>
          <w:szCs w:val="22"/>
          <w:lang w:val="en-US"/>
        </w:rPr>
        <w:t xml:space="preserve"> in that year. This is a conclusion from other data and research that shows that in the majority of </w:t>
      </w:r>
      <w:r w:rsidR="008A7DB5">
        <w:rPr>
          <w:rFonts w:cs="Times New Roman"/>
          <w:szCs w:val="22"/>
          <w:lang w:val="en-US"/>
        </w:rPr>
        <w:t>p</w:t>
      </w:r>
      <w:r w:rsidR="003719E6">
        <w:rPr>
          <w:rFonts w:cs="Times New Roman"/>
          <w:szCs w:val="22"/>
          <w:lang w:val="en-US"/>
        </w:rPr>
        <w:t xml:space="preserve">roduct </w:t>
      </w:r>
      <w:r w:rsidR="008A7DB5">
        <w:rPr>
          <w:rFonts w:cs="Times New Roman"/>
          <w:szCs w:val="22"/>
          <w:lang w:val="en-US"/>
        </w:rPr>
        <w:t>c</w:t>
      </w:r>
      <w:r w:rsidR="003719E6">
        <w:rPr>
          <w:rFonts w:cs="Times New Roman"/>
          <w:szCs w:val="22"/>
          <w:lang w:val="en-US"/>
        </w:rPr>
        <w:t xml:space="preserve">ategories, particularly those </w:t>
      </w:r>
      <w:r w:rsidR="008A7DB5">
        <w:rPr>
          <w:rFonts w:cs="Times New Roman"/>
          <w:szCs w:val="22"/>
          <w:lang w:val="en-US"/>
        </w:rPr>
        <w:t>c</w:t>
      </w:r>
      <w:r w:rsidR="003719E6">
        <w:rPr>
          <w:rFonts w:cs="Times New Roman"/>
          <w:szCs w:val="22"/>
          <w:lang w:val="en-US"/>
        </w:rPr>
        <w:t xml:space="preserve">ategories that encompass smaller privately owned </w:t>
      </w:r>
      <w:r w:rsidR="00ED4541">
        <w:rPr>
          <w:rFonts w:cs="Times New Roman"/>
          <w:szCs w:val="22"/>
          <w:lang w:val="en-US"/>
        </w:rPr>
        <w:t>equipment</w:t>
      </w:r>
      <w:r w:rsidR="003719E6">
        <w:rPr>
          <w:rFonts w:cs="Times New Roman"/>
          <w:szCs w:val="22"/>
          <w:lang w:val="en-US"/>
        </w:rPr>
        <w:t xml:space="preserve">, service is rarely comprehensive across the stock and </w:t>
      </w:r>
      <w:r w:rsidR="00ED4541">
        <w:rPr>
          <w:rFonts w:cs="Times New Roman"/>
          <w:szCs w:val="22"/>
          <w:lang w:val="en-US"/>
        </w:rPr>
        <w:t xml:space="preserve">at least </w:t>
      </w:r>
      <w:r w:rsidR="003719E6">
        <w:rPr>
          <w:rFonts w:cs="Times New Roman"/>
          <w:szCs w:val="22"/>
          <w:lang w:val="en-US"/>
        </w:rPr>
        <w:t xml:space="preserve">some part of the stock of equipment in any </w:t>
      </w:r>
      <w:r w:rsidR="00F863A5">
        <w:rPr>
          <w:rFonts w:cs="Times New Roman"/>
          <w:szCs w:val="22"/>
          <w:lang w:val="en-US"/>
        </w:rPr>
        <w:t>category</w:t>
      </w:r>
      <w:r w:rsidR="003719E6">
        <w:rPr>
          <w:rFonts w:cs="Times New Roman"/>
          <w:szCs w:val="22"/>
          <w:lang w:val="en-US"/>
        </w:rPr>
        <w:t xml:space="preserve"> at any time, is operating on less than the full technical capacity of the refrigerant charge. </w:t>
      </w:r>
      <w:r w:rsidR="00ED4541">
        <w:rPr>
          <w:rFonts w:cs="Times New Roman"/>
          <w:szCs w:val="22"/>
          <w:lang w:val="en-US"/>
        </w:rPr>
        <w:t xml:space="preserve">This is discussed further in </w:t>
      </w:r>
      <w:r w:rsidR="00ED4541" w:rsidRPr="006C1471">
        <w:rPr>
          <w:rFonts w:cs="Times New Roman"/>
          <w:i/>
          <w:szCs w:val="22"/>
          <w:lang w:val="en-US"/>
        </w:rPr>
        <w:t xml:space="preserve">Section </w:t>
      </w:r>
      <w:r w:rsidR="00F13F58">
        <w:rPr>
          <w:rFonts w:cs="Times New Roman"/>
          <w:i/>
          <w:szCs w:val="22"/>
          <w:lang w:val="en-US"/>
        </w:rPr>
        <w:t>11.2.9</w:t>
      </w:r>
      <w:r w:rsidR="00ED4541">
        <w:rPr>
          <w:rFonts w:cs="Times New Roman"/>
          <w:szCs w:val="22"/>
          <w:lang w:val="en-US"/>
        </w:rPr>
        <w:t xml:space="preserve"> below.</w:t>
      </w:r>
    </w:p>
    <w:p w14:paraId="312B13F6" w14:textId="77777777" w:rsidR="00FC5FC6" w:rsidRDefault="00FC5FC6" w:rsidP="00CB66D7">
      <w:pPr>
        <w:rPr>
          <w:rFonts w:cs="Times New Roman"/>
          <w:szCs w:val="22"/>
          <w:lang w:val="en-US"/>
        </w:rPr>
      </w:pPr>
    </w:p>
    <w:p w14:paraId="62EA0932" w14:textId="1A379C84" w:rsidR="00AD2783" w:rsidRPr="00E74991" w:rsidRDefault="006002E4" w:rsidP="00AD2783">
      <w:pPr>
        <w:pStyle w:val="Heading3"/>
      </w:pPr>
      <w:bookmarkStart w:id="203" w:name="_Toc525141318"/>
      <w:r>
        <w:t>OEM</w:t>
      </w:r>
      <w:r w:rsidR="00E46C29">
        <w:t xml:space="preserve">, </w:t>
      </w:r>
      <w:r>
        <w:t>s</w:t>
      </w:r>
      <w:r w:rsidR="00AD2783">
        <w:t xml:space="preserve">ervice </w:t>
      </w:r>
      <w:r w:rsidR="00E46C29">
        <w:t xml:space="preserve">usage and </w:t>
      </w:r>
      <w:r>
        <w:t>s</w:t>
      </w:r>
      <w:r w:rsidR="00EC5443">
        <w:t xml:space="preserve">ervice </w:t>
      </w:r>
      <w:r>
        <w:t>r</w:t>
      </w:r>
      <w:r w:rsidR="00EC5443">
        <w:t>ates</w:t>
      </w:r>
      <w:bookmarkEnd w:id="203"/>
    </w:p>
    <w:p w14:paraId="19BB2175" w14:textId="5D0FDCD1" w:rsidR="008164B2" w:rsidRPr="00E96D15" w:rsidRDefault="008164B2" w:rsidP="008164B2">
      <w:pPr>
        <w:rPr>
          <w:rFonts w:cs="Times New Roman"/>
          <w:szCs w:val="22"/>
          <w:lang w:val="en-US"/>
        </w:rPr>
      </w:pPr>
      <w:r w:rsidRPr="00E96D15">
        <w:rPr>
          <w:rFonts w:cs="Times New Roman"/>
          <w:szCs w:val="22"/>
          <w:lang w:val="en-US"/>
        </w:rPr>
        <w:t xml:space="preserve">Bulk </w:t>
      </w:r>
      <w:r w:rsidR="00451C08">
        <w:rPr>
          <w:rFonts w:cs="Times New Roman"/>
          <w:szCs w:val="22"/>
          <w:lang w:val="en-US"/>
        </w:rPr>
        <w:t>refrigerant</w:t>
      </w:r>
      <w:r w:rsidRPr="00E96D15">
        <w:rPr>
          <w:rFonts w:cs="Times New Roman"/>
          <w:szCs w:val="22"/>
          <w:lang w:val="en-US"/>
        </w:rPr>
        <w:t xml:space="preserve"> is primarily imported for servicing and manufacturing RAC equipment</w:t>
      </w:r>
      <w:r w:rsidR="008A7DB5">
        <w:rPr>
          <w:rFonts w:cs="Times New Roman"/>
          <w:szCs w:val="22"/>
          <w:lang w:val="en-US"/>
        </w:rPr>
        <w:t>. O</w:t>
      </w:r>
      <w:r w:rsidRPr="00E96D15">
        <w:rPr>
          <w:rFonts w:cs="Times New Roman"/>
          <w:szCs w:val="22"/>
          <w:lang w:val="en-US"/>
        </w:rPr>
        <w:t>ther uses include</w:t>
      </w:r>
      <w:r w:rsidR="00ED4541">
        <w:rPr>
          <w:rFonts w:cs="Times New Roman"/>
          <w:szCs w:val="22"/>
          <w:lang w:val="en-US"/>
        </w:rPr>
        <w:t xml:space="preserve">, for instance, </w:t>
      </w:r>
      <w:r w:rsidRPr="00E96D15">
        <w:rPr>
          <w:rFonts w:cs="Times New Roman"/>
          <w:szCs w:val="22"/>
          <w:lang w:val="en-US"/>
        </w:rPr>
        <w:t>charging new commercial refrigeration equipment with remote condensers</w:t>
      </w:r>
      <w:r w:rsidR="00ED4541">
        <w:rPr>
          <w:rFonts w:cs="Times New Roman"/>
          <w:szCs w:val="22"/>
          <w:lang w:val="en-US"/>
        </w:rPr>
        <w:t xml:space="preserve"> that have been </w:t>
      </w:r>
      <w:r>
        <w:rPr>
          <w:rFonts w:cs="Times New Roman"/>
          <w:szCs w:val="22"/>
          <w:lang w:val="en-US"/>
        </w:rPr>
        <w:t xml:space="preserve">manufactured or imported with a nitrogen charge and </w:t>
      </w:r>
      <w:r w:rsidR="00D715D5">
        <w:rPr>
          <w:rFonts w:cs="Times New Roman"/>
          <w:szCs w:val="22"/>
          <w:lang w:val="en-US"/>
        </w:rPr>
        <w:t xml:space="preserve">then </w:t>
      </w:r>
      <w:r w:rsidR="00451C08">
        <w:rPr>
          <w:rFonts w:cs="Times New Roman"/>
          <w:szCs w:val="22"/>
          <w:lang w:val="en-US"/>
        </w:rPr>
        <w:t>charg</w:t>
      </w:r>
      <w:r>
        <w:rPr>
          <w:rFonts w:cs="Times New Roman"/>
          <w:szCs w:val="22"/>
          <w:lang w:val="en-US"/>
        </w:rPr>
        <w:t xml:space="preserve">ed </w:t>
      </w:r>
      <w:r w:rsidRPr="00E96D15">
        <w:rPr>
          <w:rFonts w:cs="Times New Roman"/>
          <w:szCs w:val="22"/>
          <w:lang w:val="en-US"/>
        </w:rPr>
        <w:t xml:space="preserve">on site. Smaller volumes </w:t>
      </w:r>
      <w:r w:rsidR="00ED4541">
        <w:rPr>
          <w:rFonts w:cs="Times New Roman"/>
          <w:szCs w:val="22"/>
          <w:lang w:val="en-US"/>
        </w:rPr>
        <w:t xml:space="preserve">of bulk </w:t>
      </w:r>
      <w:r w:rsidR="00451C08">
        <w:rPr>
          <w:rFonts w:cs="Times New Roman"/>
          <w:szCs w:val="22"/>
          <w:lang w:val="en-US"/>
        </w:rPr>
        <w:t>refrigerant</w:t>
      </w:r>
      <w:r w:rsidR="00ED4541">
        <w:rPr>
          <w:rFonts w:cs="Times New Roman"/>
          <w:szCs w:val="22"/>
          <w:lang w:val="en-US"/>
        </w:rPr>
        <w:t xml:space="preserve"> imports </w:t>
      </w:r>
      <w:r w:rsidRPr="00E96D15">
        <w:rPr>
          <w:rFonts w:cs="Times New Roman"/>
          <w:szCs w:val="22"/>
          <w:lang w:val="en-US"/>
        </w:rPr>
        <w:t>are used in non-RAC applications including foam blowing, aerosols, fire protection</w:t>
      </w:r>
      <w:r>
        <w:rPr>
          <w:rFonts w:cs="Times New Roman"/>
          <w:szCs w:val="22"/>
          <w:lang w:val="en-US"/>
        </w:rPr>
        <w:t>,</w:t>
      </w:r>
      <w:r w:rsidRPr="00E96D15">
        <w:rPr>
          <w:rFonts w:cs="Times New Roman"/>
          <w:szCs w:val="22"/>
          <w:lang w:val="en-US"/>
        </w:rPr>
        <w:t xml:space="preserve"> as cleaning agents</w:t>
      </w:r>
      <w:r>
        <w:rPr>
          <w:rFonts w:cs="Times New Roman"/>
          <w:szCs w:val="22"/>
          <w:lang w:val="en-US"/>
        </w:rPr>
        <w:t xml:space="preserve"> (solvents)</w:t>
      </w:r>
      <w:r w:rsidR="008A7DB5">
        <w:rPr>
          <w:rFonts w:cs="Times New Roman"/>
          <w:szCs w:val="22"/>
          <w:lang w:val="en-US"/>
        </w:rPr>
        <w:t>,</w:t>
      </w:r>
      <w:r>
        <w:rPr>
          <w:rFonts w:cs="Times New Roman"/>
          <w:szCs w:val="22"/>
          <w:lang w:val="en-US"/>
        </w:rPr>
        <w:t xml:space="preserve"> and</w:t>
      </w:r>
      <w:r w:rsidRPr="00E96D15">
        <w:rPr>
          <w:rFonts w:cs="Times New Roman"/>
          <w:szCs w:val="22"/>
          <w:lang w:val="en-US"/>
        </w:rPr>
        <w:t xml:space="preserve"> electricity </w:t>
      </w:r>
      <w:r>
        <w:rPr>
          <w:rFonts w:cs="Times New Roman"/>
          <w:szCs w:val="22"/>
          <w:lang w:val="en-US"/>
        </w:rPr>
        <w:t>distribution</w:t>
      </w:r>
      <w:r w:rsidRPr="00E96D15">
        <w:rPr>
          <w:rFonts w:cs="Times New Roman"/>
          <w:szCs w:val="22"/>
          <w:lang w:val="en-US"/>
        </w:rPr>
        <w:t>.</w:t>
      </w:r>
    </w:p>
    <w:p w14:paraId="0EF9CAFD" w14:textId="44971F08" w:rsidR="00B22B17" w:rsidRPr="008B56C6" w:rsidRDefault="00B22B17" w:rsidP="008F5059">
      <w:pPr>
        <w:rPr>
          <w:rFonts w:cs="Times New Roman"/>
          <w:szCs w:val="22"/>
          <w:lang w:val="en-US"/>
        </w:rPr>
      </w:pPr>
      <w:r w:rsidRPr="00E96D15">
        <w:rPr>
          <w:rFonts w:cs="Times New Roman"/>
          <w:szCs w:val="22"/>
          <w:lang w:val="en-US"/>
        </w:rPr>
        <w:t xml:space="preserve">The volume of refrigerant required for manufacturing is known by directly surveying equipment manufacturers with regard to their manufacturing output, the species employed in the equipment they make and sell, or charge and sell, and the charges employed in that equipment. Many manufacturers have also provided data on the volumes of bulk </w:t>
      </w:r>
      <w:r w:rsidR="00451C08">
        <w:rPr>
          <w:rFonts w:cs="Times New Roman"/>
          <w:szCs w:val="22"/>
          <w:lang w:val="en-US"/>
        </w:rPr>
        <w:t>refrigerant</w:t>
      </w:r>
      <w:r w:rsidRPr="00E96D15">
        <w:rPr>
          <w:rFonts w:cs="Times New Roman"/>
          <w:szCs w:val="22"/>
          <w:lang w:val="en-US"/>
        </w:rPr>
        <w:t xml:space="preserve"> purchased in any year for their production.</w:t>
      </w:r>
      <w:r w:rsidR="008A7DB5">
        <w:rPr>
          <w:rFonts w:cs="Times New Roman"/>
          <w:szCs w:val="22"/>
          <w:lang w:val="en-US"/>
        </w:rPr>
        <w:t xml:space="preserve"> </w:t>
      </w:r>
    </w:p>
    <w:p w14:paraId="4477F1EE" w14:textId="748E5F54" w:rsidR="00373E19" w:rsidRPr="00E46C29" w:rsidRDefault="00ED4541" w:rsidP="003270E5">
      <w:r>
        <w:t>In CHF2 the a</w:t>
      </w:r>
      <w:r w:rsidR="00AD2783" w:rsidRPr="00FF4A30">
        <w:t xml:space="preserve">nnual </w:t>
      </w:r>
      <w:r w:rsidR="00E46C29">
        <w:t xml:space="preserve">usage </w:t>
      </w:r>
      <w:r w:rsidR="00AD2783" w:rsidRPr="00FF4A30">
        <w:t xml:space="preserve">of bulk imports of </w:t>
      </w:r>
      <w:r w:rsidR="00C75997">
        <w:t>HFCs</w:t>
      </w:r>
      <w:r w:rsidR="00AD2783" w:rsidRPr="00FF4A30">
        <w:t xml:space="preserve">, after deducting </w:t>
      </w:r>
      <w:r w:rsidR="00451C08">
        <w:t>refrigerant</w:t>
      </w:r>
      <w:r w:rsidR="00AD2783" w:rsidRPr="00FF4A30">
        <w:t xml:space="preserve"> used in installation of new systems and</w:t>
      </w:r>
      <w:r w:rsidR="00AD2783">
        <w:t xml:space="preserve"> </w:t>
      </w:r>
      <w:r w:rsidR="007E0A92">
        <w:t>b</w:t>
      </w:r>
      <w:r w:rsidR="00AD2783" w:rsidRPr="00FF4A30">
        <w:t xml:space="preserve">y OEMs </w:t>
      </w:r>
      <w:r w:rsidR="00DC7657">
        <w:t>in Australia</w:t>
      </w:r>
      <w:r w:rsidR="00AD2783" w:rsidRPr="00FF4A30">
        <w:t xml:space="preserve">, </w:t>
      </w:r>
      <w:r w:rsidR="00AD2783">
        <w:t>wa</w:t>
      </w:r>
      <w:r w:rsidR="00AD2783" w:rsidRPr="00FF4A30">
        <w:t xml:space="preserve">s </w:t>
      </w:r>
      <w:r w:rsidR="00AD2783">
        <w:t xml:space="preserve">used as </w:t>
      </w:r>
      <w:r w:rsidR="00AD2783" w:rsidRPr="00FF4A30">
        <w:t>a proxy for effective leak rates</w:t>
      </w:r>
      <w:r>
        <w:t xml:space="preserve"> of equipment</w:t>
      </w:r>
      <w:r w:rsidR="00AD2783">
        <w:t xml:space="preserve">. It </w:t>
      </w:r>
      <w:r w:rsidR="00AD2783" w:rsidRPr="00E46C29">
        <w:t xml:space="preserve">was assumed that the balance of the </w:t>
      </w:r>
      <w:r w:rsidR="00451C08" w:rsidRPr="00E46C29">
        <w:t>refrigerant</w:t>
      </w:r>
      <w:r w:rsidR="00AD2783" w:rsidRPr="00E46C29">
        <w:t xml:space="preserve"> imported every year, and not used in new installations or by OEMs was </w:t>
      </w:r>
      <w:r w:rsidR="00DC7657" w:rsidRPr="00E46C29">
        <w:t xml:space="preserve">therefore </w:t>
      </w:r>
      <w:r w:rsidR="00E046A1" w:rsidRPr="00E46C29">
        <w:t>used</w:t>
      </w:r>
      <w:r w:rsidR="00AD2783" w:rsidRPr="00E46C29">
        <w:t xml:space="preserve"> maintaining and servicing the stock of equipment. It was </w:t>
      </w:r>
      <w:r w:rsidR="00AD2783" w:rsidRPr="00577CEF">
        <w:t>further assumed</w:t>
      </w:r>
      <w:r w:rsidR="00AD2783" w:rsidRPr="00E46C29">
        <w:t xml:space="preserve"> that all </w:t>
      </w:r>
      <w:r w:rsidR="00FC5FC6">
        <w:t>product c</w:t>
      </w:r>
      <w:r w:rsidR="00AD2783" w:rsidRPr="00E46C29">
        <w:t>ategories in the stock of equipment w</w:t>
      </w:r>
      <w:r w:rsidR="00DC7657" w:rsidRPr="00E46C29">
        <w:t>ere</w:t>
      </w:r>
      <w:r w:rsidR="00AD2783" w:rsidRPr="00E46C29">
        <w:t xml:space="preserve"> maintained at close to an optimal charge</w:t>
      </w:r>
      <w:r w:rsidR="00DC7657" w:rsidRPr="00E46C29">
        <w:t>,</w:t>
      </w:r>
      <w:r w:rsidR="00AD2783" w:rsidRPr="00E46C29">
        <w:t xml:space="preserve"> on average</w:t>
      </w:r>
      <w:r w:rsidR="00DC7657" w:rsidRPr="00E46C29">
        <w:t>,</w:t>
      </w:r>
      <w:r w:rsidR="00AD2783" w:rsidRPr="00E46C29">
        <w:t xml:space="preserve"> over the effective life of the equipment.</w:t>
      </w:r>
    </w:p>
    <w:p w14:paraId="7AB982B2" w14:textId="14EC0929" w:rsidR="00EC5443" w:rsidRDefault="00EC5443" w:rsidP="00EC5443">
      <w:r w:rsidRPr="00E46C29">
        <w:t>Since CHF2 a number of pieces of research ha</w:t>
      </w:r>
      <w:r w:rsidR="008A7DB5">
        <w:t>ve</w:t>
      </w:r>
      <w:r w:rsidRPr="00E46C29">
        <w:t xml:space="preserve"> demonstrated that stocks of operating equipment are not always maintained at optimal charges and that, as evidenced</w:t>
      </w:r>
      <w:r>
        <w:t xml:space="preserve"> by reports from service technicians, and from surveys of the charge remaining in equipment that has reached the end of its useful life, some </w:t>
      </w:r>
      <w:r w:rsidR="00C75997">
        <w:t>s</w:t>
      </w:r>
      <w:r>
        <w:t xml:space="preserve">egments and </w:t>
      </w:r>
      <w:r w:rsidR="00C75997">
        <w:t>p</w:t>
      </w:r>
      <w:r>
        <w:t xml:space="preserve">roduct </w:t>
      </w:r>
      <w:r w:rsidR="00C75997">
        <w:t>c</w:t>
      </w:r>
      <w:r>
        <w:t>ategories will operate for a significant portion of their operating life on sub-optimal charges.</w:t>
      </w:r>
    </w:p>
    <w:p w14:paraId="1C6EFE62" w14:textId="2B9D9350" w:rsidR="00EC5443" w:rsidRDefault="00EC5443" w:rsidP="00EC5443">
      <w:pPr>
        <w:rPr>
          <w:rFonts w:cs="Times New Roman"/>
          <w:szCs w:val="22"/>
          <w:lang w:val="en-US"/>
        </w:rPr>
      </w:pPr>
      <w:r>
        <w:rPr>
          <w:rFonts w:cs="Times New Roman"/>
          <w:szCs w:val="22"/>
          <w:lang w:val="en-US"/>
        </w:rPr>
        <w:t>This reali</w:t>
      </w:r>
      <w:r w:rsidR="00C75997">
        <w:rPr>
          <w:rFonts w:cs="Times New Roman"/>
          <w:szCs w:val="22"/>
          <w:lang w:val="en-US"/>
        </w:rPr>
        <w:t>s</w:t>
      </w:r>
      <w:r>
        <w:rPr>
          <w:rFonts w:cs="Times New Roman"/>
          <w:szCs w:val="22"/>
          <w:lang w:val="en-US"/>
        </w:rPr>
        <w:t xml:space="preserve">ation has been built over a period during which </w:t>
      </w:r>
      <w:r w:rsidR="00FC5FC6">
        <w:rPr>
          <w:rFonts w:cs="Times New Roman"/>
          <w:szCs w:val="22"/>
          <w:lang w:val="en-US"/>
        </w:rPr>
        <w:t>a</w:t>
      </w:r>
      <w:r>
        <w:rPr>
          <w:rFonts w:cs="Times New Roman"/>
          <w:szCs w:val="22"/>
          <w:lang w:val="en-US"/>
        </w:rPr>
        <w:t xml:space="preserve"> great deal of work was undertaken by the authors in the course of several projects to reconcile </w:t>
      </w:r>
      <w:r w:rsidR="00E46C29">
        <w:rPr>
          <w:rFonts w:cs="Times New Roman"/>
          <w:szCs w:val="22"/>
          <w:lang w:val="en-US"/>
        </w:rPr>
        <w:t xml:space="preserve">usage </w:t>
      </w:r>
      <w:r>
        <w:rPr>
          <w:rFonts w:cs="Times New Roman"/>
          <w:szCs w:val="22"/>
          <w:lang w:val="en-US"/>
        </w:rPr>
        <w:t xml:space="preserve">of declared bulk refrigerant imports into Australia, for all major refrigerant species, with all the possible end uses of the </w:t>
      </w:r>
      <w:r w:rsidR="00451C08">
        <w:rPr>
          <w:rFonts w:cs="Times New Roman"/>
          <w:szCs w:val="22"/>
          <w:lang w:val="en-US"/>
        </w:rPr>
        <w:t>refrigerant</w:t>
      </w:r>
      <w:r>
        <w:rPr>
          <w:rFonts w:cs="Times New Roman"/>
          <w:szCs w:val="22"/>
          <w:lang w:val="en-US"/>
        </w:rPr>
        <w:t xml:space="preserve">. </w:t>
      </w:r>
    </w:p>
    <w:p w14:paraId="6921A82D" w14:textId="6A9FD41A" w:rsidR="00EC5443" w:rsidRDefault="00EC5443" w:rsidP="00EC5443">
      <w:pPr>
        <w:rPr>
          <w:rFonts w:cs="Times New Roman"/>
          <w:szCs w:val="22"/>
          <w:lang w:val="en-US"/>
        </w:rPr>
      </w:pPr>
      <w:r>
        <w:rPr>
          <w:rFonts w:cs="Times New Roman"/>
          <w:szCs w:val="22"/>
          <w:lang w:val="en-US"/>
        </w:rPr>
        <w:t xml:space="preserve">Combined with supply chain and service company interviews, the analysis of bulk </w:t>
      </w:r>
      <w:r w:rsidR="00451C08">
        <w:rPr>
          <w:rFonts w:cs="Times New Roman"/>
          <w:szCs w:val="22"/>
          <w:lang w:val="en-US"/>
        </w:rPr>
        <w:t>refrigerant</w:t>
      </w:r>
      <w:r>
        <w:rPr>
          <w:rFonts w:cs="Times New Roman"/>
          <w:szCs w:val="22"/>
          <w:lang w:val="en-US"/>
        </w:rPr>
        <w:t xml:space="preserve"> imports, plus the expected losses from the stock of equipment is used to deduce the total volume of </w:t>
      </w:r>
      <w:r w:rsidR="00451C08">
        <w:rPr>
          <w:rFonts w:cs="Times New Roman"/>
          <w:szCs w:val="22"/>
          <w:lang w:val="en-US"/>
        </w:rPr>
        <w:t>refrigerant</w:t>
      </w:r>
      <w:r>
        <w:rPr>
          <w:rFonts w:cs="Times New Roman"/>
          <w:szCs w:val="22"/>
          <w:lang w:val="en-US"/>
        </w:rPr>
        <w:t xml:space="preserve"> applied to particular </w:t>
      </w:r>
      <w:r w:rsidR="00C75997">
        <w:rPr>
          <w:rFonts w:cs="Times New Roman"/>
          <w:szCs w:val="22"/>
          <w:lang w:val="en-US"/>
        </w:rPr>
        <w:t>p</w:t>
      </w:r>
      <w:r>
        <w:rPr>
          <w:rFonts w:cs="Times New Roman"/>
          <w:szCs w:val="22"/>
          <w:lang w:val="en-US"/>
        </w:rPr>
        <w:t xml:space="preserve">roduct </w:t>
      </w:r>
      <w:r w:rsidR="00C75997">
        <w:rPr>
          <w:rFonts w:cs="Times New Roman"/>
          <w:szCs w:val="22"/>
          <w:lang w:val="en-US"/>
        </w:rPr>
        <w:t>c</w:t>
      </w:r>
      <w:r>
        <w:rPr>
          <w:rFonts w:cs="Times New Roman"/>
          <w:szCs w:val="22"/>
          <w:lang w:val="en-US"/>
        </w:rPr>
        <w:t xml:space="preserve">ategories to at least partially replace lost </w:t>
      </w:r>
      <w:r w:rsidR="00451C08">
        <w:rPr>
          <w:rFonts w:cs="Times New Roman"/>
          <w:szCs w:val="22"/>
          <w:lang w:val="en-US"/>
        </w:rPr>
        <w:t>refrigerant</w:t>
      </w:r>
      <w:r>
        <w:rPr>
          <w:rFonts w:cs="Times New Roman"/>
          <w:szCs w:val="22"/>
          <w:lang w:val="en-US"/>
        </w:rPr>
        <w:t xml:space="preserve"> across the stock of equipment in the Australian economy.  </w:t>
      </w:r>
    </w:p>
    <w:p w14:paraId="22978777" w14:textId="0935132B" w:rsidR="00EC5443" w:rsidRDefault="00EC5443" w:rsidP="00EC5443">
      <w:pPr>
        <w:rPr>
          <w:rFonts w:cs="Times New Roman"/>
          <w:szCs w:val="22"/>
          <w:lang w:val="en-US"/>
        </w:rPr>
      </w:pPr>
      <w:r>
        <w:rPr>
          <w:rFonts w:cs="Times New Roman"/>
          <w:szCs w:val="22"/>
          <w:lang w:val="en-US"/>
        </w:rPr>
        <w:t xml:space="preserve">For </w:t>
      </w:r>
      <w:r w:rsidRPr="00E46C29">
        <w:rPr>
          <w:rFonts w:cs="Times New Roman"/>
          <w:szCs w:val="22"/>
          <w:lang w:val="en-US"/>
        </w:rPr>
        <w:t xml:space="preserve">example, a </w:t>
      </w:r>
      <w:r w:rsidR="00C75997" w:rsidRPr="00E46C29">
        <w:rPr>
          <w:rFonts w:cs="Times New Roman"/>
          <w:szCs w:val="22"/>
          <w:lang w:val="en-US"/>
        </w:rPr>
        <w:t>m</w:t>
      </w:r>
      <w:r w:rsidRPr="00E46C29">
        <w:rPr>
          <w:rFonts w:cs="Times New Roman"/>
          <w:szCs w:val="22"/>
          <w:lang w:val="en-US"/>
        </w:rPr>
        <w:t xml:space="preserve">obile </w:t>
      </w:r>
      <w:r w:rsidR="00C75997" w:rsidRPr="00E46C29">
        <w:rPr>
          <w:rFonts w:cs="Times New Roman"/>
          <w:szCs w:val="22"/>
          <w:lang w:val="en-US"/>
        </w:rPr>
        <w:t>a</w:t>
      </w:r>
      <w:r w:rsidRPr="00E46C29">
        <w:rPr>
          <w:rFonts w:cs="Times New Roman"/>
          <w:szCs w:val="22"/>
          <w:lang w:val="en-US"/>
        </w:rPr>
        <w:t xml:space="preserve">ir </w:t>
      </w:r>
      <w:r w:rsidR="00C75997" w:rsidRPr="00E46C29">
        <w:rPr>
          <w:rFonts w:cs="Times New Roman"/>
          <w:szCs w:val="22"/>
          <w:lang w:val="en-US"/>
        </w:rPr>
        <w:t>c</w:t>
      </w:r>
      <w:r w:rsidRPr="00E46C29">
        <w:rPr>
          <w:rFonts w:cs="Times New Roman"/>
          <w:szCs w:val="22"/>
          <w:lang w:val="en-US"/>
        </w:rPr>
        <w:t xml:space="preserve">onditioning </w:t>
      </w:r>
      <w:r w:rsidR="00C75997" w:rsidRPr="00E46C29">
        <w:rPr>
          <w:rFonts w:cs="Times New Roman"/>
          <w:szCs w:val="22"/>
          <w:lang w:val="en-US"/>
        </w:rPr>
        <w:t>a</w:t>
      </w:r>
      <w:r w:rsidRPr="00E46C29">
        <w:rPr>
          <w:rFonts w:cs="Times New Roman"/>
          <w:szCs w:val="22"/>
          <w:lang w:val="en-US"/>
        </w:rPr>
        <w:t xml:space="preserve">ftermarket survey was undertaken to assess HFC-134a </w:t>
      </w:r>
      <w:r w:rsidR="00E46C29" w:rsidRPr="00E46C29">
        <w:rPr>
          <w:rFonts w:cs="Times New Roman"/>
          <w:szCs w:val="22"/>
          <w:lang w:val="en-US"/>
        </w:rPr>
        <w:t>usage</w:t>
      </w:r>
      <w:r w:rsidRPr="00E46C29">
        <w:rPr>
          <w:rFonts w:cs="Times New Roman"/>
          <w:szCs w:val="22"/>
          <w:lang w:val="en-US"/>
        </w:rPr>
        <w:t xml:space="preserve"> for service, repairs and losses as the result of car crash</w:t>
      </w:r>
      <w:r w:rsidR="008A7DB5">
        <w:rPr>
          <w:rFonts w:cs="Times New Roman"/>
          <w:szCs w:val="22"/>
          <w:lang w:val="en-US"/>
        </w:rPr>
        <w:t>es</w:t>
      </w:r>
      <w:r w:rsidRPr="00E46C29">
        <w:rPr>
          <w:rFonts w:cs="Times New Roman"/>
          <w:szCs w:val="22"/>
          <w:lang w:val="en-US"/>
        </w:rPr>
        <w:t xml:space="preserve">. The assessment concluded that the service </w:t>
      </w:r>
      <w:r w:rsidR="00E46C29" w:rsidRPr="00E46C29">
        <w:rPr>
          <w:rFonts w:cs="Times New Roman"/>
          <w:szCs w:val="22"/>
          <w:lang w:val="en-US"/>
        </w:rPr>
        <w:t>usage</w:t>
      </w:r>
      <w:r w:rsidRPr="00E46C29">
        <w:rPr>
          <w:rFonts w:cs="Times New Roman"/>
          <w:szCs w:val="22"/>
          <w:lang w:val="en-US"/>
        </w:rPr>
        <w:t xml:space="preserve"> rate for the last three years was less than 5% per annum of the MAC bank, versus the estimate of 10% </w:t>
      </w:r>
      <w:r w:rsidR="008A7DB5" w:rsidRPr="00E46C29">
        <w:rPr>
          <w:rFonts w:cs="Times New Roman"/>
          <w:szCs w:val="22"/>
          <w:lang w:val="en-US"/>
        </w:rPr>
        <w:t>leak rate</w:t>
      </w:r>
      <w:r w:rsidR="008A7DB5">
        <w:rPr>
          <w:rFonts w:cs="Times New Roman"/>
          <w:szCs w:val="22"/>
          <w:lang w:val="en-US"/>
        </w:rPr>
        <w:t>,</w:t>
      </w:r>
      <w:r w:rsidR="008A7DB5" w:rsidRPr="00E46C29">
        <w:rPr>
          <w:rFonts w:cs="Times New Roman"/>
          <w:szCs w:val="22"/>
          <w:lang w:val="en-US"/>
        </w:rPr>
        <w:t xml:space="preserve"> </w:t>
      </w:r>
      <w:r w:rsidRPr="00E46C29">
        <w:rPr>
          <w:rFonts w:cs="Times New Roman"/>
          <w:szCs w:val="22"/>
          <w:lang w:val="en-US"/>
        </w:rPr>
        <w:t>plus</w:t>
      </w:r>
      <w:r>
        <w:rPr>
          <w:rFonts w:cs="Times New Roman"/>
          <w:szCs w:val="22"/>
          <w:lang w:val="en-US"/>
        </w:rPr>
        <w:t xml:space="preserve"> 1.5% applied for car crash losses in 2012. </w:t>
      </w:r>
      <w:r w:rsidR="00100988">
        <w:rPr>
          <w:rFonts w:cs="Times New Roman"/>
          <w:szCs w:val="22"/>
          <w:lang w:val="en-US"/>
        </w:rPr>
        <w:t xml:space="preserve">On this basis the </w:t>
      </w:r>
      <w:r>
        <w:rPr>
          <w:rFonts w:cs="Times New Roman"/>
          <w:szCs w:val="22"/>
          <w:lang w:val="en-US"/>
        </w:rPr>
        <w:t>service rate i</w:t>
      </w:r>
      <w:r w:rsidR="00100988">
        <w:rPr>
          <w:rFonts w:cs="Times New Roman"/>
          <w:szCs w:val="22"/>
          <w:lang w:val="en-US"/>
        </w:rPr>
        <w:t xml:space="preserve">s around half of the leak rate, however the </w:t>
      </w:r>
      <w:r w:rsidR="00E46C29">
        <w:rPr>
          <w:rFonts w:cs="Times New Roman"/>
          <w:szCs w:val="22"/>
          <w:lang w:val="en-US"/>
        </w:rPr>
        <w:t xml:space="preserve">usage </w:t>
      </w:r>
      <w:r w:rsidR="00100988">
        <w:rPr>
          <w:rFonts w:cs="Times New Roman"/>
          <w:szCs w:val="22"/>
          <w:lang w:val="en-US"/>
        </w:rPr>
        <w:t xml:space="preserve">prior to 2012 was </w:t>
      </w:r>
      <w:r w:rsidR="001F64CE">
        <w:rPr>
          <w:rFonts w:cs="Times New Roman"/>
          <w:szCs w:val="22"/>
          <w:lang w:val="en-US"/>
        </w:rPr>
        <w:t>known</w:t>
      </w:r>
      <w:r w:rsidR="00100988">
        <w:rPr>
          <w:rFonts w:cs="Times New Roman"/>
          <w:szCs w:val="22"/>
          <w:lang w:val="en-US"/>
        </w:rPr>
        <w:t xml:space="preserve"> to be much higher.</w:t>
      </w:r>
    </w:p>
    <w:p w14:paraId="6462B1E3" w14:textId="131F29AC" w:rsidR="00EC5443" w:rsidRPr="00EC5443" w:rsidRDefault="00EC5443" w:rsidP="003270E5">
      <w:pPr>
        <w:rPr>
          <w:rFonts w:cs="Times New Roman"/>
          <w:szCs w:val="22"/>
          <w:lang w:val="en-US"/>
        </w:rPr>
      </w:pPr>
      <w:r>
        <w:rPr>
          <w:rFonts w:cs="Times New Roman"/>
          <w:szCs w:val="22"/>
          <w:lang w:val="en-US"/>
        </w:rPr>
        <w:t>Assuming this under</w:t>
      </w:r>
      <w:r w:rsidR="008A7DB5">
        <w:rPr>
          <w:rFonts w:cs="Times New Roman"/>
          <w:szCs w:val="22"/>
          <w:lang w:val="en-US"/>
        </w:rPr>
        <w:t>-</w:t>
      </w:r>
      <w:r>
        <w:rPr>
          <w:rFonts w:cs="Times New Roman"/>
          <w:szCs w:val="22"/>
          <w:lang w:val="en-US"/>
        </w:rPr>
        <w:t xml:space="preserve">servicing of the stock of equipment is consistently around </w:t>
      </w:r>
      <w:r w:rsidR="00F61B87">
        <w:rPr>
          <w:rFonts w:cs="Times New Roman"/>
          <w:szCs w:val="22"/>
          <w:lang w:val="en-US"/>
        </w:rPr>
        <w:t>25% to 30</w:t>
      </w:r>
      <w:r>
        <w:rPr>
          <w:rFonts w:cs="Times New Roman"/>
          <w:szCs w:val="22"/>
          <w:lang w:val="en-US"/>
        </w:rPr>
        <w:t xml:space="preserve">% of annual losses, then the actual bank of </w:t>
      </w:r>
      <w:r w:rsidR="00451C08">
        <w:rPr>
          <w:rFonts w:cs="Times New Roman"/>
          <w:szCs w:val="22"/>
          <w:lang w:val="en-US"/>
        </w:rPr>
        <w:t>refrigerant</w:t>
      </w:r>
      <w:r>
        <w:rPr>
          <w:rFonts w:cs="Times New Roman"/>
          <w:szCs w:val="22"/>
          <w:lang w:val="en-US"/>
        </w:rPr>
        <w:t xml:space="preserve"> in the stock of MAC is about </w:t>
      </w:r>
      <w:r w:rsidR="00B329BB" w:rsidRPr="00B329BB">
        <w:rPr>
          <w:rFonts w:cs="Times New Roman"/>
          <w:szCs w:val="22"/>
          <w:lang w:val="en-US"/>
        </w:rPr>
        <w:t>8</w:t>
      </w:r>
      <w:r w:rsidR="00FC5FC6">
        <w:rPr>
          <w:rFonts w:cs="Times New Roman"/>
          <w:szCs w:val="22"/>
          <w:lang w:val="en-US"/>
        </w:rPr>
        <w:t>2</w:t>
      </w:r>
      <w:r w:rsidRPr="00B329BB">
        <w:rPr>
          <w:rFonts w:cs="Times New Roman"/>
          <w:szCs w:val="22"/>
          <w:lang w:val="en-US"/>
        </w:rPr>
        <w:t>%</w:t>
      </w:r>
      <w:r>
        <w:rPr>
          <w:rFonts w:cs="Times New Roman"/>
          <w:szCs w:val="22"/>
          <w:lang w:val="en-US"/>
        </w:rPr>
        <w:t xml:space="preserve"> of the capacity of that stock if it was fully charged. </w:t>
      </w:r>
      <w:r w:rsidR="00F61B87">
        <w:rPr>
          <w:rFonts w:cs="Times New Roman"/>
          <w:szCs w:val="22"/>
          <w:lang w:val="en-US"/>
        </w:rPr>
        <w:t>The banks in other sectors</w:t>
      </w:r>
      <w:r w:rsidR="007758A9">
        <w:rPr>
          <w:rFonts w:cs="Times New Roman"/>
          <w:szCs w:val="22"/>
          <w:lang w:val="en-US"/>
        </w:rPr>
        <w:t>,</w:t>
      </w:r>
      <w:r w:rsidR="00F61B87">
        <w:rPr>
          <w:rFonts w:cs="Times New Roman"/>
          <w:szCs w:val="22"/>
          <w:lang w:val="en-US"/>
        </w:rPr>
        <w:t xml:space="preserve"> with less </w:t>
      </w:r>
      <w:r w:rsidR="00FC5FC6">
        <w:rPr>
          <w:rFonts w:cs="Times New Roman"/>
          <w:szCs w:val="22"/>
          <w:lang w:val="en-US"/>
        </w:rPr>
        <w:t>under</w:t>
      </w:r>
      <w:r w:rsidR="007758A9">
        <w:rPr>
          <w:rFonts w:cs="Times New Roman"/>
          <w:szCs w:val="22"/>
          <w:lang w:val="en-US"/>
        </w:rPr>
        <w:t>-</w:t>
      </w:r>
      <w:r w:rsidR="00FC5FC6">
        <w:rPr>
          <w:rFonts w:cs="Times New Roman"/>
          <w:szCs w:val="22"/>
          <w:lang w:val="en-US"/>
        </w:rPr>
        <w:t>servicing</w:t>
      </w:r>
      <w:r w:rsidR="007758A9">
        <w:rPr>
          <w:rFonts w:cs="Times New Roman"/>
          <w:szCs w:val="22"/>
          <w:lang w:val="en-US"/>
        </w:rPr>
        <w:t>,</w:t>
      </w:r>
      <w:r w:rsidR="00FC5FC6">
        <w:rPr>
          <w:rFonts w:cs="Times New Roman"/>
          <w:szCs w:val="22"/>
          <w:lang w:val="en-US"/>
        </w:rPr>
        <w:t xml:space="preserve"> would b</w:t>
      </w:r>
      <w:r w:rsidR="007758A9">
        <w:rPr>
          <w:rFonts w:cs="Times New Roman"/>
          <w:szCs w:val="22"/>
          <w:lang w:val="en-US"/>
        </w:rPr>
        <w:t>e more</w:t>
      </w:r>
      <w:r w:rsidR="00FC5FC6">
        <w:rPr>
          <w:rFonts w:cs="Times New Roman"/>
          <w:szCs w:val="22"/>
          <w:lang w:val="en-US"/>
        </w:rPr>
        <w:t xml:space="preserve"> full and the total bank is around 92% full.</w:t>
      </w:r>
      <w:r w:rsidR="00F61B87">
        <w:rPr>
          <w:rFonts w:cs="Times New Roman"/>
          <w:szCs w:val="22"/>
          <w:lang w:val="en-US"/>
        </w:rPr>
        <w:t xml:space="preserve"> </w:t>
      </w:r>
      <w:r>
        <w:rPr>
          <w:rFonts w:cs="Times New Roman"/>
          <w:szCs w:val="22"/>
          <w:lang w:val="en-US"/>
        </w:rPr>
        <w:t xml:space="preserve"> </w:t>
      </w:r>
    </w:p>
    <w:p w14:paraId="19088193" w14:textId="4B8741E6" w:rsidR="00EC5443" w:rsidRDefault="00EC5443" w:rsidP="00EC5443">
      <w:r>
        <w:t>These new insights into the industry and the operation and maintenance of the stock of equipment ha</w:t>
      </w:r>
      <w:r w:rsidR="007758A9">
        <w:t>ve</w:t>
      </w:r>
      <w:r>
        <w:t xml:space="preserve"> led to the development of the concept of a ‘</w:t>
      </w:r>
      <w:r w:rsidR="00FC5FC6">
        <w:t>s</w:t>
      </w:r>
      <w:r>
        <w:t xml:space="preserve">ervice </w:t>
      </w:r>
      <w:r w:rsidR="00FC5FC6">
        <w:t>r</w:t>
      </w:r>
      <w:r>
        <w:t xml:space="preserve">ate’ for certain </w:t>
      </w:r>
      <w:r w:rsidR="00C75997">
        <w:t>s</w:t>
      </w:r>
      <w:r w:rsidR="00782924">
        <w:t>e</w:t>
      </w:r>
      <w:r>
        <w:t xml:space="preserve">gments and </w:t>
      </w:r>
      <w:r w:rsidR="00C75997">
        <w:t>p</w:t>
      </w:r>
      <w:r>
        <w:t xml:space="preserve">roduct </w:t>
      </w:r>
      <w:r w:rsidR="00C75997">
        <w:t>c</w:t>
      </w:r>
      <w:r>
        <w:t xml:space="preserve">ategories, where a discounted </w:t>
      </w:r>
      <w:r w:rsidR="00C75997">
        <w:t>s</w:t>
      </w:r>
      <w:r>
        <w:t xml:space="preserve">ervice </w:t>
      </w:r>
      <w:r w:rsidR="00C75997">
        <w:t>r</w:t>
      </w:r>
      <w:r>
        <w:t xml:space="preserve">ate (i.e. a </w:t>
      </w:r>
      <w:r w:rsidR="00C75997">
        <w:t>s</w:t>
      </w:r>
      <w:r>
        <w:t xml:space="preserve">ervice </w:t>
      </w:r>
      <w:r w:rsidR="00C75997">
        <w:t>r</w:t>
      </w:r>
      <w:r>
        <w:t>ate of less than 100%) leads to calculation of a ‘</w:t>
      </w:r>
      <w:r w:rsidR="00C75997">
        <w:t>p</w:t>
      </w:r>
      <w:r>
        <w:t xml:space="preserve">artially </w:t>
      </w:r>
      <w:r w:rsidR="00C75997">
        <w:t>c</w:t>
      </w:r>
      <w:r>
        <w:t xml:space="preserve">harged </w:t>
      </w:r>
      <w:r w:rsidR="00C75997">
        <w:t>b</w:t>
      </w:r>
      <w:r>
        <w:t xml:space="preserve">ank’, being less than the </w:t>
      </w:r>
      <w:r w:rsidR="00C75997">
        <w:t>o</w:t>
      </w:r>
      <w:r>
        <w:t xml:space="preserve">ptimal or </w:t>
      </w:r>
      <w:r w:rsidR="00C75997">
        <w:t>f</w:t>
      </w:r>
      <w:r>
        <w:t xml:space="preserve">ull </w:t>
      </w:r>
      <w:r w:rsidR="00C75997">
        <w:t>b</w:t>
      </w:r>
      <w:r>
        <w:t>ank.</w:t>
      </w:r>
    </w:p>
    <w:p w14:paraId="77FD985D" w14:textId="1EF7F1D8" w:rsidR="00EC5443" w:rsidRDefault="00EC5443" w:rsidP="003270E5">
      <w:pPr>
        <w:rPr>
          <w:rFonts w:cs="Times New Roman"/>
          <w:szCs w:val="22"/>
          <w:lang w:val="en-US"/>
        </w:rPr>
      </w:pPr>
      <w:r>
        <w:rPr>
          <w:rFonts w:cs="Times New Roman"/>
          <w:szCs w:val="22"/>
          <w:lang w:val="en-US"/>
        </w:rPr>
        <w:t>The main segments where under</w:t>
      </w:r>
      <w:r w:rsidR="007758A9">
        <w:rPr>
          <w:rFonts w:cs="Times New Roman"/>
          <w:szCs w:val="22"/>
          <w:lang w:val="en-US"/>
        </w:rPr>
        <w:t>-</w:t>
      </w:r>
      <w:r>
        <w:rPr>
          <w:rFonts w:cs="Times New Roman"/>
          <w:szCs w:val="22"/>
          <w:lang w:val="en-US"/>
        </w:rPr>
        <w:t xml:space="preserve">servicing is thought to be significant includes </w:t>
      </w:r>
      <w:r w:rsidR="00C75997">
        <w:rPr>
          <w:rFonts w:cs="Times New Roman"/>
          <w:szCs w:val="22"/>
          <w:lang w:val="en-US"/>
        </w:rPr>
        <w:t>s</w:t>
      </w:r>
      <w:r>
        <w:rPr>
          <w:rFonts w:cs="Times New Roman"/>
          <w:szCs w:val="22"/>
          <w:lang w:val="en-US"/>
        </w:rPr>
        <w:t>mall MAC and whitegoods (i.e. domestic refrigeration, portable AC, window/wall AC and wall hung split systems) particularly where the device is cheaper to replace than service. Notably these two segments are dominated by private ownership.</w:t>
      </w:r>
    </w:p>
    <w:p w14:paraId="5449C9A1" w14:textId="77777777" w:rsidR="00294104" w:rsidRPr="00EC5443" w:rsidRDefault="00294104" w:rsidP="003270E5">
      <w:pPr>
        <w:rPr>
          <w:rFonts w:cs="Times New Roman"/>
          <w:szCs w:val="22"/>
          <w:lang w:val="en-US"/>
        </w:rPr>
      </w:pPr>
    </w:p>
    <w:p w14:paraId="4C61148B" w14:textId="7B5EE27A" w:rsidR="00373E19" w:rsidRDefault="006002E4" w:rsidP="00294104">
      <w:pPr>
        <w:pStyle w:val="Heading3"/>
      </w:pPr>
      <w:bookmarkStart w:id="204" w:name="_Toc525141319"/>
      <w:r>
        <w:t>Calculating the f</w:t>
      </w:r>
      <w:r w:rsidR="00EC5443">
        <w:t xml:space="preserve">ull </w:t>
      </w:r>
      <w:r>
        <w:t>b</w:t>
      </w:r>
      <w:r w:rsidR="00EC5443">
        <w:t xml:space="preserve">ank and </w:t>
      </w:r>
      <w:r>
        <w:t>p</w:t>
      </w:r>
      <w:r w:rsidR="00EC5443">
        <w:t xml:space="preserve">artially </w:t>
      </w:r>
      <w:r>
        <w:t>c</w:t>
      </w:r>
      <w:r w:rsidR="00EC5443">
        <w:t xml:space="preserve">harged </w:t>
      </w:r>
      <w:r>
        <w:t>b</w:t>
      </w:r>
      <w:r w:rsidR="00EC5443">
        <w:t>ank</w:t>
      </w:r>
      <w:bookmarkEnd w:id="204"/>
      <w:r w:rsidR="00373E19">
        <w:t xml:space="preserve"> </w:t>
      </w:r>
    </w:p>
    <w:p w14:paraId="1CC16B20" w14:textId="2905A46A" w:rsidR="00815BDF" w:rsidRDefault="00EC5443" w:rsidP="00373E19">
      <w:pPr>
        <w:rPr>
          <w:rFonts w:cs="Times New Roman"/>
          <w:szCs w:val="22"/>
          <w:lang w:val="en-US"/>
        </w:rPr>
      </w:pPr>
      <w:r>
        <w:rPr>
          <w:rFonts w:cs="Times New Roman"/>
          <w:szCs w:val="22"/>
          <w:lang w:val="en-US"/>
        </w:rPr>
        <w:t xml:space="preserve">External references and field experience are used as a starting point for leak rates applied to </w:t>
      </w:r>
      <w:r w:rsidR="00C75997">
        <w:rPr>
          <w:rFonts w:cs="Times New Roman"/>
          <w:szCs w:val="22"/>
          <w:lang w:val="en-US"/>
        </w:rPr>
        <w:t>p</w:t>
      </w:r>
      <w:r>
        <w:rPr>
          <w:rFonts w:cs="Times New Roman"/>
          <w:szCs w:val="22"/>
          <w:lang w:val="en-US"/>
        </w:rPr>
        <w:t xml:space="preserve">roduct </w:t>
      </w:r>
      <w:r w:rsidR="00C75997">
        <w:rPr>
          <w:rFonts w:cs="Times New Roman"/>
          <w:szCs w:val="22"/>
          <w:lang w:val="en-US"/>
        </w:rPr>
        <w:t>c</w:t>
      </w:r>
      <w:r>
        <w:rPr>
          <w:rFonts w:cs="Times New Roman"/>
          <w:szCs w:val="22"/>
          <w:lang w:val="en-US"/>
        </w:rPr>
        <w:t>ategories. Service rates are as set out in the section above. A ‘</w:t>
      </w:r>
      <w:r w:rsidR="00C75997">
        <w:rPr>
          <w:rFonts w:cs="Times New Roman"/>
          <w:szCs w:val="22"/>
          <w:lang w:val="en-US"/>
        </w:rPr>
        <w:t>f</w:t>
      </w:r>
      <w:r>
        <w:rPr>
          <w:rFonts w:cs="Times New Roman"/>
          <w:szCs w:val="22"/>
          <w:lang w:val="en-US"/>
        </w:rPr>
        <w:t xml:space="preserve">ull </w:t>
      </w:r>
      <w:r w:rsidR="00C75997">
        <w:rPr>
          <w:rFonts w:cs="Times New Roman"/>
          <w:szCs w:val="22"/>
          <w:lang w:val="en-US"/>
        </w:rPr>
        <w:t>b</w:t>
      </w:r>
      <w:r>
        <w:rPr>
          <w:rFonts w:cs="Times New Roman"/>
          <w:szCs w:val="22"/>
          <w:lang w:val="en-US"/>
        </w:rPr>
        <w:t xml:space="preserve">ank’ is the product of a known stock of equipment multiplied by the average </w:t>
      </w:r>
      <w:r w:rsidR="00441B4C">
        <w:rPr>
          <w:rFonts w:cs="Times New Roman"/>
          <w:szCs w:val="22"/>
          <w:lang w:val="en-US"/>
        </w:rPr>
        <w:t xml:space="preserve">original </w:t>
      </w:r>
      <w:r>
        <w:rPr>
          <w:rFonts w:cs="Times New Roman"/>
          <w:szCs w:val="22"/>
          <w:lang w:val="en-US"/>
        </w:rPr>
        <w:t>charge rates</w:t>
      </w:r>
      <w:r w:rsidR="00815BDF">
        <w:rPr>
          <w:rFonts w:cs="Times New Roman"/>
          <w:szCs w:val="22"/>
          <w:lang w:val="en-US"/>
        </w:rPr>
        <w:t xml:space="preserve"> in the various cohorts of equipment that make up a</w:t>
      </w:r>
      <w:r>
        <w:rPr>
          <w:rFonts w:cs="Times New Roman"/>
          <w:szCs w:val="22"/>
          <w:lang w:val="en-US"/>
        </w:rPr>
        <w:t xml:space="preserve"> </w:t>
      </w:r>
      <w:r w:rsidR="00C75997">
        <w:rPr>
          <w:rFonts w:cs="Times New Roman"/>
          <w:szCs w:val="22"/>
          <w:lang w:val="en-US"/>
        </w:rPr>
        <w:t>p</w:t>
      </w:r>
      <w:r>
        <w:rPr>
          <w:rFonts w:cs="Times New Roman"/>
          <w:szCs w:val="22"/>
          <w:lang w:val="en-US"/>
        </w:rPr>
        <w:t xml:space="preserve">roduct </w:t>
      </w:r>
      <w:r w:rsidR="00C75997">
        <w:rPr>
          <w:rFonts w:cs="Times New Roman"/>
          <w:szCs w:val="22"/>
          <w:lang w:val="en-US"/>
        </w:rPr>
        <w:t>c</w:t>
      </w:r>
      <w:r>
        <w:rPr>
          <w:rFonts w:cs="Times New Roman"/>
          <w:szCs w:val="22"/>
          <w:lang w:val="en-US"/>
        </w:rPr>
        <w:t>ategory</w:t>
      </w:r>
      <w:r w:rsidR="007758A9">
        <w:rPr>
          <w:rFonts w:cs="Times New Roman"/>
          <w:szCs w:val="22"/>
          <w:lang w:val="en-US"/>
        </w:rPr>
        <w:t>,</w:t>
      </w:r>
      <w:r>
        <w:rPr>
          <w:rFonts w:cs="Times New Roman"/>
          <w:szCs w:val="22"/>
          <w:lang w:val="en-US"/>
        </w:rPr>
        <w:t xml:space="preserve"> derived largely from </w:t>
      </w:r>
      <w:r w:rsidR="00815BDF">
        <w:rPr>
          <w:rFonts w:cs="Times New Roman"/>
          <w:szCs w:val="22"/>
          <w:lang w:val="en-US"/>
        </w:rPr>
        <w:t>manufacturers</w:t>
      </w:r>
      <w:r w:rsidR="007758A9">
        <w:rPr>
          <w:rFonts w:cs="Times New Roman"/>
          <w:szCs w:val="22"/>
          <w:lang w:val="en-US"/>
        </w:rPr>
        <w:t>’</w:t>
      </w:r>
      <w:r w:rsidR="00815BDF">
        <w:rPr>
          <w:rFonts w:cs="Times New Roman"/>
          <w:szCs w:val="22"/>
          <w:lang w:val="en-US"/>
        </w:rPr>
        <w:t xml:space="preserve"> specifications. Residual charges in end-of-life equipment </w:t>
      </w:r>
      <w:r w:rsidR="00FE74F2">
        <w:rPr>
          <w:rFonts w:cs="Times New Roman"/>
          <w:szCs w:val="22"/>
          <w:lang w:val="en-US"/>
        </w:rPr>
        <w:t>are</w:t>
      </w:r>
      <w:r w:rsidR="00815BDF">
        <w:rPr>
          <w:rFonts w:cs="Times New Roman"/>
          <w:szCs w:val="22"/>
          <w:lang w:val="en-US"/>
        </w:rPr>
        <w:t xml:space="preserve"> estimated based on various surveys and published sources</w:t>
      </w:r>
      <w:r w:rsidR="00F13F58">
        <w:rPr>
          <w:rFonts w:cs="Times New Roman"/>
          <w:szCs w:val="22"/>
          <w:lang w:val="en-US"/>
        </w:rPr>
        <w:t>.</w:t>
      </w:r>
      <w:r w:rsidR="00815BDF">
        <w:rPr>
          <w:rFonts w:cs="Times New Roman"/>
          <w:szCs w:val="22"/>
          <w:lang w:val="en-US"/>
        </w:rPr>
        <w:t xml:space="preserve"> </w:t>
      </w:r>
    </w:p>
    <w:p w14:paraId="435DED64" w14:textId="5283CD3E" w:rsidR="00373E19" w:rsidRDefault="00815BDF" w:rsidP="00373E19">
      <w:pPr>
        <w:rPr>
          <w:rFonts w:cs="Times New Roman"/>
          <w:szCs w:val="22"/>
          <w:lang w:val="en-US"/>
        </w:rPr>
      </w:pPr>
      <w:r>
        <w:rPr>
          <w:rFonts w:cs="Times New Roman"/>
          <w:szCs w:val="22"/>
          <w:lang w:val="en-US"/>
        </w:rPr>
        <w:t>Using th</w:t>
      </w:r>
      <w:r w:rsidR="00FC5FC6">
        <w:rPr>
          <w:rFonts w:cs="Times New Roman"/>
          <w:szCs w:val="22"/>
          <w:lang w:val="en-US"/>
        </w:rPr>
        <w:t>is</w:t>
      </w:r>
      <w:r>
        <w:rPr>
          <w:rFonts w:cs="Times New Roman"/>
          <w:szCs w:val="22"/>
          <w:lang w:val="en-US"/>
        </w:rPr>
        <w:t xml:space="preserve"> </w:t>
      </w:r>
      <w:r w:rsidR="00FC5FC6">
        <w:rPr>
          <w:rFonts w:cs="Times New Roman"/>
          <w:szCs w:val="22"/>
          <w:lang w:val="en-US"/>
        </w:rPr>
        <w:t>data,</w:t>
      </w:r>
      <w:r w:rsidR="00EC5443">
        <w:rPr>
          <w:rFonts w:cs="Times New Roman"/>
          <w:szCs w:val="22"/>
          <w:lang w:val="en-US"/>
        </w:rPr>
        <w:t xml:space="preserve"> a</w:t>
      </w:r>
      <w:r w:rsidR="00373E19">
        <w:rPr>
          <w:rFonts w:cs="Times New Roman"/>
          <w:szCs w:val="22"/>
          <w:lang w:val="en-US"/>
        </w:rPr>
        <w:t xml:space="preserve"> mass balance equation is used to calculate</w:t>
      </w:r>
      <w:r>
        <w:rPr>
          <w:rFonts w:cs="Times New Roman"/>
          <w:szCs w:val="22"/>
          <w:lang w:val="en-US"/>
        </w:rPr>
        <w:t xml:space="preserve"> the actual </w:t>
      </w:r>
      <w:r w:rsidR="009F4CB3">
        <w:rPr>
          <w:rFonts w:cs="Times New Roman"/>
          <w:szCs w:val="22"/>
          <w:lang w:val="en-US"/>
        </w:rPr>
        <w:t>refrigerant bank</w:t>
      </w:r>
      <w:r>
        <w:rPr>
          <w:rFonts w:cs="Times New Roman"/>
          <w:szCs w:val="22"/>
          <w:lang w:val="en-US"/>
        </w:rPr>
        <w:t>, referred to as the ‘</w:t>
      </w:r>
      <w:r w:rsidR="00C75997">
        <w:rPr>
          <w:rFonts w:cs="Times New Roman"/>
          <w:szCs w:val="22"/>
          <w:lang w:val="en-US"/>
        </w:rPr>
        <w:t>p</w:t>
      </w:r>
      <w:r>
        <w:rPr>
          <w:rFonts w:cs="Times New Roman"/>
          <w:szCs w:val="22"/>
          <w:lang w:val="en-US"/>
        </w:rPr>
        <w:t xml:space="preserve">artial </w:t>
      </w:r>
      <w:r w:rsidR="00C75997">
        <w:rPr>
          <w:rFonts w:cs="Times New Roman"/>
          <w:szCs w:val="22"/>
          <w:lang w:val="en-US"/>
        </w:rPr>
        <w:t>b</w:t>
      </w:r>
      <w:r>
        <w:rPr>
          <w:rFonts w:cs="Times New Roman"/>
          <w:szCs w:val="22"/>
          <w:lang w:val="en-US"/>
        </w:rPr>
        <w:t xml:space="preserve">ank’, in a </w:t>
      </w:r>
      <w:r w:rsidR="00C75997">
        <w:rPr>
          <w:rFonts w:cs="Times New Roman"/>
          <w:szCs w:val="22"/>
          <w:lang w:val="en-US"/>
        </w:rPr>
        <w:t>p</w:t>
      </w:r>
      <w:r>
        <w:rPr>
          <w:rFonts w:cs="Times New Roman"/>
          <w:szCs w:val="22"/>
          <w:lang w:val="en-US"/>
        </w:rPr>
        <w:t xml:space="preserve">roduct </w:t>
      </w:r>
      <w:r w:rsidR="00C75997">
        <w:rPr>
          <w:rFonts w:cs="Times New Roman"/>
          <w:szCs w:val="22"/>
          <w:lang w:val="en-US"/>
        </w:rPr>
        <w:t>c</w:t>
      </w:r>
      <w:r>
        <w:rPr>
          <w:rFonts w:cs="Times New Roman"/>
          <w:szCs w:val="22"/>
          <w:lang w:val="en-US"/>
        </w:rPr>
        <w:t>ategory and thus in the stock of equipment.</w:t>
      </w:r>
    </w:p>
    <w:p w14:paraId="3CD03A8E" w14:textId="3272459A" w:rsidR="00373E19" w:rsidRDefault="00373E19" w:rsidP="00373E19">
      <w:pPr>
        <w:rPr>
          <w:rFonts w:cs="Times New Roman"/>
          <w:szCs w:val="22"/>
          <w:lang w:val="en-US"/>
        </w:rPr>
      </w:pPr>
      <w:r w:rsidRPr="0085603B">
        <w:rPr>
          <w:rFonts w:cs="Times New Roman"/>
          <w:i/>
          <w:szCs w:val="22"/>
          <w:lang w:val="en-US"/>
        </w:rPr>
        <w:t xml:space="preserve">Figure </w:t>
      </w:r>
      <w:r w:rsidR="00F13F58">
        <w:rPr>
          <w:rFonts w:cs="Times New Roman"/>
          <w:i/>
          <w:szCs w:val="22"/>
          <w:lang w:val="en-US"/>
        </w:rPr>
        <w:t>5</w:t>
      </w:r>
      <w:r w:rsidR="0023612A">
        <w:rPr>
          <w:rFonts w:cs="Times New Roman"/>
          <w:i/>
          <w:szCs w:val="22"/>
          <w:lang w:val="en-US"/>
        </w:rPr>
        <w:t>4</w:t>
      </w:r>
      <w:r>
        <w:rPr>
          <w:rFonts w:cs="Times New Roman"/>
          <w:szCs w:val="22"/>
          <w:lang w:val="en-US"/>
        </w:rPr>
        <w:t xml:space="preserve"> below illustrates the mass balance concept and relationship between the </w:t>
      </w:r>
      <w:r w:rsidR="00C75997">
        <w:rPr>
          <w:rFonts w:cs="Times New Roman"/>
          <w:szCs w:val="22"/>
          <w:lang w:val="en-US"/>
        </w:rPr>
        <w:t>f</w:t>
      </w:r>
      <w:r>
        <w:rPr>
          <w:rFonts w:cs="Times New Roman"/>
          <w:szCs w:val="22"/>
          <w:lang w:val="en-US"/>
        </w:rPr>
        <w:t xml:space="preserve">ull </w:t>
      </w:r>
      <w:r w:rsidR="00C75997">
        <w:rPr>
          <w:rFonts w:cs="Times New Roman"/>
          <w:szCs w:val="22"/>
          <w:lang w:val="en-US"/>
        </w:rPr>
        <w:t>b</w:t>
      </w:r>
      <w:r>
        <w:rPr>
          <w:rFonts w:cs="Times New Roman"/>
          <w:szCs w:val="22"/>
          <w:lang w:val="en-US"/>
        </w:rPr>
        <w:t xml:space="preserve">ank, </w:t>
      </w:r>
      <w:r w:rsidR="00C75997">
        <w:rPr>
          <w:rFonts w:cs="Times New Roman"/>
          <w:szCs w:val="22"/>
          <w:lang w:val="en-US"/>
        </w:rPr>
        <w:t>s</w:t>
      </w:r>
      <w:r>
        <w:rPr>
          <w:rFonts w:cs="Times New Roman"/>
          <w:szCs w:val="22"/>
          <w:lang w:val="en-US"/>
        </w:rPr>
        <w:t xml:space="preserve">ervice </w:t>
      </w:r>
      <w:r w:rsidR="00E46C29">
        <w:rPr>
          <w:rFonts w:cs="Times New Roman"/>
          <w:szCs w:val="22"/>
          <w:lang w:val="en-US"/>
        </w:rPr>
        <w:t>usage</w:t>
      </w:r>
      <w:r>
        <w:rPr>
          <w:rFonts w:cs="Times New Roman"/>
          <w:szCs w:val="22"/>
          <w:lang w:val="en-US"/>
        </w:rPr>
        <w:t xml:space="preserve"> and </w:t>
      </w:r>
      <w:r w:rsidR="00815BDF">
        <w:rPr>
          <w:rFonts w:cs="Times New Roman"/>
          <w:szCs w:val="22"/>
          <w:lang w:val="en-US"/>
        </w:rPr>
        <w:t xml:space="preserve">total possible </w:t>
      </w:r>
      <w:r w:rsidR="00FC5FC6">
        <w:rPr>
          <w:rFonts w:cs="Times New Roman"/>
          <w:szCs w:val="22"/>
          <w:lang w:val="en-US"/>
        </w:rPr>
        <w:t>end-of-life</w:t>
      </w:r>
      <w:r>
        <w:rPr>
          <w:rFonts w:cs="Times New Roman"/>
          <w:szCs w:val="22"/>
          <w:lang w:val="en-US"/>
        </w:rPr>
        <w:t xml:space="preserve"> </w:t>
      </w:r>
      <w:r w:rsidR="00815BDF">
        <w:rPr>
          <w:rFonts w:cs="Times New Roman"/>
          <w:szCs w:val="22"/>
          <w:lang w:val="en-US"/>
        </w:rPr>
        <w:t>residual charges</w:t>
      </w:r>
      <w:r>
        <w:rPr>
          <w:rFonts w:cs="Times New Roman"/>
          <w:szCs w:val="22"/>
          <w:lang w:val="en-US"/>
        </w:rPr>
        <w:t xml:space="preserve"> on one side of the equation, and the </w:t>
      </w:r>
      <w:r w:rsidR="00C75997">
        <w:rPr>
          <w:rFonts w:cs="Times New Roman"/>
          <w:szCs w:val="22"/>
          <w:lang w:val="en-US"/>
        </w:rPr>
        <w:t>p</w:t>
      </w:r>
      <w:r>
        <w:rPr>
          <w:rFonts w:cs="Times New Roman"/>
          <w:szCs w:val="22"/>
          <w:lang w:val="en-US"/>
        </w:rPr>
        <w:t xml:space="preserve">artial </w:t>
      </w:r>
      <w:r w:rsidR="00C75997">
        <w:rPr>
          <w:rFonts w:cs="Times New Roman"/>
          <w:szCs w:val="22"/>
          <w:lang w:val="en-US"/>
        </w:rPr>
        <w:t>b</w:t>
      </w:r>
      <w:r>
        <w:rPr>
          <w:rFonts w:cs="Times New Roman"/>
          <w:szCs w:val="22"/>
          <w:lang w:val="en-US"/>
        </w:rPr>
        <w:t xml:space="preserve">ank, </w:t>
      </w:r>
      <w:r w:rsidR="00FC5FC6">
        <w:rPr>
          <w:rFonts w:cs="Times New Roman"/>
          <w:szCs w:val="22"/>
          <w:lang w:val="en-US"/>
        </w:rPr>
        <w:t>d</w:t>
      </w:r>
      <w:r w:rsidR="00193DB7">
        <w:rPr>
          <w:rFonts w:cs="Times New Roman"/>
          <w:szCs w:val="22"/>
          <w:lang w:val="en-US"/>
        </w:rPr>
        <w:t>irect emissions</w:t>
      </w:r>
      <w:r>
        <w:rPr>
          <w:rFonts w:cs="Times New Roman"/>
          <w:szCs w:val="22"/>
          <w:lang w:val="en-US"/>
        </w:rPr>
        <w:t xml:space="preserve"> and </w:t>
      </w:r>
      <w:r w:rsidR="00815BDF">
        <w:rPr>
          <w:rFonts w:cs="Times New Roman"/>
          <w:szCs w:val="22"/>
          <w:lang w:val="en-US"/>
        </w:rPr>
        <w:t xml:space="preserve">actual </w:t>
      </w:r>
      <w:r w:rsidR="00C75997">
        <w:rPr>
          <w:rFonts w:cs="Times New Roman"/>
          <w:szCs w:val="22"/>
          <w:lang w:val="en-US"/>
        </w:rPr>
        <w:t>e</w:t>
      </w:r>
      <w:r>
        <w:rPr>
          <w:rFonts w:cs="Times New Roman"/>
          <w:szCs w:val="22"/>
          <w:lang w:val="en-US"/>
        </w:rPr>
        <w:t>nd</w:t>
      </w:r>
      <w:r w:rsidR="00FC5FC6">
        <w:rPr>
          <w:rFonts w:cs="Times New Roman"/>
          <w:szCs w:val="22"/>
          <w:lang w:val="en-US"/>
        </w:rPr>
        <w:t>-</w:t>
      </w:r>
      <w:r>
        <w:rPr>
          <w:rFonts w:cs="Times New Roman"/>
          <w:szCs w:val="22"/>
          <w:lang w:val="en-US"/>
        </w:rPr>
        <w:t>of</w:t>
      </w:r>
      <w:r w:rsidR="00FC5FC6">
        <w:rPr>
          <w:rFonts w:cs="Times New Roman"/>
          <w:szCs w:val="22"/>
          <w:lang w:val="en-US"/>
        </w:rPr>
        <w:t>-</w:t>
      </w:r>
      <w:r w:rsidR="00C75997">
        <w:rPr>
          <w:rFonts w:cs="Times New Roman"/>
          <w:szCs w:val="22"/>
          <w:lang w:val="en-US"/>
        </w:rPr>
        <w:t>l</w:t>
      </w:r>
      <w:r>
        <w:rPr>
          <w:rFonts w:cs="Times New Roman"/>
          <w:szCs w:val="22"/>
          <w:lang w:val="en-US"/>
        </w:rPr>
        <w:t xml:space="preserve">ife retirements from the </w:t>
      </w:r>
      <w:r w:rsidR="00C75997">
        <w:rPr>
          <w:rFonts w:cs="Times New Roman"/>
          <w:szCs w:val="22"/>
          <w:lang w:val="en-US"/>
        </w:rPr>
        <w:t>p</w:t>
      </w:r>
      <w:r>
        <w:rPr>
          <w:rFonts w:cs="Times New Roman"/>
          <w:szCs w:val="22"/>
          <w:lang w:val="en-US"/>
        </w:rPr>
        <w:t xml:space="preserve">artial </w:t>
      </w:r>
      <w:r w:rsidR="00C75997">
        <w:rPr>
          <w:rFonts w:cs="Times New Roman"/>
          <w:szCs w:val="22"/>
          <w:lang w:val="en-US"/>
        </w:rPr>
        <w:t>b</w:t>
      </w:r>
      <w:r>
        <w:rPr>
          <w:rFonts w:cs="Times New Roman"/>
          <w:szCs w:val="22"/>
          <w:lang w:val="en-US"/>
        </w:rPr>
        <w:t>ank</w:t>
      </w:r>
      <w:r w:rsidR="007758A9">
        <w:rPr>
          <w:rFonts w:cs="Times New Roman"/>
          <w:szCs w:val="22"/>
          <w:lang w:val="en-US"/>
        </w:rPr>
        <w:t xml:space="preserve"> on the other</w:t>
      </w:r>
      <w:r>
        <w:rPr>
          <w:rFonts w:cs="Times New Roman"/>
          <w:szCs w:val="22"/>
          <w:lang w:val="en-US"/>
        </w:rPr>
        <w:t>.</w:t>
      </w:r>
    </w:p>
    <w:p w14:paraId="7B07421C" w14:textId="608038D0" w:rsidR="001F3C11" w:rsidRDefault="001F3C11" w:rsidP="00441B4C">
      <w:pPr>
        <w:rPr>
          <w:rFonts w:cs="Times New Roman"/>
          <w:lang w:val="en-AU"/>
        </w:rPr>
      </w:pPr>
    </w:p>
    <w:p w14:paraId="32105B28" w14:textId="3885CDF8" w:rsidR="001F3C11" w:rsidRDefault="001F3C11">
      <w:pPr>
        <w:spacing w:before="0"/>
        <w:jc w:val="left"/>
        <w:rPr>
          <w:rFonts w:cs="Times New Roman"/>
          <w:lang w:val="en-AU"/>
        </w:rPr>
      </w:pPr>
      <w:r>
        <w:rPr>
          <w:rFonts w:cs="Times New Roman"/>
          <w:lang w:val="en-AU"/>
        </w:rPr>
        <w:br w:type="page"/>
      </w:r>
    </w:p>
    <w:tbl>
      <w:tblPr>
        <w:tblW w:w="9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6"/>
      </w:tblGrid>
      <w:tr w:rsidR="00441B4C" w:rsidRPr="00613398" w14:paraId="3D2AF428" w14:textId="77777777" w:rsidTr="00D8549E">
        <w:tc>
          <w:tcPr>
            <w:tcW w:w="9826" w:type="dxa"/>
            <w:vAlign w:val="center"/>
          </w:tcPr>
          <w:p w14:paraId="6617E14B" w14:textId="230F3145" w:rsidR="00441B4C" w:rsidRPr="00613398" w:rsidRDefault="00441B4C" w:rsidP="00441B4C">
            <w:pPr>
              <w:spacing w:after="120"/>
              <w:jc w:val="center"/>
              <w:rPr>
                <w:rFonts w:cs="Times New Roman"/>
                <w:b/>
              </w:rPr>
            </w:pPr>
            <w:r w:rsidRPr="00613398">
              <w:rPr>
                <w:rFonts w:cs="Times New Roman"/>
                <w:b/>
              </w:rPr>
              <w:br w:type="page"/>
            </w:r>
            <w:r>
              <w:rPr>
                <w:rFonts w:cs="Times New Roman"/>
                <w:b/>
              </w:rPr>
              <w:t>Refrigerant mass flow concept diagram</w:t>
            </w:r>
          </w:p>
        </w:tc>
      </w:tr>
      <w:tr w:rsidR="00441B4C" w:rsidRPr="000F7FAE" w14:paraId="7E486096" w14:textId="77777777" w:rsidTr="00D8549E">
        <w:tc>
          <w:tcPr>
            <w:tcW w:w="9826" w:type="dxa"/>
            <w:vAlign w:val="center"/>
          </w:tcPr>
          <w:p w14:paraId="33E56A50" w14:textId="77777777" w:rsidR="00441B4C" w:rsidRPr="000F7FAE" w:rsidRDefault="00441B4C" w:rsidP="00014D67">
            <w:pPr>
              <w:spacing w:before="60" w:after="60"/>
              <w:jc w:val="center"/>
              <w:rPr>
                <w:sz w:val="16"/>
                <w:szCs w:val="16"/>
              </w:rPr>
            </w:pPr>
          </w:p>
          <w:p w14:paraId="032C595B" w14:textId="403A01B1" w:rsidR="00441B4C" w:rsidRPr="000F7FAE" w:rsidRDefault="00441B4C" w:rsidP="00014D67">
            <w:pPr>
              <w:spacing w:before="60" w:after="60"/>
              <w:jc w:val="center"/>
              <w:rPr>
                <w:sz w:val="16"/>
                <w:szCs w:val="16"/>
              </w:rPr>
            </w:pPr>
            <w:r w:rsidRPr="003621A3">
              <w:rPr>
                <w:rFonts w:asciiTheme="majorHAnsi" w:hAnsiTheme="majorHAnsi"/>
                <w:b/>
                <w:noProof/>
                <w:sz w:val="32"/>
                <w:szCs w:val="32"/>
                <w:lang w:val="en-AU" w:eastAsia="en-AU"/>
              </w:rPr>
              <w:drawing>
                <wp:inline distT="0" distB="0" distL="0" distR="0" wp14:anchorId="0C5FAF95" wp14:editId="4DDF9728">
                  <wp:extent cx="2892150" cy="3885822"/>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10904" cy="3911020"/>
                          </a:xfrm>
                          <a:prstGeom prst="rect">
                            <a:avLst/>
                          </a:prstGeom>
                        </pic:spPr>
                      </pic:pic>
                    </a:graphicData>
                  </a:graphic>
                </wp:inline>
              </w:drawing>
            </w:r>
          </w:p>
          <w:p w14:paraId="576CA6D0" w14:textId="77777777" w:rsidR="00441B4C" w:rsidRPr="000F7FAE" w:rsidRDefault="00441B4C" w:rsidP="00014D67">
            <w:pPr>
              <w:spacing w:before="60" w:after="60"/>
              <w:jc w:val="center"/>
              <w:rPr>
                <w:sz w:val="16"/>
                <w:szCs w:val="16"/>
              </w:rPr>
            </w:pPr>
          </w:p>
        </w:tc>
      </w:tr>
      <w:tr w:rsidR="00441B4C" w:rsidRPr="00923150" w14:paraId="72E558DF" w14:textId="77777777" w:rsidTr="00D8549E">
        <w:tc>
          <w:tcPr>
            <w:tcW w:w="9826" w:type="dxa"/>
            <w:vAlign w:val="center"/>
          </w:tcPr>
          <w:p w14:paraId="39AE6855" w14:textId="7C016E7A" w:rsidR="00441B4C" w:rsidRPr="0023612A" w:rsidRDefault="0023612A" w:rsidP="0023612A">
            <w:pPr>
              <w:pStyle w:val="Caption"/>
            </w:pPr>
            <w:bookmarkStart w:id="205" w:name="_Toc525141385"/>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54</w:t>
            </w:r>
            <w:r w:rsidR="009D6843">
              <w:rPr>
                <w:noProof/>
              </w:rPr>
              <w:fldChar w:fldCharType="end"/>
            </w:r>
            <w:r w:rsidR="00441B4C" w:rsidRPr="0023612A">
              <w:rPr>
                <w:bCs w:val="0"/>
              </w:rPr>
              <w:t>: Refrigerant mass flow equation concept diagram.</w:t>
            </w:r>
            <w:bookmarkEnd w:id="205"/>
          </w:p>
        </w:tc>
      </w:tr>
    </w:tbl>
    <w:p w14:paraId="295BB720" w14:textId="77777777" w:rsidR="00815BDF" w:rsidRDefault="00815BDF" w:rsidP="00815BDF">
      <w:pPr>
        <w:rPr>
          <w:rFonts w:cs="Times New Roman"/>
          <w:szCs w:val="22"/>
          <w:lang w:val="en-US"/>
        </w:rPr>
      </w:pPr>
    </w:p>
    <w:p w14:paraId="54961586" w14:textId="58815225" w:rsidR="00815BDF" w:rsidRDefault="00815BDF" w:rsidP="00815BDF">
      <w:pPr>
        <w:rPr>
          <w:rFonts w:cs="Times New Roman"/>
          <w:szCs w:val="22"/>
          <w:lang w:val="en-US"/>
        </w:rPr>
      </w:pPr>
      <w:r>
        <w:rPr>
          <w:rFonts w:cs="Times New Roman"/>
          <w:szCs w:val="22"/>
          <w:lang w:val="en-US"/>
        </w:rPr>
        <w:t xml:space="preserve">The conceptual model of the </w:t>
      </w:r>
      <w:r w:rsidR="00EF4098">
        <w:rPr>
          <w:rFonts w:cs="Times New Roman"/>
          <w:szCs w:val="22"/>
          <w:lang w:val="en-US"/>
        </w:rPr>
        <w:t>p</w:t>
      </w:r>
      <w:r>
        <w:rPr>
          <w:rFonts w:cs="Times New Roman"/>
          <w:szCs w:val="22"/>
          <w:lang w:val="en-US"/>
        </w:rPr>
        <w:t xml:space="preserve">artial </w:t>
      </w:r>
      <w:r w:rsidR="00EF4098">
        <w:rPr>
          <w:rFonts w:cs="Times New Roman"/>
          <w:szCs w:val="22"/>
          <w:lang w:val="en-US"/>
        </w:rPr>
        <w:t>b</w:t>
      </w:r>
      <w:r>
        <w:rPr>
          <w:rFonts w:cs="Times New Roman"/>
          <w:szCs w:val="22"/>
          <w:lang w:val="en-US"/>
        </w:rPr>
        <w:t xml:space="preserve">ank can be validated by applying the same data and mass balance equations in a </w:t>
      </w:r>
      <w:r w:rsidR="00EF4098">
        <w:rPr>
          <w:rFonts w:cs="Times New Roman"/>
          <w:szCs w:val="22"/>
          <w:lang w:val="en-US"/>
        </w:rPr>
        <w:t>s</w:t>
      </w:r>
      <w:r>
        <w:rPr>
          <w:rFonts w:cs="Times New Roman"/>
          <w:szCs w:val="22"/>
          <w:lang w:val="en-US"/>
        </w:rPr>
        <w:t xml:space="preserve">egment or </w:t>
      </w:r>
      <w:r w:rsidR="00EF4098">
        <w:rPr>
          <w:rFonts w:cs="Times New Roman"/>
          <w:szCs w:val="22"/>
          <w:lang w:val="en-US"/>
        </w:rPr>
        <w:t>p</w:t>
      </w:r>
      <w:r>
        <w:rPr>
          <w:rFonts w:cs="Times New Roman"/>
          <w:szCs w:val="22"/>
          <w:lang w:val="en-US"/>
        </w:rPr>
        <w:t xml:space="preserve">roduct </w:t>
      </w:r>
      <w:r w:rsidR="00EF4098">
        <w:rPr>
          <w:rFonts w:cs="Times New Roman"/>
          <w:szCs w:val="22"/>
          <w:lang w:val="en-US"/>
        </w:rPr>
        <w:t>c</w:t>
      </w:r>
      <w:r>
        <w:rPr>
          <w:rFonts w:cs="Times New Roman"/>
          <w:szCs w:val="22"/>
          <w:lang w:val="en-US"/>
        </w:rPr>
        <w:t xml:space="preserve">ategory for which all data required can be </w:t>
      </w:r>
      <w:r w:rsidR="007758A9">
        <w:rPr>
          <w:rFonts w:cs="Times New Roman"/>
          <w:szCs w:val="22"/>
          <w:lang w:val="en-US"/>
        </w:rPr>
        <w:t>found</w:t>
      </w:r>
      <w:r>
        <w:rPr>
          <w:rFonts w:cs="Times New Roman"/>
          <w:szCs w:val="22"/>
          <w:lang w:val="en-US"/>
        </w:rPr>
        <w:t>.</w:t>
      </w:r>
    </w:p>
    <w:p w14:paraId="0B4C2F34" w14:textId="744DFF85" w:rsidR="00815BDF" w:rsidRDefault="00815BDF" w:rsidP="00815BDF">
      <w:pPr>
        <w:rPr>
          <w:rFonts w:cs="Times New Roman"/>
          <w:szCs w:val="22"/>
          <w:lang w:val="en-US"/>
        </w:rPr>
      </w:pPr>
      <w:r>
        <w:rPr>
          <w:rFonts w:cs="Times New Roman"/>
          <w:szCs w:val="22"/>
          <w:lang w:val="en-US"/>
        </w:rPr>
        <w:t>For example</w:t>
      </w:r>
      <w:r w:rsidR="007758A9">
        <w:rPr>
          <w:rFonts w:cs="Times New Roman"/>
          <w:szCs w:val="22"/>
          <w:lang w:val="en-US"/>
        </w:rPr>
        <w:t>,</w:t>
      </w:r>
      <w:r w:rsidRPr="00815BDF">
        <w:rPr>
          <w:rFonts w:cs="Times New Roman"/>
          <w:szCs w:val="22"/>
          <w:lang w:val="en-US"/>
        </w:rPr>
        <w:t xml:space="preserve"> </w:t>
      </w:r>
      <w:r>
        <w:rPr>
          <w:rFonts w:cs="Times New Roman"/>
          <w:szCs w:val="22"/>
          <w:lang w:val="en-US"/>
        </w:rPr>
        <w:t>aftermarket surveys covering all major market participants determined that s</w:t>
      </w:r>
      <w:r w:rsidRPr="007D4CD8">
        <w:rPr>
          <w:rFonts w:cs="Times New Roman"/>
          <w:szCs w:val="22"/>
          <w:lang w:val="en-US"/>
        </w:rPr>
        <w:t xml:space="preserve">ervice </w:t>
      </w:r>
      <w:r w:rsidR="00E46C29">
        <w:rPr>
          <w:rFonts w:cs="Times New Roman"/>
          <w:szCs w:val="22"/>
          <w:lang w:val="en-US"/>
        </w:rPr>
        <w:t xml:space="preserve">usage </w:t>
      </w:r>
      <w:r w:rsidRPr="007D4CD8">
        <w:rPr>
          <w:rFonts w:cs="Times New Roman"/>
          <w:szCs w:val="22"/>
          <w:lang w:val="en-US"/>
        </w:rPr>
        <w:t xml:space="preserve">for </w:t>
      </w:r>
      <w:r w:rsidR="00EF4098">
        <w:rPr>
          <w:rFonts w:cs="Times New Roman"/>
          <w:szCs w:val="22"/>
          <w:lang w:val="en-US"/>
        </w:rPr>
        <w:t>s</w:t>
      </w:r>
      <w:r w:rsidRPr="007D4CD8">
        <w:rPr>
          <w:rFonts w:cs="Times New Roman"/>
          <w:szCs w:val="22"/>
          <w:lang w:val="en-US"/>
        </w:rPr>
        <w:t xml:space="preserve">mall MAC </w:t>
      </w:r>
      <w:r>
        <w:rPr>
          <w:rFonts w:cs="Times New Roman"/>
          <w:szCs w:val="22"/>
          <w:lang w:val="en-US"/>
        </w:rPr>
        <w:t xml:space="preserve">was </w:t>
      </w:r>
      <w:r w:rsidRPr="007D4CD8">
        <w:rPr>
          <w:rFonts w:cs="Times New Roman"/>
          <w:szCs w:val="22"/>
          <w:lang w:val="en-US"/>
        </w:rPr>
        <w:t xml:space="preserve">found to be around 5% of </w:t>
      </w:r>
      <w:r>
        <w:rPr>
          <w:rFonts w:cs="Times New Roman"/>
          <w:szCs w:val="22"/>
          <w:lang w:val="en-US"/>
        </w:rPr>
        <w:t xml:space="preserve">the MAC </w:t>
      </w:r>
      <w:r w:rsidR="00EF4098">
        <w:rPr>
          <w:rFonts w:cs="Times New Roman"/>
          <w:szCs w:val="22"/>
          <w:lang w:val="en-US"/>
        </w:rPr>
        <w:t>f</w:t>
      </w:r>
      <w:r>
        <w:rPr>
          <w:rFonts w:cs="Times New Roman"/>
          <w:szCs w:val="22"/>
          <w:lang w:val="en-US"/>
        </w:rPr>
        <w:t xml:space="preserve">ull </w:t>
      </w:r>
      <w:r w:rsidR="00EF4098">
        <w:rPr>
          <w:rFonts w:cs="Times New Roman"/>
          <w:szCs w:val="22"/>
          <w:lang w:val="en-US"/>
        </w:rPr>
        <w:t>b</w:t>
      </w:r>
      <w:r>
        <w:rPr>
          <w:rFonts w:cs="Times New Roman"/>
          <w:szCs w:val="22"/>
          <w:lang w:val="en-US"/>
        </w:rPr>
        <w:t>ank</w:t>
      </w:r>
      <w:r w:rsidRPr="007D4CD8">
        <w:rPr>
          <w:rFonts w:cs="Times New Roman"/>
          <w:szCs w:val="22"/>
          <w:lang w:val="en-US"/>
        </w:rPr>
        <w:t xml:space="preserve"> </w:t>
      </w:r>
      <w:r>
        <w:rPr>
          <w:rFonts w:cs="Times New Roman"/>
          <w:szCs w:val="22"/>
          <w:lang w:val="en-US"/>
        </w:rPr>
        <w:t>in 2014, 2015 and 2016.</w:t>
      </w:r>
    </w:p>
    <w:p w14:paraId="04BB82D6" w14:textId="65ACF914" w:rsidR="00815BDF" w:rsidRDefault="00815BDF" w:rsidP="00815BDF">
      <w:pPr>
        <w:rPr>
          <w:rFonts w:cs="Times New Roman"/>
          <w:szCs w:val="22"/>
          <w:lang w:val="en-US"/>
        </w:rPr>
      </w:pPr>
      <w:r>
        <w:rPr>
          <w:rFonts w:cs="Times New Roman"/>
          <w:szCs w:val="22"/>
          <w:lang w:val="en-US"/>
        </w:rPr>
        <w:t xml:space="preserve">The average end-of-life charge in small MAC is known from surveys of ELVs to be 67% of the original charge. A life cycle charge </w:t>
      </w:r>
      <w:r w:rsidRPr="007D4CD8">
        <w:rPr>
          <w:rFonts w:cs="Times New Roman"/>
          <w:szCs w:val="22"/>
          <w:lang w:val="en-US"/>
        </w:rPr>
        <w:t xml:space="preserve">profile </w:t>
      </w:r>
      <w:r>
        <w:rPr>
          <w:rFonts w:cs="Times New Roman"/>
          <w:szCs w:val="22"/>
          <w:lang w:val="en-US"/>
        </w:rPr>
        <w:t xml:space="preserve">for </w:t>
      </w:r>
      <w:r w:rsidR="00EF4098">
        <w:rPr>
          <w:rFonts w:cs="Times New Roman"/>
          <w:szCs w:val="22"/>
          <w:lang w:val="en-US"/>
        </w:rPr>
        <w:t>s</w:t>
      </w:r>
      <w:r>
        <w:rPr>
          <w:rFonts w:cs="Times New Roman"/>
          <w:szCs w:val="22"/>
          <w:lang w:val="en-US"/>
        </w:rPr>
        <w:t xml:space="preserve">mall MAC was developed that assumes vehicles retain </w:t>
      </w:r>
      <w:r w:rsidRPr="007D4CD8">
        <w:rPr>
          <w:rFonts w:cs="Times New Roman"/>
          <w:szCs w:val="22"/>
          <w:lang w:val="en-US"/>
        </w:rPr>
        <w:t xml:space="preserve">100% of </w:t>
      </w:r>
      <w:r>
        <w:rPr>
          <w:rFonts w:cs="Times New Roman"/>
          <w:szCs w:val="22"/>
          <w:lang w:val="en-US"/>
        </w:rPr>
        <w:t xml:space="preserve">the </w:t>
      </w:r>
      <w:r w:rsidRPr="007D4CD8">
        <w:rPr>
          <w:rFonts w:cs="Times New Roman"/>
          <w:szCs w:val="22"/>
          <w:lang w:val="en-US"/>
        </w:rPr>
        <w:t xml:space="preserve">original charge from </w:t>
      </w:r>
      <w:r>
        <w:rPr>
          <w:rFonts w:cs="Times New Roman"/>
          <w:szCs w:val="22"/>
          <w:lang w:val="en-US"/>
        </w:rPr>
        <w:t xml:space="preserve">years one to five </w:t>
      </w:r>
      <w:r w:rsidRPr="007D4CD8">
        <w:rPr>
          <w:rFonts w:cs="Times New Roman"/>
          <w:szCs w:val="22"/>
          <w:lang w:val="en-US"/>
        </w:rPr>
        <w:t xml:space="preserve">during the typical warranty period, then follows a linear decline from 100% in </w:t>
      </w:r>
      <w:r>
        <w:rPr>
          <w:rFonts w:cs="Times New Roman"/>
          <w:szCs w:val="22"/>
          <w:lang w:val="en-US"/>
        </w:rPr>
        <w:t xml:space="preserve">year five </w:t>
      </w:r>
      <w:r w:rsidRPr="007D4CD8">
        <w:rPr>
          <w:rFonts w:cs="Times New Roman"/>
          <w:szCs w:val="22"/>
          <w:lang w:val="en-US"/>
        </w:rPr>
        <w:t>to 67% of original charge at retirement.</w:t>
      </w:r>
      <w:r>
        <w:rPr>
          <w:rFonts w:cs="Times New Roman"/>
          <w:szCs w:val="22"/>
          <w:lang w:val="en-US"/>
        </w:rPr>
        <w:t xml:space="preserve"> </w:t>
      </w:r>
    </w:p>
    <w:p w14:paraId="2896EDE9" w14:textId="4BC0A81E" w:rsidR="00815BDF" w:rsidRDefault="00815BDF" w:rsidP="00815BDF">
      <w:pPr>
        <w:rPr>
          <w:rFonts w:cs="Times New Roman"/>
          <w:szCs w:val="22"/>
          <w:lang w:val="en-US"/>
        </w:rPr>
      </w:pPr>
      <w:r>
        <w:rPr>
          <w:rFonts w:cs="Times New Roman"/>
          <w:szCs w:val="22"/>
          <w:lang w:val="en-US"/>
        </w:rPr>
        <w:t xml:space="preserve">Therefore, the annual leaks can be calculated from the mass balance equations in kilograms or tonnes, then converted to a percentage based on the original charge in the </w:t>
      </w:r>
      <w:r w:rsidR="00EF4098">
        <w:rPr>
          <w:rFonts w:cs="Times New Roman"/>
          <w:szCs w:val="22"/>
          <w:lang w:val="en-US"/>
        </w:rPr>
        <w:t>f</w:t>
      </w:r>
      <w:r>
        <w:rPr>
          <w:rFonts w:cs="Times New Roman"/>
          <w:szCs w:val="22"/>
          <w:lang w:val="en-US"/>
        </w:rPr>
        <w:t xml:space="preserve">ull </w:t>
      </w:r>
      <w:r w:rsidR="00EF4098">
        <w:rPr>
          <w:rFonts w:cs="Times New Roman"/>
          <w:szCs w:val="22"/>
          <w:lang w:val="en-US"/>
        </w:rPr>
        <w:t>b</w:t>
      </w:r>
      <w:r>
        <w:rPr>
          <w:rFonts w:cs="Times New Roman"/>
          <w:szCs w:val="22"/>
          <w:lang w:val="en-US"/>
        </w:rPr>
        <w:t>ank</w:t>
      </w:r>
      <w:r w:rsidR="00EF4098">
        <w:rPr>
          <w:rFonts w:cs="Times New Roman"/>
          <w:szCs w:val="22"/>
          <w:lang w:val="en-US"/>
        </w:rPr>
        <w:t>. In s</w:t>
      </w:r>
      <w:r w:rsidR="00851A1C">
        <w:rPr>
          <w:rFonts w:cs="Times New Roman"/>
          <w:szCs w:val="22"/>
          <w:lang w:val="en-US"/>
        </w:rPr>
        <w:t>mall MAC this analysis yields an annual average leak rate of the equipment of</w:t>
      </w:r>
      <w:r>
        <w:rPr>
          <w:rFonts w:cs="Times New Roman"/>
          <w:szCs w:val="22"/>
          <w:lang w:val="en-US"/>
        </w:rPr>
        <w:t xml:space="preserve"> 6.8% in 2016.</w:t>
      </w:r>
    </w:p>
    <w:p w14:paraId="12397FAE" w14:textId="743934E6" w:rsidR="00F80E70" w:rsidRDefault="00F80E70" w:rsidP="00F80E70">
      <w:pPr>
        <w:rPr>
          <w:rFonts w:cs="Times New Roman"/>
          <w:szCs w:val="22"/>
          <w:lang w:val="en-US"/>
        </w:rPr>
      </w:pPr>
      <w:r>
        <w:rPr>
          <w:rFonts w:cs="Times New Roman"/>
          <w:szCs w:val="22"/>
          <w:lang w:val="en-US"/>
        </w:rPr>
        <w:t>The leak rate in the model depends on the assumptions, for example the theoretical rate of small AC: S</w:t>
      </w:r>
      <w:r w:rsidRPr="00BD28CA">
        <w:rPr>
          <w:rFonts w:cs="Times New Roman"/>
          <w:szCs w:val="22"/>
          <w:lang w:val="en-US"/>
        </w:rPr>
        <w:t xml:space="preserve">plit AC </w:t>
      </w:r>
      <w:r>
        <w:rPr>
          <w:rFonts w:cs="Times New Roman"/>
          <w:szCs w:val="22"/>
          <w:lang w:val="en-US"/>
        </w:rPr>
        <w:t xml:space="preserve">is </w:t>
      </w:r>
      <w:r w:rsidRPr="00BD28CA">
        <w:rPr>
          <w:rFonts w:cs="Times New Roman"/>
          <w:szCs w:val="22"/>
          <w:lang w:val="en-US"/>
        </w:rPr>
        <w:t>3.6%</w:t>
      </w:r>
      <w:r>
        <w:rPr>
          <w:rFonts w:cs="Times New Roman"/>
          <w:szCs w:val="22"/>
          <w:lang w:val="en-US"/>
        </w:rPr>
        <w:t xml:space="preserve"> based on a </w:t>
      </w:r>
      <w:r w:rsidRPr="00BD28CA">
        <w:rPr>
          <w:rFonts w:cs="Times New Roman"/>
          <w:szCs w:val="22"/>
          <w:lang w:val="en-US"/>
        </w:rPr>
        <w:t>2% service rate, average lifespan of 12 years and E</w:t>
      </w:r>
      <w:r>
        <w:rPr>
          <w:rFonts w:cs="Times New Roman"/>
          <w:szCs w:val="22"/>
          <w:lang w:val="en-US"/>
        </w:rPr>
        <w:t>O</w:t>
      </w:r>
      <w:r w:rsidRPr="00BD28CA">
        <w:rPr>
          <w:rFonts w:cs="Times New Roman"/>
          <w:szCs w:val="22"/>
          <w:lang w:val="en-US"/>
        </w:rPr>
        <w:t>L residual of 80%</w:t>
      </w:r>
      <w:r w:rsidR="007758A9">
        <w:rPr>
          <w:rFonts w:cs="Times New Roman"/>
          <w:szCs w:val="22"/>
          <w:lang w:val="en-US"/>
        </w:rPr>
        <w:t>,</w:t>
      </w:r>
      <w:r>
        <w:rPr>
          <w:rFonts w:cs="Times New Roman"/>
          <w:szCs w:val="22"/>
          <w:lang w:val="en-US"/>
        </w:rPr>
        <w:t xml:space="preserve"> and has a theoretical leak rate of </w:t>
      </w:r>
      <w:r w:rsidRPr="00BD28CA">
        <w:rPr>
          <w:rFonts w:cs="Times New Roman"/>
          <w:szCs w:val="22"/>
          <w:lang w:val="en-US"/>
        </w:rPr>
        <w:t xml:space="preserve">2.8% </w:t>
      </w:r>
      <w:r>
        <w:rPr>
          <w:rFonts w:cs="Times New Roman"/>
          <w:szCs w:val="22"/>
          <w:lang w:val="en-US"/>
        </w:rPr>
        <w:t xml:space="preserve">based on an </w:t>
      </w:r>
      <w:r w:rsidRPr="00BD28CA">
        <w:rPr>
          <w:rFonts w:cs="Times New Roman"/>
          <w:szCs w:val="22"/>
          <w:lang w:val="en-US"/>
        </w:rPr>
        <w:t>E</w:t>
      </w:r>
      <w:r>
        <w:rPr>
          <w:rFonts w:cs="Times New Roman"/>
          <w:szCs w:val="22"/>
          <w:lang w:val="en-US"/>
        </w:rPr>
        <w:t>O</w:t>
      </w:r>
      <w:r w:rsidRPr="00BD28CA">
        <w:rPr>
          <w:rFonts w:cs="Times New Roman"/>
          <w:szCs w:val="22"/>
          <w:lang w:val="en-US"/>
        </w:rPr>
        <w:t>L residual of 90%</w:t>
      </w:r>
      <w:r>
        <w:rPr>
          <w:rFonts w:cs="Times New Roman"/>
          <w:szCs w:val="22"/>
          <w:lang w:val="en-US"/>
        </w:rPr>
        <w:t>.</w:t>
      </w:r>
    </w:p>
    <w:p w14:paraId="7D65301D" w14:textId="51AF4521" w:rsidR="00815BDF" w:rsidRDefault="00815BDF" w:rsidP="00815BDF">
      <w:pPr>
        <w:rPr>
          <w:rFonts w:cs="Times New Roman"/>
          <w:szCs w:val="22"/>
          <w:lang w:val="en-US"/>
        </w:rPr>
      </w:pPr>
      <w:r w:rsidRPr="005C05BB">
        <w:rPr>
          <w:rFonts w:cs="Times New Roman"/>
          <w:i/>
          <w:szCs w:val="22"/>
          <w:lang w:val="en-US"/>
        </w:rPr>
        <w:t xml:space="preserve">Figure </w:t>
      </w:r>
      <w:r w:rsidR="00E5701B">
        <w:rPr>
          <w:rFonts w:cs="Times New Roman"/>
          <w:i/>
          <w:szCs w:val="22"/>
          <w:lang w:val="en-US"/>
        </w:rPr>
        <w:t>55</w:t>
      </w:r>
      <w:r>
        <w:rPr>
          <w:rFonts w:cs="Times New Roman"/>
          <w:szCs w:val="22"/>
          <w:lang w:val="en-US"/>
        </w:rPr>
        <w:t xml:space="preserve"> provides a graph of the </w:t>
      </w:r>
      <w:r w:rsidR="005C05BB">
        <w:rPr>
          <w:rFonts w:cs="Times New Roman"/>
          <w:szCs w:val="22"/>
          <w:lang w:val="en-US"/>
        </w:rPr>
        <w:t>m</w:t>
      </w:r>
      <w:r>
        <w:rPr>
          <w:rFonts w:cs="Times New Roman"/>
          <w:szCs w:val="22"/>
          <w:lang w:val="en-US"/>
        </w:rPr>
        <w:t>a</w:t>
      </w:r>
      <w:r w:rsidR="00EF4098">
        <w:rPr>
          <w:rFonts w:cs="Times New Roman"/>
          <w:szCs w:val="22"/>
          <w:lang w:val="en-US"/>
        </w:rPr>
        <w:t>ss balance elements for s</w:t>
      </w:r>
      <w:r>
        <w:rPr>
          <w:rFonts w:cs="Times New Roman"/>
          <w:szCs w:val="22"/>
          <w:lang w:val="en-US"/>
        </w:rPr>
        <w:t xml:space="preserve">mall MAC from 2016 to 2030. The full and partial bank axis is on the right in </w:t>
      </w:r>
      <w:r w:rsidR="00886333">
        <w:rPr>
          <w:rFonts w:cs="Times New Roman"/>
          <w:szCs w:val="22"/>
          <w:lang w:val="en-US"/>
        </w:rPr>
        <w:t>t</w:t>
      </w:r>
      <w:r>
        <w:rPr>
          <w:rFonts w:cs="Times New Roman"/>
          <w:szCs w:val="22"/>
          <w:lang w:val="en-US"/>
        </w:rPr>
        <w:t xml:space="preserve">onnes, and the annual flows axis is on the left. This modelling approach provides regulators with reconciled </w:t>
      </w:r>
      <w:r w:rsidR="003B795E">
        <w:rPr>
          <w:rFonts w:cs="Times New Roman"/>
          <w:szCs w:val="22"/>
          <w:lang w:val="en-US"/>
        </w:rPr>
        <w:t>us</w:t>
      </w:r>
      <w:r w:rsidR="00AC10A1">
        <w:rPr>
          <w:rFonts w:cs="Times New Roman"/>
          <w:szCs w:val="22"/>
          <w:lang w:val="en-US"/>
        </w:rPr>
        <w:t>age</w:t>
      </w:r>
      <w:r w:rsidR="003B795E">
        <w:rPr>
          <w:rFonts w:cs="Times New Roman"/>
          <w:szCs w:val="22"/>
          <w:lang w:val="en-US"/>
        </w:rPr>
        <w:t xml:space="preserve"> </w:t>
      </w:r>
      <w:r>
        <w:rPr>
          <w:rFonts w:cs="Times New Roman"/>
          <w:szCs w:val="22"/>
          <w:lang w:val="en-US"/>
        </w:rPr>
        <w:t xml:space="preserve">which is important from a Montreal Protocol perspective, and annual emissions (leak and </w:t>
      </w:r>
      <w:r w:rsidR="00FC5FC6">
        <w:rPr>
          <w:rFonts w:cs="Times New Roman"/>
          <w:szCs w:val="22"/>
          <w:lang w:val="en-US"/>
        </w:rPr>
        <w:t>end-of-life</w:t>
      </w:r>
      <w:r>
        <w:rPr>
          <w:rFonts w:cs="Times New Roman"/>
          <w:szCs w:val="22"/>
          <w:lang w:val="en-US"/>
        </w:rPr>
        <w:t xml:space="preserve"> </w:t>
      </w:r>
      <w:r w:rsidR="007758A9">
        <w:rPr>
          <w:rFonts w:cs="Times New Roman"/>
          <w:szCs w:val="22"/>
          <w:lang w:val="en-US"/>
        </w:rPr>
        <w:t>minus</w:t>
      </w:r>
      <w:r>
        <w:rPr>
          <w:rFonts w:cs="Times New Roman"/>
          <w:szCs w:val="22"/>
          <w:lang w:val="en-US"/>
        </w:rPr>
        <w:t xml:space="preserve"> recoveries), essential for domestic emission reduction policy and understanding </w:t>
      </w:r>
      <w:r w:rsidR="001F64CE">
        <w:rPr>
          <w:rFonts w:cs="Times New Roman"/>
          <w:szCs w:val="22"/>
          <w:lang w:val="en-US"/>
        </w:rPr>
        <w:t>Kyoto</w:t>
      </w:r>
      <w:r>
        <w:rPr>
          <w:rFonts w:cs="Times New Roman"/>
          <w:szCs w:val="22"/>
          <w:lang w:val="en-US"/>
        </w:rPr>
        <w:t xml:space="preserve"> Protocol elements. </w:t>
      </w:r>
    </w:p>
    <w:tbl>
      <w:tblPr>
        <w:tblW w:w="9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6"/>
      </w:tblGrid>
      <w:tr w:rsidR="00373E19" w:rsidRPr="00613398" w14:paraId="4180A8D6" w14:textId="77777777" w:rsidTr="00CF19E5">
        <w:tc>
          <w:tcPr>
            <w:tcW w:w="9826" w:type="dxa"/>
            <w:vAlign w:val="center"/>
          </w:tcPr>
          <w:p w14:paraId="101CF21B" w14:textId="4BFBDA48" w:rsidR="00373E19" w:rsidRPr="00613398" w:rsidRDefault="00373E19" w:rsidP="007758A9">
            <w:pPr>
              <w:spacing w:after="120"/>
              <w:jc w:val="center"/>
              <w:rPr>
                <w:rFonts w:cs="Times New Roman"/>
                <w:b/>
              </w:rPr>
            </w:pPr>
            <w:r w:rsidRPr="00613398">
              <w:rPr>
                <w:rFonts w:cs="Times New Roman"/>
                <w:b/>
              </w:rPr>
              <w:br w:type="page"/>
            </w:r>
            <w:r>
              <w:rPr>
                <w:rFonts w:cs="Times New Roman"/>
                <w:b/>
              </w:rPr>
              <w:t>An</w:t>
            </w:r>
            <w:r w:rsidR="006002E4">
              <w:rPr>
                <w:rFonts w:cs="Times New Roman"/>
                <w:b/>
              </w:rPr>
              <w:t xml:space="preserve">nual flows (left axis </w:t>
            </w:r>
            <w:r w:rsidR="007758A9">
              <w:rPr>
                <w:rFonts w:cs="Times New Roman"/>
                <w:b/>
              </w:rPr>
              <w:t>t</w:t>
            </w:r>
            <w:r w:rsidR="006002E4">
              <w:rPr>
                <w:rFonts w:cs="Times New Roman"/>
                <w:b/>
              </w:rPr>
              <w:t>onnes), b</w:t>
            </w:r>
            <w:r>
              <w:rPr>
                <w:rFonts w:cs="Times New Roman"/>
                <w:b/>
              </w:rPr>
              <w:t xml:space="preserve">anks (right axis </w:t>
            </w:r>
            <w:r w:rsidR="006002E4">
              <w:rPr>
                <w:rFonts w:cs="Times New Roman"/>
                <w:b/>
              </w:rPr>
              <w:t>t</w:t>
            </w:r>
            <w:r>
              <w:rPr>
                <w:rFonts w:cs="Times New Roman"/>
                <w:b/>
              </w:rPr>
              <w:t>onnes)</w:t>
            </w:r>
          </w:p>
        </w:tc>
      </w:tr>
      <w:tr w:rsidR="00373E19" w:rsidRPr="000F7FAE" w14:paraId="5C58B5F3" w14:textId="77777777" w:rsidTr="00CF19E5">
        <w:tc>
          <w:tcPr>
            <w:tcW w:w="9826" w:type="dxa"/>
            <w:vAlign w:val="center"/>
          </w:tcPr>
          <w:p w14:paraId="7FD9E7F7" w14:textId="77777777" w:rsidR="00373E19" w:rsidRPr="000F7FAE" w:rsidRDefault="00373E19" w:rsidP="003536E9">
            <w:pPr>
              <w:spacing w:before="60" w:after="60"/>
              <w:jc w:val="center"/>
              <w:rPr>
                <w:sz w:val="16"/>
                <w:szCs w:val="16"/>
              </w:rPr>
            </w:pPr>
          </w:p>
          <w:p w14:paraId="65A4E0D8" w14:textId="77777777" w:rsidR="00373E19" w:rsidRPr="000F7FAE" w:rsidRDefault="00373E19" w:rsidP="003536E9">
            <w:pPr>
              <w:spacing w:before="60" w:after="60"/>
              <w:jc w:val="center"/>
              <w:rPr>
                <w:sz w:val="16"/>
                <w:szCs w:val="16"/>
              </w:rPr>
            </w:pPr>
            <w:r>
              <w:rPr>
                <w:noProof/>
                <w:lang w:val="en-AU" w:eastAsia="en-AU"/>
              </w:rPr>
              <w:drawing>
                <wp:inline distT="0" distB="0" distL="0" distR="0" wp14:anchorId="74206038" wp14:editId="1918429A">
                  <wp:extent cx="6030595" cy="2348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30595" cy="2348865"/>
                          </a:xfrm>
                          <a:prstGeom prst="rect">
                            <a:avLst/>
                          </a:prstGeom>
                        </pic:spPr>
                      </pic:pic>
                    </a:graphicData>
                  </a:graphic>
                </wp:inline>
              </w:drawing>
            </w:r>
          </w:p>
          <w:p w14:paraId="0152B0E3" w14:textId="77777777" w:rsidR="00373E19" w:rsidRPr="000F7FAE" w:rsidRDefault="00373E19" w:rsidP="003536E9">
            <w:pPr>
              <w:spacing w:before="60" w:after="60"/>
              <w:jc w:val="center"/>
              <w:rPr>
                <w:sz w:val="16"/>
                <w:szCs w:val="16"/>
              </w:rPr>
            </w:pPr>
          </w:p>
        </w:tc>
      </w:tr>
      <w:tr w:rsidR="00373E19" w:rsidRPr="00923150" w14:paraId="5AABBB1D" w14:textId="77777777" w:rsidTr="00CF19E5">
        <w:tc>
          <w:tcPr>
            <w:tcW w:w="9826" w:type="dxa"/>
            <w:vAlign w:val="center"/>
          </w:tcPr>
          <w:p w14:paraId="5249220A" w14:textId="5FAF4EE1" w:rsidR="00373E19" w:rsidRPr="0023612A" w:rsidRDefault="0023612A" w:rsidP="0023612A">
            <w:pPr>
              <w:pStyle w:val="Caption"/>
            </w:pPr>
            <w:bookmarkStart w:id="206" w:name="_Toc525141386"/>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55</w:t>
            </w:r>
            <w:r w:rsidR="009D6843">
              <w:rPr>
                <w:noProof/>
              </w:rPr>
              <w:fldChar w:fldCharType="end"/>
            </w:r>
            <w:r w:rsidR="00373E19" w:rsidRPr="0023612A">
              <w:rPr>
                <w:bCs w:val="0"/>
              </w:rPr>
              <w:t xml:space="preserve">: Small MAC Mass balance elements, annual flows </w:t>
            </w:r>
            <w:r w:rsidR="006002E4" w:rsidRPr="0023612A">
              <w:rPr>
                <w:bCs w:val="0"/>
              </w:rPr>
              <w:t>and banks from 2016 to 2030 in t</w:t>
            </w:r>
            <w:r w:rsidR="00373E19" w:rsidRPr="0023612A">
              <w:rPr>
                <w:bCs w:val="0"/>
              </w:rPr>
              <w:t>onnes.</w:t>
            </w:r>
            <w:bookmarkEnd w:id="206"/>
          </w:p>
        </w:tc>
      </w:tr>
    </w:tbl>
    <w:p w14:paraId="19FA40BB" w14:textId="1B006327" w:rsidR="00ED4541" w:rsidRDefault="00ED4541" w:rsidP="00ED4541">
      <w:pPr>
        <w:rPr>
          <w:rFonts w:cs="Times New Roman"/>
          <w:szCs w:val="22"/>
          <w:lang w:val="en-US"/>
        </w:rPr>
      </w:pPr>
      <w:r>
        <w:rPr>
          <w:rFonts w:cs="Times New Roman"/>
          <w:szCs w:val="22"/>
          <w:lang w:val="en-US"/>
        </w:rPr>
        <w:t>R</w:t>
      </w:r>
      <w:r w:rsidRPr="0088336E">
        <w:rPr>
          <w:rFonts w:cs="Times New Roman"/>
          <w:szCs w:val="22"/>
          <w:lang w:val="en-US"/>
        </w:rPr>
        <w:t xml:space="preserve">efer to </w:t>
      </w:r>
      <w:r w:rsidR="007A5FD5" w:rsidRPr="007A5FD5">
        <w:rPr>
          <w:rFonts w:cs="Times New Roman"/>
          <w:i/>
          <w:szCs w:val="22"/>
          <w:lang w:val="en-US"/>
        </w:rPr>
        <w:t xml:space="preserve">Table </w:t>
      </w:r>
      <w:r w:rsidR="00F13F58">
        <w:rPr>
          <w:rFonts w:cs="Times New Roman"/>
          <w:i/>
          <w:szCs w:val="22"/>
          <w:lang w:val="en-US"/>
        </w:rPr>
        <w:t>38</w:t>
      </w:r>
      <w:r w:rsidR="007A5FD5" w:rsidRPr="007A5FD5">
        <w:rPr>
          <w:rFonts w:cs="Times New Roman"/>
          <w:i/>
          <w:szCs w:val="22"/>
          <w:lang w:val="en-US"/>
        </w:rPr>
        <w:t xml:space="preserve">: </w:t>
      </w:r>
      <w:r w:rsidR="00F13F58" w:rsidRPr="00F13F58">
        <w:rPr>
          <w:rFonts w:cs="Times New Roman"/>
          <w:i/>
          <w:szCs w:val="22"/>
          <w:lang w:val="en-US"/>
        </w:rPr>
        <w:t>Technical characteristics by product category (average charge, end-of-life factors, service rates, leak rates and average lifespan) for most common substance</w:t>
      </w:r>
      <w:r w:rsidR="00886333">
        <w:rPr>
          <w:rFonts w:cs="Times New Roman"/>
          <w:i/>
          <w:szCs w:val="22"/>
          <w:lang w:val="en-US"/>
        </w:rPr>
        <w:t>,</w:t>
      </w:r>
      <w:r w:rsidRPr="0088336E">
        <w:rPr>
          <w:rFonts w:cs="Times New Roman"/>
          <w:szCs w:val="22"/>
          <w:lang w:val="en-US"/>
        </w:rPr>
        <w:t xml:space="preserve"> for </w:t>
      </w:r>
      <w:r>
        <w:rPr>
          <w:rFonts w:cs="Times New Roman"/>
          <w:szCs w:val="22"/>
          <w:lang w:val="en-US"/>
        </w:rPr>
        <w:t xml:space="preserve">equipment service </w:t>
      </w:r>
      <w:r w:rsidR="00E46C29">
        <w:rPr>
          <w:rFonts w:cs="Times New Roman"/>
          <w:szCs w:val="22"/>
          <w:lang w:val="en-US"/>
        </w:rPr>
        <w:t xml:space="preserve">usage </w:t>
      </w:r>
      <w:r w:rsidRPr="0088336E">
        <w:rPr>
          <w:rFonts w:cs="Times New Roman"/>
          <w:szCs w:val="22"/>
          <w:lang w:val="en-US"/>
        </w:rPr>
        <w:t>rates for each product category in the taxonomy.</w:t>
      </w:r>
    </w:p>
    <w:p w14:paraId="0CD244DE" w14:textId="79DCF107" w:rsidR="003270E5" w:rsidRDefault="003270E5" w:rsidP="003270E5">
      <w:pPr>
        <w:rPr>
          <w:rFonts w:cs="Times New Roman"/>
          <w:b/>
          <w:szCs w:val="22"/>
        </w:rPr>
      </w:pPr>
    </w:p>
    <w:p w14:paraId="51D071E6" w14:textId="77777777" w:rsidR="00BD28CA" w:rsidRPr="00E96D15" w:rsidRDefault="00BD28CA" w:rsidP="00BD28CA">
      <w:pPr>
        <w:pStyle w:val="Heading3"/>
      </w:pPr>
      <w:bookmarkStart w:id="207" w:name="_Toc525141320"/>
      <w:r w:rsidRPr="00E96D15">
        <w:t xml:space="preserve">The </w:t>
      </w:r>
      <w:r>
        <w:t>b</w:t>
      </w:r>
      <w:r w:rsidRPr="00E96D15">
        <w:t xml:space="preserve">ank of </w:t>
      </w:r>
      <w:r>
        <w:t>refrigerant</w:t>
      </w:r>
      <w:bookmarkEnd w:id="207"/>
    </w:p>
    <w:p w14:paraId="44AE5CAC" w14:textId="77777777" w:rsidR="00BD28CA" w:rsidRPr="00E96D15" w:rsidRDefault="00BD28CA" w:rsidP="00BD28CA">
      <w:pPr>
        <w:rPr>
          <w:rFonts w:cs="Times New Roman"/>
          <w:szCs w:val="22"/>
          <w:lang w:val="en-US"/>
        </w:rPr>
      </w:pPr>
      <w:r>
        <w:rPr>
          <w:rFonts w:cs="Times New Roman"/>
          <w:szCs w:val="22"/>
          <w:lang w:val="en-US"/>
        </w:rPr>
        <w:t>In simple terms the bank of refrigerant is calculated by using a</w:t>
      </w:r>
      <w:r w:rsidRPr="00E96D15">
        <w:rPr>
          <w:rFonts w:cs="Times New Roman"/>
          <w:szCs w:val="22"/>
          <w:lang w:val="en-US"/>
        </w:rPr>
        <w:t xml:space="preserve">verage charges of </w:t>
      </w:r>
      <w:r>
        <w:rPr>
          <w:rFonts w:cs="Times New Roman"/>
          <w:szCs w:val="22"/>
          <w:lang w:val="en-US"/>
        </w:rPr>
        <w:t>refrigerant</w:t>
      </w:r>
      <w:r w:rsidRPr="00E96D15">
        <w:rPr>
          <w:rFonts w:cs="Times New Roman"/>
          <w:szCs w:val="22"/>
          <w:lang w:val="en-US"/>
        </w:rPr>
        <w:t xml:space="preserve"> in each </w:t>
      </w:r>
      <w:r>
        <w:rPr>
          <w:rFonts w:cs="Times New Roman"/>
          <w:szCs w:val="22"/>
          <w:lang w:val="en-US"/>
        </w:rPr>
        <w:t>p</w:t>
      </w:r>
      <w:r w:rsidRPr="00E96D15">
        <w:rPr>
          <w:rFonts w:cs="Times New Roman"/>
          <w:szCs w:val="22"/>
          <w:lang w:val="en-US"/>
        </w:rPr>
        <w:t xml:space="preserve">roduct </w:t>
      </w:r>
      <w:r>
        <w:rPr>
          <w:rFonts w:cs="Times New Roman"/>
          <w:szCs w:val="22"/>
          <w:lang w:val="en-US"/>
        </w:rPr>
        <w:t>category</w:t>
      </w:r>
      <w:r w:rsidRPr="00E96D15">
        <w:rPr>
          <w:rFonts w:cs="Times New Roman"/>
          <w:szCs w:val="22"/>
          <w:lang w:val="en-US"/>
        </w:rPr>
        <w:t xml:space="preserve"> to calculate the total </w:t>
      </w:r>
      <w:r>
        <w:rPr>
          <w:rFonts w:cs="Times New Roman"/>
          <w:szCs w:val="22"/>
          <w:lang w:val="en-US"/>
        </w:rPr>
        <w:t>‘full b</w:t>
      </w:r>
      <w:r w:rsidRPr="00E96D15">
        <w:rPr>
          <w:rFonts w:cs="Times New Roman"/>
          <w:szCs w:val="22"/>
          <w:lang w:val="en-US"/>
        </w:rPr>
        <w:t>ank</w:t>
      </w:r>
      <w:r>
        <w:rPr>
          <w:rFonts w:cs="Times New Roman"/>
          <w:szCs w:val="22"/>
          <w:lang w:val="en-US"/>
        </w:rPr>
        <w:t>’</w:t>
      </w:r>
      <w:r w:rsidRPr="00E96D15">
        <w:rPr>
          <w:rFonts w:cs="Times New Roman"/>
          <w:szCs w:val="22"/>
          <w:lang w:val="en-US"/>
        </w:rPr>
        <w:t xml:space="preserve"> of </w:t>
      </w:r>
      <w:r>
        <w:rPr>
          <w:rFonts w:cs="Times New Roman"/>
          <w:szCs w:val="22"/>
          <w:lang w:val="en-US"/>
        </w:rPr>
        <w:t>refrigerant</w:t>
      </w:r>
      <w:r w:rsidRPr="00E96D15">
        <w:rPr>
          <w:rFonts w:cs="Times New Roman"/>
          <w:szCs w:val="22"/>
          <w:lang w:val="en-US"/>
        </w:rPr>
        <w:t xml:space="preserve"> by </w:t>
      </w:r>
      <w:r>
        <w:rPr>
          <w:rFonts w:cs="Times New Roman"/>
          <w:szCs w:val="22"/>
          <w:lang w:val="en-US"/>
        </w:rPr>
        <w:t>product c</w:t>
      </w:r>
      <w:r w:rsidRPr="00E96D15">
        <w:rPr>
          <w:rFonts w:cs="Times New Roman"/>
          <w:szCs w:val="22"/>
          <w:lang w:val="en-US"/>
        </w:rPr>
        <w:t xml:space="preserve">ategory and </w:t>
      </w:r>
      <w:r>
        <w:rPr>
          <w:rFonts w:cs="Times New Roman"/>
          <w:szCs w:val="22"/>
          <w:lang w:val="en-US"/>
        </w:rPr>
        <w:t>s</w:t>
      </w:r>
      <w:r w:rsidRPr="00E96D15">
        <w:rPr>
          <w:rFonts w:cs="Times New Roman"/>
          <w:szCs w:val="22"/>
          <w:lang w:val="en-US"/>
        </w:rPr>
        <w:t xml:space="preserve">egment, and by species. </w:t>
      </w:r>
    </w:p>
    <w:p w14:paraId="7025FD56" w14:textId="77777777" w:rsidR="00BD28CA" w:rsidRDefault="00BD28CA" w:rsidP="00BD28CA">
      <w:pPr>
        <w:rPr>
          <w:rFonts w:cs="Times New Roman"/>
          <w:szCs w:val="22"/>
          <w:lang w:val="en-US"/>
        </w:rPr>
      </w:pPr>
      <w:r>
        <w:rPr>
          <w:rFonts w:cs="Times New Roman"/>
          <w:szCs w:val="22"/>
          <w:lang w:val="en-US"/>
        </w:rPr>
        <w:t>L</w:t>
      </w:r>
      <w:r w:rsidRPr="00E96D15">
        <w:rPr>
          <w:rFonts w:cs="Times New Roman"/>
          <w:szCs w:val="22"/>
          <w:lang w:val="en-US"/>
        </w:rPr>
        <w:t xml:space="preserve">eak rates are used to </w:t>
      </w:r>
      <w:r>
        <w:rPr>
          <w:rFonts w:cs="Times New Roman"/>
          <w:szCs w:val="22"/>
          <w:lang w:val="en-US"/>
        </w:rPr>
        <w:t>assess</w:t>
      </w:r>
      <w:r w:rsidRPr="00E96D15">
        <w:rPr>
          <w:rFonts w:cs="Times New Roman"/>
          <w:szCs w:val="22"/>
          <w:lang w:val="en-US"/>
        </w:rPr>
        <w:t xml:space="preserve"> the volume of refrigerant </w:t>
      </w:r>
      <w:r>
        <w:rPr>
          <w:rFonts w:cs="Times New Roman"/>
          <w:szCs w:val="22"/>
          <w:lang w:val="en-US"/>
        </w:rPr>
        <w:t>required</w:t>
      </w:r>
      <w:r w:rsidRPr="00E96D15">
        <w:rPr>
          <w:rFonts w:cs="Times New Roman"/>
          <w:szCs w:val="22"/>
          <w:lang w:val="en-US"/>
        </w:rPr>
        <w:t xml:space="preserve"> </w:t>
      </w:r>
      <w:r>
        <w:rPr>
          <w:rFonts w:cs="Times New Roman"/>
          <w:szCs w:val="22"/>
          <w:lang w:val="en-US"/>
        </w:rPr>
        <w:t xml:space="preserve">for </w:t>
      </w:r>
      <w:r w:rsidRPr="00E96D15">
        <w:rPr>
          <w:rFonts w:cs="Times New Roman"/>
          <w:szCs w:val="22"/>
          <w:lang w:val="en-US"/>
        </w:rPr>
        <w:t xml:space="preserve">servicing </w:t>
      </w:r>
      <w:r>
        <w:rPr>
          <w:rFonts w:cs="Times New Roman"/>
          <w:szCs w:val="22"/>
          <w:lang w:val="en-US"/>
        </w:rPr>
        <w:t xml:space="preserve">equipment segments in any year. </w:t>
      </w:r>
      <w:r w:rsidRPr="00E96D15">
        <w:rPr>
          <w:rFonts w:cs="Times New Roman"/>
          <w:szCs w:val="22"/>
          <w:lang w:val="en-US"/>
        </w:rPr>
        <w:t>This service demand is reconciled against the known volumes imported</w:t>
      </w:r>
      <w:r>
        <w:rPr>
          <w:rFonts w:cs="Times New Roman"/>
          <w:szCs w:val="22"/>
          <w:lang w:val="en-US"/>
        </w:rPr>
        <w:t xml:space="preserve"> and sold to deduce a service rate for each product category. The full bank multiplied by the service rate results in a calculation of the ‘partially charged bank’, generally referred to in this report simply as ‘the bank’, or the ‘refrigerant bank’. </w:t>
      </w:r>
    </w:p>
    <w:p w14:paraId="7C74B7B0" w14:textId="17F1C716" w:rsidR="00BD28CA" w:rsidRDefault="00BD28CA" w:rsidP="00BD28CA">
      <w:pPr>
        <w:rPr>
          <w:rFonts w:cs="Times New Roman"/>
          <w:szCs w:val="22"/>
          <w:lang w:val="en-US"/>
        </w:rPr>
      </w:pPr>
      <w:r>
        <w:rPr>
          <w:rFonts w:cs="Times New Roman"/>
          <w:szCs w:val="22"/>
          <w:lang w:val="en-US"/>
        </w:rPr>
        <w:t>In generating a ‘partially charged bank’ for any product category, the RAC Stock model also takes account of the changing charge size of the various vintages of equipment in some product categories</w:t>
      </w:r>
      <w:r w:rsidRPr="00E96D15">
        <w:rPr>
          <w:rFonts w:cs="Times New Roman"/>
          <w:szCs w:val="22"/>
          <w:lang w:val="en-US"/>
        </w:rPr>
        <w:t>.</w:t>
      </w:r>
    </w:p>
    <w:p w14:paraId="24B7C710" w14:textId="193784D9" w:rsidR="00BD28CA" w:rsidRDefault="00FE74F2" w:rsidP="00BD28CA">
      <w:pPr>
        <w:rPr>
          <w:rFonts w:cs="Times New Roman"/>
          <w:szCs w:val="22"/>
          <w:lang w:val="en-US"/>
        </w:rPr>
      </w:pPr>
      <w:r>
        <w:rPr>
          <w:rFonts w:cs="Times New Roman"/>
          <w:szCs w:val="22"/>
          <w:lang w:val="en-US"/>
        </w:rPr>
        <w:t>Starting</w:t>
      </w:r>
      <w:r w:rsidR="00BD28CA">
        <w:rPr>
          <w:rFonts w:cs="Times New Roman"/>
          <w:szCs w:val="22"/>
          <w:lang w:val="en-US"/>
        </w:rPr>
        <w:t xml:space="preserve"> with the </w:t>
      </w:r>
      <w:r w:rsidR="007758A9">
        <w:rPr>
          <w:rFonts w:cs="Times New Roman"/>
          <w:szCs w:val="22"/>
          <w:lang w:val="en-US"/>
        </w:rPr>
        <w:t>b</w:t>
      </w:r>
      <w:r w:rsidR="00BD28CA">
        <w:rPr>
          <w:rFonts w:cs="Times New Roman"/>
          <w:szCs w:val="22"/>
          <w:lang w:val="en-US"/>
        </w:rPr>
        <w:t xml:space="preserve">ank in 2016, projections of the changing composition of the </w:t>
      </w:r>
      <w:r w:rsidR="007758A9">
        <w:rPr>
          <w:rFonts w:cs="Times New Roman"/>
          <w:szCs w:val="22"/>
          <w:lang w:val="en-US"/>
        </w:rPr>
        <w:t>b</w:t>
      </w:r>
      <w:r w:rsidR="00BD28CA">
        <w:rPr>
          <w:rFonts w:cs="Times New Roman"/>
          <w:szCs w:val="22"/>
          <w:lang w:val="en-US"/>
        </w:rPr>
        <w:t>ank out to 2030 were prepared by combining the outputs from the model that projects the future sales mix of equipment by species employed.</w:t>
      </w:r>
    </w:p>
    <w:p w14:paraId="3B0BDCC8" w14:textId="77777777" w:rsidR="00BD28CA" w:rsidRDefault="00BD28CA" w:rsidP="003270E5">
      <w:pPr>
        <w:rPr>
          <w:rFonts w:cs="Times New Roman"/>
          <w:b/>
          <w:szCs w:val="22"/>
        </w:rPr>
      </w:pPr>
    </w:p>
    <w:p w14:paraId="64D21707" w14:textId="601E2BD9" w:rsidR="005633B3" w:rsidRPr="00245A2C" w:rsidRDefault="006002E4" w:rsidP="005633B3">
      <w:pPr>
        <w:pStyle w:val="Heading3"/>
      </w:pPr>
      <w:bookmarkStart w:id="208" w:name="_Toc525141321"/>
      <w:r>
        <w:t>Bank by p</w:t>
      </w:r>
      <w:r w:rsidR="005633B3">
        <w:t xml:space="preserve">roduct </w:t>
      </w:r>
      <w:r>
        <w:t>c</w:t>
      </w:r>
      <w:r w:rsidR="005633B3">
        <w:t>ategory</w:t>
      </w:r>
      <w:bookmarkEnd w:id="208"/>
    </w:p>
    <w:p w14:paraId="6ACA6259" w14:textId="01F0493C" w:rsidR="005633B3" w:rsidRDefault="005633B3" w:rsidP="005633B3">
      <w:pPr>
        <w:rPr>
          <w:rFonts w:eastAsia="Times New Roman" w:cs="Times New Roman"/>
          <w:bCs/>
          <w:szCs w:val="22"/>
          <w:lang w:val="en-US"/>
        </w:rPr>
      </w:pPr>
      <w:r>
        <w:rPr>
          <w:rFonts w:eastAsia="Times New Roman" w:cs="Times New Roman"/>
          <w:bCs/>
          <w:szCs w:val="22"/>
          <w:lang w:val="en-US"/>
        </w:rPr>
        <w:t>A ‘</w:t>
      </w:r>
      <w:r w:rsidR="00EF4098">
        <w:rPr>
          <w:rFonts w:eastAsia="Times New Roman" w:cs="Times New Roman"/>
          <w:bCs/>
          <w:szCs w:val="22"/>
          <w:lang w:val="en-US"/>
        </w:rPr>
        <w:t>f</w:t>
      </w:r>
      <w:r>
        <w:rPr>
          <w:rFonts w:eastAsia="Times New Roman" w:cs="Times New Roman"/>
          <w:bCs/>
          <w:szCs w:val="22"/>
          <w:lang w:val="en-US"/>
        </w:rPr>
        <w:t xml:space="preserve">ull </w:t>
      </w:r>
      <w:r w:rsidR="00EF4098">
        <w:rPr>
          <w:rFonts w:eastAsia="Times New Roman" w:cs="Times New Roman"/>
          <w:bCs/>
          <w:szCs w:val="22"/>
          <w:lang w:val="en-US"/>
        </w:rPr>
        <w:t>bank’ and ‘p</w:t>
      </w:r>
      <w:r>
        <w:rPr>
          <w:rFonts w:eastAsia="Times New Roman" w:cs="Times New Roman"/>
          <w:bCs/>
          <w:szCs w:val="22"/>
          <w:lang w:val="en-US"/>
        </w:rPr>
        <w:t xml:space="preserve">artially </w:t>
      </w:r>
      <w:r w:rsidR="00EF4098">
        <w:rPr>
          <w:rFonts w:eastAsia="Times New Roman" w:cs="Times New Roman"/>
          <w:bCs/>
          <w:szCs w:val="22"/>
          <w:lang w:val="en-US"/>
        </w:rPr>
        <w:t>c</w:t>
      </w:r>
      <w:r>
        <w:rPr>
          <w:rFonts w:eastAsia="Times New Roman" w:cs="Times New Roman"/>
          <w:bCs/>
          <w:szCs w:val="22"/>
          <w:lang w:val="en-US"/>
        </w:rPr>
        <w:t xml:space="preserve">harged </w:t>
      </w:r>
      <w:r w:rsidR="00EF4098">
        <w:rPr>
          <w:rFonts w:eastAsia="Times New Roman" w:cs="Times New Roman"/>
          <w:bCs/>
          <w:szCs w:val="22"/>
          <w:lang w:val="en-US"/>
        </w:rPr>
        <w:t>b</w:t>
      </w:r>
      <w:r>
        <w:rPr>
          <w:rFonts w:eastAsia="Times New Roman" w:cs="Times New Roman"/>
          <w:bCs/>
          <w:szCs w:val="22"/>
          <w:lang w:val="en-US"/>
        </w:rPr>
        <w:t xml:space="preserve">ank’ of refrigerant can be calculated for each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 xml:space="preserve">ategory with varying degrees of confidence depending on some of the characteristics of the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 xml:space="preserve">ategory, particularly the estimated leak rates and service rates of </w:t>
      </w:r>
      <w:r w:rsidR="007758A9">
        <w:rPr>
          <w:rFonts w:eastAsia="Times New Roman" w:cs="Times New Roman"/>
          <w:bCs/>
          <w:szCs w:val="22"/>
          <w:lang w:val="en-US"/>
        </w:rPr>
        <w:t xml:space="preserve">the </w:t>
      </w:r>
      <w:r>
        <w:rPr>
          <w:rFonts w:eastAsia="Times New Roman" w:cs="Times New Roman"/>
          <w:bCs/>
          <w:szCs w:val="22"/>
          <w:lang w:val="en-US"/>
        </w:rPr>
        <w:t>different categories.</w:t>
      </w:r>
    </w:p>
    <w:p w14:paraId="712BE55E" w14:textId="3614443C" w:rsidR="005633B3" w:rsidRDefault="005633B3" w:rsidP="005633B3">
      <w:pPr>
        <w:rPr>
          <w:rFonts w:eastAsia="Times New Roman" w:cs="Times New Roman"/>
          <w:bCs/>
          <w:szCs w:val="22"/>
          <w:lang w:val="en-US"/>
        </w:rPr>
      </w:pPr>
      <w:r w:rsidRPr="0050469B">
        <w:rPr>
          <w:rFonts w:eastAsia="Times New Roman" w:cs="Times New Roman"/>
          <w:bCs/>
          <w:szCs w:val="22"/>
          <w:lang w:val="en-US"/>
        </w:rPr>
        <w:t xml:space="preserve">The </w:t>
      </w:r>
      <w:r>
        <w:rPr>
          <w:rFonts w:eastAsia="Times New Roman" w:cs="Times New Roman"/>
          <w:bCs/>
          <w:szCs w:val="22"/>
          <w:lang w:val="en-US"/>
        </w:rPr>
        <w:t>‘</w:t>
      </w:r>
      <w:r w:rsidR="00EF4098">
        <w:rPr>
          <w:rFonts w:eastAsia="Times New Roman" w:cs="Times New Roman"/>
          <w:bCs/>
          <w:szCs w:val="22"/>
          <w:lang w:val="en-US"/>
        </w:rPr>
        <w:t>f</w:t>
      </w:r>
      <w:r>
        <w:rPr>
          <w:rFonts w:eastAsia="Times New Roman" w:cs="Times New Roman"/>
          <w:bCs/>
          <w:szCs w:val="22"/>
          <w:lang w:val="en-US"/>
        </w:rPr>
        <w:t xml:space="preserve">ull </w:t>
      </w:r>
      <w:r w:rsidR="00EF4098">
        <w:rPr>
          <w:rFonts w:eastAsia="Times New Roman" w:cs="Times New Roman"/>
          <w:bCs/>
          <w:szCs w:val="22"/>
          <w:lang w:val="en-US"/>
        </w:rPr>
        <w:t>b</w:t>
      </w:r>
      <w:r>
        <w:rPr>
          <w:rFonts w:eastAsia="Times New Roman" w:cs="Times New Roman"/>
          <w:bCs/>
          <w:szCs w:val="22"/>
          <w:lang w:val="en-US"/>
        </w:rPr>
        <w:t xml:space="preserve">ank’, or </w:t>
      </w:r>
      <w:r w:rsidRPr="0050469B">
        <w:rPr>
          <w:rFonts w:eastAsia="Times New Roman" w:cs="Times New Roman"/>
          <w:bCs/>
          <w:szCs w:val="22"/>
          <w:lang w:val="en-US"/>
        </w:rPr>
        <w:t>fully charged bank</w:t>
      </w:r>
      <w:r>
        <w:rPr>
          <w:rFonts w:eastAsia="Times New Roman" w:cs="Times New Roman"/>
          <w:bCs/>
          <w:szCs w:val="22"/>
          <w:lang w:val="en-US"/>
        </w:rPr>
        <w:t>,</w:t>
      </w:r>
      <w:r w:rsidRPr="0050469B">
        <w:rPr>
          <w:rFonts w:eastAsia="Times New Roman" w:cs="Times New Roman"/>
          <w:bCs/>
          <w:szCs w:val="22"/>
          <w:lang w:val="en-US"/>
        </w:rPr>
        <w:t xml:space="preserve"> is calculated based </w:t>
      </w:r>
      <w:r>
        <w:rPr>
          <w:rFonts w:eastAsia="Times New Roman" w:cs="Times New Roman"/>
          <w:bCs/>
          <w:szCs w:val="22"/>
          <w:lang w:val="en-US"/>
        </w:rPr>
        <w:t xml:space="preserve">on the </w:t>
      </w:r>
      <w:r w:rsidRPr="0050469B">
        <w:rPr>
          <w:rFonts w:eastAsia="Times New Roman" w:cs="Times New Roman"/>
          <w:bCs/>
          <w:szCs w:val="22"/>
          <w:lang w:val="en-US"/>
        </w:rPr>
        <w:t xml:space="preserve">number of devices in the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ategory</w:t>
      </w:r>
      <w:r w:rsidRPr="0050469B">
        <w:rPr>
          <w:rFonts w:eastAsia="Times New Roman" w:cs="Times New Roman"/>
          <w:bCs/>
          <w:szCs w:val="22"/>
          <w:lang w:val="en-US"/>
        </w:rPr>
        <w:t xml:space="preserve"> multiplied by the average original charge of </w:t>
      </w:r>
      <w:r>
        <w:rPr>
          <w:rFonts w:eastAsia="Times New Roman" w:cs="Times New Roman"/>
          <w:bCs/>
          <w:szCs w:val="22"/>
          <w:lang w:val="en-US"/>
        </w:rPr>
        <w:t xml:space="preserve">that type of </w:t>
      </w:r>
      <w:r w:rsidRPr="0050469B">
        <w:rPr>
          <w:rFonts w:eastAsia="Times New Roman" w:cs="Times New Roman"/>
          <w:bCs/>
          <w:szCs w:val="22"/>
          <w:lang w:val="en-US"/>
        </w:rPr>
        <w:t>equipment when it is initially installed</w:t>
      </w:r>
      <w:r>
        <w:rPr>
          <w:rFonts w:eastAsia="Times New Roman" w:cs="Times New Roman"/>
          <w:bCs/>
          <w:szCs w:val="22"/>
          <w:lang w:val="en-US"/>
        </w:rPr>
        <w:t>/purchased</w:t>
      </w:r>
      <w:r w:rsidRPr="0050469B">
        <w:rPr>
          <w:rFonts w:eastAsia="Times New Roman" w:cs="Times New Roman"/>
          <w:bCs/>
          <w:szCs w:val="22"/>
          <w:lang w:val="en-US"/>
        </w:rPr>
        <w:t xml:space="preserve">. </w:t>
      </w:r>
    </w:p>
    <w:p w14:paraId="3C0B3CDD" w14:textId="32017300" w:rsidR="005633B3" w:rsidRDefault="005633B3" w:rsidP="005633B3">
      <w:pPr>
        <w:rPr>
          <w:rFonts w:eastAsia="Times New Roman" w:cs="Times New Roman"/>
          <w:bCs/>
          <w:szCs w:val="22"/>
          <w:lang w:val="en-US"/>
        </w:rPr>
      </w:pPr>
      <w:r w:rsidRPr="0050469B">
        <w:rPr>
          <w:rFonts w:eastAsia="Times New Roman" w:cs="Times New Roman"/>
          <w:bCs/>
          <w:szCs w:val="22"/>
          <w:lang w:val="en-US"/>
        </w:rPr>
        <w:t xml:space="preserve">The </w:t>
      </w:r>
      <w:r>
        <w:rPr>
          <w:rFonts w:eastAsia="Times New Roman" w:cs="Times New Roman"/>
          <w:bCs/>
          <w:szCs w:val="22"/>
          <w:lang w:val="en-US"/>
        </w:rPr>
        <w:t>‘</w:t>
      </w:r>
      <w:r w:rsidR="00EF4098">
        <w:rPr>
          <w:rFonts w:eastAsia="Times New Roman" w:cs="Times New Roman"/>
          <w:bCs/>
          <w:szCs w:val="22"/>
          <w:lang w:val="en-US"/>
        </w:rPr>
        <w:t>p</w:t>
      </w:r>
      <w:r w:rsidRPr="00032313">
        <w:rPr>
          <w:rFonts w:eastAsia="Times New Roman" w:cs="Times New Roman"/>
          <w:bCs/>
          <w:szCs w:val="22"/>
          <w:lang w:val="en-US"/>
        </w:rPr>
        <w:t xml:space="preserve">artially </w:t>
      </w:r>
      <w:r w:rsidR="00EF4098">
        <w:rPr>
          <w:rFonts w:eastAsia="Times New Roman" w:cs="Times New Roman"/>
          <w:bCs/>
          <w:szCs w:val="22"/>
          <w:lang w:val="en-US"/>
        </w:rPr>
        <w:t>c</w:t>
      </w:r>
      <w:r w:rsidRPr="00032313">
        <w:rPr>
          <w:rFonts w:eastAsia="Times New Roman" w:cs="Times New Roman"/>
          <w:bCs/>
          <w:szCs w:val="22"/>
          <w:lang w:val="en-US"/>
        </w:rPr>
        <w:t xml:space="preserve">harged </w:t>
      </w:r>
      <w:r w:rsidR="00EF4098">
        <w:rPr>
          <w:rFonts w:eastAsia="Times New Roman" w:cs="Times New Roman"/>
          <w:bCs/>
          <w:szCs w:val="22"/>
          <w:lang w:val="en-US"/>
        </w:rPr>
        <w:t>b</w:t>
      </w:r>
      <w:r w:rsidRPr="00032313">
        <w:rPr>
          <w:rFonts w:eastAsia="Times New Roman" w:cs="Times New Roman"/>
          <w:bCs/>
          <w:szCs w:val="22"/>
          <w:lang w:val="en-US"/>
        </w:rPr>
        <w:t>ank</w:t>
      </w:r>
      <w:r>
        <w:rPr>
          <w:rFonts w:eastAsia="Times New Roman" w:cs="Times New Roman"/>
          <w:bCs/>
          <w:szCs w:val="22"/>
          <w:lang w:val="en-US"/>
        </w:rPr>
        <w:t>’</w:t>
      </w:r>
      <w:r w:rsidRPr="0050469B">
        <w:rPr>
          <w:rFonts w:eastAsia="Times New Roman" w:cs="Times New Roman"/>
          <w:bCs/>
          <w:szCs w:val="22"/>
          <w:lang w:val="en-US"/>
        </w:rPr>
        <w:t xml:space="preserve"> will</w:t>
      </w:r>
      <w:r>
        <w:rPr>
          <w:rFonts w:eastAsia="Times New Roman" w:cs="Times New Roman"/>
          <w:bCs/>
          <w:szCs w:val="22"/>
          <w:lang w:val="en-US"/>
        </w:rPr>
        <w:t>, in practice,</w:t>
      </w:r>
      <w:r w:rsidRPr="0050469B">
        <w:rPr>
          <w:rFonts w:eastAsia="Times New Roman" w:cs="Times New Roman"/>
          <w:bCs/>
          <w:szCs w:val="22"/>
          <w:lang w:val="en-US"/>
        </w:rPr>
        <w:t xml:space="preserve"> be less than the fully charged bank as the charge </w:t>
      </w:r>
      <w:r>
        <w:rPr>
          <w:rFonts w:eastAsia="Times New Roman" w:cs="Times New Roman"/>
          <w:bCs/>
          <w:szCs w:val="22"/>
          <w:lang w:val="en-US"/>
        </w:rPr>
        <w:t xml:space="preserve">in individual pieces of equipment in the </w:t>
      </w:r>
      <w:r w:rsidR="00EF4098">
        <w:rPr>
          <w:rFonts w:eastAsia="Times New Roman" w:cs="Times New Roman"/>
          <w:bCs/>
          <w:szCs w:val="22"/>
          <w:lang w:val="en-US"/>
        </w:rPr>
        <w:t>c</w:t>
      </w:r>
      <w:r>
        <w:rPr>
          <w:rFonts w:eastAsia="Times New Roman" w:cs="Times New Roman"/>
          <w:bCs/>
          <w:szCs w:val="22"/>
          <w:lang w:val="en-US"/>
        </w:rPr>
        <w:t xml:space="preserve">ategory </w:t>
      </w:r>
      <w:r w:rsidRPr="0050469B">
        <w:rPr>
          <w:rFonts w:eastAsia="Times New Roman" w:cs="Times New Roman"/>
          <w:bCs/>
          <w:szCs w:val="22"/>
          <w:lang w:val="en-US"/>
        </w:rPr>
        <w:t xml:space="preserve">declines </w:t>
      </w:r>
      <w:r>
        <w:rPr>
          <w:rFonts w:eastAsia="Times New Roman" w:cs="Times New Roman"/>
          <w:bCs/>
          <w:szCs w:val="22"/>
          <w:lang w:val="en-US"/>
        </w:rPr>
        <w:t xml:space="preserve">over </w:t>
      </w:r>
      <w:r w:rsidRPr="0050469B">
        <w:rPr>
          <w:rFonts w:eastAsia="Times New Roman" w:cs="Times New Roman"/>
          <w:bCs/>
          <w:szCs w:val="22"/>
          <w:lang w:val="en-US"/>
        </w:rPr>
        <w:t>time until the equipment retires.</w:t>
      </w:r>
      <w:r>
        <w:rPr>
          <w:rFonts w:eastAsia="Times New Roman" w:cs="Times New Roman"/>
          <w:bCs/>
          <w:szCs w:val="22"/>
          <w:lang w:val="en-US"/>
        </w:rPr>
        <w:t xml:space="preserve"> How much less the actual bank is than the </w:t>
      </w:r>
      <w:r w:rsidR="00EF4098">
        <w:rPr>
          <w:rFonts w:eastAsia="Times New Roman" w:cs="Times New Roman"/>
          <w:bCs/>
          <w:szCs w:val="22"/>
          <w:lang w:val="en-US"/>
        </w:rPr>
        <w:t>f</w:t>
      </w:r>
      <w:r>
        <w:rPr>
          <w:rFonts w:eastAsia="Times New Roman" w:cs="Times New Roman"/>
          <w:bCs/>
          <w:szCs w:val="22"/>
          <w:lang w:val="en-US"/>
        </w:rPr>
        <w:t xml:space="preserve">ull </w:t>
      </w:r>
      <w:r w:rsidR="00EF4098">
        <w:rPr>
          <w:rFonts w:eastAsia="Times New Roman" w:cs="Times New Roman"/>
          <w:bCs/>
          <w:szCs w:val="22"/>
          <w:lang w:val="en-US"/>
        </w:rPr>
        <w:t>b</w:t>
      </w:r>
      <w:r>
        <w:rPr>
          <w:rFonts w:eastAsia="Times New Roman" w:cs="Times New Roman"/>
          <w:bCs/>
          <w:szCs w:val="22"/>
          <w:lang w:val="en-US"/>
        </w:rPr>
        <w:t xml:space="preserve">ank at any time is determined by both the level of leaks from the equipment in that particular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 xml:space="preserve">ategory, off-set by the normal level of servicing of the stock in that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ategory. Both leak rates and service rates differ across the entire stock of equipment.</w:t>
      </w:r>
    </w:p>
    <w:p w14:paraId="162AAB8D" w14:textId="3B547966" w:rsidR="005633B3" w:rsidRDefault="005633B3" w:rsidP="005633B3">
      <w:pPr>
        <w:rPr>
          <w:rFonts w:eastAsia="Times New Roman" w:cs="Times New Roman"/>
          <w:bCs/>
          <w:szCs w:val="22"/>
          <w:lang w:val="en-US"/>
        </w:rPr>
      </w:pPr>
      <w:r>
        <w:rPr>
          <w:rFonts w:eastAsia="Times New Roman" w:cs="Times New Roman"/>
          <w:bCs/>
          <w:szCs w:val="22"/>
          <w:lang w:val="en-US"/>
        </w:rPr>
        <w:t>The stock</w:t>
      </w:r>
      <w:r w:rsidRPr="000C141D">
        <w:rPr>
          <w:rFonts w:eastAsia="Times New Roman" w:cs="Times New Roman"/>
          <w:bCs/>
          <w:szCs w:val="22"/>
          <w:lang w:val="en-US"/>
        </w:rPr>
        <w:t xml:space="preserve"> of equipment </w:t>
      </w:r>
      <w:r>
        <w:rPr>
          <w:rFonts w:eastAsia="Times New Roman" w:cs="Times New Roman"/>
          <w:bCs/>
          <w:szCs w:val="22"/>
          <w:lang w:val="en-US"/>
        </w:rPr>
        <w:t xml:space="preserve">in each </w:t>
      </w:r>
      <w:r w:rsidR="00EF4098">
        <w:rPr>
          <w:rFonts w:eastAsia="Times New Roman" w:cs="Times New Roman"/>
          <w:bCs/>
          <w:szCs w:val="22"/>
          <w:lang w:val="en-US"/>
        </w:rPr>
        <w:t>p</w:t>
      </w:r>
      <w:r>
        <w:rPr>
          <w:rFonts w:eastAsia="Times New Roman" w:cs="Times New Roman"/>
          <w:bCs/>
          <w:szCs w:val="22"/>
          <w:lang w:val="en-US"/>
        </w:rPr>
        <w:t xml:space="preserve">roduct </w:t>
      </w:r>
      <w:r w:rsidR="001F64CE">
        <w:rPr>
          <w:rFonts w:eastAsia="Times New Roman" w:cs="Times New Roman"/>
          <w:bCs/>
          <w:szCs w:val="22"/>
          <w:lang w:val="en-US"/>
        </w:rPr>
        <w:t>category</w:t>
      </w:r>
      <w:r>
        <w:rPr>
          <w:rFonts w:eastAsia="Times New Roman" w:cs="Times New Roman"/>
          <w:bCs/>
          <w:szCs w:val="22"/>
          <w:lang w:val="en-US"/>
        </w:rPr>
        <w:t xml:space="preserve"> </w:t>
      </w:r>
      <w:r w:rsidRPr="000C141D">
        <w:rPr>
          <w:rFonts w:eastAsia="Times New Roman" w:cs="Times New Roman"/>
          <w:bCs/>
          <w:szCs w:val="22"/>
          <w:lang w:val="en-US"/>
        </w:rPr>
        <w:t xml:space="preserve">is made up of </w:t>
      </w:r>
      <w:r>
        <w:rPr>
          <w:rFonts w:eastAsia="Times New Roman" w:cs="Times New Roman"/>
          <w:bCs/>
          <w:szCs w:val="22"/>
          <w:lang w:val="en-US"/>
        </w:rPr>
        <w:t xml:space="preserve">equipment </w:t>
      </w:r>
      <w:r w:rsidRPr="000C141D">
        <w:rPr>
          <w:rFonts w:eastAsia="Times New Roman" w:cs="Times New Roman"/>
          <w:bCs/>
          <w:szCs w:val="22"/>
          <w:lang w:val="en-US"/>
        </w:rPr>
        <w:t>cohorts based on date of manufacture</w:t>
      </w:r>
      <w:r>
        <w:rPr>
          <w:rFonts w:eastAsia="Times New Roman" w:cs="Times New Roman"/>
          <w:bCs/>
          <w:szCs w:val="22"/>
          <w:lang w:val="en-US"/>
        </w:rPr>
        <w:t>,</w:t>
      </w:r>
      <w:r w:rsidRPr="000C141D">
        <w:rPr>
          <w:rFonts w:eastAsia="Times New Roman" w:cs="Times New Roman"/>
          <w:bCs/>
          <w:szCs w:val="22"/>
          <w:lang w:val="en-US"/>
        </w:rPr>
        <w:t xml:space="preserve"> ranging from new equipment that is fully charged</w:t>
      </w:r>
      <w:r>
        <w:rPr>
          <w:rFonts w:eastAsia="Times New Roman" w:cs="Times New Roman"/>
          <w:bCs/>
          <w:szCs w:val="22"/>
          <w:lang w:val="en-US"/>
        </w:rPr>
        <w:t>,</w:t>
      </w:r>
      <w:r w:rsidRPr="000C141D">
        <w:rPr>
          <w:rFonts w:eastAsia="Times New Roman" w:cs="Times New Roman"/>
          <w:bCs/>
          <w:szCs w:val="22"/>
          <w:lang w:val="en-US"/>
        </w:rPr>
        <w:t xml:space="preserve"> th</w:t>
      </w:r>
      <w:r>
        <w:rPr>
          <w:rFonts w:eastAsia="Times New Roman" w:cs="Times New Roman"/>
          <w:bCs/>
          <w:szCs w:val="22"/>
          <w:lang w:val="en-US"/>
        </w:rPr>
        <w:t>r</w:t>
      </w:r>
      <w:r w:rsidRPr="000C141D">
        <w:rPr>
          <w:rFonts w:eastAsia="Times New Roman" w:cs="Times New Roman"/>
          <w:bCs/>
          <w:szCs w:val="22"/>
          <w:lang w:val="en-US"/>
        </w:rPr>
        <w:t xml:space="preserve">ough to aging equipment eventually reaching </w:t>
      </w:r>
      <w:r w:rsidR="00FC5FC6">
        <w:rPr>
          <w:rFonts w:eastAsia="Times New Roman" w:cs="Times New Roman"/>
          <w:bCs/>
          <w:szCs w:val="22"/>
          <w:lang w:val="en-US"/>
        </w:rPr>
        <w:t>end-of-life</w:t>
      </w:r>
      <w:r>
        <w:rPr>
          <w:rFonts w:eastAsia="Times New Roman" w:cs="Times New Roman"/>
          <w:bCs/>
          <w:szCs w:val="22"/>
          <w:lang w:val="en-US"/>
        </w:rPr>
        <w:t xml:space="preserve"> with only a residual charge of refrigerant remaining</w:t>
      </w:r>
      <w:r w:rsidRPr="000C141D">
        <w:rPr>
          <w:rFonts w:eastAsia="Times New Roman" w:cs="Times New Roman"/>
          <w:bCs/>
          <w:szCs w:val="22"/>
          <w:lang w:val="en-US"/>
        </w:rPr>
        <w:t>.</w:t>
      </w:r>
      <w:r>
        <w:rPr>
          <w:rFonts w:eastAsia="Times New Roman" w:cs="Times New Roman"/>
          <w:bCs/>
          <w:szCs w:val="22"/>
          <w:lang w:val="en-US"/>
        </w:rPr>
        <w:t xml:space="preserve"> </w:t>
      </w:r>
      <w:r w:rsidRPr="000C141D">
        <w:rPr>
          <w:rFonts w:eastAsia="Times New Roman" w:cs="Times New Roman"/>
          <w:bCs/>
          <w:szCs w:val="22"/>
          <w:lang w:val="en-US"/>
        </w:rPr>
        <w:t xml:space="preserve">For example, the residual charge of a small mobile air conditioner at end-of-life is estimated to be </w:t>
      </w:r>
      <w:r>
        <w:rPr>
          <w:rFonts w:eastAsia="Times New Roman" w:cs="Times New Roman"/>
          <w:bCs/>
          <w:szCs w:val="22"/>
          <w:lang w:val="en-US"/>
        </w:rPr>
        <w:t xml:space="preserve">just </w:t>
      </w:r>
      <w:r w:rsidRPr="000C141D">
        <w:rPr>
          <w:rFonts w:eastAsia="Times New Roman" w:cs="Times New Roman"/>
          <w:bCs/>
          <w:szCs w:val="22"/>
          <w:lang w:val="en-US"/>
        </w:rPr>
        <w:t>tw</w:t>
      </w:r>
      <w:r>
        <w:rPr>
          <w:rFonts w:eastAsia="Times New Roman" w:cs="Times New Roman"/>
          <w:bCs/>
          <w:szCs w:val="22"/>
          <w:lang w:val="en-US"/>
        </w:rPr>
        <w:t>o thirds of the original charge, and the average age of vehicles in the fleet is around 10 years</w:t>
      </w:r>
      <w:r w:rsidR="00A210BC">
        <w:rPr>
          <w:rFonts w:eastAsia="Times New Roman" w:cs="Times New Roman"/>
          <w:bCs/>
          <w:szCs w:val="22"/>
          <w:lang w:val="en-US"/>
        </w:rPr>
        <w:t xml:space="preserve"> (DoEE 2015b)</w:t>
      </w:r>
      <w:r>
        <w:rPr>
          <w:rFonts w:eastAsia="Times New Roman" w:cs="Times New Roman"/>
          <w:bCs/>
          <w:szCs w:val="22"/>
          <w:lang w:val="en-US"/>
        </w:rPr>
        <w:t>.</w:t>
      </w:r>
    </w:p>
    <w:p w14:paraId="7E03FBB6" w14:textId="5F06996F" w:rsidR="005633B3" w:rsidRDefault="005633B3" w:rsidP="005633B3">
      <w:pPr>
        <w:rPr>
          <w:szCs w:val="22"/>
        </w:rPr>
      </w:pPr>
      <w:r w:rsidRPr="00245A2C">
        <w:rPr>
          <w:szCs w:val="22"/>
        </w:rPr>
        <w:t>The table below provides a summary of the</w:t>
      </w:r>
      <w:r>
        <w:rPr>
          <w:szCs w:val="22"/>
        </w:rPr>
        <w:t xml:space="preserve"> </w:t>
      </w:r>
      <w:r w:rsidR="00451C08">
        <w:rPr>
          <w:szCs w:val="22"/>
        </w:rPr>
        <w:t>refrigerant</w:t>
      </w:r>
      <w:r>
        <w:rPr>
          <w:szCs w:val="22"/>
        </w:rPr>
        <w:t xml:space="preserve"> charges, end-of-life charges, leak rates, service rates and average equipment life span that are applied in the stock model. These metrics are applied to produce a number of outputs of the </w:t>
      </w:r>
      <w:r w:rsidR="00C45435">
        <w:rPr>
          <w:szCs w:val="22"/>
        </w:rPr>
        <w:t>RAC Stock model</w:t>
      </w:r>
      <w:r>
        <w:rPr>
          <w:szCs w:val="22"/>
        </w:rPr>
        <w:t xml:space="preserve">, and ultimately define the </w:t>
      </w:r>
      <w:r w:rsidR="00EF4098">
        <w:rPr>
          <w:szCs w:val="22"/>
        </w:rPr>
        <w:t>b</w:t>
      </w:r>
      <w:r>
        <w:rPr>
          <w:szCs w:val="22"/>
        </w:rPr>
        <w:t xml:space="preserve">ank of </w:t>
      </w:r>
      <w:r w:rsidR="00451C08">
        <w:rPr>
          <w:szCs w:val="22"/>
        </w:rPr>
        <w:t>refrigerant</w:t>
      </w:r>
      <w:r>
        <w:rPr>
          <w:szCs w:val="22"/>
        </w:rPr>
        <w:t>.</w:t>
      </w:r>
    </w:p>
    <w:p w14:paraId="7FC5DD2E" w14:textId="77777777" w:rsidR="00A210BC" w:rsidRDefault="00A210BC">
      <w:pPr>
        <w:spacing w:before="0"/>
        <w:jc w:val="left"/>
        <w:rPr>
          <w:rFonts w:cs="Times New Roman"/>
          <w:i/>
          <w:szCs w:val="22"/>
        </w:rPr>
      </w:pPr>
      <w:r>
        <w:rPr>
          <w:rFonts w:cs="Times New Roman"/>
          <w:i/>
          <w:szCs w:val="22"/>
        </w:rPr>
        <w:br w:type="page"/>
      </w:r>
    </w:p>
    <w:p w14:paraId="79DC7DDC" w14:textId="373F6265" w:rsidR="005633B3" w:rsidRPr="005A572D" w:rsidRDefault="005A572D" w:rsidP="005A572D">
      <w:pPr>
        <w:pStyle w:val="Caption"/>
      </w:pPr>
      <w:bookmarkStart w:id="209" w:name="_Toc525141427"/>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38</w:t>
      </w:r>
      <w:r w:rsidR="009D6843">
        <w:rPr>
          <w:noProof/>
        </w:rPr>
        <w:fldChar w:fldCharType="end"/>
      </w:r>
      <w:r w:rsidR="005633B3" w:rsidRPr="005A572D">
        <w:rPr>
          <w:szCs w:val="22"/>
        </w:rPr>
        <w:t>: Technical characteristics by product category (average charge, end-of-life factors</w:t>
      </w:r>
      <w:r w:rsidRPr="005A572D">
        <w:rPr>
          <w:szCs w:val="22"/>
        </w:rPr>
        <w:t>, service rates, leak rates</w:t>
      </w:r>
      <w:r w:rsidR="005633B3" w:rsidRPr="005A572D">
        <w:rPr>
          <w:szCs w:val="22"/>
        </w:rPr>
        <w:t xml:space="preserve"> and average lifespan) for most common substances.</w:t>
      </w:r>
      <w:bookmarkEnd w:id="209"/>
    </w:p>
    <w:tbl>
      <w:tblPr>
        <w:tblStyle w:val="TableGrid"/>
        <w:tblW w:w="0" w:type="auto"/>
        <w:tblInd w:w="-5" w:type="dxa"/>
        <w:tblLook w:val="04A0" w:firstRow="1" w:lastRow="0" w:firstColumn="1" w:lastColumn="0" w:noHBand="0" w:noVBand="1"/>
      </w:tblPr>
      <w:tblGrid>
        <w:gridCol w:w="2001"/>
        <w:gridCol w:w="990"/>
        <w:gridCol w:w="989"/>
        <w:gridCol w:w="1001"/>
        <w:gridCol w:w="948"/>
        <w:gridCol w:w="1272"/>
        <w:gridCol w:w="1294"/>
        <w:gridCol w:w="997"/>
      </w:tblGrid>
      <w:tr w:rsidR="005633B3" w:rsidRPr="008C01B0" w14:paraId="1B8BC924" w14:textId="77777777" w:rsidTr="00810532">
        <w:trPr>
          <w:tblHeader/>
        </w:trPr>
        <w:tc>
          <w:tcPr>
            <w:tcW w:w="2001" w:type="dxa"/>
            <w:vMerge w:val="restart"/>
            <w:tcBorders>
              <w:bottom w:val="single" w:sz="4" w:space="0" w:color="FFFFFF" w:themeColor="background1"/>
              <w:right w:val="single" w:sz="4" w:space="0" w:color="FFFFFF" w:themeColor="background1"/>
            </w:tcBorders>
            <w:shd w:val="clear" w:color="auto" w:fill="000000" w:themeFill="text1"/>
            <w:vAlign w:val="center"/>
          </w:tcPr>
          <w:p w14:paraId="1AD54DCC" w14:textId="77777777" w:rsidR="005633B3" w:rsidRPr="00702E06" w:rsidRDefault="005633B3" w:rsidP="00EC5443">
            <w:pPr>
              <w:spacing w:before="60" w:after="60"/>
              <w:jc w:val="left"/>
              <w:rPr>
                <w:color w:val="FFFFFF" w:themeColor="background1"/>
              </w:rPr>
            </w:pPr>
            <w:r w:rsidRPr="00702E06">
              <w:rPr>
                <w:color w:val="FFFFFF" w:themeColor="background1"/>
              </w:rPr>
              <w:t>Product category</w:t>
            </w:r>
          </w:p>
        </w:tc>
        <w:tc>
          <w:tcPr>
            <w:tcW w:w="197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4163BBE" w14:textId="77777777" w:rsidR="005633B3" w:rsidRPr="00702E06" w:rsidRDefault="005633B3" w:rsidP="00EC5443">
            <w:pPr>
              <w:spacing w:before="60" w:after="60"/>
              <w:jc w:val="center"/>
              <w:rPr>
                <w:color w:val="FFFFFF" w:themeColor="background1"/>
              </w:rPr>
            </w:pPr>
            <w:r w:rsidRPr="00702E06">
              <w:rPr>
                <w:color w:val="FFFFFF" w:themeColor="background1"/>
              </w:rPr>
              <w:t>Average charge (kg)</w:t>
            </w:r>
          </w:p>
        </w:tc>
        <w:tc>
          <w:tcPr>
            <w:tcW w:w="194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3FE9714" w14:textId="77777777" w:rsidR="005633B3" w:rsidRPr="00702E06" w:rsidRDefault="005633B3" w:rsidP="00EC5443">
            <w:pPr>
              <w:spacing w:before="60" w:after="60"/>
              <w:jc w:val="center"/>
              <w:rPr>
                <w:color w:val="FFFFFF" w:themeColor="background1"/>
              </w:rPr>
            </w:pPr>
            <w:r w:rsidRPr="00702E06">
              <w:rPr>
                <w:color w:val="FFFFFF" w:themeColor="background1"/>
              </w:rPr>
              <w:t>EOL Factors (%)</w:t>
            </w:r>
          </w:p>
        </w:tc>
        <w:tc>
          <w:tcPr>
            <w:tcW w:w="256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8F6B6CE" w14:textId="77777777" w:rsidR="005633B3" w:rsidRPr="00702E06" w:rsidRDefault="005633B3" w:rsidP="00EC5443">
            <w:pPr>
              <w:spacing w:before="60" w:after="60"/>
              <w:jc w:val="center"/>
              <w:rPr>
                <w:color w:val="FFFFFF" w:themeColor="background1"/>
              </w:rPr>
            </w:pPr>
            <w:r w:rsidRPr="00702E06">
              <w:rPr>
                <w:color w:val="FFFFFF" w:themeColor="background1"/>
              </w:rPr>
              <w:t>Rates (% of original charge)</w:t>
            </w:r>
          </w:p>
        </w:tc>
        <w:tc>
          <w:tcPr>
            <w:tcW w:w="997" w:type="dxa"/>
            <w:vMerge w:val="restart"/>
            <w:tcBorders>
              <w:left w:val="single" w:sz="4" w:space="0" w:color="FFFFFF" w:themeColor="background1"/>
              <w:bottom w:val="single" w:sz="4" w:space="0" w:color="FFFFFF" w:themeColor="background1"/>
            </w:tcBorders>
            <w:shd w:val="clear" w:color="auto" w:fill="000000" w:themeFill="text1"/>
            <w:vAlign w:val="center"/>
          </w:tcPr>
          <w:p w14:paraId="6BCFBCD3" w14:textId="77777777" w:rsidR="005633B3" w:rsidRPr="00702E06" w:rsidRDefault="005633B3" w:rsidP="00EC5443">
            <w:pPr>
              <w:spacing w:before="60" w:after="60"/>
              <w:jc w:val="center"/>
              <w:rPr>
                <w:color w:val="FFFFFF" w:themeColor="background1"/>
              </w:rPr>
            </w:pPr>
            <w:r w:rsidRPr="00702E06">
              <w:rPr>
                <w:color w:val="FFFFFF" w:themeColor="background1"/>
              </w:rPr>
              <w:t>Nominal Av. Lifespan (Yrs)</w:t>
            </w:r>
          </w:p>
        </w:tc>
      </w:tr>
      <w:tr w:rsidR="005633B3" w:rsidRPr="008C01B0" w14:paraId="0BF0C462" w14:textId="77777777" w:rsidTr="00810532">
        <w:trPr>
          <w:tblHeader/>
        </w:trPr>
        <w:tc>
          <w:tcPr>
            <w:tcW w:w="2001" w:type="dxa"/>
            <w:vMerge/>
            <w:tcBorders>
              <w:top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5CB01F80" w14:textId="77777777" w:rsidR="005633B3" w:rsidRPr="00702E06" w:rsidRDefault="005633B3" w:rsidP="00EC5443">
            <w:pPr>
              <w:spacing w:before="60" w:after="60"/>
              <w:jc w:val="left"/>
              <w:rPr>
                <w:color w:val="FFFFFF" w:themeColor="background1"/>
              </w:rPr>
            </w:pPr>
          </w:p>
        </w:tc>
        <w:tc>
          <w:tcPr>
            <w:tcW w:w="99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6BB55EE5" w14:textId="77777777" w:rsidR="005633B3" w:rsidRPr="00702E06" w:rsidRDefault="005633B3" w:rsidP="00EC5443">
            <w:pPr>
              <w:spacing w:before="60" w:after="60"/>
              <w:jc w:val="center"/>
              <w:rPr>
                <w:color w:val="FFFFFF" w:themeColor="background1"/>
              </w:rPr>
            </w:pPr>
            <w:r w:rsidRPr="00702E06">
              <w:rPr>
                <w:color w:val="FFFFFF" w:themeColor="background1"/>
              </w:rPr>
              <w:t>2012</w:t>
            </w:r>
          </w:p>
        </w:tc>
        <w:tc>
          <w:tcPr>
            <w:tcW w:w="98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28065886" w14:textId="77777777" w:rsidR="005633B3" w:rsidRPr="00702E06" w:rsidRDefault="005633B3" w:rsidP="00EC5443">
            <w:pPr>
              <w:spacing w:before="60" w:after="60"/>
              <w:jc w:val="center"/>
              <w:rPr>
                <w:color w:val="FFFFFF" w:themeColor="background1"/>
              </w:rPr>
            </w:pPr>
            <w:r w:rsidRPr="00702E06">
              <w:rPr>
                <w:color w:val="FFFFFF" w:themeColor="background1"/>
              </w:rPr>
              <w:t>2016</w:t>
            </w:r>
          </w:p>
        </w:tc>
        <w:tc>
          <w:tcPr>
            <w:tcW w:w="100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167EE4B9" w14:textId="668C89FE" w:rsidR="005633B3" w:rsidRPr="00702E06" w:rsidRDefault="005C5275" w:rsidP="00867C33">
            <w:pPr>
              <w:spacing w:before="60" w:after="60"/>
              <w:jc w:val="center"/>
              <w:rPr>
                <w:color w:val="FFFFFF" w:themeColor="background1"/>
              </w:rPr>
            </w:pPr>
            <w:r w:rsidRPr="00702E06">
              <w:rPr>
                <w:color w:val="FFFFFF" w:themeColor="background1"/>
              </w:rPr>
              <w:t>EOL</w:t>
            </w:r>
            <w:r w:rsidR="005633B3" w:rsidRPr="008C01B0">
              <w:rPr>
                <w:rStyle w:val="FootnoteReference"/>
                <w:rFonts w:ascii="Times New Roman" w:hAnsi="Times New Roman"/>
                <w:color w:val="FFFFFF" w:themeColor="background1"/>
                <w:sz w:val="20"/>
              </w:rPr>
              <w:footnoteReference w:id="67"/>
            </w:r>
          </w:p>
        </w:tc>
        <w:tc>
          <w:tcPr>
            <w:tcW w:w="94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1D195118" w14:textId="77777777" w:rsidR="005633B3" w:rsidRPr="00702E06" w:rsidRDefault="005633B3" w:rsidP="00EC5443">
            <w:pPr>
              <w:spacing w:before="60" w:after="60"/>
              <w:jc w:val="center"/>
              <w:rPr>
                <w:color w:val="FFFFFF" w:themeColor="background1"/>
              </w:rPr>
            </w:pPr>
            <w:r w:rsidRPr="00702E06">
              <w:rPr>
                <w:color w:val="FFFFFF" w:themeColor="background1"/>
              </w:rPr>
              <w:t>Tech Rec</w:t>
            </w:r>
            <w:r w:rsidRPr="008C01B0">
              <w:rPr>
                <w:rStyle w:val="FootnoteReference"/>
                <w:rFonts w:ascii="Times New Roman" w:hAnsi="Times New Roman"/>
                <w:color w:val="FFFFFF" w:themeColor="background1"/>
                <w:sz w:val="20"/>
              </w:rPr>
              <w:footnoteReference w:id="68"/>
            </w:r>
          </w:p>
        </w:tc>
        <w:tc>
          <w:tcPr>
            <w:tcW w:w="127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6F48CEEC" w14:textId="786CD06F" w:rsidR="005633B3" w:rsidRPr="00702E06" w:rsidRDefault="00BD28CA" w:rsidP="00EC5443">
            <w:pPr>
              <w:spacing w:before="60" w:after="60"/>
              <w:jc w:val="center"/>
              <w:rPr>
                <w:color w:val="FFFFFF" w:themeColor="background1"/>
              </w:rPr>
            </w:pPr>
            <w:r w:rsidRPr="00702E06">
              <w:rPr>
                <w:color w:val="FFFFFF" w:themeColor="background1"/>
              </w:rPr>
              <w:t>Service rate</w:t>
            </w:r>
            <w:r w:rsidR="005633B3" w:rsidRPr="00702E06">
              <w:rPr>
                <w:color w:val="FFFFFF" w:themeColor="background1"/>
              </w:rPr>
              <w:t xml:space="preserve">         (201</w:t>
            </w:r>
            <w:r w:rsidRPr="00702E06">
              <w:rPr>
                <w:color w:val="FFFFFF" w:themeColor="background1"/>
              </w:rPr>
              <w:t>6</w:t>
            </w:r>
            <w:r w:rsidR="005633B3" w:rsidRPr="00702E06">
              <w:rPr>
                <w:color w:val="FFFFFF" w:themeColor="background1"/>
              </w:rPr>
              <w:t>)</w:t>
            </w:r>
          </w:p>
        </w:tc>
        <w:tc>
          <w:tcPr>
            <w:tcW w:w="129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57371F55" w14:textId="1D05B39F" w:rsidR="005633B3" w:rsidRPr="00702E06" w:rsidRDefault="00FE5F27" w:rsidP="00EC5443">
            <w:pPr>
              <w:spacing w:before="60" w:after="60"/>
              <w:jc w:val="center"/>
              <w:rPr>
                <w:color w:val="FFFFFF" w:themeColor="background1"/>
              </w:rPr>
            </w:pPr>
            <w:r w:rsidRPr="00702E06">
              <w:rPr>
                <w:color w:val="FFFFFF" w:themeColor="background1"/>
              </w:rPr>
              <w:t>Theoretical l</w:t>
            </w:r>
            <w:r w:rsidR="00BD28CA" w:rsidRPr="00702E06">
              <w:rPr>
                <w:color w:val="FFFFFF" w:themeColor="background1"/>
              </w:rPr>
              <w:t>eak rate</w:t>
            </w:r>
            <w:r w:rsidR="005633B3" w:rsidRPr="00702E06">
              <w:rPr>
                <w:color w:val="FFFFFF" w:themeColor="background1"/>
              </w:rPr>
              <w:t xml:space="preserve"> (2016)</w:t>
            </w:r>
          </w:p>
        </w:tc>
        <w:tc>
          <w:tcPr>
            <w:tcW w:w="997" w:type="dxa"/>
            <w:vMerge/>
            <w:tcBorders>
              <w:top w:val="single" w:sz="4" w:space="0" w:color="FFFFFF" w:themeColor="background1"/>
              <w:left w:val="single" w:sz="4" w:space="0" w:color="FFFFFF" w:themeColor="background1"/>
              <w:bottom w:val="single" w:sz="4" w:space="0" w:color="000000" w:themeColor="text1"/>
            </w:tcBorders>
            <w:shd w:val="clear" w:color="auto" w:fill="000000" w:themeFill="text1"/>
            <w:vAlign w:val="center"/>
          </w:tcPr>
          <w:p w14:paraId="78B9D36C" w14:textId="77777777" w:rsidR="005633B3" w:rsidRPr="00702E06" w:rsidRDefault="005633B3" w:rsidP="00EC5443">
            <w:pPr>
              <w:spacing w:before="60" w:after="60"/>
              <w:jc w:val="center"/>
              <w:rPr>
                <w:color w:val="FFFFFF" w:themeColor="background1"/>
              </w:rPr>
            </w:pPr>
          </w:p>
        </w:tc>
      </w:tr>
      <w:tr w:rsidR="005633B3" w14:paraId="6BA7D662" w14:textId="77777777" w:rsidTr="00434EB2">
        <w:tc>
          <w:tcPr>
            <w:tcW w:w="2001" w:type="dxa"/>
            <w:tcBorders>
              <w:top w:val="single" w:sz="4" w:space="0" w:color="000000" w:themeColor="text1"/>
              <w:right w:val="nil"/>
            </w:tcBorders>
            <w:shd w:val="clear" w:color="auto" w:fill="DAEEF3" w:themeFill="accent5" w:themeFillTint="33"/>
            <w:vAlign w:val="center"/>
          </w:tcPr>
          <w:p w14:paraId="2EAA97AE" w14:textId="77777777" w:rsidR="005633B3" w:rsidRPr="00702E06" w:rsidRDefault="005633B3" w:rsidP="00EC5443">
            <w:pPr>
              <w:spacing w:before="60" w:after="60"/>
              <w:jc w:val="left"/>
            </w:pPr>
            <w:r w:rsidRPr="00702E06">
              <w:t>Small AC: Sealed</w:t>
            </w:r>
          </w:p>
        </w:tc>
        <w:tc>
          <w:tcPr>
            <w:tcW w:w="990" w:type="dxa"/>
            <w:tcBorders>
              <w:top w:val="single" w:sz="4" w:space="0" w:color="000000" w:themeColor="text1"/>
              <w:left w:val="nil"/>
              <w:right w:val="nil"/>
            </w:tcBorders>
            <w:shd w:val="clear" w:color="auto" w:fill="DAEEF3" w:themeFill="accent5" w:themeFillTint="33"/>
            <w:vAlign w:val="center"/>
          </w:tcPr>
          <w:p w14:paraId="6189AAE7" w14:textId="77777777" w:rsidR="005633B3" w:rsidRPr="00702E06" w:rsidRDefault="005633B3" w:rsidP="00EC5443">
            <w:pPr>
              <w:spacing w:before="60" w:after="60"/>
              <w:jc w:val="center"/>
            </w:pPr>
          </w:p>
        </w:tc>
        <w:tc>
          <w:tcPr>
            <w:tcW w:w="989" w:type="dxa"/>
            <w:tcBorders>
              <w:top w:val="single" w:sz="4" w:space="0" w:color="000000" w:themeColor="text1"/>
              <w:left w:val="nil"/>
              <w:right w:val="nil"/>
            </w:tcBorders>
            <w:shd w:val="clear" w:color="auto" w:fill="DAEEF3" w:themeFill="accent5" w:themeFillTint="33"/>
            <w:vAlign w:val="center"/>
          </w:tcPr>
          <w:p w14:paraId="796E3EB3" w14:textId="77777777" w:rsidR="005633B3" w:rsidRPr="00702E06" w:rsidRDefault="005633B3" w:rsidP="00EC5443">
            <w:pPr>
              <w:spacing w:before="60" w:after="60"/>
              <w:jc w:val="center"/>
            </w:pPr>
          </w:p>
        </w:tc>
        <w:tc>
          <w:tcPr>
            <w:tcW w:w="1001" w:type="dxa"/>
            <w:tcBorders>
              <w:top w:val="single" w:sz="4" w:space="0" w:color="000000" w:themeColor="text1"/>
              <w:left w:val="nil"/>
              <w:right w:val="nil"/>
            </w:tcBorders>
            <w:shd w:val="clear" w:color="auto" w:fill="DAEEF3" w:themeFill="accent5" w:themeFillTint="33"/>
            <w:vAlign w:val="center"/>
          </w:tcPr>
          <w:p w14:paraId="1568509E" w14:textId="77777777" w:rsidR="005633B3" w:rsidRPr="00702E06" w:rsidRDefault="005633B3" w:rsidP="00EC5443">
            <w:pPr>
              <w:spacing w:before="60" w:after="60"/>
              <w:jc w:val="center"/>
            </w:pPr>
          </w:p>
        </w:tc>
        <w:tc>
          <w:tcPr>
            <w:tcW w:w="948" w:type="dxa"/>
            <w:tcBorders>
              <w:top w:val="single" w:sz="4" w:space="0" w:color="000000" w:themeColor="text1"/>
              <w:left w:val="nil"/>
              <w:right w:val="nil"/>
            </w:tcBorders>
            <w:shd w:val="clear" w:color="auto" w:fill="DAEEF3" w:themeFill="accent5" w:themeFillTint="33"/>
            <w:vAlign w:val="center"/>
          </w:tcPr>
          <w:p w14:paraId="5DE96CFA" w14:textId="77777777" w:rsidR="005633B3" w:rsidRPr="00702E06" w:rsidRDefault="005633B3" w:rsidP="00EC5443">
            <w:pPr>
              <w:spacing w:before="60" w:after="60"/>
              <w:jc w:val="center"/>
            </w:pPr>
          </w:p>
        </w:tc>
        <w:tc>
          <w:tcPr>
            <w:tcW w:w="1272" w:type="dxa"/>
            <w:tcBorders>
              <w:top w:val="single" w:sz="4" w:space="0" w:color="000000" w:themeColor="text1"/>
              <w:left w:val="nil"/>
              <w:right w:val="nil"/>
            </w:tcBorders>
            <w:shd w:val="clear" w:color="auto" w:fill="DAEEF3" w:themeFill="accent5" w:themeFillTint="33"/>
            <w:vAlign w:val="center"/>
          </w:tcPr>
          <w:p w14:paraId="5F0699C5" w14:textId="77777777" w:rsidR="005633B3" w:rsidRPr="00702E06" w:rsidRDefault="005633B3" w:rsidP="00EC5443">
            <w:pPr>
              <w:spacing w:before="60" w:after="60"/>
              <w:jc w:val="center"/>
            </w:pPr>
          </w:p>
        </w:tc>
        <w:tc>
          <w:tcPr>
            <w:tcW w:w="1294" w:type="dxa"/>
            <w:tcBorders>
              <w:top w:val="single" w:sz="4" w:space="0" w:color="000000" w:themeColor="text1"/>
              <w:left w:val="nil"/>
              <w:right w:val="nil"/>
            </w:tcBorders>
            <w:shd w:val="clear" w:color="auto" w:fill="DAEEF3" w:themeFill="accent5" w:themeFillTint="33"/>
            <w:vAlign w:val="center"/>
          </w:tcPr>
          <w:p w14:paraId="1B460A70" w14:textId="77777777" w:rsidR="005633B3" w:rsidRPr="00702E06" w:rsidRDefault="005633B3" w:rsidP="00EC5443">
            <w:pPr>
              <w:spacing w:before="60" w:after="60"/>
              <w:jc w:val="center"/>
            </w:pPr>
          </w:p>
        </w:tc>
        <w:tc>
          <w:tcPr>
            <w:tcW w:w="997" w:type="dxa"/>
            <w:tcBorders>
              <w:top w:val="single" w:sz="4" w:space="0" w:color="000000" w:themeColor="text1"/>
              <w:left w:val="nil"/>
            </w:tcBorders>
            <w:shd w:val="clear" w:color="auto" w:fill="DAEEF3" w:themeFill="accent5" w:themeFillTint="33"/>
            <w:vAlign w:val="center"/>
          </w:tcPr>
          <w:p w14:paraId="690B256E" w14:textId="77777777" w:rsidR="005633B3" w:rsidRPr="00702E06" w:rsidRDefault="005633B3" w:rsidP="00EC5443">
            <w:pPr>
              <w:spacing w:before="60" w:after="60"/>
              <w:jc w:val="center"/>
            </w:pPr>
          </w:p>
        </w:tc>
      </w:tr>
      <w:tr w:rsidR="00277B70" w14:paraId="5F589B81" w14:textId="77777777" w:rsidTr="00F90AEE">
        <w:tc>
          <w:tcPr>
            <w:tcW w:w="2001" w:type="dxa"/>
            <w:vAlign w:val="center"/>
          </w:tcPr>
          <w:p w14:paraId="20D85D3F" w14:textId="77777777" w:rsidR="00277B70" w:rsidRPr="00702E06" w:rsidRDefault="00277B70" w:rsidP="00EC5443">
            <w:pPr>
              <w:spacing w:before="60" w:after="60"/>
              <w:jc w:val="left"/>
            </w:pPr>
            <w:r w:rsidRPr="00702E06">
              <w:t>Non-ducted: unitary 0-10 kWr</w:t>
            </w:r>
          </w:p>
        </w:tc>
        <w:tc>
          <w:tcPr>
            <w:tcW w:w="990" w:type="dxa"/>
            <w:vAlign w:val="center"/>
          </w:tcPr>
          <w:p w14:paraId="277E063E" w14:textId="76FE4958" w:rsidR="00277B70" w:rsidRPr="00702E06" w:rsidRDefault="00277B70" w:rsidP="00EC5443">
            <w:pPr>
              <w:spacing w:before="60" w:after="60"/>
              <w:jc w:val="center"/>
            </w:pPr>
            <w:r w:rsidRPr="00702E06">
              <w:t>0.75</w:t>
            </w:r>
          </w:p>
        </w:tc>
        <w:tc>
          <w:tcPr>
            <w:tcW w:w="989" w:type="dxa"/>
            <w:vAlign w:val="center"/>
          </w:tcPr>
          <w:p w14:paraId="28C22F86" w14:textId="75A53D5A" w:rsidR="00277B70" w:rsidRPr="00702E06" w:rsidRDefault="00277B70" w:rsidP="00EC5443">
            <w:pPr>
              <w:spacing w:before="60" w:after="60"/>
              <w:jc w:val="center"/>
            </w:pPr>
            <w:r w:rsidRPr="00702E06">
              <w:t>0.65</w:t>
            </w:r>
          </w:p>
        </w:tc>
        <w:tc>
          <w:tcPr>
            <w:tcW w:w="1001" w:type="dxa"/>
            <w:vMerge w:val="restart"/>
            <w:vAlign w:val="center"/>
          </w:tcPr>
          <w:p w14:paraId="3CA5E798" w14:textId="77777777" w:rsidR="00277B70" w:rsidRPr="00702E06" w:rsidRDefault="00277B70" w:rsidP="00EC5443">
            <w:pPr>
              <w:spacing w:before="60" w:after="60"/>
              <w:jc w:val="center"/>
            </w:pPr>
            <w:r w:rsidRPr="00702E06">
              <w:t>85%</w:t>
            </w:r>
          </w:p>
        </w:tc>
        <w:tc>
          <w:tcPr>
            <w:tcW w:w="948" w:type="dxa"/>
            <w:vMerge w:val="restart"/>
            <w:vAlign w:val="center"/>
          </w:tcPr>
          <w:p w14:paraId="43B289BC" w14:textId="77777777" w:rsidR="00277B70" w:rsidRPr="00702E06" w:rsidRDefault="00277B70" w:rsidP="00EC5443">
            <w:pPr>
              <w:spacing w:before="60" w:after="60"/>
              <w:jc w:val="center"/>
            </w:pPr>
            <w:r w:rsidRPr="00702E06">
              <w:t>90%</w:t>
            </w:r>
          </w:p>
        </w:tc>
        <w:tc>
          <w:tcPr>
            <w:tcW w:w="1272" w:type="dxa"/>
            <w:vAlign w:val="center"/>
          </w:tcPr>
          <w:p w14:paraId="335AD122" w14:textId="0768FB24" w:rsidR="00277B70" w:rsidRPr="00702E06" w:rsidRDefault="00277B70" w:rsidP="00F90AEE">
            <w:pPr>
              <w:spacing w:before="60" w:after="60"/>
              <w:jc w:val="center"/>
            </w:pPr>
            <w:r w:rsidRPr="00702E06">
              <w:t>2.0%</w:t>
            </w:r>
          </w:p>
        </w:tc>
        <w:tc>
          <w:tcPr>
            <w:tcW w:w="1294" w:type="dxa"/>
            <w:vMerge w:val="restart"/>
            <w:vAlign w:val="center"/>
          </w:tcPr>
          <w:p w14:paraId="3E15C50B" w14:textId="0426352F" w:rsidR="00277B70" w:rsidRPr="00702E06" w:rsidRDefault="00277B70" w:rsidP="00EC5443">
            <w:pPr>
              <w:spacing w:before="60" w:after="60"/>
              <w:jc w:val="center"/>
            </w:pPr>
            <w:r w:rsidRPr="00702E06">
              <w:t>2.5%</w:t>
            </w:r>
          </w:p>
        </w:tc>
        <w:tc>
          <w:tcPr>
            <w:tcW w:w="997" w:type="dxa"/>
            <w:vAlign w:val="center"/>
          </w:tcPr>
          <w:p w14:paraId="6434F99B" w14:textId="16B0F608" w:rsidR="00277B70" w:rsidRPr="00702E06" w:rsidRDefault="00277B70" w:rsidP="00EC5443">
            <w:pPr>
              <w:spacing w:before="60" w:after="60"/>
              <w:jc w:val="center"/>
            </w:pPr>
            <w:r w:rsidRPr="00702E06">
              <w:t>12.0</w:t>
            </w:r>
          </w:p>
        </w:tc>
      </w:tr>
      <w:tr w:rsidR="00277B70" w14:paraId="56448CB4" w14:textId="77777777" w:rsidTr="00F90AEE">
        <w:tc>
          <w:tcPr>
            <w:tcW w:w="2001" w:type="dxa"/>
            <w:vAlign w:val="center"/>
          </w:tcPr>
          <w:p w14:paraId="655288CA" w14:textId="77777777" w:rsidR="00277B70" w:rsidRPr="00702E06" w:rsidRDefault="00277B70" w:rsidP="00EC5443">
            <w:pPr>
              <w:spacing w:before="60" w:after="60"/>
              <w:jc w:val="left"/>
            </w:pPr>
            <w:r w:rsidRPr="00702E06">
              <w:t>Portable AC: 0-10 kWr</w:t>
            </w:r>
          </w:p>
        </w:tc>
        <w:tc>
          <w:tcPr>
            <w:tcW w:w="990" w:type="dxa"/>
            <w:vAlign w:val="center"/>
          </w:tcPr>
          <w:p w14:paraId="2A56A0ED" w14:textId="77777777" w:rsidR="00277B70" w:rsidRPr="00702E06" w:rsidRDefault="00277B70" w:rsidP="00EC5443">
            <w:pPr>
              <w:spacing w:before="60" w:after="60"/>
              <w:jc w:val="center"/>
            </w:pPr>
            <w:r w:rsidRPr="00702E06">
              <w:t>0.6</w:t>
            </w:r>
          </w:p>
        </w:tc>
        <w:tc>
          <w:tcPr>
            <w:tcW w:w="989" w:type="dxa"/>
            <w:vAlign w:val="center"/>
          </w:tcPr>
          <w:p w14:paraId="58685B05" w14:textId="5375D66D" w:rsidR="00277B70" w:rsidRPr="00702E06" w:rsidRDefault="00277B70" w:rsidP="00EC5443">
            <w:pPr>
              <w:spacing w:before="60" w:after="60"/>
              <w:jc w:val="center"/>
            </w:pPr>
            <w:r w:rsidRPr="00702E06">
              <w:t>0.55</w:t>
            </w:r>
          </w:p>
        </w:tc>
        <w:tc>
          <w:tcPr>
            <w:tcW w:w="1001" w:type="dxa"/>
            <w:vMerge/>
            <w:vAlign w:val="center"/>
          </w:tcPr>
          <w:p w14:paraId="3678AE20" w14:textId="77777777" w:rsidR="00277B70" w:rsidRPr="00702E06" w:rsidRDefault="00277B70" w:rsidP="00EC5443">
            <w:pPr>
              <w:spacing w:before="60" w:after="60"/>
              <w:jc w:val="center"/>
            </w:pPr>
          </w:p>
        </w:tc>
        <w:tc>
          <w:tcPr>
            <w:tcW w:w="948" w:type="dxa"/>
            <w:vMerge/>
            <w:vAlign w:val="center"/>
          </w:tcPr>
          <w:p w14:paraId="4EBCDD43" w14:textId="77777777" w:rsidR="00277B70" w:rsidRPr="00702E06" w:rsidRDefault="00277B70" w:rsidP="00EC5443">
            <w:pPr>
              <w:spacing w:before="60" w:after="60"/>
              <w:jc w:val="center"/>
            </w:pPr>
          </w:p>
        </w:tc>
        <w:tc>
          <w:tcPr>
            <w:tcW w:w="1272" w:type="dxa"/>
            <w:vAlign w:val="center"/>
          </w:tcPr>
          <w:p w14:paraId="3E8132CD" w14:textId="37F564C7" w:rsidR="00277B70" w:rsidRPr="00702E06" w:rsidRDefault="00277B70" w:rsidP="00F90AEE">
            <w:pPr>
              <w:spacing w:before="60" w:after="60"/>
              <w:jc w:val="center"/>
            </w:pPr>
            <w:r w:rsidRPr="00702E06">
              <w:t>0.0%</w:t>
            </w:r>
          </w:p>
        </w:tc>
        <w:tc>
          <w:tcPr>
            <w:tcW w:w="1294" w:type="dxa"/>
            <w:vMerge/>
            <w:vAlign w:val="center"/>
          </w:tcPr>
          <w:p w14:paraId="7D86A5AE" w14:textId="0290B75B" w:rsidR="00277B70" w:rsidRPr="00702E06" w:rsidRDefault="00277B70" w:rsidP="00EC5443">
            <w:pPr>
              <w:spacing w:before="60" w:after="60"/>
              <w:jc w:val="center"/>
            </w:pPr>
          </w:p>
        </w:tc>
        <w:tc>
          <w:tcPr>
            <w:tcW w:w="997" w:type="dxa"/>
            <w:vAlign w:val="center"/>
          </w:tcPr>
          <w:p w14:paraId="318F01CB" w14:textId="532FA5A2" w:rsidR="00277B70" w:rsidRPr="00702E06" w:rsidRDefault="00277B70" w:rsidP="00EC5443">
            <w:pPr>
              <w:spacing w:before="60" w:after="60"/>
              <w:jc w:val="center"/>
            </w:pPr>
            <w:r w:rsidRPr="00702E06">
              <w:t>8.0</w:t>
            </w:r>
          </w:p>
        </w:tc>
      </w:tr>
      <w:tr w:rsidR="00277B70" w14:paraId="0F7AFDCB" w14:textId="77777777" w:rsidTr="00835529">
        <w:tc>
          <w:tcPr>
            <w:tcW w:w="2001" w:type="dxa"/>
            <w:tcBorders>
              <w:bottom w:val="single" w:sz="4" w:space="0" w:color="000000"/>
            </w:tcBorders>
            <w:vAlign w:val="center"/>
          </w:tcPr>
          <w:p w14:paraId="365DCFAF" w14:textId="14F898A2" w:rsidR="00277B70" w:rsidRPr="00702E06" w:rsidRDefault="00277B70" w:rsidP="00353DC3">
            <w:pPr>
              <w:spacing w:before="60" w:after="60"/>
              <w:jc w:val="left"/>
            </w:pPr>
            <w:r w:rsidRPr="00702E06">
              <w:t>HW heat pump: domestic</w:t>
            </w:r>
          </w:p>
        </w:tc>
        <w:tc>
          <w:tcPr>
            <w:tcW w:w="990" w:type="dxa"/>
            <w:tcBorders>
              <w:bottom w:val="single" w:sz="4" w:space="0" w:color="000000"/>
            </w:tcBorders>
            <w:vAlign w:val="center"/>
          </w:tcPr>
          <w:p w14:paraId="47F53B06" w14:textId="20043DCB" w:rsidR="00277B70" w:rsidRPr="00702E06" w:rsidRDefault="00277B70" w:rsidP="00353DC3">
            <w:pPr>
              <w:spacing w:before="60" w:after="60"/>
              <w:jc w:val="center"/>
            </w:pPr>
            <w:r w:rsidRPr="00702E06">
              <w:t>0.9</w:t>
            </w:r>
          </w:p>
        </w:tc>
        <w:tc>
          <w:tcPr>
            <w:tcW w:w="989" w:type="dxa"/>
            <w:tcBorders>
              <w:bottom w:val="single" w:sz="4" w:space="0" w:color="000000"/>
            </w:tcBorders>
            <w:vAlign w:val="center"/>
          </w:tcPr>
          <w:p w14:paraId="25E635D7" w14:textId="5DC35E66" w:rsidR="00277B70" w:rsidRPr="00702E06" w:rsidRDefault="00277B70" w:rsidP="00353DC3">
            <w:pPr>
              <w:spacing w:before="60" w:after="60"/>
              <w:jc w:val="center"/>
            </w:pPr>
            <w:r w:rsidRPr="00702E06">
              <w:t>0.9</w:t>
            </w:r>
          </w:p>
        </w:tc>
        <w:tc>
          <w:tcPr>
            <w:tcW w:w="1001" w:type="dxa"/>
            <w:vMerge/>
            <w:tcBorders>
              <w:bottom w:val="single" w:sz="4" w:space="0" w:color="000000"/>
            </w:tcBorders>
            <w:vAlign w:val="center"/>
          </w:tcPr>
          <w:p w14:paraId="0BAC38B9" w14:textId="77777777" w:rsidR="00277B70" w:rsidRPr="00702E06" w:rsidRDefault="00277B70" w:rsidP="00353DC3">
            <w:pPr>
              <w:spacing w:before="60" w:after="60"/>
              <w:jc w:val="center"/>
            </w:pPr>
          </w:p>
        </w:tc>
        <w:tc>
          <w:tcPr>
            <w:tcW w:w="948" w:type="dxa"/>
            <w:vMerge/>
            <w:tcBorders>
              <w:bottom w:val="single" w:sz="4" w:space="0" w:color="000000"/>
            </w:tcBorders>
            <w:vAlign w:val="center"/>
          </w:tcPr>
          <w:p w14:paraId="6908CCD9" w14:textId="77777777" w:rsidR="00277B70" w:rsidRPr="00702E06" w:rsidRDefault="00277B70" w:rsidP="00353DC3">
            <w:pPr>
              <w:spacing w:before="60" w:after="60"/>
              <w:jc w:val="center"/>
            </w:pPr>
          </w:p>
        </w:tc>
        <w:tc>
          <w:tcPr>
            <w:tcW w:w="1272" w:type="dxa"/>
            <w:tcBorders>
              <w:bottom w:val="single" w:sz="4" w:space="0" w:color="000000"/>
            </w:tcBorders>
            <w:vAlign w:val="center"/>
          </w:tcPr>
          <w:p w14:paraId="11A79127" w14:textId="2380EF09" w:rsidR="00277B70" w:rsidRPr="00702E06" w:rsidRDefault="00277B70" w:rsidP="00353DC3">
            <w:pPr>
              <w:spacing w:before="60" w:after="60"/>
              <w:jc w:val="center"/>
            </w:pPr>
            <w:r w:rsidRPr="00702E06">
              <w:t>2.0%</w:t>
            </w:r>
          </w:p>
        </w:tc>
        <w:tc>
          <w:tcPr>
            <w:tcW w:w="1294" w:type="dxa"/>
            <w:vMerge/>
            <w:vAlign w:val="center"/>
          </w:tcPr>
          <w:p w14:paraId="6478435B" w14:textId="04D6D582" w:rsidR="00277B70" w:rsidRPr="00702E06" w:rsidRDefault="00277B70" w:rsidP="00353DC3">
            <w:pPr>
              <w:spacing w:before="60" w:after="60"/>
              <w:jc w:val="center"/>
            </w:pPr>
          </w:p>
        </w:tc>
        <w:tc>
          <w:tcPr>
            <w:tcW w:w="997" w:type="dxa"/>
            <w:tcBorders>
              <w:bottom w:val="single" w:sz="4" w:space="0" w:color="000000"/>
            </w:tcBorders>
            <w:vAlign w:val="center"/>
          </w:tcPr>
          <w:p w14:paraId="74BCF11E" w14:textId="6605C8F0" w:rsidR="00277B70" w:rsidRPr="00702E06" w:rsidRDefault="00277B70" w:rsidP="00353DC3">
            <w:pPr>
              <w:spacing w:before="60" w:after="60"/>
              <w:jc w:val="center"/>
            </w:pPr>
            <w:r w:rsidRPr="00702E06">
              <w:t>15.0</w:t>
            </w:r>
          </w:p>
        </w:tc>
      </w:tr>
      <w:tr w:rsidR="00277B70" w14:paraId="010B4458" w14:textId="77777777" w:rsidTr="00434EB2">
        <w:tc>
          <w:tcPr>
            <w:tcW w:w="2001" w:type="dxa"/>
            <w:tcBorders>
              <w:bottom w:val="single" w:sz="4" w:space="0" w:color="000000"/>
            </w:tcBorders>
            <w:vAlign w:val="center"/>
          </w:tcPr>
          <w:p w14:paraId="1ED6CBEE" w14:textId="36862E54" w:rsidR="00277B70" w:rsidRPr="00702E06" w:rsidRDefault="00277B70" w:rsidP="00353DC3">
            <w:pPr>
              <w:spacing w:before="60" w:after="60"/>
              <w:jc w:val="left"/>
            </w:pPr>
            <w:r w:rsidRPr="00702E06">
              <w:t>Heat pump clothes dryers</w:t>
            </w:r>
          </w:p>
        </w:tc>
        <w:tc>
          <w:tcPr>
            <w:tcW w:w="990" w:type="dxa"/>
            <w:tcBorders>
              <w:bottom w:val="single" w:sz="4" w:space="0" w:color="000000"/>
            </w:tcBorders>
            <w:vAlign w:val="center"/>
          </w:tcPr>
          <w:p w14:paraId="315A2A93" w14:textId="103BF1B9" w:rsidR="00277B70" w:rsidRPr="00702E06" w:rsidRDefault="00277B70" w:rsidP="00353DC3">
            <w:pPr>
              <w:spacing w:before="60" w:after="60"/>
              <w:jc w:val="center"/>
            </w:pPr>
            <w:r w:rsidRPr="00702E06">
              <w:t>0.46</w:t>
            </w:r>
          </w:p>
        </w:tc>
        <w:tc>
          <w:tcPr>
            <w:tcW w:w="989" w:type="dxa"/>
            <w:tcBorders>
              <w:bottom w:val="single" w:sz="4" w:space="0" w:color="000000"/>
            </w:tcBorders>
            <w:vAlign w:val="center"/>
          </w:tcPr>
          <w:p w14:paraId="6B201D52" w14:textId="34D1F421" w:rsidR="00277B70" w:rsidRPr="00702E06" w:rsidRDefault="00277B70" w:rsidP="00353DC3">
            <w:pPr>
              <w:spacing w:before="60" w:after="60"/>
              <w:jc w:val="center"/>
            </w:pPr>
            <w:r w:rsidRPr="00702E06">
              <w:t>0.46</w:t>
            </w:r>
          </w:p>
        </w:tc>
        <w:tc>
          <w:tcPr>
            <w:tcW w:w="1001" w:type="dxa"/>
            <w:vMerge/>
            <w:tcBorders>
              <w:bottom w:val="single" w:sz="4" w:space="0" w:color="000000"/>
            </w:tcBorders>
            <w:vAlign w:val="center"/>
          </w:tcPr>
          <w:p w14:paraId="4A11BD69" w14:textId="77777777" w:rsidR="00277B70" w:rsidRPr="00702E06" w:rsidRDefault="00277B70" w:rsidP="00353DC3">
            <w:pPr>
              <w:spacing w:before="60" w:after="60"/>
              <w:jc w:val="center"/>
            </w:pPr>
          </w:p>
        </w:tc>
        <w:tc>
          <w:tcPr>
            <w:tcW w:w="948" w:type="dxa"/>
            <w:vMerge/>
            <w:tcBorders>
              <w:bottom w:val="single" w:sz="4" w:space="0" w:color="000000"/>
            </w:tcBorders>
            <w:vAlign w:val="center"/>
          </w:tcPr>
          <w:p w14:paraId="259C5145" w14:textId="77777777" w:rsidR="00277B70" w:rsidRPr="00702E06" w:rsidRDefault="00277B70" w:rsidP="00353DC3">
            <w:pPr>
              <w:spacing w:before="60" w:after="60"/>
              <w:jc w:val="center"/>
            </w:pPr>
          </w:p>
        </w:tc>
        <w:tc>
          <w:tcPr>
            <w:tcW w:w="1272" w:type="dxa"/>
            <w:tcBorders>
              <w:bottom w:val="single" w:sz="4" w:space="0" w:color="000000"/>
            </w:tcBorders>
            <w:vAlign w:val="center"/>
          </w:tcPr>
          <w:p w14:paraId="78E67BA9" w14:textId="02415091" w:rsidR="00277B70" w:rsidRPr="00702E06" w:rsidRDefault="00277B70" w:rsidP="00353DC3">
            <w:pPr>
              <w:spacing w:before="60" w:after="60"/>
              <w:jc w:val="center"/>
            </w:pPr>
            <w:r w:rsidRPr="00702E06">
              <w:t>2.0%</w:t>
            </w:r>
          </w:p>
        </w:tc>
        <w:tc>
          <w:tcPr>
            <w:tcW w:w="1294" w:type="dxa"/>
            <w:vMerge/>
            <w:tcBorders>
              <w:bottom w:val="single" w:sz="4" w:space="0" w:color="000000"/>
            </w:tcBorders>
            <w:vAlign w:val="center"/>
          </w:tcPr>
          <w:p w14:paraId="3D22FA0E" w14:textId="40C99F97" w:rsidR="00277B70" w:rsidRPr="00702E06" w:rsidRDefault="00277B70" w:rsidP="00353DC3">
            <w:pPr>
              <w:spacing w:before="60" w:after="60"/>
              <w:jc w:val="center"/>
            </w:pPr>
          </w:p>
        </w:tc>
        <w:tc>
          <w:tcPr>
            <w:tcW w:w="997" w:type="dxa"/>
            <w:tcBorders>
              <w:bottom w:val="single" w:sz="4" w:space="0" w:color="000000"/>
            </w:tcBorders>
            <w:vAlign w:val="center"/>
          </w:tcPr>
          <w:p w14:paraId="01DFC813" w14:textId="314BA062" w:rsidR="00277B70" w:rsidRPr="00702E06" w:rsidRDefault="00277B70" w:rsidP="00353DC3">
            <w:pPr>
              <w:spacing w:before="60" w:after="60"/>
              <w:jc w:val="center"/>
            </w:pPr>
            <w:r w:rsidRPr="00702E06">
              <w:t>16.5</w:t>
            </w:r>
          </w:p>
        </w:tc>
      </w:tr>
      <w:tr w:rsidR="00353DC3" w14:paraId="1B6FB535" w14:textId="77777777" w:rsidTr="00434EB2">
        <w:tc>
          <w:tcPr>
            <w:tcW w:w="2001" w:type="dxa"/>
            <w:tcBorders>
              <w:right w:val="nil"/>
            </w:tcBorders>
            <w:shd w:val="clear" w:color="auto" w:fill="DAEEF3" w:themeFill="accent5" w:themeFillTint="33"/>
            <w:vAlign w:val="center"/>
          </w:tcPr>
          <w:p w14:paraId="2849835E" w14:textId="77777777" w:rsidR="00353DC3" w:rsidRPr="00702E06" w:rsidRDefault="00353DC3" w:rsidP="00353DC3">
            <w:pPr>
              <w:spacing w:before="60" w:after="60"/>
              <w:jc w:val="left"/>
            </w:pPr>
            <w:r w:rsidRPr="00702E06">
              <w:t>Small AC: Split</w:t>
            </w:r>
          </w:p>
        </w:tc>
        <w:tc>
          <w:tcPr>
            <w:tcW w:w="990" w:type="dxa"/>
            <w:tcBorders>
              <w:left w:val="nil"/>
              <w:right w:val="nil"/>
            </w:tcBorders>
            <w:shd w:val="clear" w:color="auto" w:fill="DAEEF3" w:themeFill="accent5" w:themeFillTint="33"/>
            <w:vAlign w:val="center"/>
          </w:tcPr>
          <w:p w14:paraId="27417BBF" w14:textId="77777777" w:rsidR="00353DC3" w:rsidRPr="00702E06" w:rsidRDefault="00353DC3" w:rsidP="00353DC3">
            <w:pPr>
              <w:spacing w:before="60" w:after="60"/>
              <w:jc w:val="center"/>
            </w:pPr>
          </w:p>
        </w:tc>
        <w:tc>
          <w:tcPr>
            <w:tcW w:w="989" w:type="dxa"/>
            <w:tcBorders>
              <w:left w:val="nil"/>
              <w:right w:val="nil"/>
            </w:tcBorders>
            <w:shd w:val="clear" w:color="auto" w:fill="DAEEF3" w:themeFill="accent5" w:themeFillTint="33"/>
            <w:vAlign w:val="center"/>
          </w:tcPr>
          <w:p w14:paraId="1635037A" w14:textId="77777777" w:rsidR="00353DC3" w:rsidRPr="00702E06" w:rsidRDefault="00353DC3" w:rsidP="00353DC3">
            <w:pPr>
              <w:spacing w:before="60" w:after="60"/>
              <w:jc w:val="center"/>
            </w:pPr>
          </w:p>
        </w:tc>
        <w:tc>
          <w:tcPr>
            <w:tcW w:w="1001" w:type="dxa"/>
            <w:tcBorders>
              <w:left w:val="nil"/>
              <w:right w:val="nil"/>
            </w:tcBorders>
            <w:shd w:val="clear" w:color="auto" w:fill="DAEEF3" w:themeFill="accent5" w:themeFillTint="33"/>
            <w:vAlign w:val="center"/>
          </w:tcPr>
          <w:p w14:paraId="0AD31A2E" w14:textId="77777777" w:rsidR="00353DC3" w:rsidRPr="00702E06" w:rsidRDefault="00353DC3" w:rsidP="00353DC3">
            <w:pPr>
              <w:spacing w:before="60" w:after="60"/>
              <w:jc w:val="center"/>
            </w:pPr>
          </w:p>
        </w:tc>
        <w:tc>
          <w:tcPr>
            <w:tcW w:w="948" w:type="dxa"/>
            <w:tcBorders>
              <w:left w:val="nil"/>
              <w:right w:val="nil"/>
            </w:tcBorders>
            <w:shd w:val="clear" w:color="auto" w:fill="DAEEF3" w:themeFill="accent5" w:themeFillTint="33"/>
            <w:vAlign w:val="center"/>
          </w:tcPr>
          <w:p w14:paraId="5FA0110A" w14:textId="77777777" w:rsidR="00353DC3" w:rsidRPr="00702E06" w:rsidRDefault="00353DC3" w:rsidP="00353DC3">
            <w:pPr>
              <w:spacing w:before="60" w:after="60"/>
              <w:jc w:val="center"/>
            </w:pPr>
          </w:p>
        </w:tc>
        <w:tc>
          <w:tcPr>
            <w:tcW w:w="1272" w:type="dxa"/>
            <w:tcBorders>
              <w:left w:val="nil"/>
              <w:right w:val="nil"/>
            </w:tcBorders>
            <w:shd w:val="clear" w:color="auto" w:fill="DAEEF3" w:themeFill="accent5" w:themeFillTint="33"/>
            <w:vAlign w:val="center"/>
          </w:tcPr>
          <w:p w14:paraId="1ABAA947" w14:textId="77777777" w:rsidR="00353DC3" w:rsidRPr="00702E06" w:rsidRDefault="00353DC3" w:rsidP="00353DC3">
            <w:pPr>
              <w:spacing w:before="60" w:after="60"/>
              <w:jc w:val="center"/>
            </w:pPr>
          </w:p>
        </w:tc>
        <w:tc>
          <w:tcPr>
            <w:tcW w:w="1294" w:type="dxa"/>
            <w:tcBorders>
              <w:left w:val="nil"/>
              <w:right w:val="nil"/>
            </w:tcBorders>
            <w:shd w:val="clear" w:color="auto" w:fill="DAEEF3" w:themeFill="accent5" w:themeFillTint="33"/>
            <w:vAlign w:val="center"/>
          </w:tcPr>
          <w:p w14:paraId="05FCD586" w14:textId="77777777" w:rsidR="00353DC3" w:rsidRPr="00702E06" w:rsidRDefault="00353DC3" w:rsidP="00353DC3">
            <w:pPr>
              <w:spacing w:before="60" w:after="60"/>
              <w:jc w:val="center"/>
            </w:pPr>
          </w:p>
        </w:tc>
        <w:tc>
          <w:tcPr>
            <w:tcW w:w="997" w:type="dxa"/>
            <w:tcBorders>
              <w:left w:val="nil"/>
            </w:tcBorders>
            <w:shd w:val="clear" w:color="auto" w:fill="DAEEF3" w:themeFill="accent5" w:themeFillTint="33"/>
            <w:vAlign w:val="center"/>
          </w:tcPr>
          <w:p w14:paraId="4F982928" w14:textId="77777777" w:rsidR="00353DC3" w:rsidRPr="00702E06" w:rsidRDefault="00353DC3" w:rsidP="00353DC3">
            <w:pPr>
              <w:spacing w:before="60" w:after="60"/>
              <w:jc w:val="center"/>
            </w:pPr>
          </w:p>
        </w:tc>
      </w:tr>
      <w:tr w:rsidR="00353DC3" w14:paraId="7C297471" w14:textId="77777777" w:rsidTr="00434EB2">
        <w:tc>
          <w:tcPr>
            <w:tcW w:w="2001" w:type="dxa"/>
            <w:tcBorders>
              <w:bottom w:val="single" w:sz="4" w:space="0" w:color="000000"/>
            </w:tcBorders>
            <w:vAlign w:val="center"/>
          </w:tcPr>
          <w:p w14:paraId="27876548" w14:textId="5BD7C73E" w:rsidR="00353DC3" w:rsidRPr="00702E06" w:rsidRDefault="00353DC3" w:rsidP="00353DC3">
            <w:pPr>
              <w:spacing w:before="60" w:after="60"/>
              <w:jc w:val="left"/>
            </w:pPr>
            <w:r w:rsidRPr="00702E06">
              <w:t xml:space="preserve">Single split: non-ducted </w:t>
            </w:r>
            <w:r w:rsidRPr="00702E06">
              <w:rPr>
                <w:vertAlign w:val="superscript"/>
              </w:rPr>
              <w:t>(1)</w:t>
            </w:r>
          </w:p>
        </w:tc>
        <w:tc>
          <w:tcPr>
            <w:tcW w:w="990" w:type="dxa"/>
            <w:tcBorders>
              <w:bottom w:val="single" w:sz="4" w:space="0" w:color="000000"/>
            </w:tcBorders>
            <w:vAlign w:val="center"/>
          </w:tcPr>
          <w:p w14:paraId="10454962" w14:textId="6AB70AD9" w:rsidR="00353DC3" w:rsidRPr="00702E06" w:rsidRDefault="00353DC3" w:rsidP="00353DC3">
            <w:pPr>
              <w:spacing w:before="60" w:after="60"/>
              <w:jc w:val="center"/>
            </w:pPr>
            <w:r w:rsidRPr="00702E06">
              <w:t xml:space="preserve">1.7 </w:t>
            </w:r>
            <w:r w:rsidRPr="00FE5F27">
              <w:rPr>
                <w:sz w:val="16"/>
                <w:szCs w:val="16"/>
              </w:rPr>
              <w:t>(HCFC-22)</w:t>
            </w:r>
          </w:p>
        </w:tc>
        <w:tc>
          <w:tcPr>
            <w:tcW w:w="989" w:type="dxa"/>
            <w:tcBorders>
              <w:bottom w:val="single" w:sz="4" w:space="0" w:color="000000"/>
            </w:tcBorders>
            <w:vAlign w:val="center"/>
          </w:tcPr>
          <w:p w14:paraId="4D1D005B" w14:textId="762F8446" w:rsidR="00353DC3" w:rsidRPr="00702E06" w:rsidRDefault="00353DC3" w:rsidP="00353DC3">
            <w:pPr>
              <w:spacing w:before="60" w:after="60"/>
              <w:jc w:val="center"/>
            </w:pPr>
            <w:r w:rsidRPr="00702E06">
              <w:t xml:space="preserve">1.15 </w:t>
            </w:r>
            <w:r w:rsidRPr="00FE5F27">
              <w:rPr>
                <w:sz w:val="16"/>
                <w:szCs w:val="16"/>
              </w:rPr>
              <w:t>(HFC-32)</w:t>
            </w:r>
          </w:p>
        </w:tc>
        <w:tc>
          <w:tcPr>
            <w:tcW w:w="1001" w:type="dxa"/>
            <w:tcBorders>
              <w:bottom w:val="single" w:sz="4" w:space="0" w:color="000000"/>
            </w:tcBorders>
            <w:vAlign w:val="center"/>
          </w:tcPr>
          <w:p w14:paraId="6CA36F09" w14:textId="77777777" w:rsidR="00353DC3" w:rsidRPr="00702E06" w:rsidRDefault="00353DC3" w:rsidP="00353DC3">
            <w:pPr>
              <w:spacing w:before="60" w:after="60"/>
              <w:jc w:val="center"/>
            </w:pPr>
            <w:r w:rsidRPr="00702E06">
              <w:t>80%</w:t>
            </w:r>
          </w:p>
        </w:tc>
        <w:tc>
          <w:tcPr>
            <w:tcW w:w="948" w:type="dxa"/>
            <w:tcBorders>
              <w:bottom w:val="single" w:sz="4" w:space="0" w:color="000000"/>
            </w:tcBorders>
            <w:vAlign w:val="center"/>
          </w:tcPr>
          <w:p w14:paraId="54E78D27" w14:textId="77777777" w:rsidR="00353DC3" w:rsidRPr="00702E06" w:rsidRDefault="00353DC3" w:rsidP="00353DC3">
            <w:pPr>
              <w:spacing w:before="60" w:after="60"/>
              <w:jc w:val="center"/>
            </w:pPr>
            <w:r w:rsidRPr="00702E06">
              <w:t>90%</w:t>
            </w:r>
          </w:p>
        </w:tc>
        <w:tc>
          <w:tcPr>
            <w:tcW w:w="1272" w:type="dxa"/>
            <w:tcBorders>
              <w:bottom w:val="single" w:sz="4" w:space="0" w:color="000000"/>
            </w:tcBorders>
            <w:vAlign w:val="center"/>
          </w:tcPr>
          <w:p w14:paraId="521EE5C3" w14:textId="711B0692" w:rsidR="00353DC3" w:rsidRPr="00702E06" w:rsidRDefault="00353DC3" w:rsidP="00353DC3">
            <w:pPr>
              <w:spacing w:before="60" w:after="60"/>
              <w:jc w:val="center"/>
            </w:pPr>
            <w:r w:rsidRPr="00702E06">
              <w:t>2.</w:t>
            </w:r>
            <w:r w:rsidR="00552B60" w:rsidRPr="00702E06">
              <w:t>0</w:t>
            </w:r>
            <w:r w:rsidRPr="00702E06">
              <w:t>%</w:t>
            </w:r>
          </w:p>
        </w:tc>
        <w:tc>
          <w:tcPr>
            <w:tcW w:w="1294" w:type="dxa"/>
            <w:tcBorders>
              <w:bottom w:val="single" w:sz="4" w:space="0" w:color="000000"/>
            </w:tcBorders>
            <w:vAlign w:val="center"/>
          </w:tcPr>
          <w:p w14:paraId="06614674" w14:textId="32E4029B" w:rsidR="00353DC3" w:rsidRPr="00702E06" w:rsidRDefault="00277B70" w:rsidP="00353DC3">
            <w:pPr>
              <w:spacing w:before="60" w:after="60"/>
              <w:jc w:val="center"/>
            </w:pPr>
            <w:r w:rsidRPr="00702E06">
              <w:t>3.5</w:t>
            </w:r>
            <w:r w:rsidR="00353DC3" w:rsidRPr="00702E06">
              <w:t>%</w:t>
            </w:r>
          </w:p>
        </w:tc>
        <w:tc>
          <w:tcPr>
            <w:tcW w:w="997" w:type="dxa"/>
            <w:tcBorders>
              <w:bottom w:val="single" w:sz="4" w:space="0" w:color="000000"/>
            </w:tcBorders>
            <w:vAlign w:val="center"/>
          </w:tcPr>
          <w:p w14:paraId="5CD89719" w14:textId="64CAD987" w:rsidR="00353DC3" w:rsidRPr="00702E06" w:rsidRDefault="00353DC3" w:rsidP="00353DC3">
            <w:pPr>
              <w:spacing w:before="60" w:after="60"/>
              <w:jc w:val="center"/>
            </w:pPr>
            <w:r w:rsidRPr="00702E06">
              <w:t>12</w:t>
            </w:r>
            <w:r w:rsidR="008E413B" w:rsidRPr="00702E06">
              <w:t>.0</w:t>
            </w:r>
          </w:p>
        </w:tc>
      </w:tr>
      <w:tr w:rsidR="00353DC3" w14:paraId="17ACBD0E" w14:textId="77777777" w:rsidTr="00434EB2">
        <w:tc>
          <w:tcPr>
            <w:tcW w:w="2001" w:type="dxa"/>
            <w:tcBorders>
              <w:right w:val="nil"/>
            </w:tcBorders>
            <w:shd w:val="clear" w:color="auto" w:fill="DAEEF3" w:themeFill="accent5" w:themeFillTint="33"/>
            <w:vAlign w:val="center"/>
          </w:tcPr>
          <w:p w14:paraId="5D651580" w14:textId="77777777" w:rsidR="00353DC3" w:rsidRPr="00702E06" w:rsidRDefault="00353DC3" w:rsidP="00353DC3">
            <w:pPr>
              <w:spacing w:before="60" w:after="60"/>
              <w:jc w:val="left"/>
            </w:pPr>
            <w:r w:rsidRPr="00702E06">
              <w:t>Medium AC</w:t>
            </w:r>
          </w:p>
        </w:tc>
        <w:tc>
          <w:tcPr>
            <w:tcW w:w="990" w:type="dxa"/>
            <w:tcBorders>
              <w:left w:val="nil"/>
              <w:right w:val="nil"/>
            </w:tcBorders>
            <w:shd w:val="clear" w:color="auto" w:fill="DAEEF3" w:themeFill="accent5" w:themeFillTint="33"/>
            <w:vAlign w:val="center"/>
          </w:tcPr>
          <w:p w14:paraId="09F6B27C" w14:textId="77777777" w:rsidR="00353DC3" w:rsidRPr="00702E06" w:rsidRDefault="00353DC3" w:rsidP="00353DC3">
            <w:pPr>
              <w:spacing w:before="60" w:after="60"/>
              <w:jc w:val="center"/>
            </w:pPr>
          </w:p>
        </w:tc>
        <w:tc>
          <w:tcPr>
            <w:tcW w:w="989" w:type="dxa"/>
            <w:tcBorders>
              <w:left w:val="nil"/>
              <w:right w:val="nil"/>
            </w:tcBorders>
            <w:shd w:val="clear" w:color="auto" w:fill="DAEEF3" w:themeFill="accent5" w:themeFillTint="33"/>
            <w:vAlign w:val="center"/>
          </w:tcPr>
          <w:p w14:paraId="5829F080" w14:textId="77777777" w:rsidR="00353DC3" w:rsidRPr="00702E06" w:rsidRDefault="00353DC3" w:rsidP="00353DC3">
            <w:pPr>
              <w:spacing w:before="60" w:after="60"/>
              <w:jc w:val="center"/>
            </w:pPr>
          </w:p>
        </w:tc>
        <w:tc>
          <w:tcPr>
            <w:tcW w:w="1001" w:type="dxa"/>
            <w:tcBorders>
              <w:left w:val="nil"/>
              <w:right w:val="nil"/>
            </w:tcBorders>
            <w:shd w:val="clear" w:color="auto" w:fill="DAEEF3" w:themeFill="accent5" w:themeFillTint="33"/>
            <w:vAlign w:val="center"/>
          </w:tcPr>
          <w:p w14:paraId="5BFC33D8" w14:textId="77777777" w:rsidR="00353DC3" w:rsidRPr="00702E06" w:rsidRDefault="00353DC3" w:rsidP="00353DC3">
            <w:pPr>
              <w:spacing w:before="60" w:after="60"/>
              <w:jc w:val="center"/>
            </w:pPr>
          </w:p>
        </w:tc>
        <w:tc>
          <w:tcPr>
            <w:tcW w:w="948" w:type="dxa"/>
            <w:tcBorders>
              <w:left w:val="nil"/>
              <w:right w:val="nil"/>
            </w:tcBorders>
            <w:shd w:val="clear" w:color="auto" w:fill="DAEEF3" w:themeFill="accent5" w:themeFillTint="33"/>
            <w:vAlign w:val="center"/>
          </w:tcPr>
          <w:p w14:paraId="755DBB09" w14:textId="77777777" w:rsidR="00353DC3" w:rsidRPr="00702E06" w:rsidRDefault="00353DC3" w:rsidP="00353DC3">
            <w:pPr>
              <w:spacing w:before="60" w:after="60"/>
              <w:jc w:val="center"/>
            </w:pPr>
          </w:p>
        </w:tc>
        <w:tc>
          <w:tcPr>
            <w:tcW w:w="1272" w:type="dxa"/>
            <w:tcBorders>
              <w:left w:val="nil"/>
              <w:right w:val="nil"/>
            </w:tcBorders>
            <w:shd w:val="clear" w:color="auto" w:fill="DAEEF3" w:themeFill="accent5" w:themeFillTint="33"/>
            <w:vAlign w:val="center"/>
          </w:tcPr>
          <w:p w14:paraId="27DD32BF" w14:textId="77777777" w:rsidR="00353DC3" w:rsidRPr="00702E06" w:rsidRDefault="00353DC3" w:rsidP="00353DC3">
            <w:pPr>
              <w:spacing w:before="60" w:after="60"/>
              <w:jc w:val="center"/>
            </w:pPr>
          </w:p>
        </w:tc>
        <w:tc>
          <w:tcPr>
            <w:tcW w:w="1294" w:type="dxa"/>
            <w:tcBorders>
              <w:left w:val="nil"/>
              <w:right w:val="nil"/>
            </w:tcBorders>
            <w:shd w:val="clear" w:color="auto" w:fill="DAEEF3" w:themeFill="accent5" w:themeFillTint="33"/>
            <w:vAlign w:val="center"/>
          </w:tcPr>
          <w:p w14:paraId="6BF08135" w14:textId="77777777" w:rsidR="00353DC3" w:rsidRPr="00702E06" w:rsidRDefault="00353DC3" w:rsidP="00353DC3">
            <w:pPr>
              <w:spacing w:before="60" w:after="60"/>
              <w:jc w:val="center"/>
              <w:rPr>
                <w:highlight w:val="yellow"/>
              </w:rPr>
            </w:pPr>
          </w:p>
        </w:tc>
        <w:tc>
          <w:tcPr>
            <w:tcW w:w="997" w:type="dxa"/>
            <w:tcBorders>
              <w:left w:val="nil"/>
            </w:tcBorders>
            <w:shd w:val="clear" w:color="auto" w:fill="DAEEF3" w:themeFill="accent5" w:themeFillTint="33"/>
            <w:vAlign w:val="center"/>
          </w:tcPr>
          <w:p w14:paraId="0499B476" w14:textId="77777777" w:rsidR="00353DC3" w:rsidRPr="00702E06" w:rsidRDefault="00353DC3" w:rsidP="00353DC3">
            <w:pPr>
              <w:spacing w:before="60" w:after="60"/>
              <w:jc w:val="center"/>
            </w:pPr>
          </w:p>
        </w:tc>
      </w:tr>
      <w:tr w:rsidR="00277B70" w14:paraId="5B290319" w14:textId="77777777" w:rsidTr="00F90AEE">
        <w:tc>
          <w:tcPr>
            <w:tcW w:w="2001" w:type="dxa"/>
          </w:tcPr>
          <w:p w14:paraId="58DD7FAD" w14:textId="572163D2" w:rsidR="00277B70" w:rsidRPr="00702E06" w:rsidRDefault="00277B70" w:rsidP="00353DC3">
            <w:pPr>
              <w:spacing w:before="60" w:after="60"/>
              <w:jc w:val="left"/>
            </w:pPr>
            <w:r w:rsidRPr="00702E06">
              <w:t>Split system: ducted</w:t>
            </w:r>
          </w:p>
        </w:tc>
        <w:tc>
          <w:tcPr>
            <w:tcW w:w="990" w:type="dxa"/>
            <w:vAlign w:val="center"/>
          </w:tcPr>
          <w:p w14:paraId="4477F587" w14:textId="5FB1B589" w:rsidR="00277B70" w:rsidRPr="00702E06" w:rsidRDefault="00277B70" w:rsidP="00353DC3">
            <w:pPr>
              <w:spacing w:before="60" w:after="60"/>
              <w:jc w:val="center"/>
            </w:pPr>
            <w:r w:rsidRPr="00702E06">
              <w:t>4.7</w:t>
            </w:r>
          </w:p>
        </w:tc>
        <w:tc>
          <w:tcPr>
            <w:tcW w:w="989" w:type="dxa"/>
            <w:vAlign w:val="center"/>
          </w:tcPr>
          <w:p w14:paraId="4913022D" w14:textId="140076CA" w:rsidR="00277B70" w:rsidRPr="00702E06" w:rsidRDefault="00277B70" w:rsidP="00353DC3">
            <w:pPr>
              <w:spacing w:before="60" w:after="60"/>
              <w:jc w:val="center"/>
            </w:pPr>
            <w:r w:rsidRPr="00702E06">
              <w:t>4.7</w:t>
            </w:r>
          </w:p>
        </w:tc>
        <w:tc>
          <w:tcPr>
            <w:tcW w:w="1001" w:type="dxa"/>
            <w:vMerge w:val="restart"/>
            <w:vAlign w:val="center"/>
          </w:tcPr>
          <w:p w14:paraId="794752C8" w14:textId="56E04A00" w:rsidR="00277B70" w:rsidRPr="00702E06" w:rsidRDefault="00277B70" w:rsidP="00353DC3">
            <w:pPr>
              <w:spacing w:before="60" w:after="60"/>
              <w:jc w:val="center"/>
            </w:pPr>
            <w:r w:rsidRPr="00702E06">
              <w:t>80%</w:t>
            </w:r>
          </w:p>
        </w:tc>
        <w:tc>
          <w:tcPr>
            <w:tcW w:w="948" w:type="dxa"/>
            <w:vMerge w:val="restart"/>
            <w:vAlign w:val="center"/>
          </w:tcPr>
          <w:p w14:paraId="403FCC13" w14:textId="53B6FF59" w:rsidR="00277B70" w:rsidRPr="00702E06" w:rsidRDefault="00277B70" w:rsidP="00353DC3">
            <w:pPr>
              <w:spacing w:before="60" w:after="60"/>
              <w:jc w:val="center"/>
            </w:pPr>
            <w:r w:rsidRPr="00702E06">
              <w:t>90%</w:t>
            </w:r>
          </w:p>
        </w:tc>
        <w:tc>
          <w:tcPr>
            <w:tcW w:w="1272" w:type="dxa"/>
            <w:vAlign w:val="center"/>
          </w:tcPr>
          <w:p w14:paraId="6A84D3D6" w14:textId="65D6EBD2" w:rsidR="00277B70" w:rsidRPr="00702E06" w:rsidRDefault="00277B70" w:rsidP="00353DC3">
            <w:pPr>
              <w:spacing w:before="60" w:after="60"/>
              <w:jc w:val="center"/>
            </w:pPr>
            <w:r w:rsidRPr="00702E06">
              <w:t>2.0%</w:t>
            </w:r>
          </w:p>
        </w:tc>
        <w:tc>
          <w:tcPr>
            <w:tcW w:w="1294" w:type="dxa"/>
            <w:vMerge w:val="restart"/>
            <w:vAlign w:val="center"/>
          </w:tcPr>
          <w:p w14:paraId="04BF97E8" w14:textId="091E3A57" w:rsidR="00277B70" w:rsidRPr="00702E06" w:rsidRDefault="00277B70" w:rsidP="00353DC3">
            <w:pPr>
              <w:spacing w:before="60" w:after="60"/>
              <w:jc w:val="center"/>
              <w:rPr>
                <w:highlight w:val="yellow"/>
              </w:rPr>
            </w:pPr>
            <w:r w:rsidRPr="00702E06">
              <w:t>2.7%</w:t>
            </w:r>
          </w:p>
        </w:tc>
        <w:tc>
          <w:tcPr>
            <w:tcW w:w="997" w:type="dxa"/>
            <w:vAlign w:val="center"/>
          </w:tcPr>
          <w:p w14:paraId="4533469E" w14:textId="2DBAFCB8" w:rsidR="00277B70" w:rsidRPr="00702E06" w:rsidRDefault="00277B70" w:rsidP="00353DC3">
            <w:pPr>
              <w:spacing w:before="60" w:after="60"/>
              <w:jc w:val="center"/>
            </w:pPr>
            <w:r w:rsidRPr="00702E06">
              <w:t>16.0</w:t>
            </w:r>
          </w:p>
        </w:tc>
      </w:tr>
      <w:tr w:rsidR="00277B70" w14:paraId="75B19E62" w14:textId="77777777" w:rsidTr="00F90AEE">
        <w:tc>
          <w:tcPr>
            <w:tcW w:w="2001" w:type="dxa"/>
          </w:tcPr>
          <w:p w14:paraId="4F68BEE8" w14:textId="36FF648D" w:rsidR="00277B70" w:rsidRPr="00702E06" w:rsidRDefault="00277B70" w:rsidP="00353DC3">
            <w:pPr>
              <w:spacing w:before="60" w:after="60"/>
              <w:jc w:val="left"/>
            </w:pPr>
            <w:r w:rsidRPr="00702E06">
              <w:t>RT Packaged systems</w:t>
            </w:r>
          </w:p>
        </w:tc>
        <w:tc>
          <w:tcPr>
            <w:tcW w:w="990" w:type="dxa"/>
            <w:vAlign w:val="center"/>
          </w:tcPr>
          <w:p w14:paraId="0070A88C" w14:textId="26920BE2" w:rsidR="00277B70" w:rsidRPr="00702E06" w:rsidRDefault="00277B70" w:rsidP="00353DC3">
            <w:pPr>
              <w:spacing w:before="60" w:after="60"/>
              <w:jc w:val="center"/>
            </w:pPr>
            <w:r w:rsidRPr="00702E06">
              <w:t>12.2</w:t>
            </w:r>
          </w:p>
        </w:tc>
        <w:tc>
          <w:tcPr>
            <w:tcW w:w="989" w:type="dxa"/>
            <w:vAlign w:val="center"/>
          </w:tcPr>
          <w:p w14:paraId="7CFEA34D" w14:textId="23764395" w:rsidR="00277B70" w:rsidRPr="00702E06" w:rsidRDefault="00277B70" w:rsidP="00353DC3">
            <w:pPr>
              <w:spacing w:before="60" w:after="60"/>
              <w:jc w:val="center"/>
            </w:pPr>
            <w:r w:rsidRPr="00702E06">
              <w:t>15.0</w:t>
            </w:r>
          </w:p>
        </w:tc>
        <w:tc>
          <w:tcPr>
            <w:tcW w:w="1001" w:type="dxa"/>
            <w:vMerge/>
            <w:vAlign w:val="center"/>
          </w:tcPr>
          <w:p w14:paraId="4FCBB3C3" w14:textId="77777777" w:rsidR="00277B70" w:rsidRPr="00702E06" w:rsidRDefault="00277B70" w:rsidP="00353DC3">
            <w:pPr>
              <w:spacing w:before="60" w:after="60"/>
              <w:jc w:val="center"/>
            </w:pPr>
          </w:p>
        </w:tc>
        <w:tc>
          <w:tcPr>
            <w:tcW w:w="948" w:type="dxa"/>
            <w:vMerge/>
            <w:vAlign w:val="center"/>
          </w:tcPr>
          <w:p w14:paraId="54BC2FB5" w14:textId="77777777" w:rsidR="00277B70" w:rsidRPr="00702E06" w:rsidRDefault="00277B70" w:rsidP="00353DC3">
            <w:pPr>
              <w:spacing w:before="60" w:after="60"/>
              <w:jc w:val="center"/>
            </w:pPr>
          </w:p>
        </w:tc>
        <w:tc>
          <w:tcPr>
            <w:tcW w:w="1272" w:type="dxa"/>
            <w:vAlign w:val="center"/>
          </w:tcPr>
          <w:p w14:paraId="527F13DC" w14:textId="0121B7A7" w:rsidR="00277B70" w:rsidRPr="00702E06" w:rsidRDefault="00277B70" w:rsidP="00353DC3">
            <w:pPr>
              <w:spacing w:before="60" w:after="60"/>
              <w:jc w:val="center"/>
            </w:pPr>
            <w:r w:rsidRPr="00702E06">
              <w:t>2.0%</w:t>
            </w:r>
          </w:p>
        </w:tc>
        <w:tc>
          <w:tcPr>
            <w:tcW w:w="1294" w:type="dxa"/>
            <w:vMerge/>
            <w:vAlign w:val="center"/>
          </w:tcPr>
          <w:p w14:paraId="7029C858" w14:textId="77777777" w:rsidR="00277B70" w:rsidRPr="00702E06" w:rsidRDefault="00277B70" w:rsidP="00353DC3">
            <w:pPr>
              <w:spacing w:before="60" w:after="60"/>
              <w:jc w:val="center"/>
              <w:rPr>
                <w:highlight w:val="yellow"/>
              </w:rPr>
            </w:pPr>
          </w:p>
        </w:tc>
        <w:tc>
          <w:tcPr>
            <w:tcW w:w="997" w:type="dxa"/>
            <w:vAlign w:val="center"/>
          </w:tcPr>
          <w:p w14:paraId="0DF7C79E" w14:textId="70C5A2BA" w:rsidR="00277B70" w:rsidRPr="00702E06" w:rsidRDefault="00277B70" w:rsidP="00353DC3">
            <w:pPr>
              <w:spacing w:before="60" w:after="60"/>
              <w:jc w:val="center"/>
            </w:pPr>
            <w:r w:rsidRPr="00702E06">
              <w:t>20.0</w:t>
            </w:r>
          </w:p>
        </w:tc>
      </w:tr>
      <w:tr w:rsidR="00277B70" w14:paraId="3EEC5B36" w14:textId="77777777" w:rsidTr="00F90AEE">
        <w:tc>
          <w:tcPr>
            <w:tcW w:w="2001" w:type="dxa"/>
          </w:tcPr>
          <w:p w14:paraId="3A161954" w14:textId="7EC15953" w:rsidR="00277B70" w:rsidRPr="00702E06" w:rsidRDefault="00277B70" w:rsidP="00353DC3">
            <w:pPr>
              <w:spacing w:before="60" w:after="60"/>
              <w:jc w:val="left"/>
            </w:pPr>
            <w:r w:rsidRPr="00702E06">
              <w:t>Multi split</w:t>
            </w:r>
          </w:p>
        </w:tc>
        <w:tc>
          <w:tcPr>
            <w:tcW w:w="990" w:type="dxa"/>
            <w:vAlign w:val="center"/>
          </w:tcPr>
          <w:p w14:paraId="7CD66B93" w14:textId="775976C2" w:rsidR="00277B70" w:rsidRPr="00702E06" w:rsidRDefault="00277B70" w:rsidP="00353DC3">
            <w:pPr>
              <w:spacing w:before="60" w:after="60"/>
              <w:jc w:val="center"/>
            </w:pPr>
            <w:r w:rsidRPr="00702E06">
              <w:t>3.0</w:t>
            </w:r>
          </w:p>
        </w:tc>
        <w:tc>
          <w:tcPr>
            <w:tcW w:w="989" w:type="dxa"/>
            <w:vAlign w:val="center"/>
          </w:tcPr>
          <w:p w14:paraId="48E9F238" w14:textId="0A49DE63" w:rsidR="00277B70" w:rsidRPr="00702E06" w:rsidRDefault="00277B70" w:rsidP="00353DC3">
            <w:pPr>
              <w:spacing w:before="60" w:after="60"/>
              <w:jc w:val="center"/>
            </w:pPr>
            <w:r w:rsidRPr="00702E06">
              <w:t>3.0</w:t>
            </w:r>
          </w:p>
        </w:tc>
        <w:tc>
          <w:tcPr>
            <w:tcW w:w="1001" w:type="dxa"/>
            <w:vMerge/>
            <w:vAlign w:val="center"/>
          </w:tcPr>
          <w:p w14:paraId="51FE2616" w14:textId="77777777" w:rsidR="00277B70" w:rsidRPr="00702E06" w:rsidRDefault="00277B70" w:rsidP="00353DC3">
            <w:pPr>
              <w:spacing w:before="60" w:after="60"/>
              <w:jc w:val="center"/>
            </w:pPr>
          </w:p>
        </w:tc>
        <w:tc>
          <w:tcPr>
            <w:tcW w:w="948" w:type="dxa"/>
            <w:vMerge/>
            <w:vAlign w:val="center"/>
          </w:tcPr>
          <w:p w14:paraId="1E07E85F" w14:textId="77777777" w:rsidR="00277B70" w:rsidRPr="00702E06" w:rsidRDefault="00277B70" w:rsidP="00353DC3">
            <w:pPr>
              <w:spacing w:before="60" w:after="60"/>
              <w:jc w:val="center"/>
            </w:pPr>
          </w:p>
        </w:tc>
        <w:tc>
          <w:tcPr>
            <w:tcW w:w="1272" w:type="dxa"/>
            <w:vAlign w:val="center"/>
          </w:tcPr>
          <w:p w14:paraId="306A37D7" w14:textId="058F256A" w:rsidR="00277B70" w:rsidRPr="00702E06" w:rsidRDefault="00277B70" w:rsidP="00353DC3">
            <w:pPr>
              <w:spacing w:before="60" w:after="60"/>
              <w:jc w:val="center"/>
            </w:pPr>
            <w:r w:rsidRPr="00702E06">
              <w:t>2.0%</w:t>
            </w:r>
          </w:p>
        </w:tc>
        <w:tc>
          <w:tcPr>
            <w:tcW w:w="1294" w:type="dxa"/>
            <w:vMerge/>
            <w:vAlign w:val="center"/>
          </w:tcPr>
          <w:p w14:paraId="75ECF6D6" w14:textId="77777777" w:rsidR="00277B70" w:rsidRPr="00702E06" w:rsidRDefault="00277B70" w:rsidP="00353DC3">
            <w:pPr>
              <w:spacing w:before="60" w:after="60"/>
              <w:jc w:val="center"/>
              <w:rPr>
                <w:highlight w:val="yellow"/>
              </w:rPr>
            </w:pPr>
          </w:p>
        </w:tc>
        <w:tc>
          <w:tcPr>
            <w:tcW w:w="997" w:type="dxa"/>
            <w:vAlign w:val="center"/>
          </w:tcPr>
          <w:p w14:paraId="1EC677BD" w14:textId="595FCFA5" w:rsidR="00277B70" w:rsidRPr="00702E06" w:rsidRDefault="00277B70" w:rsidP="00353DC3">
            <w:pPr>
              <w:spacing w:before="60" w:after="60"/>
              <w:jc w:val="center"/>
            </w:pPr>
            <w:r w:rsidRPr="00702E06">
              <w:t>20.0</w:t>
            </w:r>
          </w:p>
        </w:tc>
      </w:tr>
      <w:tr w:rsidR="00277B70" w14:paraId="6552B793" w14:textId="77777777" w:rsidTr="00F90AEE">
        <w:tc>
          <w:tcPr>
            <w:tcW w:w="2001" w:type="dxa"/>
          </w:tcPr>
          <w:p w14:paraId="0C740062" w14:textId="5A8CB8C4" w:rsidR="00277B70" w:rsidRPr="00702E06" w:rsidRDefault="00277B70" w:rsidP="00353DC3">
            <w:pPr>
              <w:spacing w:before="60" w:after="60"/>
              <w:jc w:val="left"/>
            </w:pPr>
            <w:r w:rsidRPr="00702E06">
              <w:t>VRV/VRF split systems</w:t>
            </w:r>
          </w:p>
        </w:tc>
        <w:tc>
          <w:tcPr>
            <w:tcW w:w="990" w:type="dxa"/>
            <w:vAlign w:val="center"/>
          </w:tcPr>
          <w:p w14:paraId="593F7A4E" w14:textId="0487B348" w:rsidR="00277B70" w:rsidRPr="00702E06" w:rsidRDefault="00277B70" w:rsidP="00353DC3">
            <w:pPr>
              <w:spacing w:before="60" w:after="60"/>
              <w:jc w:val="center"/>
            </w:pPr>
            <w:r w:rsidRPr="00702E06">
              <w:t>11.0</w:t>
            </w:r>
          </w:p>
        </w:tc>
        <w:tc>
          <w:tcPr>
            <w:tcW w:w="989" w:type="dxa"/>
            <w:vAlign w:val="center"/>
          </w:tcPr>
          <w:p w14:paraId="7343DFD8" w14:textId="043D148B" w:rsidR="00277B70" w:rsidRPr="00702E06" w:rsidRDefault="00277B70" w:rsidP="00353DC3">
            <w:pPr>
              <w:spacing w:before="60" w:after="60"/>
              <w:jc w:val="center"/>
            </w:pPr>
            <w:r w:rsidRPr="00702E06">
              <w:t>9.0</w:t>
            </w:r>
          </w:p>
        </w:tc>
        <w:tc>
          <w:tcPr>
            <w:tcW w:w="1001" w:type="dxa"/>
            <w:vMerge/>
            <w:vAlign w:val="center"/>
          </w:tcPr>
          <w:p w14:paraId="0DEF55B0" w14:textId="77777777" w:rsidR="00277B70" w:rsidRPr="00702E06" w:rsidRDefault="00277B70" w:rsidP="00353DC3">
            <w:pPr>
              <w:spacing w:before="60" w:after="60"/>
              <w:jc w:val="center"/>
            </w:pPr>
          </w:p>
        </w:tc>
        <w:tc>
          <w:tcPr>
            <w:tcW w:w="948" w:type="dxa"/>
            <w:vMerge/>
            <w:vAlign w:val="center"/>
          </w:tcPr>
          <w:p w14:paraId="31B6E9ED" w14:textId="77777777" w:rsidR="00277B70" w:rsidRPr="00702E06" w:rsidRDefault="00277B70" w:rsidP="00353DC3">
            <w:pPr>
              <w:spacing w:before="60" w:after="60"/>
              <w:jc w:val="center"/>
            </w:pPr>
          </w:p>
        </w:tc>
        <w:tc>
          <w:tcPr>
            <w:tcW w:w="1272" w:type="dxa"/>
            <w:vAlign w:val="center"/>
          </w:tcPr>
          <w:p w14:paraId="5138EA49" w14:textId="5F9AF945" w:rsidR="00277B70" w:rsidRPr="00702E06" w:rsidRDefault="00277B70" w:rsidP="00353DC3">
            <w:pPr>
              <w:spacing w:before="60" w:after="60"/>
              <w:jc w:val="center"/>
            </w:pPr>
            <w:r w:rsidRPr="00702E06">
              <w:t>2.0%</w:t>
            </w:r>
          </w:p>
        </w:tc>
        <w:tc>
          <w:tcPr>
            <w:tcW w:w="1294" w:type="dxa"/>
            <w:vMerge/>
            <w:vAlign w:val="center"/>
          </w:tcPr>
          <w:p w14:paraId="0F80CD69" w14:textId="77777777" w:rsidR="00277B70" w:rsidRPr="00702E06" w:rsidRDefault="00277B70" w:rsidP="00353DC3">
            <w:pPr>
              <w:spacing w:before="60" w:after="60"/>
              <w:jc w:val="center"/>
              <w:rPr>
                <w:highlight w:val="yellow"/>
              </w:rPr>
            </w:pPr>
          </w:p>
        </w:tc>
        <w:tc>
          <w:tcPr>
            <w:tcW w:w="997" w:type="dxa"/>
            <w:vAlign w:val="center"/>
          </w:tcPr>
          <w:p w14:paraId="5B54F548" w14:textId="37A59D6E" w:rsidR="00277B70" w:rsidRPr="00702E06" w:rsidRDefault="00277B70" w:rsidP="00353DC3">
            <w:pPr>
              <w:spacing w:before="60" w:after="60"/>
              <w:jc w:val="center"/>
            </w:pPr>
            <w:r w:rsidRPr="00702E06">
              <w:t>20.0</w:t>
            </w:r>
          </w:p>
        </w:tc>
      </w:tr>
      <w:tr w:rsidR="00277B70" w14:paraId="13936318" w14:textId="77777777" w:rsidTr="00F90AEE">
        <w:tc>
          <w:tcPr>
            <w:tcW w:w="2001" w:type="dxa"/>
          </w:tcPr>
          <w:p w14:paraId="31597C3D" w14:textId="63991B88" w:rsidR="00277B70" w:rsidRPr="00702E06" w:rsidRDefault="00277B70" w:rsidP="00353DC3">
            <w:pPr>
              <w:spacing w:before="60" w:after="60"/>
              <w:jc w:val="left"/>
            </w:pPr>
            <w:r w:rsidRPr="00702E06">
              <w:t>Close control</w:t>
            </w:r>
          </w:p>
        </w:tc>
        <w:tc>
          <w:tcPr>
            <w:tcW w:w="990" w:type="dxa"/>
            <w:vAlign w:val="center"/>
          </w:tcPr>
          <w:p w14:paraId="50FFF0F9" w14:textId="3EDD1E3B" w:rsidR="00277B70" w:rsidRPr="00702E06" w:rsidRDefault="00277B70" w:rsidP="00353DC3">
            <w:pPr>
              <w:spacing w:before="60" w:after="60"/>
              <w:jc w:val="center"/>
            </w:pPr>
            <w:r w:rsidRPr="00702E06">
              <w:t>30.0</w:t>
            </w:r>
          </w:p>
        </w:tc>
        <w:tc>
          <w:tcPr>
            <w:tcW w:w="989" w:type="dxa"/>
            <w:vAlign w:val="center"/>
          </w:tcPr>
          <w:p w14:paraId="05CC5EDF" w14:textId="053B555F" w:rsidR="00277B70" w:rsidRPr="00702E06" w:rsidRDefault="00277B70" w:rsidP="00353DC3">
            <w:pPr>
              <w:spacing w:before="60" w:after="60"/>
              <w:jc w:val="center"/>
            </w:pPr>
            <w:r w:rsidRPr="00702E06">
              <w:t>30.0</w:t>
            </w:r>
          </w:p>
        </w:tc>
        <w:tc>
          <w:tcPr>
            <w:tcW w:w="1001" w:type="dxa"/>
            <w:vMerge/>
            <w:vAlign w:val="center"/>
          </w:tcPr>
          <w:p w14:paraId="0C603F65" w14:textId="77777777" w:rsidR="00277B70" w:rsidRPr="00702E06" w:rsidRDefault="00277B70" w:rsidP="00353DC3">
            <w:pPr>
              <w:spacing w:before="60" w:after="60"/>
              <w:jc w:val="center"/>
            </w:pPr>
          </w:p>
        </w:tc>
        <w:tc>
          <w:tcPr>
            <w:tcW w:w="948" w:type="dxa"/>
            <w:vMerge/>
            <w:vAlign w:val="center"/>
          </w:tcPr>
          <w:p w14:paraId="636CC9E0" w14:textId="77777777" w:rsidR="00277B70" w:rsidRPr="00702E06" w:rsidRDefault="00277B70" w:rsidP="00353DC3">
            <w:pPr>
              <w:spacing w:before="60" w:after="60"/>
              <w:jc w:val="center"/>
            </w:pPr>
          </w:p>
        </w:tc>
        <w:tc>
          <w:tcPr>
            <w:tcW w:w="1272" w:type="dxa"/>
            <w:vAlign w:val="center"/>
          </w:tcPr>
          <w:p w14:paraId="5F897B74" w14:textId="5759C662" w:rsidR="00277B70" w:rsidRPr="00702E06" w:rsidRDefault="00277B70" w:rsidP="00353DC3">
            <w:pPr>
              <w:spacing w:before="60" w:after="60"/>
              <w:jc w:val="center"/>
            </w:pPr>
            <w:r w:rsidRPr="00702E06">
              <w:t>2.0%</w:t>
            </w:r>
          </w:p>
        </w:tc>
        <w:tc>
          <w:tcPr>
            <w:tcW w:w="1294" w:type="dxa"/>
            <w:vMerge/>
            <w:vAlign w:val="center"/>
          </w:tcPr>
          <w:p w14:paraId="3851EC41" w14:textId="77777777" w:rsidR="00277B70" w:rsidRPr="00702E06" w:rsidRDefault="00277B70" w:rsidP="00353DC3">
            <w:pPr>
              <w:spacing w:before="60" w:after="60"/>
              <w:jc w:val="center"/>
              <w:rPr>
                <w:highlight w:val="yellow"/>
              </w:rPr>
            </w:pPr>
          </w:p>
        </w:tc>
        <w:tc>
          <w:tcPr>
            <w:tcW w:w="997" w:type="dxa"/>
            <w:vAlign w:val="center"/>
          </w:tcPr>
          <w:p w14:paraId="39E14EA8" w14:textId="75A13333" w:rsidR="00277B70" w:rsidRPr="00702E06" w:rsidRDefault="00277B70" w:rsidP="00353DC3">
            <w:pPr>
              <w:spacing w:before="60" w:after="60"/>
              <w:jc w:val="center"/>
            </w:pPr>
            <w:r w:rsidRPr="00702E06">
              <w:t>12.5</w:t>
            </w:r>
          </w:p>
        </w:tc>
      </w:tr>
      <w:tr w:rsidR="00277B70" w14:paraId="48525CD8" w14:textId="77777777" w:rsidTr="00835529">
        <w:tc>
          <w:tcPr>
            <w:tcW w:w="2001" w:type="dxa"/>
            <w:tcBorders>
              <w:bottom w:val="single" w:sz="4" w:space="0" w:color="000000"/>
            </w:tcBorders>
          </w:tcPr>
          <w:p w14:paraId="1DFB6C09" w14:textId="067F1E24" w:rsidR="00277B70" w:rsidRPr="00702E06" w:rsidRDefault="00277B70" w:rsidP="00353DC3">
            <w:pPr>
              <w:spacing w:before="60" w:after="60"/>
              <w:jc w:val="left"/>
            </w:pPr>
            <w:r w:rsidRPr="00702E06">
              <w:t>HW heat pump: commercial</w:t>
            </w:r>
          </w:p>
        </w:tc>
        <w:tc>
          <w:tcPr>
            <w:tcW w:w="990" w:type="dxa"/>
            <w:tcBorders>
              <w:bottom w:val="single" w:sz="4" w:space="0" w:color="000000"/>
            </w:tcBorders>
            <w:vAlign w:val="center"/>
          </w:tcPr>
          <w:p w14:paraId="516C50C3" w14:textId="55B408AB" w:rsidR="00277B70" w:rsidRPr="00702E06" w:rsidRDefault="00277B70" w:rsidP="00353DC3">
            <w:pPr>
              <w:spacing w:before="60" w:after="60"/>
              <w:jc w:val="center"/>
            </w:pPr>
            <w:r w:rsidRPr="00702E06">
              <w:t>110.0</w:t>
            </w:r>
          </w:p>
        </w:tc>
        <w:tc>
          <w:tcPr>
            <w:tcW w:w="989" w:type="dxa"/>
            <w:tcBorders>
              <w:bottom w:val="single" w:sz="4" w:space="0" w:color="000000"/>
            </w:tcBorders>
            <w:vAlign w:val="center"/>
          </w:tcPr>
          <w:p w14:paraId="43632B39" w14:textId="76BD6DCC" w:rsidR="00277B70" w:rsidRPr="00702E06" w:rsidRDefault="00277B70" w:rsidP="00353DC3">
            <w:pPr>
              <w:spacing w:before="60" w:after="60"/>
              <w:jc w:val="center"/>
            </w:pPr>
            <w:r w:rsidRPr="00702E06">
              <w:t>110.0</w:t>
            </w:r>
          </w:p>
        </w:tc>
        <w:tc>
          <w:tcPr>
            <w:tcW w:w="1001" w:type="dxa"/>
            <w:vMerge/>
            <w:tcBorders>
              <w:bottom w:val="single" w:sz="4" w:space="0" w:color="000000"/>
            </w:tcBorders>
            <w:vAlign w:val="center"/>
          </w:tcPr>
          <w:p w14:paraId="4E7DF024" w14:textId="77777777" w:rsidR="00277B70" w:rsidRPr="00702E06" w:rsidRDefault="00277B70" w:rsidP="00353DC3">
            <w:pPr>
              <w:spacing w:before="60" w:after="60"/>
              <w:jc w:val="center"/>
            </w:pPr>
          </w:p>
        </w:tc>
        <w:tc>
          <w:tcPr>
            <w:tcW w:w="948" w:type="dxa"/>
            <w:vMerge/>
            <w:vAlign w:val="center"/>
          </w:tcPr>
          <w:p w14:paraId="50726507" w14:textId="77777777" w:rsidR="00277B70" w:rsidRPr="00702E06" w:rsidRDefault="00277B70" w:rsidP="00353DC3">
            <w:pPr>
              <w:spacing w:before="60" w:after="60"/>
              <w:jc w:val="center"/>
            </w:pPr>
          </w:p>
        </w:tc>
        <w:tc>
          <w:tcPr>
            <w:tcW w:w="1272" w:type="dxa"/>
            <w:tcBorders>
              <w:bottom w:val="single" w:sz="4" w:space="0" w:color="000000"/>
            </w:tcBorders>
            <w:vAlign w:val="center"/>
          </w:tcPr>
          <w:p w14:paraId="4F9A901D" w14:textId="5A5F78AF" w:rsidR="00277B70" w:rsidRPr="00702E06" w:rsidRDefault="00277B70" w:rsidP="00353DC3">
            <w:pPr>
              <w:spacing w:before="60" w:after="60"/>
              <w:jc w:val="center"/>
            </w:pPr>
            <w:r w:rsidRPr="00702E06">
              <w:t>2.0%</w:t>
            </w:r>
          </w:p>
        </w:tc>
        <w:tc>
          <w:tcPr>
            <w:tcW w:w="1294" w:type="dxa"/>
            <w:vMerge/>
            <w:vAlign w:val="center"/>
          </w:tcPr>
          <w:p w14:paraId="779788D1" w14:textId="77777777" w:rsidR="00277B70" w:rsidRPr="00702E06" w:rsidRDefault="00277B70" w:rsidP="00353DC3">
            <w:pPr>
              <w:spacing w:before="60" w:after="60"/>
              <w:jc w:val="center"/>
              <w:rPr>
                <w:highlight w:val="yellow"/>
              </w:rPr>
            </w:pPr>
          </w:p>
        </w:tc>
        <w:tc>
          <w:tcPr>
            <w:tcW w:w="997" w:type="dxa"/>
            <w:tcBorders>
              <w:bottom w:val="single" w:sz="4" w:space="0" w:color="000000"/>
            </w:tcBorders>
            <w:vAlign w:val="center"/>
          </w:tcPr>
          <w:p w14:paraId="0B68A36E" w14:textId="709E1E94" w:rsidR="00277B70" w:rsidRPr="00702E06" w:rsidRDefault="00277B70" w:rsidP="00353DC3">
            <w:pPr>
              <w:spacing w:before="60" w:after="60"/>
              <w:jc w:val="center"/>
            </w:pPr>
            <w:r w:rsidRPr="00702E06">
              <w:t>20.0</w:t>
            </w:r>
          </w:p>
        </w:tc>
      </w:tr>
      <w:tr w:rsidR="00277B70" w14:paraId="19E21B1E" w14:textId="77777777" w:rsidTr="00434EB2">
        <w:tc>
          <w:tcPr>
            <w:tcW w:w="2001" w:type="dxa"/>
            <w:tcBorders>
              <w:bottom w:val="single" w:sz="4" w:space="0" w:color="000000"/>
            </w:tcBorders>
          </w:tcPr>
          <w:p w14:paraId="184D3DF4" w14:textId="6CA1E88E" w:rsidR="00277B70" w:rsidRPr="00702E06" w:rsidRDefault="00277B70" w:rsidP="00353DC3">
            <w:pPr>
              <w:spacing w:before="60" w:after="60"/>
              <w:jc w:val="left"/>
            </w:pPr>
            <w:r w:rsidRPr="00702E06">
              <w:t>Pool heat pump</w:t>
            </w:r>
          </w:p>
        </w:tc>
        <w:tc>
          <w:tcPr>
            <w:tcW w:w="990" w:type="dxa"/>
            <w:tcBorders>
              <w:bottom w:val="single" w:sz="4" w:space="0" w:color="000000"/>
            </w:tcBorders>
            <w:vAlign w:val="center"/>
          </w:tcPr>
          <w:p w14:paraId="664E6FE3" w14:textId="299CDC09" w:rsidR="00277B70" w:rsidRPr="00702E06" w:rsidRDefault="00277B70" w:rsidP="00353DC3">
            <w:pPr>
              <w:spacing w:before="60" w:after="60"/>
              <w:jc w:val="center"/>
            </w:pPr>
            <w:r w:rsidRPr="00702E06">
              <w:t>2.8</w:t>
            </w:r>
          </w:p>
        </w:tc>
        <w:tc>
          <w:tcPr>
            <w:tcW w:w="989" w:type="dxa"/>
            <w:tcBorders>
              <w:bottom w:val="single" w:sz="4" w:space="0" w:color="000000"/>
            </w:tcBorders>
            <w:vAlign w:val="center"/>
          </w:tcPr>
          <w:p w14:paraId="6A2744C8" w14:textId="4192A81A" w:rsidR="00277B70" w:rsidRPr="00702E06" w:rsidRDefault="00277B70" w:rsidP="00353DC3">
            <w:pPr>
              <w:spacing w:before="60" w:after="60"/>
              <w:jc w:val="center"/>
            </w:pPr>
            <w:r w:rsidRPr="00702E06">
              <w:t>2.8</w:t>
            </w:r>
          </w:p>
        </w:tc>
        <w:tc>
          <w:tcPr>
            <w:tcW w:w="1001" w:type="dxa"/>
            <w:vMerge/>
            <w:tcBorders>
              <w:bottom w:val="single" w:sz="4" w:space="0" w:color="000000"/>
            </w:tcBorders>
            <w:vAlign w:val="center"/>
          </w:tcPr>
          <w:p w14:paraId="7F86AD61" w14:textId="77777777" w:rsidR="00277B70" w:rsidRPr="00702E06" w:rsidRDefault="00277B70" w:rsidP="00353DC3">
            <w:pPr>
              <w:spacing w:before="60" w:after="60"/>
              <w:jc w:val="center"/>
            </w:pPr>
          </w:p>
        </w:tc>
        <w:tc>
          <w:tcPr>
            <w:tcW w:w="948" w:type="dxa"/>
            <w:vMerge/>
            <w:tcBorders>
              <w:bottom w:val="single" w:sz="4" w:space="0" w:color="000000"/>
            </w:tcBorders>
            <w:vAlign w:val="center"/>
          </w:tcPr>
          <w:p w14:paraId="6CB664B0" w14:textId="77777777" w:rsidR="00277B70" w:rsidRPr="00702E06" w:rsidRDefault="00277B70" w:rsidP="00353DC3">
            <w:pPr>
              <w:spacing w:before="60" w:after="60"/>
              <w:jc w:val="center"/>
            </w:pPr>
          </w:p>
        </w:tc>
        <w:tc>
          <w:tcPr>
            <w:tcW w:w="1272" w:type="dxa"/>
            <w:tcBorders>
              <w:bottom w:val="single" w:sz="4" w:space="0" w:color="000000"/>
            </w:tcBorders>
            <w:vAlign w:val="center"/>
          </w:tcPr>
          <w:p w14:paraId="2C4196EB" w14:textId="2A1C70EC" w:rsidR="00277B70" w:rsidRPr="00702E06" w:rsidRDefault="00277B70" w:rsidP="00353DC3">
            <w:pPr>
              <w:spacing w:before="60" w:after="60"/>
              <w:jc w:val="center"/>
            </w:pPr>
            <w:r w:rsidRPr="00702E06">
              <w:t>2.0%</w:t>
            </w:r>
          </w:p>
        </w:tc>
        <w:tc>
          <w:tcPr>
            <w:tcW w:w="1294" w:type="dxa"/>
            <w:vMerge/>
            <w:tcBorders>
              <w:bottom w:val="single" w:sz="4" w:space="0" w:color="000000"/>
            </w:tcBorders>
            <w:vAlign w:val="center"/>
          </w:tcPr>
          <w:p w14:paraId="6B478D42" w14:textId="77777777" w:rsidR="00277B70" w:rsidRPr="00702E06" w:rsidRDefault="00277B70" w:rsidP="00353DC3">
            <w:pPr>
              <w:spacing w:before="60" w:after="60"/>
              <w:jc w:val="center"/>
              <w:rPr>
                <w:highlight w:val="yellow"/>
              </w:rPr>
            </w:pPr>
          </w:p>
        </w:tc>
        <w:tc>
          <w:tcPr>
            <w:tcW w:w="997" w:type="dxa"/>
            <w:tcBorders>
              <w:bottom w:val="single" w:sz="4" w:space="0" w:color="000000"/>
            </w:tcBorders>
            <w:vAlign w:val="center"/>
          </w:tcPr>
          <w:p w14:paraId="33031FA7" w14:textId="25C0005D" w:rsidR="00277B70" w:rsidRPr="00702E06" w:rsidRDefault="00277B70" w:rsidP="00353DC3">
            <w:pPr>
              <w:spacing w:before="60" w:after="60"/>
              <w:jc w:val="center"/>
            </w:pPr>
            <w:r w:rsidRPr="00702E06">
              <w:t>17.5</w:t>
            </w:r>
          </w:p>
        </w:tc>
      </w:tr>
      <w:tr w:rsidR="00353DC3" w14:paraId="7CF1C299" w14:textId="77777777" w:rsidTr="00434EB2">
        <w:tc>
          <w:tcPr>
            <w:tcW w:w="2001" w:type="dxa"/>
            <w:tcBorders>
              <w:bottom w:val="single" w:sz="4" w:space="0" w:color="000000"/>
              <w:right w:val="nil"/>
            </w:tcBorders>
            <w:shd w:val="clear" w:color="auto" w:fill="DAEEF3" w:themeFill="accent5" w:themeFillTint="33"/>
            <w:vAlign w:val="center"/>
          </w:tcPr>
          <w:p w14:paraId="139D8446" w14:textId="365EC1E4" w:rsidR="00353DC3" w:rsidRPr="00702E06" w:rsidRDefault="00353DC3" w:rsidP="00353DC3">
            <w:pPr>
              <w:spacing w:before="60" w:after="60"/>
              <w:jc w:val="left"/>
            </w:pPr>
            <w:r w:rsidRPr="00702E06">
              <w:t>Large AC</w:t>
            </w:r>
          </w:p>
        </w:tc>
        <w:tc>
          <w:tcPr>
            <w:tcW w:w="990" w:type="dxa"/>
            <w:tcBorders>
              <w:left w:val="nil"/>
              <w:bottom w:val="single" w:sz="4" w:space="0" w:color="000000"/>
              <w:right w:val="nil"/>
            </w:tcBorders>
            <w:shd w:val="clear" w:color="auto" w:fill="DAEEF3" w:themeFill="accent5" w:themeFillTint="33"/>
            <w:vAlign w:val="center"/>
          </w:tcPr>
          <w:p w14:paraId="1CE83E15" w14:textId="77777777" w:rsidR="00353DC3" w:rsidRPr="00702E06" w:rsidRDefault="00353DC3" w:rsidP="00353DC3">
            <w:pPr>
              <w:spacing w:before="60" w:after="60"/>
              <w:jc w:val="center"/>
            </w:pPr>
          </w:p>
        </w:tc>
        <w:tc>
          <w:tcPr>
            <w:tcW w:w="989" w:type="dxa"/>
            <w:tcBorders>
              <w:left w:val="nil"/>
              <w:bottom w:val="single" w:sz="4" w:space="0" w:color="000000"/>
              <w:right w:val="nil"/>
            </w:tcBorders>
            <w:shd w:val="clear" w:color="auto" w:fill="DAEEF3" w:themeFill="accent5" w:themeFillTint="33"/>
            <w:vAlign w:val="center"/>
          </w:tcPr>
          <w:p w14:paraId="14A27E81" w14:textId="77777777" w:rsidR="00353DC3" w:rsidRPr="00702E06" w:rsidRDefault="00353DC3" w:rsidP="00353DC3">
            <w:pPr>
              <w:spacing w:before="60" w:after="60"/>
              <w:jc w:val="center"/>
            </w:pPr>
          </w:p>
        </w:tc>
        <w:tc>
          <w:tcPr>
            <w:tcW w:w="1001" w:type="dxa"/>
            <w:tcBorders>
              <w:left w:val="nil"/>
              <w:bottom w:val="single" w:sz="4" w:space="0" w:color="000000"/>
              <w:right w:val="nil"/>
            </w:tcBorders>
            <w:shd w:val="clear" w:color="auto" w:fill="DAEEF3" w:themeFill="accent5" w:themeFillTint="33"/>
            <w:vAlign w:val="center"/>
          </w:tcPr>
          <w:p w14:paraId="38DBCA4B" w14:textId="77777777" w:rsidR="00353DC3" w:rsidRPr="00702E06" w:rsidRDefault="00353DC3" w:rsidP="00353DC3">
            <w:pPr>
              <w:spacing w:before="60" w:after="60"/>
              <w:jc w:val="center"/>
            </w:pPr>
          </w:p>
        </w:tc>
        <w:tc>
          <w:tcPr>
            <w:tcW w:w="948" w:type="dxa"/>
            <w:tcBorders>
              <w:left w:val="nil"/>
              <w:bottom w:val="single" w:sz="4" w:space="0" w:color="000000"/>
              <w:right w:val="nil"/>
            </w:tcBorders>
            <w:shd w:val="clear" w:color="auto" w:fill="DAEEF3" w:themeFill="accent5" w:themeFillTint="33"/>
            <w:vAlign w:val="center"/>
          </w:tcPr>
          <w:p w14:paraId="62EC7842" w14:textId="77777777" w:rsidR="00353DC3" w:rsidRPr="00702E06" w:rsidRDefault="00353DC3" w:rsidP="00353DC3">
            <w:pPr>
              <w:spacing w:before="60" w:after="60"/>
              <w:jc w:val="center"/>
            </w:pPr>
          </w:p>
        </w:tc>
        <w:tc>
          <w:tcPr>
            <w:tcW w:w="1272" w:type="dxa"/>
            <w:tcBorders>
              <w:left w:val="nil"/>
              <w:bottom w:val="single" w:sz="4" w:space="0" w:color="000000"/>
              <w:right w:val="nil"/>
            </w:tcBorders>
            <w:shd w:val="clear" w:color="auto" w:fill="DAEEF3" w:themeFill="accent5" w:themeFillTint="33"/>
            <w:vAlign w:val="center"/>
          </w:tcPr>
          <w:p w14:paraId="24CE7417" w14:textId="77777777" w:rsidR="00353DC3" w:rsidRPr="00702E06" w:rsidRDefault="00353DC3" w:rsidP="00353DC3">
            <w:pPr>
              <w:spacing w:before="60" w:after="60"/>
              <w:jc w:val="center"/>
            </w:pPr>
          </w:p>
        </w:tc>
        <w:tc>
          <w:tcPr>
            <w:tcW w:w="1294" w:type="dxa"/>
            <w:tcBorders>
              <w:left w:val="nil"/>
              <w:bottom w:val="single" w:sz="4" w:space="0" w:color="000000"/>
              <w:right w:val="nil"/>
            </w:tcBorders>
            <w:shd w:val="clear" w:color="auto" w:fill="DAEEF3" w:themeFill="accent5" w:themeFillTint="33"/>
            <w:vAlign w:val="center"/>
          </w:tcPr>
          <w:p w14:paraId="1F48505A" w14:textId="77777777" w:rsidR="00353DC3" w:rsidRPr="00702E06" w:rsidRDefault="00353DC3" w:rsidP="00353DC3">
            <w:pPr>
              <w:spacing w:before="60" w:after="60"/>
              <w:jc w:val="center"/>
            </w:pPr>
          </w:p>
        </w:tc>
        <w:tc>
          <w:tcPr>
            <w:tcW w:w="997" w:type="dxa"/>
            <w:tcBorders>
              <w:left w:val="nil"/>
              <w:bottom w:val="single" w:sz="4" w:space="0" w:color="000000"/>
            </w:tcBorders>
            <w:shd w:val="clear" w:color="auto" w:fill="DAEEF3" w:themeFill="accent5" w:themeFillTint="33"/>
            <w:vAlign w:val="center"/>
          </w:tcPr>
          <w:p w14:paraId="343F56CD" w14:textId="77777777" w:rsidR="00353DC3" w:rsidRPr="00702E06" w:rsidRDefault="00353DC3" w:rsidP="00353DC3">
            <w:pPr>
              <w:spacing w:before="60" w:after="60"/>
              <w:jc w:val="center"/>
            </w:pPr>
          </w:p>
        </w:tc>
      </w:tr>
      <w:tr w:rsidR="00277B70" w14:paraId="1B45FBE3" w14:textId="77777777" w:rsidTr="00C4192D">
        <w:tc>
          <w:tcPr>
            <w:tcW w:w="2001" w:type="dxa"/>
            <w:shd w:val="clear" w:color="auto" w:fill="auto"/>
            <w:vAlign w:val="bottom"/>
          </w:tcPr>
          <w:p w14:paraId="42140D00" w14:textId="1161C9AE" w:rsidR="00277B70" w:rsidRPr="00702E06" w:rsidRDefault="00277B70" w:rsidP="00353DC3">
            <w:pPr>
              <w:spacing w:before="60" w:after="60"/>
              <w:jc w:val="left"/>
            </w:pPr>
            <w:r w:rsidRPr="00702E06">
              <w:rPr>
                <w:color w:val="000000"/>
              </w:rPr>
              <w:t>&lt;350 kWr</w:t>
            </w:r>
          </w:p>
        </w:tc>
        <w:tc>
          <w:tcPr>
            <w:tcW w:w="990" w:type="dxa"/>
            <w:shd w:val="clear" w:color="auto" w:fill="auto"/>
            <w:vAlign w:val="center"/>
          </w:tcPr>
          <w:p w14:paraId="1643855B" w14:textId="749D5401" w:rsidR="00277B70" w:rsidRPr="00702E06" w:rsidRDefault="00277B70" w:rsidP="00353DC3">
            <w:pPr>
              <w:spacing w:before="60" w:after="60"/>
              <w:jc w:val="center"/>
            </w:pPr>
            <w:r w:rsidRPr="00702E06">
              <w:t>40.0</w:t>
            </w:r>
          </w:p>
        </w:tc>
        <w:tc>
          <w:tcPr>
            <w:tcW w:w="989" w:type="dxa"/>
            <w:shd w:val="clear" w:color="auto" w:fill="auto"/>
            <w:vAlign w:val="center"/>
          </w:tcPr>
          <w:p w14:paraId="375FAB0F" w14:textId="0F193087" w:rsidR="00277B70" w:rsidRPr="00702E06" w:rsidRDefault="00277B70" w:rsidP="00353DC3">
            <w:pPr>
              <w:spacing w:before="60" w:after="60"/>
              <w:jc w:val="center"/>
            </w:pPr>
            <w:r w:rsidRPr="00702E06">
              <w:t>40.0</w:t>
            </w:r>
          </w:p>
        </w:tc>
        <w:tc>
          <w:tcPr>
            <w:tcW w:w="1001" w:type="dxa"/>
            <w:vMerge w:val="restart"/>
            <w:shd w:val="clear" w:color="auto" w:fill="auto"/>
            <w:vAlign w:val="center"/>
          </w:tcPr>
          <w:p w14:paraId="6C321E5C" w14:textId="6ADA0E7B" w:rsidR="00277B70" w:rsidRPr="00702E06" w:rsidRDefault="00277B70" w:rsidP="00353DC3">
            <w:pPr>
              <w:spacing w:before="60" w:after="60"/>
              <w:jc w:val="center"/>
            </w:pPr>
            <w:r w:rsidRPr="00702E06">
              <w:t>85%</w:t>
            </w:r>
          </w:p>
        </w:tc>
        <w:tc>
          <w:tcPr>
            <w:tcW w:w="948" w:type="dxa"/>
            <w:vMerge w:val="restart"/>
            <w:shd w:val="clear" w:color="auto" w:fill="auto"/>
            <w:vAlign w:val="center"/>
          </w:tcPr>
          <w:p w14:paraId="59C3AD4D" w14:textId="667E6FD4" w:rsidR="00277B70" w:rsidRPr="00702E06" w:rsidRDefault="00277B70" w:rsidP="00353DC3">
            <w:pPr>
              <w:spacing w:before="60" w:after="60"/>
              <w:jc w:val="center"/>
            </w:pPr>
            <w:r w:rsidRPr="00702E06">
              <w:t>95%</w:t>
            </w:r>
          </w:p>
        </w:tc>
        <w:tc>
          <w:tcPr>
            <w:tcW w:w="1272" w:type="dxa"/>
            <w:shd w:val="clear" w:color="auto" w:fill="auto"/>
            <w:vAlign w:val="center"/>
          </w:tcPr>
          <w:p w14:paraId="42DC42CE" w14:textId="11FA8E33" w:rsidR="00277B70" w:rsidRPr="00702E06" w:rsidRDefault="00277B70" w:rsidP="00353DC3">
            <w:pPr>
              <w:spacing w:before="60" w:after="60"/>
              <w:jc w:val="center"/>
            </w:pPr>
            <w:r w:rsidRPr="00702E06">
              <w:t>4.0%</w:t>
            </w:r>
          </w:p>
        </w:tc>
        <w:tc>
          <w:tcPr>
            <w:tcW w:w="1294" w:type="dxa"/>
            <w:vMerge w:val="restart"/>
            <w:shd w:val="clear" w:color="auto" w:fill="auto"/>
            <w:vAlign w:val="center"/>
          </w:tcPr>
          <w:p w14:paraId="16FBBEE4" w14:textId="57C14AEA" w:rsidR="00277B70" w:rsidRPr="00702E06" w:rsidRDefault="00277B70" w:rsidP="00353DC3">
            <w:pPr>
              <w:spacing w:before="60" w:after="60"/>
              <w:jc w:val="center"/>
            </w:pPr>
            <w:r w:rsidRPr="00702E06">
              <w:t>4.5%</w:t>
            </w:r>
          </w:p>
        </w:tc>
        <w:tc>
          <w:tcPr>
            <w:tcW w:w="997" w:type="dxa"/>
            <w:shd w:val="clear" w:color="auto" w:fill="auto"/>
            <w:vAlign w:val="center"/>
          </w:tcPr>
          <w:p w14:paraId="52D6F370" w14:textId="71353796" w:rsidR="00277B70" w:rsidRPr="00702E06" w:rsidRDefault="00277B70" w:rsidP="00353DC3">
            <w:pPr>
              <w:spacing w:before="60" w:after="60"/>
              <w:jc w:val="center"/>
            </w:pPr>
            <w:r w:rsidRPr="00702E06">
              <w:t>20.0</w:t>
            </w:r>
          </w:p>
        </w:tc>
      </w:tr>
      <w:tr w:rsidR="00277B70" w14:paraId="05055AE3" w14:textId="77777777" w:rsidTr="00C4192D">
        <w:tc>
          <w:tcPr>
            <w:tcW w:w="2001" w:type="dxa"/>
            <w:shd w:val="clear" w:color="auto" w:fill="auto"/>
            <w:vAlign w:val="bottom"/>
          </w:tcPr>
          <w:p w14:paraId="18296FBC" w14:textId="6F82C564" w:rsidR="00277B70" w:rsidRPr="00702E06" w:rsidRDefault="00277B70" w:rsidP="00353DC3">
            <w:pPr>
              <w:spacing w:before="60" w:after="60"/>
              <w:jc w:val="left"/>
            </w:pPr>
            <w:r w:rsidRPr="00702E06">
              <w:rPr>
                <w:color w:val="000000"/>
              </w:rPr>
              <w:t>&gt;350 &amp; &lt;500 kWr</w:t>
            </w:r>
          </w:p>
        </w:tc>
        <w:tc>
          <w:tcPr>
            <w:tcW w:w="990" w:type="dxa"/>
            <w:shd w:val="clear" w:color="auto" w:fill="auto"/>
            <w:vAlign w:val="center"/>
          </w:tcPr>
          <w:p w14:paraId="08B04030" w14:textId="1DE2766D" w:rsidR="00277B70" w:rsidRPr="00702E06" w:rsidRDefault="00277B70" w:rsidP="00353DC3">
            <w:pPr>
              <w:spacing w:before="60" w:after="60"/>
              <w:jc w:val="center"/>
            </w:pPr>
            <w:r w:rsidRPr="00702E06">
              <w:t>60.0</w:t>
            </w:r>
          </w:p>
        </w:tc>
        <w:tc>
          <w:tcPr>
            <w:tcW w:w="989" w:type="dxa"/>
            <w:shd w:val="clear" w:color="auto" w:fill="auto"/>
            <w:vAlign w:val="center"/>
          </w:tcPr>
          <w:p w14:paraId="6C9B3073" w14:textId="54676E1A" w:rsidR="00277B70" w:rsidRPr="00702E06" w:rsidRDefault="00277B70" w:rsidP="00353DC3">
            <w:pPr>
              <w:spacing w:before="60" w:after="60"/>
              <w:jc w:val="center"/>
            </w:pPr>
            <w:r w:rsidRPr="00702E06">
              <w:t>60.0</w:t>
            </w:r>
          </w:p>
        </w:tc>
        <w:tc>
          <w:tcPr>
            <w:tcW w:w="1001" w:type="dxa"/>
            <w:vMerge/>
            <w:shd w:val="clear" w:color="auto" w:fill="auto"/>
            <w:vAlign w:val="center"/>
          </w:tcPr>
          <w:p w14:paraId="189EA2C4" w14:textId="77777777" w:rsidR="00277B70" w:rsidRPr="00702E06" w:rsidRDefault="00277B70" w:rsidP="00353DC3">
            <w:pPr>
              <w:spacing w:before="60" w:after="60"/>
              <w:jc w:val="center"/>
            </w:pPr>
          </w:p>
        </w:tc>
        <w:tc>
          <w:tcPr>
            <w:tcW w:w="948" w:type="dxa"/>
            <w:vMerge/>
            <w:shd w:val="clear" w:color="auto" w:fill="auto"/>
            <w:vAlign w:val="center"/>
          </w:tcPr>
          <w:p w14:paraId="18D6FDC4" w14:textId="77777777" w:rsidR="00277B70" w:rsidRPr="00702E06" w:rsidRDefault="00277B70" w:rsidP="00353DC3">
            <w:pPr>
              <w:spacing w:before="60" w:after="60"/>
              <w:jc w:val="center"/>
            </w:pPr>
          </w:p>
        </w:tc>
        <w:tc>
          <w:tcPr>
            <w:tcW w:w="1272" w:type="dxa"/>
            <w:shd w:val="clear" w:color="auto" w:fill="auto"/>
            <w:vAlign w:val="center"/>
          </w:tcPr>
          <w:p w14:paraId="0AD20366" w14:textId="03077768" w:rsidR="00277B70" w:rsidRPr="00702E06" w:rsidRDefault="00277B70" w:rsidP="00353DC3">
            <w:pPr>
              <w:spacing w:before="60" w:after="60"/>
              <w:jc w:val="center"/>
            </w:pPr>
            <w:r w:rsidRPr="00702E06">
              <w:t>4.0%</w:t>
            </w:r>
          </w:p>
        </w:tc>
        <w:tc>
          <w:tcPr>
            <w:tcW w:w="1294" w:type="dxa"/>
            <w:vMerge/>
            <w:shd w:val="clear" w:color="auto" w:fill="auto"/>
            <w:vAlign w:val="center"/>
          </w:tcPr>
          <w:p w14:paraId="35D92690" w14:textId="77777777" w:rsidR="00277B70" w:rsidRPr="00702E06" w:rsidRDefault="00277B70" w:rsidP="00353DC3">
            <w:pPr>
              <w:spacing w:before="60" w:after="60"/>
              <w:jc w:val="center"/>
            </w:pPr>
          </w:p>
        </w:tc>
        <w:tc>
          <w:tcPr>
            <w:tcW w:w="997" w:type="dxa"/>
            <w:shd w:val="clear" w:color="auto" w:fill="auto"/>
            <w:vAlign w:val="center"/>
          </w:tcPr>
          <w:p w14:paraId="66A9393A" w14:textId="01275DA8" w:rsidR="00277B70" w:rsidRPr="00702E06" w:rsidRDefault="00277B70" w:rsidP="00353DC3">
            <w:pPr>
              <w:spacing w:before="60" w:after="60"/>
              <w:jc w:val="center"/>
            </w:pPr>
            <w:r w:rsidRPr="00702E06">
              <w:t>25.0</w:t>
            </w:r>
          </w:p>
        </w:tc>
      </w:tr>
      <w:tr w:rsidR="00277B70" w14:paraId="66B3B83F" w14:textId="77777777" w:rsidTr="00C4192D">
        <w:tc>
          <w:tcPr>
            <w:tcW w:w="2001" w:type="dxa"/>
            <w:shd w:val="clear" w:color="auto" w:fill="auto"/>
            <w:vAlign w:val="bottom"/>
          </w:tcPr>
          <w:p w14:paraId="4E70F8BF" w14:textId="06DB7B7A" w:rsidR="00277B70" w:rsidRPr="00702E06" w:rsidRDefault="00277B70" w:rsidP="00353DC3">
            <w:pPr>
              <w:spacing w:before="60" w:after="60"/>
              <w:jc w:val="left"/>
            </w:pPr>
            <w:r w:rsidRPr="00702E06">
              <w:rPr>
                <w:color w:val="000000"/>
              </w:rPr>
              <w:t>&gt;500 &amp; &lt;1000 kWr</w:t>
            </w:r>
          </w:p>
        </w:tc>
        <w:tc>
          <w:tcPr>
            <w:tcW w:w="990" w:type="dxa"/>
            <w:shd w:val="clear" w:color="auto" w:fill="auto"/>
            <w:vAlign w:val="center"/>
          </w:tcPr>
          <w:p w14:paraId="5F03A59B" w14:textId="6F95C4E0" w:rsidR="00277B70" w:rsidRPr="00702E06" w:rsidRDefault="00277B70" w:rsidP="00353DC3">
            <w:pPr>
              <w:spacing w:before="60" w:after="60"/>
              <w:jc w:val="center"/>
            </w:pPr>
            <w:r w:rsidRPr="00702E06">
              <w:t>210.0</w:t>
            </w:r>
          </w:p>
        </w:tc>
        <w:tc>
          <w:tcPr>
            <w:tcW w:w="989" w:type="dxa"/>
            <w:shd w:val="clear" w:color="auto" w:fill="auto"/>
            <w:vAlign w:val="center"/>
          </w:tcPr>
          <w:p w14:paraId="29F50C91" w14:textId="1EF7CB17" w:rsidR="00277B70" w:rsidRPr="00702E06" w:rsidRDefault="00277B70" w:rsidP="00353DC3">
            <w:pPr>
              <w:spacing w:before="60" w:after="60"/>
              <w:jc w:val="center"/>
            </w:pPr>
            <w:r w:rsidRPr="00702E06">
              <w:t>210.0</w:t>
            </w:r>
          </w:p>
        </w:tc>
        <w:tc>
          <w:tcPr>
            <w:tcW w:w="1001" w:type="dxa"/>
            <w:vMerge/>
            <w:shd w:val="clear" w:color="auto" w:fill="auto"/>
            <w:vAlign w:val="center"/>
          </w:tcPr>
          <w:p w14:paraId="38EFE7AD" w14:textId="77777777" w:rsidR="00277B70" w:rsidRPr="00702E06" w:rsidRDefault="00277B70" w:rsidP="00353DC3">
            <w:pPr>
              <w:spacing w:before="60" w:after="60"/>
              <w:jc w:val="center"/>
            </w:pPr>
          </w:p>
        </w:tc>
        <w:tc>
          <w:tcPr>
            <w:tcW w:w="948" w:type="dxa"/>
            <w:vMerge/>
            <w:shd w:val="clear" w:color="auto" w:fill="auto"/>
            <w:vAlign w:val="center"/>
          </w:tcPr>
          <w:p w14:paraId="669798E2" w14:textId="77777777" w:rsidR="00277B70" w:rsidRPr="00702E06" w:rsidRDefault="00277B70" w:rsidP="00353DC3">
            <w:pPr>
              <w:spacing w:before="60" w:after="60"/>
              <w:jc w:val="center"/>
            </w:pPr>
          </w:p>
        </w:tc>
        <w:tc>
          <w:tcPr>
            <w:tcW w:w="1272" w:type="dxa"/>
            <w:shd w:val="clear" w:color="auto" w:fill="auto"/>
            <w:vAlign w:val="center"/>
          </w:tcPr>
          <w:p w14:paraId="60D1096A" w14:textId="507C8B86" w:rsidR="00277B70" w:rsidRPr="00702E06" w:rsidRDefault="00277B70" w:rsidP="00353DC3">
            <w:pPr>
              <w:spacing w:before="60" w:after="60"/>
              <w:jc w:val="center"/>
            </w:pPr>
            <w:r w:rsidRPr="00702E06">
              <w:t>4.0%</w:t>
            </w:r>
          </w:p>
        </w:tc>
        <w:tc>
          <w:tcPr>
            <w:tcW w:w="1294" w:type="dxa"/>
            <w:vMerge/>
            <w:shd w:val="clear" w:color="auto" w:fill="auto"/>
            <w:vAlign w:val="center"/>
          </w:tcPr>
          <w:p w14:paraId="4E631640" w14:textId="77777777" w:rsidR="00277B70" w:rsidRPr="00702E06" w:rsidRDefault="00277B70" w:rsidP="00353DC3">
            <w:pPr>
              <w:spacing w:before="60" w:after="60"/>
              <w:jc w:val="center"/>
            </w:pPr>
          </w:p>
        </w:tc>
        <w:tc>
          <w:tcPr>
            <w:tcW w:w="997" w:type="dxa"/>
            <w:shd w:val="clear" w:color="auto" w:fill="auto"/>
            <w:vAlign w:val="center"/>
          </w:tcPr>
          <w:p w14:paraId="4A5980EC" w14:textId="00525FA7" w:rsidR="00277B70" w:rsidRPr="00702E06" w:rsidRDefault="00277B70" w:rsidP="00353DC3">
            <w:pPr>
              <w:spacing w:before="60" w:after="60"/>
              <w:jc w:val="center"/>
            </w:pPr>
            <w:r w:rsidRPr="00702E06">
              <w:t>25.0</w:t>
            </w:r>
          </w:p>
        </w:tc>
      </w:tr>
      <w:tr w:rsidR="00277B70" w14:paraId="610E9AE7" w14:textId="77777777" w:rsidTr="00434EB2">
        <w:tc>
          <w:tcPr>
            <w:tcW w:w="2001" w:type="dxa"/>
            <w:tcBorders>
              <w:bottom w:val="single" w:sz="4" w:space="0" w:color="000000"/>
            </w:tcBorders>
            <w:shd w:val="clear" w:color="auto" w:fill="auto"/>
            <w:vAlign w:val="bottom"/>
          </w:tcPr>
          <w:p w14:paraId="582491B1" w14:textId="7D27328C" w:rsidR="00277B70" w:rsidRPr="00702E06" w:rsidRDefault="00277B70" w:rsidP="00353DC3">
            <w:pPr>
              <w:spacing w:before="60" w:after="60"/>
              <w:jc w:val="left"/>
            </w:pPr>
            <w:r w:rsidRPr="00702E06">
              <w:rPr>
                <w:color w:val="000000"/>
              </w:rPr>
              <w:t xml:space="preserve">&gt;1000 kWr </w:t>
            </w:r>
            <w:r w:rsidRPr="00702E06">
              <w:rPr>
                <w:color w:val="000000"/>
                <w:vertAlign w:val="superscript"/>
              </w:rPr>
              <w:t>(2)</w:t>
            </w:r>
          </w:p>
        </w:tc>
        <w:tc>
          <w:tcPr>
            <w:tcW w:w="990" w:type="dxa"/>
            <w:tcBorders>
              <w:bottom w:val="single" w:sz="4" w:space="0" w:color="000000"/>
            </w:tcBorders>
            <w:shd w:val="clear" w:color="auto" w:fill="auto"/>
            <w:vAlign w:val="center"/>
          </w:tcPr>
          <w:p w14:paraId="0DF62306" w14:textId="740ED42A" w:rsidR="00277B70" w:rsidRPr="00702E06" w:rsidRDefault="00277B70" w:rsidP="00353DC3">
            <w:pPr>
              <w:spacing w:before="60" w:after="60"/>
              <w:jc w:val="center"/>
            </w:pPr>
            <w:r w:rsidRPr="00702E06">
              <w:t>670.0</w:t>
            </w:r>
          </w:p>
        </w:tc>
        <w:tc>
          <w:tcPr>
            <w:tcW w:w="989" w:type="dxa"/>
            <w:tcBorders>
              <w:bottom w:val="single" w:sz="4" w:space="0" w:color="000000"/>
            </w:tcBorders>
            <w:shd w:val="clear" w:color="auto" w:fill="auto"/>
            <w:vAlign w:val="center"/>
          </w:tcPr>
          <w:p w14:paraId="36AA49FD" w14:textId="2336FD8F" w:rsidR="00277B70" w:rsidRPr="00702E06" w:rsidRDefault="00277B70" w:rsidP="00353DC3">
            <w:pPr>
              <w:spacing w:before="60" w:after="60"/>
              <w:jc w:val="center"/>
            </w:pPr>
            <w:r w:rsidRPr="00702E06">
              <w:t>670.0</w:t>
            </w:r>
          </w:p>
        </w:tc>
        <w:tc>
          <w:tcPr>
            <w:tcW w:w="1001" w:type="dxa"/>
            <w:vMerge/>
            <w:tcBorders>
              <w:bottom w:val="single" w:sz="4" w:space="0" w:color="000000"/>
            </w:tcBorders>
            <w:shd w:val="clear" w:color="auto" w:fill="auto"/>
            <w:vAlign w:val="center"/>
          </w:tcPr>
          <w:p w14:paraId="3DE53A37" w14:textId="77777777" w:rsidR="00277B70" w:rsidRPr="00702E06" w:rsidRDefault="00277B70" w:rsidP="00353DC3">
            <w:pPr>
              <w:spacing w:before="60" w:after="60"/>
              <w:jc w:val="center"/>
            </w:pPr>
          </w:p>
        </w:tc>
        <w:tc>
          <w:tcPr>
            <w:tcW w:w="948" w:type="dxa"/>
            <w:vMerge/>
            <w:tcBorders>
              <w:bottom w:val="single" w:sz="4" w:space="0" w:color="000000"/>
            </w:tcBorders>
            <w:shd w:val="clear" w:color="auto" w:fill="auto"/>
            <w:vAlign w:val="center"/>
          </w:tcPr>
          <w:p w14:paraId="1DF71883" w14:textId="77777777" w:rsidR="00277B70" w:rsidRPr="00702E06" w:rsidRDefault="00277B70" w:rsidP="00353DC3">
            <w:pPr>
              <w:spacing w:before="60" w:after="60"/>
              <w:jc w:val="center"/>
            </w:pPr>
          </w:p>
        </w:tc>
        <w:tc>
          <w:tcPr>
            <w:tcW w:w="1272" w:type="dxa"/>
            <w:tcBorders>
              <w:bottom w:val="single" w:sz="4" w:space="0" w:color="000000"/>
            </w:tcBorders>
            <w:shd w:val="clear" w:color="auto" w:fill="auto"/>
            <w:vAlign w:val="center"/>
          </w:tcPr>
          <w:p w14:paraId="2B742CD6" w14:textId="55017D1B" w:rsidR="00277B70" w:rsidRPr="00702E06" w:rsidRDefault="00277B70" w:rsidP="00353DC3">
            <w:pPr>
              <w:spacing w:before="60" w:after="60"/>
              <w:jc w:val="center"/>
            </w:pPr>
            <w:r w:rsidRPr="00702E06">
              <w:t>4.0%</w:t>
            </w:r>
          </w:p>
        </w:tc>
        <w:tc>
          <w:tcPr>
            <w:tcW w:w="1294" w:type="dxa"/>
            <w:vMerge/>
            <w:tcBorders>
              <w:bottom w:val="single" w:sz="4" w:space="0" w:color="000000"/>
            </w:tcBorders>
            <w:shd w:val="clear" w:color="auto" w:fill="auto"/>
            <w:vAlign w:val="center"/>
          </w:tcPr>
          <w:p w14:paraId="22E8E004" w14:textId="77777777" w:rsidR="00277B70" w:rsidRPr="00702E06" w:rsidRDefault="00277B70" w:rsidP="00353DC3">
            <w:pPr>
              <w:spacing w:before="60" w:after="60"/>
              <w:jc w:val="center"/>
            </w:pPr>
          </w:p>
        </w:tc>
        <w:tc>
          <w:tcPr>
            <w:tcW w:w="997" w:type="dxa"/>
            <w:tcBorders>
              <w:bottom w:val="single" w:sz="4" w:space="0" w:color="000000"/>
            </w:tcBorders>
            <w:shd w:val="clear" w:color="auto" w:fill="auto"/>
            <w:vAlign w:val="center"/>
          </w:tcPr>
          <w:p w14:paraId="1D28AAC2" w14:textId="77777777" w:rsidR="00277B70" w:rsidRDefault="00277B70" w:rsidP="00353DC3">
            <w:pPr>
              <w:spacing w:before="60" w:after="60"/>
              <w:jc w:val="center"/>
            </w:pPr>
            <w:r w:rsidRPr="00702E06">
              <w:t>25.0</w:t>
            </w:r>
          </w:p>
          <w:p w14:paraId="5AE6BDDD" w14:textId="53633C1D" w:rsidR="007758A9" w:rsidRPr="00702E06" w:rsidRDefault="007758A9" w:rsidP="00353DC3">
            <w:pPr>
              <w:spacing w:before="60" w:after="60"/>
              <w:jc w:val="center"/>
            </w:pPr>
          </w:p>
        </w:tc>
      </w:tr>
      <w:tr w:rsidR="00353DC3" w14:paraId="072C3D47" w14:textId="77777777" w:rsidTr="00434EB2">
        <w:tc>
          <w:tcPr>
            <w:tcW w:w="2001" w:type="dxa"/>
            <w:tcBorders>
              <w:right w:val="nil"/>
            </w:tcBorders>
            <w:shd w:val="clear" w:color="auto" w:fill="DAEEF3" w:themeFill="accent5" w:themeFillTint="33"/>
            <w:vAlign w:val="center"/>
          </w:tcPr>
          <w:p w14:paraId="12371263" w14:textId="5BBC9B49" w:rsidR="00353DC3" w:rsidRPr="00702E06" w:rsidRDefault="00353DC3" w:rsidP="00353DC3">
            <w:pPr>
              <w:spacing w:before="60" w:after="60"/>
              <w:jc w:val="left"/>
            </w:pPr>
            <w:r w:rsidRPr="00702E06">
              <w:t>Small MAC</w:t>
            </w:r>
          </w:p>
        </w:tc>
        <w:tc>
          <w:tcPr>
            <w:tcW w:w="990" w:type="dxa"/>
            <w:tcBorders>
              <w:left w:val="nil"/>
              <w:right w:val="nil"/>
            </w:tcBorders>
            <w:shd w:val="clear" w:color="auto" w:fill="DAEEF3" w:themeFill="accent5" w:themeFillTint="33"/>
            <w:vAlign w:val="center"/>
          </w:tcPr>
          <w:p w14:paraId="65C91430" w14:textId="77777777" w:rsidR="00353DC3" w:rsidRPr="00702E06" w:rsidRDefault="00353DC3" w:rsidP="00353DC3">
            <w:pPr>
              <w:spacing w:before="60" w:after="60"/>
              <w:jc w:val="center"/>
            </w:pPr>
          </w:p>
        </w:tc>
        <w:tc>
          <w:tcPr>
            <w:tcW w:w="989" w:type="dxa"/>
            <w:tcBorders>
              <w:left w:val="nil"/>
              <w:right w:val="nil"/>
            </w:tcBorders>
            <w:shd w:val="clear" w:color="auto" w:fill="DAEEF3" w:themeFill="accent5" w:themeFillTint="33"/>
            <w:vAlign w:val="center"/>
          </w:tcPr>
          <w:p w14:paraId="6E18666D" w14:textId="77777777" w:rsidR="00353DC3" w:rsidRPr="00702E06" w:rsidRDefault="00353DC3" w:rsidP="00353DC3">
            <w:pPr>
              <w:spacing w:before="60" w:after="60"/>
              <w:jc w:val="center"/>
            </w:pPr>
          </w:p>
        </w:tc>
        <w:tc>
          <w:tcPr>
            <w:tcW w:w="1001" w:type="dxa"/>
            <w:tcBorders>
              <w:left w:val="nil"/>
              <w:right w:val="nil"/>
            </w:tcBorders>
            <w:shd w:val="clear" w:color="auto" w:fill="DAEEF3" w:themeFill="accent5" w:themeFillTint="33"/>
            <w:vAlign w:val="center"/>
          </w:tcPr>
          <w:p w14:paraId="391E6081" w14:textId="77777777" w:rsidR="00353DC3" w:rsidRPr="00702E06" w:rsidRDefault="00353DC3" w:rsidP="00353DC3">
            <w:pPr>
              <w:spacing w:before="60" w:after="60"/>
              <w:jc w:val="center"/>
            </w:pPr>
          </w:p>
        </w:tc>
        <w:tc>
          <w:tcPr>
            <w:tcW w:w="948" w:type="dxa"/>
            <w:tcBorders>
              <w:left w:val="nil"/>
              <w:right w:val="nil"/>
            </w:tcBorders>
            <w:shd w:val="clear" w:color="auto" w:fill="DAEEF3" w:themeFill="accent5" w:themeFillTint="33"/>
            <w:vAlign w:val="center"/>
          </w:tcPr>
          <w:p w14:paraId="5D6906E9" w14:textId="77777777" w:rsidR="00353DC3" w:rsidRPr="00702E06" w:rsidRDefault="00353DC3" w:rsidP="00353DC3">
            <w:pPr>
              <w:spacing w:before="60" w:after="60"/>
              <w:jc w:val="center"/>
            </w:pPr>
          </w:p>
        </w:tc>
        <w:tc>
          <w:tcPr>
            <w:tcW w:w="1272" w:type="dxa"/>
            <w:tcBorders>
              <w:left w:val="nil"/>
              <w:right w:val="nil"/>
            </w:tcBorders>
            <w:shd w:val="clear" w:color="auto" w:fill="DAEEF3" w:themeFill="accent5" w:themeFillTint="33"/>
            <w:vAlign w:val="center"/>
          </w:tcPr>
          <w:p w14:paraId="213AEE84" w14:textId="77777777" w:rsidR="00353DC3" w:rsidRPr="00702E06" w:rsidRDefault="00353DC3" w:rsidP="00353DC3">
            <w:pPr>
              <w:spacing w:before="60" w:after="60"/>
              <w:jc w:val="center"/>
            </w:pPr>
          </w:p>
        </w:tc>
        <w:tc>
          <w:tcPr>
            <w:tcW w:w="1294" w:type="dxa"/>
            <w:tcBorders>
              <w:left w:val="nil"/>
              <w:right w:val="nil"/>
            </w:tcBorders>
            <w:shd w:val="clear" w:color="auto" w:fill="DAEEF3" w:themeFill="accent5" w:themeFillTint="33"/>
            <w:vAlign w:val="center"/>
          </w:tcPr>
          <w:p w14:paraId="6CDCF792" w14:textId="77777777" w:rsidR="00353DC3" w:rsidRPr="00702E06" w:rsidRDefault="00353DC3" w:rsidP="00353DC3">
            <w:pPr>
              <w:spacing w:before="60" w:after="60"/>
              <w:jc w:val="center"/>
            </w:pPr>
          </w:p>
        </w:tc>
        <w:tc>
          <w:tcPr>
            <w:tcW w:w="997" w:type="dxa"/>
            <w:tcBorders>
              <w:left w:val="nil"/>
            </w:tcBorders>
            <w:shd w:val="clear" w:color="auto" w:fill="DAEEF3" w:themeFill="accent5" w:themeFillTint="33"/>
            <w:vAlign w:val="center"/>
          </w:tcPr>
          <w:p w14:paraId="74129006" w14:textId="77777777" w:rsidR="00353DC3" w:rsidRPr="00702E06" w:rsidRDefault="00353DC3" w:rsidP="00353DC3">
            <w:pPr>
              <w:spacing w:before="60" w:after="60"/>
              <w:jc w:val="center"/>
            </w:pPr>
          </w:p>
        </w:tc>
      </w:tr>
      <w:tr w:rsidR="00353DC3" w14:paraId="5C0F7410" w14:textId="77777777" w:rsidTr="00434EB2">
        <w:tc>
          <w:tcPr>
            <w:tcW w:w="2001" w:type="dxa"/>
            <w:tcBorders>
              <w:bottom w:val="single" w:sz="4" w:space="0" w:color="000000"/>
            </w:tcBorders>
            <w:vAlign w:val="center"/>
          </w:tcPr>
          <w:p w14:paraId="47379373" w14:textId="15DCF26A" w:rsidR="00353DC3" w:rsidRPr="00702E06" w:rsidRDefault="00353DC3" w:rsidP="00353DC3">
            <w:pPr>
              <w:spacing w:before="60" w:after="60"/>
              <w:jc w:val="left"/>
            </w:pPr>
            <w:r w:rsidRPr="00702E06">
              <w:t>Passenger and LC Vehicle</w:t>
            </w:r>
          </w:p>
        </w:tc>
        <w:tc>
          <w:tcPr>
            <w:tcW w:w="990" w:type="dxa"/>
            <w:tcBorders>
              <w:bottom w:val="single" w:sz="4" w:space="0" w:color="000000"/>
            </w:tcBorders>
            <w:vAlign w:val="center"/>
          </w:tcPr>
          <w:p w14:paraId="3A2087A2" w14:textId="7129DF55" w:rsidR="00353DC3" w:rsidRPr="00702E06" w:rsidRDefault="00353DC3" w:rsidP="00353DC3">
            <w:pPr>
              <w:spacing w:before="60" w:after="60"/>
              <w:jc w:val="center"/>
            </w:pPr>
            <w:r w:rsidRPr="00702E06">
              <w:t>0.629</w:t>
            </w:r>
          </w:p>
        </w:tc>
        <w:tc>
          <w:tcPr>
            <w:tcW w:w="989" w:type="dxa"/>
            <w:tcBorders>
              <w:bottom w:val="single" w:sz="4" w:space="0" w:color="000000"/>
            </w:tcBorders>
            <w:vAlign w:val="center"/>
          </w:tcPr>
          <w:p w14:paraId="0D001810" w14:textId="59E15376" w:rsidR="00353DC3" w:rsidRPr="00702E06" w:rsidRDefault="00353DC3" w:rsidP="00353DC3">
            <w:pPr>
              <w:spacing w:before="60" w:after="60"/>
              <w:jc w:val="center"/>
            </w:pPr>
            <w:r w:rsidRPr="00702E06">
              <w:t>0.622</w:t>
            </w:r>
          </w:p>
        </w:tc>
        <w:tc>
          <w:tcPr>
            <w:tcW w:w="1001" w:type="dxa"/>
            <w:tcBorders>
              <w:bottom w:val="single" w:sz="4" w:space="0" w:color="000000"/>
            </w:tcBorders>
            <w:vAlign w:val="center"/>
          </w:tcPr>
          <w:p w14:paraId="57A7D8DB" w14:textId="28238C6A" w:rsidR="00353DC3" w:rsidRPr="00702E06" w:rsidRDefault="00BE7FB6" w:rsidP="00353DC3">
            <w:pPr>
              <w:spacing w:before="60" w:after="60"/>
              <w:jc w:val="center"/>
            </w:pPr>
            <w:r w:rsidRPr="00702E06">
              <w:t>67%</w:t>
            </w:r>
          </w:p>
        </w:tc>
        <w:tc>
          <w:tcPr>
            <w:tcW w:w="948" w:type="dxa"/>
            <w:tcBorders>
              <w:bottom w:val="single" w:sz="4" w:space="0" w:color="000000"/>
            </w:tcBorders>
            <w:vAlign w:val="center"/>
          </w:tcPr>
          <w:p w14:paraId="5D37287E" w14:textId="3E7ACE14" w:rsidR="00353DC3" w:rsidRPr="00702E06" w:rsidRDefault="00434EB2" w:rsidP="00353DC3">
            <w:pPr>
              <w:spacing w:before="60" w:after="60"/>
              <w:jc w:val="center"/>
            </w:pPr>
            <w:r w:rsidRPr="00702E06">
              <w:t>90%</w:t>
            </w:r>
          </w:p>
        </w:tc>
        <w:tc>
          <w:tcPr>
            <w:tcW w:w="1272" w:type="dxa"/>
            <w:tcBorders>
              <w:bottom w:val="single" w:sz="4" w:space="0" w:color="000000"/>
            </w:tcBorders>
            <w:vAlign w:val="center"/>
          </w:tcPr>
          <w:p w14:paraId="281948EF" w14:textId="05EA8DBF" w:rsidR="00353DC3" w:rsidRPr="00702E06" w:rsidRDefault="00353DC3" w:rsidP="00353DC3">
            <w:pPr>
              <w:spacing w:before="60" w:after="60"/>
              <w:jc w:val="center"/>
            </w:pPr>
            <w:r w:rsidRPr="00702E06">
              <w:t>4.8%</w:t>
            </w:r>
          </w:p>
        </w:tc>
        <w:tc>
          <w:tcPr>
            <w:tcW w:w="1294" w:type="dxa"/>
            <w:tcBorders>
              <w:bottom w:val="single" w:sz="4" w:space="0" w:color="000000"/>
            </w:tcBorders>
            <w:vAlign w:val="center"/>
          </w:tcPr>
          <w:p w14:paraId="6D0FC686" w14:textId="4CEF582E" w:rsidR="00353DC3" w:rsidRPr="00702E06" w:rsidRDefault="00FE5F27" w:rsidP="00353DC3">
            <w:pPr>
              <w:spacing w:before="60" w:after="60"/>
              <w:jc w:val="center"/>
            </w:pPr>
            <w:r w:rsidRPr="00702E06">
              <w:t>6.7%</w:t>
            </w:r>
          </w:p>
        </w:tc>
        <w:tc>
          <w:tcPr>
            <w:tcW w:w="997" w:type="dxa"/>
            <w:tcBorders>
              <w:bottom w:val="single" w:sz="4" w:space="0" w:color="000000"/>
            </w:tcBorders>
            <w:vAlign w:val="center"/>
          </w:tcPr>
          <w:p w14:paraId="113FEA62" w14:textId="31DF0507" w:rsidR="00353DC3" w:rsidRPr="00702E06" w:rsidRDefault="003E76DA" w:rsidP="00353DC3">
            <w:pPr>
              <w:spacing w:before="60" w:after="60"/>
              <w:jc w:val="center"/>
            </w:pPr>
            <w:r w:rsidRPr="00702E06">
              <w:t>18.6</w:t>
            </w:r>
          </w:p>
        </w:tc>
      </w:tr>
      <w:tr w:rsidR="00353DC3" w14:paraId="26D1AD1A" w14:textId="77777777" w:rsidTr="00434EB2">
        <w:tc>
          <w:tcPr>
            <w:tcW w:w="2001" w:type="dxa"/>
            <w:tcBorders>
              <w:right w:val="nil"/>
            </w:tcBorders>
            <w:shd w:val="clear" w:color="auto" w:fill="DAEEF3" w:themeFill="accent5" w:themeFillTint="33"/>
            <w:vAlign w:val="center"/>
          </w:tcPr>
          <w:p w14:paraId="15CDF9CC" w14:textId="6D9E1709" w:rsidR="00353DC3" w:rsidRPr="00702E06" w:rsidRDefault="00353DC3" w:rsidP="00353DC3">
            <w:pPr>
              <w:spacing w:before="60" w:after="60"/>
              <w:jc w:val="left"/>
            </w:pPr>
            <w:r w:rsidRPr="00702E06">
              <w:t>Large MAC</w:t>
            </w:r>
          </w:p>
        </w:tc>
        <w:tc>
          <w:tcPr>
            <w:tcW w:w="990" w:type="dxa"/>
            <w:tcBorders>
              <w:left w:val="nil"/>
              <w:right w:val="nil"/>
            </w:tcBorders>
            <w:shd w:val="clear" w:color="auto" w:fill="DAEEF3" w:themeFill="accent5" w:themeFillTint="33"/>
            <w:vAlign w:val="center"/>
          </w:tcPr>
          <w:p w14:paraId="19F4CAC6" w14:textId="77777777" w:rsidR="00353DC3" w:rsidRPr="00702E06" w:rsidRDefault="00353DC3" w:rsidP="00353DC3">
            <w:pPr>
              <w:spacing w:before="60" w:after="60"/>
              <w:jc w:val="center"/>
            </w:pPr>
          </w:p>
        </w:tc>
        <w:tc>
          <w:tcPr>
            <w:tcW w:w="989" w:type="dxa"/>
            <w:tcBorders>
              <w:left w:val="nil"/>
              <w:right w:val="nil"/>
            </w:tcBorders>
            <w:shd w:val="clear" w:color="auto" w:fill="DAEEF3" w:themeFill="accent5" w:themeFillTint="33"/>
            <w:vAlign w:val="center"/>
          </w:tcPr>
          <w:p w14:paraId="5F13C23A" w14:textId="77777777" w:rsidR="00353DC3" w:rsidRPr="00702E06" w:rsidRDefault="00353DC3" w:rsidP="00353DC3">
            <w:pPr>
              <w:spacing w:before="60" w:after="60"/>
              <w:jc w:val="center"/>
            </w:pPr>
          </w:p>
        </w:tc>
        <w:tc>
          <w:tcPr>
            <w:tcW w:w="1001" w:type="dxa"/>
            <w:tcBorders>
              <w:left w:val="nil"/>
              <w:right w:val="nil"/>
            </w:tcBorders>
            <w:shd w:val="clear" w:color="auto" w:fill="DAEEF3" w:themeFill="accent5" w:themeFillTint="33"/>
            <w:vAlign w:val="center"/>
          </w:tcPr>
          <w:p w14:paraId="140F2309" w14:textId="77777777" w:rsidR="00353DC3" w:rsidRPr="00702E06" w:rsidRDefault="00353DC3" w:rsidP="00353DC3">
            <w:pPr>
              <w:spacing w:before="60" w:after="60"/>
              <w:jc w:val="center"/>
            </w:pPr>
          </w:p>
        </w:tc>
        <w:tc>
          <w:tcPr>
            <w:tcW w:w="948" w:type="dxa"/>
            <w:tcBorders>
              <w:left w:val="nil"/>
              <w:right w:val="nil"/>
            </w:tcBorders>
            <w:shd w:val="clear" w:color="auto" w:fill="DAEEF3" w:themeFill="accent5" w:themeFillTint="33"/>
            <w:vAlign w:val="center"/>
          </w:tcPr>
          <w:p w14:paraId="23BFBC54" w14:textId="77777777" w:rsidR="00353DC3" w:rsidRPr="00702E06" w:rsidRDefault="00353DC3" w:rsidP="00353DC3">
            <w:pPr>
              <w:spacing w:before="60" w:after="60"/>
              <w:jc w:val="center"/>
            </w:pPr>
          </w:p>
        </w:tc>
        <w:tc>
          <w:tcPr>
            <w:tcW w:w="1272" w:type="dxa"/>
            <w:tcBorders>
              <w:left w:val="nil"/>
              <w:right w:val="nil"/>
            </w:tcBorders>
            <w:shd w:val="clear" w:color="auto" w:fill="DAEEF3" w:themeFill="accent5" w:themeFillTint="33"/>
            <w:vAlign w:val="center"/>
          </w:tcPr>
          <w:p w14:paraId="0DA8B4DD" w14:textId="77777777" w:rsidR="00353DC3" w:rsidRPr="00702E06" w:rsidRDefault="00353DC3" w:rsidP="00353DC3">
            <w:pPr>
              <w:spacing w:before="60" w:after="60"/>
              <w:jc w:val="center"/>
            </w:pPr>
          </w:p>
        </w:tc>
        <w:tc>
          <w:tcPr>
            <w:tcW w:w="1294" w:type="dxa"/>
            <w:tcBorders>
              <w:left w:val="nil"/>
              <w:right w:val="nil"/>
            </w:tcBorders>
            <w:shd w:val="clear" w:color="auto" w:fill="DAEEF3" w:themeFill="accent5" w:themeFillTint="33"/>
            <w:vAlign w:val="center"/>
          </w:tcPr>
          <w:p w14:paraId="1C2F4DAA" w14:textId="77777777" w:rsidR="00353DC3" w:rsidRPr="00702E06" w:rsidRDefault="00353DC3" w:rsidP="00353DC3">
            <w:pPr>
              <w:spacing w:before="60" w:after="60"/>
              <w:jc w:val="center"/>
            </w:pPr>
          </w:p>
        </w:tc>
        <w:tc>
          <w:tcPr>
            <w:tcW w:w="997" w:type="dxa"/>
            <w:tcBorders>
              <w:left w:val="nil"/>
            </w:tcBorders>
            <w:shd w:val="clear" w:color="auto" w:fill="DAEEF3" w:themeFill="accent5" w:themeFillTint="33"/>
            <w:vAlign w:val="center"/>
          </w:tcPr>
          <w:p w14:paraId="5DC34241" w14:textId="77777777" w:rsidR="00353DC3" w:rsidRPr="00702E06" w:rsidRDefault="00353DC3" w:rsidP="00353DC3">
            <w:pPr>
              <w:spacing w:before="60" w:after="60"/>
              <w:jc w:val="center"/>
            </w:pPr>
          </w:p>
        </w:tc>
      </w:tr>
      <w:tr w:rsidR="00FE5F27" w14:paraId="6EE945F1" w14:textId="77777777" w:rsidTr="00C4192D">
        <w:tc>
          <w:tcPr>
            <w:tcW w:w="2001" w:type="dxa"/>
            <w:vAlign w:val="bottom"/>
          </w:tcPr>
          <w:p w14:paraId="54EA9117" w14:textId="503BB083" w:rsidR="00FE5F27" w:rsidRPr="00702E06" w:rsidRDefault="00FE5F27" w:rsidP="00353DC3">
            <w:pPr>
              <w:spacing w:before="60" w:after="60"/>
              <w:jc w:val="left"/>
            </w:pPr>
            <w:r w:rsidRPr="00702E06">
              <w:rPr>
                <w:color w:val="000000"/>
              </w:rPr>
              <w:t>Registered buses (&gt;12 GMT)</w:t>
            </w:r>
          </w:p>
        </w:tc>
        <w:tc>
          <w:tcPr>
            <w:tcW w:w="990" w:type="dxa"/>
            <w:vAlign w:val="center"/>
          </w:tcPr>
          <w:p w14:paraId="45CD069B" w14:textId="377B0B33" w:rsidR="00FE5F27" w:rsidRPr="00702E06" w:rsidRDefault="00FE5F27" w:rsidP="00353DC3">
            <w:pPr>
              <w:spacing w:before="60" w:after="60"/>
              <w:jc w:val="center"/>
            </w:pPr>
            <w:r w:rsidRPr="00702E06">
              <w:t>9.0</w:t>
            </w:r>
          </w:p>
        </w:tc>
        <w:tc>
          <w:tcPr>
            <w:tcW w:w="989" w:type="dxa"/>
            <w:vAlign w:val="center"/>
          </w:tcPr>
          <w:p w14:paraId="65834DAF" w14:textId="661F9D02" w:rsidR="00FE5F27" w:rsidRPr="00702E06" w:rsidRDefault="00FE5F27" w:rsidP="00353DC3">
            <w:pPr>
              <w:spacing w:before="60" w:after="60"/>
              <w:jc w:val="center"/>
            </w:pPr>
            <w:r w:rsidRPr="00702E06">
              <w:t>5.5</w:t>
            </w:r>
          </w:p>
        </w:tc>
        <w:tc>
          <w:tcPr>
            <w:tcW w:w="1001" w:type="dxa"/>
            <w:vMerge w:val="restart"/>
            <w:vAlign w:val="center"/>
          </w:tcPr>
          <w:p w14:paraId="7948298F" w14:textId="60DAAA3A" w:rsidR="00FE5F27" w:rsidRPr="00702E06" w:rsidRDefault="00FE5F27" w:rsidP="00353DC3">
            <w:pPr>
              <w:spacing w:before="60" w:after="60"/>
              <w:jc w:val="center"/>
            </w:pPr>
            <w:r w:rsidRPr="00702E06">
              <w:t xml:space="preserve">80% </w:t>
            </w:r>
            <w:r w:rsidRPr="00702E06">
              <w:rPr>
                <w:vertAlign w:val="superscript"/>
              </w:rPr>
              <w:t>(3)</w:t>
            </w:r>
          </w:p>
        </w:tc>
        <w:tc>
          <w:tcPr>
            <w:tcW w:w="948" w:type="dxa"/>
            <w:vMerge w:val="restart"/>
            <w:vAlign w:val="center"/>
          </w:tcPr>
          <w:p w14:paraId="606F3DDF" w14:textId="7CCC8F92" w:rsidR="00FE5F27" w:rsidRPr="00702E06" w:rsidRDefault="00FE5F27" w:rsidP="00353DC3">
            <w:pPr>
              <w:spacing w:before="60" w:after="60"/>
              <w:jc w:val="center"/>
            </w:pPr>
            <w:r w:rsidRPr="00702E06">
              <w:t>90%</w:t>
            </w:r>
          </w:p>
        </w:tc>
        <w:tc>
          <w:tcPr>
            <w:tcW w:w="1272" w:type="dxa"/>
            <w:vAlign w:val="center"/>
          </w:tcPr>
          <w:p w14:paraId="26A575A5" w14:textId="4D22EA37" w:rsidR="00FE5F27" w:rsidRPr="00702E06" w:rsidRDefault="00FE5F27" w:rsidP="00353DC3">
            <w:pPr>
              <w:spacing w:before="60" w:after="60"/>
              <w:jc w:val="center"/>
            </w:pPr>
            <w:r w:rsidRPr="00702E06">
              <w:t>9.8%</w:t>
            </w:r>
          </w:p>
        </w:tc>
        <w:tc>
          <w:tcPr>
            <w:tcW w:w="1294" w:type="dxa"/>
            <w:vMerge w:val="restart"/>
            <w:vAlign w:val="center"/>
          </w:tcPr>
          <w:p w14:paraId="349F086B" w14:textId="04F877B5" w:rsidR="00FE5F27" w:rsidRPr="00702E06" w:rsidRDefault="00FE5F27" w:rsidP="00353DC3">
            <w:pPr>
              <w:spacing w:before="60" w:after="60"/>
              <w:jc w:val="center"/>
            </w:pPr>
            <w:r w:rsidRPr="00702E06">
              <w:t>10</w:t>
            </w:r>
            <w:r w:rsidR="00277B70" w:rsidRPr="00702E06">
              <w:t>.8%</w:t>
            </w:r>
          </w:p>
        </w:tc>
        <w:tc>
          <w:tcPr>
            <w:tcW w:w="997" w:type="dxa"/>
            <w:vAlign w:val="center"/>
          </w:tcPr>
          <w:p w14:paraId="5412C3AA" w14:textId="58106491" w:rsidR="00FE5F27" w:rsidRPr="00702E06" w:rsidRDefault="00FE5F27" w:rsidP="00353DC3">
            <w:pPr>
              <w:spacing w:before="60" w:after="60"/>
              <w:jc w:val="center"/>
            </w:pPr>
            <w:r w:rsidRPr="00702E06">
              <w:t>20.0</w:t>
            </w:r>
          </w:p>
        </w:tc>
      </w:tr>
      <w:tr w:rsidR="00FE5F27" w14:paraId="75F659A2" w14:textId="77777777" w:rsidTr="00C4192D">
        <w:tc>
          <w:tcPr>
            <w:tcW w:w="2001" w:type="dxa"/>
            <w:vAlign w:val="bottom"/>
          </w:tcPr>
          <w:p w14:paraId="3914914E" w14:textId="1CEF81AF" w:rsidR="00FE5F27" w:rsidRPr="00702E06" w:rsidRDefault="00FE5F27" w:rsidP="00353DC3">
            <w:pPr>
              <w:spacing w:before="60" w:after="60"/>
              <w:jc w:val="left"/>
            </w:pPr>
            <w:r w:rsidRPr="00702E06">
              <w:rPr>
                <w:color w:val="000000"/>
              </w:rPr>
              <w:t>Registered buses (&gt;4.5 &amp; &lt;12 GMT)</w:t>
            </w:r>
          </w:p>
        </w:tc>
        <w:tc>
          <w:tcPr>
            <w:tcW w:w="990" w:type="dxa"/>
            <w:vAlign w:val="center"/>
          </w:tcPr>
          <w:p w14:paraId="65174077" w14:textId="1957FE53" w:rsidR="00FE5F27" w:rsidRPr="00702E06" w:rsidRDefault="00FE5F27" w:rsidP="00353DC3">
            <w:pPr>
              <w:spacing w:before="60" w:after="60"/>
              <w:jc w:val="center"/>
            </w:pPr>
            <w:r w:rsidRPr="00702E06">
              <w:t>4.0</w:t>
            </w:r>
          </w:p>
        </w:tc>
        <w:tc>
          <w:tcPr>
            <w:tcW w:w="989" w:type="dxa"/>
            <w:vAlign w:val="center"/>
          </w:tcPr>
          <w:p w14:paraId="4810FAFC" w14:textId="3DFAAE36" w:rsidR="00FE5F27" w:rsidRPr="00702E06" w:rsidRDefault="00FE5F27" w:rsidP="00353DC3">
            <w:pPr>
              <w:spacing w:before="60" w:after="60"/>
              <w:jc w:val="center"/>
            </w:pPr>
            <w:r w:rsidRPr="00702E06">
              <w:t>3.0</w:t>
            </w:r>
          </w:p>
        </w:tc>
        <w:tc>
          <w:tcPr>
            <w:tcW w:w="1001" w:type="dxa"/>
            <w:vMerge/>
            <w:vAlign w:val="center"/>
          </w:tcPr>
          <w:p w14:paraId="4E7962A6" w14:textId="77777777" w:rsidR="00FE5F27" w:rsidRPr="00702E06" w:rsidRDefault="00FE5F27" w:rsidP="00353DC3">
            <w:pPr>
              <w:spacing w:before="60" w:after="60"/>
              <w:jc w:val="center"/>
            </w:pPr>
          </w:p>
        </w:tc>
        <w:tc>
          <w:tcPr>
            <w:tcW w:w="948" w:type="dxa"/>
            <w:vMerge/>
            <w:vAlign w:val="center"/>
          </w:tcPr>
          <w:p w14:paraId="21CA50A0" w14:textId="77777777" w:rsidR="00FE5F27" w:rsidRPr="00702E06" w:rsidRDefault="00FE5F27" w:rsidP="00353DC3">
            <w:pPr>
              <w:spacing w:before="60" w:after="60"/>
              <w:jc w:val="center"/>
            </w:pPr>
          </w:p>
        </w:tc>
        <w:tc>
          <w:tcPr>
            <w:tcW w:w="1272" w:type="dxa"/>
            <w:vAlign w:val="center"/>
          </w:tcPr>
          <w:p w14:paraId="6983C730" w14:textId="01D86E8A" w:rsidR="00FE5F27" w:rsidRPr="00702E06" w:rsidRDefault="00FE5F27" w:rsidP="00353DC3">
            <w:pPr>
              <w:spacing w:before="60" w:after="60"/>
              <w:jc w:val="center"/>
            </w:pPr>
            <w:r w:rsidRPr="00702E06">
              <w:t>9.8%</w:t>
            </w:r>
          </w:p>
        </w:tc>
        <w:tc>
          <w:tcPr>
            <w:tcW w:w="1294" w:type="dxa"/>
            <w:vMerge/>
            <w:vAlign w:val="center"/>
          </w:tcPr>
          <w:p w14:paraId="7F7D7E0F" w14:textId="77777777" w:rsidR="00FE5F27" w:rsidRPr="00702E06" w:rsidRDefault="00FE5F27" w:rsidP="00353DC3">
            <w:pPr>
              <w:spacing w:before="60" w:after="60"/>
              <w:jc w:val="center"/>
            </w:pPr>
          </w:p>
        </w:tc>
        <w:tc>
          <w:tcPr>
            <w:tcW w:w="997" w:type="dxa"/>
            <w:vAlign w:val="center"/>
          </w:tcPr>
          <w:p w14:paraId="0C5A0ECC" w14:textId="38EF2428" w:rsidR="00FE5F27" w:rsidRPr="00702E06" w:rsidRDefault="00FE5F27" w:rsidP="00353DC3">
            <w:pPr>
              <w:spacing w:before="60" w:after="60"/>
              <w:jc w:val="center"/>
            </w:pPr>
            <w:r w:rsidRPr="00702E06">
              <w:t>20.0</w:t>
            </w:r>
          </w:p>
        </w:tc>
      </w:tr>
      <w:tr w:rsidR="00FE5F27" w14:paraId="02A73F73" w14:textId="77777777" w:rsidTr="00C4192D">
        <w:tc>
          <w:tcPr>
            <w:tcW w:w="2001" w:type="dxa"/>
            <w:vAlign w:val="bottom"/>
          </w:tcPr>
          <w:p w14:paraId="48695CC8" w14:textId="2B4EE639" w:rsidR="00FE5F27" w:rsidRPr="00702E06" w:rsidRDefault="00FE5F27" w:rsidP="00353DC3">
            <w:pPr>
              <w:spacing w:before="60" w:after="60"/>
              <w:jc w:val="left"/>
            </w:pPr>
            <w:r w:rsidRPr="00702E06">
              <w:rPr>
                <w:color w:val="000000"/>
              </w:rPr>
              <w:t>Un-registered: passenger rail</w:t>
            </w:r>
          </w:p>
        </w:tc>
        <w:tc>
          <w:tcPr>
            <w:tcW w:w="990" w:type="dxa"/>
            <w:vAlign w:val="center"/>
          </w:tcPr>
          <w:p w14:paraId="0D194A90" w14:textId="303375CA" w:rsidR="00FE5F27" w:rsidRPr="00702E06" w:rsidRDefault="00FE5F27" w:rsidP="00353DC3">
            <w:pPr>
              <w:spacing w:before="60" w:after="60"/>
              <w:jc w:val="center"/>
            </w:pPr>
            <w:r w:rsidRPr="00702E06">
              <w:t>15.0</w:t>
            </w:r>
          </w:p>
        </w:tc>
        <w:tc>
          <w:tcPr>
            <w:tcW w:w="989" w:type="dxa"/>
            <w:vAlign w:val="center"/>
          </w:tcPr>
          <w:p w14:paraId="1E4E2AFD" w14:textId="18B44C76" w:rsidR="00FE5F27" w:rsidRPr="00702E06" w:rsidRDefault="00FE5F27" w:rsidP="00353DC3">
            <w:pPr>
              <w:spacing w:before="60" w:after="60"/>
              <w:jc w:val="center"/>
            </w:pPr>
            <w:r w:rsidRPr="00702E06">
              <w:t>15.0</w:t>
            </w:r>
          </w:p>
        </w:tc>
        <w:tc>
          <w:tcPr>
            <w:tcW w:w="1001" w:type="dxa"/>
            <w:vMerge/>
            <w:vAlign w:val="center"/>
          </w:tcPr>
          <w:p w14:paraId="37D3F9FC" w14:textId="77777777" w:rsidR="00FE5F27" w:rsidRPr="00702E06" w:rsidRDefault="00FE5F27" w:rsidP="00353DC3">
            <w:pPr>
              <w:spacing w:before="60" w:after="60"/>
              <w:jc w:val="center"/>
            </w:pPr>
          </w:p>
        </w:tc>
        <w:tc>
          <w:tcPr>
            <w:tcW w:w="948" w:type="dxa"/>
            <w:vMerge/>
            <w:vAlign w:val="center"/>
          </w:tcPr>
          <w:p w14:paraId="5A2A1CBA" w14:textId="77777777" w:rsidR="00FE5F27" w:rsidRPr="00702E06" w:rsidRDefault="00FE5F27" w:rsidP="00353DC3">
            <w:pPr>
              <w:spacing w:before="60" w:after="60"/>
              <w:jc w:val="center"/>
            </w:pPr>
          </w:p>
        </w:tc>
        <w:tc>
          <w:tcPr>
            <w:tcW w:w="1272" w:type="dxa"/>
            <w:vAlign w:val="center"/>
          </w:tcPr>
          <w:p w14:paraId="1C9CDFCB" w14:textId="671564DE" w:rsidR="00FE5F27" w:rsidRPr="00702E06" w:rsidRDefault="00FE5F27" w:rsidP="00353DC3">
            <w:pPr>
              <w:spacing w:before="60" w:after="60"/>
              <w:jc w:val="center"/>
            </w:pPr>
            <w:r w:rsidRPr="00702E06">
              <w:t>9.8%</w:t>
            </w:r>
          </w:p>
        </w:tc>
        <w:tc>
          <w:tcPr>
            <w:tcW w:w="1294" w:type="dxa"/>
            <w:vMerge/>
            <w:vAlign w:val="center"/>
          </w:tcPr>
          <w:p w14:paraId="49422884" w14:textId="77777777" w:rsidR="00FE5F27" w:rsidRPr="00702E06" w:rsidRDefault="00FE5F27" w:rsidP="00353DC3">
            <w:pPr>
              <w:spacing w:before="60" w:after="60"/>
              <w:jc w:val="center"/>
            </w:pPr>
          </w:p>
        </w:tc>
        <w:tc>
          <w:tcPr>
            <w:tcW w:w="997" w:type="dxa"/>
            <w:vAlign w:val="center"/>
          </w:tcPr>
          <w:p w14:paraId="0A192B85" w14:textId="72CB2817" w:rsidR="00FE5F27" w:rsidRPr="00702E06" w:rsidRDefault="00FE5F27" w:rsidP="00353DC3">
            <w:pPr>
              <w:spacing w:before="60" w:after="60"/>
              <w:jc w:val="center"/>
            </w:pPr>
            <w:r w:rsidRPr="00702E06">
              <w:t>30.0</w:t>
            </w:r>
          </w:p>
        </w:tc>
      </w:tr>
      <w:tr w:rsidR="00FE5F27" w14:paraId="0B082FD6" w14:textId="77777777" w:rsidTr="00C4192D">
        <w:tc>
          <w:tcPr>
            <w:tcW w:w="2001" w:type="dxa"/>
            <w:vAlign w:val="bottom"/>
          </w:tcPr>
          <w:p w14:paraId="062D320E" w14:textId="0CE2F5C5" w:rsidR="00FE5F27" w:rsidRPr="00702E06" w:rsidRDefault="00FE5F27" w:rsidP="00353DC3">
            <w:pPr>
              <w:spacing w:before="60" w:after="60"/>
              <w:jc w:val="left"/>
            </w:pPr>
            <w:r w:rsidRPr="00702E06">
              <w:rPr>
                <w:color w:val="000000"/>
              </w:rPr>
              <w:t>Un-registered: Locomotive</w:t>
            </w:r>
          </w:p>
        </w:tc>
        <w:tc>
          <w:tcPr>
            <w:tcW w:w="990" w:type="dxa"/>
            <w:vAlign w:val="center"/>
          </w:tcPr>
          <w:p w14:paraId="0EE5EE2C" w14:textId="27EA3B7B" w:rsidR="00FE5F27" w:rsidRPr="00702E06" w:rsidRDefault="00FE5F27" w:rsidP="00353DC3">
            <w:pPr>
              <w:spacing w:before="60" w:after="60"/>
              <w:jc w:val="center"/>
            </w:pPr>
            <w:r w:rsidRPr="00702E06">
              <w:t>4.0</w:t>
            </w:r>
          </w:p>
        </w:tc>
        <w:tc>
          <w:tcPr>
            <w:tcW w:w="989" w:type="dxa"/>
            <w:vAlign w:val="center"/>
          </w:tcPr>
          <w:p w14:paraId="25EED279" w14:textId="41204F9D" w:rsidR="00FE5F27" w:rsidRPr="00702E06" w:rsidRDefault="00FE5F27" w:rsidP="00353DC3">
            <w:pPr>
              <w:spacing w:before="60" w:after="60"/>
              <w:jc w:val="center"/>
            </w:pPr>
            <w:r w:rsidRPr="00702E06">
              <w:t>4.0</w:t>
            </w:r>
          </w:p>
        </w:tc>
        <w:tc>
          <w:tcPr>
            <w:tcW w:w="1001" w:type="dxa"/>
            <w:vMerge/>
            <w:vAlign w:val="center"/>
          </w:tcPr>
          <w:p w14:paraId="560D202E" w14:textId="77777777" w:rsidR="00FE5F27" w:rsidRPr="00702E06" w:rsidRDefault="00FE5F27" w:rsidP="00353DC3">
            <w:pPr>
              <w:spacing w:before="60" w:after="60"/>
              <w:jc w:val="center"/>
            </w:pPr>
          </w:p>
        </w:tc>
        <w:tc>
          <w:tcPr>
            <w:tcW w:w="948" w:type="dxa"/>
            <w:vMerge/>
            <w:vAlign w:val="center"/>
          </w:tcPr>
          <w:p w14:paraId="509875B4" w14:textId="77777777" w:rsidR="00FE5F27" w:rsidRPr="00702E06" w:rsidRDefault="00FE5F27" w:rsidP="00353DC3">
            <w:pPr>
              <w:spacing w:before="60" w:after="60"/>
              <w:jc w:val="center"/>
            </w:pPr>
          </w:p>
        </w:tc>
        <w:tc>
          <w:tcPr>
            <w:tcW w:w="1272" w:type="dxa"/>
            <w:vAlign w:val="center"/>
          </w:tcPr>
          <w:p w14:paraId="03E850F0" w14:textId="3ACB9675" w:rsidR="00FE5F27" w:rsidRPr="00702E06" w:rsidRDefault="00FE5F27" w:rsidP="00353DC3">
            <w:pPr>
              <w:spacing w:before="60" w:after="60"/>
              <w:jc w:val="center"/>
            </w:pPr>
            <w:r w:rsidRPr="00702E06">
              <w:t>9.8%</w:t>
            </w:r>
          </w:p>
        </w:tc>
        <w:tc>
          <w:tcPr>
            <w:tcW w:w="1294" w:type="dxa"/>
            <w:vMerge/>
            <w:vAlign w:val="center"/>
          </w:tcPr>
          <w:p w14:paraId="0275B2CD" w14:textId="77777777" w:rsidR="00FE5F27" w:rsidRPr="00702E06" w:rsidRDefault="00FE5F27" w:rsidP="00353DC3">
            <w:pPr>
              <w:spacing w:before="60" w:after="60"/>
              <w:jc w:val="center"/>
            </w:pPr>
          </w:p>
        </w:tc>
        <w:tc>
          <w:tcPr>
            <w:tcW w:w="997" w:type="dxa"/>
            <w:vAlign w:val="center"/>
          </w:tcPr>
          <w:p w14:paraId="78590B01" w14:textId="0549CD67" w:rsidR="00FE5F27" w:rsidRPr="00702E06" w:rsidRDefault="00FE5F27" w:rsidP="00353DC3">
            <w:pPr>
              <w:spacing w:before="60" w:after="60"/>
              <w:jc w:val="center"/>
            </w:pPr>
            <w:r w:rsidRPr="00702E06">
              <w:t>30.0</w:t>
            </w:r>
          </w:p>
        </w:tc>
      </w:tr>
      <w:tr w:rsidR="00FE5F27" w14:paraId="7E16DAF4" w14:textId="77777777" w:rsidTr="00835529">
        <w:tc>
          <w:tcPr>
            <w:tcW w:w="2001" w:type="dxa"/>
            <w:tcBorders>
              <w:bottom w:val="single" w:sz="4" w:space="0" w:color="000000"/>
            </w:tcBorders>
            <w:vAlign w:val="bottom"/>
          </w:tcPr>
          <w:p w14:paraId="64E2B26B" w14:textId="6536EBD1" w:rsidR="00FE5F27" w:rsidRPr="00702E06" w:rsidRDefault="00FE5F27" w:rsidP="00BE7FB6">
            <w:pPr>
              <w:spacing w:before="60" w:after="60"/>
              <w:jc w:val="left"/>
              <w:rPr>
                <w:color w:val="000000"/>
              </w:rPr>
            </w:pPr>
            <w:r w:rsidRPr="00702E06">
              <w:rPr>
                <w:color w:val="000000"/>
              </w:rPr>
              <w:t>RV and caravan</w:t>
            </w:r>
          </w:p>
        </w:tc>
        <w:tc>
          <w:tcPr>
            <w:tcW w:w="990" w:type="dxa"/>
            <w:tcBorders>
              <w:bottom w:val="single" w:sz="4" w:space="0" w:color="000000"/>
            </w:tcBorders>
            <w:vAlign w:val="center"/>
          </w:tcPr>
          <w:p w14:paraId="67E397CC" w14:textId="070192C9" w:rsidR="00FE5F27" w:rsidRPr="00702E06" w:rsidRDefault="00FE5F27" w:rsidP="00BE7FB6">
            <w:pPr>
              <w:spacing w:before="60" w:after="60"/>
              <w:jc w:val="center"/>
            </w:pPr>
            <w:r w:rsidRPr="00702E06">
              <w:t>0.75</w:t>
            </w:r>
          </w:p>
        </w:tc>
        <w:tc>
          <w:tcPr>
            <w:tcW w:w="989" w:type="dxa"/>
            <w:tcBorders>
              <w:bottom w:val="single" w:sz="4" w:space="0" w:color="000000"/>
            </w:tcBorders>
            <w:vAlign w:val="center"/>
          </w:tcPr>
          <w:p w14:paraId="214360A7" w14:textId="6268E509" w:rsidR="00FE5F27" w:rsidRPr="00702E06" w:rsidRDefault="00FE5F27" w:rsidP="00BE7FB6">
            <w:pPr>
              <w:spacing w:before="60" w:after="60"/>
              <w:jc w:val="center"/>
            </w:pPr>
            <w:r w:rsidRPr="00702E06">
              <w:t>0.75</w:t>
            </w:r>
          </w:p>
        </w:tc>
        <w:tc>
          <w:tcPr>
            <w:tcW w:w="1001" w:type="dxa"/>
            <w:tcBorders>
              <w:bottom w:val="single" w:sz="4" w:space="0" w:color="000000"/>
            </w:tcBorders>
            <w:vAlign w:val="center"/>
          </w:tcPr>
          <w:p w14:paraId="30DF9D97" w14:textId="046AD48A" w:rsidR="00FE5F27" w:rsidRPr="00702E06" w:rsidRDefault="00FE5F27" w:rsidP="00BE7FB6">
            <w:pPr>
              <w:spacing w:before="60" w:after="60"/>
              <w:jc w:val="center"/>
            </w:pPr>
            <w:r w:rsidRPr="00702E06">
              <w:t>85%</w:t>
            </w:r>
          </w:p>
        </w:tc>
        <w:tc>
          <w:tcPr>
            <w:tcW w:w="948" w:type="dxa"/>
            <w:vMerge/>
            <w:vAlign w:val="center"/>
          </w:tcPr>
          <w:p w14:paraId="0DAD892B" w14:textId="77777777" w:rsidR="00FE5F27" w:rsidRPr="00702E06" w:rsidRDefault="00FE5F27" w:rsidP="00BE7FB6">
            <w:pPr>
              <w:spacing w:before="60" w:after="60"/>
              <w:jc w:val="center"/>
            </w:pPr>
          </w:p>
        </w:tc>
        <w:tc>
          <w:tcPr>
            <w:tcW w:w="1272" w:type="dxa"/>
            <w:tcBorders>
              <w:bottom w:val="single" w:sz="4" w:space="0" w:color="000000"/>
            </w:tcBorders>
            <w:vAlign w:val="center"/>
          </w:tcPr>
          <w:p w14:paraId="5573EBE5" w14:textId="1E0F9720" w:rsidR="00FE5F27" w:rsidRPr="00702E06" w:rsidRDefault="00FE5F27" w:rsidP="00BE7FB6">
            <w:pPr>
              <w:spacing w:before="60" w:after="60"/>
              <w:jc w:val="center"/>
            </w:pPr>
            <w:r w:rsidRPr="00702E06">
              <w:t>2.0%</w:t>
            </w:r>
          </w:p>
        </w:tc>
        <w:tc>
          <w:tcPr>
            <w:tcW w:w="1294" w:type="dxa"/>
            <w:vMerge/>
            <w:vAlign w:val="center"/>
          </w:tcPr>
          <w:p w14:paraId="5B2D8FA6" w14:textId="77777777" w:rsidR="00FE5F27" w:rsidRPr="00702E06" w:rsidRDefault="00FE5F27" w:rsidP="00BE7FB6">
            <w:pPr>
              <w:spacing w:before="60" w:after="60"/>
              <w:jc w:val="center"/>
            </w:pPr>
          </w:p>
        </w:tc>
        <w:tc>
          <w:tcPr>
            <w:tcW w:w="997" w:type="dxa"/>
            <w:tcBorders>
              <w:bottom w:val="single" w:sz="4" w:space="0" w:color="000000"/>
            </w:tcBorders>
            <w:vAlign w:val="center"/>
          </w:tcPr>
          <w:p w14:paraId="7DECBCE0" w14:textId="1B0240E2" w:rsidR="00FE5F27" w:rsidRPr="00702E06" w:rsidRDefault="00FE5F27" w:rsidP="00BE7FB6">
            <w:pPr>
              <w:spacing w:before="60" w:after="60"/>
              <w:jc w:val="center"/>
            </w:pPr>
            <w:r w:rsidRPr="00702E06">
              <w:t>15.0</w:t>
            </w:r>
          </w:p>
        </w:tc>
      </w:tr>
      <w:tr w:rsidR="00FE5F27" w14:paraId="2C80DE72" w14:textId="77777777" w:rsidTr="00835529">
        <w:tc>
          <w:tcPr>
            <w:tcW w:w="2001" w:type="dxa"/>
            <w:tcBorders>
              <w:bottom w:val="single" w:sz="4" w:space="0" w:color="000000"/>
            </w:tcBorders>
            <w:vAlign w:val="bottom"/>
          </w:tcPr>
          <w:p w14:paraId="1FA38F2A" w14:textId="5090AA8B" w:rsidR="00FE5F27" w:rsidRPr="00702E06" w:rsidRDefault="00FE5F27" w:rsidP="00BE7FB6">
            <w:pPr>
              <w:spacing w:before="60" w:after="60"/>
              <w:jc w:val="left"/>
              <w:rPr>
                <w:color w:val="000000"/>
              </w:rPr>
            </w:pPr>
            <w:r w:rsidRPr="00702E06">
              <w:rPr>
                <w:color w:val="000000"/>
              </w:rPr>
              <w:t>Un-registered: off-road, defence and other (boat, etc.)</w:t>
            </w:r>
          </w:p>
        </w:tc>
        <w:tc>
          <w:tcPr>
            <w:tcW w:w="990" w:type="dxa"/>
            <w:tcBorders>
              <w:bottom w:val="single" w:sz="4" w:space="0" w:color="000000"/>
            </w:tcBorders>
            <w:vAlign w:val="center"/>
          </w:tcPr>
          <w:p w14:paraId="60B7F8ED" w14:textId="2622F741" w:rsidR="00FE5F27" w:rsidRPr="00702E06" w:rsidRDefault="00FE5F27" w:rsidP="00BE7FB6">
            <w:pPr>
              <w:spacing w:before="60" w:after="60"/>
              <w:jc w:val="center"/>
            </w:pPr>
            <w:r w:rsidRPr="00702E06">
              <w:t>2.75</w:t>
            </w:r>
          </w:p>
        </w:tc>
        <w:tc>
          <w:tcPr>
            <w:tcW w:w="989" w:type="dxa"/>
            <w:tcBorders>
              <w:bottom w:val="single" w:sz="4" w:space="0" w:color="000000"/>
            </w:tcBorders>
            <w:vAlign w:val="center"/>
          </w:tcPr>
          <w:p w14:paraId="0CD57E8F" w14:textId="55A7E00A" w:rsidR="00FE5F27" w:rsidRPr="00702E06" w:rsidRDefault="00FE5F27" w:rsidP="00BE7FB6">
            <w:pPr>
              <w:spacing w:before="60" w:after="60"/>
              <w:jc w:val="center"/>
            </w:pPr>
            <w:r w:rsidRPr="00702E06">
              <w:t>2.75</w:t>
            </w:r>
          </w:p>
        </w:tc>
        <w:tc>
          <w:tcPr>
            <w:tcW w:w="1001" w:type="dxa"/>
            <w:vMerge w:val="restart"/>
            <w:vAlign w:val="center"/>
          </w:tcPr>
          <w:p w14:paraId="7564DAFC" w14:textId="4269CD65" w:rsidR="00FE5F27" w:rsidRPr="00702E06" w:rsidRDefault="00FE5F27" w:rsidP="00BE7FB6">
            <w:pPr>
              <w:spacing w:before="60" w:after="60"/>
              <w:jc w:val="center"/>
            </w:pPr>
            <w:r w:rsidRPr="00702E06">
              <w:t>80%</w:t>
            </w:r>
          </w:p>
        </w:tc>
        <w:tc>
          <w:tcPr>
            <w:tcW w:w="948" w:type="dxa"/>
            <w:vMerge/>
            <w:vAlign w:val="center"/>
          </w:tcPr>
          <w:p w14:paraId="3931E7BD" w14:textId="77777777" w:rsidR="00FE5F27" w:rsidRPr="00702E06" w:rsidRDefault="00FE5F27" w:rsidP="00BE7FB6">
            <w:pPr>
              <w:spacing w:before="60" w:after="60"/>
              <w:jc w:val="center"/>
            </w:pPr>
          </w:p>
        </w:tc>
        <w:tc>
          <w:tcPr>
            <w:tcW w:w="1272" w:type="dxa"/>
            <w:tcBorders>
              <w:bottom w:val="single" w:sz="4" w:space="0" w:color="000000"/>
            </w:tcBorders>
            <w:vAlign w:val="center"/>
          </w:tcPr>
          <w:p w14:paraId="4A94109B" w14:textId="0E4E9472" w:rsidR="00FE5F27" w:rsidRPr="00702E06" w:rsidRDefault="00FE5F27" w:rsidP="00BE7FB6">
            <w:pPr>
              <w:spacing w:before="60" w:after="60"/>
              <w:jc w:val="center"/>
            </w:pPr>
            <w:r w:rsidRPr="00702E06">
              <w:t>9.8%</w:t>
            </w:r>
          </w:p>
        </w:tc>
        <w:tc>
          <w:tcPr>
            <w:tcW w:w="1294" w:type="dxa"/>
            <w:vMerge/>
            <w:vAlign w:val="center"/>
          </w:tcPr>
          <w:p w14:paraId="2D4DE712" w14:textId="77777777" w:rsidR="00FE5F27" w:rsidRPr="00702E06" w:rsidRDefault="00FE5F27" w:rsidP="00BE7FB6">
            <w:pPr>
              <w:spacing w:before="60" w:after="60"/>
              <w:jc w:val="center"/>
            </w:pPr>
          </w:p>
        </w:tc>
        <w:tc>
          <w:tcPr>
            <w:tcW w:w="997" w:type="dxa"/>
            <w:tcBorders>
              <w:bottom w:val="single" w:sz="4" w:space="0" w:color="000000"/>
            </w:tcBorders>
            <w:vAlign w:val="center"/>
          </w:tcPr>
          <w:p w14:paraId="20A6726F" w14:textId="23C3310F" w:rsidR="00FE5F27" w:rsidRPr="00702E06" w:rsidRDefault="00FE5F27" w:rsidP="00BE7FB6">
            <w:pPr>
              <w:spacing w:before="60" w:after="60"/>
              <w:jc w:val="center"/>
            </w:pPr>
            <w:r w:rsidRPr="00702E06">
              <w:t>15.0</w:t>
            </w:r>
          </w:p>
        </w:tc>
      </w:tr>
      <w:tr w:rsidR="00FE5F27" w14:paraId="7E12FB8A" w14:textId="77777777" w:rsidTr="00434EB2">
        <w:tc>
          <w:tcPr>
            <w:tcW w:w="2001" w:type="dxa"/>
            <w:tcBorders>
              <w:bottom w:val="single" w:sz="4" w:space="0" w:color="000000"/>
            </w:tcBorders>
            <w:vAlign w:val="bottom"/>
          </w:tcPr>
          <w:p w14:paraId="541FE2B5" w14:textId="65DE2B1A" w:rsidR="00FE5F27" w:rsidRPr="00702E06" w:rsidRDefault="00FE5F27" w:rsidP="00BE7FB6">
            <w:pPr>
              <w:spacing w:before="60" w:after="60"/>
              <w:jc w:val="left"/>
            </w:pPr>
            <w:r w:rsidRPr="00702E06">
              <w:rPr>
                <w:color w:val="000000"/>
              </w:rPr>
              <w:t>Registered marine and pleasure craft</w:t>
            </w:r>
          </w:p>
        </w:tc>
        <w:tc>
          <w:tcPr>
            <w:tcW w:w="990" w:type="dxa"/>
            <w:tcBorders>
              <w:bottom w:val="single" w:sz="4" w:space="0" w:color="000000"/>
            </w:tcBorders>
            <w:vAlign w:val="center"/>
          </w:tcPr>
          <w:p w14:paraId="66491BE8" w14:textId="62EF4B7D" w:rsidR="00FE5F27" w:rsidRPr="00702E06" w:rsidRDefault="00FE5F27" w:rsidP="00BE7FB6">
            <w:pPr>
              <w:spacing w:before="60" w:after="60"/>
              <w:jc w:val="center"/>
            </w:pPr>
            <w:r w:rsidRPr="00702E06">
              <w:t>2.25</w:t>
            </w:r>
          </w:p>
        </w:tc>
        <w:tc>
          <w:tcPr>
            <w:tcW w:w="989" w:type="dxa"/>
            <w:tcBorders>
              <w:bottom w:val="single" w:sz="4" w:space="0" w:color="000000"/>
            </w:tcBorders>
            <w:vAlign w:val="center"/>
          </w:tcPr>
          <w:p w14:paraId="1DC0918A" w14:textId="64F7067C" w:rsidR="00FE5F27" w:rsidRPr="00702E06" w:rsidRDefault="00FE5F27" w:rsidP="00BE7FB6">
            <w:pPr>
              <w:spacing w:before="60" w:after="60"/>
              <w:jc w:val="center"/>
            </w:pPr>
            <w:r w:rsidRPr="00702E06">
              <w:t>2.25</w:t>
            </w:r>
          </w:p>
        </w:tc>
        <w:tc>
          <w:tcPr>
            <w:tcW w:w="1001" w:type="dxa"/>
            <w:vMerge/>
            <w:tcBorders>
              <w:bottom w:val="single" w:sz="4" w:space="0" w:color="000000"/>
            </w:tcBorders>
            <w:vAlign w:val="center"/>
          </w:tcPr>
          <w:p w14:paraId="7F9C1114" w14:textId="6FF971DB" w:rsidR="00FE5F27" w:rsidRPr="00702E06" w:rsidRDefault="00FE5F27" w:rsidP="00BE7FB6">
            <w:pPr>
              <w:spacing w:before="60" w:after="60"/>
              <w:jc w:val="center"/>
            </w:pPr>
          </w:p>
        </w:tc>
        <w:tc>
          <w:tcPr>
            <w:tcW w:w="948" w:type="dxa"/>
            <w:vMerge/>
            <w:tcBorders>
              <w:bottom w:val="single" w:sz="4" w:space="0" w:color="000000"/>
            </w:tcBorders>
            <w:vAlign w:val="center"/>
          </w:tcPr>
          <w:p w14:paraId="21482414" w14:textId="77777777" w:rsidR="00FE5F27" w:rsidRPr="00702E06" w:rsidRDefault="00FE5F27" w:rsidP="00BE7FB6">
            <w:pPr>
              <w:spacing w:before="60" w:after="60"/>
              <w:jc w:val="center"/>
            </w:pPr>
          </w:p>
        </w:tc>
        <w:tc>
          <w:tcPr>
            <w:tcW w:w="1272" w:type="dxa"/>
            <w:tcBorders>
              <w:bottom w:val="single" w:sz="4" w:space="0" w:color="000000"/>
            </w:tcBorders>
            <w:vAlign w:val="center"/>
          </w:tcPr>
          <w:p w14:paraId="679CD7D3" w14:textId="23B5111E" w:rsidR="00FE5F27" w:rsidRPr="00702E06" w:rsidRDefault="00FE5F27" w:rsidP="00BE7FB6">
            <w:pPr>
              <w:spacing w:before="60" w:after="60"/>
              <w:jc w:val="center"/>
            </w:pPr>
            <w:r w:rsidRPr="00702E06">
              <w:t>2.0%</w:t>
            </w:r>
          </w:p>
        </w:tc>
        <w:tc>
          <w:tcPr>
            <w:tcW w:w="1294" w:type="dxa"/>
            <w:vMerge/>
            <w:tcBorders>
              <w:bottom w:val="single" w:sz="4" w:space="0" w:color="000000"/>
            </w:tcBorders>
            <w:vAlign w:val="center"/>
          </w:tcPr>
          <w:p w14:paraId="07109B36" w14:textId="77777777" w:rsidR="00FE5F27" w:rsidRPr="00702E06" w:rsidRDefault="00FE5F27" w:rsidP="00BE7FB6">
            <w:pPr>
              <w:spacing w:before="60" w:after="60"/>
              <w:jc w:val="center"/>
            </w:pPr>
          </w:p>
        </w:tc>
        <w:tc>
          <w:tcPr>
            <w:tcW w:w="997" w:type="dxa"/>
            <w:tcBorders>
              <w:bottom w:val="single" w:sz="4" w:space="0" w:color="000000"/>
            </w:tcBorders>
            <w:vAlign w:val="center"/>
          </w:tcPr>
          <w:p w14:paraId="231F2D20" w14:textId="054045E9" w:rsidR="00FE5F27" w:rsidRPr="00702E06" w:rsidRDefault="00FE5F27" w:rsidP="00BE7FB6">
            <w:pPr>
              <w:spacing w:before="60" w:after="60"/>
              <w:jc w:val="center"/>
            </w:pPr>
            <w:r w:rsidRPr="00702E06">
              <w:t>15.0</w:t>
            </w:r>
          </w:p>
        </w:tc>
      </w:tr>
      <w:tr w:rsidR="00BE7FB6" w14:paraId="270C9A89" w14:textId="77777777" w:rsidTr="00434EB2">
        <w:tc>
          <w:tcPr>
            <w:tcW w:w="2001" w:type="dxa"/>
            <w:tcBorders>
              <w:right w:val="nil"/>
            </w:tcBorders>
            <w:shd w:val="clear" w:color="auto" w:fill="DAEEF3" w:themeFill="accent5" w:themeFillTint="33"/>
            <w:vAlign w:val="center"/>
          </w:tcPr>
          <w:p w14:paraId="3948D1F2" w14:textId="314A210B" w:rsidR="00BE7FB6" w:rsidRPr="00702E06" w:rsidRDefault="00BE7FB6" w:rsidP="00BE7FB6">
            <w:pPr>
              <w:spacing w:before="60" w:after="60"/>
              <w:jc w:val="left"/>
            </w:pPr>
          </w:p>
        </w:tc>
        <w:tc>
          <w:tcPr>
            <w:tcW w:w="990" w:type="dxa"/>
            <w:tcBorders>
              <w:left w:val="nil"/>
              <w:right w:val="nil"/>
            </w:tcBorders>
            <w:shd w:val="clear" w:color="auto" w:fill="DAEEF3" w:themeFill="accent5" w:themeFillTint="33"/>
            <w:vAlign w:val="center"/>
          </w:tcPr>
          <w:p w14:paraId="39AB11A6" w14:textId="77777777" w:rsidR="00BE7FB6" w:rsidRPr="00702E06" w:rsidRDefault="00BE7FB6" w:rsidP="00BE7FB6">
            <w:pPr>
              <w:spacing w:before="60" w:after="60"/>
              <w:jc w:val="center"/>
            </w:pPr>
          </w:p>
        </w:tc>
        <w:tc>
          <w:tcPr>
            <w:tcW w:w="989" w:type="dxa"/>
            <w:tcBorders>
              <w:left w:val="nil"/>
              <w:right w:val="nil"/>
            </w:tcBorders>
            <w:shd w:val="clear" w:color="auto" w:fill="DAEEF3" w:themeFill="accent5" w:themeFillTint="33"/>
            <w:vAlign w:val="center"/>
          </w:tcPr>
          <w:p w14:paraId="72D0D3E2" w14:textId="77777777" w:rsidR="00BE7FB6" w:rsidRPr="00702E06" w:rsidRDefault="00BE7FB6" w:rsidP="00BE7FB6">
            <w:pPr>
              <w:spacing w:before="60" w:after="60"/>
              <w:jc w:val="center"/>
            </w:pPr>
          </w:p>
        </w:tc>
        <w:tc>
          <w:tcPr>
            <w:tcW w:w="1001" w:type="dxa"/>
            <w:tcBorders>
              <w:left w:val="nil"/>
              <w:right w:val="nil"/>
            </w:tcBorders>
            <w:shd w:val="clear" w:color="auto" w:fill="DAEEF3" w:themeFill="accent5" w:themeFillTint="33"/>
            <w:vAlign w:val="center"/>
          </w:tcPr>
          <w:p w14:paraId="505D8959" w14:textId="77777777" w:rsidR="00BE7FB6" w:rsidRPr="00702E06" w:rsidRDefault="00BE7FB6" w:rsidP="00BE7FB6">
            <w:pPr>
              <w:spacing w:before="60" w:after="60"/>
              <w:jc w:val="center"/>
            </w:pPr>
          </w:p>
        </w:tc>
        <w:tc>
          <w:tcPr>
            <w:tcW w:w="948" w:type="dxa"/>
            <w:tcBorders>
              <w:left w:val="nil"/>
              <w:right w:val="nil"/>
            </w:tcBorders>
            <w:shd w:val="clear" w:color="auto" w:fill="DAEEF3" w:themeFill="accent5" w:themeFillTint="33"/>
            <w:vAlign w:val="center"/>
          </w:tcPr>
          <w:p w14:paraId="2F6B0C1A" w14:textId="77777777" w:rsidR="00BE7FB6" w:rsidRPr="00702E06" w:rsidRDefault="00BE7FB6" w:rsidP="00BE7FB6">
            <w:pPr>
              <w:spacing w:before="60" w:after="60"/>
              <w:jc w:val="center"/>
            </w:pPr>
          </w:p>
        </w:tc>
        <w:tc>
          <w:tcPr>
            <w:tcW w:w="1272" w:type="dxa"/>
            <w:tcBorders>
              <w:left w:val="nil"/>
              <w:right w:val="nil"/>
            </w:tcBorders>
            <w:shd w:val="clear" w:color="auto" w:fill="DAEEF3" w:themeFill="accent5" w:themeFillTint="33"/>
            <w:vAlign w:val="center"/>
          </w:tcPr>
          <w:p w14:paraId="38BC0315" w14:textId="77777777" w:rsidR="00BE7FB6" w:rsidRPr="00702E06" w:rsidRDefault="00BE7FB6" w:rsidP="00BE7FB6">
            <w:pPr>
              <w:spacing w:before="60" w:after="60"/>
              <w:jc w:val="center"/>
            </w:pPr>
          </w:p>
        </w:tc>
        <w:tc>
          <w:tcPr>
            <w:tcW w:w="1294" w:type="dxa"/>
            <w:tcBorders>
              <w:left w:val="nil"/>
              <w:right w:val="nil"/>
            </w:tcBorders>
            <w:shd w:val="clear" w:color="auto" w:fill="DAEEF3" w:themeFill="accent5" w:themeFillTint="33"/>
            <w:vAlign w:val="center"/>
          </w:tcPr>
          <w:p w14:paraId="1FCF1AF7" w14:textId="77777777" w:rsidR="00BE7FB6" w:rsidRPr="00702E06" w:rsidRDefault="00BE7FB6" w:rsidP="00BE7FB6">
            <w:pPr>
              <w:spacing w:before="60" w:after="60"/>
              <w:jc w:val="center"/>
            </w:pPr>
          </w:p>
        </w:tc>
        <w:tc>
          <w:tcPr>
            <w:tcW w:w="997" w:type="dxa"/>
            <w:tcBorders>
              <w:left w:val="nil"/>
            </w:tcBorders>
            <w:shd w:val="clear" w:color="auto" w:fill="DAEEF3" w:themeFill="accent5" w:themeFillTint="33"/>
            <w:vAlign w:val="center"/>
          </w:tcPr>
          <w:p w14:paraId="674A4381" w14:textId="77777777" w:rsidR="00BE7FB6" w:rsidRPr="00702E06" w:rsidRDefault="00BE7FB6" w:rsidP="00BE7FB6">
            <w:pPr>
              <w:spacing w:before="60" w:after="60"/>
              <w:jc w:val="center"/>
            </w:pPr>
          </w:p>
        </w:tc>
      </w:tr>
      <w:tr w:rsidR="00277B70" w14:paraId="390A89BB" w14:textId="77777777" w:rsidTr="00754A6A">
        <w:tc>
          <w:tcPr>
            <w:tcW w:w="2001" w:type="dxa"/>
            <w:vAlign w:val="bottom"/>
          </w:tcPr>
          <w:p w14:paraId="2991381D" w14:textId="12C54501" w:rsidR="00277B70" w:rsidRPr="00702E06" w:rsidRDefault="00277B70" w:rsidP="00BE7FB6">
            <w:pPr>
              <w:spacing w:before="60" w:after="60"/>
              <w:jc w:val="left"/>
            </w:pPr>
            <w:r w:rsidRPr="00702E06">
              <w:rPr>
                <w:color w:val="000000"/>
              </w:rPr>
              <w:t>Refrigeration cabinets: self-cont.</w:t>
            </w:r>
          </w:p>
        </w:tc>
        <w:tc>
          <w:tcPr>
            <w:tcW w:w="990" w:type="dxa"/>
            <w:vAlign w:val="center"/>
          </w:tcPr>
          <w:p w14:paraId="432268CE" w14:textId="7B11F33C" w:rsidR="00277B70" w:rsidRPr="00702E06" w:rsidRDefault="00277B70" w:rsidP="00BE7FB6">
            <w:pPr>
              <w:spacing w:before="60" w:after="60"/>
              <w:jc w:val="center"/>
            </w:pPr>
            <w:r w:rsidRPr="00702E06">
              <w:t>0.5</w:t>
            </w:r>
          </w:p>
        </w:tc>
        <w:tc>
          <w:tcPr>
            <w:tcW w:w="989" w:type="dxa"/>
            <w:vAlign w:val="center"/>
          </w:tcPr>
          <w:p w14:paraId="1A1B907D" w14:textId="2CD05410" w:rsidR="00277B70" w:rsidRPr="00702E06" w:rsidRDefault="00277B70" w:rsidP="00BE7FB6">
            <w:pPr>
              <w:spacing w:before="60" w:after="60"/>
              <w:jc w:val="center"/>
            </w:pPr>
            <w:r w:rsidRPr="00702E06">
              <w:t>0.5</w:t>
            </w:r>
          </w:p>
        </w:tc>
        <w:tc>
          <w:tcPr>
            <w:tcW w:w="1001" w:type="dxa"/>
            <w:vMerge w:val="restart"/>
            <w:vAlign w:val="center"/>
          </w:tcPr>
          <w:p w14:paraId="2E82C33C" w14:textId="59DAD952" w:rsidR="00277B70" w:rsidRPr="00702E06" w:rsidRDefault="00277B70" w:rsidP="00BE7FB6">
            <w:pPr>
              <w:spacing w:before="60" w:after="60"/>
              <w:jc w:val="center"/>
            </w:pPr>
            <w:r w:rsidRPr="00702E06">
              <w:t>85%</w:t>
            </w:r>
          </w:p>
        </w:tc>
        <w:tc>
          <w:tcPr>
            <w:tcW w:w="948" w:type="dxa"/>
            <w:vMerge w:val="restart"/>
            <w:vAlign w:val="center"/>
          </w:tcPr>
          <w:p w14:paraId="698894A2" w14:textId="3F36E340" w:rsidR="00277B70" w:rsidRPr="00702E06" w:rsidRDefault="00277B70" w:rsidP="00BE7FB6">
            <w:pPr>
              <w:spacing w:before="60" w:after="60"/>
              <w:jc w:val="center"/>
            </w:pPr>
            <w:r w:rsidRPr="00702E06">
              <w:t>90%</w:t>
            </w:r>
          </w:p>
        </w:tc>
        <w:tc>
          <w:tcPr>
            <w:tcW w:w="1272" w:type="dxa"/>
            <w:vAlign w:val="center"/>
          </w:tcPr>
          <w:p w14:paraId="37BB01C3" w14:textId="2AD8BC85" w:rsidR="00277B70" w:rsidRPr="00702E06" w:rsidRDefault="00277B70" w:rsidP="00754A6A">
            <w:pPr>
              <w:spacing w:before="60" w:after="60"/>
              <w:jc w:val="center"/>
            </w:pPr>
            <w:r w:rsidRPr="00702E06">
              <w:t>6.0%</w:t>
            </w:r>
          </w:p>
        </w:tc>
        <w:tc>
          <w:tcPr>
            <w:tcW w:w="1294" w:type="dxa"/>
            <w:vMerge w:val="restart"/>
            <w:vAlign w:val="center"/>
          </w:tcPr>
          <w:p w14:paraId="1C3F79CC" w14:textId="636404F3" w:rsidR="00277B70" w:rsidRPr="00702E06" w:rsidRDefault="00277B70" w:rsidP="00754A6A">
            <w:pPr>
              <w:spacing w:before="60" w:after="60"/>
              <w:jc w:val="center"/>
            </w:pPr>
            <w:r w:rsidRPr="00702E06">
              <w:t>7.2%</w:t>
            </w:r>
          </w:p>
        </w:tc>
        <w:tc>
          <w:tcPr>
            <w:tcW w:w="997" w:type="dxa"/>
            <w:vAlign w:val="center"/>
          </w:tcPr>
          <w:p w14:paraId="4A30466C" w14:textId="0619AF6B" w:rsidR="00277B70" w:rsidRPr="00702E06" w:rsidRDefault="00277B70" w:rsidP="00754A6A">
            <w:pPr>
              <w:spacing w:before="60" w:after="60"/>
              <w:jc w:val="center"/>
            </w:pPr>
            <w:r w:rsidRPr="00702E06">
              <w:t>11.5</w:t>
            </w:r>
          </w:p>
        </w:tc>
      </w:tr>
      <w:tr w:rsidR="00277B70" w14:paraId="46CB8333" w14:textId="77777777" w:rsidTr="00754A6A">
        <w:tc>
          <w:tcPr>
            <w:tcW w:w="2001" w:type="dxa"/>
            <w:vAlign w:val="bottom"/>
          </w:tcPr>
          <w:p w14:paraId="6452A55F" w14:textId="5898CC23" w:rsidR="00277B70" w:rsidRPr="00702E06" w:rsidRDefault="00277B70" w:rsidP="00BE7FB6">
            <w:pPr>
              <w:spacing w:before="60" w:after="60"/>
              <w:jc w:val="left"/>
            </w:pPr>
            <w:r w:rsidRPr="00702E06">
              <w:rPr>
                <w:color w:val="000000"/>
              </w:rPr>
              <w:t>Refrigeration beverage vending machines</w:t>
            </w:r>
          </w:p>
        </w:tc>
        <w:tc>
          <w:tcPr>
            <w:tcW w:w="990" w:type="dxa"/>
            <w:vAlign w:val="center"/>
          </w:tcPr>
          <w:p w14:paraId="519F1091" w14:textId="3361BA74" w:rsidR="00277B70" w:rsidRPr="00702E06" w:rsidRDefault="00277B70" w:rsidP="00BE7FB6">
            <w:pPr>
              <w:spacing w:before="60" w:after="60"/>
              <w:jc w:val="center"/>
            </w:pPr>
            <w:r w:rsidRPr="00702E06">
              <w:t>0.25</w:t>
            </w:r>
          </w:p>
        </w:tc>
        <w:tc>
          <w:tcPr>
            <w:tcW w:w="989" w:type="dxa"/>
            <w:vAlign w:val="center"/>
          </w:tcPr>
          <w:p w14:paraId="5E4B6975" w14:textId="1A48D8A3" w:rsidR="00277B70" w:rsidRPr="00702E06" w:rsidRDefault="00277B70" w:rsidP="00BE7FB6">
            <w:pPr>
              <w:spacing w:before="60" w:after="60"/>
              <w:jc w:val="center"/>
            </w:pPr>
            <w:r w:rsidRPr="00702E06">
              <w:t>0.25</w:t>
            </w:r>
          </w:p>
        </w:tc>
        <w:tc>
          <w:tcPr>
            <w:tcW w:w="1001" w:type="dxa"/>
            <w:vMerge/>
            <w:vAlign w:val="center"/>
          </w:tcPr>
          <w:p w14:paraId="0E19A518" w14:textId="77777777" w:rsidR="00277B70" w:rsidRPr="00702E06" w:rsidRDefault="00277B70" w:rsidP="00BE7FB6">
            <w:pPr>
              <w:spacing w:before="60" w:after="60"/>
              <w:jc w:val="center"/>
            </w:pPr>
          </w:p>
        </w:tc>
        <w:tc>
          <w:tcPr>
            <w:tcW w:w="948" w:type="dxa"/>
            <w:vMerge/>
            <w:vAlign w:val="center"/>
          </w:tcPr>
          <w:p w14:paraId="08DF394D" w14:textId="77777777" w:rsidR="00277B70" w:rsidRPr="00702E06" w:rsidRDefault="00277B70" w:rsidP="00BE7FB6">
            <w:pPr>
              <w:spacing w:before="60" w:after="60"/>
              <w:jc w:val="center"/>
            </w:pPr>
          </w:p>
        </w:tc>
        <w:tc>
          <w:tcPr>
            <w:tcW w:w="1272" w:type="dxa"/>
            <w:vAlign w:val="center"/>
          </w:tcPr>
          <w:p w14:paraId="76A5FF8F" w14:textId="38E0A34F" w:rsidR="00277B70" w:rsidRPr="00702E06" w:rsidRDefault="00277B70" w:rsidP="00754A6A">
            <w:pPr>
              <w:spacing w:before="60" w:after="60"/>
              <w:jc w:val="center"/>
            </w:pPr>
            <w:r w:rsidRPr="00702E06">
              <w:t>6.0%</w:t>
            </w:r>
          </w:p>
        </w:tc>
        <w:tc>
          <w:tcPr>
            <w:tcW w:w="1294" w:type="dxa"/>
            <w:vMerge/>
            <w:vAlign w:val="center"/>
          </w:tcPr>
          <w:p w14:paraId="594A00D1" w14:textId="77777777" w:rsidR="00277B70" w:rsidRPr="00702E06" w:rsidRDefault="00277B70" w:rsidP="00754A6A">
            <w:pPr>
              <w:spacing w:before="60" w:after="60"/>
              <w:jc w:val="center"/>
            </w:pPr>
          </w:p>
        </w:tc>
        <w:tc>
          <w:tcPr>
            <w:tcW w:w="997" w:type="dxa"/>
            <w:vAlign w:val="center"/>
          </w:tcPr>
          <w:p w14:paraId="070E331D" w14:textId="178A435D" w:rsidR="00277B70" w:rsidRPr="00702E06" w:rsidRDefault="00277B70" w:rsidP="00754A6A">
            <w:pPr>
              <w:spacing w:before="60" w:after="60"/>
              <w:jc w:val="center"/>
            </w:pPr>
            <w:r w:rsidRPr="00702E06">
              <w:t>12.0</w:t>
            </w:r>
          </w:p>
        </w:tc>
      </w:tr>
      <w:tr w:rsidR="00277B70" w14:paraId="5E8A5DFB" w14:textId="77777777" w:rsidTr="00754A6A">
        <w:tc>
          <w:tcPr>
            <w:tcW w:w="2001" w:type="dxa"/>
            <w:vAlign w:val="bottom"/>
          </w:tcPr>
          <w:p w14:paraId="6DC7CFDB" w14:textId="78DC317B" w:rsidR="00277B70" w:rsidRPr="00702E06" w:rsidRDefault="00277B70" w:rsidP="00BE7FB6">
            <w:pPr>
              <w:spacing w:before="60" w:after="60"/>
              <w:jc w:val="left"/>
            </w:pPr>
            <w:r w:rsidRPr="00702E06">
              <w:rPr>
                <w:color w:val="000000"/>
              </w:rPr>
              <w:t>Beverage cooling (post mix)</w:t>
            </w:r>
          </w:p>
        </w:tc>
        <w:tc>
          <w:tcPr>
            <w:tcW w:w="990" w:type="dxa"/>
            <w:vAlign w:val="center"/>
          </w:tcPr>
          <w:p w14:paraId="257DEB10" w14:textId="7F119A92" w:rsidR="00277B70" w:rsidRPr="00702E06" w:rsidRDefault="00277B70" w:rsidP="00BE7FB6">
            <w:pPr>
              <w:spacing w:before="60" w:after="60"/>
              <w:jc w:val="center"/>
            </w:pPr>
            <w:r w:rsidRPr="00702E06">
              <w:t>0.7</w:t>
            </w:r>
          </w:p>
        </w:tc>
        <w:tc>
          <w:tcPr>
            <w:tcW w:w="989" w:type="dxa"/>
            <w:vAlign w:val="center"/>
          </w:tcPr>
          <w:p w14:paraId="6AAF8ADE" w14:textId="264414B7" w:rsidR="00277B70" w:rsidRPr="00702E06" w:rsidRDefault="00277B70" w:rsidP="00BE7FB6">
            <w:pPr>
              <w:spacing w:before="60" w:after="60"/>
              <w:jc w:val="center"/>
            </w:pPr>
            <w:r w:rsidRPr="00702E06">
              <w:t>0.7</w:t>
            </w:r>
          </w:p>
        </w:tc>
        <w:tc>
          <w:tcPr>
            <w:tcW w:w="1001" w:type="dxa"/>
            <w:vMerge/>
            <w:vAlign w:val="center"/>
          </w:tcPr>
          <w:p w14:paraId="6B6F607B" w14:textId="77777777" w:rsidR="00277B70" w:rsidRPr="00702E06" w:rsidRDefault="00277B70" w:rsidP="00BE7FB6">
            <w:pPr>
              <w:spacing w:before="60" w:after="60"/>
              <w:jc w:val="center"/>
            </w:pPr>
          </w:p>
        </w:tc>
        <w:tc>
          <w:tcPr>
            <w:tcW w:w="948" w:type="dxa"/>
            <w:vMerge/>
            <w:vAlign w:val="center"/>
          </w:tcPr>
          <w:p w14:paraId="2AD535DD" w14:textId="77777777" w:rsidR="00277B70" w:rsidRPr="00702E06" w:rsidRDefault="00277B70" w:rsidP="00BE7FB6">
            <w:pPr>
              <w:spacing w:before="60" w:after="60"/>
              <w:jc w:val="center"/>
            </w:pPr>
          </w:p>
        </w:tc>
        <w:tc>
          <w:tcPr>
            <w:tcW w:w="1272" w:type="dxa"/>
            <w:vAlign w:val="center"/>
          </w:tcPr>
          <w:p w14:paraId="50801768" w14:textId="1CE5D149" w:rsidR="00277B70" w:rsidRPr="00702E06" w:rsidRDefault="00277B70" w:rsidP="00754A6A">
            <w:pPr>
              <w:spacing w:before="60" w:after="60"/>
              <w:jc w:val="center"/>
            </w:pPr>
            <w:r w:rsidRPr="00702E06">
              <w:t>6.0%</w:t>
            </w:r>
          </w:p>
        </w:tc>
        <w:tc>
          <w:tcPr>
            <w:tcW w:w="1294" w:type="dxa"/>
            <w:vMerge/>
            <w:vAlign w:val="center"/>
          </w:tcPr>
          <w:p w14:paraId="5D0ECC7E" w14:textId="77777777" w:rsidR="00277B70" w:rsidRPr="00702E06" w:rsidRDefault="00277B70" w:rsidP="00754A6A">
            <w:pPr>
              <w:spacing w:before="60" w:after="60"/>
              <w:jc w:val="center"/>
            </w:pPr>
          </w:p>
        </w:tc>
        <w:tc>
          <w:tcPr>
            <w:tcW w:w="997" w:type="dxa"/>
            <w:vAlign w:val="center"/>
          </w:tcPr>
          <w:p w14:paraId="1BC7E434" w14:textId="18D30E0E" w:rsidR="00277B70" w:rsidRPr="00702E06" w:rsidRDefault="00277B70" w:rsidP="00754A6A">
            <w:pPr>
              <w:spacing w:before="60" w:after="60"/>
              <w:jc w:val="center"/>
            </w:pPr>
            <w:r w:rsidRPr="00702E06">
              <w:t>8.0</w:t>
            </w:r>
          </w:p>
        </w:tc>
      </w:tr>
      <w:tr w:rsidR="00277B70" w14:paraId="6D2F4157" w14:textId="77777777" w:rsidTr="00754A6A">
        <w:tc>
          <w:tcPr>
            <w:tcW w:w="2001" w:type="dxa"/>
            <w:vAlign w:val="bottom"/>
          </w:tcPr>
          <w:p w14:paraId="7D443DC5" w14:textId="32632290" w:rsidR="00277B70" w:rsidRPr="00702E06" w:rsidRDefault="00277B70" w:rsidP="00BE7FB6">
            <w:pPr>
              <w:spacing w:before="60" w:after="60"/>
              <w:jc w:val="left"/>
            </w:pPr>
            <w:r w:rsidRPr="00702E06">
              <w:rPr>
                <w:color w:val="000000"/>
              </w:rPr>
              <w:t>Ice makers</w:t>
            </w:r>
          </w:p>
        </w:tc>
        <w:tc>
          <w:tcPr>
            <w:tcW w:w="990" w:type="dxa"/>
            <w:vAlign w:val="center"/>
          </w:tcPr>
          <w:p w14:paraId="3E02BBBB" w14:textId="6E8B9C58" w:rsidR="00277B70" w:rsidRPr="00702E06" w:rsidRDefault="00277B70" w:rsidP="00BE7FB6">
            <w:pPr>
              <w:spacing w:before="60" w:after="60"/>
              <w:jc w:val="center"/>
            </w:pPr>
            <w:r w:rsidRPr="00702E06">
              <w:t>1.0</w:t>
            </w:r>
          </w:p>
        </w:tc>
        <w:tc>
          <w:tcPr>
            <w:tcW w:w="989" w:type="dxa"/>
            <w:vAlign w:val="center"/>
          </w:tcPr>
          <w:p w14:paraId="09E8D6DE" w14:textId="1CD0E9A6" w:rsidR="00277B70" w:rsidRPr="00702E06" w:rsidRDefault="00277B70" w:rsidP="00BE7FB6">
            <w:pPr>
              <w:spacing w:before="60" w:after="60"/>
              <w:jc w:val="center"/>
            </w:pPr>
            <w:r w:rsidRPr="00702E06">
              <w:t>1.0</w:t>
            </w:r>
          </w:p>
        </w:tc>
        <w:tc>
          <w:tcPr>
            <w:tcW w:w="1001" w:type="dxa"/>
            <w:vMerge/>
            <w:vAlign w:val="center"/>
          </w:tcPr>
          <w:p w14:paraId="4487C5A2" w14:textId="77777777" w:rsidR="00277B70" w:rsidRPr="00702E06" w:rsidRDefault="00277B70" w:rsidP="00BE7FB6">
            <w:pPr>
              <w:spacing w:before="60" w:after="60"/>
              <w:jc w:val="center"/>
            </w:pPr>
          </w:p>
        </w:tc>
        <w:tc>
          <w:tcPr>
            <w:tcW w:w="948" w:type="dxa"/>
            <w:vMerge/>
            <w:vAlign w:val="center"/>
          </w:tcPr>
          <w:p w14:paraId="27B5C087" w14:textId="77777777" w:rsidR="00277B70" w:rsidRPr="00702E06" w:rsidRDefault="00277B70" w:rsidP="00BE7FB6">
            <w:pPr>
              <w:spacing w:before="60" w:after="60"/>
              <w:jc w:val="center"/>
            </w:pPr>
          </w:p>
        </w:tc>
        <w:tc>
          <w:tcPr>
            <w:tcW w:w="1272" w:type="dxa"/>
            <w:vAlign w:val="center"/>
          </w:tcPr>
          <w:p w14:paraId="02A7CB5F" w14:textId="379AB137" w:rsidR="00277B70" w:rsidRPr="00702E06" w:rsidRDefault="00277B70" w:rsidP="00754A6A">
            <w:pPr>
              <w:spacing w:before="60" w:after="60"/>
              <w:jc w:val="center"/>
            </w:pPr>
            <w:r w:rsidRPr="00702E06">
              <w:t>6.0%</w:t>
            </w:r>
          </w:p>
        </w:tc>
        <w:tc>
          <w:tcPr>
            <w:tcW w:w="1294" w:type="dxa"/>
            <w:vMerge/>
            <w:vAlign w:val="center"/>
          </w:tcPr>
          <w:p w14:paraId="7A31A432" w14:textId="77777777" w:rsidR="00277B70" w:rsidRPr="00702E06" w:rsidRDefault="00277B70" w:rsidP="00754A6A">
            <w:pPr>
              <w:spacing w:before="60" w:after="60"/>
              <w:jc w:val="center"/>
            </w:pPr>
          </w:p>
        </w:tc>
        <w:tc>
          <w:tcPr>
            <w:tcW w:w="997" w:type="dxa"/>
            <w:vAlign w:val="center"/>
          </w:tcPr>
          <w:p w14:paraId="5D750435" w14:textId="49466126" w:rsidR="00277B70" w:rsidRPr="00702E06" w:rsidRDefault="00277B70" w:rsidP="00754A6A">
            <w:pPr>
              <w:spacing w:before="60" w:after="60"/>
              <w:jc w:val="center"/>
            </w:pPr>
            <w:r w:rsidRPr="00702E06">
              <w:t>11.0</w:t>
            </w:r>
          </w:p>
        </w:tc>
      </w:tr>
      <w:tr w:rsidR="00277B70" w14:paraId="1F7059A9" w14:textId="77777777" w:rsidTr="00754A6A">
        <w:tc>
          <w:tcPr>
            <w:tcW w:w="2001" w:type="dxa"/>
            <w:vAlign w:val="bottom"/>
          </w:tcPr>
          <w:p w14:paraId="48EA8983" w14:textId="2031B0ED" w:rsidR="00277B70" w:rsidRPr="00702E06" w:rsidRDefault="00277B70" w:rsidP="00BE7FB6">
            <w:pPr>
              <w:spacing w:before="60" w:after="60"/>
              <w:jc w:val="left"/>
            </w:pPr>
            <w:r w:rsidRPr="00702E06">
              <w:rPr>
                <w:color w:val="000000"/>
              </w:rPr>
              <w:t>Water dispensers (incl. bottle)</w:t>
            </w:r>
          </w:p>
        </w:tc>
        <w:tc>
          <w:tcPr>
            <w:tcW w:w="990" w:type="dxa"/>
            <w:vAlign w:val="center"/>
          </w:tcPr>
          <w:p w14:paraId="68AA376F" w14:textId="189C8B6C" w:rsidR="00277B70" w:rsidRPr="00702E06" w:rsidRDefault="00277B70" w:rsidP="00BE7FB6">
            <w:pPr>
              <w:spacing w:before="60" w:after="60"/>
              <w:jc w:val="center"/>
            </w:pPr>
            <w:r w:rsidRPr="00702E06">
              <w:t>0.05</w:t>
            </w:r>
          </w:p>
        </w:tc>
        <w:tc>
          <w:tcPr>
            <w:tcW w:w="989" w:type="dxa"/>
            <w:vAlign w:val="center"/>
          </w:tcPr>
          <w:p w14:paraId="651D9D26" w14:textId="7F1EA6D8" w:rsidR="00277B70" w:rsidRPr="00702E06" w:rsidRDefault="00277B70" w:rsidP="00BE7FB6">
            <w:pPr>
              <w:spacing w:before="60" w:after="60"/>
              <w:jc w:val="center"/>
            </w:pPr>
            <w:r w:rsidRPr="00702E06">
              <w:t>0.05</w:t>
            </w:r>
          </w:p>
        </w:tc>
        <w:tc>
          <w:tcPr>
            <w:tcW w:w="1001" w:type="dxa"/>
            <w:vMerge/>
            <w:vAlign w:val="center"/>
          </w:tcPr>
          <w:p w14:paraId="3C22B65D" w14:textId="77777777" w:rsidR="00277B70" w:rsidRPr="00702E06" w:rsidRDefault="00277B70" w:rsidP="00BE7FB6">
            <w:pPr>
              <w:spacing w:before="60" w:after="60"/>
              <w:jc w:val="center"/>
            </w:pPr>
          </w:p>
        </w:tc>
        <w:tc>
          <w:tcPr>
            <w:tcW w:w="948" w:type="dxa"/>
            <w:vMerge/>
            <w:vAlign w:val="center"/>
          </w:tcPr>
          <w:p w14:paraId="1ABAD56B" w14:textId="77777777" w:rsidR="00277B70" w:rsidRPr="00702E06" w:rsidRDefault="00277B70" w:rsidP="00BE7FB6">
            <w:pPr>
              <w:spacing w:before="60" w:after="60"/>
              <w:jc w:val="center"/>
            </w:pPr>
          </w:p>
        </w:tc>
        <w:tc>
          <w:tcPr>
            <w:tcW w:w="1272" w:type="dxa"/>
            <w:vAlign w:val="center"/>
          </w:tcPr>
          <w:p w14:paraId="0C9A363A" w14:textId="448D60B3" w:rsidR="00277B70" w:rsidRPr="00702E06" w:rsidRDefault="00277B70" w:rsidP="00754A6A">
            <w:pPr>
              <w:spacing w:before="60" w:after="60"/>
              <w:jc w:val="center"/>
            </w:pPr>
            <w:r w:rsidRPr="00702E06">
              <w:t>6.0%</w:t>
            </w:r>
          </w:p>
        </w:tc>
        <w:tc>
          <w:tcPr>
            <w:tcW w:w="1294" w:type="dxa"/>
            <w:vMerge/>
            <w:vAlign w:val="center"/>
          </w:tcPr>
          <w:p w14:paraId="131F0612" w14:textId="77777777" w:rsidR="00277B70" w:rsidRPr="00702E06" w:rsidRDefault="00277B70" w:rsidP="00754A6A">
            <w:pPr>
              <w:spacing w:before="60" w:after="60"/>
              <w:jc w:val="center"/>
            </w:pPr>
          </w:p>
        </w:tc>
        <w:tc>
          <w:tcPr>
            <w:tcW w:w="997" w:type="dxa"/>
            <w:vAlign w:val="center"/>
          </w:tcPr>
          <w:p w14:paraId="2838A074" w14:textId="2FCFBB27" w:rsidR="00277B70" w:rsidRPr="00702E06" w:rsidRDefault="00277B70" w:rsidP="00754A6A">
            <w:pPr>
              <w:spacing w:before="60" w:after="60"/>
              <w:jc w:val="center"/>
            </w:pPr>
            <w:r w:rsidRPr="00702E06">
              <w:t>8.0</w:t>
            </w:r>
          </w:p>
        </w:tc>
      </w:tr>
      <w:tr w:rsidR="00277B70" w14:paraId="16933727" w14:textId="77777777" w:rsidTr="00754A6A">
        <w:tc>
          <w:tcPr>
            <w:tcW w:w="2001" w:type="dxa"/>
            <w:vAlign w:val="bottom"/>
          </w:tcPr>
          <w:p w14:paraId="342C61DE" w14:textId="10755965" w:rsidR="00277B70" w:rsidRPr="00702E06" w:rsidRDefault="00277B70" w:rsidP="00BE7FB6">
            <w:pPr>
              <w:spacing w:before="60" w:after="60"/>
              <w:jc w:val="left"/>
            </w:pPr>
            <w:r w:rsidRPr="00702E06">
              <w:rPr>
                <w:color w:val="000000"/>
              </w:rPr>
              <w:t>Other self-cont. refrigeration equipment</w:t>
            </w:r>
          </w:p>
        </w:tc>
        <w:tc>
          <w:tcPr>
            <w:tcW w:w="990" w:type="dxa"/>
            <w:vAlign w:val="center"/>
          </w:tcPr>
          <w:p w14:paraId="25B34157" w14:textId="2069F982" w:rsidR="00277B70" w:rsidRPr="00702E06" w:rsidRDefault="00277B70" w:rsidP="00BE7FB6">
            <w:pPr>
              <w:spacing w:before="60" w:after="60"/>
              <w:jc w:val="center"/>
            </w:pPr>
            <w:r w:rsidRPr="00702E06">
              <w:t>0.5</w:t>
            </w:r>
          </w:p>
        </w:tc>
        <w:tc>
          <w:tcPr>
            <w:tcW w:w="989" w:type="dxa"/>
            <w:vAlign w:val="center"/>
          </w:tcPr>
          <w:p w14:paraId="68DE6937" w14:textId="2193A0C4" w:rsidR="00277B70" w:rsidRPr="00702E06" w:rsidRDefault="00277B70" w:rsidP="00BE7FB6">
            <w:pPr>
              <w:spacing w:before="60" w:after="60"/>
              <w:jc w:val="center"/>
            </w:pPr>
            <w:r w:rsidRPr="00702E06">
              <w:t>0.5</w:t>
            </w:r>
          </w:p>
        </w:tc>
        <w:tc>
          <w:tcPr>
            <w:tcW w:w="1001" w:type="dxa"/>
            <w:vMerge/>
            <w:vAlign w:val="center"/>
          </w:tcPr>
          <w:p w14:paraId="37774F2E" w14:textId="77777777" w:rsidR="00277B70" w:rsidRPr="00702E06" w:rsidRDefault="00277B70" w:rsidP="00BE7FB6">
            <w:pPr>
              <w:spacing w:before="60" w:after="60"/>
              <w:jc w:val="center"/>
            </w:pPr>
          </w:p>
        </w:tc>
        <w:tc>
          <w:tcPr>
            <w:tcW w:w="948" w:type="dxa"/>
            <w:vMerge/>
            <w:vAlign w:val="center"/>
          </w:tcPr>
          <w:p w14:paraId="77255646" w14:textId="77777777" w:rsidR="00277B70" w:rsidRPr="00702E06" w:rsidRDefault="00277B70" w:rsidP="00BE7FB6">
            <w:pPr>
              <w:spacing w:before="60" w:after="60"/>
              <w:jc w:val="center"/>
            </w:pPr>
          </w:p>
        </w:tc>
        <w:tc>
          <w:tcPr>
            <w:tcW w:w="1272" w:type="dxa"/>
            <w:vAlign w:val="center"/>
          </w:tcPr>
          <w:p w14:paraId="6E6BAEF7" w14:textId="7EC38512" w:rsidR="00277B70" w:rsidRPr="00702E06" w:rsidRDefault="00277B70" w:rsidP="00754A6A">
            <w:pPr>
              <w:spacing w:before="60" w:after="60"/>
              <w:jc w:val="center"/>
            </w:pPr>
            <w:r w:rsidRPr="00702E06">
              <w:t>6.0%</w:t>
            </w:r>
          </w:p>
        </w:tc>
        <w:tc>
          <w:tcPr>
            <w:tcW w:w="1294" w:type="dxa"/>
            <w:vMerge/>
            <w:vAlign w:val="center"/>
          </w:tcPr>
          <w:p w14:paraId="34243D88" w14:textId="77777777" w:rsidR="00277B70" w:rsidRPr="00702E06" w:rsidRDefault="00277B70" w:rsidP="00754A6A">
            <w:pPr>
              <w:spacing w:before="60" w:after="60"/>
              <w:jc w:val="center"/>
            </w:pPr>
          </w:p>
        </w:tc>
        <w:tc>
          <w:tcPr>
            <w:tcW w:w="997" w:type="dxa"/>
            <w:vAlign w:val="center"/>
          </w:tcPr>
          <w:p w14:paraId="6D59515C" w14:textId="618552A6" w:rsidR="00277B70" w:rsidRPr="00702E06" w:rsidRDefault="00277B70" w:rsidP="00754A6A">
            <w:pPr>
              <w:spacing w:before="60" w:after="60"/>
              <w:jc w:val="center"/>
            </w:pPr>
            <w:r w:rsidRPr="00702E06">
              <w:t>12.0</w:t>
            </w:r>
          </w:p>
        </w:tc>
      </w:tr>
      <w:tr w:rsidR="00277B70" w14:paraId="390B63BA" w14:textId="77777777" w:rsidTr="00754A6A">
        <w:tc>
          <w:tcPr>
            <w:tcW w:w="2001" w:type="dxa"/>
            <w:vAlign w:val="bottom"/>
          </w:tcPr>
          <w:p w14:paraId="28B7890B" w14:textId="0E550D0B"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mini: Slid-in/Drop-in</w:t>
            </w:r>
          </w:p>
        </w:tc>
        <w:tc>
          <w:tcPr>
            <w:tcW w:w="990" w:type="dxa"/>
            <w:vAlign w:val="center"/>
          </w:tcPr>
          <w:p w14:paraId="2411357A" w14:textId="74494597" w:rsidR="00277B70" w:rsidRPr="00702E06" w:rsidRDefault="00277B70" w:rsidP="00BE7FB6">
            <w:pPr>
              <w:spacing w:before="60" w:after="60"/>
              <w:jc w:val="center"/>
            </w:pPr>
            <w:r w:rsidRPr="00702E06">
              <w:t>0.75</w:t>
            </w:r>
          </w:p>
        </w:tc>
        <w:tc>
          <w:tcPr>
            <w:tcW w:w="989" w:type="dxa"/>
            <w:vAlign w:val="center"/>
          </w:tcPr>
          <w:p w14:paraId="433D51ED" w14:textId="05E33236" w:rsidR="00277B70" w:rsidRPr="00702E06" w:rsidRDefault="00277B70" w:rsidP="00BE7FB6">
            <w:pPr>
              <w:spacing w:before="60" w:after="60"/>
              <w:jc w:val="center"/>
            </w:pPr>
            <w:r w:rsidRPr="00702E06">
              <w:t>0.75</w:t>
            </w:r>
          </w:p>
        </w:tc>
        <w:tc>
          <w:tcPr>
            <w:tcW w:w="1001" w:type="dxa"/>
            <w:vMerge/>
            <w:vAlign w:val="center"/>
          </w:tcPr>
          <w:p w14:paraId="227CCB50" w14:textId="77777777" w:rsidR="00277B70" w:rsidRPr="00702E06" w:rsidRDefault="00277B70" w:rsidP="00BE7FB6">
            <w:pPr>
              <w:spacing w:before="60" w:after="60"/>
              <w:jc w:val="center"/>
            </w:pPr>
          </w:p>
        </w:tc>
        <w:tc>
          <w:tcPr>
            <w:tcW w:w="948" w:type="dxa"/>
            <w:vMerge/>
            <w:vAlign w:val="center"/>
          </w:tcPr>
          <w:p w14:paraId="28908A37" w14:textId="77777777" w:rsidR="00277B70" w:rsidRPr="00702E06" w:rsidRDefault="00277B70" w:rsidP="00BE7FB6">
            <w:pPr>
              <w:spacing w:before="60" w:after="60"/>
              <w:jc w:val="center"/>
            </w:pPr>
          </w:p>
        </w:tc>
        <w:tc>
          <w:tcPr>
            <w:tcW w:w="1272" w:type="dxa"/>
            <w:vAlign w:val="center"/>
          </w:tcPr>
          <w:p w14:paraId="4C1324C4" w14:textId="2DD4FFC6" w:rsidR="00277B70" w:rsidRPr="00702E06" w:rsidRDefault="00277B70" w:rsidP="00754A6A">
            <w:pPr>
              <w:spacing w:before="60" w:after="60"/>
              <w:jc w:val="center"/>
            </w:pPr>
            <w:r w:rsidRPr="00702E06">
              <w:t>6.0%</w:t>
            </w:r>
          </w:p>
        </w:tc>
        <w:tc>
          <w:tcPr>
            <w:tcW w:w="1294" w:type="dxa"/>
            <w:vMerge/>
            <w:vAlign w:val="center"/>
          </w:tcPr>
          <w:p w14:paraId="1576434E" w14:textId="77777777" w:rsidR="00277B70" w:rsidRPr="00702E06" w:rsidRDefault="00277B70" w:rsidP="00754A6A">
            <w:pPr>
              <w:spacing w:before="60" w:after="60"/>
              <w:jc w:val="center"/>
            </w:pPr>
          </w:p>
        </w:tc>
        <w:tc>
          <w:tcPr>
            <w:tcW w:w="997" w:type="dxa"/>
            <w:vAlign w:val="center"/>
          </w:tcPr>
          <w:p w14:paraId="7500C17A" w14:textId="134443F4" w:rsidR="00277B70" w:rsidRPr="00702E06" w:rsidRDefault="00277B70" w:rsidP="00754A6A">
            <w:pPr>
              <w:spacing w:before="60" w:after="60"/>
              <w:jc w:val="center"/>
            </w:pPr>
            <w:r w:rsidRPr="00702E06">
              <w:t>12.0</w:t>
            </w:r>
          </w:p>
        </w:tc>
      </w:tr>
      <w:tr w:rsidR="00277B70" w14:paraId="40F18405" w14:textId="77777777" w:rsidTr="00434EB2">
        <w:tc>
          <w:tcPr>
            <w:tcW w:w="2001" w:type="dxa"/>
            <w:tcBorders>
              <w:bottom w:val="single" w:sz="4" w:space="0" w:color="000000"/>
            </w:tcBorders>
            <w:vAlign w:val="bottom"/>
          </w:tcPr>
          <w:p w14:paraId="3AA9D178" w14:textId="3D0729E9"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small: Slid-in/Drop-in</w:t>
            </w:r>
          </w:p>
        </w:tc>
        <w:tc>
          <w:tcPr>
            <w:tcW w:w="990" w:type="dxa"/>
            <w:tcBorders>
              <w:bottom w:val="single" w:sz="4" w:space="0" w:color="000000"/>
            </w:tcBorders>
            <w:vAlign w:val="center"/>
          </w:tcPr>
          <w:p w14:paraId="1FD5C5BB" w14:textId="0EF69B12" w:rsidR="00277B70" w:rsidRPr="00702E06" w:rsidRDefault="00277B70" w:rsidP="00BE7FB6">
            <w:pPr>
              <w:spacing w:before="60" w:after="60"/>
              <w:jc w:val="center"/>
            </w:pPr>
            <w:r w:rsidRPr="00702E06">
              <w:t>1.4</w:t>
            </w:r>
          </w:p>
        </w:tc>
        <w:tc>
          <w:tcPr>
            <w:tcW w:w="989" w:type="dxa"/>
            <w:tcBorders>
              <w:bottom w:val="single" w:sz="4" w:space="0" w:color="000000"/>
            </w:tcBorders>
            <w:vAlign w:val="center"/>
          </w:tcPr>
          <w:p w14:paraId="670F684E" w14:textId="7BF93BB2" w:rsidR="00277B70" w:rsidRPr="00702E06" w:rsidRDefault="00277B70" w:rsidP="00BE7FB6">
            <w:pPr>
              <w:spacing w:before="60" w:after="60"/>
              <w:jc w:val="center"/>
            </w:pPr>
            <w:r w:rsidRPr="00702E06">
              <w:t>1.4</w:t>
            </w:r>
          </w:p>
        </w:tc>
        <w:tc>
          <w:tcPr>
            <w:tcW w:w="1001" w:type="dxa"/>
            <w:vMerge/>
            <w:tcBorders>
              <w:bottom w:val="single" w:sz="4" w:space="0" w:color="000000"/>
            </w:tcBorders>
            <w:vAlign w:val="center"/>
          </w:tcPr>
          <w:p w14:paraId="55215C37" w14:textId="77777777" w:rsidR="00277B70" w:rsidRPr="00702E06" w:rsidRDefault="00277B70" w:rsidP="00BE7FB6">
            <w:pPr>
              <w:spacing w:before="60" w:after="60"/>
              <w:jc w:val="center"/>
            </w:pPr>
          </w:p>
        </w:tc>
        <w:tc>
          <w:tcPr>
            <w:tcW w:w="948" w:type="dxa"/>
            <w:vMerge/>
            <w:tcBorders>
              <w:bottom w:val="single" w:sz="4" w:space="0" w:color="000000"/>
            </w:tcBorders>
            <w:vAlign w:val="center"/>
          </w:tcPr>
          <w:p w14:paraId="7BDB88B0" w14:textId="77777777" w:rsidR="00277B70" w:rsidRPr="00702E06" w:rsidRDefault="00277B70" w:rsidP="00BE7FB6">
            <w:pPr>
              <w:spacing w:before="60" w:after="60"/>
              <w:jc w:val="center"/>
            </w:pPr>
          </w:p>
        </w:tc>
        <w:tc>
          <w:tcPr>
            <w:tcW w:w="1272" w:type="dxa"/>
            <w:tcBorders>
              <w:bottom w:val="single" w:sz="4" w:space="0" w:color="000000"/>
            </w:tcBorders>
            <w:vAlign w:val="center"/>
          </w:tcPr>
          <w:p w14:paraId="3017B88E" w14:textId="5F6508B3" w:rsidR="00277B70" w:rsidRPr="00702E06" w:rsidRDefault="00277B70" w:rsidP="00754A6A">
            <w:pPr>
              <w:spacing w:before="60" w:after="60"/>
              <w:jc w:val="center"/>
            </w:pPr>
            <w:r w:rsidRPr="00702E06">
              <w:t>6.0%</w:t>
            </w:r>
          </w:p>
        </w:tc>
        <w:tc>
          <w:tcPr>
            <w:tcW w:w="1294" w:type="dxa"/>
            <w:vMerge/>
            <w:tcBorders>
              <w:bottom w:val="single" w:sz="4" w:space="0" w:color="000000"/>
            </w:tcBorders>
            <w:vAlign w:val="center"/>
          </w:tcPr>
          <w:p w14:paraId="190FF9BA" w14:textId="77777777" w:rsidR="00277B70" w:rsidRPr="00702E06" w:rsidRDefault="00277B70" w:rsidP="00754A6A">
            <w:pPr>
              <w:spacing w:before="60" w:after="60"/>
              <w:jc w:val="center"/>
            </w:pPr>
          </w:p>
        </w:tc>
        <w:tc>
          <w:tcPr>
            <w:tcW w:w="997" w:type="dxa"/>
            <w:tcBorders>
              <w:bottom w:val="single" w:sz="4" w:space="0" w:color="000000"/>
            </w:tcBorders>
            <w:vAlign w:val="center"/>
          </w:tcPr>
          <w:p w14:paraId="6F501330" w14:textId="61915259" w:rsidR="007758A9" w:rsidRDefault="00277B70" w:rsidP="00810532">
            <w:pPr>
              <w:spacing w:before="60" w:after="60"/>
              <w:jc w:val="center"/>
            </w:pPr>
            <w:r w:rsidRPr="00702E06">
              <w:t>12.0</w:t>
            </w:r>
          </w:p>
          <w:p w14:paraId="14EC1BC1" w14:textId="76ED623A" w:rsidR="007758A9" w:rsidRPr="00702E06" w:rsidRDefault="007758A9" w:rsidP="00754A6A">
            <w:pPr>
              <w:spacing w:before="60" w:after="60"/>
              <w:jc w:val="center"/>
            </w:pPr>
          </w:p>
        </w:tc>
      </w:tr>
      <w:tr w:rsidR="00277B70" w14:paraId="0256739D" w14:textId="77777777" w:rsidTr="00754A6A">
        <w:tc>
          <w:tcPr>
            <w:tcW w:w="2001" w:type="dxa"/>
            <w:vAlign w:val="bottom"/>
          </w:tcPr>
          <w:p w14:paraId="68B3DE2A" w14:textId="521AA0C7"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mini: remote</w:t>
            </w:r>
          </w:p>
        </w:tc>
        <w:tc>
          <w:tcPr>
            <w:tcW w:w="990" w:type="dxa"/>
            <w:vAlign w:val="center"/>
          </w:tcPr>
          <w:p w14:paraId="575EF342" w14:textId="484EC45C" w:rsidR="00277B70" w:rsidRPr="00702E06" w:rsidRDefault="00277B70" w:rsidP="00BE7FB6">
            <w:pPr>
              <w:spacing w:before="60" w:after="60"/>
              <w:jc w:val="center"/>
            </w:pPr>
            <w:r w:rsidRPr="00702E06">
              <w:t>1.0</w:t>
            </w:r>
          </w:p>
        </w:tc>
        <w:tc>
          <w:tcPr>
            <w:tcW w:w="989" w:type="dxa"/>
            <w:vAlign w:val="center"/>
          </w:tcPr>
          <w:p w14:paraId="70A70A6F" w14:textId="4B79C402" w:rsidR="00277B70" w:rsidRPr="00702E06" w:rsidRDefault="00277B70" w:rsidP="00BE7FB6">
            <w:pPr>
              <w:spacing w:before="60" w:after="60"/>
              <w:jc w:val="center"/>
            </w:pPr>
            <w:r w:rsidRPr="00702E06">
              <w:t>1.0</w:t>
            </w:r>
          </w:p>
        </w:tc>
        <w:tc>
          <w:tcPr>
            <w:tcW w:w="1001" w:type="dxa"/>
            <w:vMerge w:val="restart"/>
            <w:vAlign w:val="center"/>
          </w:tcPr>
          <w:p w14:paraId="53482DE6" w14:textId="611E9D3E" w:rsidR="00277B70" w:rsidRPr="00702E06" w:rsidRDefault="00277B70" w:rsidP="00BE7FB6">
            <w:pPr>
              <w:spacing w:before="60" w:after="60"/>
              <w:jc w:val="center"/>
            </w:pPr>
            <w:r w:rsidRPr="00702E06">
              <w:t>80%</w:t>
            </w:r>
          </w:p>
        </w:tc>
        <w:tc>
          <w:tcPr>
            <w:tcW w:w="948" w:type="dxa"/>
            <w:vMerge w:val="restart"/>
            <w:vAlign w:val="center"/>
          </w:tcPr>
          <w:p w14:paraId="1315A7D9" w14:textId="141CD20F" w:rsidR="00277B70" w:rsidRPr="00702E06" w:rsidRDefault="00277B70" w:rsidP="00BE7FB6">
            <w:pPr>
              <w:spacing w:before="60" w:after="60"/>
              <w:jc w:val="center"/>
            </w:pPr>
            <w:r w:rsidRPr="00702E06">
              <w:t>95%</w:t>
            </w:r>
          </w:p>
        </w:tc>
        <w:tc>
          <w:tcPr>
            <w:tcW w:w="1272" w:type="dxa"/>
            <w:vAlign w:val="center"/>
          </w:tcPr>
          <w:p w14:paraId="40D4FAC3" w14:textId="5668BD6C" w:rsidR="00277B70" w:rsidRPr="00702E06" w:rsidRDefault="00277B70" w:rsidP="00754A6A">
            <w:pPr>
              <w:spacing w:before="60" w:after="60"/>
              <w:jc w:val="center"/>
            </w:pPr>
            <w:r w:rsidRPr="00702E06">
              <w:t>14.5%</w:t>
            </w:r>
          </w:p>
        </w:tc>
        <w:tc>
          <w:tcPr>
            <w:tcW w:w="1294" w:type="dxa"/>
            <w:vMerge w:val="restart"/>
            <w:vAlign w:val="center"/>
          </w:tcPr>
          <w:p w14:paraId="45A4D6E4" w14:textId="35DA6C14" w:rsidR="00277B70" w:rsidRPr="00702E06" w:rsidRDefault="00277B70" w:rsidP="00754A6A">
            <w:pPr>
              <w:spacing w:before="60" w:after="60"/>
              <w:jc w:val="center"/>
            </w:pPr>
            <w:r w:rsidRPr="00702E06">
              <w:t>15.7%</w:t>
            </w:r>
          </w:p>
        </w:tc>
        <w:tc>
          <w:tcPr>
            <w:tcW w:w="997" w:type="dxa"/>
            <w:vAlign w:val="center"/>
          </w:tcPr>
          <w:p w14:paraId="5FD4D0AD" w14:textId="66293A25" w:rsidR="00277B70" w:rsidRPr="00702E06" w:rsidRDefault="00277B70" w:rsidP="00754A6A">
            <w:pPr>
              <w:spacing w:before="60" w:after="60"/>
              <w:jc w:val="center"/>
            </w:pPr>
            <w:r w:rsidRPr="00702E06">
              <w:t>12.0</w:t>
            </w:r>
          </w:p>
        </w:tc>
      </w:tr>
      <w:tr w:rsidR="00277B70" w14:paraId="11667FAF" w14:textId="77777777" w:rsidTr="00754A6A">
        <w:tc>
          <w:tcPr>
            <w:tcW w:w="2001" w:type="dxa"/>
            <w:vAlign w:val="bottom"/>
          </w:tcPr>
          <w:p w14:paraId="499DFDB0" w14:textId="359AE442"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small: remote</w:t>
            </w:r>
          </w:p>
        </w:tc>
        <w:tc>
          <w:tcPr>
            <w:tcW w:w="990" w:type="dxa"/>
            <w:vAlign w:val="center"/>
          </w:tcPr>
          <w:p w14:paraId="4D1A36DC" w14:textId="533D0F54" w:rsidR="00277B70" w:rsidRPr="00702E06" w:rsidRDefault="00277B70" w:rsidP="00BE7FB6">
            <w:pPr>
              <w:spacing w:before="60" w:after="60"/>
              <w:jc w:val="center"/>
            </w:pPr>
            <w:r w:rsidRPr="00702E06">
              <w:t>5.0</w:t>
            </w:r>
          </w:p>
        </w:tc>
        <w:tc>
          <w:tcPr>
            <w:tcW w:w="989" w:type="dxa"/>
            <w:vAlign w:val="center"/>
          </w:tcPr>
          <w:p w14:paraId="01B77250" w14:textId="4E5A0FD6" w:rsidR="00277B70" w:rsidRPr="00702E06" w:rsidRDefault="00277B70" w:rsidP="00BE7FB6">
            <w:pPr>
              <w:spacing w:before="60" w:after="60"/>
              <w:jc w:val="center"/>
            </w:pPr>
            <w:r w:rsidRPr="00702E06">
              <w:t>5.0</w:t>
            </w:r>
          </w:p>
        </w:tc>
        <w:tc>
          <w:tcPr>
            <w:tcW w:w="1001" w:type="dxa"/>
            <w:vMerge/>
            <w:vAlign w:val="center"/>
          </w:tcPr>
          <w:p w14:paraId="75A9191D" w14:textId="77777777" w:rsidR="00277B70" w:rsidRPr="00702E06" w:rsidRDefault="00277B70" w:rsidP="00BE7FB6">
            <w:pPr>
              <w:spacing w:before="60" w:after="60"/>
              <w:jc w:val="center"/>
            </w:pPr>
          </w:p>
        </w:tc>
        <w:tc>
          <w:tcPr>
            <w:tcW w:w="948" w:type="dxa"/>
            <w:vMerge/>
            <w:vAlign w:val="center"/>
          </w:tcPr>
          <w:p w14:paraId="73355443" w14:textId="77777777" w:rsidR="00277B70" w:rsidRPr="00702E06" w:rsidRDefault="00277B70" w:rsidP="00BE7FB6">
            <w:pPr>
              <w:spacing w:before="60" w:after="60"/>
              <w:jc w:val="center"/>
            </w:pPr>
          </w:p>
        </w:tc>
        <w:tc>
          <w:tcPr>
            <w:tcW w:w="1272" w:type="dxa"/>
            <w:vAlign w:val="center"/>
          </w:tcPr>
          <w:p w14:paraId="5FEE804E" w14:textId="5B5E0A27" w:rsidR="00277B70" w:rsidRPr="00702E06" w:rsidRDefault="00277B70" w:rsidP="00754A6A">
            <w:pPr>
              <w:spacing w:before="60" w:after="60"/>
              <w:jc w:val="center"/>
            </w:pPr>
            <w:r w:rsidRPr="00702E06">
              <w:t>14.5%</w:t>
            </w:r>
          </w:p>
        </w:tc>
        <w:tc>
          <w:tcPr>
            <w:tcW w:w="1294" w:type="dxa"/>
            <w:vMerge/>
            <w:vAlign w:val="center"/>
          </w:tcPr>
          <w:p w14:paraId="5BBD14D0" w14:textId="77777777" w:rsidR="00277B70" w:rsidRPr="00702E06" w:rsidRDefault="00277B70" w:rsidP="00754A6A">
            <w:pPr>
              <w:spacing w:before="60" w:after="60"/>
              <w:jc w:val="center"/>
            </w:pPr>
          </w:p>
        </w:tc>
        <w:tc>
          <w:tcPr>
            <w:tcW w:w="997" w:type="dxa"/>
            <w:vAlign w:val="center"/>
          </w:tcPr>
          <w:p w14:paraId="7FD45FA7" w14:textId="67D307FD" w:rsidR="00277B70" w:rsidRPr="00702E06" w:rsidRDefault="00277B70" w:rsidP="00754A6A">
            <w:pPr>
              <w:spacing w:before="60" w:after="60"/>
              <w:jc w:val="center"/>
            </w:pPr>
            <w:r w:rsidRPr="00702E06">
              <w:t>12.0</w:t>
            </w:r>
          </w:p>
        </w:tc>
      </w:tr>
      <w:tr w:rsidR="00277B70" w14:paraId="157953B5" w14:textId="77777777" w:rsidTr="00754A6A">
        <w:tc>
          <w:tcPr>
            <w:tcW w:w="2001" w:type="dxa"/>
            <w:vAlign w:val="bottom"/>
          </w:tcPr>
          <w:p w14:paraId="243D1359" w14:textId="26C70B5C"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medium</w:t>
            </w:r>
          </w:p>
        </w:tc>
        <w:tc>
          <w:tcPr>
            <w:tcW w:w="990" w:type="dxa"/>
            <w:vAlign w:val="center"/>
          </w:tcPr>
          <w:p w14:paraId="561C0EB4" w14:textId="1E259832" w:rsidR="00277B70" w:rsidRPr="00702E06" w:rsidRDefault="00277B70" w:rsidP="00BE7FB6">
            <w:pPr>
              <w:spacing w:before="60" w:after="60"/>
              <w:jc w:val="center"/>
            </w:pPr>
            <w:r w:rsidRPr="00702E06">
              <w:t>17.0</w:t>
            </w:r>
          </w:p>
        </w:tc>
        <w:tc>
          <w:tcPr>
            <w:tcW w:w="989" w:type="dxa"/>
            <w:vAlign w:val="center"/>
          </w:tcPr>
          <w:p w14:paraId="0D6CF346" w14:textId="6EA32A3C" w:rsidR="00277B70" w:rsidRPr="00702E06" w:rsidRDefault="00277B70" w:rsidP="00BE7FB6">
            <w:pPr>
              <w:spacing w:before="60" w:after="60"/>
              <w:jc w:val="center"/>
            </w:pPr>
            <w:r w:rsidRPr="00702E06">
              <w:t>17.0</w:t>
            </w:r>
          </w:p>
        </w:tc>
        <w:tc>
          <w:tcPr>
            <w:tcW w:w="1001" w:type="dxa"/>
            <w:vMerge/>
            <w:vAlign w:val="center"/>
          </w:tcPr>
          <w:p w14:paraId="27BD7CC7" w14:textId="77777777" w:rsidR="00277B70" w:rsidRPr="00702E06" w:rsidRDefault="00277B70" w:rsidP="00BE7FB6">
            <w:pPr>
              <w:spacing w:before="60" w:after="60"/>
              <w:jc w:val="center"/>
            </w:pPr>
          </w:p>
        </w:tc>
        <w:tc>
          <w:tcPr>
            <w:tcW w:w="948" w:type="dxa"/>
            <w:vMerge/>
            <w:vAlign w:val="center"/>
          </w:tcPr>
          <w:p w14:paraId="2B68A88C" w14:textId="77777777" w:rsidR="00277B70" w:rsidRPr="00702E06" w:rsidRDefault="00277B70" w:rsidP="00BE7FB6">
            <w:pPr>
              <w:spacing w:before="60" w:after="60"/>
              <w:jc w:val="center"/>
            </w:pPr>
          </w:p>
        </w:tc>
        <w:tc>
          <w:tcPr>
            <w:tcW w:w="1272" w:type="dxa"/>
            <w:vAlign w:val="center"/>
          </w:tcPr>
          <w:p w14:paraId="6916DCEC" w14:textId="41B873C7" w:rsidR="00277B70" w:rsidRPr="00702E06" w:rsidRDefault="00277B70" w:rsidP="00754A6A">
            <w:pPr>
              <w:spacing w:before="60" w:after="60"/>
              <w:jc w:val="center"/>
            </w:pPr>
            <w:r w:rsidRPr="00702E06">
              <w:t>14.5%</w:t>
            </w:r>
          </w:p>
        </w:tc>
        <w:tc>
          <w:tcPr>
            <w:tcW w:w="1294" w:type="dxa"/>
            <w:vMerge/>
            <w:vAlign w:val="center"/>
          </w:tcPr>
          <w:p w14:paraId="2D263050" w14:textId="77777777" w:rsidR="00277B70" w:rsidRPr="00702E06" w:rsidRDefault="00277B70" w:rsidP="00754A6A">
            <w:pPr>
              <w:spacing w:before="60" w:after="60"/>
              <w:jc w:val="center"/>
            </w:pPr>
          </w:p>
        </w:tc>
        <w:tc>
          <w:tcPr>
            <w:tcW w:w="997" w:type="dxa"/>
            <w:vAlign w:val="center"/>
          </w:tcPr>
          <w:p w14:paraId="2D183A17" w14:textId="354DFA04" w:rsidR="00277B70" w:rsidRPr="00702E06" w:rsidRDefault="00277B70" w:rsidP="00754A6A">
            <w:pPr>
              <w:spacing w:before="60" w:after="60"/>
              <w:jc w:val="center"/>
            </w:pPr>
            <w:r w:rsidRPr="00702E06">
              <w:t>12.0</w:t>
            </w:r>
          </w:p>
        </w:tc>
      </w:tr>
      <w:tr w:rsidR="00277B70" w14:paraId="66A03AD4" w14:textId="77777777" w:rsidTr="00754A6A">
        <w:tc>
          <w:tcPr>
            <w:tcW w:w="2001" w:type="dxa"/>
            <w:vAlign w:val="bottom"/>
          </w:tcPr>
          <w:p w14:paraId="6A8D07F0" w14:textId="654A9B61"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large</w:t>
            </w:r>
          </w:p>
        </w:tc>
        <w:tc>
          <w:tcPr>
            <w:tcW w:w="990" w:type="dxa"/>
            <w:vAlign w:val="center"/>
          </w:tcPr>
          <w:p w14:paraId="3F768370" w14:textId="0ED42341" w:rsidR="00277B70" w:rsidRPr="00702E06" w:rsidRDefault="00277B70" w:rsidP="00BE7FB6">
            <w:pPr>
              <w:spacing w:before="60" w:after="60"/>
              <w:jc w:val="center"/>
            </w:pPr>
            <w:r w:rsidRPr="00702E06">
              <w:t>23.0</w:t>
            </w:r>
          </w:p>
        </w:tc>
        <w:tc>
          <w:tcPr>
            <w:tcW w:w="989" w:type="dxa"/>
            <w:vAlign w:val="center"/>
          </w:tcPr>
          <w:p w14:paraId="409D4631" w14:textId="5D00E194" w:rsidR="00277B70" w:rsidRPr="00702E06" w:rsidRDefault="00277B70" w:rsidP="00BE7FB6">
            <w:pPr>
              <w:spacing w:before="60" w:after="60"/>
              <w:jc w:val="center"/>
            </w:pPr>
            <w:r w:rsidRPr="00702E06">
              <w:t>23.0</w:t>
            </w:r>
          </w:p>
        </w:tc>
        <w:tc>
          <w:tcPr>
            <w:tcW w:w="1001" w:type="dxa"/>
            <w:vMerge/>
            <w:vAlign w:val="center"/>
          </w:tcPr>
          <w:p w14:paraId="6C9A8BDB" w14:textId="76D9A217" w:rsidR="00277B70" w:rsidRPr="00702E06" w:rsidRDefault="00277B70" w:rsidP="00BE7FB6">
            <w:pPr>
              <w:spacing w:before="60" w:after="60"/>
              <w:jc w:val="center"/>
            </w:pPr>
          </w:p>
        </w:tc>
        <w:tc>
          <w:tcPr>
            <w:tcW w:w="948" w:type="dxa"/>
            <w:vMerge/>
            <w:vAlign w:val="center"/>
          </w:tcPr>
          <w:p w14:paraId="7FF44A63" w14:textId="6940D288" w:rsidR="00277B70" w:rsidRPr="00702E06" w:rsidRDefault="00277B70" w:rsidP="00BE7FB6">
            <w:pPr>
              <w:spacing w:before="60" w:after="60"/>
              <w:jc w:val="center"/>
            </w:pPr>
          </w:p>
        </w:tc>
        <w:tc>
          <w:tcPr>
            <w:tcW w:w="1272" w:type="dxa"/>
            <w:vAlign w:val="center"/>
          </w:tcPr>
          <w:p w14:paraId="59D6C5A7" w14:textId="5C3E6B90" w:rsidR="00277B70" w:rsidRPr="00702E06" w:rsidRDefault="00277B70" w:rsidP="00754A6A">
            <w:pPr>
              <w:spacing w:before="60" w:after="60"/>
              <w:jc w:val="center"/>
            </w:pPr>
            <w:r w:rsidRPr="00702E06">
              <w:t>14.5%</w:t>
            </w:r>
          </w:p>
        </w:tc>
        <w:tc>
          <w:tcPr>
            <w:tcW w:w="1294" w:type="dxa"/>
            <w:vMerge/>
            <w:vAlign w:val="center"/>
          </w:tcPr>
          <w:p w14:paraId="1F698417" w14:textId="77777777" w:rsidR="00277B70" w:rsidRPr="00702E06" w:rsidRDefault="00277B70" w:rsidP="00754A6A">
            <w:pPr>
              <w:spacing w:before="60" w:after="60"/>
              <w:jc w:val="center"/>
            </w:pPr>
          </w:p>
        </w:tc>
        <w:tc>
          <w:tcPr>
            <w:tcW w:w="997" w:type="dxa"/>
            <w:vAlign w:val="center"/>
          </w:tcPr>
          <w:p w14:paraId="2DFD39D4" w14:textId="668A6C63" w:rsidR="00277B70" w:rsidRPr="00702E06" w:rsidRDefault="00277B70" w:rsidP="00754A6A">
            <w:pPr>
              <w:spacing w:before="60" w:after="60"/>
              <w:jc w:val="center"/>
            </w:pPr>
            <w:r w:rsidRPr="00702E06">
              <w:t>15.0</w:t>
            </w:r>
          </w:p>
        </w:tc>
      </w:tr>
      <w:tr w:rsidR="00277B70" w14:paraId="751B4790" w14:textId="77777777" w:rsidTr="00754A6A">
        <w:tc>
          <w:tcPr>
            <w:tcW w:w="2001" w:type="dxa"/>
            <w:vAlign w:val="bottom"/>
          </w:tcPr>
          <w:p w14:paraId="2BFDB56D" w14:textId="5B69566F" w:rsidR="00277B70" w:rsidRPr="00702E06" w:rsidRDefault="00277B70" w:rsidP="008E413B">
            <w:pPr>
              <w:spacing w:before="60" w:after="60"/>
              <w:jc w:val="left"/>
            </w:pPr>
            <w:r w:rsidRPr="00702E06">
              <w:rPr>
                <w:color w:val="000000"/>
              </w:rPr>
              <w:t>Walk-in cool</w:t>
            </w:r>
            <w:r w:rsidR="001E68A3">
              <w:rPr>
                <w:color w:val="000000"/>
              </w:rPr>
              <w:t xml:space="preserve"> </w:t>
            </w:r>
            <w:r w:rsidRPr="00702E06">
              <w:rPr>
                <w:color w:val="000000"/>
              </w:rPr>
              <w:t>rooms: warehouse</w:t>
            </w:r>
          </w:p>
        </w:tc>
        <w:tc>
          <w:tcPr>
            <w:tcW w:w="990" w:type="dxa"/>
            <w:vAlign w:val="center"/>
          </w:tcPr>
          <w:p w14:paraId="3F25EB58" w14:textId="5098C917" w:rsidR="00277B70" w:rsidRPr="00702E06" w:rsidRDefault="00277B70" w:rsidP="008E413B">
            <w:pPr>
              <w:spacing w:before="60" w:after="60"/>
              <w:jc w:val="center"/>
            </w:pPr>
            <w:r w:rsidRPr="00702E06">
              <w:t>30.0</w:t>
            </w:r>
          </w:p>
        </w:tc>
        <w:tc>
          <w:tcPr>
            <w:tcW w:w="989" w:type="dxa"/>
            <w:vAlign w:val="center"/>
          </w:tcPr>
          <w:p w14:paraId="2CC25328" w14:textId="0149805A" w:rsidR="00277B70" w:rsidRPr="00702E06" w:rsidRDefault="00277B70" w:rsidP="008E413B">
            <w:pPr>
              <w:spacing w:before="60" w:after="60"/>
              <w:jc w:val="center"/>
            </w:pPr>
            <w:r w:rsidRPr="00702E06">
              <w:t>30.0</w:t>
            </w:r>
          </w:p>
        </w:tc>
        <w:tc>
          <w:tcPr>
            <w:tcW w:w="1001" w:type="dxa"/>
            <w:vMerge/>
            <w:vAlign w:val="center"/>
          </w:tcPr>
          <w:p w14:paraId="35FCE43F" w14:textId="77777777" w:rsidR="00277B70" w:rsidRPr="00702E06" w:rsidRDefault="00277B70" w:rsidP="008E413B">
            <w:pPr>
              <w:spacing w:before="60" w:after="60"/>
              <w:jc w:val="center"/>
            </w:pPr>
          </w:p>
        </w:tc>
        <w:tc>
          <w:tcPr>
            <w:tcW w:w="948" w:type="dxa"/>
            <w:vMerge/>
            <w:vAlign w:val="center"/>
          </w:tcPr>
          <w:p w14:paraId="41CD2000" w14:textId="77777777" w:rsidR="00277B70" w:rsidRPr="00702E06" w:rsidRDefault="00277B70" w:rsidP="008E413B">
            <w:pPr>
              <w:spacing w:before="60" w:after="60"/>
              <w:jc w:val="center"/>
            </w:pPr>
          </w:p>
        </w:tc>
        <w:tc>
          <w:tcPr>
            <w:tcW w:w="1272" w:type="dxa"/>
            <w:vAlign w:val="center"/>
          </w:tcPr>
          <w:p w14:paraId="7551750A" w14:textId="61B15E15" w:rsidR="00277B70" w:rsidRPr="00702E06" w:rsidRDefault="00277B70" w:rsidP="008E413B">
            <w:pPr>
              <w:spacing w:before="60" w:after="60"/>
              <w:jc w:val="center"/>
            </w:pPr>
            <w:r w:rsidRPr="00702E06">
              <w:t>14.5%</w:t>
            </w:r>
          </w:p>
        </w:tc>
        <w:tc>
          <w:tcPr>
            <w:tcW w:w="1294" w:type="dxa"/>
            <w:vMerge/>
            <w:vAlign w:val="center"/>
          </w:tcPr>
          <w:p w14:paraId="5104070E" w14:textId="77777777" w:rsidR="00277B70" w:rsidRPr="00702E06" w:rsidRDefault="00277B70" w:rsidP="008E413B">
            <w:pPr>
              <w:spacing w:before="60" w:after="60"/>
              <w:jc w:val="center"/>
            </w:pPr>
          </w:p>
        </w:tc>
        <w:tc>
          <w:tcPr>
            <w:tcW w:w="997" w:type="dxa"/>
            <w:vAlign w:val="center"/>
          </w:tcPr>
          <w:p w14:paraId="228F78D5" w14:textId="4964D39A" w:rsidR="00277B70" w:rsidRPr="00702E06" w:rsidRDefault="00277B70" w:rsidP="008E413B">
            <w:pPr>
              <w:spacing w:before="60" w:after="60"/>
              <w:jc w:val="center"/>
            </w:pPr>
            <w:r w:rsidRPr="00702E06">
              <w:t>20.0</w:t>
            </w:r>
          </w:p>
        </w:tc>
      </w:tr>
      <w:tr w:rsidR="00277B70" w14:paraId="4F29F08C" w14:textId="77777777" w:rsidTr="00754A6A">
        <w:tc>
          <w:tcPr>
            <w:tcW w:w="2001" w:type="dxa"/>
            <w:vAlign w:val="bottom"/>
          </w:tcPr>
          <w:p w14:paraId="32954464" w14:textId="0C80A9AA" w:rsidR="00277B70" w:rsidRPr="00702E06" w:rsidRDefault="00277B70" w:rsidP="008E413B">
            <w:pPr>
              <w:spacing w:before="60" w:after="60"/>
              <w:jc w:val="left"/>
            </w:pPr>
            <w:r w:rsidRPr="00702E06">
              <w:rPr>
                <w:color w:val="000000"/>
              </w:rPr>
              <w:t>Refrigeration cabinets: remote</w:t>
            </w:r>
          </w:p>
        </w:tc>
        <w:tc>
          <w:tcPr>
            <w:tcW w:w="990" w:type="dxa"/>
            <w:vAlign w:val="center"/>
          </w:tcPr>
          <w:p w14:paraId="236D8B85" w14:textId="65CAF045" w:rsidR="00277B70" w:rsidRPr="00702E06" w:rsidRDefault="00277B70" w:rsidP="008E413B">
            <w:pPr>
              <w:spacing w:before="60" w:after="60"/>
              <w:jc w:val="center"/>
            </w:pPr>
            <w:r w:rsidRPr="00702E06">
              <w:t>10.0</w:t>
            </w:r>
          </w:p>
        </w:tc>
        <w:tc>
          <w:tcPr>
            <w:tcW w:w="989" w:type="dxa"/>
            <w:vAlign w:val="center"/>
          </w:tcPr>
          <w:p w14:paraId="3C8E22F7" w14:textId="7BCDAAB3" w:rsidR="00277B70" w:rsidRPr="00702E06" w:rsidRDefault="00277B70" w:rsidP="008E413B">
            <w:pPr>
              <w:spacing w:before="60" w:after="60"/>
              <w:jc w:val="center"/>
            </w:pPr>
            <w:r w:rsidRPr="00702E06">
              <w:t>10.0</w:t>
            </w:r>
          </w:p>
        </w:tc>
        <w:tc>
          <w:tcPr>
            <w:tcW w:w="1001" w:type="dxa"/>
            <w:vMerge/>
            <w:vAlign w:val="center"/>
          </w:tcPr>
          <w:p w14:paraId="33E039AB" w14:textId="77777777" w:rsidR="00277B70" w:rsidRPr="00702E06" w:rsidRDefault="00277B70" w:rsidP="008E413B">
            <w:pPr>
              <w:spacing w:before="60" w:after="60"/>
              <w:jc w:val="center"/>
            </w:pPr>
          </w:p>
        </w:tc>
        <w:tc>
          <w:tcPr>
            <w:tcW w:w="948" w:type="dxa"/>
            <w:vMerge/>
            <w:vAlign w:val="center"/>
          </w:tcPr>
          <w:p w14:paraId="3C112A17" w14:textId="77777777" w:rsidR="00277B70" w:rsidRPr="00702E06" w:rsidRDefault="00277B70" w:rsidP="008E413B">
            <w:pPr>
              <w:spacing w:before="60" w:after="60"/>
              <w:jc w:val="center"/>
            </w:pPr>
          </w:p>
        </w:tc>
        <w:tc>
          <w:tcPr>
            <w:tcW w:w="1272" w:type="dxa"/>
            <w:vAlign w:val="center"/>
          </w:tcPr>
          <w:p w14:paraId="79888D71" w14:textId="6C73459C" w:rsidR="00277B70" w:rsidRPr="00702E06" w:rsidRDefault="00277B70" w:rsidP="008E413B">
            <w:pPr>
              <w:spacing w:before="60" w:after="60"/>
              <w:jc w:val="center"/>
            </w:pPr>
            <w:r w:rsidRPr="00702E06">
              <w:t>14.5%</w:t>
            </w:r>
          </w:p>
        </w:tc>
        <w:tc>
          <w:tcPr>
            <w:tcW w:w="1294" w:type="dxa"/>
            <w:vMerge/>
            <w:vAlign w:val="center"/>
          </w:tcPr>
          <w:p w14:paraId="06A72722" w14:textId="77777777" w:rsidR="00277B70" w:rsidRPr="00702E06" w:rsidRDefault="00277B70" w:rsidP="008E413B">
            <w:pPr>
              <w:spacing w:before="60" w:after="60"/>
              <w:jc w:val="center"/>
            </w:pPr>
          </w:p>
        </w:tc>
        <w:tc>
          <w:tcPr>
            <w:tcW w:w="997" w:type="dxa"/>
            <w:vAlign w:val="center"/>
          </w:tcPr>
          <w:p w14:paraId="5594F939" w14:textId="1B8F5263" w:rsidR="00277B70" w:rsidRPr="00702E06" w:rsidRDefault="00277B70" w:rsidP="008E413B">
            <w:pPr>
              <w:spacing w:before="60" w:after="60"/>
              <w:jc w:val="center"/>
            </w:pPr>
            <w:r w:rsidRPr="00702E06">
              <w:t>15.0</w:t>
            </w:r>
          </w:p>
        </w:tc>
      </w:tr>
      <w:tr w:rsidR="00277B70" w14:paraId="5D52E422" w14:textId="77777777" w:rsidTr="00754A6A">
        <w:tc>
          <w:tcPr>
            <w:tcW w:w="2001" w:type="dxa"/>
            <w:vAlign w:val="bottom"/>
          </w:tcPr>
          <w:p w14:paraId="16FE19D5" w14:textId="3EF983B3" w:rsidR="00277B70" w:rsidRPr="00702E06" w:rsidRDefault="00277B70" w:rsidP="00434EB2">
            <w:pPr>
              <w:spacing w:before="60" w:after="60"/>
              <w:jc w:val="left"/>
            </w:pPr>
            <w:r w:rsidRPr="00702E06">
              <w:rPr>
                <w:color w:val="000000"/>
              </w:rPr>
              <w:t>Beverage cooling (beer)</w:t>
            </w:r>
          </w:p>
        </w:tc>
        <w:tc>
          <w:tcPr>
            <w:tcW w:w="990" w:type="dxa"/>
            <w:vAlign w:val="center"/>
          </w:tcPr>
          <w:p w14:paraId="2D31B43B" w14:textId="0A666020" w:rsidR="00277B70" w:rsidRPr="00702E06" w:rsidRDefault="00277B70" w:rsidP="00434EB2">
            <w:pPr>
              <w:spacing w:before="60" w:after="60"/>
              <w:jc w:val="center"/>
            </w:pPr>
            <w:r w:rsidRPr="00702E06">
              <w:t>40.0</w:t>
            </w:r>
          </w:p>
        </w:tc>
        <w:tc>
          <w:tcPr>
            <w:tcW w:w="989" w:type="dxa"/>
            <w:vAlign w:val="center"/>
          </w:tcPr>
          <w:p w14:paraId="66DC0995" w14:textId="0C8BBCF9" w:rsidR="00277B70" w:rsidRPr="00702E06" w:rsidRDefault="00277B70" w:rsidP="00434EB2">
            <w:pPr>
              <w:spacing w:before="60" w:after="60"/>
              <w:jc w:val="center"/>
            </w:pPr>
            <w:r w:rsidRPr="00702E06">
              <w:t>40.0</w:t>
            </w:r>
          </w:p>
        </w:tc>
        <w:tc>
          <w:tcPr>
            <w:tcW w:w="1001" w:type="dxa"/>
            <w:vMerge w:val="restart"/>
            <w:vAlign w:val="center"/>
          </w:tcPr>
          <w:p w14:paraId="22688447" w14:textId="1B7231D0" w:rsidR="00277B70" w:rsidRPr="00702E06" w:rsidRDefault="00277B70" w:rsidP="00434EB2">
            <w:pPr>
              <w:spacing w:before="60" w:after="60"/>
              <w:jc w:val="center"/>
            </w:pPr>
            <w:r w:rsidRPr="00702E06">
              <w:t>80%</w:t>
            </w:r>
          </w:p>
        </w:tc>
        <w:tc>
          <w:tcPr>
            <w:tcW w:w="948" w:type="dxa"/>
            <w:vMerge w:val="restart"/>
            <w:vAlign w:val="center"/>
          </w:tcPr>
          <w:p w14:paraId="1EA767E5" w14:textId="06EDBB8D" w:rsidR="00277B70" w:rsidRPr="00702E06" w:rsidRDefault="00277B70" w:rsidP="00434EB2">
            <w:pPr>
              <w:spacing w:before="60" w:after="60"/>
              <w:jc w:val="center"/>
            </w:pPr>
            <w:r w:rsidRPr="00702E06">
              <w:t>95%</w:t>
            </w:r>
          </w:p>
        </w:tc>
        <w:tc>
          <w:tcPr>
            <w:tcW w:w="1272" w:type="dxa"/>
            <w:vAlign w:val="center"/>
          </w:tcPr>
          <w:p w14:paraId="17497657" w14:textId="1D4266CA" w:rsidR="00277B70" w:rsidRPr="00702E06" w:rsidRDefault="00277B70" w:rsidP="00434EB2">
            <w:pPr>
              <w:spacing w:before="60" w:after="60"/>
              <w:jc w:val="center"/>
            </w:pPr>
            <w:r w:rsidRPr="00702E06">
              <w:t>14.5%</w:t>
            </w:r>
          </w:p>
        </w:tc>
        <w:tc>
          <w:tcPr>
            <w:tcW w:w="1294" w:type="dxa"/>
            <w:vMerge w:val="restart"/>
            <w:vAlign w:val="center"/>
          </w:tcPr>
          <w:p w14:paraId="784D9948" w14:textId="72A048B9" w:rsidR="00277B70" w:rsidRPr="00702E06" w:rsidRDefault="00277B70" w:rsidP="00434EB2">
            <w:pPr>
              <w:spacing w:before="60" w:after="60"/>
              <w:jc w:val="center"/>
            </w:pPr>
            <w:r w:rsidRPr="00702E06">
              <w:t>15.7%</w:t>
            </w:r>
          </w:p>
        </w:tc>
        <w:tc>
          <w:tcPr>
            <w:tcW w:w="997" w:type="dxa"/>
            <w:vAlign w:val="center"/>
          </w:tcPr>
          <w:p w14:paraId="53FE4967" w14:textId="799CA66D" w:rsidR="00277B70" w:rsidRPr="00702E06" w:rsidRDefault="00277B70" w:rsidP="00434EB2">
            <w:pPr>
              <w:spacing w:before="60" w:after="60"/>
              <w:jc w:val="center"/>
            </w:pPr>
            <w:r w:rsidRPr="00702E06">
              <w:t>15.0</w:t>
            </w:r>
          </w:p>
        </w:tc>
      </w:tr>
      <w:tr w:rsidR="00277B70" w14:paraId="67B77D5C" w14:textId="77777777" w:rsidTr="00754A6A">
        <w:tc>
          <w:tcPr>
            <w:tcW w:w="2001" w:type="dxa"/>
            <w:vAlign w:val="bottom"/>
          </w:tcPr>
          <w:p w14:paraId="1BA26220" w14:textId="053E3290" w:rsidR="00277B70" w:rsidRPr="00702E06" w:rsidRDefault="00277B70" w:rsidP="00434EB2">
            <w:pPr>
              <w:spacing w:before="60" w:after="60"/>
              <w:jc w:val="left"/>
            </w:pPr>
            <w:r w:rsidRPr="00702E06">
              <w:rPr>
                <w:color w:val="000000"/>
              </w:rPr>
              <w:t>Milk vat refrigeration</w:t>
            </w:r>
          </w:p>
        </w:tc>
        <w:tc>
          <w:tcPr>
            <w:tcW w:w="990" w:type="dxa"/>
            <w:vAlign w:val="center"/>
          </w:tcPr>
          <w:p w14:paraId="3F9B25B0" w14:textId="51EB3A62" w:rsidR="00277B70" w:rsidRPr="00702E06" w:rsidRDefault="00277B70" w:rsidP="00434EB2">
            <w:pPr>
              <w:spacing w:before="60" w:after="60"/>
              <w:jc w:val="center"/>
            </w:pPr>
            <w:r w:rsidRPr="00702E06">
              <w:t>40.0</w:t>
            </w:r>
          </w:p>
        </w:tc>
        <w:tc>
          <w:tcPr>
            <w:tcW w:w="989" w:type="dxa"/>
            <w:vAlign w:val="center"/>
          </w:tcPr>
          <w:p w14:paraId="3E01B664" w14:textId="563D7E3E" w:rsidR="00277B70" w:rsidRPr="00702E06" w:rsidRDefault="00277B70" w:rsidP="00434EB2">
            <w:pPr>
              <w:spacing w:before="60" w:after="60"/>
              <w:jc w:val="center"/>
            </w:pPr>
            <w:r w:rsidRPr="00702E06">
              <w:t>40.0</w:t>
            </w:r>
          </w:p>
        </w:tc>
        <w:tc>
          <w:tcPr>
            <w:tcW w:w="1001" w:type="dxa"/>
            <w:vMerge/>
            <w:vAlign w:val="center"/>
          </w:tcPr>
          <w:p w14:paraId="62BEF1EB" w14:textId="77777777" w:rsidR="00277B70" w:rsidRPr="00702E06" w:rsidRDefault="00277B70" w:rsidP="00434EB2">
            <w:pPr>
              <w:spacing w:before="60" w:after="60"/>
              <w:jc w:val="center"/>
            </w:pPr>
          </w:p>
        </w:tc>
        <w:tc>
          <w:tcPr>
            <w:tcW w:w="948" w:type="dxa"/>
            <w:vMerge/>
            <w:vAlign w:val="center"/>
          </w:tcPr>
          <w:p w14:paraId="5253AB2C" w14:textId="77777777" w:rsidR="00277B70" w:rsidRPr="00702E06" w:rsidRDefault="00277B70" w:rsidP="00434EB2">
            <w:pPr>
              <w:spacing w:before="60" w:after="60"/>
              <w:jc w:val="center"/>
            </w:pPr>
          </w:p>
        </w:tc>
        <w:tc>
          <w:tcPr>
            <w:tcW w:w="1272" w:type="dxa"/>
            <w:vAlign w:val="center"/>
          </w:tcPr>
          <w:p w14:paraId="6EDA98EA" w14:textId="176E0344" w:rsidR="00277B70" w:rsidRPr="00702E06" w:rsidRDefault="00277B70" w:rsidP="00434EB2">
            <w:pPr>
              <w:spacing w:before="60" w:after="60"/>
              <w:jc w:val="center"/>
            </w:pPr>
            <w:r w:rsidRPr="00702E06">
              <w:t>14.5%</w:t>
            </w:r>
          </w:p>
        </w:tc>
        <w:tc>
          <w:tcPr>
            <w:tcW w:w="1294" w:type="dxa"/>
            <w:vMerge/>
            <w:vAlign w:val="center"/>
          </w:tcPr>
          <w:p w14:paraId="5329325B" w14:textId="77777777" w:rsidR="00277B70" w:rsidRPr="00702E06" w:rsidRDefault="00277B70" w:rsidP="00434EB2">
            <w:pPr>
              <w:spacing w:before="60" w:after="60"/>
              <w:jc w:val="center"/>
            </w:pPr>
          </w:p>
        </w:tc>
        <w:tc>
          <w:tcPr>
            <w:tcW w:w="997" w:type="dxa"/>
            <w:vAlign w:val="center"/>
          </w:tcPr>
          <w:p w14:paraId="6E7DB5E1" w14:textId="6F32B5F3" w:rsidR="00277B70" w:rsidRPr="00702E06" w:rsidRDefault="00277B70" w:rsidP="00434EB2">
            <w:pPr>
              <w:spacing w:before="60" w:after="60"/>
              <w:jc w:val="center"/>
            </w:pPr>
            <w:r w:rsidRPr="00702E06">
              <w:t>30.0</w:t>
            </w:r>
          </w:p>
        </w:tc>
      </w:tr>
      <w:tr w:rsidR="00277B70" w14:paraId="470065FF" w14:textId="77777777" w:rsidTr="00754A6A">
        <w:tc>
          <w:tcPr>
            <w:tcW w:w="2001" w:type="dxa"/>
            <w:vAlign w:val="bottom"/>
          </w:tcPr>
          <w:p w14:paraId="05511FBF" w14:textId="3E266B32" w:rsidR="00277B70" w:rsidRPr="00702E06" w:rsidRDefault="00277B70" w:rsidP="00434EB2">
            <w:pPr>
              <w:spacing w:before="60" w:after="60"/>
              <w:jc w:val="left"/>
            </w:pPr>
            <w:r w:rsidRPr="00702E06">
              <w:rPr>
                <w:color w:val="000000"/>
              </w:rPr>
              <w:t>Packaged liquid chillers (incl. Milk vat)</w:t>
            </w:r>
          </w:p>
        </w:tc>
        <w:tc>
          <w:tcPr>
            <w:tcW w:w="990" w:type="dxa"/>
            <w:vAlign w:val="center"/>
          </w:tcPr>
          <w:p w14:paraId="143B9664" w14:textId="49D88478" w:rsidR="00277B70" w:rsidRPr="00702E06" w:rsidRDefault="00277B70" w:rsidP="00434EB2">
            <w:pPr>
              <w:spacing w:before="60" w:after="60"/>
              <w:jc w:val="center"/>
            </w:pPr>
            <w:r w:rsidRPr="00702E06">
              <w:t>40.0</w:t>
            </w:r>
          </w:p>
        </w:tc>
        <w:tc>
          <w:tcPr>
            <w:tcW w:w="989" w:type="dxa"/>
            <w:vAlign w:val="center"/>
          </w:tcPr>
          <w:p w14:paraId="4D05300D" w14:textId="53BAC8D0" w:rsidR="00277B70" w:rsidRPr="00702E06" w:rsidRDefault="00277B70" w:rsidP="00434EB2">
            <w:pPr>
              <w:spacing w:before="60" w:after="60"/>
              <w:jc w:val="center"/>
            </w:pPr>
            <w:r w:rsidRPr="00702E06">
              <w:t>40.0</w:t>
            </w:r>
          </w:p>
        </w:tc>
        <w:tc>
          <w:tcPr>
            <w:tcW w:w="1001" w:type="dxa"/>
            <w:vMerge/>
            <w:vAlign w:val="center"/>
          </w:tcPr>
          <w:p w14:paraId="5B1145A0" w14:textId="77777777" w:rsidR="00277B70" w:rsidRPr="00702E06" w:rsidRDefault="00277B70" w:rsidP="00434EB2">
            <w:pPr>
              <w:spacing w:before="60" w:after="60"/>
              <w:jc w:val="center"/>
            </w:pPr>
          </w:p>
        </w:tc>
        <w:tc>
          <w:tcPr>
            <w:tcW w:w="948" w:type="dxa"/>
            <w:vMerge/>
            <w:vAlign w:val="center"/>
          </w:tcPr>
          <w:p w14:paraId="40A90256" w14:textId="77777777" w:rsidR="00277B70" w:rsidRPr="00702E06" w:rsidRDefault="00277B70" w:rsidP="00434EB2">
            <w:pPr>
              <w:spacing w:before="60" w:after="60"/>
              <w:jc w:val="center"/>
            </w:pPr>
          </w:p>
        </w:tc>
        <w:tc>
          <w:tcPr>
            <w:tcW w:w="1272" w:type="dxa"/>
            <w:vAlign w:val="center"/>
          </w:tcPr>
          <w:p w14:paraId="2ECB76B5" w14:textId="727FFDCC" w:rsidR="00277B70" w:rsidRPr="00702E06" w:rsidRDefault="00277B70" w:rsidP="00434EB2">
            <w:pPr>
              <w:spacing w:before="60" w:after="60"/>
              <w:jc w:val="center"/>
            </w:pPr>
            <w:r w:rsidRPr="00702E06">
              <w:t>14.5%</w:t>
            </w:r>
          </w:p>
        </w:tc>
        <w:tc>
          <w:tcPr>
            <w:tcW w:w="1294" w:type="dxa"/>
            <w:vMerge/>
            <w:vAlign w:val="center"/>
          </w:tcPr>
          <w:p w14:paraId="4E95D2F2" w14:textId="77777777" w:rsidR="00277B70" w:rsidRPr="00702E06" w:rsidRDefault="00277B70" w:rsidP="00434EB2">
            <w:pPr>
              <w:spacing w:before="60" w:after="60"/>
              <w:jc w:val="center"/>
            </w:pPr>
          </w:p>
        </w:tc>
        <w:tc>
          <w:tcPr>
            <w:tcW w:w="997" w:type="dxa"/>
            <w:vAlign w:val="center"/>
          </w:tcPr>
          <w:p w14:paraId="64CA7BE8" w14:textId="675F3A77" w:rsidR="00277B70" w:rsidRPr="00702E06" w:rsidRDefault="00277B70" w:rsidP="00434EB2">
            <w:pPr>
              <w:spacing w:before="60" w:after="60"/>
              <w:jc w:val="center"/>
            </w:pPr>
            <w:r w:rsidRPr="00702E06">
              <w:t>20.0</w:t>
            </w:r>
          </w:p>
        </w:tc>
      </w:tr>
      <w:tr w:rsidR="00277B70" w14:paraId="4871FF9A" w14:textId="77777777" w:rsidTr="00754A6A">
        <w:tc>
          <w:tcPr>
            <w:tcW w:w="2001" w:type="dxa"/>
            <w:tcBorders>
              <w:bottom w:val="single" w:sz="4" w:space="0" w:color="000000"/>
            </w:tcBorders>
            <w:vAlign w:val="bottom"/>
          </w:tcPr>
          <w:p w14:paraId="7555C4FF" w14:textId="62EB2F6F" w:rsidR="00277B70" w:rsidRPr="00702E06" w:rsidRDefault="00277B70" w:rsidP="00434EB2">
            <w:pPr>
              <w:spacing w:before="60" w:after="60"/>
              <w:jc w:val="left"/>
            </w:pPr>
            <w:r w:rsidRPr="00702E06">
              <w:rPr>
                <w:color w:val="000000"/>
              </w:rPr>
              <w:t>Process and mfg. (&lt;40 kWr)</w:t>
            </w:r>
          </w:p>
        </w:tc>
        <w:tc>
          <w:tcPr>
            <w:tcW w:w="990" w:type="dxa"/>
            <w:tcBorders>
              <w:bottom w:val="single" w:sz="4" w:space="0" w:color="000000"/>
            </w:tcBorders>
            <w:vAlign w:val="center"/>
          </w:tcPr>
          <w:p w14:paraId="767350E9" w14:textId="1DEF94DC" w:rsidR="00277B70" w:rsidRPr="00702E06" w:rsidRDefault="00277B70" w:rsidP="00434EB2">
            <w:pPr>
              <w:spacing w:before="60" w:after="60"/>
              <w:jc w:val="center"/>
            </w:pPr>
            <w:r w:rsidRPr="00702E06">
              <w:t>40.0</w:t>
            </w:r>
          </w:p>
        </w:tc>
        <w:tc>
          <w:tcPr>
            <w:tcW w:w="989" w:type="dxa"/>
            <w:tcBorders>
              <w:bottom w:val="single" w:sz="4" w:space="0" w:color="000000"/>
            </w:tcBorders>
            <w:vAlign w:val="center"/>
          </w:tcPr>
          <w:p w14:paraId="40F3F899" w14:textId="12897E5B" w:rsidR="00277B70" w:rsidRPr="00702E06" w:rsidRDefault="00277B70" w:rsidP="00434EB2">
            <w:pPr>
              <w:spacing w:before="60" w:after="60"/>
              <w:jc w:val="center"/>
            </w:pPr>
            <w:r w:rsidRPr="00702E06">
              <w:t>40.0</w:t>
            </w:r>
          </w:p>
        </w:tc>
        <w:tc>
          <w:tcPr>
            <w:tcW w:w="1001" w:type="dxa"/>
            <w:vMerge/>
            <w:tcBorders>
              <w:bottom w:val="single" w:sz="4" w:space="0" w:color="000000"/>
            </w:tcBorders>
            <w:vAlign w:val="center"/>
          </w:tcPr>
          <w:p w14:paraId="6A94EC75" w14:textId="77777777" w:rsidR="00277B70" w:rsidRPr="00702E06" w:rsidRDefault="00277B70" w:rsidP="00434EB2">
            <w:pPr>
              <w:spacing w:before="60" w:after="60"/>
              <w:jc w:val="center"/>
            </w:pPr>
          </w:p>
        </w:tc>
        <w:tc>
          <w:tcPr>
            <w:tcW w:w="948" w:type="dxa"/>
            <w:vMerge/>
            <w:tcBorders>
              <w:bottom w:val="single" w:sz="4" w:space="0" w:color="000000"/>
            </w:tcBorders>
            <w:vAlign w:val="center"/>
          </w:tcPr>
          <w:p w14:paraId="6E402D67" w14:textId="77777777" w:rsidR="00277B70" w:rsidRPr="00702E06" w:rsidRDefault="00277B70" w:rsidP="00434EB2">
            <w:pPr>
              <w:spacing w:before="60" w:after="60"/>
              <w:jc w:val="center"/>
            </w:pPr>
          </w:p>
        </w:tc>
        <w:tc>
          <w:tcPr>
            <w:tcW w:w="1272" w:type="dxa"/>
            <w:tcBorders>
              <w:bottom w:val="single" w:sz="4" w:space="0" w:color="000000"/>
            </w:tcBorders>
            <w:vAlign w:val="center"/>
          </w:tcPr>
          <w:p w14:paraId="2F1AADA6" w14:textId="333880DC" w:rsidR="00277B70" w:rsidRPr="00702E06" w:rsidRDefault="00277B70" w:rsidP="00434EB2">
            <w:pPr>
              <w:spacing w:before="60" w:after="60"/>
              <w:jc w:val="center"/>
            </w:pPr>
            <w:r w:rsidRPr="00702E06">
              <w:t>14.5%</w:t>
            </w:r>
          </w:p>
        </w:tc>
        <w:tc>
          <w:tcPr>
            <w:tcW w:w="1294" w:type="dxa"/>
            <w:vMerge/>
            <w:tcBorders>
              <w:bottom w:val="single" w:sz="4" w:space="0" w:color="000000"/>
            </w:tcBorders>
            <w:vAlign w:val="center"/>
          </w:tcPr>
          <w:p w14:paraId="2D847C11" w14:textId="77777777" w:rsidR="00277B70" w:rsidRPr="00702E06" w:rsidRDefault="00277B70" w:rsidP="00434EB2">
            <w:pPr>
              <w:spacing w:before="60" w:after="60"/>
              <w:jc w:val="center"/>
            </w:pPr>
          </w:p>
        </w:tc>
        <w:tc>
          <w:tcPr>
            <w:tcW w:w="997" w:type="dxa"/>
            <w:tcBorders>
              <w:bottom w:val="single" w:sz="4" w:space="0" w:color="000000"/>
            </w:tcBorders>
            <w:vAlign w:val="center"/>
          </w:tcPr>
          <w:p w14:paraId="4E986BF2" w14:textId="04CB2892" w:rsidR="00277B70" w:rsidRPr="00702E06" w:rsidRDefault="00277B70" w:rsidP="00434EB2">
            <w:pPr>
              <w:spacing w:before="60" w:after="60"/>
              <w:jc w:val="center"/>
            </w:pPr>
            <w:r w:rsidRPr="00702E06">
              <w:t>20.0</w:t>
            </w:r>
          </w:p>
        </w:tc>
      </w:tr>
      <w:tr w:rsidR="00434EB2" w14:paraId="7484B0FA" w14:textId="77777777" w:rsidTr="00745FA8">
        <w:tc>
          <w:tcPr>
            <w:tcW w:w="2001" w:type="dxa"/>
            <w:shd w:val="clear" w:color="auto" w:fill="DAEEF3" w:themeFill="accent5" w:themeFillTint="33"/>
            <w:vAlign w:val="bottom"/>
          </w:tcPr>
          <w:p w14:paraId="586784DF" w14:textId="1C757225" w:rsidR="00434EB2" w:rsidRPr="00702E06" w:rsidRDefault="00434EB2" w:rsidP="00434EB2">
            <w:pPr>
              <w:spacing w:before="60" w:after="60"/>
              <w:jc w:val="left"/>
            </w:pPr>
          </w:p>
        </w:tc>
        <w:tc>
          <w:tcPr>
            <w:tcW w:w="990" w:type="dxa"/>
            <w:shd w:val="clear" w:color="auto" w:fill="DAEEF3" w:themeFill="accent5" w:themeFillTint="33"/>
            <w:vAlign w:val="center"/>
          </w:tcPr>
          <w:p w14:paraId="16613542" w14:textId="77777777" w:rsidR="00434EB2" w:rsidRPr="00702E06" w:rsidRDefault="00434EB2" w:rsidP="00434EB2">
            <w:pPr>
              <w:spacing w:before="60" w:after="60"/>
              <w:jc w:val="center"/>
            </w:pPr>
          </w:p>
        </w:tc>
        <w:tc>
          <w:tcPr>
            <w:tcW w:w="989" w:type="dxa"/>
            <w:shd w:val="clear" w:color="auto" w:fill="DAEEF3" w:themeFill="accent5" w:themeFillTint="33"/>
            <w:vAlign w:val="center"/>
          </w:tcPr>
          <w:p w14:paraId="2A44DB14" w14:textId="77777777" w:rsidR="00434EB2" w:rsidRPr="00702E06" w:rsidRDefault="00434EB2" w:rsidP="00434EB2">
            <w:pPr>
              <w:spacing w:before="60" w:after="60"/>
              <w:jc w:val="center"/>
            </w:pPr>
          </w:p>
        </w:tc>
        <w:tc>
          <w:tcPr>
            <w:tcW w:w="1001" w:type="dxa"/>
            <w:shd w:val="clear" w:color="auto" w:fill="DAEEF3" w:themeFill="accent5" w:themeFillTint="33"/>
            <w:vAlign w:val="center"/>
          </w:tcPr>
          <w:p w14:paraId="2E95474A" w14:textId="77777777" w:rsidR="00434EB2" w:rsidRPr="00702E06" w:rsidRDefault="00434EB2" w:rsidP="00434EB2">
            <w:pPr>
              <w:spacing w:before="60" w:after="60"/>
              <w:jc w:val="center"/>
            </w:pPr>
          </w:p>
        </w:tc>
        <w:tc>
          <w:tcPr>
            <w:tcW w:w="948" w:type="dxa"/>
            <w:shd w:val="clear" w:color="auto" w:fill="DAEEF3" w:themeFill="accent5" w:themeFillTint="33"/>
            <w:vAlign w:val="center"/>
          </w:tcPr>
          <w:p w14:paraId="2FDC9E20" w14:textId="77777777" w:rsidR="00434EB2" w:rsidRPr="00702E06" w:rsidRDefault="00434EB2" w:rsidP="00434EB2">
            <w:pPr>
              <w:spacing w:before="60" w:after="60"/>
              <w:jc w:val="center"/>
            </w:pPr>
          </w:p>
        </w:tc>
        <w:tc>
          <w:tcPr>
            <w:tcW w:w="1272" w:type="dxa"/>
            <w:shd w:val="clear" w:color="auto" w:fill="DAEEF3" w:themeFill="accent5" w:themeFillTint="33"/>
            <w:vAlign w:val="center"/>
          </w:tcPr>
          <w:p w14:paraId="3DAB0CF7" w14:textId="77777777" w:rsidR="00434EB2" w:rsidRPr="00702E06" w:rsidRDefault="00434EB2" w:rsidP="00434EB2">
            <w:pPr>
              <w:spacing w:before="60" w:after="60"/>
              <w:jc w:val="center"/>
            </w:pPr>
          </w:p>
        </w:tc>
        <w:tc>
          <w:tcPr>
            <w:tcW w:w="1294" w:type="dxa"/>
            <w:shd w:val="clear" w:color="auto" w:fill="DAEEF3" w:themeFill="accent5" w:themeFillTint="33"/>
            <w:vAlign w:val="center"/>
          </w:tcPr>
          <w:p w14:paraId="661D2350" w14:textId="77777777" w:rsidR="00434EB2" w:rsidRPr="00702E06" w:rsidRDefault="00434EB2" w:rsidP="00434EB2">
            <w:pPr>
              <w:spacing w:before="60" w:after="60"/>
              <w:jc w:val="center"/>
            </w:pPr>
          </w:p>
        </w:tc>
        <w:tc>
          <w:tcPr>
            <w:tcW w:w="997" w:type="dxa"/>
            <w:shd w:val="clear" w:color="auto" w:fill="DAEEF3" w:themeFill="accent5" w:themeFillTint="33"/>
            <w:vAlign w:val="center"/>
          </w:tcPr>
          <w:p w14:paraId="06E0AE20" w14:textId="77777777" w:rsidR="00434EB2" w:rsidRPr="00702E06" w:rsidRDefault="00434EB2" w:rsidP="00434EB2">
            <w:pPr>
              <w:spacing w:before="60" w:after="60"/>
              <w:jc w:val="center"/>
            </w:pPr>
          </w:p>
        </w:tc>
      </w:tr>
      <w:tr w:rsidR="00277B70" w14:paraId="5AE6F125" w14:textId="77777777" w:rsidTr="00C4192D">
        <w:tc>
          <w:tcPr>
            <w:tcW w:w="2001" w:type="dxa"/>
            <w:vAlign w:val="bottom"/>
          </w:tcPr>
          <w:p w14:paraId="21865F3B" w14:textId="74B07D1E" w:rsidR="00277B70" w:rsidRPr="00702E06" w:rsidRDefault="00277B70" w:rsidP="00434EB2">
            <w:pPr>
              <w:spacing w:before="60" w:after="60"/>
              <w:jc w:val="left"/>
            </w:pPr>
            <w:r w:rsidRPr="00702E06">
              <w:rPr>
                <w:color w:val="000000"/>
              </w:rPr>
              <w:t>Supermarket refrig: small</w:t>
            </w:r>
          </w:p>
        </w:tc>
        <w:tc>
          <w:tcPr>
            <w:tcW w:w="990" w:type="dxa"/>
            <w:vAlign w:val="center"/>
          </w:tcPr>
          <w:p w14:paraId="3B003061" w14:textId="4FEBA4EF" w:rsidR="00277B70" w:rsidRPr="00702E06" w:rsidRDefault="00277B70" w:rsidP="00434EB2">
            <w:pPr>
              <w:spacing w:before="60" w:after="60"/>
              <w:jc w:val="center"/>
            </w:pPr>
            <w:r w:rsidRPr="00702E06">
              <w:t>500.0</w:t>
            </w:r>
          </w:p>
        </w:tc>
        <w:tc>
          <w:tcPr>
            <w:tcW w:w="989" w:type="dxa"/>
            <w:vAlign w:val="center"/>
          </w:tcPr>
          <w:p w14:paraId="114CB9D4" w14:textId="521D95B2" w:rsidR="00277B70" w:rsidRPr="00702E06" w:rsidRDefault="00277B70" w:rsidP="00434EB2">
            <w:pPr>
              <w:spacing w:before="60" w:after="60"/>
              <w:jc w:val="center"/>
            </w:pPr>
            <w:r w:rsidRPr="00702E06">
              <w:t>500.0</w:t>
            </w:r>
          </w:p>
        </w:tc>
        <w:tc>
          <w:tcPr>
            <w:tcW w:w="1001" w:type="dxa"/>
            <w:vMerge w:val="restart"/>
            <w:vAlign w:val="center"/>
          </w:tcPr>
          <w:p w14:paraId="4781C385" w14:textId="364795EA" w:rsidR="00277B70" w:rsidRPr="00702E06" w:rsidRDefault="00277B70" w:rsidP="00434EB2">
            <w:pPr>
              <w:spacing w:before="60" w:after="60"/>
              <w:jc w:val="center"/>
            </w:pPr>
            <w:r w:rsidRPr="00702E06">
              <w:t>100%</w:t>
            </w:r>
            <w:r w:rsidRPr="00702E06">
              <w:rPr>
                <w:vertAlign w:val="superscript"/>
              </w:rPr>
              <w:t>(4)</w:t>
            </w:r>
          </w:p>
        </w:tc>
        <w:tc>
          <w:tcPr>
            <w:tcW w:w="948" w:type="dxa"/>
            <w:vMerge w:val="restart"/>
            <w:vAlign w:val="center"/>
          </w:tcPr>
          <w:p w14:paraId="5836A66C" w14:textId="1F9B0B0A" w:rsidR="00277B70" w:rsidRPr="00702E06" w:rsidRDefault="00277B70" w:rsidP="00434EB2">
            <w:pPr>
              <w:spacing w:before="60" w:after="60"/>
              <w:jc w:val="center"/>
            </w:pPr>
            <w:r w:rsidRPr="00702E06">
              <w:t>95%</w:t>
            </w:r>
          </w:p>
        </w:tc>
        <w:tc>
          <w:tcPr>
            <w:tcW w:w="1272" w:type="dxa"/>
            <w:vAlign w:val="center"/>
          </w:tcPr>
          <w:p w14:paraId="439B66A9" w14:textId="2B316374" w:rsidR="00277B70" w:rsidRPr="00702E06" w:rsidRDefault="00277B70" w:rsidP="00434EB2">
            <w:pPr>
              <w:spacing w:before="60" w:after="60"/>
              <w:jc w:val="center"/>
            </w:pPr>
            <w:r w:rsidRPr="00702E06">
              <w:t>11.8%</w:t>
            </w:r>
          </w:p>
        </w:tc>
        <w:tc>
          <w:tcPr>
            <w:tcW w:w="1294" w:type="dxa"/>
            <w:vMerge w:val="restart"/>
            <w:vAlign w:val="center"/>
          </w:tcPr>
          <w:p w14:paraId="3BBE2AAD" w14:textId="4FDB1FC4" w:rsidR="00277B70" w:rsidRPr="00702E06" w:rsidRDefault="00277B70" w:rsidP="00434EB2">
            <w:pPr>
              <w:spacing w:before="60" w:after="60"/>
              <w:jc w:val="center"/>
            </w:pPr>
            <w:r w:rsidRPr="00702E06">
              <w:t>11.8%</w:t>
            </w:r>
          </w:p>
        </w:tc>
        <w:tc>
          <w:tcPr>
            <w:tcW w:w="997" w:type="dxa"/>
            <w:vAlign w:val="center"/>
          </w:tcPr>
          <w:p w14:paraId="0977FB0E" w14:textId="68D91E8C" w:rsidR="00277B70" w:rsidRPr="00702E06" w:rsidRDefault="00277B70" w:rsidP="00434EB2">
            <w:pPr>
              <w:spacing w:before="60" w:after="60"/>
              <w:jc w:val="center"/>
            </w:pPr>
            <w:r w:rsidRPr="00702E06">
              <w:t xml:space="preserve">15.0 </w:t>
            </w:r>
            <w:r w:rsidRPr="00702E06">
              <w:rPr>
                <w:vertAlign w:val="superscript"/>
              </w:rPr>
              <w:t>(5)</w:t>
            </w:r>
          </w:p>
        </w:tc>
      </w:tr>
      <w:tr w:rsidR="00277B70" w14:paraId="491CA3E8" w14:textId="77777777" w:rsidTr="00C4192D">
        <w:tc>
          <w:tcPr>
            <w:tcW w:w="2001" w:type="dxa"/>
            <w:vAlign w:val="bottom"/>
          </w:tcPr>
          <w:p w14:paraId="68BE06F5" w14:textId="31BCD200" w:rsidR="00277B70" w:rsidRPr="00702E06" w:rsidRDefault="00277B70" w:rsidP="00434EB2">
            <w:pPr>
              <w:spacing w:before="60" w:after="60"/>
              <w:jc w:val="left"/>
            </w:pPr>
            <w:r w:rsidRPr="00702E06">
              <w:rPr>
                <w:color w:val="000000"/>
              </w:rPr>
              <w:t>Supermarket refrig: medium</w:t>
            </w:r>
          </w:p>
        </w:tc>
        <w:tc>
          <w:tcPr>
            <w:tcW w:w="990" w:type="dxa"/>
            <w:vAlign w:val="center"/>
          </w:tcPr>
          <w:p w14:paraId="5D1DE222" w14:textId="49BD4AB4" w:rsidR="00277B70" w:rsidRPr="00702E06" w:rsidRDefault="00277B70" w:rsidP="00434EB2">
            <w:pPr>
              <w:spacing w:before="60" w:after="60"/>
              <w:jc w:val="center"/>
            </w:pPr>
            <w:r w:rsidRPr="00702E06">
              <w:t>900.0</w:t>
            </w:r>
          </w:p>
        </w:tc>
        <w:tc>
          <w:tcPr>
            <w:tcW w:w="989" w:type="dxa"/>
            <w:vAlign w:val="center"/>
          </w:tcPr>
          <w:p w14:paraId="5E79193A" w14:textId="2FEC8691" w:rsidR="00277B70" w:rsidRPr="00702E06" w:rsidRDefault="00277B70" w:rsidP="00434EB2">
            <w:pPr>
              <w:spacing w:before="60" w:after="60"/>
              <w:jc w:val="center"/>
            </w:pPr>
            <w:r w:rsidRPr="00702E06">
              <w:t>900.0</w:t>
            </w:r>
          </w:p>
        </w:tc>
        <w:tc>
          <w:tcPr>
            <w:tcW w:w="1001" w:type="dxa"/>
            <w:vMerge/>
            <w:vAlign w:val="center"/>
          </w:tcPr>
          <w:p w14:paraId="66C9AEF8" w14:textId="334C66FE" w:rsidR="00277B70" w:rsidRPr="00702E06" w:rsidRDefault="00277B70" w:rsidP="00434EB2">
            <w:pPr>
              <w:spacing w:before="60" w:after="60"/>
              <w:jc w:val="center"/>
            </w:pPr>
          </w:p>
        </w:tc>
        <w:tc>
          <w:tcPr>
            <w:tcW w:w="948" w:type="dxa"/>
            <w:vMerge/>
            <w:vAlign w:val="center"/>
          </w:tcPr>
          <w:p w14:paraId="624A4552" w14:textId="34F4ED9D" w:rsidR="00277B70" w:rsidRPr="00702E06" w:rsidRDefault="00277B70" w:rsidP="00434EB2">
            <w:pPr>
              <w:spacing w:before="60" w:after="60"/>
              <w:jc w:val="center"/>
            </w:pPr>
          </w:p>
        </w:tc>
        <w:tc>
          <w:tcPr>
            <w:tcW w:w="1272" w:type="dxa"/>
            <w:vAlign w:val="center"/>
          </w:tcPr>
          <w:p w14:paraId="565243D6" w14:textId="2C6C3446" w:rsidR="00277B70" w:rsidRPr="00702E06" w:rsidRDefault="00277B70" w:rsidP="00434EB2">
            <w:pPr>
              <w:spacing w:before="60" w:after="60"/>
              <w:jc w:val="center"/>
            </w:pPr>
            <w:r w:rsidRPr="00702E06">
              <w:t>11.8%</w:t>
            </w:r>
          </w:p>
        </w:tc>
        <w:tc>
          <w:tcPr>
            <w:tcW w:w="1294" w:type="dxa"/>
            <w:vMerge/>
            <w:vAlign w:val="center"/>
          </w:tcPr>
          <w:p w14:paraId="2D015BE9" w14:textId="77777777" w:rsidR="00277B70" w:rsidRPr="00702E06" w:rsidRDefault="00277B70" w:rsidP="00434EB2">
            <w:pPr>
              <w:spacing w:before="60" w:after="60"/>
              <w:jc w:val="center"/>
            </w:pPr>
          </w:p>
        </w:tc>
        <w:tc>
          <w:tcPr>
            <w:tcW w:w="997" w:type="dxa"/>
            <w:vAlign w:val="center"/>
          </w:tcPr>
          <w:p w14:paraId="282FB417" w14:textId="3E939A8A" w:rsidR="00277B70" w:rsidRPr="00702E06" w:rsidRDefault="00277B70" w:rsidP="00434EB2">
            <w:pPr>
              <w:spacing w:before="60" w:after="60"/>
              <w:jc w:val="center"/>
            </w:pPr>
            <w:r w:rsidRPr="00702E06">
              <w:t>15.0</w:t>
            </w:r>
          </w:p>
        </w:tc>
      </w:tr>
      <w:tr w:rsidR="00277B70" w14:paraId="48F61F7B" w14:textId="77777777" w:rsidTr="00745FA8">
        <w:tc>
          <w:tcPr>
            <w:tcW w:w="2001" w:type="dxa"/>
            <w:tcBorders>
              <w:bottom w:val="single" w:sz="4" w:space="0" w:color="000000"/>
            </w:tcBorders>
            <w:vAlign w:val="bottom"/>
          </w:tcPr>
          <w:p w14:paraId="6AC8D50B" w14:textId="33D10545" w:rsidR="00277B70" w:rsidRPr="00702E06" w:rsidRDefault="00277B70" w:rsidP="00434EB2">
            <w:pPr>
              <w:spacing w:before="60" w:after="60"/>
              <w:jc w:val="left"/>
            </w:pPr>
            <w:r w:rsidRPr="00702E06">
              <w:rPr>
                <w:color w:val="000000"/>
              </w:rPr>
              <w:t>Supermarket refrig: large</w:t>
            </w:r>
          </w:p>
        </w:tc>
        <w:tc>
          <w:tcPr>
            <w:tcW w:w="990" w:type="dxa"/>
            <w:tcBorders>
              <w:bottom w:val="single" w:sz="4" w:space="0" w:color="000000"/>
            </w:tcBorders>
            <w:vAlign w:val="center"/>
          </w:tcPr>
          <w:p w14:paraId="35A1F810" w14:textId="710D4AD3" w:rsidR="00277B70" w:rsidRPr="00702E06" w:rsidRDefault="00277B70" w:rsidP="00434EB2">
            <w:pPr>
              <w:spacing w:before="60" w:after="60"/>
              <w:jc w:val="center"/>
            </w:pPr>
            <w:r w:rsidRPr="00702E06">
              <w:t>1,100.0</w:t>
            </w:r>
          </w:p>
        </w:tc>
        <w:tc>
          <w:tcPr>
            <w:tcW w:w="989" w:type="dxa"/>
            <w:tcBorders>
              <w:bottom w:val="single" w:sz="4" w:space="0" w:color="000000"/>
            </w:tcBorders>
            <w:vAlign w:val="center"/>
          </w:tcPr>
          <w:p w14:paraId="21B65B66" w14:textId="44224097" w:rsidR="00277B70" w:rsidRPr="00702E06" w:rsidRDefault="00277B70" w:rsidP="00434EB2">
            <w:pPr>
              <w:spacing w:before="60" w:after="60"/>
              <w:jc w:val="center"/>
            </w:pPr>
            <w:r w:rsidRPr="00702E06">
              <w:t>1,100.0</w:t>
            </w:r>
          </w:p>
        </w:tc>
        <w:tc>
          <w:tcPr>
            <w:tcW w:w="1001" w:type="dxa"/>
            <w:vMerge/>
            <w:tcBorders>
              <w:bottom w:val="single" w:sz="4" w:space="0" w:color="000000"/>
            </w:tcBorders>
            <w:vAlign w:val="center"/>
          </w:tcPr>
          <w:p w14:paraId="6BDD2CDF" w14:textId="53AA614D" w:rsidR="00277B70" w:rsidRPr="00702E06" w:rsidRDefault="00277B70" w:rsidP="00434EB2">
            <w:pPr>
              <w:spacing w:before="60" w:after="60"/>
              <w:jc w:val="center"/>
            </w:pPr>
          </w:p>
        </w:tc>
        <w:tc>
          <w:tcPr>
            <w:tcW w:w="948" w:type="dxa"/>
            <w:vMerge/>
            <w:tcBorders>
              <w:bottom w:val="single" w:sz="4" w:space="0" w:color="000000"/>
            </w:tcBorders>
            <w:vAlign w:val="center"/>
          </w:tcPr>
          <w:p w14:paraId="1F0F5888" w14:textId="1517F8A4" w:rsidR="00277B70" w:rsidRPr="00702E06" w:rsidRDefault="00277B70" w:rsidP="00434EB2">
            <w:pPr>
              <w:spacing w:before="60" w:after="60"/>
              <w:jc w:val="center"/>
            </w:pPr>
          </w:p>
        </w:tc>
        <w:tc>
          <w:tcPr>
            <w:tcW w:w="1272" w:type="dxa"/>
            <w:tcBorders>
              <w:bottom w:val="single" w:sz="4" w:space="0" w:color="000000"/>
            </w:tcBorders>
            <w:vAlign w:val="center"/>
          </w:tcPr>
          <w:p w14:paraId="2AC41414" w14:textId="4E1E3220" w:rsidR="00277B70" w:rsidRPr="00702E06" w:rsidRDefault="00277B70" w:rsidP="00434EB2">
            <w:pPr>
              <w:spacing w:before="60" w:after="60"/>
              <w:jc w:val="center"/>
            </w:pPr>
            <w:r w:rsidRPr="00702E06">
              <w:t>11.8%</w:t>
            </w:r>
          </w:p>
        </w:tc>
        <w:tc>
          <w:tcPr>
            <w:tcW w:w="1294" w:type="dxa"/>
            <w:vMerge/>
            <w:tcBorders>
              <w:bottom w:val="single" w:sz="4" w:space="0" w:color="000000"/>
            </w:tcBorders>
            <w:vAlign w:val="center"/>
          </w:tcPr>
          <w:p w14:paraId="3F42FF5C" w14:textId="77777777" w:rsidR="00277B70" w:rsidRPr="00702E06" w:rsidRDefault="00277B70" w:rsidP="00434EB2">
            <w:pPr>
              <w:spacing w:before="60" w:after="60"/>
              <w:jc w:val="center"/>
            </w:pPr>
          </w:p>
        </w:tc>
        <w:tc>
          <w:tcPr>
            <w:tcW w:w="997" w:type="dxa"/>
            <w:tcBorders>
              <w:bottom w:val="single" w:sz="4" w:space="0" w:color="000000"/>
            </w:tcBorders>
            <w:vAlign w:val="center"/>
          </w:tcPr>
          <w:p w14:paraId="084B39D4" w14:textId="5937CED0" w:rsidR="00277B70" w:rsidRPr="00702E06" w:rsidRDefault="00277B70" w:rsidP="00434EB2">
            <w:pPr>
              <w:spacing w:before="60" w:after="60"/>
              <w:jc w:val="center"/>
            </w:pPr>
            <w:r w:rsidRPr="00702E06">
              <w:t>15.0</w:t>
            </w:r>
          </w:p>
        </w:tc>
      </w:tr>
      <w:tr w:rsidR="00434EB2" w14:paraId="04E41904" w14:textId="77777777" w:rsidTr="00745FA8">
        <w:tc>
          <w:tcPr>
            <w:tcW w:w="2001" w:type="dxa"/>
            <w:shd w:val="clear" w:color="auto" w:fill="DAEEF3" w:themeFill="accent5" w:themeFillTint="33"/>
            <w:vAlign w:val="center"/>
          </w:tcPr>
          <w:p w14:paraId="6E353F75" w14:textId="77777777" w:rsidR="00434EB2" w:rsidRPr="00702E06" w:rsidRDefault="00434EB2" w:rsidP="00434EB2">
            <w:pPr>
              <w:spacing w:before="60" w:after="60"/>
              <w:jc w:val="left"/>
            </w:pPr>
          </w:p>
        </w:tc>
        <w:tc>
          <w:tcPr>
            <w:tcW w:w="990" w:type="dxa"/>
            <w:shd w:val="clear" w:color="auto" w:fill="DAEEF3" w:themeFill="accent5" w:themeFillTint="33"/>
            <w:vAlign w:val="center"/>
          </w:tcPr>
          <w:p w14:paraId="0BD04D10" w14:textId="77777777" w:rsidR="00434EB2" w:rsidRPr="00702E06" w:rsidRDefault="00434EB2" w:rsidP="00434EB2">
            <w:pPr>
              <w:spacing w:before="60" w:after="60"/>
              <w:jc w:val="center"/>
            </w:pPr>
          </w:p>
        </w:tc>
        <w:tc>
          <w:tcPr>
            <w:tcW w:w="989" w:type="dxa"/>
            <w:shd w:val="clear" w:color="auto" w:fill="DAEEF3" w:themeFill="accent5" w:themeFillTint="33"/>
            <w:vAlign w:val="center"/>
          </w:tcPr>
          <w:p w14:paraId="51292578" w14:textId="77777777" w:rsidR="00434EB2" w:rsidRPr="00702E06" w:rsidRDefault="00434EB2" w:rsidP="00434EB2">
            <w:pPr>
              <w:spacing w:before="60" w:after="60"/>
              <w:jc w:val="center"/>
            </w:pPr>
          </w:p>
        </w:tc>
        <w:tc>
          <w:tcPr>
            <w:tcW w:w="1001" w:type="dxa"/>
            <w:shd w:val="clear" w:color="auto" w:fill="DAEEF3" w:themeFill="accent5" w:themeFillTint="33"/>
            <w:vAlign w:val="center"/>
          </w:tcPr>
          <w:p w14:paraId="328F5173" w14:textId="77777777" w:rsidR="00434EB2" w:rsidRPr="00702E06" w:rsidRDefault="00434EB2" w:rsidP="00434EB2">
            <w:pPr>
              <w:spacing w:before="60" w:after="60"/>
              <w:jc w:val="center"/>
            </w:pPr>
          </w:p>
        </w:tc>
        <w:tc>
          <w:tcPr>
            <w:tcW w:w="948" w:type="dxa"/>
            <w:shd w:val="clear" w:color="auto" w:fill="DAEEF3" w:themeFill="accent5" w:themeFillTint="33"/>
            <w:vAlign w:val="center"/>
          </w:tcPr>
          <w:p w14:paraId="3F346EFC" w14:textId="77777777" w:rsidR="00434EB2" w:rsidRPr="00702E06" w:rsidRDefault="00434EB2" w:rsidP="00434EB2">
            <w:pPr>
              <w:spacing w:before="60" w:after="60"/>
              <w:jc w:val="center"/>
            </w:pPr>
          </w:p>
        </w:tc>
        <w:tc>
          <w:tcPr>
            <w:tcW w:w="1272" w:type="dxa"/>
            <w:shd w:val="clear" w:color="auto" w:fill="DAEEF3" w:themeFill="accent5" w:themeFillTint="33"/>
            <w:vAlign w:val="center"/>
          </w:tcPr>
          <w:p w14:paraId="59929AF4" w14:textId="77777777" w:rsidR="00434EB2" w:rsidRPr="00702E06" w:rsidRDefault="00434EB2" w:rsidP="00434EB2">
            <w:pPr>
              <w:spacing w:before="60" w:after="60"/>
              <w:jc w:val="center"/>
            </w:pPr>
          </w:p>
        </w:tc>
        <w:tc>
          <w:tcPr>
            <w:tcW w:w="1294" w:type="dxa"/>
            <w:shd w:val="clear" w:color="auto" w:fill="DAEEF3" w:themeFill="accent5" w:themeFillTint="33"/>
            <w:vAlign w:val="center"/>
          </w:tcPr>
          <w:p w14:paraId="684F6193" w14:textId="77777777" w:rsidR="00434EB2" w:rsidRPr="00702E06" w:rsidRDefault="00434EB2" w:rsidP="00434EB2">
            <w:pPr>
              <w:spacing w:before="60" w:after="60"/>
              <w:jc w:val="center"/>
            </w:pPr>
          </w:p>
        </w:tc>
        <w:tc>
          <w:tcPr>
            <w:tcW w:w="997" w:type="dxa"/>
            <w:shd w:val="clear" w:color="auto" w:fill="DAEEF3" w:themeFill="accent5" w:themeFillTint="33"/>
            <w:vAlign w:val="center"/>
          </w:tcPr>
          <w:p w14:paraId="485F2390" w14:textId="77777777" w:rsidR="00434EB2" w:rsidRPr="00702E06" w:rsidRDefault="00434EB2" w:rsidP="00434EB2">
            <w:pPr>
              <w:spacing w:before="60" w:after="60"/>
              <w:jc w:val="center"/>
            </w:pPr>
          </w:p>
        </w:tc>
      </w:tr>
      <w:tr w:rsidR="00810532" w14:paraId="7B6952B4" w14:textId="77777777" w:rsidTr="00C4192D">
        <w:tc>
          <w:tcPr>
            <w:tcW w:w="2001" w:type="dxa"/>
            <w:vAlign w:val="bottom"/>
          </w:tcPr>
          <w:p w14:paraId="3DA06FCB" w14:textId="6DB06F21" w:rsidR="00810532" w:rsidRPr="00702E06" w:rsidRDefault="00810532" w:rsidP="00434EB2">
            <w:pPr>
              <w:spacing w:before="60" w:after="60"/>
              <w:jc w:val="left"/>
            </w:pPr>
            <w:r w:rsidRPr="00702E06">
              <w:rPr>
                <w:color w:val="000000"/>
              </w:rPr>
              <w:t>Mobile refrig: road: trailer - inter-modal</w:t>
            </w:r>
          </w:p>
        </w:tc>
        <w:tc>
          <w:tcPr>
            <w:tcW w:w="990" w:type="dxa"/>
            <w:vAlign w:val="center"/>
          </w:tcPr>
          <w:p w14:paraId="4EED8135" w14:textId="75105BFE" w:rsidR="00810532" w:rsidRPr="00702E06" w:rsidRDefault="00810532" w:rsidP="00434EB2">
            <w:pPr>
              <w:spacing w:before="60" w:after="60"/>
              <w:jc w:val="center"/>
            </w:pPr>
            <w:r w:rsidRPr="00702E06">
              <w:t>10.0</w:t>
            </w:r>
          </w:p>
        </w:tc>
        <w:tc>
          <w:tcPr>
            <w:tcW w:w="989" w:type="dxa"/>
            <w:vAlign w:val="center"/>
          </w:tcPr>
          <w:p w14:paraId="0882AC84" w14:textId="38EA5F85" w:rsidR="00810532" w:rsidRPr="00702E06" w:rsidRDefault="00810532" w:rsidP="00434EB2">
            <w:pPr>
              <w:spacing w:before="60" w:after="60"/>
              <w:jc w:val="center"/>
            </w:pPr>
            <w:r w:rsidRPr="00702E06">
              <w:t>6.5</w:t>
            </w:r>
          </w:p>
        </w:tc>
        <w:tc>
          <w:tcPr>
            <w:tcW w:w="1001" w:type="dxa"/>
            <w:vMerge w:val="restart"/>
            <w:vAlign w:val="center"/>
          </w:tcPr>
          <w:p w14:paraId="18210AC3" w14:textId="41F4CC31" w:rsidR="00810532" w:rsidRPr="00702E06" w:rsidRDefault="00810532" w:rsidP="00434EB2">
            <w:pPr>
              <w:spacing w:before="60" w:after="60"/>
              <w:jc w:val="center"/>
            </w:pPr>
            <w:r w:rsidRPr="00702E06">
              <w:t>90%</w:t>
            </w:r>
          </w:p>
        </w:tc>
        <w:tc>
          <w:tcPr>
            <w:tcW w:w="948" w:type="dxa"/>
            <w:vMerge w:val="restart"/>
            <w:vAlign w:val="center"/>
          </w:tcPr>
          <w:p w14:paraId="46A6A744" w14:textId="2DC189DC" w:rsidR="00810532" w:rsidRPr="00702E06" w:rsidRDefault="00810532" w:rsidP="00434EB2">
            <w:pPr>
              <w:spacing w:before="60" w:after="60"/>
              <w:jc w:val="center"/>
            </w:pPr>
            <w:r w:rsidRPr="00702E06">
              <w:t>95%</w:t>
            </w:r>
          </w:p>
        </w:tc>
        <w:tc>
          <w:tcPr>
            <w:tcW w:w="1272" w:type="dxa"/>
            <w:vAlign w:val="center"/>
          </w:tcPr>
          <w:p w14:paraId="026BC009" w14:textId="1E5012BB" w:rsidR="00810532" w:rsidRPr="00702E06" w:rsidRDefault="00810532" w:rsidP="00434EB2">
            <w:pPr>
              <w:spacing w:before="60" w:after="60"/>
              <w:jc w:val="center"/>
            </w:pPr>
            <w:r w:rsidRPr="00702E06">
              <w:t>15.0%</w:t>
            </w:r>
          </w:p>
        </w:tc>
        <w:tc>
          <w:tcPr>
            <w:tcW w:w="1294" w:type="dxa"/>
            <w:vMerge w:val="restart"/>
            <w:vAlign w:val="center"/>
          </w:tcPr>
          <w:p w14:paraId="7AB2D50F" w14:textId="01A0D7AF" w:rsidR="00810532" w:rsidRPr="00702E06" w:rsidRDefault="00810532" w:rsidP="00434EB2">
            <w:pPr>
              <w:spacing w:before="60" w:after="60"/>
              <w:jc w:val="center"/>
            </w:pPr>
            <w:r w:rsidRPr="00702E06">
              <w:t>15.7%</w:t>
            </w:r>
          </w:p>
        </w:tc>
        <w:tc>
          <w:tcPr>
            <w:tcW w:w="997" w:type="dxa"/>
            <w:vAlign w:val="center"/>
          </w:tcPr>
          <w:p w14:paraId="39A49EB5" w14:textId="59E8F94C" w:rsidR="00810532" w:rsidRPr="00702E06" w:rsidRDefault="00810532" w:rsidP="00434EB2">
            <w:pPr>
              <w:spacing w:before="60" w:after="60"/>
              <w:jc w:val="center"/>
            </w:pPr>
            <w:r w:rsidRPr="00702E06">
              <w:t>12.5</w:t>
            </w:r>
          </w:p>
        </w:tc>
      </w:tr>
      <w:tr w:rsidR="00810532" w14:paraId="139783BC" w14:textId="77777777" w:rsidTr="00C4192D">
        <w:tc>
          <w:tcPr>
            <w:tcW w:w="2001" w:type="dxa"/>
            <w:vAlign w:val="bottom"/>
          </w:tcPr>
          <w:p w14:paraId="1296B223" w14:textId="24A429EB" w:rsidR="00810532" w:rsidRPr="00702E06" w:rsidRDefault="00810532" w:rsidP="00434EB2">
            <w:pPr>
              <w:spacing w:before="60" w:after="60"/>
              <w:jc w:val="left"/>
            </w:pPr>
            <w:r w:rsidRPr="00702E06">
              <w:rPr>
                <w:color w:val="000000"/>
              </w:rPr>
              <w:t>Mobile refrig: road: diesel drive</w:t>
            </w:r>
          </w:p>
        </w:tc>
        <w:tc>
          <w:tcPr>
            <w:tcW w:w="990" w:type="dxa"/>
            <w:vAlign w:val="center"/>
          </w:tcPr>
          <w:p w14:paraId="3A3CAE2D" w14:textId="01FA0008" w:rsidR="00810532" w:rsidRPr="00702E06" w:rsidRDefault="00810532" w:rsidP="00434EB2">
            <w:pPr>
              <w:spacing w:before="60" w:after="60"/>
              <w:jc w:val="center"/>
            </w:pPr>
            <w:r w:rsidRPr="00702E06">
              <w:t>7.0</w:t>
            </w:r>
          </w:p>
        </w:tc>
        <w:tc>
          <w:tcPr>
            <w:tcW w:w="989" w:type="dxa"/>
            <w:vAlign w:val="center"/>
          </w:tcPr>
          <w:p w14:paraId="44F2B66F" w14:textId="6647817D" w:rsidR="00810532" w:rsidRPr="00702E06" w:rsidRDefault="00810532" w:rsidP="00434EB2">
            <w:pPr>
              <w:spacing w:before="60" w:after="60"/>
              <w:jc w:val="center"/>
            </w:pPr>
            <w:r w:rsidRPr="00702E06">
              <w:t>4.0</w:t>
            </w:r>
          </w:p>
        </w:tc>
        <w:tc>
          <w:tcPr>
            <w:tcW w:w="1001" w:type="dxa"/>
            <w:vMerge/>
            <w:vAlign w:val="center"/>
          </w:tcPr>
          <w:p w14:paraId="2E4DA21B" w14:textId="77777777" w:rsidR="00810532" w:rsidRPr="00702E06" w:rsidRDefault="00810532" w:rsidP="00434EB2">
            <w:pPr>
              <w:spacing w:before="60" w:after="60"/>
              <w:jc w:val="center"/>
            </w:pPr>
          </w:p>
        </w:tc>
        <w:tc>
          <w:tcPr>
            <w:tcW w:w="948" w:type="dxa"/>
            <w:vMerge/>
            <w:vAlign w:val="center"/>
          </w:tcPr>
          <w:p w14:paraId="7350C138" w14:textId="77777777" w:rsidR="00810532" w:rsidRPr="00702E06" w:rsidRDefault="00810532" w:rsidP="00434EB2">
            <w:pPr>
              <w:spacing w:before="60" w:after="60"/>
              <w:jc w:val="center"/>
            </w:pPr>
          </w:p>
        </w:tc>
        <w:tc>
          <w:tcPr>
            <w:tcW w:w="1272" w:type="dxa"/>
            <w:vAlign w:val="center"/>
          </w:tcPr>
          <w:p w14:paraId="7C117242" w14:textId="1D5CAB83" w:rsidR="00810532" w:rsidRPr="00702E06" w:rsidRDefault="00810532" w:rsidP="00434EB2">
            <w:pPr>
              <w:spacing w:before="60" w:after="60"/>
              <w:jc w:val="center"/>
            </w:pPr>
            <w:r w:rsidRPr="00702E06">
              <w:t>15.0%</w:t>
            </w:r>
          </w:p>
        </w:tc>
        <w:tc>
          <w:tcPr>
            <w:tcW w:w="1294" w:type="dxa"/>
            <w:vMerge/>
            <w:vAlign w:val="center"/>
          </w:tcPr>
          <w:p w14:paraId="445943FD" w14:textId="77777777" w:rsidR="00810532" w:rsidRPr="00702E06" w:rsidRDefault="00810532" w:rsidP="00434EB2">
            <w:pPr>
              <w:spacing w:before="60" w:after="60"/>
              <w:jc w:val="center"/>
            </w:pPr>
          </w:p>
        </w:tc>
        <w:tc>
          <w:tcPr>
            <w:tcW w:w="997" w:type="dxa"/>
            <w:vAlign w:val="center"/>
          </w:tcPr>
          <w:p w14:paraId="2F921E0C" w14:textId="7E652DFC" w:rsidR="00810532" w:rsidRPr="00702E06" w:rsidRDefault="00810532" w:rsidP="00434EB2">
            <w:pPr>
              <w:spacing w:before="60" w:after="60"/>
              <w:jc w:val="center"/>
            </w:pPr>
            <w:r w:rsidRPr="00702E06">
              <w:t>12.5</w:t>
            </w:r>
          </w:p>
        </w:tc>
      </w:tr>
      <w:tr w:rsidR="00810532" w14:paraId="4F065CD4" w14:textId="77777777" w:rsidTr="00C4192D">
        <w:tc>
          <w:tcPr>
            <w:tcW w:w="2001" w:type="dxa"/>
            <w:vAlign w:val="bottom"/>
          </w:tcPr>
          <w:p w14:paraId="0875270E" w14:textId="48E8E99F" w:rsidR="00810532" w:rsidRPr="00702E06" w:rsidRDefault="00810532" w:rsidP="00434EB2">
            <w:pPr>
              <w:spacing w:before="60" w:after="60"/>
              <w:jc w:val="left"/>
            </w:pPr>
            <w:r w:rsidRPr="00702E06">
              <w:rPr>
                <w:color w:val="000000"/>
              </w:rPr>
              <w:t>Mobile refrig: road: off engine</w:t>
            </w:r>
          </w:p>
        </w:tc>
        <w:tc>
          <w:tcPr>
            <w:tcW w:w="990" w:type="dxa"/>
            <w:vAlign w:val="center"/>
          </w:tcPr>
          <w:p w14:paraId="1167EA4D" w14:textId="7F79BA1C" w:rsidR="00810532" w:rsidRPr="00702E06" w:rsidRDefault="00810532" w:rsidP="00434EB2">
            <w:pPr>
              <w:spacing w:before="60" w:after="60"/>
              <w:jc w:val="center"/>
            </w:pPr>
            <w:r w:rsidRPr="00702E06">
              <w:t>4.0</w:t>
            </w:r>
          </w:p>
        </w:tc>
        <w:tc>
          <w:tcPr>
            <w:tcW w:w="989" w:type="dxa"/>
            <w:vAlign w:val="center"/>
          </w:tcPr>
          <w:p w14:paraId="5A9457E0" w14:textId="1F0BB412" w:rsidR="00810532" w:rsidRPr="00702E06" w:rsidRDefault="00810532" w:rsidP="00434EB2">
            <w:pPr>
              <w:spacing w:before="60" w:after="60"/>
              <w:jc w:val="center"/>
            </w:pPr>
            <w:r w:rsidRPr="00702E06">
              <w:t>2.2</w:t>
            </w:r>
          </w:p>
        </w:tc>
        <w:tc>
          <w:tcPr>
            <w:tcW w:w="1001" w:type="dxa"/>
            <w:vMerge/>
            <w:vAlign w:val="center"/>
          </w:tcPr>
          <w:p w14:paraId="07FC064B" w14:textId="77777777" w:rsidR="00810532" w:rsidRPr="00702E06" w:rsidRDefault="00810532" w:rsidP="00434EB2">
            <w:pPr>
              <w:spacing w:before="60" w:after="60"/>
              <w:jc w:val="center"/>
            </w:pPr>
          </w:p>
        </w:tc>
        <w:tc>
          <w:tcPr>
            <w:tcW w:w="948" w:type="dxa"/>
            <w:vMerge/>
            <w:vAlign w:val="center"/>
          </w:tcPr>
          <w:p w14:paraId="6A8A1D85" w14:textId="77777777" w:rsidR="00810532" w:rsidRPr="00702E06" w:rsidRDefault="00810532" w:rsidP="00434EB2">
            <w:pPr>
              <w:spacing w:before="60" w:after="60"/>
              <w:jc w:val="center"/>
            </w:pPr>
          </w:p>
        </w:tc>
        <w:tc>
          <w:tcPr>
            <w:tcW w:w="1272" w:type="dxa"/>
            <w:vAlign w:val="center"/>
          </w:tcPr>
          <w:p w14:paraId="4F9B72F3" w14:textId="072C7604" w:rsidR="00810532" w:rsidRPr="00702E06" w:rsidRDefault="00810532" w:rsidP="00434EB2">
            <w:pPr>
              <w:spacing w:before="60" w:after="60"/>
              <w:jc w:val="center"/>
            </w:pPr>
            <w:r w:rsidRPr="00702E06">
              <w:t>15.0%</w:t>
            </w:r>
          </w:p>
        </w:tc>
        <w:tc>
          <w:tcPr>
            <w:tcW w:w="1294" w:type="dxa"/>
            <w:vMerge/>
            <w:vAlign w:val="center"/>
          </w:tcPr>
          <w:p w14:paraId="1995A2E1" w14:textId="77777777" w:rsidR="00810532" w:rsidRPr="00702E06" w:rsidRDefault="00810532" w:rsidP="00434EB2">
            <w:pPr>
              <w:spacing w:before="60" w:after="60"/>
              <w:jc w:val="center"/>
            </w:pPr>
          </w:p>
        </w:tc>
        <w:tc>
          <w:tcPr>
            <w:tcW w:w="997" w:type="dxa"/>
            <w:vAlign w:val="center"/>
          </w:tcPr>
          <w:p w14:paraId="1C9659F9" w14:textId="21C8FBC7" w:rsidR="00810532" w:rsidRPr="00702E06" w:rsidRDefault="00810532" w:rsidP="00434EB2">
            <w:pPr>
              <w:spacing w:before="60" w:after="60"/>
              <w:jc w:val="center"/>
            </w:pPr>
            <w:r w:rsidRPr="00702E06">
              <w:t>10.0</w:t>
            </w:r>
          </w:p>
        </w:tc>
      </w:tr>
      <w:tr w:rsidR="00277B70" w14:paraId="324B324E" w14:textId="77777777" w:rsidTr="00C4192D">
        <w:tc>
          <w:tcPr>
            <w:tcW w:w="2001" w:type="dxa"/>
            <w:vAlign w:val="bottom"/>
          </w:tcPr>
          <w:p w14:paraId="422413C5" w14:textId="2A575D04" w:rsidR="00277B70" w:rsidRPr="00702E06" w:rsidRDefault="00277B70" w:rsidP="00434EB2">
            <w:pPr>
              <w:spacing w:before="60" w:after="60"/>
              <w:jc w:val="left"/>
            </w:pPr>
            <w:r w:rsidRPr="00702E06">
              <w:rPr>
                <w:color w:val="000000"/>
              </w:rPr>
              <w:t>Mobile refrig: marine</w:t>
            </w:r>
          </w:p>
        </w:tc>
        <w:tc>
          <w:tcPr>
            <w:tcW w:w="990" w:type="dxa"/>
            <w:vAlign w:val="center"/>
          </w:tcPr>
          <w:p w14:paraId="7D1755D6" w14:textId="227549E1" w:rsidR="00277B70" w:rsidRPr="00702E06" w:rsidRDefault="00277B70" w:rsidP="00434EB2">
            <w:pPr>
              <w:spacing w:before="60" w:after="60"/>
              <w:jc w:val="center"/>
            </w:pPr>
            <w:r w:rsidRPr="00702E06">
              <w:t>130.0</w:t>
            </w:r>
          </w:p>
        </w:tc>
        <w:tc>
          <w:tcPr>
            <w:tcW w:w="989" w:type="dxa"/>
            <w:vAlign w:val="center"/>
          </w:tcPr>
          <w:p w14:paraId="0344FAD1" w14:textId="711A2D23" w:rsidR="00277B70" w:rsidRPr="00702E06" w:rsidRDefault="00277B70" w:rsidP="00434EB2">
            <w:pPr>
              <w:spacing w:before="60" w:after="60"/>
              <w:jc w:val="center"/>
            </w:pPr>
            <w:r w:rsidRPr="00702E06">
              <w:t>130.0</w:t>
            </w:r>
          </w:p>
        </w:tc>
        <w:tc>
          <w:tcPr>
            <w:tcW w:w="1001" w:type="dxa"/>
            <w:vAlign w:val="center"/>
          </w:tcPr>
          <w:p w14:paraId="0856D203" w14:textId="4F1A548D" w:rsidR="00277B70" w:rsidRPr="00702E06" w:rsidRDefault="00810532" w:rsidP="00434EB2">
            <w:pPr>
              <w:spacing w:before="60" w:after="60"/>
              <w:jc w:val="center"/>
            </w:pPr>
            <w:r w:rsidRPr="00702E06">
              <w:t>90%</w:t>
            </w:r>
          </w:p>
        </w:tc>
        <w:tc>
          <w:tcPr>
            <w:tcW w:w="948" w:type="dxa"/>
            <w:vAlign w:val="center"/>
          </w:tcPr>
          <w:p w14:paraId="05C36568" w14:textId="59390BF4" w:rsidR="00277B70" w:rsidRPr="00702E06" w:rsidRDefault="00810532" w:rsidP="00434EB2">
            <w:pPr>
              <w:spacing w:before="60" w:after="60"/>
              <w:jc w:val="center"/>
            </w:pPr>
            <w:r w:rsidRPr="00702E06">
              <w:t>95%</w:t>
            </w:r>
          </w:p>
        </w:tc>
        <w:tc>
          <w:tcPr>
            <w:tcW w:w="1272" w:type="dxa"/>
            <w:vAlign w:val="center"/>
          </w:tcPr>
          <w:p w14:paraId="3416069D" w14:textId="4FB83E7C" w:rsidR="00277B70" w:rsidRPr="00702E06" w:rsidRDefault="00277B70" w:rsidP="00434EB2">
            <w:pPr>
              <w:spacing w:before="60" w:after="60"/>
              <w:jc w:val="center"/>
            </w:pPr>
            <w:r w:rsidRPr="00702E06">
              <w:t>15.0%</w:t>
            </w:r>
          </w:p>
        </w:tc>
        <w:tc>
          <w:tcPr>
            <w:tcW w:w="1294" w:type="dxa"/>
            <w:vMerge/>
            <w:vAlign w:val="center"/>
          </w:tcPr>
          <w:p w14:paraId="4C087653" w14:textId="77777777" w:rsidR="00277B70" w:rsidRPr="00702E06" w:rsidRDefault="00277B70" w:rsidP="00434EB2">
            <w:pPr>
              <w:spacing w:before="60" w:after="60"/>
              <w:jc w:val="center"/>
            </w:pPr>
          </w:p>
        </w:tc>
        <w:tc>
          <w:tcPr>
            <w:tcW w:w="997" w:type="dxa"/>
            <w:vAlign w:val="center"/>
          </w:tcPr>
          <w:p w14:paraId="7BB0376C" w14:textId="09211E44" w:rsidR="00277B70" w:rsidRPr="00702E06" w:rsidRDefault="00277B70" w:rsidP="00434EB2">
            <w:pPr>
              <w:spacing w:before="60" w:after="60"/>
              <w:jc w:val="center"/>
            </w:pPr>
            <w:r w:rsidRPr="00702E06">
              <w:t>25.0</w:t>
            </w:r>
          </w:p>
        </w:tc>
      </w:tr>
      <w:tr w:rsidR="00434EB2" w14:paraId="0065671F" w14:textId="77777777" w:rsidTr="00F90AEE">
        <w:tc>
          <w:tcPr>
            <w:tcW w:w="2001" w:type="dxa"/>
            <w:shd w:val="clear" w:color="auto" w:fill="DAEEF3" w:themeFill="accent5" w:themeFillTint="33"/>
            <w:vAlign w:val="center"/>
          </w:tcPr>
          <w:p w14:paraId="1F84683F" w14:textId="5334C581" w:rsidR="00434EB2" w:rsidRPr="00702E06" w:rsidRDefault="00434EB2" w:rsidP="00434EB2">
            <w:pPr>
              <w:spacing w:before="60" w:after="60"/>
              <w:jc w:val="left"/>
            </w:pPr>
            <w:r w:rsidRPr="00702E06">
              <w:t>Domestic refrig.</w:t>
            </w:r>
          </w:p>
        </w:tc>
        <w:tc>
          <w:tcPr>
            <w:tcW w:w="990" w:type="dxa"/>
            <w:shd w:val="clear" w:color="auto" w:fill="DAEEF3" w:themeFill="accent5" w:themeFillTint="33"/>
            <w:vAlign w:val="center"/>
          </w:tcPr>
          <w:p w14:paraId="359FF607" w14:textId="77777777" w:rsidR="00434EB2" w:rsidRPr="00702E06" w:rsidRDefault="00434EB2" w:rsidP="00434EB2">
            <w:pPr>
              <w:spacing w:before="60" w:after="60"/>
              <w:jc w:val="center"/>
            </w:pPr>
          </w:p>
        </w:tc>
        <w:tc>
          <w:tcPr>
            <w:tcW w:w="989" w:type="dxa"/>
            <w:shd w:val="clear" w:color="auto" w:fill="DAEEF3" w:themeFill="accent5" w:themeFillTint="33"/>
            <w:vAlign w:val="center"/>
          </w:tcPr>
          <w:p w14:paraId="54AE4CC6" w14:textId="77777777" w:rsidR="00434EB2" w:rsidRPr="00702E06" w:rsidRDefault="00434EB2" w:rsidP="00434EB2">
            <w:pPr>
              <w:spacing w:before="60" w:after="60"/>
              <w:jc w:val="center"/>
            </w:pPr>
          </w:p>
        </w:tc>
        <w:tc>
          <w:tcPr>
            <w:tcW w:w="1001" w:type="dxa"/>
            <w:shd w:val="clear" w:color="auto" w:fill="DAEEF3" w:themeFill="accent5" w:themeFillTint="33"/>
            <w:vAlign w:val="center"/>
          </w:tcPr>
          <w:p w14:paraId="3DC426CA" w14:textId="77777777" w:rsidR="00434EB2" w:rsidRPr="00702E06" w:rsidRDefault="00434EB2" w:rsidP="00434EB2">
            <w:pPr>
              <w:spacing w:before="60" w:after="60"/>
              <w:jc w:val="center"/>
            </w:pPr>
          </w:p>
        </w:tc>
        <w:tc>
          <w:tcPr>
            <w:tcW w:w="948" w:type="dxa"/>
            <w:shd w:val="clear" w:color="auto" w:fill="DAEEF3" w:themeFill="accent5" w:themeFillTint="33"/>
            <w:vAlign w:val="center"/>
          </w:tcPr>
          <w:p w14:paraId="2910EB93" w14:textId="77777777" w:rsidR="00434EB2" w:rsidRPr="00702E06" w:rsidRDefault="00434EB2" w:rsidP="00434EB2">
            <w:pPr>
              <w:spacing w:before="60" w:after="60"/>
              <w:jc w:val="center"/>
            </w:pPr>
          </w:p>
        </w:tc>
        <w:tc>
          <w:tcPr>
            <w:tcW w:w="1272" w:type="dxa"/>
            <w:shd w:val="clear" w:color="auto" w:fill="DAEEF3" w:themeFill="accent5" w:themeFillTint="33"/>
            <w:vAlign w:val="center"/>
          </w:tcPr>
          <w:p w14:paraId="092A383A" w14:textId="77777777" w:rsidR="00434EB2" w:rsidRPr="00702E06" w:rsidRDefault="00434EB2" w:rsidP="00434EB2">
            <w:pPr>
              <w:spacing w:before="60" w:after="60"/>
              <w:jc w:val="center"/>
            </w:pPr>
          </w:p>
        </w:tc>
        <w:tc>
          <w:tcPr>
            <w:tcW w:w="1294" w:type="dxa"/>
            <w:shd w:val="clear" w:color="auto" w:fill="DAEEF3" w:themeFill="accent5" w:themeFillTint="33"/>
            <w:vAlign w:val="center"/>
          </w:tcPr>
          <w:p w14:paraId="33BBCA09" w14:textId="77777777" w:rsidR="00434EB2" w:rsidRPr="00702E06" w:rsidRDefault="00434EB2" w:rsidP="00434EB2">
            <w:pPr>
              <w:spacing w:before="60" w:after="60"/>
              <w:jc w:val="center"/>
            </w:pPr>
          </w:p>
        </w:tc>
        <w:tc>
          <w:tcPr>
            <w:tcW w:w="997" w:type="dxa"/>
            <w:shd w:val="clear" w:color="auto" w:fill="DAEEF3" w:themeFill="accent5" w:themeFillTint="33"/>
            <w:vAlign w:val="center"/>
          </w:tcPr>
          <w:p w14:paraId="46428141" w14:textId="77777777" w:rsidR="00434EB2" w:rsidRPr="00702E06" w:rsidRDefault="00434EB2" w:rsidP="00434EB2">
            <w:pPr>
              <w:spacing w:before="60" w:after="60"/>
              <w:jc w:val="center"/>
            </w:pPr>
          </w:p>
        </w:tc>
      </w:tr>
      <w:tr w:rsidR="00277B70" w14:paraId="298AC218" w14:textId="77777777" w:rsidTr="00C4192D">
        <w:tc>
          <w:tcPr>
            <w:tcW w:w="2001" w:type="dxa"/>
            <w:vAlign w:val="bottom"/>
          </w:tcPr>
          <w:p w14:paraId="4D31AED5" w14:textId="713EC791" w:rsidR="00277B70" w:rsidRPr="00702E06" w:rsidRDefault="00277B70" w:rsidP="00434EB2">
            <w:pPr>
              <w:spacing w:before="60" w:after="60"/>
              <w:jc w:val="left"/>
            </w:pPr>
            <w:r w:rsidRPr="00702E06">
              <w:rPr>
                <w:color w:val="000000"/>
              </w:rPr>
              <w:t xml:space="preserve">Refrigerators and freezers </w:t>
            </w:r>
            <w:r w:rsidRPr="00702E06">
              <w:rPr>
                <w:color w:val="000000"/>
                <w:vertAlign w:val="superscript"/>
              </w:rPr>
              <w:t>(6)</w:t>
            </w:r>
          </w:p>
        </w:tc>
        <w:tc>
          <w:tcPr>
            <w:tcW w:w="990" w:type="dxa"/>
            <w:vAlign w:val="center"/>
          </w:tcPr>
          <w:p w14:paraId="060CFF6B" w14:textId="3C0DEF27" w:rsidR="00277B70" w:rsidRPr="00702E06" w:rsidRDefault="00277B70" w:rsidP="00434EB2">
            <w:pPr>
              <w:spacing w:before="60" w:after="60"/>
              <w:jc w:val="center"/>
            </w:pPr>
            <w:r w:rsidRPr="00702E06">
              <w:t>0.140</w:t>
            </w:r>
          </w:p>
        </w:tc>
        <w:tc>
          <w:tcPr>
            <w:tcW w:w="989" w:type="dxa"/>
            <w:vAlign w:val="center"/>
          </w:tcPr>
          <w:p w14:paraId="3BAF6C29" w14:textId="4B82AAAC" w:rsidR="00277B70" w:rsidRPr="00702E06" w:rsidRDefault="00277B70" w:rsidP="00434EB2">
            <w:pPr>
              <w:spacing w:before="60" w:after="60"/>
              <w:jc w:val="center"/>
            </w:pPr>
            <w:r w:rsidRPr="00702E06">
              <w:t>0.133</w:t>
            </w:r>
          </w:p>
        </w:tc>
        <w:tc>
          <w:tcPr>
            <w:tcW w:w="1001" w:type="dxa"/>
            <w:vAlign w:val="center"/>
          </w:tcPr>
          <w:p w14:paraId="53D534E3" w14:textId="6E1DD206" w:rsidR="00277B70" w:rsidRPr="00702E06" w:rsidRDefault="00277B70" w:rsidP="00434EB2">
            <w:pPr>
              <w:spacing w:before="60" w:after="60"/>
              <w:jc w:val="center"/>
            </w:pPr>
            <w:r w:rsidRPr="00702E06">
              <w:t>90%</w:t>
            </w:r>
          </w:p>
        </w:tc>
        <w:tc>
          <w:tcPr>
            <w:tcW w:w="948" w:type="dxa"/>
            <w:vAlign w:val="center"/>
          </w:tcPr>
          <w:p w14:paraId="355ADA0F" w14:textId="1B2CA72D" w:rsidR="00277B70" w:rsidRPr="00702E06" w:rsidRDefault="00277B70" w:rsidP="00434EB2">
            <w:pPr>
              <w:spacing w:before="60" w:after="60"/>
              <w:jc w:val="center"/>
            </w:pPr>
            <w:r w:rsidRPr="00702E06">
              <w:t>90%</w:t>
            </w:r>
          </w:p>
        </w:tc>
        <w:tc>
          <w:tcPr>
            <w:tcW w:w="1272" w:type="dxa"/>
            <w:vAlign w:val="center"/>
          </w:tcPr>
          <w:p w14:paraId="796C3302" w14:textId="7322722D" w:rsidR="00277B70" w:rsidRPr="00702E06" w:rsidRDefault="00277B70" w:rsidP="00434EB2">
            <w:pPr>
              <w:spacing w:before="60" w:after="60"/>
              <w:jc w:val="center"/>
            </w:pPr>
            <w:r w:rsidRPr="00702E06">
              <w:t>1.0%</w:t>
            </w:r>
          </w:p>
        </w:tc>
        <w:tc>
          <w:tcPr>
            <w:tcW w:w="1294" w:type="dxa"/>
            <w:vMerge w:val="restart"/>
            <w:vAlign w:val="center"/>
          </w:tcPr>
          <w:p w14:paraId="46EDD175" w14:textId="511A8C99" w:rsidR="00277B70" w:rsidRPr="00702E06" w:rsidRDefault="00277B70" w:rsidP="00434EB2">
            <w:pPr>
              <w:spacing w:before="60" w:after="60"/>
              <w:jc w:val="center"/>
            </w:pPr>
            <w:r w:rsidRPr="00702E06">
              <w:t>1.7%</w:t>
            </w:r>
          </w:p>
        </w:tc>
        <w:tc>
          <w:tcPr>
            <w:tcW w:w="997" w:type="dxa"/>
            <w:vAlign w:val="center"/>
          </w:tcPr>
          <w:p w14:paraId="2C89478D" w14:textId="4C2AC20B" w:rsidR="00277B70" w:rsidRPr="00702E06" w:rsidRDefault="00277B70" w:rsidP="00434EB2">
            <w:pPr>
              <w:spacing w:before="60" w:after="60"/>
              <w:jc w:val="center"/>
            </w:pPr>
            <w:r w:rsidRPr="00702E06">
              <w:t>16.5</w:t>
            </w:r>
          </w:p>
        </w:tc>
      </w:tr>
      <w:tr w:rsidR="00277B70" w14:paraId="0EA9354B" w14:textId="77777777" w:rsidTr="00C4192D">
        <w:tc>
          <w:tcPr>
            <w:tcW w:w="2001" w:type="dxa"/>
            <w:vAlign w:val="bottom"/>
          </w:tcPr>
          <w:p w14:paraId="4B44CC57" w14:textId="0DBB0D0C" w:rsidR="00277B70" w:rsidRPr="00702E06" w:rsidRDefault="00277B70" w:rsidP="00434EB2">
            <w:pPr>
              <w:spacing w:before="60" w:after="60"/>
              <w:jc w:val="left"/>
            </w:pPr>
            <w:r w:rsidRPr="00702E06">
              <w:rPr>
                <w:color w:val="000000"/>
              </w:rPr>
              <w:t>Portable refrig.</w:t>
            </w:r>
          </w:p>
        </w:tc>
        <w:tc>
          <w:tcPr>
            <w:tcW w:w="990" w:type="dxa"/>
            <w:vAlign w:val="center"/>
          </w:tcPr>
          <w:p w14:paraId="295FF33C" w14:textId="022E8FBA" w:rsidR="00277B70" w:rsidRPr="00702E06" w:rsidRDefault="00277B70" w:rsidP="00434EB2">
            <w:pPr>
              <w:spacing w:before="60" w:after="60"/>
              <w:jc w:val="center"/>
            </w:pPr>
            <w:r w:rsidRPr="00702E06">
              <w:t>0.055</w:t>
            </w:r>
          </w:p>
        </w:tc>
        <w:tc>
          <w:tcPr>
            <w:tcW w:w="989" w:type="dxa"/>
            <w:vAlign w:val="center"/>
          </w:tcPr>
          <w:p w14:paraId="6102FF2A" w14:textId="5BD0D478" w:rsidR="00277B70" w:rsidRPr="00702E06" w:rsidRDefault="00277B70" w:rsidP="00434EB2">
            <w:pPr>
              <w:spacing w:before="60" w:after="60"/>
              <w:jc w:val="center"/>
            </w:pPr>
            <w:r w:rsidRPr="00702E06">
              <w:t>0.055</w:t>
            </w:r>
          </w:p>
        </w:tc>
        <w:tc>
          <w:tcPr>
            <w:tcW w:w="1001" w:type="dxa"/>
            <w:vAlign w:val="center"/>
          </w:tcPr>
          <w:p w14:paraId="4B03DB34" w14:textId="00219795" w:rsidR="00277B70" w:rsidRPr="00702E06" w:rsidRDefault="00277B70" w:rsidP="00434EB2">
            <w:pPr>
              <w:spacing w:before="60" w:after="60"/>
              <w:jc w:val="center"/>
            </w:pPr>
            <w:r w:rsidRPr="00702E06">
              <w:t>95%</w:t>
            </w:r>
          </w:p>
        </w:tc>
        <w:tc>
          <w:tcPr>
            <w:tcW w:w="948" w:type="dxa"/>
            <w:vMerge w:val="restart"/>
            <w:vAlign w:val="center"/>
          </w:tcPr>
          <w:p w14:paraId="6DFD37C6" w14:textId="2F0FFD6E" w:rsidR="00277B70" w:rsidRPr="00702E06" w:rsidRDefault="00277B70" w:rsidP="00434EB2">
            <w:pPr>
              <w:spacing w:before="60" w:after="60"/>
              <w:jc w:val="center"/>
            </w:pPr>
            <w:r w:rsidRPr="00702E06">
              <w:t>0%</w:t>
            </w:r>
          </w:p>
        </w:tc>
        <w:tc>
          <w:tcPr>
            <w:tcW w:w="1272" w:type="dxa"/>
            <w:vAlign w:val="center"/>
          </w:tcPr>
          <w:p w14:paraId="265197A0" w14:textId="2EC11361" w:rsidR="00277B70" w:rsidRPr="00702E06" w:rsidRDefault="00277B70" w:rsidP="00434EB2">
            <w:pPr>
              <w:spacing w:before="60" w:after="60"/>
              <w:jc w:val="center"/>
            </w:pPr>
            <w:r w:rsidRPr="00702E06">
              <w:t>1.0%</w:t>
            </w:r>
          </w:p>
        </w:tc>
        <w:tc>
          <w:tcPr>
            <w:tcW w:w="1294" w:type="dxa"/>
            <w:vMerge/>
            <w:vAlign w:val="center"/>
          </w:tcPr>
          <w:p w14:paraId="23328FCC" w14:textId="77777777" w:rsidR="00277B70" w:rsidRPr="00702E06" w:rsidRDefault="00277B70" w:rsidP="00434EB2">
            <w:pPr>
              <w:spacing w:before="60" w:after="60"/>
              <w:jc w:val="center"/>
            </w:pPr>
          </w:p>
        </w:tc>
        <w:tc>
          <w:tcPr>
            <w:tcW w:w="997" w:type="dxa"/>
            <w:vAlign w:val="center"/>
          </w:tcPr>
          <w:p w14:paraId="65C34133" w14:textId="21937823" w:rsidR="00277B70" w:rsidRPr="00702E06" w:rsidRDefault="00277B70" w:rsidP="00434EB2">
            <w:pPr>
              <w:spacing w:before="60" w:after="60"/>
              <w:jc w:val="center"/>
            </w:pPr>
            <w:r w:rsidRPr="00702E06">
              <w:t>12.0</w:t>
            </w:r>
          </w:p>
        </w:tc>
      </w:tr>
      <w:tr w:rsidR="00277B70" w14:paraId="26CA6077" w14:textId="77777777" w:rsidTr="00C4192D">
        <w:tc>
          <w:tcPr>
            <w:tcW w:w="2001" w:type="dxa"/>
            <w:vAlign w:val="bottom"/>
          </w:tcPr>
          <w:p w14:paraId="0C6E4A14" w14:textId="5BF03D41" w:rsidR="00277B70" w:rsidRPr="00702E06" w:rsidRDefault="00277B70" w:rsidP="00434EB2">
            <w:pPr>
              <w:spacing w:before="60" w:after="60"/>
              <w:jc w:val="left"/>
            </w:pPr>
            <w:r w:rsidRPr="00702E06">
              <w:rPr>
                <w:color w:val="000000"/>
              </w:rPr>
              <w:t>Vehicle refrig.</w:t>
            </w:r>
          </w:p>
        </w:tc>
        <w:tc>
          <w:tcPr>
            <w:tcW w:w="990" w:type="dxa"/>
            <w:vAlign w:val="center"/>
          </w:tcPr>
          <w:p w14:paraId="7E1C8DD8" w14:textId="35433BAE" w:rsidR="00277B70" w:rsidRPr="00702E06" w:rsidRDefault="00277B70" w:rsidP="00434EB2">
            <w:pPr>
              <w:spacing w:before="60" w:after="60"/>
              <w:jc w:val="center"/>
            </w:pPr>
            <w:r w:rsidRPr="00702E06">
              <w:t>0.035</w:t>
            </w:r>
          </w:p>
        </w:tc>
        <w:tc>
          <w:tcPr>
            <w:tcW w:w="989" w:type="dxa"/>
            <w:vAlign w:val="center"/>
          </w:tcPr>
          <w:p w14:paraId="287A9A98" w14:textId="0157F0A2" w:rsidR="00277B70" w:rsidRPr="00702E06" w:rsidRDefault="00277B70" w:rsidP="00434EB2">
            <w:pPr>
              <w:spacing w:before="60" w:after="60"/>
              <w:jc w:val="center"/>
            </w:pPr>
            <w:r w:rsidRPr="00702E06">
              <w:t>0.035</w:t>
            </w:r>
          </w:p>
        </w:tc>
        <w:tc>
          <w:tcPr>
            <w:tcW w:w="1001" w:type="dxa"/>
            <w:vAlign w:val="center"/>
          </w:tcPr>
          <w:p w14:paraId="02898E44" w14:textId="543A2477" w:rsidR="00277B70" w:rsidRPr="00702E06" w:rsidRDefault="00277B70" w:rsidP="00434EB2">
            <w:pPr>
              <w:spacing w:before="60" w:after="60"/>
              <w:jc w:val="center"/>
            </w:pPr>
            <w:r w:rsidRPr="00702E06">
              <w:t>95%</w:t>
            </w:r>
          </w:p>
        </w:tc>
        <w:tc>
          <w:tcPr>
            <w:tcW w:w="948" w:type="dxa"/>
            <w:vMerge/>
            <w:vAlign w:val="center"/>
          </w:tcPr>
          <w:p w14:paraId="72238065" w14:textId="77777777" w:rsidR="00277B70" w:rsidRPr="00702E06" w:rsidRDefault="00277B70" w:rsidP="00434EB2">
            <w:pPr>
              <w:spacing w:before="60" w:after="60"/>
              <w:jc w:val="center"/>
            </w:pPr>
          </w:p>
        </w:tc>
        <w:tc>
          <w:tcPr>
            <w:tcW w:w="1272" w:type="dxa"/>
            <w:vAlign w:val="center"/>
          </w:tcPr>
          <w:p w14:paraId="57019DA6" w14:textId="12528E20" w:rsidR="00277B70" w:rsidRPr="00702E06" w:rsidRDefault="00277B70" w:rsidP="00434EB2">
            <w:pPr>
              <w:spacing w:before="60" w:after="60"/>
              <w:jc w:val="center"/>
            </w:pPr>
            <w:r w:rsidRPr="00702E06">
              <w:t>1.0%</w:t>
            </w:r>
          </w:p>
        </w:tc>
        <w:tc>
          <w:tcPr>
            <w:tcW w:w="1294" w:type="dxa"/>
            <w:vMerge/>
            <w:vAlign w:val="center"/>
          </w:tcPr>
          <w:p w14:paraId="7409DCEB" w14:textId="77777777" w:rsidR="00277B70" w:rsidRPr="00702E06" w:rsidRDefault="00277B70" w:rsidP="00434EB2">
            <w:pPr>
              <w:spacing w:before="60" w:after="60"/>
              <w:jc w:val="center"/>
            </w:pPr>
          </w:p>
        </w:tc>
        <w:tc>
          <w:tcPr>
            <w:tcW w:w="997" w:type="dxa"/>
            <w:vAlign w:val="center"/>
          </w:tcPr>
          <w:p w14:paraId="396D07A0" w14:textId="5F53868F" w:rsidR="00277B70" w:rsidRPr="00702E06" w:rsidRDefault="00277B70" w:rsidP="00434EB2">
            <w:pPr>
              <w:spacing w:before="60" w:after="60"/>
              <w:jc w:val="center"/>
            </w:pPr>
            <w:r w:rsidRPr="00702E06">
              <w:t>12.0</w:t>
            </w:r>
          </w:p>
        </w:tc>
      </w:tr>
    </w:tbl>
    <w:p w14:paraId="6F1C141F" w14:textId="12FE58F6" w:rsidR="005633B3" w:rsidRPr="00AC54E6" w:rsidRDefault="00AC54E6" w:rsidP="00AC54E6">
      <w:pPr>
        <w:spacing w:before="60"/>
        <w:rPr>
          <w:rFonts w:cs="Times New Roman"/>
          <w:szCs w:val="22"/>
        </w:rPr>
      </w:pPr>
      <w:r w:rsidRPr="00AC54E6">
        <w:rPr>
          <w:rFonts w:cs="Times New Roman"/>
          <w:szCs w:val="22"/>
        </w:rPr>
        <w:t>Notes:</w:t>
      </w:r>
    </w:p>
    <w:p w14:paraId="1D9E6C2F" w14:textId="153AB07B" w:rsidR="003B25BC" w:rsidRDefault="00353DC3" w:rsidP="003B25BC">
      <w:pPr>
        <w:pStyle w:val="ListParagraph"/>
        <w:numPr>
          <w:ilvl w:val="0"/>
          <w:numId w:val="33"/>
        </w:numPr>
        <w:spacing w:before="60"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Charge for HFC-410A </w:t>
      </w:r>
      <w:r w:rsidR="00FD47CA">
        <w:rPr>
          <w:rFonts w:ascii="Times New Roman" w:hAnsi="Times New Roman"/>
          <w:sz w:val="20"/>
          <w:szCs w:val="20"/>
        </w:rPr>
        <w:t xml:space="preserve">single split system </w:t>
      </w:r>
      <w:r>
        <w:rPr>
          <w:rFonts w:ascii="Times New Roman" w:hAnsi="Times New Roman"/>
          <w:sz w:val="20"/>
          <w:szCs w:val="20"/>
        </w:rPr>
        <w:t>is 1.45 kg.</w:t>
      </w:r>
    </w:p>
    <w:p w14:paraId="015CDF87" w14:textId="676F1309" w:rsidR="00552B60" w:rsidRPr="003B25BC" w:rsidRDefault="00552B60" w:rsidP="003B25BC">
      <w:pPr>
        <w:pStyle w:val="ListParagraph"/>
        <w:numPr>
          <w:ilvl w:val="0"/>
          <w:numId w:val="33"/>
        </w:numPr>
        <w:spacing w:before="60" w:after="0" w:line="240" w:lineRule="auto"/>
        <w:ind w:left="360"/>
        <w:contextualSpacing w:val="0"/>
        <w:jc w:val="both"/>
        <w:rPr>
          <w:rFonts w:ascii="Times New Roman" w:hAnsi="Times New Roman"/>
          <w:sz w:val="20"/>
          <w:szCs w:val="20"/>
        </w:rPr>
      </w:pPr>
      <w:r w:rsidRPr="003B25BC">
        <w:rPr>
          <w:rFonts w:ascii="Times New Roman" w:hAnsi="Times New Roman"/>
          <w:sz w:val="20"/>
          <w:szCs w:val="20"/>
        </w:rPr>
        <w:t xml:space="preserve">The HCFC-123 charge is different with capacity range &gt;500 &amp; &lt;1000 kWr </w:t>
      </w:r>
      <w:r w:rsidR="003B25BC">
        <w:rPr>
          <w:rFonts w:ascii="Times New Roman" w:hAnsi="Times New Roman"/>
          <w:sz w:val="20"/>
          <w:szCs w:val="20"/>
        </w:rPr>
        <w:t xml:space="preserve">= </w:t>
      </w:r>
      <w:r w:rsidRPr="003B25BC">
        <w:rPr>
          <w:rFonts w:ascii="Times New Roman" w:hAnsi="Times New Roman"/>
          <w:sz w:val="20"/>
          <w:szCs w:val="20"/>
        </w:rPr>
        <w:t xml:space="preserve">180 kgs, and &gt;1000 kWr </w:t>
      </w:r>
      <w:r w:rsidR="003B25BC">
        <w:rPr>
          <w:rFonts w:ascii="Times New Roman" w:hAnsi="Times New Roman"/>
          <w:sz w:val="20"/>
          <w:szCs w:val="20"/>
        </w:rPr>
        <w:t>= 670 kg as they are generally large capacity models.</w:t>
      </w:r>
    </w:p>
    <w:p w14:paraId="1D1A3F62" w14:textId="2283AFD0" w:rsidR="00AC54E6" w:rsidRPr="000879C9" w:rsidRDefault="00AC54E6" w:rsidP="00FC735C">
      <w:pPr>
        <w:pStyle w:val="ListParagraph"/>
        <w:numPr>
          <w:ilvl w:val="0"/>
          <w:numId w:val="33"/>
        </w:numPr>
        <w:spacing w:before="60" w:after="0" w:line="240" w:lineRule="auto"/>
        <w:ind w:left="360"/>
        <w:contextualSpacing w:val="0"/>
        <w:jc w:val="both"/>
        <w:rPr>
          <w:rFonts w:ascii="Times New Roman" w:hAnsi="Times New Roman"/>
          <w:sz w:val="20"/>
          <w:szCs w:val="20"/>
        </w:rPr>
      </w:pPr>
      <w:r w:rsidRPr="000879C9">
        <w:rPr>
          <w:rFonts w:ascii="Times New Roman" w:hAnsi="Times New Roman"/>
          <w:sz w:val="20"/>
          <w:szCs w:val="20"/>
        </w:rPr>
        <w:t xml:space="preserve">Large MAC </w:t>
      </w:r>
      <w:r w:rsidR="005C5275">
        <w:rPr>
          <w:rFonts w:ascii="Times New Roman" w:hAnsi="Times New Roman"/>
          <w:sz w:val="20"/>
          <w:szCs w:val="20"/>
        </w:rPr>
        <w:t>EOL</w:t>
      </w:r>
      <w:r w:rsidRPr="000879C9">
        <w:rPr>
          <w:rFonts w:ascii="Times New Roman" w:hAnsi="Times New Roman"/>
          <w:sz w:val="20"/>
          <w:szCs w:val="20"/>
        </w:rPr>
        <w:t xml:space="preserve"> </w:t>
      </w:r>
      <w:r w:rsidR="00BE7FB6">
        <w:rPr>
          <w:rFonts w:ascii="Times New Roman" w:hAnsi="Times New Roman"/>
          <w:sz w:val="20"/>
          <w:szCs w:val="20"/>
        </w:rPr>
        <w:t xml:space="preserve">percent </w:t>
      </w:r>
      <w:r w:rsidRPr="000879C9">
        <w:rPr>
          <w:rFonts w:ascii="Times New Roman" w:hAnsi="Times New Roman"/>
          <w:sz w:val="20"/>
          <w:szCs w:val="20"/>
        </w:rPr>
        <w:t>adjusted to be consistent with commercial AC.</w:t>
      </w:r>
    </w:p>
    <w:p w14:paraId="4E5A5676" w14:textId="6C75C244" w:rsidR="00B37302" w:rsidRDefault="00AC54E6" w:rsidP="00FC735C">
      <w:pPr>
        <w:pStyle w:val="ListParagraph"/>
        <w:numPr>
          <w:ilvl w:val="0"/>
          <w:numId w:val="33"/>
        </w:numPr>
        <w:spacing w:before="60" w:after="0" w:line="240" w:lineRule="auto"/>
        <w:ind w:left="360"/>
        <w:contextualSpacing w:val="0"/>
        <w:jc w:val="both"/>
        <w:rPr>
          <w:rFonts w:ascii="Times New Roman" w:hAnsi="Times New Roman"/>
          <w:sz w:val="20"/>
          <w:szCs w:val="20"/>
        </w:rPr>
      </w:pPr>
      <w:r w:rsidRPr="000879C9">
        <w:rPr>
          <w:rFonts w:ascii="Times New Roman" w:hAnsi="Times New Roman"/>
          <w:sz w:val="20"/>
          <w:szCs w:val="20"/>
        </w:rPr>
        <w:t>Supe</w:t>
      </w:r>
      <w:r w:rsidR="000879C9" w:rsidRPr="000879C9">
        <w:rPr>
          <w:rFonts w:ascii="Times New Roman" w:hAnsi="Times New Roman"/>
          <w:sz w:val="20"/>
          <w:szCs w:val="20"/>
        </w:rPr>
        <w:t>rmarket refrigeration adjusted to 100%, consistent with high service levels, recovery and re-use.</w:t>
      </w:r>
    </w:p>
    <w:p w14:paraId="7CAA89A2" w14:textId="2B51FFE1" w:rsidR="00277B70" w:rsidRDefault="00277B70" w:rsidP="00FC735C">
      <w:pPr>
        <w:pStyle w:val="ListParagraph"/>
        <w:numPr>
          <w:ilvl w:val="0"/>
          <w:numId w:val="33"/>
        </w:numPr>
        <w:spacing w:before="60" w:after="0" w:line="240" w:lineRule="auto"/>
        <w:ind w:left="360"/>
        <w:contextualSpacing w:val="0"/>
        <w:jc w:val="both"/>
        <w:rPr>
          <w:rFonts w:ascii="Times New Roman" w:hAnsi="Times New Roman"/>
          <w:sz w:val="20"/>
          <w:szCs w:val="20"/>
        </w:rPr>
      </w:pPr>
      <w:r>
        <w:rPr>
          <w:rFonts w:ascii="Times New Roman" w:hAnsi="Times New Roman"/>
          <w:sz w:val="20"/>
          <w:szCs w:val="20"/>
        </w:rPr>
        <w:t>Supermarket lifespan relates to average plantroom refurbishment lifespan.</w:t>
      </w:r>
    </w:p>
    <w:p w14:paraId="65BA4CA4" w14:textId="1FE1FAF5" w:rsidR="00AC54E6" w:rsidRPr="00277B70" w:rsidRDefault="00B37302" w:rsidP="00277B70">
      <w:pPr>
        <w:pStyle w:val="ListParagraph"/>
        <w:numPr>
          <w:ilvl w:val="0"/>
          <w:numId w:val="33"/>
        </w:numPr>
        <w:spacing w:before="60" w:after="0" w:line="240" w:lineRule="auto"/>
        <w:ind w:left="360"/>
        <w:contextualSpacing w:val="0"/>
        <w:jc w:val="both"/>
        <w:rPr>
          <w:rFonts w:ascii="Times New Roman" w:hAnsi="Times New Roman"/>
          <w:sz w:val="20"/>
          <w:szCs w:val="20"/>
        </w:rPr>
      </w:pPr>
      <w:r w:rsidRPr="00B37302">
        <w:rPr>
          <w:rFonts w:ascii="Times New Roman" w:hAnsi="Times New Roman"/>
          <w:sz w:val="20"/>
          <w:szCs w:val="20"/>
        </w:rPr>
        <w:t>Refrigerators and freezers</w:t>
      </w:r>
      <w:r w:rsidR="000879C9" w:rsidRPr="00B37302">
        <w:rPr>
          <w:rFonts w:ascii="Times New Roman" w:hAnsi="Times New Roman"/>
          <w:sz w:val="20"/>
          <w:szCs w:val="20"/>
        </w:rPr>
        <w:t xml:space="preserve"> </w:t>
      </w:r>
      <w:r>
        <w:rPr>
          <w:rFonts w:ascii="Times New Roman" w:hAnsi="Times New Roman"/>
          <w:sz w:val="20"/>
          <w:szCs w:val="20"/>
        </w:rPr>
        <w:t>average charge for HC is 0.55 grams.</w:t>
      </w:r>
      <w:r w:rsidR="00FD47CA">
        <w:rPr>
          <w:rFonts w:ascii="Times New Roman" w:hAnsi="Times New Roman"/>
          <w:sz w:val="20"/>
          <w:szCs w:val="20"/>
        </w:rPr>
        <w:t xml:space="preserve"> Portable and vehicle refrigeration rarely use HC.</w:t>
      </w:r>
    </w:p>
    <w:p w14:paraId="067CA47E" w14:textId="77777777" w:rsidR="00AC54E6" w:rsidRPr="00B37302" w:rsidRDefault="00AC54E6" w:rsidP="00B37302">
      <w:pPr>
        <w:spacing w:before="60"/>
        <w:rPr>
          <w:sz w:val="20"/>
          <w:szCs w:val="20"/>
        </w:rPr>
      </w:pPr>
    </w:p>
    <w:p w14:paraId="79A8BB55" w14:textId="0D5CDD3A" w:rsidR="003270E5" w:rsidRPr="00014DE0" w:rsidRDefault="00014DE0" w:rsidP="00014DE0">
      <w:pPr>
        <w:pStyle w:val="Heading3"/>
      </w:pPr>
      <w:bookmarkStart w:id="210" w:name="_Toc525141322"/>
      <w:r w:rsidRPr="00014DE0">
        <w:t xml:space="preserve">Hydrocarbons and </w:t>
      </w:r>
      <w:r w:rsidR="00BF5AE7">
        <w:t>e</w:t>
      </w:r>
      <w:r w:rsidRPr="00014DE0">
        <w:t xml:space="preserve">quivalent </w:t>
      </w:r>
      <w:r w:rsidR="00BF5AE7">
        <w:t>r</w:t>
      </w:r>
      <w:r w:rsidRPr="00014DE0">
        <w:t xml:space="preserve">efrigerant </w:t>
      </w:r>
      <w:r w:rsidR="00BF5AE7">
        <w:t>c</w:t>
      </w:r>
      <w:r w:rsidRPr="00014DE0">
        <w:t>harge</w:t>
      </w:r>
      <w:bookmarkEnd w:id="210"/>
    </w:p>
    <w:p w14:paraId="0777395B" w14:textId="77777777" w:rsidR="00651751" w:rsidRPr="00651751" w:rsidRDefault="00651751" w:rsidP="00651751">
      <w:pPr>
        <w:rPr>
          <w:rFonts w:cs="Times New Roman"/>
          <w:szCs w:val="22"/>
          <w:lang w:val="en-US"/>
        </w:rPr>
      </w:pPr>
      <w:r w:rsidRPr="00651751">
        <w:rPr>
          <w:rFonts w:cs="Times New Roman"/>
          <w:szCs w:val="22"/>
          <w:lang w:val="en-US"/>
        </w:rPr>
        <w:t>The equivalent refrigerant charge shows changing market share. Instead of showing this through the proportion of devices, it shows it through the proportion of refrigerant a particular piece of equipment or device would have used had newer low GWP technology, such as hydrocarbon, not replaced it.</w:t>
      </w:r>
    </w:p>
    <w:p w14:paraId="03DFFB81" w14:textId="77777777" w:rsidR="00651751" w:rsidRPr="00651751" w:rsidRDefault="00651751" w:rsidP="00651751">
      <w:pPr>
        <w:rPr>
          <w:rFonts w:cs="Times New Roman"/>
          <w:szCs w:val="22"/>
          <w:lang w:val="en-US"/>
        </w:rPr>
      </w:pPr>
      <w:r w:rsidRPr="00651751">
        <w:rPr>
          <w:rFonts w:cs="Times New Roman"/>
          <w:szCs w:val="22"/>
          <w:lang w:val="en-US"/>
        </w:rPr>
        <w:t>The equivalent refrigerant charge is a tool used in this report to help visually compare different equipment types on the basis of the work that the refrigerants carry out. This has assisted in illustrating how different sectors are transitioning to new equipment – either at a particular point in time, or the rate of those transitions over time.</w:t>
      </w:r>
    </w:p>
    <w:p w14:paraId="54AA3D3A" w14:textId="59729586" w:rsidR="00651751" w:rsidRDefault="00651751" w:rsidP="00651751">
      <w:pPr>
        <w:rPr>
          <w:rFonts w:cs="Times New Roman"/>
          <w:szCs w:val="22"/>
          <w:lang w:val="en-US"/>
        </w:rPr>
      </w:pPr>
      <w:r w:rsidRPr="00651751">
        <w:rPr>
          <w:rFonts w:cs="Times New Roman"/>
          <w:szCs w:val="22"/>
          <w:lang w:val="en-US"/>
        </w:rPr>
        <w:t>It does not ignore or replace the ‘actual’ charge; it is an alternative measure used to help represent the rate of transition of the number of devices and the energy services they provide.</w:t>
      </w:r>
    </w:p>
    <w:p w14:paraId="537F00BD" w14:textId="207060F3" w:rsidR="00B67D96" w:rsidRPr="003D290E" w:rsidRDefault="00B67D96" w:rsidP="00B67D96">
      <w:pPr>
        <w:rPr>
          <w:rFonts w:cs="Times New Roman"/>
          <w:szCs w:val="22"/>
          <w:lang w:val="en-US"/>
        </w:rPr>
      </w:pPr>
      <w:r>
        <w:rPr>
          <w:rFonts w:cs="Times New Roman"/>
          <w:szCs w:val="22"/>
          <w:lang w:val="en-US"/>
        </w:rPr>
        <w:t xml:space="preserve">The model assesses the charge size </w:t>
      </w:r>
      <w:r w:rsidR="001F64CE">
        <w:rPr>
          <w:rFonts w:cs="Times New Roman"/>
          <w:szCs w:val="22"/>
          <w:lang w:val="en-US"/>
        </w:rPr>
        <w:t>and</w:t>
      </w:r>
      <w:r>
        <w:rPr>
          <w:rFonts w:cs="Times New Roman"/>
          <w:szCs w:val="22"/>
          <w:lang w:val="en-US"/>
        </w:rPr>
        <w:t xml:space="preserve"> bank based on </w:t>
      </w:r>
      <w:r w:rsidR="00BF5AE7">
        <w:rPr>
          <w:rFonts w:cs="Times New Roman"/>
          <w:szCs w:val="22"/>
          <w:lang w:val="en-US"/>
        </w:rPr>
        <w:t>e</w:t>
      </w:r>
      <w:r w:rsidRPr="003D290E">
        <w:rPr>
          <w:rFonts w:cs="Times New Roman"/>
          <w:szCs w:val="22"/>
          <w:lang w:val="en-US"/>
        </w:rPr>
        <w:t>quiv</w:t>
      </w:r>
      <w:r>
        <w:rPr>
          <w:rFonts w:cs="Times New Roman"/>
          <w:szCs w:val="22"/>
          <w:lang w:val="en-US"/>
        </w:rPr>
        <w:t>a</w:t>
      </w:r>
      <w:r w:rsidRPr="003D290E">
        <w:rPr>
          <w:rFonts w:cs="Times New Roman"/>
          <w:szCs w:val="22"/>
          <w:lang w:val="en-US"/>
        </w:rPr>
        <w:t>l</w:t>
      </w:r>
      <w:r>
        <w:rPr>
          <w:rFonts w:cs="Times New Roman"/>
          <w:szCs w:val="22"/>
          <w:lang w:val="en-US"/>
        </w:rPr>
        <w:t>e</w:t>
      </w:r>
      <w:r w:rsidRPr="003D290E">
        <w:rPr>
          <w:rFonts w:cs="Times New Roman"/>
          <w:szCs w:val="22"/>
          <w:lang w:val="en-US"/>
        </w:rPr>
        <w:t>nt refrigerant charge</w:t>
      </w:r>
      <w:r>
        <w:rPr>
          <w:rFonts w:cs="Times New Roman"/>
          <w:szCs w:val="22"/>
          <w:lang w:val="en-US"/>
        </w:rPr>
        <w:t xml:space="preserve"> and </w:t>
      </w:r>
      <w:r w:rsidR="00BF5AE7">
        <w:rPr>
          <w:rFonts w:cs="Times New Roman"/>
          <w:szCs w:val="22"/>
          <w:lang w:val="en-US"/>
        </w:rPr>
        <w:t>a</w:t>
      </w:r>
      <w:r>
        <w:rPr>
          <w:rFonts w:cs="Times New Roman"/>
          <w:szCs w:val="22"/>
          <w:lang w:val="en-US"/>
        </w:rPr>
        <w:t>ctual refrigerant charge</w:t>
      </w:r>
      <w:r w:rsidR="00014DE0">
        <w:rPr>
          <w:rFonts w:cs="Times New Roman"/>
          <w:szCs w:val="22"/>
          <w:lang w:val="en-US"/>
        </w:rPr>
        <w:t>.</w:t>
      </w:r>
      <w:r w:rsidRPr="003D290E">
        <w:rPr>
          <w:rFonts w:cs="Times New Roman"/>
          <w:szCs w:val="22"/>
          <w:lang w:val="en-US"/>
        </w:rPr>
        <w:t xml:space="preserve"> The equivalent charge size relates to the amount of </w:t>
      </w:r>
      <w:r w:rsidR="00BF5AE7">
        <w:rPr>
          <w:rFonts w:cs="Times New Roman"/>
          <w:szCs w:val="22"/>
          <w:lang w:val="en-US"/>
        </w:rPr>
        <w:t>h</w:t>
      </w:r>
      <w:r w:rsidRPr="003D290E">
        <w:rPr>
          <w:rFonts w:cs="Times New Roman"/>
          <w:szCs w:val="22"/>
          <w:lang w:val="en-US"/>
        </w:rPr>
        <w:t xml:space="preserve">igh GWP HFC that will be displaced, not the actual charge of the lower GWP refrigerant which can be up to </w:t>
      </w:r>
      <w:r>
        <w:rPr>
          <w:rFonts w:cs="Times New Roman"/>
          <w:szCs w:val="22"/>
          <w:lang w:val="en-US"/>
        </w:rPr>
        <w:t>7</w:t>
      </w:r>
      <w:r w:rsidRPr="003D290E">
        <w:rPr>
          <w:rFonts w:cs="Times New Roman"/>
          <w:szCs w:val="22"/>
          <w:lang w:val="en-US"/>
        </w:rPr>
        <w:t xml:space="preserve">0% less (e.g. </w:t>
      </w:r>
      <w:r w:rsidR="00FE74F2">
        <w:rPr>
          <w:rFonts w:cs="Times New Roman"/>
          <w:szCs w:val="22"/>
          <w:lang w:val="en-US"/>
        </w:rPr>
        <w:t>h</w:t>
      </w:r>
      <w:r w:rsidR="00FE74F2" w:rsidRPr="003D290E">
        <w:rPr>
          <w:rFonts w:cs="Times New Roman"/>
          <w:szCs w:val="22"/>
          <w:lang w:val="en-US"/>
        </w:rPr>
        <w:t>ydrocarbon</w:t>
      </w:r>
      <w:r w:rsidRPr="003D290E">
        <w:rPr>
          <w:rFonts w:cs="Times New Roman"/>
          <w:szCs w:val="22"/>
          <w:lang w:val="en-US"/>
        </w:rPr>
        <w:t xml:space="preserve">). </w:t>
      </w:r>
    </w:p>
    <w:p w14:paraId="4A4C2D40" w14:textId="16087224" w:rsidR="00B67D96" w:rsidRDefault="00B67D96" w:rsidP="00B67D96">
      <w:pPr>
        <w:rPr>
          <w:rFonts w:cs="Times New Roman"/>
          <w:szCs w:val="22"/>
          <w:lang w:val="en-US"/>
        </w:rPr>
      </w:pPr>
      <w:r w:rsidRPr="003D290E">
        <w:rPr>
          <w:rFonts w:cs="Times New Roman"/>
          <w:szCs w:val="22"/>
          <w:lang w:val="en-US"/>
        </w:rPr>
        <w:t xml:space="preserve">The equivalent charge provides a comparative representation of the rate of transition of the number of devices, and the energy services they provide </w:t>
      </w:r>
      <w:r w:rsidR="007758A9">
        <w:rPr>
          <w:rFonts w:cs="Times New Roman"/>
          <w:szCs w:val="22"/>
          <w:lang w:val="en-US"/>
        </w:rPr>
        <w:t>w</w:t>
      </w:r>
      <w:r w:rsidRPr="003D290E">
        <w:rPr>
          <w:rFonts w:cs="Times New Roman"/>
          <w:szCs w:val="22"/>
          <w:lang w:val="en-US"/>
        </w:rPr>
        <w:t>hereas the actual refrigerant charges in aggregate can provide insights into the scale of the bank and skills required to service different refrigerant classes.</w:t>
      </w:r>
    </w:p>
    <w:p w14:paraId="5F78D18D" w14:textId="77777777" w:rsidR="00ED4541" w:rsidRDefault="00ED4541" w:rsidP="00B67D96">
      <w:pPr>
        <w:rPr>
          <w:rFonts w:cs="Times New Roman"/>
          <w:szCs w:val="22"/>
          <w:lang w:val="en-US"/>
        </w:rPr>
      </w:pPr>
    </w:p>
    <w:p w14:paraId="048CDA5B" w14:textId="2D2F3E05" w:rsidR="00ED4541" w:rsidRPr="00ED4541" w:rsidRDefault="00ED4541" w:rsidP="00ED4541">
      <w:pPr>
        <w:pStyle w:val="Heading3"/>
      </w:pPr>
      <w:bookmarkStart w:id="211" w:name="_Toc525141323"/>
      <w:r w:rsidRPr="00ED4541">
        <w:t xml:space="preserve">Leak </w:t>
      </w:r>
      <w:r w:rsidR="00BF5AE7">
        <w:t>r</w:t>
      </w:r>
      <w:r w:rsidRPr="00ED4541">
        <w:t xml:space="preserve">ate </w:t>
      </w:r>
      <w:r w:rsidR="00BF5AE7">
        <w:t>i</w:t>
      </w:r>
      <w:r w:rsidRPr="00ED4541">
        <w:t>mprovements over time</w:t>
      </w:r>
      <w:bookmarkEnd w:id="211"/>
    </w:p>
    <w:p w14:paraId="1286DB5E" w14:textId="404FB352" w:rsidR="00ED4541" w:rsidRDefault="00ED4541" w:rsidP="00ED4541">
      <w:pPr>
        <w:rPr>
          <w:rFonts w:cs="Times New Roman"/>
          <w:szCs w:val="22"/>
          <w:lang w:val="en-US"/>
        </w:rPr>
      </w:pPr>
      <w:r>
        <w:rPr>
          <w:rFonts w:cs="Times New Roman"/>
          <w:szCs w:val="22"/>
          <w:lang w:val="en-US"/>
        </w:rPr>
        <w:t xml:space="preserve">When considering average economy wide leak rates it is important to recognise that they generally improve over time. As older equipment retires and is replaced with new designs that employ improved containment, leak rates of new equipment </w:t>
      </w:r>
      <w:r w:rsidR="000942C8">
        <w:rPr>
          <w:rFonts w:cs="Times New Roman"/>
          <w:szCs w:val="22"/>
          <w:lang w:val="en-US"/>
        </w:rPr>
        <w:t xml:space="preserve">are </w:t>
      </w:r>
      <w:r>
        <w:rPr>
          <w:rFonts w:cs="Times New Roman"/>
          <w:szCs w:val="22"/>
          <w:lang w:val="en-US"/>
        </w:rPr>
        <w:t>nearly universally found to be lower</w:t>
      </w:r>
      <w:r w:rsidR="007758A9">
        <w:rPr>
          <w:rFonts w:cs="Times New Roman"/>
          <w:szCs w:val="22"/>
          <w:lang w:val="en-US"/>
        </w:rPr>
        <w:t>,</w:t>
      </w:r>
      <w:r>
        <w:rPr>
          <w:rFonts w:cs="Times New Roman"/>
          <w:szCs w:val="22"/>
          <w:lang w:val="en-US"/>
        </w:rPr>
        <w:t xml:space="preserve"> with the effect that the average leak rates across a </w:t>
      </w:r>
      <w:r w:rsidR="00F863A5">
        <w:rPr>
          <w:rFonts w:cs="Times New Roman"/>
          <w:szCs w:val="22"/>
          <w:lang w:val="en-US"/>
        </w:rPr>
        <w:t>product category</w:t>
      </w:r>
      <w:r>
        <w:rPr>
          <w:rFonts w:cs="Times New Roman"/>
          <w:szCs w:val="22"/>
          <w:lang w:val="en-US"/>
        </w:rPr>
        <w:t xml:space="preserve"> reduces over time. </w:t>
      </w:r>
    </w:p>
    <w:p w14:paraId="5A9A564D" w14:textId="6559C5C7" w:rsidR="00ED4541" w:rsidRDefault="00ED4541" w:rsidP="00BD28CA">
      <w:pPr>
        <w:rPr>
          <w:rFonts w:cs="Times New Roman"/>
          <w:szCs w:val="22"/>
          <w:lang w:val="en-US"/>
        </w:rPr>
      </w:pPr>
      <w:r>
        <w:rPr>
          <w:rFonts w:cs="Times New Roman"/>
          <w:szCs w:val="22"/>
          <w:lang w:val="en-US"/>
        </w:rPr>
        <w:t>The evolution of wall</w:t>
      </w:r>
      <w:r w:rsidR="00702E06">
        <w:rPr>
          <w:rFonts w:cs="Times New Roman"/>
          <w:szCs w:val="22"/>
          <w:lang w:val="en-US"/>
        </w:rPr>
        <w:t>-</w:t>
      </w:r>
      <w:r>
        <w:rPr>
          <w:rFonts w:cs="Times New Roman"/>
          <w:szCs w:val="22"/>
          <w:lang w:val="en-US"/>
        </w:rPr>
        <w:t xml:space="preserve">hung and ducted split air conditioning equipment demonstrates this evolution in improved design and manufacturing capability. For </w:t>
      </w:r>
      <w:r w:rsidR="00BD28CA">
        <w:rPr>
          <w:rFonts w:cs="Times New Roman"/>
          <w:szCs w:val="22"/>
          <w:lang w:val="en-US"/>
        </w:rPr>
        <w:t>instance,</w:t>
      </w:r>
      <w:r>
        <w:rPr>
          <w:rFonts w:cs="Times New Roman"/>
          <w:szCs w:val="22"/>
          <w:lang w:val="en-US"/>
        </w:rPr>
        <w:t xml:space="preserve"> the older generation equipment from the 1990s and the </w:t>
      </w:r>
      <w:r w:rsidR="000942C8">
        <w:rPr>
          <w:rFonts w:cs="Times New Roman"/>
          <w:szCs w:val="22"/>
          <w:lang w:val="en-US"/>
        </w:rPr>
        <w:t>2000s</w:t>
      </w:r>
      <w:r>
        <w:rPr>
          <w:rFonts w:cs="Times New Roman"/>
          <w:szCs w:val="22"/>
          <w:lang w:val="en-US"/>
        </w:rPr>
        <w:t xml:space="preserve">, containing HCFC-22, </w:t>
      </w:r>
      <w:r w:rsidR="00FE74F2">
        <w:rPr>
          <w:rFonts w:cs="Times New Roman"/>
          <w:szCs w:val="22"/>
          <w:lang w:val="en-US"/>
        </w:rPr>
        <w:t>has</w:t>
      </w:r>
      <w:r>
        <w:rPr>
          <w:rFonts w:cs="Times New Roman"/>
          <w:szCs w:val="22"/>
          <w:lang w:val="en-US"/>
        </w:rPr>
        <w:t xml:space="preserve"> leak rates in the order of 8</w:t>
      </w:r>
      <w:r w:rsidR="00C9319D">
        <w:rPr>
          <w:rFonts w:cs="Times New Roman"/>
          <w:szCs w:val="22"/>
          <w:lang w:val="en-US"/>
        </w:rPr>
        <w:t>%</w:t>
      </w:r>
      <w:r>
        <w:rPr>
          <w:rFonts w:cs="Times New Roman"/>
          <w:szCs w:val="22"/>
          <w:lang w:val="en-US"/>
        </w:rPr>
        <w:t xml:space="preserve"> per annum, versus current generation mo</w:t>
      </w:r>
      <w:r w:rsidR="00BD28CA">
        <w:rPr>
          <w:rFonts w:cs="Times New Roman"/>
          <w:szCs w:val="22"/>
          <w:lang w:val="en-US"/>
        </w:rPr>
        <w:t>dels with leak rates of around 3</w:t>
      </w:r>
      <w:r w:rsidR="00C9319D">
        <w:rPr>
          <w:rFonts w:cs="Times New Roman"/>
          <w:szCs w:val="22"/>
          <w:lang w:val="en-US"/>
        </w:rPr>
        <w:t>%</w:t>
      </w:r>
      <w:r>
        <w:rPr>
          <w:rFonts w:cs="Times New Roman"/>
          <w:szCs w:val="22"/>
          <w:lang w:val="en-US"/>
        </w:rPr>
        <w:t xml:space="preserve"> per annum and less.</w:t>
      </w:r>
    </w:p>
    <w:p w14:paraId="6DEDA7CE" w14:textId="28FC46BB" w:rsidR="00ED4541" w:rsidRDefault="00ED4541" w:rsidP="00ED4541">
      <w:pPr>
        <w:rPr>
          <w:rFonts w:cs="Times New Roman"/>
          <w:szCs w:val="22"/>
          <w:lang w:val="en-US"/>
        </w:rPr>
      </w:pPr>
      <w:r>
        <w:rPr>
          <w:rFonts w:cs="Times New Roman"/>
          <w:szCs w:val="22"/>
          <w:lang w:val="en-US"/>
        </w:rPr>
        <w:t>In addition, as field practices improve, and as the cost of refrigerant increases, leak rates decline and can do so very rapidly. This was amply demonstrated by the market response to the rapid r</w:t>
      </w:r>
      <w:r w:rsidR="008C61E7">
        <w:rPr>
          <w:rFonts w:cs="Times New Roman"/>
          <w:szCs w:val="22"/>
          <w:lang w:val="en-US"/>
        </w:rPr>
        <w:t>ise in the price of HCFC-22 to wholesale prices of around $100 per kg that has now stab</w:t>
      </w:r>
      <w:r w:rsidR="0040712D">
        <w:rPr>
          <w:rFonts w:cs="Times New Roman"/>
          <w:szCs w:val="22"/>
          <w:lang w:val="en-US"/>
        </w:rPr>
        <w:t>i</w:t>
      </w:r>
      <w:r w:rsidR="008C61E7">
        <w:rPr>
          <w:rFonts w:cs="Times New Roman"/>
          <w:szCs w:val="22"/>
          <w:lang w:val="en-US"/>
        </w:rPr>
        <w:t>lised at this level.</w:t>
      </w:r>
    </w:p>
    <w:p w14:paraId="514B6FE3" w14:textId="3CD140DD" w:rsidR="00ED4541" w:rsidRDefault="00ED4541" w:rsidP="00ED4541">
      <w:pPr>
        <w:rPr>
          <w:rFonts w:cs="Times New Roman"/>
          <w:szCs w:val="22"/>
          <w:lang w:val="en-US"/>
        </w:rPr>
      </w:pPr>
      <w:r>
        <w:rPr>
          <w:rFonts w:cs="Times New Roman"/>
          <w:szCs w:val="22"/>
          <w:lang w:val="en-US"/>
        </w:rPr>
        <w:t>The Australian supermarket industry is another good example where leak rates at the beginning of the century were thought to be above 20</w:t>
      </w:r>
      <w:r w:rsidR="00C9319D">
        <w:rPr>
          <w:rFonts w:cs="Times New Roman"/>
          <w:szCs w:val="22"/>
          <w:lang w:val="en-US"/>
        </w:rPr>
        <w:t>%</w:t>
      </w:r>
      <w:r>
        <w:rPr>
          <w:rFonts w:cs="Times New Roman"/>
          <w:szCs w:val="22"/>
          <w:lang w:val="en-US"/>
        </w:rPr>
        <w:t xml:space="preserve"> per annum, and hence the use of a leak rate of 23</w:t>
      </w:r>
      <w:r w:rsidR="00C9319D">
        <w:rPr>
          <w:rFonts w:cs="Times New Roman"/>
          <w:szCs w:val="22"/>
          <w:lang w:val="en-US"/>
        </w:rPr>
        <w:t>%</w:t>
      </w:r>
      <w:r>
        <w:rPr>
          <w:rFonts w:cs="Times New Roman"/>
          <w:szCs w:val="22"/>
          <w:lang w:val="en-US"/>
        </w:rPr>
        <w:t xml:space="preserve"> in the N</w:t>
      </w:r>
      <w:r w:rsidR="002B475B">
        <w:rPr>
          <w:rFonts w:cs="Times New Roman"/>
          <w:szCs w:val="22"/>
          <w:lang w:val="en-US"/>
        </w:rPr>
        <w:t xml:space="preserve">ational </w:t>
      </w:r>
      <w:r>
        <w:rPr>
          <w:rFonts w:cs="Times New Roman"/>
          <w:szCs w:val="22"/>
          <w:lang w:val="en-US"/>
        </w:rPr>
        <w:t>G</w:t>
      </w:r>
      <w:r w:rsidR="002B475B">
        <w:rPr>
          <w:rFonts w:cs="Times New Roman"/>
          <w:szCs w:val="22"/>
          <w:lang w:val="en-US"/>
        </w:rPr>
        <w:t xml:space="preserve">reenhouse and </w:t>
      </w:r>
      <w:r>
        <w:rPr>
          <w:rFonts w:cs="Times New Roman"/>
          <w:szCs w:val="22"/>
          <w:lang w:val="en-US"/>
        </w:rPr>
        <w:t>E</w:t>
      </w:r>
      <w:r w:rsidR="002B475B">
        <w:rPr>
          <w:rFonts w:cs="Times New Roman"/>
          <w:szCs w:val="22"/>
          <w:lang w:val="en-US"/>
        </w:rPr>
        <w:t xml:space="preserve">nergy </w:t>
      </w:r>
      <w:r>
        <w:rPr>
          <w:rFonts w:cs="Times New Roman"/>
          <w:szCs w:val="22"/>
          <w:lang w:val="en-US"/>
        </w:rPr>
        <w:t>R</w:t>
      </w:r>
      <w:r w:rsidR="002B475B">
        <w:rPr>
          <w:rFonts w:cs="Times New Roman"/>
          <w:szCs w:val="22"/>
          <w:lang w:val="en-US"/>
        </w:rPr>
        <w:t>eporting</w:t>
      </w:r>
      <w:r>
        <w:rPr>
          <w:rFonts w:cs="Times New Roman"/>
          <w:szCs w:val="22"/>
          <w:lang w:val="en-US"/>
        </w:rPr>
        <w:t xml:space="preserve"> Act 2007. </w:t>
      </w:r>
      <w:r w:rsidR="007758A9">
        <w:rPr>
          <w:rFonts w:cs="Times New Roman"/>
          <w:szCs w:val="22"/>
          <w:lang w:val="en-US"/>
        </w:rPr>
        <w:t>C</w:t>
      </w:r>
      <w:r>
        <w:rPr>
          <w:rFonts w:cs="Times New Roman"/>
          <w:szCs w:val="22"/>
          <w:lang w:val="en-US"/>
        </w:rPr>
        <w:t xml:space="preserve">urrent market intelligence and </w:t>
      </w:r>
      <w:r w:rsidRPr="00BD28CA">
        <w:rPr>
          <w:rFonts w:cs="Times New Roman"/>
          <w:szCs w:val="22"/>
          <w:lang w:val="en-US"/>
        </w:rPr>
        <w:t xml:space="preserve">reconciling </w:t>
      </w:r>
      <w:r w:rsidR="00E46C29" w:rsidRPr="00BD28CA">
        <w:rPr>
          <w:rFonts w:cs="Times New Roman"/>
          <w:szCs w:val="22"/>
          <w:lang w:val="en-US"/>
        </w:rPr>
        <w:t>usage</w:t>
      </w:r>
      <w:r w:rsidRPr="00BD28CA">
        <w:rPr>
          <w:rFonts w:cs="Times New Roman"/>
          <w:szCs w:val="22"/>
          <w:lang w:val="en-US"/>
        </w:rPr>
        <w:t xml:space="preserve"> shows leak rates of</w:t>
      </w:r>
      <w:r>
        <w:rPr>
          <w:rFonts w:cs="Times New Roman"/>
          <w:szCs w:val="22"/>
          <w:lang w:val="en-US"/>
        </w:rPr>
        <w:t xml:space="preserve"> HFC-404A less than half this within the main supermarket chains. Supermarkets</w:t>
      </w:r>
      <w:r w:rsidR="007758A9">
        <w:rPr>
          <w:rFonts w:cs="Times New Roman"/>
          <w:szCs w:val="22"/>
          <w:lang w:val="en-US"/>
        </w:rPr>
        <w:t>,</w:t>
      </w:r>
      <w:r>
        <w:rPr>
          <w:rFonts w:cs="Times New Roman"/>
          <w:szCs w:val="22"/>
          <w:lang w:val="en-US"/>
        </w:rPr>
        <w:t xml:space="preserve"> and other segments of the industry that employ equipment that is maintained by engineers, have improved leak rates substantially since the introduction of </w:t>
      </w:r>
      <w:r w:rsidRPr="00BF5AE7">
        <w:rPr>
          <w:rFonts w:cs="Times New Roman"/>
          <w:szCs w:val="22"/>
          <w:lang w:val="en-US"/>
        </w:rPr>
        <w:t xml:space="preserve">the </w:t>
      </w:r>
      <w:r w:rsidR="00BF5AE7" w:rsidRPr="00BF5AE7">
        <w:rPr>
          <w:rFonts w:cs="Times New Roman"/>
          <w:szCs w:val="22"/>
          <w:lang w:val="en-US"/>
        </w:rPr>
        <w:t>e</w:t>
      </w:r>
      <w:r w:rsidRPr="00BF5AE7">
        <w:rPr>
          <w:rFonts w:cs="Times New Roman"/>
          <w:szCs w:val="22"/>
          <w:lang w:val="en-US"/>
        </w:rPr>
        <w:t xml:space="preserve">quivalent </w:t>
      </w:r>
      <w:r w:rsidR="00BF5AE7" w:rsidRPr="00BF5AE7">
        <w:rPr>
          <w:rFonts w:cs="Times New Roman"/>
          <w:szCs w:val="22"/>
          <w:lang w:val="en-US"/>
        </w:rPr>
        <w:t>c</w:t>
      </w:r>
      <w:r w:rsidRPr="00BF5AE7">
        <w:rPr>
          <w:rFonts w:cs="Times New Roman"/>
          <w:szCs w:val="22"/>
          <w:lang w:val="en-US"/>
        </w:rPr>
        <w:t xml:space="preserve">arbon </w:t>
      </w:r>
      <w:r w:rsidR="00BF5AE7" w:rsidRPr="00BF5AE7">
        <w:rPr>
          <w:rFonts w:cs="Times New Roman"/>
          <w:szCs w:val="22"/>
          <w:lang w:val="en-US"/>
        </w:rPr>
        <w:t>t</w:t>
      </w:r>
      <w:r w:rsidR="001B1D7C" w:rsidRPr="00BF5AE7">
        <w:rPr>
          <w:rFonts w:cs="Times New Roman"/>
          <w:szCs w:val="22"/>
          <w:lang w:val="en-US"/>
        </w:rPr>
        <w:t>ax</w:t>
      </w:r>
      <w:r w:rsidR="001B1D7C">
        <w:rPr>
          <w:rFonts w:cs="Times New Roman"/>
          <w:szCs w:val="22"/>
          <w:lang w:val="en-US"/>
        </w:rPr>
        <w:t xml:space="preserve"> </w:t>
      </w:r>
      <w:r>
        <w:rPr>
          <w:rFonts w:cs="Times New Roman"/>
          <w:szCs w:val="22"/>
          <w:lang w:val="en-US"/>
        </w:rPr>
        <w:t xml:space="preserve">in 2012. Even though this </w:t>
      </w:r>
      <w:r w:rsidR="000942C8">
        <w:rPr>
          <w:rFonts w:cs="Times New Roman"/>
          <w:szCs w:val="22"/>
          <w:lang w:val="en-US"/>
        </w:rPr>
        <w:t xml:space="preserve">tax </w:t>
      </w:r>
      <w:r>
        <w:rPr>
          <w:rFonts w:cs="Times New Roman"/>
          <w:szCs w:val="22"/>
          <w:lang w:val="en-US"/>
        </w:rPr>
        <w:t xml:space="preserve">was only in place for </w:t>
      </w:r>
      <w:r w:rsidR="000942C8">
        <w:rPr>
          <w:rFonts w:cs="Times New Roman"/>
          <w:szCs w:val="22"/>
          <w:lang w:val="en-US"/>
        </w:rPr>
        <w:t>two</w:t>
      </w:r>
      <w:r>
        <w:rPr>
          <w:rFonts w:cs="Times New Roman"/>
          <w:szCs w:val="22"/>
          <w:lang w:val="en-US"/>
        </w:rPr>
        <w:t xml:space="preserve"> year</w:t>
      </w:r>
      <w:r w:rsidR="000942C8">
        <w:rPr>
          <w:rFonts w:cs="Times New Roman"/>
          <w:szCs w:val="22"/>
          <w:lang w:val="en-US"/>
        </w:rPr>
        <w:t>s</w:t>
      </w:r>
      <w:r>
        <w:rPr>
          <w:rFonts w:cs="Times New Roman"/>
          <w:szCs w:val="22"/>
          <w:lang w:val="en-US"/>
        </w:rPr>
        <w:t>, it appears to have substantially changed behavior in several sectors of the industry.</w:t>
      </w:r>
    </w:p>
    <w:p w14:paraId="63D2BC49" w14:textId="77777777" w:rsidR="00FD3BBE" w:rsidRPr="00FD3BBE" w:rsidRDefault="00FD3BBE" w:rsidP="00FD3BBE">
      <w:pPr>
        <w:rPr>
          <w:lang w:val="en-US"/>
        </w:rPr>
      </w:pPr>
    </w:p>
    <w:p w14:paraId="392B1DDA" w14:textId="1E016ED2" w:rsidR="00AD2783" w:rsidRPr="00491313" w:rsidRDefault="00AD2783" w:rsidP="00AD2783">
      <w:pPr>
        <w:pStyle w:val="Heading3"/>
      </w:pPr>
      <w:bookmarkStart w:id="212" w:name="_Toc525141324"/>
      <w:r w:rsidRPr="00491313">
        <w:t xml:space="preserve">Losses at end-of-life </w:t>
      </w:r>
      <w:r>
        <w:t xml:space="preserve">and </w:t>
      </w:r>
      <w:r w:rsidR="001254AB">
        <w:t>r</w:t>
      </w:r>
      <w:r>
        <w:t xml:space="preserve">ecoverable </w:t>
      </w:r>
      <w:r w:rsidR="001254AB">
        <w:t>r</w:t>
      </w:r>
      <w:r w:rsidR="00451C08">
        <w:t>efrigerant</w:t>
      </w:r>
      <w:bookmarkEnd w:id="212"/>
      <w:r w:rsidRPr="00491313">
        <w:t xml:space="preserve"> </w:t>
      </w:r>
    </w:p>
    <w:p w14:paraId="4624FAC7" w14:textId="6733F167" w:rsidR="00AD2783" w:rsidRPr="003961CE" w:rsidRDefault="00AD2783" w:rsidP="00AD2783">
      <w:pPr>
        <w:rPr>
          <w:rFonts w:cs="Times New Roman"/>
          <w:szCs w:val="22"/>
          <w:lang w:val="en-US"/>
        </w:rPr>
      </w:pPr>
      <w:r w:rsidRPr="003961CE">
        <w:rPr>
          <w:rFonts w:cs="Times New Roman"/>
          <w:szCs w:val="22"/>
          <w:lang w:val="en-US"/>
        </w:rPr>
        <w:t>Refrigerant recovery is compulsory under the OPSGGM</w:t>
      </w:r>
      <w:r w:rsidR="00D94647">
        <w:rPr>
          <w:rFonts w:cs="Times New Roman"/>
          <w:szCs w:val="22"/>
          <w:lang w:val="en-US"/>
        </w:rPr>
        <w:t xml:space="preserve"> </w:t>
      </w:r>
      <w:r w:rsidRPr="003961CE">
        <w:rPr>
          <w:rFonts w:cs="Times New Roman"/>
          <w:szCs w:val="22"/>
          <w:lang w:val="en-US"/>
        </w:rPr>
        <w:t>A</w:t>
      </w:r>
      <w:r w:rsidR="00D94647">
        <w:rPr>
          <w:rFonts w:cs="Times New Roman"/>
          <w:szCs w:val="22"/>
          <w:lang w:val="en-US"/>
        </w:rPr>
        <w:t>ct</w:t>
      </w:r>
      <w:r w:rsidRPr="003961CE">
        <w:rPr>
          <w:rFonts w:cs="Times New Roman"/>
          <w:szCs w:val="22"/>
          <w:lang w:val="en-US"/>
        </w:rPr>
        <w:t xml:space="preserve"> and the associated Regulations</w:t>
      </w:r>
      <w:r w:rsidR="000942C8">
        <w:rPr>
          <w:rFonts w:cs="Times New Roman"/>
          <w:szCs w:val="22"/>
          <w:lang w:val="en-US"/>
        </w:rPr>
        <w:t>.</w:t>
      </w:r>
      <w:r w:rsidRPr="003961CE">
        <w:rPr>
          <w:rFonts w:cs="Times New Roman"/>
          <w:szCs w:val="22"/>
          <w:lang w:val="en-US"/>
        </w:rPr>
        <w:t xml:space="preserve"> Refrigerant Reclaim Australia (RRA), a not-for-profit organisation, is authorised by the Australian Competition and Consumer Commission (ACCC) to work with industry to recover, reclaim and destroy ozone depleting and synthetic greenhouse gases. </w:t>
      </w:r>
    </w:p>
    <w:p w14:paraId="13B5822E" w14:textId="1BF49673" w:rsidR="00AD2783" w:rsidRDefault="00AD2783" w:rsidP="00AD2783">
      <w:pPr>
        <w:rPr>
          <w:rFonts w:cs="Times New Roman"/>
          <w:szCs w:val="22"/>
          <w:lang w:val="en-US"/>
        </w:rPr>
      </w:pPr>
      <w:r w:rsidRPr="003961CE">
        <w:rPr>
          <w:rFonts w:cs="Times New Roman"/>
          <w:szCs w:val="22"/>
          <w:lang w:val="en-US"/>
        </w:rPr>
        <w:t xml:space="preserve">The </w:t>
      </w:r>
      <w:r w:rsidR="00862EC4">
        <w:rPr>
          <w:rFonts w:cs="Times New Roman"/>
          <w:szCs w:val="22"/>
          <w:lang w:val="en-US"/>
        </w:rPr>
        <w:t xml:space="preserve">EOL charge and therefore the </w:t>
      </w:r>
      <w:r w:rsidRPr="003961CE">
        <w:rPr>
          <w:rFonts w:cs="Times New Roman"/>
          <w:szCs w:val="22"/>
          <w:lang w:val="en-US"/>
        </w:rPr>
        <w:t xml:space="preserve">potential end-of-life emissions </w:t>
      </w:r>
      <w:r>
        <w:rPr>
          <w:rFonts w:cs="Times New Roman"/>
          <w:szCs w:val="22"/>
          <w:lang w:val="en-US"/>
        </w:rPr>
        <w:t xml:space="preserve">are </w:t>
      </w:r>
      <w:r w:rsidRPr="003961CE">
        <w:rPr>
          <w:rFonts w:cs="Times New Roman"/>
          <w:szCs w:val="22"/>
          <w:lang w:val="en-US"/>
        </w:rPr>
        <w:t xml:space="preserve">calculated by multiplying the average refrigerant charge by the EOL factor </w:t>
      </w:r>
      <w:r w:rsidR="00961F75">
        <w:rPr>
          <w:rFonts w:cs="Times New Roman"/>
          <w:szCs w:val="22"/>
          <w:lang w:val="en-US"/>
        </w:rPr>
        <w:t xml:space="preserve">- the </w:t>
      </w:r>
      <w:r>
        <w:rPr>
          <w:rFonts w:cs="Times New Roman"/>
          <w:szCs w:val="22"/>
          <w:lang w:val="en-US"/>
        </w:rPr>
        <w:t xml:space="preserve">proportion </w:t>
      </w:r>
      <w:r w:rsidRPr="003961CE">
        <w:rPr>
          <w:rFonts w:cs="Times New Roman"/>
          <w:szCs w:val="22"/>
          <w:lang w:val="en-US"/>
        </w:rPr>
        <w:t xml:space="preserve">of original charge remaining </w:t>
      </w:r>
      <w:r w:rsidR="00961F75">
        <w:rPr>
          <w:rFonts w:cs="Times New Roman"/>
          <w:szCs w:val="22"/>
          <w:lang w:val="en-US"/>
        </w:rPr>
        <w:t xml:space="preserve">at end of life </w:t>
      </w:r>
      <w:r w:rsidRPr="003961CE">
        <w:rPr>
          <w:rFonts w:cs="Times New Roman"/>
          <w:szCs w:val="22"/>
          <w:lang w:val="en-US"/>
        </w:rPr>
        <w:t xml:space="preserve">for each </w:t>
      </w:r>
      <w:r w:rsidR="00F863A5">
        <w:rPr>
          <w:rFonts w:cs="Times New Roman"/>
          <w:szCs w:val="22"/>
          <w:lang w:val="en-US"/>
        </w:rPr>
        <w:t>s</w:t>
      </w:r>
      <w:r>
        <w:rPr>
          <w:rFonts w:cs="Times New Roman"/>
          <w:szCs w:val="22"/>
          <w:lang w:val="en-US"/>
        </w:rPr>
        <w:t xml:space="preserve">egment or </w:t>
      </w:r>
      <w:r w:rsidR="00F863A5">
        <w:rPr>
          <w:rFonts w:cs="Times New Roman"/>
          <w:szCs w:val="22"/>
          <w:lang w:val="en-US"/>
        </w:rPr>
        <w:t>e</w:t>
      </w:r>
      <w:r>
        <w:rPr>
          <w:rFonts w:cs="Times New Roman"/>
          <w:szCs w:val="22"/>
          <w:lang w:val="en-US"/>
        </w:rPr>
        <w:t xml:space="preserve">quipment </w:t>
      </w:r>
      <w:r w:rsidR="00F863A5">
        <w:rPr>
          <w:rFonts w:cs="Times New Roman"/>
          <w:szCs w:val="22"/>
          <w:lang w:val="en-US"/>
        </w:rPr>
        <w:t>c</w:t>
      </w:r>
      <w:r>
        <w:rPr>
          <w:rFonts w:cs="Times New Roman"/>
          <w:szCs w:val="22"/>
          <w:lang w:val="en-US"/>
        </w:rPr>
        <w:t>ategory</w:t>
      </w:r>
      <w:r w:rsidR="00961F75">
        <w:rPr>
          <w:rFonts w:cs="Times New Roman"/>
          <w:szCs w:val="22"/>
          <w:lang w:val="en-US"/>
        </w:rPr>
        <w:t>,</w:t>
      </w:r>
      <w:r>
        <w:rPr>
          <w:rFonts w:cs="Times New Roman"/>
          <w:szCs w:val="22"/>
          <w:lang w:val="en-US"/>
        </w:rPr>
        <w:t xml:space="preserve"> if available at that level</w:t>
      </w:r>
      <w:r w:rsidRPr="003961CE">
        <w:rPr>
          <w:rFonts w:cs="Times New Roman"/>
          <w:szCs w:val="22"/>
          <w:lang w:val="en-US"/>
        </w:rPr>
        <w:t>. The EOL factors used were generally consistent with those used by the IPCC and ICF International in a variety of technical papers</w:t>
      </w:r>
      <w:r>
        <w:rPr>
          <w:rFonts w:cs="Times New Roman"/>
          <w:szCs w:val="22"/>
          <w:lang w:val="en-US"/>
        </w:rPr>
        <w:t xml:space="preserve"> (ICF 2010)</w:t>
      </w:r>
      <w:r w:rsidRPr="003961CE">
        <w:rPr>
          <w:rFonts w:cs="Times New Roman"/>
          <w:szCs w:val="22"/>
          <w:lang w:val="en-US"/>
        </w:rPr>
        <w:t xml:space="preserve">. </w:t>
      </w:r>
    </w:p>
    <w:p w14:paraId="55AC05AA" w14:textId="38120E2F" w:rsidR="00AD2783" w:rsidRPr="003961CE" w:rsidRDefault="00AD2783" w:rsidP="00AD2783">
      <w:pPr>
        <w:rPr>
          <w:rFonts w:cs="Times New Roman"/>
          <w:szCs w:val="22"/>
          <w:lang w:val="en-US"/>
        </w:rPr>
      </w:pPr>
      <w:r w:rsidRPr="003961CE">
        <w:rPr>
          <w:rFonts w:cs="Times New Roman"/>
          <w:szCs w:val="22"/>
          <w:lang w:val="en-US"/>
        </w:rPr>
        <w:t xml:space="preserve">The EOL charge multiplied by the technically recoverable factor </w:t>
      </w:r>
      <w:r w:rsidR="00961F75">
        <w:rPr>
          <w:rFonts w:cs="Times New Roman"/>
          <w:szCs w:val="22"/>
          <w:lang w:val="en-US"/>
        </w:rPr>
        <w:t xml:space="preserve">(recovery efficiency/recycling factor) </w:t>
      </w:r>
      <w:r w:rsidRPr="003961CE">
        <w:rPr>
          <w:rFonts w:cs="Times New Roman"/>
          <w:szCs w:val="22"/>
          <w:lang w:val="en-US"/>
        </w:rPr>
        <w:t xml:space="preserve">equates to the recoverable </w:t>
      </w:r>
      <w:r w:rsidR="00451C08">
        <w:rPr>
          <w:rFonts w:cs="Times New Roman"/>
          <w:szCs w:val="22"/>
          <w:lang w:val="en-US"/>
        </w:rPr>
        <w:t>refrigerant</w:t>
      </w:r>
      <w:r w:rsidR="00961F75">
        <w:rPr>
          <w:rFonts w:cs="Times New Roman"/>
          <w:szCs w:val="22"/>
          <w:lang w:val="en-US"/>
        </w:rPr>
        <w:t xml:space="preserve">, </w:t>
      </w:r>
      <w:r w:rsidRPr="003961CE">
        <w:rPr>
          <w:rFonts w:cs="Times New Roman"/>
          <w:szCs w:val="22"/>
          <w:lang w:val="en-US"/>
        </w:rPr>
        <w:t xml:space="preserve">the amount that is available for either </w:t>
      </w:r>
      <w:r w:rsidR="00FE74F2" w:rsidRPr="003961CE">
        <w:rPr>
          <w:rFonts w:cs="Times New Roman"/>
          <w:szCs w:val="22"/>
          <w:lang w:val="en-US"/>
        </w:rPr>
        <w:t>reclama</w:t>
      </w:r>
      <w:r w:rsidR="00FE74F2">
        <w:rPr>
          <w:rFonts w:cs="Times New Roman"/>
          <w:szCs w:val="22"/>
          <w:lang w:val="en-US"/>
        </w:rPr>
        <w:t>tion</w:t>
      </w:r>
      <w:r w:rsidRPr="003961CE">
        <w:rPr>
          <w:rFonts w:cs="Times New Roman"/>
          <w:szCs w:val="22"/>
          <w:lang w:val="en-US"/>
        </w:rPr>
        <w:t xml:space="preserve"> or destruction. </w:t>
      </w:r>
      <w:r w:rsidRPr="001248B9">
        <w:rPr>
          <w:rFonts w:cs="Times New Roman"/>
          <w:szCs w:val="22"/>
          <w:lang w:val="en-US"/>
        </w:rPr>
        <w:t>Between 30 June 2007 and 30 June 2012 an average of about 500 tonnes of waste HCFCs and HFCs</w:t>
      </w:r>
      <w:r w:rsidRPr="003961CE">
        <w:rPr>
          <w:rFonts w:cs="Times New Roman"/>
          <w:szCs w:val="22"/>
          <w:lang w:val="en-US"/>
        </w:rPr>
        <w:t xml:space="preserve"> was collected and destroyed annually in Australia via the RRA scheme. The balance that is not destroyed, re-used nor reclaimed is considered a direct emission.</w:t>
      </w:r>
    </w:p>
    <w:p w14:paraId="286D6462" w14:textId="3BAAD25C" w:rsidR="00AD2783" w:rsidRDefault="00AD2783" w:rsidP="00AD2783">
      <w:pPr>
        <w:rPr>
          <w:rFonts w:cs="Times New Roman"/>
          <w:szCs w:val="22"/>
          <w:lang w:val="en-US"/>
        </w:rPr>
      </w:pPr>
      <w:r w:rsidRPr="003961CE">
        <w:rPr>
          <w:rFonts w:cs="Times New Roman"/>
          <w:szCs w:val="22"/>
          <w:lang w:val="en-US"/>
        </w:rPr>
        <w:t xml:space="preserve">For some products direct emissions include losses calculated for appliances and equipment reaching the end of the products useful life. The assumption for some products, such as domestic refrigerators </w:t>
      </w:r>
      <w:r w:rsidR="008C61E7">
        <w:rPr>
          <w:rFonts w:cs="Times New Roman"/>
          <w:szCs w:val="22"/>
          <w:lang w:val="en-US"/>
        </w:rPr>
        <w:t xml:space="preserve">and </w:t>
      </w:r>
      <w:r w:rsidRPr="003961CE">
        <w:rPr>
          <w:rFonts w:cs="Times New Roman"/>
          <w:szCs w:val="22"/>
          <w:lang w:val="en-US"/>
        </w:rPr>
        <w:t xml:space="preserve">portable </w:t>
      </w:r>
      <w:r w:rsidR="008C61E7">
        <w:rPr>
          <w:rFonts w:cs="Times New Roman"/>
          <w:szCs w:val="22"/>
          <w:lang w:val="en-US"/>
        </w:rPr>
        <w:t>air conditioners</w:t>
      </w:r>
      <w:r w:rsidRPr="003961CE">
        <w:rPr>
          <w:rFonts w:cs="Times New Roman"/>
          <w:szCs w:val="22"/>
          <w:lang w:val="en-US"/>
        </w:rPr>
        <w:t xml:space="preserve">, is that all of the remaining charge of </w:t>
      </w:r>
      <w:r w:rsidR="00451C08">
        <w:rPr>
          <w:rFonts w:cs="Times New Roman"/>
          <w:szCs w:val="22"/>
          <w:lang w:val="en-US"/>
        </w:rPr>
        <w:t>refrigerant</w:t>
      </w:r>
      <w:r w:rsidRPr="003961CE">
        <w:rPr>
          <w:rFonts w:cs="Times New Roman"/>
          <w:szCs w:val="22"/>
          <w:lang w:val="en-US"/>
        </w:rPr>
        <w:t xml:space="preserve"> is lost to air and none is recovered.</w:t>
      </w:r>
    </w:p>
    <w:p w14:paraId="1ECE5462" w14:textId="77777777" w:rsidR="00FD3BBE" w:rsidRPr="003961CE" w:rsidRDefault="00FD3BBE" w:rsidP="00AD2783">
      <w:pPr>
        <w:rPr>
          <w:rFonts w:cs="Times New Roman"/>
          <w:szCs w:val="22"/>
          <w:lang w:val="en-US"/>
        </w:rPr>
      </w:pPr>
    </w:p>
    <w:p w14:paraId="28D3D8FC" w14:textId="49AB9F5A" w:rsidR="0080451D" w:rsidRPr="00AC0CE4" w:rsidRDefault="0080451D" w:rsidP="0031030D">
      <w:pPr>
        <w:pStyle w:val="Heading3"/>
      </w:pPr>
      <w:bookmarkStart w:id="213" w:name="_Toc525141325"/>
      <w:r>
        <w:t>N</w:t>
      </w:r>
      <w:r w:rsidRPr="00763B34">
        <w:t xml:space="preserve">ew </w:t>
      </w:r>
      <w:r>
        <w:t>s</w:t>
      </w:r>
      <w:r w:rsidRPr="00763B34">
        <w:t xml:space="preserve">ales </w:t>
      </w:r>
      <w:r>
        <w:t>m</w:t>
      </w:r>
      <w:r w:rsidRPr="00763B34">
        <w:t>ix</w:t>
      </w:r>
      <w:r>
        <w:t xml:space="preserve"> projections</w:t>
      </w:r>
      <w:bookmarkEnd w:id="213"/>
      <w:r w:rsidRPr="00763B34">
        <w:t xml:space="preserve"> </w:t>
      </w:r>
    </w:p>
    <w:p w14:paraId="62380C65" w14:textId="59F6C60F" w:rsidR="0080451D" w:rsidRDefault="0080451D" w:rsidP="0080451D">
      <w:pPr>
        <w:rPr>
          <w:rFonts w:cs="Times New Roman"/>
          <w:szCs w:val="22"/>
          <w:lang w:val="en-US"/>
        </w:rPr>
      </w:pPr>
      <w:r>
        <w:rPr>
          <w:rFonts w:cs="Times New Roman"/>
          <w:szCs w:val="22"/>
          <w:lang w:val="en-US"/>
        </w:rPr>
        <w:t>Projections of new sales mix by species are based on linear projections of sales by species in periods from 2016 to 2020</w:t>
      </w:r>
      <w:r w:rsidR="00862EC4">
        <w:rPr>
          <w:rFonts w:cs="Times New Roman"/>
          <w:szCs w:val="22"/>
          <w:lang w:val="en-US"/>
        </w:rPr>
        <w:t>,</w:t>
      </w:r>
      <w:r>
        <w:rPr>
          <w:rFonts w:cs="Times New Roman"/>
          <w:szCs w:val="22"/>
          <w:lang w:val="en-US"/>
        </w:rPr>
        <w:t xml:space="preserve"> 2020 to 2025</w:t>
      </w:r>
      <w:r w:rsidR="00862EC4">
        <w:rPr>
          <w:rFonts w:cs="Times New Roman"/>
          <w:szCs w:val="22"/>
          <w:lang w:val="en-US"/>
        </w:rPr>
        <w:t>,</w:t>
      </w:r>
      <w:r>
        <w:rPr>
          <w:rFonts w:cs="Times New Roman"/>
          <w:szCs w:val="22"/>
          <w:lang w:val="en-US"/>
        </w:rPr>
        <w:t xml:space="preserve"> and 2025 to 2030. </w:t>
      </w:r>
    </w:p>
    <w:p w14:paraId="0E82CBBA" w14:textId="08E7EB10" w:rsidR="0080451D" w:rsidRDefault="001248B9" w:rsidP="0080451D">
      <w:pPr>
        <w:rPr>
          <w:rFonts w:cs="Times New Roman"/>
          <w:szCs w:val="22"/>
          <w:lang w:val="en-US"/>
        </w:rPr>
      </w:pPr>
      <w:r>
        <w:rPr>
          <w:rFonts w:cs="Times New Roman"/>
          <w:szCs w:val="22"/>
          <w:lang w:val="en-US"/>
        </w:rPr>
        <w:t>In some broad p</w:t>
      </w:r>
      <w:r w:rsidR="0080451D">
        <w:rPr>
          <w:rFonts w:cs="Times New Roman"/>
          <w:szCs w:val="22"/>
          <w:lang w:val="en-US"/>
        </w:rPr>
        <w:t xml:space="preserve">roduct </w:t>
      </w:r>
      <w:r>
        <w:rPr>
          <w:rFonts w:cs="Times New Roman"/>
          <w:szCs w:val="22"/>
          <w:lang w:val="en-US"/>
        </w:rPr>
        <w:t>c</w:t>
      </w:r>
      <w:r w:rsidR="0080451D">
        <w:rPr>
          <w:rFonts w:cs="Times New Roman"/>
          <w:szCs w:val="22"/>
          <w:lang w:val="en-US"/>
        </w:rPr>
        <w:t>ategories there are a variety of equipment types and the proportion of a particular species is a mass weighted calculation based on average charges and sales in that year. The dominant substance is typically used as the residual portion and therefore is not linear. An example of the new sales mix</w:t>
      </w:r>
      <w:r>
        <w:rPr>
          <w:rFonts w:cs="Times New Roman"/>
          <w:szCs w:val="22"/>
          <w:lang w:val="en-US"/>
        </w:rPr>
        <w:t xml:space="preserve"> projection for s</w:t>
      </w:r>
      <w:r w:rsidR="0080451D">
        <w:rPr>
          <w:rFonts w:cs="Times New Roman"/>
          <w:szCs w:val="22"/>
          <w:lang w:val="en-US"/>
        </w:rPr>
        <w:t xml:space="preserve">mall AC: Split is provided in </w:t>
      </w:r>
      <w:r w:rsidR="00E5701B">
        <w:rPr>
          <w:rFonts w:cs="Times New Roman"/>
          <w:i/>
          <w:szCs w:val="22"/>
          <w:lang w:val="en-US"/>
        </w:rPr>
        <w:t>Figure 5</w:t>
      </w:r>
      <w:r w:rsidR="0023612A">
        <w:rPr>
          <w:rFonts w:cs="Times New Roman"/>
          <w:i/>
          <w:szCs w:val="22"/>
          <w:lang w:val="en-US"/>
        </w:rPr>
        <w:t>6</w:t>
      </w:r>
      <w:r w:rsidR="0080451D">
        <w:rPr>
          <w:rFonts w:cs="Times New Roman"/>
          <w:szCs w:val="22"/>
          <w:lang w:val="en-US"/>
        </w:rPr>
        <w:t>.</w:t>
      </w:r>
      <w:r w:rsidR="00862EC4">
        <w:rPr>
          <w:rFonts w:cs="Times New Roman"/>
          <w:szCs w:val="22"/>
          <w:lang w:val="en-US"/>
        </w:rPr>
        <w:t xml:space="preserve"> </w:t>
      </w:r>
      <w:r w:rsidR="0080451D">
        <w:rPr>
          <w:rFonts w:cs="Times New Roman"/>
          <w:szCs w:val="22"/>
          <w:lang w:val="en-US"/>
        </w:rPr>
        <w:t xml:space="preserve">The assessment of the new sales mix proportion for this </w:t>
      </w:r>
      <w:r w:rsidR="00F863A5">
        <w:rPr>
          <w:rFonts w:cs="Times New Roman"/>
          <w:szCs w:val="22"/>
          <w:lang w:val="en-US"/>
        </w:rPr>
        <w:t>product category</w:t>
      </w:r>
      <w:r w:rsidR="0080451D">
        <w:rPr>
          <w:rFonts w:cs="Times New Roman"/>
          <w:szCs w:val="22"/>
          <w:lang w:val="en-US"/>
        </w:rPr>
        <w:t xml:space="preserve"> </w:t>
      </w:r>
      <w:r w:rsidR="00F649A3">
        <w:rPr>
          <w:rFonts w:cs="Times New Roman"/>
          <w:szCs w:val="22"/>
          <w:lang w:val="en-US"/>
        </w:rPr>
        <w:t xml:space="preserve">in </w:t>
      </w:r>
      <w:r w:rsidR="0080451D">
        <w:rPr>
          <w:rFonts w:cs="Times New Roman"/>
          <w:szCs w:val="22"/>
          <w:lang w:val="en-US"/>
        </w:rPr>
        <w:t xml:space="preserve">2016 was based on a review of pre-charged imports that found </w:t>
      </w:r>
      <w:r w:rsidR="00464BA0">
        <w:rPr>
          <w:rFonts w:cs="Times New Roman"/>
          <w:szCs w:val="22"/>
          <w:lang w:val="en-US"/>
        </w:rPr>
        <w:t>42.4</w:t>
      </w:r>
      <w:r w:rsidR="0080451D">
        <w:rPr>
          <w:rFonts w:cs="Times New Roman"/>
          <w:szCs w:val="22"/>
          <w:lang w:val="en-US"/>
        </w:rPr>
        <w:t>% of single split systems contained HFC-32 and the balance HFC-410A.</w:t>
      </w:r>
    </w:p>
    <w:p w14:paraId="4ACE6634" w14:textId="15185881" w:rsidR="0080451D" w:rsidRDefault="0080451D" w:rsidP="0080451D">
      <w:pPr>
        <w:rPr>
          <w:rFonts w:cs="Times New Roman"/>
          <w:szCs w:val="22"/>
          <w:lang w:val="en-US"/>
        </w:rPr>
      </w:pPr>
      <w:r>
        <w:rPr>
          <w:rFonts w:cs="Times New Roman"/>
          <w:szCs w:val="22"/>
          <w:lang w:val="en-US"/>
        </w:rPr>
        <w:t xml:space="preserve">The </w:t>
      </w:r>
      <w:r w:rsidRPr="00C05D9F">
        <w:rPr>
          <w:rFonts w:cs="Times New Roman"/>
          <w:szCs w:val="22"/>
          <w:lang w:val="en-US"/>
        </w:rPr>
        <w:t xml:space="preserve">new equipment sales mix </w:t>
      </w:r>
      <w:r>
        <w:rPr>
          <w:rFonts w:cs="Times New Roman"/>
          <w:szCs w:val="22"/>
          <w:lang w:val="en-US"/>
        </w:rPr>
        <w:t xml:space="preserve">charts and data tables by year for each segment in the taxonomy is provided in </w:t>
      </w:r>
      <w:r w:rsidRPr="001E528D">
        <w:rPr>
          <w:rFonts w:cs="Times New Roman"/>
          <w:i/>
          <w:szCs w:val="22"/>
          <w:lang w:val="en-US"/>
        </w:rPr>
        <w:t xml:space="preserve">Appendix </w:t>
      </w:r>
      <w:r w:rsidR="007A5FD5">
        <w:rPr>
          <w:rFonts w:cs="Times New Roman"/>
          <w:i/>
          <w:szCs w:val="22"/>
          <w:lang w:val="en-US"/>
        </w:rPr>
        <w:t>B2</w:t>
      </w:r>
      <w:r w:rsidR="00971069">
        <w:rPr>
          <w:rFonts w:cs="Times New Roman"/>
          <w:i/>
          <w:szCs w:val="22"/>
          <w:lang w:val="en-US"/>
        </w:rPr>
        <w:t xml:space="preserve">: New </w:t>
      </w:r>
      <w:r w:rsidR="007A5FD5">
        <w:rPr>
          <w:rFonts w:cs="Times New Roman"/>
          <w:i/>
          <w:szCs w:val="22"/>
          <w:lang w:val="en-US"/>
        </w:rPr>
        <w:t>e</w:t>
      </w:r>
      <w:r w:rsidR="00971069">
        <w:rPr>
          <w:rFonts w:cs="Times New Roman"/>
          <w:i/>
          <w:szCs w:val="22"/>
          <w:lang w:val="en-US"/>
        </w:rPr>
        <w:t xml:space="preserve">quipment </w:t>
      </w:r>
      <w:r w:rsidR="007A5FD5">
        <w:rPr>
          <w:rFonts w:cs="Times New Roman"/>
          <w:i/>
          <w:szCs w:val="22"/>
          <w:lang w:val="en-US"/>
        </w:rPr>
        <w:t>s</w:t>
      </w:r>
      <w:r w:rsidR="00971069">
        <w:rPr>
          <w:rFonts w:cs="Times New Roman"/>
          <w:i/>
          <w:szCs w:val="22"/>
          <w:lang w:val="en-US"/>
        </w:rPr>
        <w:t xml:space="preserve">ales </w:t>
      </w:r>
      <w:r w:rsidR="007A5FD5">
        <w:rPr>
          <w:rFonts w:cs="Times New Roman"/>
          <w:i/>
          <w:szCs w:val="22"/>
          <w:lang w:val="en-US"/>
        </w:rPr>
        <w:t>m</w:t>
      </w:r>
      <w:r w:rsidR="00971069">
        <w:rPr>
          <w:rFonts w:cs="Times New Roman"/>
          <w:i/>
          <w:szCs w:val="22"/>
          <w:lang w:val="en-US"/>
        </w:rPr>
        <w:t xml:space="preserve">ix by </w:t>
      </w:r>
      <w:r w:rsidR="007A5FD5">
        <w:rPr>
          <w:rFonts w:cs="Times New Roman"/>
          <w:i/>
          <w:szCs w:val="22"/>
          <w:lang w:val="en-US"/>
        </w:rPr>
        <w:t>segment</w:t>
      </w:r>
      <w:r>
        <w:rPr>
          <w:rFonts w:cs="Times New Roman"/>
          <w:szCs w:val="22"/>
          <w:lang w:val="en-US"/>
        </w:rPr>
        <w:t>.</w:t>
      </w:r>
    </w:p>
    <w:p w14:paraId="734DACCB" w14:textId="77777777" w:rsidR="00C91D3D" w:rsidRDefault="00C91D3D">
      <w:pPr>
        <w:spacing w:before="0"/>
        <w:jc w:val="left"/>
        <w:rPr>
          <w:rFonts w:cs="Times New Roman"/>
          <w:szCs w:val="22"/>
          <w:lang w:val="en-US"/>
        </w:rPr>
      </w:pPr>
      <w:r>
        <w:rPr>
          <w:rFonts w:cs="Times New Roman"/>
          <w:szCs w:val="22"/>
          <w:lang w:val="en-US"/>
        </w:rPr>
        <w:br w:type="page"/>
      </w:r>
    </w:p>
    <w:tbl>
      <w:tblPr>
        <w:tblW w:w="9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6"/>
      </w:tblGrid>
      <w:tr w:rsidR="00261BD7" w:rsidRPr="00613398" w14:paraId="23627C88" w14:textId="77777777" w:rsidTr="00CF19E5">
        <w:tc>
          <w:tcPr>
            <w:tcW w:w="9826" w:type="dxa"/>
            <w:vAlign w:val="center"/>
          </w:tcPr>
          <w:p w14:paraId="375718E3" w14:textId="77777777" w:rsidR="0080451D" w:rsidRPr="00613398" w:rsidRDefault="0080451D" w:rsidP="00F649A3">
            <w:pPr>
              <w:spacing w:after="120"/>
              <w:jc w:val="center"/>
              <w:rPr>
                <w:rFonts w:cs="Times New Roman"/>
                <w:b/>
              </w:rPr>
            </w:pPr>
            <w:r w:rsidRPr="00613398">
              <w:rPr>
                <w:rFonts w:cs="Times New Roman"/>
                <w:b/>
              </w:rPr>
              <w:br w:type="page"/>
            </w:r>
            <w:r w:rsidRPr="001871CE">
              <w:rPr>
                <w:rFonts w:cs="Times New Roman"/>
                <w:b/>
              </w:rPr>
              <w:t>Predicted sales mix of new equipment by year</w:t>
            </w:r>
          </w:p>
        </w:tc>
      </w:tr>
      <w:tr w:rsidR="00261BD7" w:rsidRPr="000F7FAE" w14:paraId="06E8FF72" w14:textId="77777777" w:rsidTr="00CF19E5">
        <w:tc>
          <w:tcPr>
            <w:tcW w:w="9826" w:type="dxa"/>
            <w:vAlign w:val="center"/>
          </w:tcPr>
          <w:p w14:paraId="14502C80" w14:textId="77777777" w:rsidR="0080451D" w:rsidRPr="000F7FAE" w:rsidRDefault="0080451D" w:rsidP="00F649A3">
            <w:pPr>
              <w:spacing w:before="60" w:after="60"/>
              <w:jc w:val="center"/>
              <w:rPr>
                <w:sz w:val="16"/>
                <w:szCs w:val="16"/>
              </w:rPr>
            </w:pPr>
          </w:p>
          <w:p w14:paraId="62C7DBBA" w14:textId="4EAF1BD0" w:rsidR="0080451D" w:rsidRPr="000F7FAE" w:rsidRDefault="00261BD7" w:rsidP="00F649A3">
            <w:pPr>
              <w:spacing w:before="60" w:after="60"/>
              <w:jc w:val="center"/>
              <w:rPr>
                <w:sz w:val="16"/>
                <w:szCs w:val="16"/>
              </w:rPr>
            </w:pPr>
            <w:r>
              <w:rPr>
                <w:noProof/>
                <w:lang w:val="en-AU" w:eastAsia="en-AU"/>
              </w:rPr>
              <w:drawing>
                <wp:inline distT="0" distB="0" distL="0" distR="0" wp14:anchorId="2ECADAB2" wp14:editId="3734BA3A">
                  <wp:extent cx="6030595" cy="2200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30595" cy="2200910"/>
                          </a:xfrm>
                          <a:prstGeom prst="rect">
                            <a:avLst/>
                          </a:prstGeom>
                        </pic:spPr>
                      </pic:pic>
                    </a:graphicData>
                  </a:graphic>
                </wp:inline>
              </w:drawing>
            </w:r>
          </w:p>
          <w:p w14:paraId="28455560" w14:textId="77777777" w:rsidR="0080451D" w:rsidRPr="000F7FAE" w:rsidRDefault="0080451D" w:rsidP="00F649A3">
            <w:pPr>
              <w:spacing w:before="60" w:after="60"/>
              <w:jc w:val="center"/>
              <w:rPr>
                <w:sz w:val="16"/>
                <w:szCs w:val="16"/>
              </w:rPr>
            </w:pPr>
          </w:p>
        </w:tc>
      </w:tr>
      <w:tr w:rsidR="00261BD7" w:rsidRPr="00923150" w14:paraId="1536E0BC" w14:textId="77777777" w:rsidTr="00CF19E5">
        <w:tc>
          <w:tcPr>
            <w:tcW w:w="9826" w:type="dxa"/>
            <w:vAlign w:val="center"/>
          </w:tcPr>
          <w:p w14:paraId="339C7B67" w14:textId="242D5CDE" w:rsidR="0080451D" w:rsidRPr="0023612A" w:rsidRDefault="0023612A" w:rsidP="0023612A">
            <w:pPr>
              <w:pStyle w:val="Caption"/>
            </w:pPr>
            <w:bookmarkStart w:id="214" w:name="_Toc525141387"/>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56</w:t>
            </w:r>
            <w:r w:rsidR="009D6843">
              <w:rPr>
                <w:noProof/>
              </w:rPr>
              <w:fldChar w:fldCharType="end"/>
            </w:r>
            <w:r w:rsidR="0080451D" w:rsidRPr="0023612A">
              <w:rPr>
                <w:bCs w:val="0"/>
              </w:rPr>
              <w:t>: New sales mix for Small AC: Split.</w:t>
            </w:r>
            <w:bookmarkEnd w:id="214"/>
          </w:p>
        </w:tc>
      </w:tr>
    </w:tbl>
    <w:p w14:paraId="1AFED5CE" w14:textId="77777777" w:rsidR="00464BA0" w:rsidRDefault="00464BA0" w:rsidP="00262D4C">
      <w:pPr>
        <w:rPr>
          <w:rFonts w:cs="Times New Roman"/>
          <w:szCs w:val="22"/>
          <w:lang w:val="en-US"/>
        </w:rPr>
      </w:pPr>
    </w:p>
    <w:p w14:paraId="1F40B80C" w14:textId="740B5A63" w:rsidR="00262D4C" w:rsidRPr="00220AB1" w:rsidRDefault="00262D4C" w:rsidP="00262D4C">
      <w:pPr>
        <w:pStyle w:val="Heading3"/>
      </w:pPr>
      <w:bookmarkStart w:id="215" w:name="_Toc525141326"/>
      <w:r>
        <w:t>GWPs and refrigerant compositions</w:t>
      </w:r>
      <w:bookmarkEnd w:id="215"/>
    </w:p>
    <w:p w14:paraId="0CBA3969" w14:textId="2E18C649" w:rsidR="00262D4C" w:rsidRPr="00135E24" w:rsidRDefault="00262D4C" w:rsidP="00262D4C">
      <w:pPr>
        <w:rPr>
          <w:rFonts w:asciiTheme="majorHAnsi" w:hAnsiTheme="majorHAnsi"/>
          <w:b/>
          <w:sz w:val="24"/>
        </w:rPr>
      </w:pPr>
      <w:r w:rsidRPr="00135E24">
        <w:rPr>
          <w:rFonts w:asciiTheme="majorHAnsi" w:hAnsiTheme="majorHAnsi"/>
          <w:b/>
          <w:sz w:val="24"/>
        </w:rPr>
        <w:t>Globa</w:t>
      </w:r>
      <w:r w:rsidR="00261BD7">
        <w:rPr>
          <w:rFonts w:asciiTheme="majorHAnsi" w:hAnsiTheme="majorHAnsi"/>
          <w:b/>
          <w:sz w:val="24"/>
        </w:rPr>
        <w:t>l Warming Potential</w:t>
      </w:r>
    </w:p>
    <w:p w14:paraId="5F393A46" w14:textId="5EC2D8CD" w:rsidR="00262D4C" w:rsidRPr="00584D6E" w:rsidRDefault="00262D4C" w:rsidP="00262D4C">
      <w:r w:rsidRPr="00584D6E">
        <w:t xml:space="preserve">This report often refers to the global warming potential (GWP) value of the various </w:t>
      </w:r>
      <w:r w:rsidR="00451C08">
        <w:t>refrigerant</w:t>
      </w:r>
      <w:r w:rsidR="00694BF9">
        <w:t>s</w:t>
      </w:r>
      <w:r w:rsidRPr="00584D6E">
        <w:t xml:space="preserve"> that are the subject of this study. </w:t>
      </w:r>
    </w:p>
    <w:p w14:paraId="317D740F" w14:textId="7D1DDDDB" w:rsidR="00262D4C" w:rsidRPr="00584D6E" w:rsidRDefault="00262D4C" w:rsidP="00262D4C">
      <w:r w:rsidRPr="00584D6E">
        <w:t xml:space="preserve">Australia’s </w:t>
      </w:r>
      <w:r w:rsidR="00F649A3">
        <w:t xml:space="preserve">original </w:t>
      </w:r>
      <w:r w:rsidRPr="00584D6E">
        <w:t>legally binding emission</w:t>
      </w:r>
      <w:r w:rsidR="00862EC4">
        <w:t>s</w:t>
      </w:r>
      <w:r w:rsidRPr="00584D6E">
        <w:t xml:space="preserve"> obligations under the Kyoto Protocol </w:t>
      </w:r>
      <w:r w:rsidR="00F649A3">
        <w:t>(1997 to 2013) were</w:t>
      </w:r>
      <w:r w:rsidRPr="00584D6E">
        <w:t xml:space="preserve"> calculated based on the GWP values published in the Second Assessment Report (AR2) of the International Panel on Climate Change (IPCC) released in 1996. Therefore Australian legislation, including the </w:t>
      </w:r>
      <w:r w:rsidRPr="00D4489A">
        <w:rPr>
          <w:i/>
        </w:rPr>
        <w:t>Ozone Protection and Synthetic Greenhouse Gas Management Act 1989</w:t>
      </w:r>
      <w:r>
        <w:t xml:space="preserve"> </w:t>
      </w:r>
      <w:r w:rsidRPr="00584D6E">
        <w:t>(</w:t>
      </w:r>
      <w:r>
        <w:t xml:space="preserve">the </w:t>
      </w:r>
      <w:r w:rsidR="009E69CD">
        <w:t xml:space="preserve">OPSGGM </w:t>
      </w:r>
      <w:r>
        <w:t>Act</w:t>
      </w:r>
      <w:r w:rsidRPr="00584D6E">
        <w:t>), cite</w:t>
      </w:r>
      <w:r w:rsidR="00F649A3">
        <w:t>d</w:t>
      </w:r>
      <w:r w:rsidRPr="00584D6E">
        <w:t xml:space="preserve"> GWPs from AR2. </w:t>
      </w:r>
    </w:p>
    <w:p w14:paraId="06D1F4C9" w14:textId="77E4FAE8" w:rsidR="00F649A3" w:rsidRPr="00E96D15" w:rsidRDefault="00862EC4" w:rsidP="00F649A3">
      <w:pPr>
        <w:rPr>
          <w:rFonts w:cs="Times New Roman"/>
          <w:szCs w:val="22"/>
          <w:lang w:val="en-US"/>
        </w:rPr>
      </w:pPr>
      <w:r>
        <w:t>R</w:t>
      </w:r>
      <w:r w:rsidR="00262D4C" w:rsidRPr="00584D6E">
        <w:t>evised GWP values were reported in the Fourth Assessment Report (AR4) in 2007. The 2</w:t>
      </w:r>
      <w:r w:rsidR="00262D4C" w:rsidRPr="00584D6E">
        <w:rPr>
          <w:vertAlign w:val="superscript"/>
        </w:rPr>
        <w:t>nd</w:t>
      </w:r>
      <w:r w:rsidR="00262D4C" w:rsidRPr="00584D6E">
        <w:t xml:space="preserve"> Kyoto Protocol commitment period is based on AR4 values</w:t>
      </w:r>
      <w:r w:rsidR="00262D4C">
        <w:t>.</w:t>
      </w:r>
      <w:r>
        <w:t xml:space="preserve"> </w:t>
      </w:r>
      <w:r w:rsidR="00F649A3" w:rsidRPr="00E037BC">
        <w:rPr>
          <w:rFonts w:cs="Times New Roman"/>
          <w:szCs w:val="22"/>
          <w:lang w:val="en-US"/>
        </w:rPr>
        <w:t xml:space="preserve">The </w:t>
      </w:r>
      <w:r w:rsidR="00F649A3" w:rsidRPr="005E42B0">
        <w:rPr>
          <w:rFonts w:cs="Times New Roman"/>
          <w:szCs w:val="22"/>
          <w:lang w:val="en-US"/>
        </w:rPr>
        <w:t>Australian Government adopt</w:t>
      </w:r>
      <w:r w:rsidR="00F649A3">
        <w:rPr>
          <w:rFonts w:cs="Times New Roman"/>
          <w:szCs w:val="22"/>
          <w:lang w:val="en-US"/>
        </w:rPr>
        <w:t>ed</w:t>
      </w:r>
      <w:r w:rsidR="00F649A3" w:rsidRPr="005E42B0">
        <w:rPr>
          <w:rFonts w:cs="Times New Roman"/>
          <w:szCs w:val="22"/>
          <w:lang w:val="en-US"/>
        </w:rPr>
        <w:t xml:space="preserve"> AR4 from July 2017</w:t>
      </w:r>
      <w:r w:rsidR="00F649A3" w:rsidRPr="00E037BC">
        <w:rPr>
          <w:rFonts w:cs="Times New Roman"/>
          <w:szCs w:val="22"/>
          <w:lang w:val="en-US"/>
        </w:rPr>
        <w:t>.</w:t>
      </w:r>
      <w:r w:rsidR="003338CF">
        <w:rPr>
          <w:rFonts w:cs="Times New Roman"/>
          <w:szCs w:val="22"/>
          <w:lang w:val="en-US"/>
        </w:rPr>
        <w:t xml:space="preserve"> </w:t>
      </w:r>
    </w:p>
    <w:p w14:paraId="331AB54E" w14:textId="178794CF" w:rsidR="00262D4C" w:rsidRDefault="00262D4C" w:rsidP="00262D4C">
      <w:r>
        <w:t xml:space="preserve">This report uses one hundred year GWP values from </w:t>
      </w:r>
      <w:r w:rsidRPr="00584D6E">
        <w:t>the Fourth Assessment Report (AR4</w:t>
      </w:r>
      <w:r>
        <w:t xml:space="preserve"> GWP-100</w:t>
      </w:r>
      <w:r w:rsidRPr="00584D6E">
        <w:t>)</w:t>
      </w:r>
      <w:r>
        <w:t xml:space="preserve">. </w:t>
      </w:r>
      <w:r w:rsidRPr="00584D6E">
        <w:t xml:space="preserve">A new class of substances that </w:t>
      </w:r>
      <w:r>
        <w:t xml:space="preserve">are mentioned </w:t>
      </w:r>
      <w:r w:rsidRPr="00584D6E">
        <w:t xml:space="preserve">in this report are low GWP unsaturated HFCs known as hydrofluoro-olefins (HFOs) that were not available at the time of publication of AR4. </w:t>
      </w:r>
      <w:r w:rsidRPr="008467C2">
        <w:t>As such the GWPs attributed to HFOs and HFO blends that are discussed herein are based on industry data</w:t>
      </w:r>
      <w:r w:rsidR="00A517C6">
        <w:t xml:space="preserve"> (HFO-1234yf AR4-100 GWP of 5 and HFO-1234ze AR4-100 GWP</w:t>
      </w:r>
      <w:r w:rsidR="00B02CED">
        <w:t xml:space="preserve"> of 5</w:t>
      </w:r>
      <w:r w:rsidR="00A517C6">
        <w:t>)</w:t>
      </w:r>
      <w:r w:rsidRPr="008467C2">
        <w:t>. While the Fifth Assessment Report</w:t>
      </w:r>
      <w:r w:rsidR="008467C2" w:rsidRPr="008467C2">
        <w:t xml:space="preserve"> includes HFC-1234yf and HFC-ze</w:t>
      </w:r>
      <w:r w:rsidRPr="008467C2">
        <w:t>, the AR5 GWP-100 values have not been used</w:t>
      </w:r>
      <w:r w:rsidR="00464BA0">
        <w:t>.</w:t>
      </w:r>
      <w:r w:rsidR="00A517C6">
        <w:t xml:space="preserve"> The AR5-100 GWPs of </w:t>
      </w:r>
      <w:r w:rsidR="00A517C6" w:rsidRPr="00A517C6">
        <w:t>HFO-1234yf and HFO-1234ze</w:t>
      </w:r>
      <w:r w:rsidR="00A517C6">
        <w:t xml:space="preserve"> have been revised down to 1.</w:t>
      </w:r>
    </w:p>
    <w:p w14:paraId="22AA4F26" w14:textId="7B5204D0" w:rsidR="00262D4C" w:rsidRDefault="008D61C4" w:rsidP="00262D4C">
      <w:pPr>
        <w:rPr>
          <w:rFonts w:cs="Times New Roman"/>
          <w:szCs w:val="22"/>
          <w:lang w:val="en-US"/>
        </w:rPr>
      </w:pPr>
      <w:r w:rsidRPr="008D61C4">
        <w:rPr>
          <w:rFonts w:cs="Times New Roman"/>
          <w:i/>
          <w:szCs w:val="22"/>
          <w:lang w:val="en-US"/>
        </w:rPr>
        <w:t xml:space="preserve">Table </w:t>
      </w:r>
      <w:r w:rsidR="005A572D">
        <w:rPr>
          <w:rFonts w:cs="Times New Roman"/>
          <w:i/>
          <w:szCs w:val="22"/>
          <w:lang w:val="en-US"/>
        </w:rPr>
        <w:t>39</w:t>
      </w:r>
      <w:r>
        <w:rPr>
          <w:rFonts w:cs="Times New Roman"/>
          <w:szCs w:val="22"/>
          <w:lang w:val="en-US"/>
        </w:rPr>
        <w:t xml:space="preserve"> </w:t>
      </w:r>
      <w:r w:rsidR="00301FD5">
        <w:rPr>
          <w:rFonts w:cs="Times New Roman"/>
          <w:szCs w:val="22"/>
          <w:lang w:val="en-US"/>
        </w:rPr>
        <w:t>b</w:t>
      </w:r>
      <w:r w:rsidR="00262D4C" w:rsidRPr="00D66388">
        <w:rPr>
          <w:rFonts w:cs="Times New Roman"/>
          <w:szCs w:val="22"/>
          <w:lang w:val="en-US"/>
        </w:rPr>
        <w:t>elow lists both AR2 and AR4 GWP values as</w:t>
      </w:r>
      <w:r w:rsidR="00262D4C">
        <w:rPr>
          <w:rFonts w:cs="Times New Roman"/>
          <w:szCs w:val="22"/>
          <w:lang w:val="en-US"/>
        </w:rPr>
        <w:t xml:space="preserve"> a reference for readers, and </w:t>
      </w:r>
      <w:r w:rsidR="00301FD5" w:rsidRPr="00301FD5">
        <w:rPr>
          <w:rFonts w:cs="Times New Roman"/>
          <w:i/>
          <w:szCs w:val="22"/>
          <w:lang w:val="en-US"/>
        </w:rPr>
        <w:t xml:space="preserve">Table </w:t>
      </w:r>
      <w:r w:rsidR="005A572D">
        <w:rPr>
          <w:rFonts w:cs="Times New Roman"/>
          <w:i/>
          <w:szCs w:val="22"/>
          <w:lang w:val="en-US"/>
        </w:rPr>
        <w:t>40</w:t>
      </w:r>
      <w:r w:rsidR="00262D4C">
        <w:rPr>
          <w:rFonts w:cs="Times New Roman"/>
          <w:szCs w:val="22"/>
          <w:lang w:val="en-US"/>
        </w:rPr>
        <w:t xml:space="preserve"> provides details of the </w:t>
      </w:r>
      <w:r w:rsidR="00262D4C" w:rsidRPr="00D66388">
        <w:rPr>
          <w:rFonts w:cs="Times New Roman"/>
          <w:szCs w:val="22"/>
          <w:lang w:val="en-US"/>
        </w:rPr>
        <w:t>refrigerant mass composition of common blends used in Australia</w:t>
      </w:r>
      <w:r w:rsidR="00262D4C">
        <w:rPr>
          <w:rFonts w:cs="Times New Roman"/>
          <w:szCs w:val="22"/>
          <w:lang w:val="en-US"/>
        </w:rPr>
        <w:t xml:space="preserve"> that are used to calculate the GWPs of the blends from the IPCC reports.</w:t>
      </w:r>
    </w:p>
    <w:p w14:paraId="6D7942F4" w14:textId="77777777" w:rsidR="006C1471" w:rsidRDefault="006C1471" w:rsidP="00262D4C">
      <w:pPr>
        <w:rPr>
          <w:i/>
          <w:szCs w:val="22"/>
        </w:rPr>
      </w:pPr>
    </w:p>
    <w:p w14:paraId="193E263A" w14:textId="4978A13B" w:rsidR="00810532" w:rsidRDefault="00810532" w:rsidP="00262D4C">
      <w:pPr>
        <w:rPr>
          <w:i/>
          <w:szCs w:val="22"/>
        </w:rPr>
      </w:pPr>
    </w:p>
    <w:p w14:paraId="33FB4451" w14:textId="77777777" w:rsidR="00810532" w:rsidRPr="00240361" w:rsidRDefault="00810532" w:rsidP="00262D4C">
      <w:pPr>
        <w:rPr>
          <w:i/>
          <w:szCs w:val="22"/>
        </w:rPr>
      </w:pPr>
    </w:p>
    <w:p w14:paraId="1330B86A" w14:textId="6EE86533" w:rsidR="00262D4C" w:rsidRPr="005A572D" w:rsidRDefault="005A572D" w:rsidP="005A572D">
      <w:pPr>
        <w:pStyle w:val="Caption"/>
        <w:keepNext/>
        <w:rPr>
          <w:szCs w:val="22"/>
        </w:rPr>
      </w:pPr>
      <w:bookmarkStart w:id="216" w:name="_Toc525141428"/>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39</w:t>
      </w:r>
      <w:r w:rsidR="009D6843">
        <w:rPr>
          <w:noProof/>
        </w:rPr>
        <w:fldChar w:fldCharType="end"/>
      </w:r>
      <w:r w:rsidRPr="005A572D">
        <w:t xml:space="preserve">: </w:t>
      </w:r>
      <w:r w:rsidR="00262D4C" w:rsidRPr="005A572D">
        <w:rPr>
          <w:szCs w:val="22"/>
        </w:rPr>
        <w:t>GWP factors of main refrigerant species</w:t>
      </w:r>
      <w:r>
        <w:rPr>
          <w:szCs w:val="22"/>
        </w:rPr>
        <w:t>.</w:t>
      </w:r>
      <w:bookmarkEnd w:id="216"/>
    </w:p>
    <w:tbl>
      <w:tblPr>
        <w:tblW w:w="97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25"/>
        <w:gridCol w:w="3213"/>
        <w:gridCol w:w="3213"/>
      </w:tblGrid>
      <w:tr w:rsidR="00262D4C" w:rsidRPr="001C4E9E" w14:paraId="57CE583B" w14:textId="77777777" w:rsidTr="00A86FE4">
        <w:trPr>
          <w:tblHeader/>
        </w:trPr>
        <w:tc>
          <w:tcPr>
            <w:tcW w:w="3325" w:type="dxa"/>
            <w:tcBorders>
              <w:top w:val="single" w:sz="4" w:space="0" w:color="FFFFFF"/>
              <w:left w:val="single" w:sz="4" w:space="0" w:color="auto"/>
              <w:bottom w:val="single" w:sz="4" w:space="0" w:color="000000"/>
              <w:right w:val="single" w:sz="4" w:space="0" w:color="FFFFFF"/>
            </w:tcBorders>
            <w:shd w:val="clear" w:color="auto" w:fill="000000"/>
            <w:vAlign w:val="center"/>
          </w:tcPr>
          <w:p w14:paraId="4F1F7660" w14:textId="77777777" w:rsidR="00262D4C" w:rsidRPr="001C4E9E" w:rsidRDefault="00262D4C" w:rsidP="00C43087">
            <w:pPr>
              <w:spacing w:before="240" w:after="240"/>
              <w:jc w:val="left"/>
            </w:pPr>
            <w:r w:rsidRPr="001C4E9E">
              <w:t>Common substances</w:t>
            </w:r>
          </w:p>
        </w:tc>
        <w:tc>
          <w:tcPr>
            <w:tcW w:w="3213"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050D1FBD" w14:textId="77777777" w:rsidR="00262D4C" w:rsidRPr="001C4E9E" w:rsidRDefault="00262D4C" w:rsidP="00C43087">
            <w:pPr>
              <w:spacing w:before="240" w:after="240"/>
              <w:jc w:val="center"/>
            </w:pPr>
            <w:r>
              <w:t>AR2</w:t>
            </w:r>
            <w:r w:rsidRPr="001C4E9E">
              <w:t xml:space="preserve"> GWP-100</w:t>
            </w:r>
            <w:r>
              <w:t xml:space="preserve"> Year</w:t>
            </w:r>
          </w:p>
        </w:tc>
        <w:tc>
          <w:tcPr>
            <w:tcW w:w="3213" w:type="dxa"/>
            <w:tcBorders>
              <w:top w:val="single" w:sz="4" w:space="0" w:color="FFFFFF"/>
              <w:left w:val="single" w:sz="4" w:space="0" w:color="FFFFFF"/>
              <w:bottom w:val="single" w:sz="4" w:space="0" w:color="000000"/>
              <w:right w:val="single" w:sz="4" w:space="0" w:color="auto"/>
            </w:tcBorders>
            <w:shd w:val="clear" w:color="auto" w:fill="000000"/>
            <w:vAlign w:val="center"/>
          </w:tcPr>
          <w:p w14:paraId="6387477C" w14:textId="77777777" w:rsidR="00262D4C" w:rsidRPr="001C4E9E" w:rsidRDefault="00262D4C" w:rsidP="00C43087">
            <w:pPr>
              <w:spacing w:before="240" w:after="240"/>
              <w:jc w:val="center"/>
            </w:pPr>
            <w:r w:rsidRPr="001C4E9E">
              <w:t>AR4 GWP-100</w:t>
            </w:r>
            <w:r>
              <w:t xml:space="preserve"> Year</w:t>
            </w:r>
          </w:p>
        </w:tc>
      </w:tr>
      <w:tr w:rsidR="00262D4C" w:rsidRPr="00AC6172" w14:paraId="1C3F1CD3" w14:textId="77777777" w:rsidTr="00CF19E5">
        <w:tc>
          <w:tcPr>
            <w:tcW w:w="9751" w:type="dxa"/>
            <w:gridSpan w:val="3"/>
            <w:tcBorders>
              <w:top w:val="single" w:sz="4" w:space="0" w:color="000000"/>
            </w:tcBorders>
            <w:shd w:val="clear" w:color="auto" w:fill="CCFFFF"/>
            <w:vAlign w:val="center"/>
          </w:tcPr>
          <w:p w14:paraId="221BB6C3" w14:textId="77777777" w:rsidR="00262D4C" w:rsidRPr="00AC6172" w:rsidRDefault="00262D4C" w:rsidP="00C43087">
            <w:pPr>
              <w:spacing w:before="60" w:after="60"/>
              <w:rPr>
                <w:sz w:val="20"/>
              </w:rPr>
            </w:pPr>
            <w:r w:rsidRPr="00AC6172">
              <w:rPr>
                <w:sz w:val="20"/>
              </w:rPr>
              <w:t>Substances controlled by the Montreal Protocol</w:t>
            </w:r>
          </w:p>
        </w:tc>
      </w:tr>
      <w:tr w:rsidR="00262D4C" w:rsidRPr="00AC6172" w14:paraId="7CC21DF7" w14:textId="77777777" w:rsidTr="00CF19E5">
        <w:tc>
          <w:tcPr>
            <w:tcW w:w="3325" w:type="dxa"/>
            <w:vAlign w:val="center"/>
          </w:tcPr>
          <w:p w14:paraId="3C419728" w14:textId="77777777" w:rsidR="00262D4C" w:rsidRPr="00AC6172" w:rsidRDefault="00262D4C" w:rsidP="00C43087">
            <w:pPr>
              <w:spacing w:before="60" w:after="60"/>
              <w:rPr>
                <w:sz w:val="20"/>
              </w:rPr>
            </w:pPr>
            <w:r w:rsidRPr="00AC6172">
              <w:rPr>
                <w:sz w:val="20"/>
              </w:rPr>
              <w:t>CFC-11</w:t>
            </w:r>
            <w:r>
              <w:rPr>
                <w:sz w:val="20"/>
              </w:rPr>
              <w:t xml:space="preserve"> </w:t>
            </w:r>
            <w:r w:rsidRPr="00690A68">
              <w:rPr>
                <w:sz w:val="20"/>
                <w:szCs w:val="20"/>
                <w:vertAlign w:val="superscript"/>
              </w:rPr>
              <w:t>(1)</w:t>
            </w:r>
          </w:p>
        </w:tc>
        <w:tc>
          <w:tcPr>
            <w:tcW w:w="3213" w:type="dxa"/>
            <w:vAlign w:val="center"/>
          </w:tcPr>
          <w:p w14:paraId="3B509E77" w14:textId="77777777" w:rsidR="00262D4C" w:rsidRPr="00AC6172" w:rsidRDefault="00262D4C" w:rsidP="00C43087">
            <w:pPr>
              <w:spacing w:before="60" w:after="60"/>
              <w:jc w:val="center"/>
              <w:rPr>
                <w:sz w:val="20"/>
              </w:rPr>
            </w:pPr>
            <w:r>
              <w:rPr>
                <w:sz w:val="20"/>
              </w:rPr>
              <w:t>3</w:t>
            </w:r>
            <w:r w:rsidRPr="00AC6172">
              <w:rPr>
                <w:sz w:val="20"/>
              </w:rPr>
              <w:t>800</w:t>
            </w:r>
          </w:p>
        </w:tc>
        <w:tc>
          <w:tcPr>
            <w:tcW w:w="3213" w:type="dxa"/>
            <w:vAlign w:val="center"/>
          </w:tcPr>
          <w:p w14:paraId="1EDC1945" w14:textId="77777777" w:rsidR="00262D4C" w:rsidRPr="00AC6172" w:rsidRDefault="00262D4C" w:rsidP="00C43087">
            <w:pPr>
              <w:spacing w:before="60" w:after="60"/>
              <w:jc w:val="center"/>
              <w:rPr>
                <w:sz w:val="20"/>
              </w:rPr>
            </w:pPr>
            <w:r>
              <w:rPr>
                <w:sz w:val="20"/>
              </w:rPr>
              <w:t>4</w:t>
            </w:r>
            <w:r w:rsidRPr="00AC6172">
              <w:rPr>
                <w:sz w:val="20"/>
              </w:rPr>
              <w:t>750</w:t>
            </w:r>
          </w:p>
        </w:tc>
      </w:tr>
      <w:tr w:rsidR="00262D4C" w:rsidRPr="00AC6172" w14:paraId="3775BB52" w14:textId="77777777" w:rsidTr="00CF19E5">
        <w:tc>
          <w:tcPr>
            <w:tcW w:w="3325" w:type="dxa"/>
            <w:vAlign w:val="center"/>
          </w:tcPr>
          <w:p w14:paraId="3E048BE2" w14:textId="77777777" w:rsidR="00262D4C" w:rsidRPr="00AC6172" w:rsidRDefault="00262D4C" w:rsidP="00C43087">
            <w:pPr>
              <w:spacing w:before="60" w:after="60"/>
              <w:rPr>
                <w:sz w:val="20"/>
              </w:rPr>
            </w:pPr>
            <w:r w:rsidRPr="00AC6172">
              <w:rPr>
                <w:sz w:val="20"/>
              </w:rPr>
              <w:t>CFC-12</w:t>
            </w:r>
            <w:r>
              <w:rPr>
                <w:sz w:val="20"/>
              </w:rPr>
              <w:t xml:space="preserve"> </w:t>
            </w:r>
            <w:r w:rsidRPr="00690A68">
              <w:rPr>
                <w:sz w:val="20"/>
                <w:szCs w:val="20"/>
                <w:vertAlign w:val="superscript"/>
              </w:rPr>
              <w:t>(1)</w:t>
            </w:r>
          </w:p>
        </w:tc>
        <w:tc>
          <w:tcPr>
            <w:tcW w:w="3213" w:type="dxa"/>
            <w:vAlign w:val="center"/>
          </w:tcPr>
          <w:p w14:paraId="4F774062" w14:textId="77777777" w:rsidR="00262D4C" w:rsidRPr="00AC6172" w:rsidRDefault="00262D4C" w:rsidP="00C43087">
            <w:pPr>
              <w:spacing w:before="60" w:after="60"/>
              <w:jc w:val="center"/>
              <w:rPr>
                <w:sz w:val="20"/>
              </w:rPr>
            </w:pPr>
            <w:r>
              <w:rPr>
                <w:sz w:val="20"/>
              </w:rPr>
              <w:t>8</w:t>
            </w:r>
            <w:r w:rsidRPr="00AC6172">
              <w:rPr>
                <w:sz w:val="20"/>
              </w:rPr>
              <w:t>100</w:t>
            </w:r>
          </w:p>
        </w:tc>
        <w:tc>
          <w:tcPr>
            <w:tcW w:w="3213" w:type="dxa"/>
            <w:vAlign w:val="center"/>
          </w:tcPr>
          <w:p w14:paraId="2CEDBCEE" w14:textId="77777777" w:rsidR="00262D4C" w:rsidRPr="00AC6172" w:rsidRDefault="00262D4C" w:rsidP="00C43087">
            <w:pPr>
              <w:spacing w:before="60" w:after="60"/>
              <w:jc w:val="center"/>
              <w:rPr>
                <w:sz w:val="20"/>
              </w:rPr>
            </w:pPr>
            <w:r w:rsidRPr="00AC6172">
              <w:rPr>
                <w:sz w:val="20"/>
              </w:rPr>
              <w:t>10900</w:t>
            </w:r>
          </w:p>
        </w:tc>
      </w:tr>
      <w:tr w:rsidR="00262D4C" w:rsidRPr="00AC6172" w14:paraId="7686C93D" w14:textId="77777777" w:rsidTr="00CF19E5">
        <w:tc>
          <w:tcPr>
            <w:tcW w:w="3325" w:type="dxa"/>
            <w:vAlign w:val="center"/>
          </w:tcPr>
          <w:p w14:paraId="3AA00FDB" w14:textId="77777777" w:rsidR="00262D4C" w:rsidRPr="00AC6172" w:rsidRDefault="00262D4C" w:rsidP="00C43087">
            <w:pPr>
              <w:spacing w:before="60" w:after="60"/>
              <w:rPr>
                <w:sz w:val="20"/>
              </w:rPr>
            </w:pPr>
            <w:r w:rsidRPr="00AC6172">
              <w:rPr>
                <w:sz w:val="20"/>
              </w:rPr>
              <w:t>HCFC-123</w:t>
            </w:r>
          </w:p>
        </w:tc>
        <w:tc>
          <w:tcPr>
            <w:tcW w:w="3213" w:type="dxa"/>
            <w:vAlign w:val="center"/>
          </w:tcPr>
          <w:p w14:paraId="298D20F2" w14:textId="77777777" w:rsidR="00262D4C" w:rsidRPr="00AC6172" w:rsidRDefault="00262D4C" w:rsidP="00C43087">
            <w:pPr>
              <w:spacing w:before="60" w:after="60"/>
              <w:jc w:val="center"/>
              <w:rPr>
                <w:sz w:val="20"/>
              </w:rPr>
            </w:pPr>
            <w:r w:rsidRPr="00AC6172">
              <w:rPr>
                <w:sz w:val="20"/>
              </w:rPr>
              <w:t>90</w:t>
            </w:r>
          </w:p>
        </w:tc>
        <w:tc>
          <w:tcPr>
            <w:tcW w:w="3213" w:type="dxa"/>
            <w:vAlign w:val="center"/>
          </w:tcPr>
          <w:p w14:paraId="2635BC55" w14:textId="77777777" w:rsidR="00262D4C" w:rsidRPr="00AC6172" w:rsidRDefault="00262D4C" w:rsidP="00C43087">
            <w:pPr>
              <w:spacing w:before="60" w:after="60"/>
              <w:jc w:val="center"/>
              <w:rPr>
                <w:sz w:val="20"/>
              </w:rPr>
            </w:pPr>
            <w:r w:rsidRPr="00AC6172">
              <w:rPr>
                <w:sz w:val="20"/>
              </w:rPr>
              <w:t>77</w:t>
            </w:r>
          </w:p>
        </w:tc>
      </w:tr>
      <w:tr w:rsidR="00262D4C" w:rsidRPr="00AC6172" w14:paraId="2B9A393E" w14:textId="77777777" w:rsidTr="00CF19E5">
        <w:tc>
          <w:tcPr>
            <w:tcW w:w="3325" w:type="dxa"/>
            <w:vAlign w:val="center"/>
          </w:tcPr>
          <w:p w14:paraId="2BE32A7D" w14:textId="77777777" w:rsidR="00262D4C" w:rsidRPr="00AC6172" w:rsidRDefault="00262D4C" w:rsidP="00C43087">
            <w:pPr>
              <w:spacing w:before="60" w:after="60"/>
              <w:rPr>
                <w:sz w:val="20"/>
              </w:rPr>
            </w:pPr>
            <w:r w:rsidRPr="00AC6172">
              <w:rPr>
                <w:sz w:val="20"/>
              </w:rPr>
              <w:t>HCFC-22</w:t>
            </w:r>
          </w:p>
        </w:tc>
        <w:tc>
          <w:tcPr>
            <w:tcW w:w="3213" w:type="dxa"/>
            <w:vAlign w:val="center"/>
          </w:tcPr>
          <w:p w14:paraId="44E1C4AB" w14:textId="77777777" w:rsidR="00262D4C" w:rsidRPr="00AC6172" w:rsidRDefault="00262D4C" w:rsidP="00C43087">
            <w:pPr>
              <w:spacing w:before="60" w:after="60"/>
              <w:jc w:val="center"/>
              <w:rPr>
                <w:sz w:val="20"/>
              </w:rPr>
            </w:pPr>
            <w:r>
              <w:rPr>
                <w:sz w:val="20"/>
              </w:rPr>
              <w:t>1</w:t>
            </w:r>
            <w:r w:rsidRPr="00AC6172">
              <w:rPr>
                <w:sz w:val="20"/>
              </w:rPr>
              <w:t>500</w:t>
            </w:r>
          </w:p>
        </w:tc>
        <w:tc>
          <w:tcPr>
            <w:tcW w:w="3213" w:type="dxa"/>
            <w:vAlign w:val="center"/>
          </w:tcPr>
          <w:p w14:paraId="2442A3FF" w14:textId="77777777" w:rsidR="00262D4C" w:rsidRPr="00AC6172" w:rsidRDefault="00262D4C" w:rsidP="00C43087">
            <w:pPr>
              <w:spacing w:before="60" w:after="60"/>
              <w:jc w:val="center"/>
              <w:rPr>
                <w:sz w:val="20"/>
              </w:rPr>
            </w:pPr>
            <w:r>
              <w:rPr>
                <w:sz w:val="20"/>
              </w:rPr>
              <w:t>1</w:t>
            </w:r>
            <w:r w:rsidRPr="00AC6172">
              <w:rPr>
                <w:sz w:val="20"/>
              </w:rPr>
              <w:t>810</w:t>
            </w:r>
          </w:p>
        </w:tc>
      </w:tr>
      <w:tr w:rsidR="00262D4C" w:rsidRPr="00AC6172" w14:paraId="7CEAE730" w14:textId="77777777" w:rsidTr="00CF19E5">
        <w:tc>
          <w:tcPr>
            <w:tcW w:w="3325" w:type="dxa"/>
            <w:vAlign w:val="center"/>
          </w:tcPr>
          <w:p w14:paraId="5692BD90" w14:textId="77777777" w:rsidR="00262D4C" w:rsidRPr="00AC6172" w:rsidRDefault="00262D4C" w:rsidP="00C43087">
            <w:pPr>
              <w:spacing w:before="60" w:after="60"/>
              <w:rPr>
                <w:sz w:val="20"/>
              </w:rPr>
            </w:pPr>
            <w:r w:rsidRPr="00AC6172">
              <w:rPr>
                <w:sz w:val="20"/>
              </w:rPr>
              <w:t>HCFC-141b</w:t>
            </w:r>
          </w:p>
        </w:tc>
        <w:tc>
          <w:tcPr>
            <w:tcW w:w="3213" w:type="dxa"/>
            <w:vAlign w:val="center"/>
          </w:tcPr>
          <w:p w14:paraId="567F2670"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66F26A75" w14:textId="77777777" w:rsidR="00262D4C" w:rsidRPr="00AC6172" w:rsidRDefault="00262D4C" w:rsidP="00C43087">
            <w:pPr>
              <w:spacing w:before="60" w:after="60"/>
              <w:jc w:val="center"/>
              <w:rPr>
                <w:sz w:val="20"/>
              </w:rPr>
            </w:pPr>
            <w:r w:rsidRPr="00AC6172">
              <w:rPr>
                <w:sz w:val="20"/>
              </w:rPr>
              <w:t>725</w:t>
            </w:r>
          </w:p>
        </w:tc>
      </w:tr>
      <w:tr w:rsidR="00262D4C" w:rsidRPr="00AC6172" w14:paraId="10D81A91" w14:textId="77777777" w:rsidTr="00CF19E5">
        <w:tc>
          <w:tcPr>
            <w:tcW w:w="3325" w:type="dxa"/>
            <w:vAlign w:val="center"/>
          </w:tcPr>
          <w:p w14:paraId="5AB410BA" w14:textId="77777777" w:rsidR="00262D4C" w:rsidRPr="00AC6172" w:rsidRDefault="00262D4C" w:rsidP="00C43087">
            <w:pPr>
              <w:spacing w:before="60" w:after="60"/>
              <w:rPr>
                <w:sz w:val="20"/>
              </w:rPr>
            </w:pPr>
            <w:r w:rsidRPr="00AC6172">
              <w:rPr>
                <w:sz w:val="20"/>
              </w:rPr>
              <w:t>HCFC-142b</w:t>
            </w:r>
          </w:p>
        </w:tc>
        <w:tc>
          <w:tcPr>
            <w:tcW w:w="3213" w:type="dxa"/>
            <w:vAlign w:val="center"/>
          </w:tcPr>
          <w:p w14:paraId="48F285D0" w14:textId="77777777" w:rsidR="00262D4C" w:rsidRPr="00AC6172" w:rsidRDefault="00262D4C" w:rsidP="00C43087">
            <w:pPr>
              <w:spacing w:before="60" w:after="60"/>
              <w:jc w:val="center"/>
              <w:rPr>
                <w:sz w:val="20"/>
              </w:rPr>
            </w:pPr>
            <w:r>
              <w:rPr>
                <w:sz w:val="20"/>
              </w:rPr>
              <w:t>1</w:t>
            </w:r>
            <w:r w:rsidRPr="00AC6172">
              <w:rPr>
                <w:sz w:val="20"/>
              </w:rPr>
              <w:t>800</w:t>
            </w:r>
          </w:p>
        </w:tc>
        <w:tc>
          <w:tcPr>
            <w:tcW w:w="3213" w:type="dxa"/>
            <w:vAlign w:val="center"/>
          </w:tcPr>
          <w:p w14:paraId="1B045907" w14:textId="77777777" w:rsidR="00262D4C" w:rsidRPr="00AC6172" w:rsidRDefault="00262D4C" w:rsidP="00C43087">
            <w:pPr>
              <w:spacing w:before="60" w:after="60"/>
              <w:jc w:val="center"/>
              <w:rPr>
                <w:sz w:val="20"/>
              </w:rPr>
            </w:pPr>
            <w:r>
              <w:rPr>
                <w:sz w:val="20"/>
              </w:rPr>
              <w:t>2</w:t>
            </w:r>
            <w:r w:rsidRPr="00AC6172">
              <w:rPr>
                <w:sz w:val="20"/>
              </w:rPr>
              <w:t>310</w:t>
            </w:r>
          </w:p>
        </w:tc>
      </w:tr>
      <w:tr w:rsidR="00262D4C" w:rsidRPr="00AC6172" w14:paraId="56D0BC16" w14:textId="77777777" w:rsidTr="00CF19E5">
        <w:tc>
          <w:tcPr>
            <w:tcW w:w="3325" w:type="dxa"/>
            <w:vAlign w:val="center"/>
          </w:tcPr>
          <w:p w14:paraId="4D7FE8EB" w14:textId="77777777" w:rsidR="00262D4C" w:rsidRPr="00AC6172" w:rsidRDefault="00262D4C" w:rsidP="00C43087">
            <w:pPr>
              <w:spacing w:before="60" w:after="60"/>
              <w:rPr>
                <w:sz w:val="20"/>
              </w:rPr>
            </w:pPr>
            <w:r w:rsidRPr="00AC6172">
              <w:rPr>
                <w:sz w:val="20"/>
              </w:rPr>
              <w:t>HCFC-406A</w:t>
            </w:r>
          </w:p>
        </w:tc>
        <w:tc>
          <w:tcPr>
            <w:tcW w:w="3213" w:type="dxa"/>
            <w:vAlign w:val="center"/>
          </w:tcPr>
          <w:p w14:paraId="3F175AB6"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7DFFBBB3" w14:textId="77777777" w:rsidR="00262D4C" w:rsidRPr="00AC6172" w:rsidRDefault="00262D4C" w:rsidP="00C43087">
            <w:pPr>
              <w:spacing w:before="60" w:after="60"/>
              <w:jc w:val="center"/>
              <w:rPr>
                <w:sz w:val="20"/>
              </w:rPr>
            </w:pPr>
            <w:r>
              <w:rPr>
                <w:sz w:val="20"/>
              </w:rPr>
              <w:t>1</w:t>
            </w:r>
            <w:r w:rsidRPr="00AC6172">
              <w:rPr>
                <w:sz w:val="20"/>
              </w:rPr>
              <w:t>943</w:t>
            </w:r>
          </w:p>
        </w:tc>
      </w:tr>
      <w:tr w:rsidR="00262D4C" w:rsidRPr="00AC6172" w14:paraId="4F8FF1CF" w14:textId="77777777" w:rsidTr="00CF19E5">
        <w:tc>
          <w:tcPr>
            <w:tcW w:w="3325" w:type="dxa"/>
            <w:vAlign w:val="center"/>
          </w:tcPr>
          <w:p w14:paraId="20CC6DCA" w14:textId="77777777" w:rsidR="00262D4C" w:rsidRPr="00AC6172" w:rsidRDefault="00262D4C" w:rsidP="00C43087">
            <w:pPr>
              <w:spacing w:before="60" w:after="60"/>
              <w:rPr>
                <w:sz w:val="20"/>
              </w:rPr>
            </w:pPr>
            <w:r w:rsidRPr="00AC6172">
              <w:rPr>
                <w:sz w:val="20"/>
              </w:rPr>
              <w:t>HCFC-408A</w:t>
            </w:r>
          </w:p>
        </w:tc>
        <w:tc>
          <w:tcPr>
            <w:tcW w:w="3213" w:type="dxa"/>
            <w:vAlign w:val="center"/>
          </w:tcPr>
          <w:p w14:paraId="5D9C9108"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5A74D804" w14:textId="77777777" w:rsidR="00262D4C" w:rsidRPr="00AC6172" w:rsidRDefault="00262D4C" w:rsidP="00C43087">
            <w:pPr>
              <w:spacing w:before="60" w:after="60"/>
              <w:jc w:val="center"/>
              <w:rPr>
                <w:sz w:val="20"/>
              </w:rPr>
            </w:pPr>
            <w:r>
              <w:rPr>
                <w:sz w:val="20"/>
              </w:rPr>
              <w:t>3</w:t>
            </w:r>
            <w:r w:rsidRPr="00AC6172">
              <w:rPr>
                <w:sz w:val="20"/>
              </w:rPr>
              <w:t>152</w:t>
            </w:r>
          </w:p>
        </w:tc>
      </w:tr>
      <w:tr w:rsidR="00262D4C" w:rsidRPr="00AC6172" w14:paraId="5407C508" w14:textId="77777777" w:rsidTr="00CF19E5">
        <w:tc>
          <w:tcPr>
            <w:tcW w:w="3325" w:type="dxa"/>
            <w:vAlign w:val="center"/>
          </w:tcPr>
          <w:p w14:paraId="603C82AA" w14:textId="77777777" w:rsidR="00262D4C" w:rsidRPr="00AC6172" w:rsidRDefault="00262D4C" w:rsidP="00C43087">
            <w:pPr>
              <w:spacing w:before="60" w:after="60"/>
              <w:rPr>
                <w:sz w:val="20"/>
              </w:rPr>
            </w:pPr>
            <w:r w:rsidRPr="00AC6172">
              <w:rPr>
                <w:sz w:val="20"/>
              </w:rPr>
              <w:t>HCFC-409A</w:t>
            </w:r>
          </w:p>
        </w:tc>
        <w:tc>
          <w:tcPr>
            <w:tcW w:w="3213" w:type="dxa"/>
            <w:vAlign w:val="center"/>
          </w:tcPr>
          <w:p w14:paraId="0C6DA640"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658FADB4" w14:textId="77777777" w:rsidR="00262D4C" w:rsidRPr="00AC6172" w:rsidRDefault="00262D4C" w:rsidP="00C43087">
            <w:pPr>
              <w:spacing w:before="60" w:after="60"/>
              <w:jc w:val="center"/>
              <w:rPr>
                <w:sz w:val="20"/>
              </w:rPr>
            </w:pPr>
            <w:r>
              <w:rPr>
                <w:sz w:val="20"/>
              </w:rPr>
              <w:t>1</w:t>
            </w:r>
            <w:r w:rsidRPr="00AC6172">
              <w:rPr>
                <w:sz w:val="20"/>
              </w:rPr>
              <w:t>585</w:t>
            </w:r>
          </w:p>
        </w:tc>
      </w:tr>
      <w:tr w:rsidR="00262D4C" w:rsidRPr="00AC6172" w14:paraId="0FBA1F02" w14:textId="77777777" w:rsidTr="00CF19E5">
        <w:tc>
          <w:tcPr>
            <w:tcW w:w="3325" w:type="dxa"/>
            <w:vAlign w:val="center"/>
          </w:tcPr>
          <w:p w14:paraId="491E9A4C" w14:textId="77777777" w:rsidR="00262D4C" w:rsidRPr="00AC6172" w:rsidRDefault="00262D4C" w:rsidP="00C43087">
            <w:pPr>
              <w:spacing w:before="60" w:after="60"/>
              <w:rPr>
                <w:sz w:val="20"/>
              </w:rPr>
            </w:pPr>
            <w:r w:rsidRPr="00AC6172">
              <w:rPr>
                <w:sz w:val="20"/>
              </w:rPr>
              <w:t>HCFC-225ca</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vAlign w:val="center"/>
          </w:tcPr>
          <w:p w14:paraId="36124002"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752E63DE" w14:textId="77777777" w:rsidR="00262D4C" w:rsidRPr="00AC6172" w:rsidRDefault="00262D4C" w:rsidP="00C43087">
            <w:pPr>
              <w:spacing w:before="60" w:after="60"/>
              <w:jc w:val="center"/>
              <w:rPr>
                <w:sz w:val="20"/>
              </w:rPr>
            </w:pPr>
            <w:r w:rsidRPr="00AC6172">
              <w:rPr>
                <w:sz w:val="20"/>
              </w:rPr>
              <w:t>122</w:t>
            </w:r>
          </w:p>
        </w:tc>
      </w:tr>
      <w:tr w:rsidR="00262D4C" w:rsidRPr="00AC6172" w14:paraId="4C6E5CC2" w14:textId="77777777" w:rsidTr="00CF19E5">
        <w:tc>
          <w:tcPr>
            <w:tcW w:w="3325" w:type="dxa"/>
            <w:tcBorders>
              <w:bottom w:val="single" w:sz="4" w:space="0" w:color="000000"/>
            </w:tcBorders>
            <w:vAlign w:val="center"/>
          </w:tcPr>
          <w:p w14:paraId="72443DCE" w14:textId="77777777" w:rsidR="00262D4C" w:rsidRPr="00AC6172" w:rsidRDefault="00262D4C" w:rsidP="00C43087">
            <w:pPr>
              <w:spacing w:before="60" w:after="60"/>
              <w:rPr>
                <w:sz w:val="20"/>
              </w:rPr>
            </w:pPr>
            <w:r w:rsidRPr="00AC6172">
              <w:rPr>
                <w:sz w:val="20"/>
              </w:rPr>
              <w:t>HCFC-225cb</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tcBorders>
              <w:bottom w:val="single" w:sz="4" w:space="0" w:color="000000"/>
            </w:tcBorders>
            <w:vAlign w:val="center"/>
          </w:tcPr>
          <w:p w14:paraId="3F03FCE0" w14:textId="77777777" w:rsidR="00262D4C" w:rsidRPr="00AC6172" w:rsidRDefault="00262D4C" w:rsidP="00C43087">
            <w:pPr>
              <w:spacing w:before="60" w:after="60"/>
              <w:jc w:val="center"/>
              <w:rPr>
                <w:sz w:val="20"/>
              </w:rPr>
            </w:pPr>
            <w:r w:rsidRPr="00AC6172">
              <w:rPr>
                <w:sz w:val="20"/>
              </w:rPr>
              <w:t>-</w:t>
            </w:r>
          </w:p>
        </w:tc>
        <w:tc>
          <w:tcPr>
            <w:tcW w:w="3213" w:type="dxa"/>
            <w:tcBorders>
              <w:bottom w:val="single" w:sz="4" w:space="0" w:color="000000"/>
            </w:tcBorders>
            <w:vAlign w:val="center"/>
          </w:tcPr>
          <w:p w14:paraId="1708ECBA" w14:textId="77777777" w:rsidR="00262D4C" w:rsidRPr="00AC6172" w:rsidRDefault="00262D4C" w:rsidP="00C43087">
            <w:pPr>
              <w:spacing w:before="60" w:after="60"/>
              <w:jc w:val="center"/>
              <w:rPr>
                <w:sz w:val="20"/>
              </w:rPr>
            </w:pPr>
            <w:r w:rsidRPr="00AC6172">
              <w:rPr>
                <w:sz w:val="20"/>
              </w:rPr>
              <w:t>595</w:t>
            </w:r>
          </w:p>
        </w:tc>
      </w:tr>
      <w:tr w:rsidR="00262D4C" w:rsidRPr="00AC6172" w14:paraId="53162B49" w14:textId="77777777" w:rsidTr="00CF19E5">
        <w:tc>
          <w:tcPr>
            <w:tcW w:w="9751" w:type="dxa"/>
            <w:gridSpan w:val="3"/>
            <w:shd w:val="clear" w:color="auto" w:fill="CCFFFF"/>
            <w:vAlign w:val="center"/>
          </w:tcPr>
          <w:p w14:paraId="40E9595D" w14:textId="77777777" w:rsidR="00262D4C" w:rsidRPr="00AC6172" w:rsidRDefault="00262D4C" w:rsidP="00C43087">
            <w:pPr>
              <w:spacing w:before="60" w:after="60"/>
              <w:rPr>
                <w:sz w:val="20"/>
              </w:rPr>
            </w:pPr>
            <w:r w:rsidRPr="00AC6172">
              <w:rPr>
                <w:sz w:val="20"/>
              </w:rPr>
              <w:t>Hydrofluorocarbons (HFCs)</w:t>
            </w:r>
          </w:p>
        </w:tc>
      </w:tr>
      <w:tr w:rsidR="00262D4C" w:rsidRPr="00AC6172" w14:paraId="5FE3DCAE" w14:textId="77777777" w:rsidTr="00CF19E5">
        <w:tc>
          <w:tcPr>
            <w:tcW w:w="3325" w:type="dxa"/>
            <w:vAlign w:val="center"/>
          </w:tcPr>
          <w:p w14:paraId="14877BF2" w14:textId="77777777" w:rsidR="00262D4C" w:rsidRPr="00AC6172" w:rsidRDefault="00262D4C" w:rsidP="00C43087">
            <w:pPr>
              <w:spacing w:before="60" w:after="60"/>
              <w:rPr>
                <w:sz w:val="20"/>
              </w:rPr>
            </w:pPr>
            <w:r>
              <w:rPr>
                <w:sz w:val="20"/>
              </w:rPr>
              <w:t>HFC-125</w:t>
            </w:r>
          </w:p>
        </w:tc>
        <w:tc>
          <w:tcPr>
            <w:tcW w:w="3213" w:type="dxa"/>
            <w:vAlign w:val="center"/>
          </w:tcPr>
          <w:p w14:paraId="2CAAA006" w14:textId="77777777" w:rsidR="00262D4C" w:rsidRPr="00AC6172" w:rsidRDefault="00262D4C" w:rsidP="00C43087">
            <w:pPr>
              <w:spacing w:before="60" w:after="60"/>
              <w:jc w:val="center"/>
              <w:rPr>
                <w:sz w:val="20"/>
              </w:rPr>
            </w:pPr>
            <w:r>
              <w:rPr>
                <w:sz w:val="20"/>
              </w:rPr>
              <w:t>2800</w:t>
            </w:r>
          </w:p>
        </w:tc>
        <w:tc>
          <w:tcPr>
            <w:tcW w:w="3213" w:type="dxa"/>
            <w:vAlign w:val="center"/>
          </w:tcPr>
          <w:p w14:paraId="28C9C6FF" w14:textId="77777777" w:rsidR="00262D4C" w:rsidRPr="00AC6172" w:rsidRDefault="00262D4C" w:rsidP="00C43087">
            <w:pPr>
              <w:spacing w:before="60" w:after="60"/>
              <w:jc w:val="center"/>
              <w:rPr>
                <w:sz w:val="20"/>
              </w:rPr>
            </w:pPr>
            <w:r>
              <w:rPr>
                <w:sz w:val="20"/>
              </w:rPr>
              <w:t>3500</w:t>
            </w:r>
          </w:p>
        </w:tc>
      </w:tr>
      <w:tr w:rsidR="00262D4C" w:rsidRPr="00AC6172" w14:paraId="73BEBAF4" w14:textId="77777777" w:rsidTr="00CF19E5">
        <w:tc>
          <w:tcPr>
            <w:tcW w:w="3325" w:type="dxa"/>
            <w:vAlign w:val="center"/>
          </w:tcPr>
          <w:p w14:paraId="4395FA51" w14:textId="77777777" w:rsidR="00262D4C" w:rsidRPr="00AC6172" w:rsidRDefault="00262D4C" w:rsidP="00C43087">
            <w:pPr>
              <w:spacing w:before="60" w:after="60"/>
              <w:rPr>
                <w:sz w:val="20"/>
              </w:rPr>
            </w:pPr>
            <w:r w:rsidRPr="00AC6172">
              <w:rPr>
                <w:sz w:val="20"/>
              </w:rPr>
              <w:t>HFC-134a</w:t>
            </w:r>
          </w:p>
        </w:tc>
        <w:tc>
          <w:tcPr>
            <w:tcW w:w="3213" w:type="dxa"/>
            <w:vAlign w:val="center"/>
          </w:tcPr>
          <w:p w14:paraId="6BB0DFF9" w14:textId="77777777" w:rsidR="00262D4C" w:rsidRPr="00AC6172" w:rsidRDefault="00262D4C" w:rsidP="00C43087">
            <w:pPr>
              <w:spacing w:before="60" w:after="60"/>
              <w:jc w:val="center"/>
              <w:rPr>
                <w:sz w:val="20"/>
              </w:rPr>
            </w:pPr>
            <w:r>
              <w:rPr>
                <w:sz w:val="20"/>
              </w:rPr>
              <w:t>1</w:t>
            </w:r>
            <w:r w:rsidRPr="00AC6172">
              <w:rPr>
                <w:sz w:val="20"/>
              </w:rPr>
              <w:t>300</w:t>
            </w:r>
          </w:p>
        </w:tc>
        <w:tc>
          <w:tcPr>
            <w:tcW w:w="3213" w:type="dxa"/>
            <w:vAlign w:val="center"/>
          </w:tcPr>
          <w:p w14:paraId="7B8D3888" w14:textId="77777777" w:rsidR="00262D4C" w:rsidRPr="00AC6172" w:rsidRDefault="00262D4C" w:rsidP="00C43087">
            <w:pPr>
              <w:spacing w:before="60" w:after="60"/>
              <w:jc w:val="center"/>
              <w:rPr>
                <w:sz w:val="20"/>
              </w:rPr>
            </w:pPr>
            <w:r w:rsidRPr="00AC6172">
              <w:rPr>
                <w:sz w:val="20"/>
              </w:rPr>
              <w:t>1430</w:t>
            </w:r>
          </w:p>
        </w:tc>
      </w:tr>
      <w:tr w:rsidR="00262D4C" w:rsidRPr="00AC6172" w14:paraId="661C59A9" w14:textId="77777777" w:rsidTr="00CF19E5">
        <w:tc>
          <w:tcPr>
            <w:tcW w:w="3325" w:type="dxa"/>
            <w:vAlign w:val="center"/>
          </w:tcPr>
          <w:p w14:paraId="77172516" w14:textId="77777777" w:rsidR="00262D4C" w:rsidRPr="00AC6172" w:rsidRDefault="00262D4C" w:rsidP="00C43087">
            <w:pPr>
              <w:spacing w:before="60" w:after="60"/>
              <w:rPr>
                <w:sz w:val="20"/>
              </w:rPr>
            </w:pPr>
            <w:r>
              <w:rPr>
                <w:sz w:val="20"/>
              </w:rPr>
              <w:t>HFC-236fa</w:t>
            </w:r>
          </w:p>
        </w:tc>
        <w:tc>
          <w:tcPr>
            <w:tcW w:w="3213" w:type="dxa"/>
            <w:vAlign w:val="center"/>
          </w:tcPr>
          <w:p w14:paraId="4DF6C656" w14:textId="77777777" w:rsidR="00262D4C" w:rsidRPr="00AC6172" w:rsidRDefault="00262D4C" w:rsidP="00C43087">
            <w:pPr>
              <w:spacing w:before="60" w:after="60"/>
              <w:jc w:val="center"/>
              <w:rPr>
                <w:sz w:val="20"/>
              </w:rPr>
            </w:pPr>
            <w:r>
              <w:rPr>
                <w:sz w:val="20"/>
              </w:rPr>
              <w:t>6300</w:t>
            </w:r>
          </w:p>
        </w:tc>
        <w:tc>
          <w:tcPr>
            <w:tcW w:w="3213" w:type="dxa"/>
            <w:vAlign w:val="center"/>
          </w:tcPr>
          <w:p w14:paraId="0F23A923" w14:textId="77777777" w:rsidR="00262D4C" w:rsidRPr="00AC6172" w:rsidRDefault="00262D4C" w:rsidP="00C43087">
            <w:pPr>
              <w:spacing w:before="60" w:after="60"/>
              <w:jc w:val="center"/>
              <w:rPr>
                <w:sz w:val="20"/>
              </w:rPr>
            </w:pPr>
            <w:r>
              <w:rPr>
                <w:sz w:val="20"/>
              </w:rPr>
              <w:t>9810</w:t>
            </w:r>
          </w:p>
        </w:tc>
      </w:tr>
      <w:tr w:rsidR="00262D4C" w:rsidRPr="00AC6172" w14:paraId="55E7F7E1" w14:textId="77777777" w:rsidTr="00CF19E5">
        <w:tc>
          <w:tcPr>
            <w:tcW w:w="3325" w:type="dxa"/>
            <w:vAlign w:val="center"/>
          </w:tcPr>
          <w:p w14:paraId="68A8A034" w14:textId="77777777" w:rsidR="00262D4C" w:rsidRPr="00AC6172" w:rsidRDefault="00262D4C" w:rsidP="00C43087">
            <w:pPr>
              <w:spacing w:before="60" w:after="60"/>
              <w:rPr>
                <w:sz w:val="20"/>
              </w:rPr>
            </w:pPr>
            <w:r w:rsidRPr="00AC6172">
              <w:rPr>
                <w:sz w:val="20"/>
              </w:rPr>
              <w:t>HFC-404A</w:t>
            </w:r>
            <w:r>
              <w:rPr>
                <w:sz w:val="20"/>
              </w:rPr>
              <w:t xml:space="preserve"> </w:t>
            </w:r>
            <w:r w:rsidRPr="00690A68">
              <w:rPr>
                <w:sz w:val="20"/>
                <w:szCs w:val="20"/>
                <w:vertAlign w:val="superscript"/>
              </w:rPr>
              <w:t>(</w:t>
            </w:r>
            <w:r>
              <w:rPr>
                <w:sz w:val="20"/>
                <w:szCs w:val="20"/>
                <w:vertAlign w:val="superscript"/>
              </w:rPr>
              <w:t>2</w:t>
            </w:r>
            <w:r w:rsidRPr="00690A68">
              <w:rPr>
                <w:sz w:val="20"/>
                <w:szCs w:val="20"/>
                <w:vertAlign w:val="superscript"/>
              </w:rPr>
              <w:t>)</w:t>
            </w:r>
          </w:p>
        </w:tc>
        <w:tc>
          <w:tcPr>
            <w:tcW w:w="3213" w:type="dxa"/>
            <w:vAlign w:val="center"/>
          </w:tcPr>
          <w:p w14:paraId="2816D5BD" w14:textId="77777777" w:rsidR="00262D4C" w:rsidRPr="00AC6172" w:rsidRDefault="00262D4C" w:rsidP="00C43087">
            <w:pPr>
              <w:spacing w:before="60" w:after="60"/>
              <w:jc w:val="center"/>
              <w:rPr>
                <w:sz w:val="20"/>
              </w:rPr>
            </w:pPr>
            <w:r>
              <w:rPr>
                <w:sz w:val="20"/>
              </w:rPr>
              <w:t>3</w:t>
            </w:r>
            <w:r w:rsidRPr="00AC6172">
              <w:rPr>
                <w:sz w:val="20"/>
              </w:rPr>
              <w:t>260</w:t>
            </w:r>
          </w:p>
        </w:tc>
        <w:tc>
          <w:tcPr>
            <w:tcW w:w="3213" w:type="dxa"/>
            <w:vAlign w:val="center"/>
          </w:tcPr>
          <w:p w14:paraId="0F128E40" w14:textId="77777777" w:rsidR="00262D4C" w:rsidRPr="00AC6172" w:rsidRDefault="00262D4C" w:rsidP="00C43087">
            <w:pPr>
              <w:spacing w:before="60" w:after="60"/>
              <w:jc w:val="center"/>
              <w:rPr>
                <w:sz w:val="20"/>
              </w:rPr>
            </w:pPr>
            <w:r>
              <w:rPr>
                <w:sz w:val="20"/>
              </w:rPr>
              <w:t>3</w:t>
            </w:r>
            <w:r w:rsidRPr="00AC6172">
              <w:rPr>
                <w:sz w:val="20"/>
              </w:rPr>
              <w:t>922</w:t>
            </w:r>
          </w:p>
        </w:tc>
      </w:tr>
      <w:tr w:rsidR="00262D4C" w:rsidRPr="00AC6172" w14:paraId="72719191" w14:textId="77777777" w:rsidTr="00CF19E5">
        <w:tc>
          <w:tcPr>
            <w:tcW w:w="3325" w:type="dxa"/>
            <w:vAlign w:val="center"/>
          </w:tcPr>
          <w:p w14:paraId="3F1D4948" w14:textId="77777777" w:rsidR="00262D4C" w:rsidRPr="00AC6172" w:rsidRDefault="00262D4C" w:rsidP="00C43087">
            <w:pPr>
              <w:spacing w:before="60" w:after="60"/>
              <w:rPr>
                <w:sz w:val="20"/>
              </w:rPr>
            </w:pPr>
            <w:r w:rsidRPr="00AC6172">
              <w:rPr>
                <w:sz w:val="20"/>
              </w:rPr>
              <w:t>HFC-407C</w:t>
            </w:r>
          </w:p>
        </w:tc>
        <w:tc>
          <w:tcPr>
            <w:tcW w:w="3213" w:type="dxa"/>
            <w:vAlign w:val="center"/>
          </w:tcPr>
          <w:p w14:paraId="61912120" w14:textId="77777777" w:rsidR="00262D4C" w:rsidRPr="00AC6172" w:rsidRDefault="00262D4C" w:rsidP="00C43087">
            <w:pPr>
              <w:spacing w:before="60" w:after="60"/>
              <w:jc w:val="center"/>
              <w:rPr>
                <w:sz w:val="20"/>
              </w:rPr>
            </w:pPr>
            <w:r>
              <w:rPr>
                <w:sz w:val="20"/>
              </w:rPr>
              <w:t>1</w:t>
            </w:r>
            <w:r w:rsidRPr="00AC6172">
              <w:rPr>
                <w:sz w:val="20"/>
              </w:rPr>
              <w:t>526</w:t>
            </w:r>
          </w:p>
        </w:tc>
        <w:tc>
          <w:tcPr>
            <w:tcW w:w="3213" w:type="dxa"/>
            <w:vAlign w:val="center"/>
          </w:tcPr>
          <w:p w14:paraId="17B0BDE4" w14:textId="77777777" w:rsidR="00262D4C" w:rsidRPr="00AC6172" w:rsidRDefault="00262D4C" w:rsidP="00C43087">
            <w:pPr>
              <w:spacing w:before="60" w:after="60"/>
              <w:jc w:val="center"/>
              <w:rPr>
                <w:sz w:val="20"/>
              </w:rPr>
            </w:pPr>
            <w:r>
              <w:rPr>
                <w:sz w:val="20"/>
              </w:rPr>
              <w:t>1</w:t>
            </w:r>
            <w:r w:rsidRPr="00AC6172">
              <w:rPr>
                <w:sz w:val="20"/>
              </w:rPr>
              <w:t>774</w:t>
            </w:r>
          </w:p>
        </w:tc>
      </w:tr>
      <w:tr w:rsidR="00262D4C" w:rsidRPr="00AC6172" w14:paraId="178DD2F9" w14:textId="77777777" w:rsidTr="00CF19E5">
        <w:tc>
          <w:tcPr>
            <w:tcW w:w="3325" w:type="dxa"/>
            <w:vAlign w:val="center"/>
          </w:tcPr>
          <w:p w14:paraId="09EA5B4B" w14:textId="77777777" w:rsidR="00262D4C" w:rsidRPr="00AC6172" w:rsidRDefault="00262D4C" w:rsidP="00C43087">
            <w:pPr>
              <w:spacing w:before="60" w:after="60"/>
              <w:rPr>
                <w:sz w:val="20"/>
              </w:rPr>
            </w:pPr>
            <w:r>
              <w:rPr>
                <w:sz w:val="20"/>
              </w:rPr>
              <w:t>HFC-407F</w:t>
            </w:r>
          </w:p>
        </w:tc>
        <w:tc>
          <w:tcPr>
            <w:tcW w:w="3213" w:type="dxa"/>
            <w:vAlign w:val="center"/>
          </w:tcPr>
          <w:p w14:paraId="7EBD0A35" w14:textId="77777777" w:rsidR="00262D4C" w:rsidRPr="00AC6172" w:rsidRDefault="00262D4C" w:rsidP="00C43087">
            <w:pPr>
              <w:spacing w:before="60" w:after="60"/>
              <w:jc w:val="center"/>
              <w:rPr>
                <w:sz w:val="20"/>
              </w:rPr>
            </w:pPr>
            <w:r>
              <w:rPr>
                <w:sz w:val="20"/>
              </w:rPr>
              <w:t>1824</w:t>
            </w:r>
          </w:p>
        </w:tc>
        <w:tc>
          <w:tcPr>
            <w:tcW w:w="3213" w:type="dxa"/>
            <w:vAlign w:val="center"/>
          </w:tcPr>
          <w:p w14:paraId="353D9BC6" w14:textId="77777777" w:rsidR="00262D4C" w:rsidRPr="00AC6172" w:rsidRDefault="00262D4C" w:rsidP="00C43087">
            <w:pPr>
              <w:spacing w:before="60" w:after="60"/>
              <w:jc w:val="center"/>
              <w:rPr>
                <w:sz w:val="20"/>
              </w:rPr>
            </w:pPr>
            <w:r>
              <w:rPr>
                <w:sz w:val="20"/>
              </w:rPr>
              <w:t>2107</w:t>
            </w:r>
          </w:p>
        </w:tc>
      </w:tr>
      <w:tr w:rsidR="00262D4C" w:rsidRPr="00AC6172" w14:paraId="3FC615AD" w14:textId="77777777" w:rsidTr="00CF19E5">
        <w:tc>
          <w:tcPr>
            <w:tcW w:w="3325" w:type="dxa"/>
            <w:vAlign w:val="center"/>
          </w:tcPr>
          <w:p w14:paraId="36E35E58" w14:textId="77777777" w:rsidR="00262D4C" w:rsidRPr="00AC6172" w:rsidRDefault="00262D4C" w:rsidP="00C43087">
            <w:pPr>
              <w:spacing w:before="60" w:after="60"/>
              <w:rPr>
                <w:sz w:val="20"/>
              </w:rPr>
            </w:pPr>
            <w:r w:rsidRPr="00AC6172">
              <w:rPr>
                <w:sz w:val="20"/>
              </w:rPr>
              <w:t>HFC-410A</w:t>
            </w:r>
          </w:p>
        </w:tc>
        <w:tc>
          <w:tcPr>
            <w:tcW w:w="3213" w:type="dxa"/>
            <w:vAlign w:val="center"/>
          </w:tcPr>
          <w:p w14:paraId="4BA71F2C" w14:textId="77777777" w:rsidR="00262D4C" w:rsidRPr="00AC6172" w:rsidRDefault="00262D4C" w:rsidP="00C43087">
            <w:pPr>
              <w:spacing w:before="60" w:after="60"/>
              <w:jc w:val="center"/>
              <w:rPr>
                <w:sz w:val="20"/>
              </w:rPr>
            </w:pPr>
            <w:r>
              <w:rPr>
                <w:sz w:val="20"/>
              </w:rPr>
              <w:t>1</w:t>
            </w:r>
            <w:r w:rsidRPr="00AC6172">
              <w:rPr>
                <w:sz w:val="20"/>
              </w:rPr>
              <w:t>725</w:t>
            </w:r>
          </w:p>
        </w:tc>
        <w:tc>
          <w:tcPr>
            <w:tcW w:w="3213" w:type="dxa"/>
            <w:vAlign w:val="center"/>
          </w:tcPr>
          <w:p w14:paraId="6563C694" w14:textId="77777777" w:rsidR="00262D4C" w:rsidRPr="00AC6172" w:rsidRDefault="00262D4C" w:rsidP="00C43087">
            <w:pPr>
              <w:spacing w:before="60" w:after="60"/>
              <w:jc w:val="center"/>
              <w:rPr>
                <w:sz w:val="20"/>
              </w:rPr>
            </w:pPr>
            <w:r>
              <w:rPr>
                <w:sz w:val="20"/>
              </w:rPr>
              <w:t>2</w:t>
            </w:r>
            <w:r w:rsidRPr="00AC6172">
              <w:rPr>
                <w:sz w:val="20"/>
              </w:rPr>
              <w:t>088</w:t>
            </w:r>
          </w:p>
        </w:tc>
      </w:tr>
      <w:tr w:rsidR="00262D4C" w:rsidRPr="00AC6172" w14:paraId="748B412B" w14:textId="77777777" w:rsidTr="00CF19E5">
        <w:tc>
          <w:tcPr>
            <w:tcW w:w="3325" w:type="dxa"/>
            <w:vAlign w:val="center"/>
          </w:tcPr>
          <w:p w14:paraId="2D3A55A1" w14:textId="77777777" w:rsidR="00262D4C" w:rsidRPr="00AC6172" w:rsidRDefault="00262D4C" w:rsidP="00C43087">
            <w:pPr>
              <w:spacing w:before="60" w:after="60"/>
              <w:rPr>
                <w:sz w:val="20"/>
              </w:rPr>
            </w:pPr>
            <w:r w:rsidRPr="00AC6172">
              <w:rPr>
                <w:sz w:val="20"/>
              </w:rPr>
              <w:t>HFC-417A</w:t>
            </w:r>
          </w:p>
        </w:tc>
        <w:tc>
          <w:tcPr>
            <w:tcW w:w="3213" w:type="dxa"/>
            <w:vAlign w:val="center"/>
          </w:tcPr>
          <w:p w14:paraId="31F3DBC7" w14:textId="77777777" w:rsidR="00262D4C" w:rsidRPr="00AC6172" w:rsidRDefault="00262D4C" w:rsidP="00C43087">
            <w:pPr>
              <w:spacing w:before="60" w:after="60"/>
              <w:jc w:val="center"/>
              <w:rPr>
                <w:sz w:val="20"/>
              </w:rPr>
            </w:pPr>
            <w:r>
              <w:rPr>
                <w:sz w:val="20"/>
              </w:rPr>
              <w:t>1</w:t>
            </w:r>
            <w:r w:rsidRPr="00AC6172">
              <w:rPr>
                <w:sz w:val="20"/>
              </w:rPr>
              <w:t>955</w:t>
            </w:r>
          </w:p>
        </w:tc>
        <w:tc>
          <w:tcPr>
            <w:tcW w:w="3213" w:type="dxa"/>
            <w:vAlign w:val="center"/>
          </w:tcPr>
          <w:p w14:paraId="73433669" w14:textId="77777777" w:rsidR="00262D4C" w:rsidRPr="00AC6172" w:rsidRDefault="00262D4C" w:rsidP="00C43087">
            <w:pPr>
              <w:spacing w:before="60" w:after="60"/>
              <w:jc w:val="center"/>
              <w:rPr>
                <w:sz w:val="20"/>
              </w:rPr>
            </w:pPr>
            <w:r>
              <w:rPr>
                <w:sz w:val="20"/>
              </w:rPr>
              <w:t>2</w:t>
            </w:r>
            <w:r w:rsidRPr="00AC6172">
              <w:rPr>
                <w:sz w:val="20"/>
              </w:rPr>
              <w:t>346</w:t>
            </w:r>
          </w:p>
        </w:tc>
      </w:tr>
      <w:tr w:rsidR="00262D4C" w:rsidRPr="00AC6172" w14:paraId="658AEE78" w14:textId="77777777" w:rsidTr="00CF19E5">
        <w:tc>
          <w:tcPr>
            <w:tcW w:w="3325" w:type="dxa"/>
            <w:vAlign w:val="center"/>
          </w:tcPr>
          <w:p w14:paraId="1D500589" w14:textId="77777777" w:rsidR="00262D4C" w:rsidRPr="00AC6172" w:rsidRDefault="00262D4C" w:rsidP="00C43087">
            <w:pPr>
              <w:spacing w:before="60" w:after="60"/>
              <w:rPr>
                <w:sz w:val="20"/>
              </w:rPr>
            </w:pPr>
            <w:r w:rsidRPr="00AC6172">
              <w:rPr>
                <w:sz w:val="20"/>
              </w:rPr>
              <w:t>HFC-</w:t>
            </w:r>
            <w:r>
              <w:rPr>
                <w:sz w:val="20"/>
              </w:rPr>
              <w:t>428A</w:t>
            </w:r>
          </w:p>
        </w:tc>
        <w:tc>
          <w:tcPr>
            <w:tcW w:w="3213" w:type="dxa"/>
            <w:vAlign w:val="center"/>
          </w:tcPr>
          <w:p w14:paraId="21F11670" w14:textId="77777777" w:rsidR="00262D4C" w:rsidRPr="00AC6172" w:rsidRDefault="00262D4C" w:rsidP="00C43087">
            <w:pPr>
              <w:spacing w:before="60" w:after="60"/>
              <w:jc w:val="center"/>
              <w:rPr>
                <w:sz w:val="20"/>
              </w:rPr>
            </w:pPr>
            <w:r>
              <w:rPr>
                <w:sz w:val="20"/>
              </w:rPr>
              <w:t>2930</w:t>
            </w:r>
          </w:p>
        </w:tc>
        <w:tc>
          <w:tcPr>
            <w:tcW w:w="3213" w:type="dxa"/>
            <w:vAlign w:val="center"/>
          </w:tcPr>
          <w:p w14:paraId="38F68CF9" w14:textId="77777777" w:rsidR="00262D4C" w:rsidRPr="00AC6172" w:rsidRDefault="00262D4C" w:rsidP="00C43087">
            <w:pPr>
              <w:spacing w:before="60" w:after="60"/>
              <w:jc w:val="center"/>
              <w:rPr>
                <w:sz w:val="20"/>
              </w:rPr>
            </w:pPr>
            <w:r>
              <w:rPr>
                <w:sz w:val="20"/>
              </w:rPr>
              <w:t>2</w:t>
            </w:r>
            <w:r w:rsidRPr="00C36D3D">
              <w:rPr>
                <w:sz w:val="20"/>
              </w:rPr>
              <w:t>265</w:t>
            </w:r>
          </w:p>
        </w:tc>
      </w:tr>
      <w:tr w:rsidR="00262D4C" w:rsidRPr="00AC6172" w14:paraId="4A117F67" w14:textId="77777777" w:rsidTr="00CF19E5">
        <w:tc>
          <w:tcPr>
            <w:tcW w:w="3325" w:type="dxa"/>
            <w:vAlign w:val="center"/>
          </w:tcPr>
          <w:p w14:paraId="1DEB4C69" w14:textId="77777777" w:rsidR="00262D4C" w:rsidRPr="00AC6172" w:rsidRDefault="00262D4C" w:rsidP="00C43087">
            <w:pPr>
              <w:spacing w:before="60" w:after="60"/>
              <w:rPr>
                <w:sz w:val="20"/>
              </w:rPr>
            </w:pPr>
            <w:r>
              <w:rPr>
                <w:sz w:val="20"/>
              </w:rPr>
              <w:t>HFC-438A</w:t>
            </w:r>
          </w:p>
        </w:tc>
        <w:tc>
          <w:tcPr>
            <w:tcW w:w="3213" w:type="dxa"/>
            <w:vAlign w:val="center"/>
          </w:tcPr>
          <w:p w14:paraId="66DF1150" w14:textId="77777777" w:rsidR="00262D4C" w:rsidRPr="00AC6172" w:rsidRDefault="00262D4C" w:rsidP="00C43087">
            <w:pPr>
              <w:spacing w:before="60" w:after="60"/>
              <w:jc w:val="center"/>
              <w:rPr>
                <w:sz w:val="20"/>
              </w:rPr>
            </w:pPr>
            <w:r>
              <w:rPr>
                <w:sz w:val="20"/>
              </w:rPr>
              <w:t>1</w:t>
            </w:r>
            <w:r w:rsidRPr="001B5795">
              <w:rPr>
                <w:sz w:val="20"/>
              </w:rPr>
              <w:t>890</w:t>
            </w:r>
          </w:p>
        </w:tc>
        <w:tc>
          <w:tcPr>
            <w:tcW w:w="3213" w:type="dxa"/>
            <w:vAlign w:val="center"/>
          </w:tcPr>
          <w:p w14:paraId="16A81A9C" w14:textId="77777777" w:rsidR="00262D4C" w:rsidRPr="00AC6172" w:rsidRDefault="00262D4C" w:rsidP="00C43087">
            <w:pPr>
              <w:spacing w:before="60" w:after="60"/>
              <w:jc w:val="center"/>
              <w:rPr>
                <w:sz w:val="20"/>
              </w:rPr>
            </w:pPr>
            <w:r>
              <w:rPr>
                <w:sz w:val="20"/>
              </w:rPr>
              <w:t>3</w:t>
            </w:r>
            <w:r w:rsidRPr="00C36D3D">
              <w:rPr>
                <w:sz w:val="20"/>
              </w:rPr>
              <w:t>667</w:t>
            </w:r>
          </w:p>
        </w:tc>
      </w:tr>
      <w:tr w:rsidR="00262D4C" w:rsidRPr="00AC6172" w14:paraId="38D066AA" w14:textId="77777777" w:rsidTr="00CF19E5">
        <w:tc>
          <w:tcPr>
            <w:tcW w:w="3325" w:type="dxa"/>
            <w:vAlign w:val="center"/>
          </w:tcPr>
          <w:p w14:paraId="1C517D1E" w14:textId="77777777" w:rsidR="00262D4C" w:rsidRDefault="00262D4C" w:rsidP="00C43087">
            <w:pPr>
              <w:spacing w:before="60" w:after="60"/>
              <w:rPr>
                <w:sz w:val="20"/>
              </w:rPr>
            </w:pPr>
            <w:r>
              <w:rPr>
                <w:sz w:val="20"/>
              </w:rPr>
              <w:t>HFC-448A</w:t>
            </w:r>
          </w:p>
        </w:tc>
        <w:tc>
          <w:tcPr>
            <w:tcW w:w="3213" w:type="dxa"/>
            <w:vAlign w:val="center"/>
          </w:tcPr>
          <w:p w14:paraId="7D39B48C" w14:textId="77777777" w:rsidR="00262D4C" w:rsidRDefault="00262D4C" w:rsidP="00C43087">
            <w:pPr>
              <w:spacing w:before="60" w:after="60"/>
              <w:jc w:val="center"/>
              <w:rPr>
                <w:sz w:val="20"/>
              </w:rPr>
            </w:pPr>
            <w:r>
              <w:rPr>
                <w:sz w:val="20"/>
              </w:rPr>
              <w:t>-</w:t>
            </w:r>
          </w:p>
        </w:tc>
        <w:tc>
          <w:tcPr>
            <w:tcW w:w="3213" w:type="dxa"/>
            <w:vAlign w:val="center"/>
          </w:tcPr>
          <w:p w14:paraId="29D05818" w14:textId="77777777" w:rsidR="00262D4C" w:rsidRDefault="00262D4C" w:rsidP="00C43087">
            <w:pPr>
              <w:spacing w:before="60" w:after="60"/>
              <w:jc w:val="center"/>
              <w:rPr>
                <w:sz w:val="20"/>
              </w:rPr>
            </w:pPr>
            <w:r>
              <w:rPr>
                <w:sz w:val="20"/>
              </w:rPr>
              <w:t>1387</w:t>
            </w:r>
          </w:p>
        </w:tc>
      </w:tr>
      <w:tr w:rsidR="00262D4C" w:rsidRPr="00AC6172" w14:paraId="060F1743" w14:textId="77777777" w:rsidTr="00CF19E5">
        <w:tc>
          <w:tcPr>
            <w:tcW w:w="3325" w:type="dxa"/>
            <w:vAlign w:val="center"/>
          </w:tcPr>
          <w:p w14:paraId="2DFF4859" w14:textId="77777777" w:rsidR="00262D4C" w:rsidRDefault="00262D4C" w:rsidP="00C43087">
            <w:pPr>
              <w:spacing w:before="60" w:after="60"/>
              <w:rPr>
                <w:sz w:val="20"/>
              </w:rPr>
            </w:pPr>
            <w:r>
              <w:rPr>
                <w:sz w:val="20"/>
              </w:rPr>
              <w:t>HFC-449A</w:t>
            </w:r>
          </w:p>
        </w:tc>
        <w:tc>
          <w:tcPr>
            <w:tcW w:w="3213" w:type="dxa"/>
            <w:vAlign w:val="center"/>
          </w:tcPr>
          <w:p w14:paraId="358747D6" w14:textId="77777777" w:rsidR="00262D4C" w:rsidRDefault="00262D4C" w:rsidP="00C43087">
            <w:pPr>
              <w:spacing w:before="60" w:after="60"/>
              <w:jc w:val="center"/>
              <w:rPr>
                <w:sz w:val="20"/>
              </w:rPr>
            </w:pPr>
            <w:r>
              <w:rPr>
                <w:sz w:val="20"/>
              </w:rPr>
              <w:t>-</w:t>
            </w:r>
          </w:p>
        </w:tc>
        <w:tc>
          <w:tcPr>
            <w:tcW w:w="3213" w:type="dxa"/>
            <w:vAlign w:val="center"/>
          </w:tcPr>
          <w:p w14:paraId="21DBBDDA" w14:textId="77777777" w:rsidR="00262D4C" w:rsidRDefault="00262D4C" w:rsidP="00C43087">
            <w:pPr>
              <w:spacing w:before="60" w:after="60"/>
              <w:jc w:val="center"/>
              <w:rPr>
                <w:sz w:val="20"/>
              </w:rPr>
            </w:pPr>
            <w:r>
              <w:rPr>
                <w:sz w:val="20"/>
              </w:rPr>
              <w:t>1397</w:t>
            </w:r>
          </w:p>
        </w:tc>
      </w:tr>
      <w:tr w:rsidR="0039303E" w:rsidRPr="00AC6172" w14:paraId="0E0D0245" w14:textId="77777777" w:rsidTr="00CF19E5">
        <w:tc>
          <w:tcPr>
            <w:tcW w:w="3325" w:type="dxa"/>
            <w:vAlign w:val="center"/>
          </w:tcPr>
          <w:p w14:paraId="2C5C9CAD" w14:textId="241CD926" w:rsidR="0039303E" w:rsidRDefault="0039303E" w:rsidP="00C43087">
            <w:pPr>
              <w:spacing w:before="60" w:after="60"/>
              <w:rPr>
                <w:sz w:val="20"/>
              </w:rPr>
            </w:pPr>
            <w:r>
              <w:rPr>
                <w:sz w:val="20"/>
              </w:rPr>
              <w:t>HFC-452A</w:t>
            </w:r>
          </w:p>
        </w:tc>
        <w:tc>
          <w:tcPr>
            <w:tcW w:w="3213" w:type="dxa"/>
            <w:vAlign w:val="center"/>
          </w:tcPr>
          <w:p w14:paraId="77F366FF" w14:textId="09D4B791" w:rsidR="0039303E" w:rsidRDefault="0039303E" w:rsidP="00C43087">
            <w:pPr>
              <w:spacing w:before="60" w:after="60"/>
              <w:jc w:val="center"/>
              <w:rPr>
                <w:sz w:val="20"/>
              </w:rPr>
            </w:pPr>
            <w:r>
              <w:rPr>
                <w:sz w:val="20"/>
              </w:rPr>
              <w:t>-</w:t>
            </w:r>
          </w:p>
        </w:tc>
        <w:tc>
          <w:tcPr>
            <w:tcW w:w="3213" w:type="dxa"/>
            <w:vAlign w:val="center"/>
          </w:tcPr>
          <w:p w14:paraId="4FC32FC9" w14:textId="17013D9F" w:rsidR="0039303E" w:rsidRDefault="0039303E" w:rsidP="00C43087">
            <w:pPr>
              <w:spacing w:before="60" w:after="60"/>
              <w:jc w:val="center"/>
              <w:rPr>
                <w:sz w:val="20"/>
              </w:rPr>
            </w:pPr>
            <w:r>
              <w:rPr>
                <w:sz w:val="20"/>
              </w:rPr>
              <w:t>2141</w:t>
            </w:r>
          </w:p>
        </w:tc>
      </w:tr>
      <w:tr w:rsidR="00262D4C" w:rsidRPr="00AC6172" w14:paraId="6CDEC2DE" w14:textId="77777777" w:rsidTr="00CF19E5">
        <w:tc>
          <w:tcPr>
            <w:tcW w:w="3325" w:type="dxa"/>
            <w:vAlign w:val="center"/>
          </w:tcPr>
          <w:p w14:paraId="0BFC0843" w14:textId="77777777" w:rsidR="00262D4C" w:rsidRPr="00AC6172" w:rsidRDefault="00262D4C" w:rsidP="00C43087">
            <w:pPr>
              <w:spacing w:before="60" w:after="60"/>
              <w:rPr>
                <w:sz w:val="20"/>
              </w:rPr>
            </w:pPr>
            <w:r>
              <w:rPr>
                <w:sz w:val="20"/>
              </w:rPr>
              <w:t>HFC-507A</w:t>
            </w:r>
          </w:p>
        </w:tc>
        <w:tc>
          <w:tcPr>
            <w:tcW w:w="3213" w:type="dxa"/>
            <w:vAlign w:val="center"/>
          </w:tcPr>
          <w:p w14:paraId="5ED5982D" w14:textId="77777777" w:rsidR="00262D4C" w:rsidRPr="00AC6172" w:rsidRDefault="00262D4C" w:rsidP="00C43087">
            <w:pPr>
              <w:spacing w:before="60" w:after="60"/>
              <w:jc w:val="center"/>
              <w:rPr>
                <w:sz w:val="20"/>
              </w:rPr>
            </w:pPr>
            <w:r>
              <w:rPr>
                <w:sz w:val="20"/>
              </w:rPr>
              <w:t>3</w:t>
            </w:r>
            <w:r w:rsidRPr="001B5795">
              <w:rPr>
                <w:sz w:val="20"/>
              </w:rPr>
              <w:t>300</w:t>
            </w:r>
          </w:p>
        </w:tc>
        <w:tc>
          <w:tcPr>
            <w:tcW w:w="3213" w:type="dxa"/>
            <w:vAlign w:val="center"/>
          </w:tcPr>
          <w:p w14:paraId="433BEC23" w14:textId="77777777" w:rsidR="00262D4C" w:rsidRPr="00AC6172" w:rsidRDefault="00262D4C" w:rsidP="00C43087">
            <w:pPr>
              <w:spacing w:before="60" w:after="60"/>
              <w:jc w:val="center"/>
              <w:rPr>
                <w:sz w:val="20"/>
              </w:rPr>
            </w:pPr>
            <w:r>
              <w:rPr>
                <w:sz w:val="20"/>
              </w:rPr>
              <w:t>3</w:t>
            </w:r>
            <w:r w:rsidRPr="00C36D3D">
              <w:rPr>
                <w:sz w:val="20"/>
              </w:rPr>
              <w:t>985</w:t>
            </w:r>
          </w:p>
        </w:tc>
      </w:tr>
      <w:tr w:rsidR="00262D4C" w:rsidRPr="00AC6172" w14:paraId="12CB4154" w14:textId="77777777" w:rsidTr="00CF19E5">
        <w:tc>
          <w:tcPr>
            <w:tcW w:w="3325" w:type="dxa"/>
            <w:vAlign w:val="center"/>
          </w:tcPr>
          <w:p w14:paraId="38E6BBC8" w14:textId="77777777" w:rsidR="00262D4C" w:rsidRPr="00AC6172" w:rsidRDefault="00262D4C" w:rsidP="00C43087">
            <w:pPr>
              <w:spacing w:before="60" w:after="60"/>
              <w:rPr>
                <w:sz w:val="20"/>
              </w:rPr>
            </w:pPr>
            <w:r>
              <w:rPr>
                <w:sz w:val="20"/>
              </w:rPr>
              <w:t>HFC-513A</w:t>
            </w:r>
          </w:p>
        </w:tc>
        <w:tc>
          <w:tcPr>
            <w:tcW w:w="3213" w:type="dxa"/>
            <w:vAlign w:val="center"/>
          </w:tcPr>
          <w:p w14:paraId="06BEA853" w14:textId="77777777" w:rsidR="00262D4C" w:rsidRDefault="00262D4C" w:rsidP="00C43087">
            <w:pPr>
              <w:spacing w:before="60" w:after="60"/>
              <w:jc w:val="center"/>
              <w:rPr>
                <w:sz w:val="20"/>
              </w:rPr>
            </w:pPr>
            <w:r>
              <w:rPr>
                <w:sz w:val="20"/>
              </w:rPr>
              <w:t>-</w:t>
            </w:r>
          </w:p>
        </w:tc>
        <w:tc>
          <w:tcPr>
            <w:tcW w:w="3213" w:type="dxa"/>
            <w:vAlign w:val="center"/>
          </w:tcPr>
          <w:p w14:paraId="5B4C2243" w14:textId="77777777" w:rsidR="00262D4C" w:rsidRDefault="00262D4C" w:rsidP="00C43087">
            <w:pPr>
              <w:spacing w:before="60" w:after="60"/>
              <w:jc w:val="center"/>
              <w:rPr>
                <w:sz w:val="20"/>
              </w:rPr>
            </w:pPr>
            <w:r>
              <w:rPr>
                <w:sz w:val="20"/>
              </w:rPr>
              <w:t>631</w:t>
            </w:r>
          </w:p>
        </w:tc>
      </w:tr>
      <w:tr w:rsidR="00262D4C" w:rsidRPr="00AC6172" w14:paraId="0169E9C1" w14:textId="77777777" w:rsidTr="00CF19E5">
        <w:tc>
          <w:tcPr>
            <w:tcW w:w="3325" w:type="dxa"/>
            <w:vAlign w:val="center"/>
          </w:tcPr>
          <w:p w14:paraId="1A95F6F4" w14:textId="77777777" w:rsidR="00262D4C" w:rsidRPr="00AC6172" w:rsidRDefault="00262D4C" w:rsidP="00C43087">
            <w:pPr>
              <w:spacing w:before="60" w:after="60"/>
              <w:rPr>
                <w:sz w:val="20"/>
              </w:rPr>
            </w:pPr>
            <w:r w:rsidRPr="00AC6172">
              <w:rPr>
                <w:sz w:val="20"/>
              </w:rPr>
              <w:t>HFC-227ea</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vAlign w:val="center"/>
          </w:tcPr>
          <w:p w14:paraId="062FB467" w14:textId="77777777" w:rsidR="00262D4C" w:rsidRPr="00AC6172" w:rsidRDefault="00262D4C" w:rsidP="00C43087">
            <w:pPr>
              <w:spacing w:before="60" w:after="60"/>
              <w:jc w:val="center"/>
              <w:rPr>
                <w:sz w:val="20"/>
              </w:rPr>
            </w:pPr>
            <w:r>
              <w:rPr>
                <w:sz w:val="20"/>
              </w:rPr>
              <w:t>2</w:t>
            </w:r>
            <w:r w:rsidRPr="00AC6172">
              <w:rPr>
                <w:sz w:val="20"/>
              </w:rPr>
              <w:t>900</w:t>
            </w:r>
          </w:p>
        </w:tc>
        <w:tc>
          <w:tcPr>
            <w:tcW w:w="3213" w:type="dxa"/>
            <w:vAlign w:val="center"/>
          </w:tcPr>
          <w:p w14:paraId="6F288B03" w14:textId="77777777" w:rsidR="00262D4C" w:rsidRPr="00AC6172" w:rsidRDefault="00262D4C" w:rsidP="00C43087">
            <w:pPr>
              <w:spacing w:before="60" w:after="60"/>
              <w:jc w:val="center"/>
              <w:rPr>
                <w:sz w:val="20"/>
              </w:rPr>
            </w:pPr>
            <w:r>
              <w:rPr>
                <w:sz w:val="20"/>
              </w:rPr>
              <w:t>3</w:t>
            </w:r>
            <w:r w:rsidRPr="00AC6172">
              <w:rPr>
                <w:sz w:val="20"/>
              </w:rPr>
              <w:t>220</w:t>
            </w:r>
          </w:p>
        </w:tc>
      </w:tr>
      <w:tr w:rsidR="00262D4C" w:rsidRPr="00AC6172" w14:paraId="70937F47" w14:textId="77777777" w:rsidTr="00CF19E5">
        <w:tc>
          <w:tcPr>
            <w:tcW w:w="3325" w:type="dxa"/>
            <w:vAlign w:val="center"/>
          </w:tcPr>
          <w:p w14:paraId="573947BC" w14:textId="77777777" w:rsidR="00262D4C" w:rsidRPr="00AC6172" w:rsidRDefault="00262D4C" w:rsidP="00C43087">
            <w:pPr>
              <w:spacing w:before="60" w:after="60"/>
              <w:rPr>
                <w:sz w:val="20"/>
              </w:rPr>
            </w:pPr>
            <w:r w:rsidRPr="00AC6172">
              <w:rPr>
                <w:sz w:val="20"/>
              </w:rPr>
              <w:t>HFC-245fa</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vAlign w:val="center"/>
          </w:tcPr>
          <w:p w14:paraId="4B81E119"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50A54D4E" w14:textId="77777777" w:rsidR="00262D4C" w:rsidRPr="00AC6172" w:rsidRDefault="00262D4C" w:rsidP="00C43087">
            <w:pPr>
              <w:spacing w:before="60" w:after="60"/>
              <w:jc w:val="center"/>
              <w:rPr>
                <w:sz w:val="20"/>
              </w:rPr>
            </w:pPr>
            <w:r>
              <w:rPr>
                <w:sz w:val="20"/>
              </w:rPr>
              <w:t>1</w:t>
            </w:r>
            <w:r w:rsidRPr="00AC6172">
              <w:rPr>
                <w:sz w:val="20"/>
              </w:rPr>
              <w:t>030</w:t>
            </w:r>
          </w:p>
        </w:tc>
      </w:tr>
      <w:tr w:rsidR="00262D4C" w:rsidRPr="00AC6172" w14:paraId="1A8A962F" w14:textId="77777777" w:rsidTr="00CF19E5">
        <w:tc>
          <w:tcPr>
            <w:tcW w:w="3325" w:type="dxa"/>
            <w:tcBorders>
              <w:bottom w:val="single" w:sz="4" w:space="0" w:color="000000"/>
            </w:tcBorders>
            <w:vAlign w:val="center"/>
          </w:tcPr>
          <w:p w14:paraId="6586ADBE" w14:textId="77777777" w:rsidR="00262D4C" w:rsidRPr="00AC6172" w:rsidRDefault="00262D4C" w:rsidP="00C43087">
            <w:pPr>
              <w:spacing w:before="60" w:after="60"/>
              <w:rPr>
                <w:sz w:val="20"/>
              </w:rPr>
            </w:pPr>
            <w:r w:rsidRPr="00AC6172">
              <w:rPr>
                <w:sz w:val="20"/>
              </w:rPr>
              <w:t>HFC-365mfc</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tcBorders>
              <w:bottom w:val="single" w:sz="4" w:space="0" w:color="000000"/>
            </w:tcBorders>
            <w:vAlign w:val="center"/>
          </w:tcPr>
          <w:p w14:paraId="7AC4420A" w14:textId="77777777" w:rsidR="00262D4C" w:rsidRPr="00AC6172" w:rsidRDefault="00262D4C" w:rsidP="00C43087">
            <w:pPr>
              <w:spacing w:before="60" w:after="60"/>
              <w:jc w:val="center"/>
              <w:rPr>
                <w:sz w:val="20"/>
              </w:rPr>
            </w:pPr>
            <w:r w:rsidRPr="00AC6172">
              <w:rPr>
                <w:sz w:val="20"/>
              </w:rPr>
              <w:t>-</w:t>
            </w:r>
          </w:p>
        </w:tc>
        <w:tc>
          <w:tcPr>
            <w:tcW w:w="3213" w:type="dxa"/>
            <w:tcBorders>
              <w:bottom w:val="single" w:sz="4" w:space="0" w:color="000000"/>
            </w:tcBorders>
            <w:vAlign w:val="center"/>
          </w:tcPr>
          <w:p w14:paraId="562668AD" w14:textId="77777777" w:rsidR="00262D4C" w:rsidRPr="00AC6172" w:rsidRDefault="00262D4C" w:rsidP="00C43087">
            <w:pPr>
              <w:spacing w:before="60" w:after="60"/>
              <w:jc w:val="center"/>
              <w:rPr>
                <w:sz w:val="20"/>
              </w:rPr>
            </w:pPr>
            <w:r w:rsidRPr="00AC6172">
              <w:rPr>
                <w:sz w:val="20"/>
              </w:rPr>
              <w:t>794</w:t>
            </w:r>
          </w:p>
        </w:tc>
      </w:tr>
      <w:tr w:rsidR="00262D4C" w:rsidRPr="00AC6172" w14:paraId="70C7E220" w14:textId="77777777" w:rsidTr="00CF19E5">
        <w:tc>
          <w:tcPr>
            <w:tcW w:w="9751" w:type="dxa"/>
            <w:gridSpan w:val="3"/>
            <w:shd w:val="clear" w:color="auto" w:fill="CCFFFF"/>
            <w:vAlign w:val="center"/>
          </w:tcPr>
          <w:p w14:paraId="51B03AAD" w14:textId="77777777" w:rsidR="00262D4C" w:rsidRPr="00AC6172" w:rsidRDefault="00262D4C" w:rsidP="00C43087">
            <w:pPr>
              <w:spacing w:before="60" w:after="60"/>
              <w:rPr>
                <w:sz w:val="20"/>
              </w:rPr>
            </w:pPr>
            <w:r w:rsidRPr="00AC6172">
              <w:rPr>
                <w:sz w:val="20"/>
              </w:rPr>
              <w:t>Low</w:t>
            </w:r>
            <w:r>
              <w:rPr>
                <w:sz w:val="20"/>
              </w:rPr>
              <w:t>er</w:t>
            </w:r>
            <w:r w:rsidRPr="00AC6172">
              <w:rPr>
                <w:sz w:val="20"/>
              </w:rPr>
              <w:t xml:space="preserve"> </w:t>
            </w:r>
            <w:r>
              <w:rPr>
                <w:sz w:val="20"/>
              </w:rPr>
              <w:t xml:space="preserve">or nil </w:t>
            </w:r>
            <w:r w:rsidRPr="00AC6172">
              <w:rPr>
                <w:sz w:val="20"/>
              </w:rPr>
              <w:t>GWP alternatives</w:t>
            </w:r>
            <w:r>
              <w:rPr>
                <w:sz w:val="20"/>
              </w:rPr>
              <w:t xml:space="preserve"> </w:t>
            </w:r>
          </w:p>
        </w:tc>
      </w:tr>
      <w:tr w:rsidR="00262D4C" w:rsidRPr="00AC6172" w14:paraId="4CD506E1" w14:textId="77777777" w:rsidTr="00CF19E5">
        <w:tc>
          <w:tcPr>
            <w:tcW w:w="3325" w:type="dxa"/>
            <w:vAlign w:val="center"/>
          </w:tcPr>
          <w:p w14:paraId="3F3AD951" w14:textId="77777777" w:rsidR="00262D4C" w:rsidRPr="00AC6172" w:rsidRDefault="00262D4C" w:rsidP="00C43087">
            <w:pPr>
              <w:spacing w:before="60" w:after="60"/>
              <w:rPr>
                <w:sz w:val="20"/>
              </w:rPr>
            </w:pPr>
            <w:r w:rsidRPr="00AC6172">
              <w:rPr>
                <w:sz w:val="20"/>
              </w:rPr>
              <w:t>HC-600a</w:t>
            </w:r>
            <w:r>
              <w:rPr>
                <w:sz w:val="20"/>
              </w:rPr>
              <w:t xml:space="preserve"> </w:t>
            </w:r>
            <w:r w:rsidRPr="00690A68">
              <w:rPr>
                <w:sz w:val="20"/>
                <w:szCs w:val="20"/>
                <w:vertAlign w:val="superscript"/>
              </w:rPr>
              <w:t>(</w:t>
            </w:r>
            <w:r>
              <w:rPr>
                <w:sz w:val="20"/>
                <w:szCs w:val="20"/>
                <w:vertAlign w:val="superscript"/>
              </w:rPr>
              <w:t>4</w:t>
            </w:r>
            <w:r w:rsidRPr="00690A68">
              <w:rPr>
                <w:sz w:val="20"/>
                <w:szCs w:val="20"/>
                <w:vertAlign w:val="superscript"/>
              </w:rPr>
              <w:t>)</w:t>
            </w:r>
          </w:p>
        </w:tc>
        <w:tc>
          <w:tcPr>
            <w:tcW w:w="3213" w:type="dxa"/>
            <w:vAlign w:val="center"/>
          </w:tcPr>
          <w:p w14:paraId="4FAFBD49"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23FD7097" w14:textId="77777777" w:rsidR="00262D4C" w:rsidRPr="00AC6172" w:rsidRDefault="00262D4C" w:rsidP="00C43087">
            <w:pPr>
              <w:spacing w:before="60" w:after="60"/>
              <w:jc w:val="center"/>
              <w:rPr>
                <w:sz w:val="20"/>
              </w:rPr>
            </w:pPr>
            <w:r w:rsidRPr="00AC6172">
              <w:rPr>
                <w:sz w:val="20"/>
              </w:rPr>
              <w:t>3</w:t>
            </w:r>
          </w:p>
        </w:tc>
      </w:tr>
      <w:tr w:rsidR="00262D4C" w:rsidRPr="00AC6172" w14:paraId="1D77A5CA" w14:textId="77777777" w:rsidTr="00CF19E5">
        <w:tc>
          <w:tcPr>
            <w:tcW w:w="3325" w:type="dxa"/>
            <w:vAlign w:val="center"/>
          </w:tcPr>
          <w:p w14:paraId="2375BE28" w14:textId="77777777" w:rsidR="00262D4C" w:rsidRPr="00AC6172" w:rsidRDefault="00262D4C" w:rsidP="00C43087">
            <w:pPr>
              <w:spacing w:before="60" w:after="60"/>
              <w:rPr>
                <w:sz w:val="20"/>
              </w:rPr>
            </w:pPr>
            <w:r w:rsidRPr="00AC6172">
              <w:rPr>
                <w:sz w:val="20"/>
              </w:rPr>
              <w:t>HC-290</w:t>
            </w:r>
          </w:p>
        </w:tc>
        <w:tc>
          <w:tcPr>
            <w:tcW w:w="3213" w:type="dxa"/>
            <w:vAlign w:val="center"/>
          </w:tcPr>
          <w:p w14:paraId="770CC4E4"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3FEA6028" w14:textId="77777777" w:rsidR="00262D4C" w:rsidRPr="00AC6172" w:rsidRDefault="00262D4C" w:rsidP="00C43087">
            <w:pPr>
              <w:spacing w:before="60" w:after="60"/>
              <w:jc w:val="center"/>
              <w:rPr>
                <w:sz w:val="20"/>
              </w:rPr>
            </w:pPr>
            <w:r w:rsidRPr="00AC6172">
              <w:rPr>
                <w:sz w:val="20"/>
              </w:rPr>
              <w:t>3</w:t>
            </w:r>
          </w:p>
        </w:tc>
      </w:tr>
      <w:tr w:rsidR="00262D4C" w:rsidRPr="00AC6172" w14:paraId="11CF69C0" w14:textId="77777777" w:rsidTr="00CF19E5">
        <w:tc>
          <w:tcPr>
            <w:tcW w:w="3325" w:type="dxa"/>
            <w:vAlign w:val="center"/>
          </w:tcPr>
          <w:p w14:paraId="12200642" w14:textId="77777777" w:rsidR="00262D4C" w:rsidRPr="00AC6172" w:rsidRDefault="00262D4C" w:rsidP="00C43087">
            <w:pPr>
              <w:spacing w:before="60" w:after="60"/>
              <w:rPr>
                <w:sz w:val="20"/>
              </w:rPr>
            </w:pPr>
            <w:r w:rsidRPr="00AC6172">
              <w:rPr>
                <w:sz w:val="20"/>
              </w:rPr>
              <w:t>CO</w:t>
            </w:r>
            <w:r w:rsidRPr="008C5E3F">
              <w:rPr>
                <w:sz w:val="20"/>
                <w:vertAlign w:val="subscript"/>
              </w:rPr>
              <w:t>2</w:t>
            </w:r>
            <w:r w:rsidRPr="00AC6172">
              <w:rPr>
                <w:sz w:val="20"/>
              </w:rPr>
              <w:t xml:space="preserve"> (R744)</w:t>
            </w:r>
          </w:p>
        </w:tc>
        <w:tc>
          <w:tcPr>
            <w:tcW w:w="3213" w:type="dxa"/>
            <w:vAlign w:val="center"/>
          </w:tcPr>
          <w:p w14:paraId="719CDD94"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29ED5B2C" w14:textId="77777777" w:rsidR="00262D4C" w:rsidRPr="00AC6172" w:rsidRDefault="00262D4C" w:rsidP="00C43087">
            <w:pPr>
              <w:spacing w:before="60" w:after="60"/>
              <w:jc w:val="center"/>
              <w:rPr>
                <w:sz w:val="20"/>
              </w:rPr>
            </w:pPr>
            <w:r w:rsidRPr="00AC6172">
              <w:rPr>
                <w:sz w:val="20"/>
              </w:rPr>
              <w:t>1</w:t>
            </w:r>
          </w:p>
        </w:tc>
      </w:tr>
      <w:tr w:rsidR="00262D4C" w:rsidRPr="00AC6172" w14:paraId="79EE424E" w14:textId="77777777" w:rsidTr="00CF19E5">
        <w:tc>
          <w:tcPr>
            <w:tcW w:w="3325" w:type="dxa"/>
            <w:vAlign w:val="center"/>
          </w:tcPr>
          <w:p w14:paraId="5D189828" w14:textId="77777777" w:rsidR="00262D4C" w:rsidRPr="00AC6172" w:rsidRDefault="00262D4C" w:rsidP="00C43087">
            <w:pPr>
              <w:spacing w:before="60" w:after="60"/>
              <w:rPr>
                <w:sz w:val="20"/>
              </w:rPr>
            </w:pPr>
            <w:r w:rsidRPr="00AC6172">
              <w:rPr>
                <w:sz w:val="20"/>
              </w:rPr>
              <w:t>Ammonia (R717)</w:t>
            </w:r>
          </w:p>
        </w:tc>
        <w:tc>
          <w:tcPr>
            <w:tcW w:w="3213" w:type="dxa"/>
            <w:vAlign w:val="center"/>
          </w:tcPr>
          <w:p w14:paraId="13921338"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65F81944" w14:textId="77777777" w:rsidR="00262D4C" w:rsidRPr="00AC6172" w:rsidRDefault="00262D4C" w:rsidP="00C43087">
            <w:pPr>
              <w:spacing w:before="60" w:after="60"/>
              <w:jc w:val="center"/>
              <w:rPr>
                <w:sz w:val="20"/>
              </w:rPr>
            </w:pPr>
            <w:r w:rsidRPr="00AC6172">
              <w:rPr>
                <w:sz w:val="20"/>
              </w:rPr>
              <w:t>0</w:t>
            </w:r>
          </w:p>
        </w:tc>
      </w:tr>
      <w:tr w:rsidR="00262D4C" w:rsidRPr="00AC6172" w14:paraId="19602B53" w14:textId="77777777" w:rsidTr="00CF19E5">
        <w:tc>
          <w:tcPr>
            <w:tcW w:w="3325" w:type="dxa"/>
            <w:vAlign w:val="center"/>
          </w:tcPr>
          <w:p w14:paraId="4472AD29" w14:textId="77777777" w:rsidR="00262D4C" w:rsidRPr="00AC6172" w:rsidRDefault="00262D4C" w:rsidP="00C43087">
            <w:pPr>
              <w:spacing w:before="60" w:after="60"/>
              <w:rPr>
                <w:sz w:val="20"/>
              </w:rPr>
            </w:pPr>
            <w:r w:rsidRPr="00AC6172">
              <w:rPr>
                <w:sz w:val="20"/>
              </w:rPr>
              <w:t>HFO-1234yf</w:t>
            </w:r>
            <w:r>
              <w:rPr>
                <w:sz w:val="20"/>
              </w:rPr>
              <w:t xml:space="preserve"> </w:t>
            </w:r>
            <w:r w:rsidRPr="00690A68">
              <w:rPr>
                <w:sz w:val="20"/>
                <w:szCs w:val="20"/>
                <w:vertAlign w:val="superscript"/>
              </w:rPr>
              <w:t>(</w:t>
            </w:r>
            <w:r>
              <w:rPr>
                <w:sz w:val="20"/>
                <w:szCs w:val="20"/>
                <w:vertAlign w:val="superscript"/>
              </w:rPr>
              <w:t>5</w:t>
            </w:r>
            <w:r w:rsidRPr="00690A68">
              <w:rPr>
                <w:sz w:val="20"/>
                <w:szCs w:val="20"/>
                <w:vertAlign w:val="superscript"/>
              </w:rPr>
              <w:t>)</w:t>
            </w:r>
          </w:p>
        </w:tc>
        <w:tc>
          <w:tcPr>
            <w:tcW w:w="3213" w:type="dxa"/>
            <w:vAlign w:val="center"/>
          </w:tcPr>
          <w:p w14:paraId="7E69DD6D"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3E608F24" w14:textId="44FF7A02" w:rsidR="00262D4C" w:rsidRPr="00AC6172" w:rsidRDefault="008B4A26" w:rsidP="00C43087">
            <w:pPr>
              <w:spacing w:before="60" w:after="60"/>
              <w:jc w:val="center"/>
              <w:rPr>
                <w:sz w:val="20"/>
              </w:rPr>
            </w:pPr>
            <w:r>
              <w:rPr>
                <w:sz w:val="20"/>
              </w:rPr>
              <w:t>5</w:t>
            </w:r>
          </w:p>
        </w:tc>
      </w:tr>
      <w:tr w:rsidR="00262D4C" w:rsidRPr="00AC6172" w14:paraId="7F889414" w14:textId="77777777" w:rsidTr="00CF19E5">
        <w:tc>
          <w:tcPr>
            <w:tcW w:w="3325" w:type="dxa"/>
            <w:vAlign w:val="center"/>
          </w:tcPr>
          <w:p w14:paraId="196AE16D" w14:textId="77777777" w:rsidR="00262D4C" w:rsidRPr="00AC6172" w:rsidRDefault="00262D4C" w:rsidP="00C43087">
            <w:pPr>
              <w:spacing w:before="60" w:after="60"/>
              <w:rPr>
                <w:sz w:val="20"/>
              </w:rPr>
            </w:pPr>
            <w:r w:rsidRPr="00AC6172">
              <w:rPr>
                <w:sz w:val="20"/>
              </w:rPr>
              <w:t>HFO-1234ze</w:t>
            </w:r>
            <w:r>
              <w:rPr>
                <w:sz w:val="20"/>
              </w:rPr>
              <w:t>(E)</w:t>
            </w:r>
          </w:p>
        </w:tc>
        <w:tc>
          <w:tcPr>
            <w:tcW w:w="3213" w:type="dxa"/>
            <w:vAlign w:val="center"/>
          </w:tcPr>
          <w:p w14:paraId="3456D702" w14:textId="77777777" w:rsidR="00262D4C" w:rsidRPr="00AC6172" w:rsidRDefault="00262D4C" w:rsidP="00C43087">
            <w:pPr>
              <w:spacing w:before="60" w:after="60"/>
              <w:jc w:val="center"/>
              <w:rPr>
                <w:sz w:val="20"/>
              </w:rPr>
            </w:pPr>
            <w:r w:rsidRPr="00AC6172">
              <w:rPr>
                <w:sz w:val="20"/>
              </w:rPr>
              <w:t>-</w:t>
            </w:r>
          </w:p>
        </w:tc>
        <w:tc>
          <w:tcPr>
            <w:tcW w:w="3213" w:type="dxa"/>
            <w:vAlign w:val="center"/>
          </w:tcPr>
          <w:p w14:paraId="02833B5A" w14:textId="15846869" w:rsidR="00262D4C" w:rsidRPr="00AC6172" w:rsidRDefault="00821034" w:rsidP="00C43087">
            <w:pPr>
              <w:spacing w:before="60" w:after="60"/>
              <w:jc w:val="center"/>
              <w:rPr>
                <w:sz w:val="20"/>
              </w:rPr>
            </w:pPr>
            <w:r>
              <w:rPr>
                <w:sz w:val="20"/>
              </w:rPr>
              <w:t>5</w:t>
            </w:r>
          </w:p>
        </w:tc>
      </w:tr>
      <w:tr w:rsidR="00262D4C" w:rsidRPr="00AC6172" w14:paraId="2A23D956" w14:textId="77777777" w:rsidTr="00CF19E5">
        <w:tc>
          <w:tcPr>
            <w:tcW w:w="3325" w:type="dxa"/>
            <w:vAlign w:val="center"/>
          </w:tcPr>
          <w:p w14:paraId="35A5BFCD" w14:textId="77777777" w:rsidR="00262D4C" w:rsidRPr="00AC6172" w:rsidRDefault="00262D4C" w:rsidP="00C43087">
            <w:pPr>
              <w:spacing w:before="60" w:after="60"/>
              <w:rPr>
                <w:sz w:val="20"/>
              </w:rPr>
            </w:pPr>
            <w:r w:rsidRPr="001D1740">
              <w:rPr>
                <w:sz w:val="20"/>
              </w:rPr>
              <w:t>HFO-1233zd</w:t>
            </w:r>
          </w:p>
        </w:tc>
        <w:tc>
          <w:tcPr>
            <w:tcW w:w="3213" w:type="dxa"/>
            <w:vAlign w:val="center"/>
          </w:tcPr>
          <w:p w14:paraId="32BBE1AE" w14:textId="77777777" w:rsidR="00262D4C" w:rsidRPr="00AC6172" w:rsidRDefault="00262D4C" w:rsidP="00C43087">
            <w:pPr>
              <w:spacing w:before="60" w:after="60"/>
              <w:jc w:val="center"/>
              <w:rPr>
                <w:sz w:val="20"/>
              </w:rPr>
            </w:pPr>
            <w:r>
              <w:rPr>
                <w:sz w:val="20"/>
              </w:rPr>
              <w:t>-</w:t>
            </w:r>
          </w:p>
        </w:tc>
        <w:tc>
          <w:tcPr>
            <w:tcW w:w="3213" w:type="dxa"/>
            <w:vAlign w:val="center"/>
          </w:tcPr>
          <w:p w14:paraId="6CCDB19E" w14:textId="31EC4FFE" w:rsidR="00262D4C" w:rsidRPr="00AC6172" w:rsidRDefault="00821034" w:rsidP="00C43087">
            <w:pPr>
              <w:spacing w:before="60" w:after="60"/>
              <w:jc w:val="center"/>
              <w:rPr>
                <w:sz w:val="20"/>
              </w:rPr>
            </w:pPr>
            <w:r>
              <w:rPr>
                <w:sz w:val="20"/>
              </w:rPr>
              <w:t>5</w:t>
            </w:r>
          </w:p>
        </w:tc>
      </w:tr>
      <w:tr w:rsidR="00262D4C" w:rsidRPr="00AC6172" w14:paraId="161EA4CC" w14:textId="77777777" w:rsidTr="00CF19E5">
        <w:tc>
          <w:tcPr>
            <w:tcW w:w="3325" w:type="dxa"/>
            <w:vAlign w:val="center"/>
          </w:tcPr>
          <w:p w14:paraId="3C55711D" w14:textId="77777777" w:rsidR="00262D4C" w:rsidRPr="00AC6172" w:rsidRDefault="00262D4C" w:rsidP="00C43087">
            <w:pPr>
              <w:spacing w:before="60" w:after="60"/>
              <w:rPr>
                <w:sz w:val="20"/>
              </w:rPr>
            </w:pPr>
            <w:r w:rsidRPr="00AC6172">
              <w:rPr>
                <w:sz w:val="20"/>
              </w:rPr>
              <w:t>HFC-152a</w:t>
            </w:r>
          </w:p>
        </w:tc>
        <w:tc>
          <w:tcPr>
            <w:tcW w:w="3213" w:type="dxa"/>
            <w:vAlign w:val="center"/>
          </w:tcPr>
          <w:p w14:paraId="34E13A35" w14:textId="77777777" w:rsidR="00262D4C" w:rsidRPr="00AC6172" w:rsidRDefault="00262D4C" w:rsidP="00C43087">
            <w:pPr>
              <w:spacing w:before="60" w:after="60"/>
              <w:jc w:val="center"/>
              <w:rPr>
                <w:sz w:val="20"/>
              </w:rPr>
            </w:pPr>
            <w:r w:rsidRPr="00AC6172">
              <w:rPr>
                <w:sz w:val="20"/>
              </w:rPr>
              <w:t>140</w:t>
            </w:r>
          </w:p>
        </w:tc>
        <w:tc>
          <w:tcPr>
            <w:tcW w:w="3213" w:type="dxa"/>
            <w:vAlign w:val="center"/>
          </w:tcPr>
          <w:p w14:paraId="3F82C078" w14:textId="77777777" w:rsidR="00262D4C" w:rsidRPr="00AC6172" w:rsidRDefault="00262D4C" w:rsidP="00C43087">
            <w:pPr>
              <w:spacing w:before="60" w:after="60"/>
              <w:jc w:val="center"/>
              <w:rPr>
                <w:sz w:val="20"/>
              </w:rPr>
            </w:pPr>
            <w:r w:rsidRPr="00AC6172">
              <w:rPr>
                <w:sz w:val="20"/>
              </w:rPr>
              <w:t>124</w:t>
            </w:r>
          </w:p>
        </w:tc>
      </w:tr>
      <w:tr w:rsidR="00262D4C" w:rsidRPr="00AC6172" w14:paraId="19986DF7" w14:textId="77777777" w:rsidTr="00CF19E5">
        <w:tc>
          <w:tcPr>
            <w:tcW w:w="3325" w:type="dxa"/>
            <w:vAlign w:val="center"/>
          </w:tcPr>
          <w:p w14:paraId="30A4DA7C" w14:textId="77777777" w:rsidR="00262D4C" w:rsidRPr="00AC6172" w:rsidRDefault="00262D4C" w:rsidP="00C43087">
            <w:pPr>
              <w:spacing w:before="60" w:after="60"/>
              <w:rPr>
                <w:sz w:val="20"/>
              </w:rPr>
            </w:pPr>
            <w:r>
              <w:rPr>
                <w:sz w:val="20"/>
              </w:rPr>
              <w:t>HFC-32</w:t>
            </w:r>
          </w:p>
        </w:tc>
        <w:tc>
          <w:tcPr>
            <w:tcW w:w="3213" w:type="dxa"/>
            <w:vAlign w:val="center"/>
          </w:tcPr>
          <w:p w14:paraId="3F5E9F9D" w14:textId="77777777" w:rsidR="00262D4C" w:rsidRPr="00AC6172" w:rsidRDefault="00262D4C" w:rsidP="00C43087">
            <w:pPr>
              <w:spacing w:before="60" w:after="60"/>
              <w:jc w:val="center"/>
              <w:rPr>
                <w:sz w:val="20"/>
              </w:rPr>
            </w:pPr>
            <w:r>
              <w:rPr>
                <w:sz w:val="20"/>
              </w:rPr>
              <w:t>650</w:t>
            </w:r>
          </w:p>
        </w:tc>
        <w:tc>
          <w:tcPr>
            <w:tcW w:w="3213" w:type="dxa"/>
            <w:vAlign w:val="center"/>
          </w:tcPr>
          <w:p w14:paraId="2C1E1856" w14:textId="77777777" w:rsidR="00262D4C" w:rsidRPr="00AC6172" w:rsidRDefault="00262D4C" w:rsidP="00C43087">
            <w:pPr>
              <w:spacing w:before="60" w:after="60"/>
              <w:jc w:val="center"/>
              <w:rPr>
                <w:sz w:val="20"/>
              </w:rPr>
            </w:pPr>
            <w:r>
              <w:rPr>
                <w:sz w:val="20"/>
              </w:rPr>
              <w:t>675</w:t>
            </w:r>
          </w:p>
        </w:tc>
      </w:tr>
    </w:tbl>
    <w:p w14:paraId="07BF6497" w14:textId="77777777" w:rsidR="00262D4C" w:rsidRPr="005169C2"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5169C2">
        <w:rPr>
          <w:rFonts w:ascii="Times New Roman" w:hAnsi="Times New Roman"/>
          <w:sz w:val="20"/>
          <w:szCs w:val="20"/>
        </w:rPr>
        <w:t>No longer in common use, banned in 1996. GWP values of blends such as HFC-404A and others are calculated based on the mass composition of substances listed in the IPCC assessment reports.</w:t>
      </w:r>
    </w:p>
    <w:p w14:paraId="5482AFC0" w14:textId="11B897F1" w:rsidR="00262D4C" w:rsidRPr="005169C2"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5169C2">
        <w:rPr>
          <w:rFonts w:ascii="Times New Roman" w:hAnsi="Times New Roman"/>
          <w:sz w:val="20"/>
          <w:szCs w:val="20"/>
        </w:rPr>
        <w:t>All references</w:t>
      </w:r>
      <w:r w:rsidR="00FE4B1F">
        <w:rPr>
          <w:rFonts w:ascii="Times New Roman" w:hAnsi="Times New Roman"/>
          <w:sz w:val="20"/>
          <w:szCs w:val="20"/>
        </w:rPr>
        <w:t xml:space="preserve"> </w:t>
      </w:r>
      <w:r w:rsidRPr="005169C2">
        <w:rPr>
          <w:rFonts w:ascii="Times New Roman" w:hAnsi="Times New Roman"/>
          <w:sz w:val="20"/>
          <w:szCs w:val="20"/>
        </w:rPr>
        <w:t xml:space="preserve">to HFC-404A </w:t>
      </w:r>
      <w:r w:rsidR="00FE4B1F">
        <w:rPr>
          <w:rFonts w:ascii="Times New Roman" w:hAnsi="Times New Roman"/>
          <w:sz w:val="20"/>
          <w:szCs w:val="20"/>
        </w:rPr>
        <w:t xml:space="preserve">throughout the report </w:t>
      </w:r>
      <w:r w:rsidRPr="005169C2">
        <w:rPr>
          <w:rFonts w:ascii="Times New Roman" w:hAnsi="Times New Roman"/>
          <w:sz w:val="20"/>
          <w:szCs w:val="20"/>
        </w:rPr>
        <w:t>include both HFC-404A with a chemical composition of HFC-125/143a/134a (44.0/52.0/4.0) and HFC-507A with a chemical composition of HFC-125/143a (50.0/50.0) as they are very similar in mass composition and service the same applications.</w:t>
      </w:r>
    </w:p>
    <w:p w14:paraId="349D29C0" w14:textId="77777777" w:rsidR="00262D4C"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5169C2">
        <w:rPr>
          <w:rFonts w:ascii="Times New Roman" w:hAnsi="Times New Roman"/>
          <w:sz w:val="20"/>
          <w:szCs w:val="20"/>
        </w:rPr>
        <w:t>Not used as refrigerant in RAC applications, substances used for foam blowing applications, fire protection and as solvents.</w:t>
      </w:r>
    </w:p>
    <w:p w14:paraId="0C576BCB" w14:textId="77777777" w:rsidR="00262D4C" w:rsidRPr="005169C2"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5169C2">
        <w:rPr>
          <w:rFonts w:ascii="Times New Roman" w:hAnsi="Times New Roman"/>
          <w:sz w:val="20"/>
          <w:szCs w:val="20"/>
        </w:rPr>
        <w:t>HC-600a and HC-290 are not published in the AR2 or AR4.</w:t>
      </w:r>
    </w:p>
    <w:p w14:paraId="10CEF156" w14:textId="77777777" w:rsidR="00262D4C" w:rsidRPr="00240361"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240361">
        <w:rPr>
          <w:rFonts w:ascii="Times New Roman" w:hAnsi="Times New Roman"/>
          <w:sz w:val="20"/>
          <w:szCs w:val="20"/>
        </w:rPr>
        <w:t xml:space="preserve">These are new substances and were not reviewed, included or published in the IPCC, Fourth Assessment Report published in 2007. The GWP values of HFO substances are those cited by </w:t>
      </w:r>
      <w:r>
        <w:rPr>
          <w:rFonts w:ascii="Times New Roman" w:hAnsi="Times New Roman"/>
          <w:sz w:val="20"/>
          <w:szCs w:val="20"/>
        </w:rPr>
        <w:t>the manufacturers</w:t>
      </w:r>
      <w:r w:rsidRPr="00240361">
        <w:rPr>
          <w:rFonts w:ascii="Times New Roman" w:hAnsi="Times New Roman"/>
          <w:sz w:val="20"/>
          <w:szCs w:val="20"/>
        </w:rPr>
        <w:t xml:space="preserve"> as based on AR4. The GWPs of HFOs has recently re-evaluated by the UN with HFO-1233zd and HFO-1234ze with a GWP of 1; and HFO-1234yf with a GWP of less than 1. This report uses previous cited values to maintain consistency. The ASHRAE refrigerant mass chemical compositions are used to calculate the GWP values of these blends. </w:t>
      </w:r>
    </w:p>
    <w:p w14:paraId="6E0D389F" w14:textId="3DB45654" w:rsidR="00262D4C" w:rsidRPr="00240361"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D45918">
        <w:rPr>
          <w:rFonts w:ascii="Times New Roman" w:hAnsi="Times New Roman"/>
          <w:i/>
          <w:sz w:val="20"/>
          <w:szCs w:val="20"/>
        </w:rPr>
        <w:t xml:space="preserve">Table </w:t>
      </w:r>
      <w:r w:rsidR="00784A3F">
        <w:rPr>
          <w:rFonts w:ascii="Times New Roman" w:hAnsi="Times New Roman"/>
          <w:i/>
          <w:sz w:val="20"/>
          <w:szCs w:val="20"/>
        </w:rPr>
        <w:t>40</w:t>
      </w:r>
      <w:r>
        <w:rPr>
          <w:rFonts w:ascii="Times New Roman" w:hAnsi="Times New Roman"/>
          <w:sz w:val="20"/>
          <w:szCs w:val="20"/>
        </w:rPr>
        <w:t xml:space="preserve"> </w:t>
      </w:r>
      <w:r w:rsidRPr="00240361">
        <w:rPr>
          <w:rFonts w:ascii="Times New Roman" w:hAnsi="Times New Roman"/>
          <w:sz w:val="20"/>
          <w:szCs w:val="20"/>
        </w:rPr>
        <w:t>provides the refrigerant mass composition of common blends used in Australia.</w:t>
      </w:r>
    </w:p>
    <w:p w14:paraId="0C421770" w14:textId="77777777" w:rsidR="00262D4C" w:rsidRPr="00240361" w:rsidRDefault="00262D4C" w:rsidP="00262D4C">
      <w:pPr>
        <w:spacing w:before="60"/>
        <w:rPr>
          <w:sz w:val="20"/>
          <w:szCs w:val="20"/>
        </w:rPr>
      </w:pPr>
    </w:p>
    <w:p w14:paraId="5E89D7E9" w14:textId="77777777" w:rsidR="00262D4C" w:rsidRDefault="00262D4C" w:rsidP="00262D4C">
      <w:pPr>
        <w:spacing w:before="0"/>
        <w:jc w:val="left"/>
        <w:rPr>
          <w:i/>
          <w:szCs w:val="22"/>
        </w:rPr>
      </w:pPr>
      <w:r>
        <w:rPr>
          <w:i/>
          <w:szCs w:val="22"/>
        </w:rPr>
        <w:br w:type="page"/>
      </w:r>
    </w:p>
    <w:p w14:paraId="692CF6A2" w14:textId="554F8DC2" w:rsidR="00262D4C" w:rsidRPr="00784A3F" w:rsidRDefault="00784A3F" w:rsidP="00784A3F">
      <w:pPr>
        <w:pStyle w:val="Caption"/>
        <w:keepNext/>
        <w:rPr>
          <w:szCs w:val="22"/>
        </w:rPr>
      </w:pPr>
      <w:bookmarkStart w:id="217" w:name="_Toc525141429"/>
      <w:r w:rsidRPr="00784A3F">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40</w:t>
      </w:r>
      <w:r w:rsidR="009D6843">
        <w:rPr>
          <w:noProof/>
        </w:rPr>
        <w:fldChar w:fldCharType="end"/>
      </w:r>
      <w:r w:rsidRPr="00784A3F">
        <w:t>: A</w:t>
      </w:r>
      <w:r w:rsidR="00262D4C" w:rsidRPr="00784A3F">
        <w:rPr>
          <w:szCs w:val="22"/>
        </w:rPr>
        <w:t>SHRAE Refrigerant designation and refrigerant mass composition of common blends used in Australia.</w:t>
      </w:r>
      <w:bookmarkEnd w:id="217"/>
    </w:p>
    <w:tbl>
      <w:tblPr>
        <w:tblW w:w="975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11"/>
        <w:gridCol w:w="5945"/>
      </w:tblGrid>
      <w:tr w:rsidR="00262D4C" w:rsidRPr="00923150" w14:paraId="70F747D3" w14:textId="77777777" w:rsidTr="00CF19E5">
        <w:trPr>
          <w:trHeight w:val="684"/>
        </w:trPr>
        <w:tc>
          <w:tcPr>
            <w:tcW w:w="3811" w:type="dxa"/>
            <w:tcBorders>
              <w:top w:val="single" w:sz="8" w:space="0" w:color="auto"/>
              <w:left w:val="single" w:sz="8" w:space="0" w:color="auto"/>
              <w:bottom w:val="single" w:sz="4" w:space="0" w:color="000000"/>
              <w:right w:val="single" w:sz="4" w:space="0" w:color="FFFFFF"/>
            </w:tcBorders>
            <w:shd w:val="clear" w:color="auto" w:fill="000000"/>
            <w:vAlign w:val="center"/>
          </w:tcPr>
          <w:p w14:paraId="7CFEA1C1" w14:textId="77777777" w:rsidR="00262D4C" w:rsidRPr="00923150" w:rsidRDefault="00262D4C" w:rsidP="00C43087">
            <w:pPr>
              <w:spacing w:after="120"/>
              <w:ind w:left="34"/>
              <w:jc w:val="left"/>
            </w:pPr>
            <w:r w:rsidRPr="00925DF3">
              <w:t>ASHRAE Refrigerant designation</w:t>
            </w:r>
          </w:p>
        </w:tc>
        <w:tc>
          <w:tcPr>
            <w:tcW w:w="5945" w:type="dxa"/>
            <w:tcBorders>
              <w:top w:val="single" w:sz="8" w:space="0" w:color="auto"/>
              <w:left w:val="single" w:sz="4" w:space="0" w:color="FFFFFF"/>
              <w:bottom w:val="single" w:sz="4" w:space="0" w:color="000000"/>
              <w:right w:val="single" w:sz="8" w:space="0" w:color="auto"/>
            </w:tcBorders>
            <w:shd w:val="clear" w:color="auto" w:fill="000000"/>
            <w:vAlign w:val="center"/>
          </w:tcPr>
          <w:p w14:paraId="4F906173" w14:textId="77777777" w:rsidR="00262D4C" w:rsidRPr="00923150" w:rsidRDefault="00262D4C" w:rsidP="00C43087">
            <w:pPr>
              <w:spacing w:after="120"/>
              <w:jc w:val="center"/>
            </w:pPr>
            <w:r w:rsidRPr="00F52619">
              <w:t xml:space="preserve">Refrigerant </w:t>
            </w:r>
            <w:r>
              <w:t>composition (Mass %)</w:t>
            </w:r>
          </w:p>
        </w:tc>
      </w:tr>
      <w:tr w:rsidR="00262D4C" w:rsidRPr="00923150" w14:paraId="524980D2" w14:textId="77777777" w:rsidTr="00CF19E5">
        <w:trPr>
          <w:trHeight w:val="456"/>
        </w:trPr>
        <w:tc>
          <w:tcPr>
            <w:tcW w:w="9756" w:type="dxa"/>
            <w:gridSpan w:val="2"/>
            <w:shd w:val="clear" w:color="auto" w:fill="CCFFFF"/>
            <w:vAlign w:val="center"/>
          </w:tcPr>
          <w:p w14:paraId="598B5BB1" w14:textId="77777777" w:rsidR="00262D4C" w:rsidRPr="00C179F1" w:rsidRDefault="00262D4C" w:rsidP="00C43087">
            <w:pPr>
              <w:spacing w:before="60" w:after="60"/>
              <w:jc w:val="center"/>
            </w:pPr>
            <w:r w:rsidRPr="00925DF3">
              <w:t xml:space="preserve">Refrigerant </w:t>
            </w:r>
            <w:r>
              <w:t>b</w:t>
            </w:r>
            <w:r w:rsidRPr="00925DF3">
              <w:t>lends: Zeotropes</w:t>
            </w:r>
          </w:p>
        </w:tc>
      </w:tr>
      <w:tr w:rsidR="00262D4C" w:rsidRPr="00923150" w14:paraId="25767728" w14:textId="77777777" w:rsidTr="00CF19E5">
        <w:trPr>
          <w:trHeight w:val="456"/>
        </w:trPr>
        <w:tc>
          <w:tcPr>
            <w:tcW w:w="3811" w:type="dxa"/>
            <w:vAlign w:val="center"/>
          </w:tcPr>
          <w:p w14:paraId="68DFEB3A" w14:textId="77777777" w:rsidR="00262D4C" w:rsidRPr="00876FAE" w:rsidRDefault="00262D4C" w:rsidP="00C43087">
            <w:pPr>
              <w:spacing w:before="60" w:after="60"/>
              <w:ind w:left="34"/>
              <w:jc w:val="center"/>
            </w:pPr>
            <w:r>
              <w:t>R</w:t>
            </w:r>
            <w:r w:rsidRPr="00942B4C">
              <w:t>404A</w:t>
            </w:r>
          </w:p>
        </w:tc>
        <w:tc>
          <w:tcPr>
            <w:tcW w:w="5945" w:type="dxa"/>
            <w:vAlign w:val="center"/>
          </w:tcPr>
          <w:p w14:paraId="71500255" w14:textId="77777777" w:rsidR="00262D4C" w:rsidRPr="00876FAE" w:rsidRDefault="00262D4C" w:rsidP="00C43087">
            <w:pPr>
              <w:spacing w:before="60" w:after="60"/>
              <w:jc w:val="left"/>
            </w:pPr>
            <w:r w:rsidRPr="00942B4C">
              <w:t>R125/143a/134a (44.0/52.0/4.0)</w:t>
            </w:r>
          </w:p>
        </w:tc>
      </w:tr>
      <w:tr w:rsidR="00262D4C" w:rsidRPr="00923150" w14:paraId="44214737" w14:textId="77777777" w:rsidTr="00CF19E5">
        <w:trPr>
          <w:trHeight w:val="456"/>
        </w:trPr>
        <w:tc>
          <w:tcPr>
            <w:tcW w:w="3811" w:type="dxa"/>
            <w:vAlign w:val="center"/>
          </w:tcPr>
          <w:p w14:paraId="4CC6122C" w14:textId="77777777" w:rsidR="00262D4C" w:rsidRPr="00521292" w:rsidRDefault="00262D4C" w:rsidP="00C43087">
            <w:pPr>
              <w:spacing w:before="60" w:after="60"/>
              <w:ind w:left="34"/>
              <w:jc w:val="center"/>
            </w:pPr>
            <w:r>
              <w:t>R</w:t>
            </w:r>
            <w:r w:rsidRPr="00942B4C">
              <w:t>406A</w:t>
            </w:r>
          </w:p>
        </w:tc>
        <w:tc>
          <w:tcPr>
            <w:tcW w:w="5945" w:type="dxa"/>
            <w:vAlign w:val="center"/>
          </w:tcPr>
          <w:p w14:paraId="65B3F740" w14:textId="77777777" w:rsidR="00262D4C" w:rsidRPr="00B75B79" w:rsidRDefault="00262D4C" w:rsidP="00C43087">
            <w:pPr>
              <w:spacing w:before="60" w:after="60"/>
              <w:jc w:val="left"/>
            </w:pPr>
            <w:r w:rsidRPr="00942B4C">
              <w:t>R22/600a/142b (55.0/4.0/41.0)</w:t>
            </w:r>
          </w:p>
        </w:tc>
      </w:tr>
      <w:tr w:rsidR="00262D4C" w:rsidRPr="00923150" w14:paraId="2A237974" w14:textId="77777777" w:rsidTr="00CF19E5">
        <w:trPr>
          <w:trHeight w:val="456"/>
        </w:trPr>
        <w:tc>
          <w:tcPr>
            <w:tcW w:w="3811" w:type="dxa"/>
            <w:vAlign w:val="center"/>
          </w:tcPr>
          <w:p w14:paraId="4BB5D136" w14:textId="77777777" w:rsidR="00262D4C" w:rsidRPr="00521292" w:rsidRDefault="00262D4C" w:rsidP="00C43087">
            <w:pPr>
              <w:spacing w:before="60" w:after="60"/>
              <w:ind w:left="34"/>
              <w:jc w:val="center"/>
            </w:pPr>
            <w:r>
              <w:t>R</w:t>
            </w:r>
            <w:r w:rsidRPr="00942B4C">
              <w:t>407C</w:t>
            </w:r>
          </w:p>
        </w:tc>
        <w:tc>
          <w:tcPr>
            <w:tcW w:w="5945" w:type="dxa"/>
            <w:vAlign w:val="center"/>
          </w:tcPr>
          <w:p w14:paraId="1927E25B" w14:textId="77777777" w:rsidR="00262D4C" w:rsidRPr="00B75B79" w:rsidRDefault="00262D4C" w:rsidP="00C43087">
            <w:pPr>
              <w:spacing w:before="60" w:after="60"/>
              <w:jc w:val="left"/>
            </w:pPr>
            <w:r w:rsidRPr="00942B4C">
              <w:t>R32/125/134a (23.0/25.0/52.0)</w:t>
            </w:r>
          </w:p>
        </w:tc>
      </w:tr>
      <w:tr w:rsidR="00262D4C" w:rsidRPr="00923150" w14:paraId="0E2DBE69" w14:textId="77777777" w:rsidTr="00CF19E5">
        <w:trPr>
          <w:trHeight w:val="456"/>
        </w:trPr>
        <w:tc>
          <w:tcPr>
            <w:tcW w:w="3811" w:type="dxa"/>
            <w:vAlign w:val="center"/>
          </w:tcPr>
          <w:p w14:paraId="2DF71A0E" w14:textId="77777777" w:rsidR="00262D4C" w:rsidRPr="00C179F1" w:rsidRDefault="00262D4C" w:rsidP="00C43087">
            <w:pPr>
              <w:spacing w:before="60" w:after="60"/>
              <w:ind w:left="34"/>
              <w:jc w:val="center"/>
            </w:pPr>
            <w:r>
              <w:t>R</w:t>
            </w:r>
            <w:r w:rsidRPr="00C826D7">
              <w:t>407F</w:t>
            </w:r>
          </w:p>
        </w:tc>
        <w:tc>
          <w:tcPr>
            <w:tcW w:w="5945" w:type="dxa"/>
            <w:vAlign w:val="center"/>
          </w:tcPr>
          <w:p w14:paraId="7BAF466D" w14:textId="77777777" w:rsidR="00262D4C" w:rsidRPr="00C179F1" w:rsidRDefault="00262D4C" w:rsidP="00C43087">
            <w:pPr>
              <w:spacing w:before="60" w:after="60"/>
              <w:jc w:val="left"/>
            </w:pPr>
            <w:r w:rsidRPr="00C826D7">
              <w:t>R32/125/134a (30.0/30.0/40.0)</w:t>
            </w:r>
          </w:p>
        </w:tc>
      </w:tr>
      <w:tr w:rsidR="00262D4C" w:rsidRPr="00923150" w14:paraId="5CD111E5" w14:textId="77777777" w:rsidTr="00CF19E5">
        <w:trPr>
          <w:trHeight w:val="456"/>
        </w:trPr>
        <w:tc>
          <w:tcPr>
            <w:tcW w:w="3811" w:type="dxa"/>
            <w:vAlign w:val="center"/>
          </w:tcPr>
          <w:p w14:paraId="0BEE6A89" w14:textId="77777777" w:rsidR="00262D4C" w:rsidRPr="00C179F1" w:rsidRDefault="00262D4C" w:rsidP="00C43087">
            <w:pPr>
              <w:spacing w:before="60" w:after="60"/>
              <w:ind w:left="34"/>
              <w:jc w:val="center"/>
            </w:pPr>
            <w:r>
              <w:t>R</w:t>
            </w:r>
            <w:r w:rsidRPr="00C826D7">
              <w:t>408A</w:t>
            </w:r>
          </w:p>
        </w:tc>
        <w:tc>
          <w:tcPr>
            <w:tcW w:w="5945" w:type="dxa"/>
            <w:vAlign w:val="center"/>
          </w:tcPr>
          <w:p w14:paraId="5479B993" w14:textId="77777777" w:rsidR="00262D4C" w:rsidRPr="00C179F1" w:rsidRDefault="00262D4C" w:rsidP="00C43087">
            <w:pPr>
              <w:spacing w:before="60" w:after="60"/>
              <w:jc w:val="left"/>
            </w:pPr>
            <w:r w:rsidRPr="00C826D7">
              <w:t>R125/143a/22 (7.0/46.0/47.0)</w:t>
            </w:r>
          </w:p>
        </w:tc>
      </w:tr>
      <w:tr w:rsidR="00262D4C" w:rsidRPr="00923150" w14:paraId="7D72EF0C" w14:textId="77777777" w:rsidTr="00CF19E5">
        <w:trPr>
          <w:trHeight w:val="456"/>
        </w:trPr>
        <w:tc>
          <w:tcPr>
            <w:tcW w:w="3811" w:type="dxa"/>
            <w:vAlign w:val="center"/>
          </w:tcPr>
          <w:p w14:paraId="5BA861B2" w14:textId="77777777" w:rsidR="00262D4C" w:rsidRPr="00C179F1" w:rsidRDefault="00262D4C" w:rsidP="00C43087">
            <w:pPr>
              <w:spacing w:before="60" w:after="60"/>
              <w:ind w:left="34"/>
              <w:jc w:val="center"/>
            </w:pPr>
            <w:r>
              <w:t>R</w:t>
            </w:r>
            <w:r w:rsidRPr="00C826D7">
              <w:t>409A</w:t>
            </w:r>
          </w:p>
        </w:tc>
        <w:tc>
          <w:tcPr>
            <w:tcW w:w="5945" w:type="dxa"/>
            <w:vAlign w:val="center"/>
          </w:tcPr>
          <w:p w14:paraId="65B8CBE5" w14:textId="77777777" w:rsidR="00262D4C" w:rsidRPr="00C179F1" w:rsidRDefault="00262D4C" w:rsidP="00C43087">
            <w:pPr>
              <w:spacing w:before="60" w:after="60"/>
              <w:jc w:val="left"/>
            </w:pPr>
            <w:r w:rsidRPr="00C826D7">
              <w:t>R22/124/142b (60.0/25.0/15.0)</w:t>
            </w:r>
          </w:p>
        </w:tc>
      </w:tr>
      <w:tr w:rsidR="00262D4C" w:rsidRPr="00923150" w14:paraId="31D5EB37" w14:textId="77777777" w:rsidTr="00CF19E5">
        <w:trPr>
          <w:trHeight w:val="456"/>
        </w:trPr>
        <w:tc>
          <w:tcPr>
            <w:tcW w:w="3811" w:type="dxa"/>
            <w:vAlign w:val="center"/>
          </w:tcPr>
          <w:p w14:paraId="3D499DEA" w14:textId="77777777" w:rsidR="00262D4C" w:rsidRPr="00C179F1" w:rsidRDefault="00262D4C" w:rsidP="00C43087">
            <w:pPr>
              <w:spacing w:before="60" w:after="60"/>
              <w:ind w:left="34"/>
              <w:jc w:val="center"/>
            </w:pPr>
            <w:r>
              <w:t>R</w:t>
            </w:r>
            <w:r w:rsidRPr="00C826D7">
              <w:t>409B</w:t>
            </w:r>
          </w:p>
        </w:tc>
        <w:tc>
          <w:tcPr>
            <w:tcW w:w="5945" w:type="dxa"/>
            <w:vAlign w:val="center"/>
          </w:tcPr>
          <w:p w14:paraId="4C3BEBE7" w14:textId="77777777" w:rsidR="00262D4C" w:rsidRPr="00C179F1" w:rsidRDefault="00262D4C" w:rsidP="00C43087">
            <w:pPr>
              <w:spacing w:before="60" w:after="60"/>
              <w:jc w:val="left"/>
            </w:pPr>
            <w:r w:rsidRPr="00C826D7">
              <w:t>R22/124/142b (65.0/25.0/10.0)</w:t>
            </w:r>
          </w:p>
        </w:tc>
      </w:tr>
      <w:tr w:rsidR="00262D4C" w:rsidRPr="00923150" w14:paraId="7D6984E4" w14:textId="77777777" w:rsidTr="00CF19E5">
        <w:trPr>
          <w:trHeight w:val="456"/>
        </w:trPr>
        <w:tc>
          <w:tcPr>
            <w:tcW w:w="3811" w:type="dxa"/>
            <w:vAlign w:val="center"/>
          </w:tcPr>
          <w:p w14:paraId="76AD5ED7" w14:textId="77777777" w:rsidR="00262D4C" w:rsidRPr="00C179F1" w:rsidRDefault="00262D4C" w:rsidP="00C43087">
            <w:pPr>
              <w:spacing w:before="60" w:after="60"/>
              <w:ind w:left="34"/>
              <w:jc w:val="center"/>
            </w:pPr>
            <w:r>
              <w:t>R</w:t>
            </w:r>
            <w:r w:rsidRPr="00C826D7">
              <w:t>410A</w:t>
            </w:r>
          </w:p>
        </w:tc>
        <w:tc>
          <w:tcPr>
            <w:tcW w:w="5945" w:type="dxa"/>
            <w:vAlign w:val="center"/>
          </w:tcPr>
          <w:p w14:paraId="741C5158" w14:textId="77777777" w:rsidR="00262D4C" w:rsidRPr="00C179F1" w:rsidRDefault="00262D4C" w:rsidP="00C43087">
            <w:pPr>
              <w:spacing w:before="60" w:after="60"/>
              <w:jc w:val="left"/>
            </w:pPr>
            <w:r w:rsidRPr="00C826D7">
              <w:t>R32/125 (50.0/50.0)</w:t>
            </w:r>
          </w:p>
        </w:tc>
      </w:tr>
      <w:tr w:rsidR="00262D4C" w:rsidRPr="00923150" w14:paraId="28FF7587" w14:textId="77777777" w:rsidTr="00CF19E5">
        <w:trPr>
          <w:trHeight w:val="456"/>
        </w:trPr>
        <w:tc>
          <w:tcPr>
            <w:tcW w:w="3811" w:type="dxa"/>
            <w:vAlign w:val="center"/>
          </w:tcPr>
          <w:p w14:paraId="541C1CA2" w14:textId="77777777" w:rsidR="00262D4C" w:rsidRPr="00743009" w:rsidRDefault="00262D4C" w:rsidP="00C43087">
            <w:pPr>
              <w:spacing w:before="60" w:after="60"/>
              <w:ind w:left="34"/>
              <w:jc w:val="center"/>
            </w:pPr>
            <w:r>
              <w:t>R422D</w:t>
            </w:r>
          </w:p>
        </w:tc>
        <w:tc>
          <w:tcPr>
            <w:tcW w:w="5945" w:type="dxa"/>
            <w:vAlign w:val="center"/>
          </w:tcPr>
          <w:p w14:paraId="55834BCA" w14:textId="77777777" w:rsidR="00262D4C" w:rsidRPr="00743009" w:rsidRDefault="00262D4C" w:rsidP="00C43087">
            <w:pPr>
              <w:spacing w:before="60" w:after="60"/>
              <w:jc w:val="left"/>
            </w:pPr>
            <w:r>
              <w:t>R125/R134A/R600A (65.1/31.5/3.4)</w:t>
            </w:r>
          </w:p>
        </w:tc>
      </w:tr>
      <w:tr w:rsidR="00262D4C" w:rsidRPr="00923150" w14:paraId="7B7709C5" w14:textId="77777777" w:rsidTr="00CF19E5">
        <w:trPr>
          <w:trHeight w:val="456"/>
        </w:trPr>
        <w:tc>
          <w:tcPr>
            <w:tcW w:w="3811" w:type="dxa"/>
            <w:vAlign w:val="center"/>
          </w:tcPr>
          <w:p w14:paraId="6B4C7A28" w14:textId="77777777" w:rsidR="00262D4C" w:rsidRPr="00743009" w:rsidRDefault="00262D4C" w:rsidP="00C43087">
            <w:pPr>
              <w:spacing w:before="60" w:after="60"/>
              <w:ind w:left="34"/>
              <w:jc w:val="center"/>
            </w:pPr>
            <w:r>
              <w:t>R427A</w:t>
            </w:r>
          </w:p>
        </w:tc>
        <w:tc>
          <w:tcPr>
            <w:tcW w:w="5945" w:type="dxa"/>
            <w:vAlign w:val="center"/>
          </w:tcPr>
          <w:p w14:paraId="6FF7409F" w14:textId="77777777" w:rsidR="00262D4C" w:rsidRPr="00743009" w:rsidRDefault="00262D4C" w:rsidP="00C43087">
            <w:pPr>
              <w:spacing w:before="60" w:after="60"/>
              <w:jc w:val="left"/>
            </w:pPr>
            <w:r>
              <w:t>R32/R125/R143a/R134a (15.0/25.0/10.0/50.0)</w:t>
            </w:r>
          </w:p>
        </w:tc>
      </w:tr>
      <w:tr w:rsidR="00262D4C" w:rsidRPr="00923150" w14:paraId="7D6D459B" w14:textId="77777777" w:rsidTr="00CF19E5">
        <w:trPr>
          <w:trHeight w:val="456"/>
        </w:trPr>
        <w:tc>
          <w:tcPr>
            <w:tcW w:w="3811" w:type="dxa"/>
            <w:vAlign w:val="center"/>
          </w:tcPr>
          <w:p w14:paraId="20BECE11" w14:textId="77777777" w:rsidR="00262D4C" w:rsidRPr="00C179F1" w:rsidRDefault="00262D4C" w:rsidP="00C43087">
            <w:pPr>
              <w:spacing w:before="60" w:after="60"/>
              <w:ind w:left="34"/>
              <w:jc w:val="center"/>
            </w:pPr>
            <w:r>
              <w:t>R</w:t>
            </w:r>
            <w:r w:rsidRPr="00743009">
              <w:t>436A</w:t>
            </w:r>
          </w:p>
        </w:tc>
        <w:tc>
          <w:tcPr>
            <w:tcW w:w="5945" w:type="dxa"/>
            <w:vAlign w:val="center"/>
          </w:tcPr>
          <w:p w14:paraId="52F4339F" w14:textId="77777777" w:rsidR="00262D4C" w:rsidRPr="00C179F1" w:rsidRDefault="00262D4C" w:rsidP="00C43087">
            <w:pPr>
              <w:spacing w:before="60" w:after="60"/>
              <w:jc w:val="left"/>
            </w:pPr>
            <w:r w:rsidRPr="00743009">
              <w:t>R290/600a (56.0/44.0)</w:t>
            </w:r>
          </w:p>
        </w:tc>
      </w:tr>
      <w:tr w:rsidR="00262D4C" w:rsidRPr="00923150" w14:paraId="1A039082" w14:textId="77777777" w:rsidTr="00CF19E5">
        <w:trPr>
          <w:trHeight w:val="456"/>
        </w:trPr>
        <w:tc>
          <w:tcPr>
            <w:tcW w:w="3811" w:type="dxa"/>
            <w:tcBorders>
              <w:bottom w:val="single" w:sz="4" w:space="0" w:color="000000"/>
            </w:tcBorders>
            <w:vAlign w:val="center"/>
          </w:tcPr>
          <w:p w14:paraId="64144C42" w14:textId="77777777" w:rsidR="00262D4C" w:rsidRDefault="00262D4C" w:rsidP="00C43087">
            <w:pPr>
              <w:spacing w:before="60" w:after="60"/>
              <w:ind w:left="34"/>
              <w:jc w:val="center"/>
            </w:pPr>
            <w:r>
              <w:t>R438A</w:t>
            </w:r>
          </w:p>
        </w:tc>
        <w:tc>
          <w:tcPr>
            <w:tcW w:w="5945" w:type="dxa"/>
            <w:tcBorders>
              <w:bottom w:val="single" w:sz="4" w:space="0" w:color="000000"/>
            </w:tcBorders>
            <w:vAlign w:val="center"/>
          </w:tcPr>
          <w:p w14:paraId="79BE710A" w14:textId="77777777" w:rsidR="00262D4C" w:rsidRPr="00743009" w:rsidRDefault="00262D4C" w:rsidP="00C43087">
            <w:pPr>
              <w:spacing w:before="60" w:after="60"/>
              <w:jc w:val="left"/>
            </w:pPr>
            <w:r>
              <w:t>R125/R32/R134A/R600/R601a (45.0/5.0/45.0/4.0/1.0)</w:t>
            </w:r>
          </w:p>
        </w:tc>
      </w:tr>
      <w:tr w:rsidR="00262D4C" w:rsidRPr="00923150" w14:paraId="5C4385B7" w14:textId="77777777" w:rsidTr="00CF19E5">
        <w:trPr>
          <w:trHeight w:val="456"/>
        </w:trPr>
        <w:tc>
          <w:tcPr>
            <w:tcW w:w="3811" w:type="dxa"/>
            <w:tcBorders>
              <w:bottom w:val="single" w:sz="4" w:space="0" w:color="000000"/>
            </w:tcBorders>
            <w:vAlign w:val="center"/>
          </w:tcPr>
          <w:p w14:paraId="15CB9914" w14:textId="77777777" w:rsidR="00262D4C" w:rsidRDefault="00262D4C" w:rsidP="00C43087">
            <w:pPr>
              <w:spacing w:before="60" w:after="60"/>
              <w:ind w:left="34"/>
              <w:jc w:val="center"/>
            </w:pPr>
            <w:r>
              <w:t>R</w:t>
            </w:r>
            <w:r w:rsidRPr="00743009">
              <w:t>436B</w:t>
            </w:r>
          </w:p>
        </w:tc>
        <w:tc>
          <w:tcPr>
            <w:tcW w:w="5945" w:type="dxa"/>
            <w:tcBorders>
              <w:bottom w:val="single" w:sz="4" w:space="0" w:color="000000"/>
            </w:tcBorders>
            <w:vAlign w:val="center"/>
          </w:tcPr>
          <w:p w14:paraId="3EBC638A" w14:textId="77777777" w:rsidR="00262D4C" w:rsidRPr="00743009" w:rsidRDefault="00262D4C" w:rsidP="00C43087">
            <w:pPr>
              <w:spacing w:before="60" w:after="60"/>
              <w:jc w:val="left"/>
            </w:pPr>
            <w:r w:rsidRPr="00743009">
              <w:t>R290/600a (52.0/48.0)</w:t>
            </w:r>
          </w:p>
        </w:tc>
      </w:tr>
      <w:tr w:rsidR="00262D4C" w:rsidRPr="00923150" w14:paraId="5AC070B6" w14:textId="77777777" w:rsidTr="00CF19E5">
        <w:trPr>
          <w:trHeight w:val="456"/>
        </w:trPr>
        <w:tc>
          <w:tcPr>
            <w:tcW w:w="3811" w:type="dxa"/>
            <w:tcBorders>
              <w:bottom w:val="single" w:sz="4" w:space="0" w:color="000000"/>
            </w:tcBorders>
            <w:vAlign w:val="center"/>
          </w:tcPr>
          <w:p w14:paraId="256D9C7E" w14:textId="77777777" w:rsidR="00262D4C" w:rsidRDefault="00262D4C" w:rsidP="00C43087">
            <w:pPr>
              <w:spacing w:before="60" w:after="60"/>
              <w:ind w:left="34"/>
              <w:jc w:val="center"/>
            </w:pPr>
            <w:r>
              <w:t>R448A</w:t>
            </w:r>
          </w:p>
        </w:tc>
        <w:tc>
          <w:tcPr>
            <w:tcW w:w="5945" w:type="dxa"/>
            <w:tcBorders>
              <w:bottom w:val="single" w:sz="4" w:space="0" w:color="000000"/>
            </w:tcBorders>
            <w:vAlign w:val="center"/>
          </w:tcPr>
          <w:p w14:paraId="79194D89" w14:textId="77777777" w:rsidR="00262D4C" w:rsidRPr="00743009" w:rsidRDefault="00262D4C" w:rsidP="00C43087">
            <w:pPr>
              <w:spacing w:before="60" w:after="60"/>
              <w:jc w:val="left"/>
            </w:pPr>
            <w:r>
              <w:t>R</w:t>
            </w:r>
            <w:r w:rsidRPr="00DE0813">
              <w:t>1234yf/</w:t>
            </w:r>
            <w:r>
              <w:t>R</w:t>
            </w:r>
            <w:r w:rsidRPr="00DE0813">
              <w:t>1234ze/R32/R125/R134a (20</w:t>
            </w:r>
            <w:r>
              <w:t>.0</w:t>
            </w:r>
            <w:r w:rsidRPr="00DE0813">
              <w:t>/7</w:t>
            </w:r>
            <w:r>
              <w:t>.0</w:t>
            </w:r>
            <w:r w:rsidRPr="00DE0813">
              <w:t>/26</w:t>
            </w:r>
            <w:r>
              <w:t>.0</w:t>
            </w:r>
            <w:r w:rsidRPr="00DE0813">
              <w:t>/26</w:t>
            </w:r>
            <w:r>
              <w:t>.0</w:t>
            </w:r>
            <w:r w:rsidRPr="00DE0813">
              <w:t>/21</w:t>
            </w:r>
            <w:r>
              <w:t>.0</w:t>
            </w:r>
            <w:r w:rsidRPr="00DE0813">
              <w:t>)</w:t>
            </w:r>
          </w:p>
        </w:tc>
      </w:tr>
      <w:tr w:rsidR="0039303E" w:rsidRPr="00923150" w14:paraId="630282E9" w14:textId="77777777" w:rsidTr="00CF19E5">
        <w:trPr>
          <w:trHeight w:val="456"/>
        </w:trPr>
        <w:tc>
          <w:tcPr>
            <w:tcW w:w="3811" w:type="dxa"/>
            <w:tcBorders>
              <w:bottom w:val="single" w:sz="4" w:space="0" w:color="000000"/>
            </w:tcBorders>
            <w:vAlign w:val="center"/>
          </w:tcPr>
          <w:p w14:paraId="11B9CF5A" w14:textId="3DCE339B" w:rsidR="0039303E" w:rsidRDefault="0039303E" w:rsidP="00C43087">
            <w:pPr>
              <w:spacing w:before="60" w:after="60"/>
              <w:ind w:left="34"/>
              <w:jc w:val="center"/>
            </w:pPr>
            <w:r>
              <w:t>R449A</w:t>
            </w:r>
          </w:p>
        </w:tc>
        <w:tc>
          <w:tcPr>
            <w:tcW w:w="5945" w:type="dxa"/>
            <w:tcBorders>
              <w:bottom w:val="single" w:sz="4" w:space="0" w:color="000000"/>
            </w:tcBorders>
            <w:vAlign w:val="center"/>
          </w:tcPr>
          <w:p w14:paraId="20547468" w14:textId="2A9E9588" w:rsidR="0039303E" w:rsidRDefault="0039303E" w:rsidP="00C43087">
            <w:pPr>
              <w:spacing w:before="60" w:after="60"/>
              <w:jc w:val="left"/>
            </w:pPr>
            <w:r>
              <w:t>R</w:t>
            </w:r>
            <w:r w:rsidRPr="00DE0813">
              <w:t>1234yf/R32/R125/R134a (</w:t>
            </w:r>
            <w:r>
              <w:t>25.3</w:t>
            </w:r>
            <w:r w:rsidRPr="00DE0813">
              <w:t>/</w:t>
            </w:r>
            <w:r>
              <w:t>24.3</w:t>
            </w:r>
            <w:r w:rsidRPr="00DE0813">
              <w:t>/</w:t>
            </w:r>
            <w:r>
              <w:t>24.7</w:t>
            </w:r>
            <w:r w:rsidRPr="00DE0813">
              <w:t>/</w:t>
            </w:r>
            <w:r>
              <w:t>25.7</w:t>
            </w:r>
            <w:r w:rsidRPr="00DE0813">
              <w:t>)</w:t>
            </w:r>
          </w:p>
        </w:tc>
      </w:tr>
      <w:tr w:rsidR="0039303E" w:rsidRPr="00923150" w14:paraId="0ACA203F" w14:textId="77777777" w:rsidTr="00CF19E5">
        <w:trPr>
          <w:trHeight w:val="456"/>
        </w:trPr>
        <w:tc>
          <w:tcPr>
            <w:tcW w:w="3811" w:type="dxa"/>
            <w:tcBorders>
              <w:bottom w:val="single" w:sz="4" w:space="0" w:color="000000"/>
            </w:tcBorders>
            <w:vAlign w:val="center"/>
          </w:tcPr>
          <w:p w14:paraId="23B0DE58" w14:textId="52DE2A0C" w:rsidR="0039303E" w:rsidRPr="00C179F1" w:rsidRDefault="0039303E" w:rsidP="0039303E">
            <w:pPr>
              <w:spacing w:before="60" w:after="60"/>
              <w:ind w:left="34"/>
              <w:jc w:val="center"/>
            </w:pPr>
            <w:r>
              <w:t>R452A</w:t>
            </w:r>
          </w:p>
        </w:tc>
        <w:tc>
          <w:tcPr>
            <w:tcW w:w="5945" w:type="dxa"/>
            <w:tcBorders>
              <w:bottom w:val="single" w:sz="4" w:space="0" w:color="000000"/>
            </w:tcBorders>
            <w:vAlign w:val="center"/>
          </w:tcPr>
          <w:p w14:paraId="534EA2D8" w14:textId="70C5A51C" w:rsidR="0039303E" w:rsidRPr="00C179F1" w:rsidRDefault="0039303E" w:rsidP="0039303E">
            <w:pPr>
              <w:spacing w:before="60" w:after="60"/>
              <w:jc w:val="left"/>
            </w:pPr>
            <w:r>
              <w:t>R</w:t>
            </w:r>
            <w:r w:rsidRPr="00DE0813">
              <w:t>1234yf/R32/R125 (</w:t>
            </w:r>
            <w:r>
              <w:t>30.0</w:t>
            </w:r>
            <w:r w:rsidRPr="00DE0813">
              <w:t>/</w:t>
            </w:r>
            <w:r>
              <w:t>11.0</w:t>
            </w:r>
            <w:r w:rsidRPr="00DE0813">
              <w:t>/</w:t>
            </w:r>
            <w:r>
              <w:t>59.0</w:t>
            </w:r>
            <w:r w:rsidRPr="00DE0813">
              <w:t>)</w:t>
            </w:r>
          </w:p>
        </w:tc>
      </w:tr>
      <w:tr w:rsidR="0039303E" w:rsidRPr="00923150" w14:paraId="511B2F90" w14:textId="77777777" w:rsidTr="00CF19E5">
        <w:trPr>
          <w:trHeight w:val="456"/>
        </w:trPr>
        <w:tc>
          <w:tcPr>
            <w:tcW w:w="9756" w:type="dxa"/>
            <w:gridSpan w:val="2"/>
            <w:shd w:val="clear" w:color="auto" w:fill="CCFFFF"/>
            <w:vAlign w:val="center"/>
          </w:tcPr>
          <w:p w14:paraId="0743DA52" w14:textId="77777777" w:rsidR="0039303E" w:rsidRPr="00C179F1" w:rsidRDefault="0039303E" w:rsidP="00C43087">
            <w:pPr>
              <w:spacing w:before="60" w:after="60"/>
              <w:jc w:val="center"/>
            </w:pPr>
            <w:r w:rsidRPr="00925DF3">
              <w:t xml:space="preserve">Refrigerant </w:t>
            </w:r>
            <w:r>
              <w:t>b</w:t>
            </w:r>
            <w:r w:rsidRPr="00925DF3">
              <w:t xml:space="preserve">lends: </w:t>
            </w:r>
            <w:r>
              <w:t>Azeotropes</w:t>
            </w:r>
          </w:p>
        </w:tc>
      </w:tr>
      <w:tr w:rsidR="0039303E" w:rsidRPr="00923150" w14:paraId="5ADF88BD" w14:textId="77777777" w:rsidTr="00CF19E5">
        <w:trPr>
          <w:trHeight w:val="456"/>
        </w:trPr>
        <w:tc>
          <w:tcPr>
            <w:tcW w:w="3811" w:type="dxa"/>
            <w:vAlign w:val="center"/>
          </w:tcPr>
          <w:p w14:paraId="1AFC94DC" w14:textId="77777777" w:rsidR="0039303E" w:rsidRDefault="0039303E" w:rsidP="00C43087">
            <w:pPr>
              <w:spacing w:before="60" w:after="60"/>
              <w:ind w:left="34"/>
              <w:jc w:val="center"/>
            </w:pPr>
            <w:r>
              <w:t>R</w:t>
            </w:r>
            <w:r w:rsidRPr="00023DE7">
              <w:t>507A</w:t>
            </w:r>
          </w:p>
        </w:tc>
        <w:tc>
          <w:tcPr>
            <w:tcW w:w="5945" w:type="dxa"/>
            <w:vAlign w:val="center"/>
          </w:tcPr>
          <w:p w14:paraId="66E784D3" w14:textId="77777777" w:rsidR="0039303E" w:rsidRPr="00023DE7" w:rsidRDefault="0039303E" w:rsidP="00C43087">
            <w:pPr>
              <w:spacing w:before="60" w:after="60"/>
              <w:jc w:val="left"/>
            </w:pPr>
            <w:r w:rsidRPr="00023DE7">
              <w:t>R125/143a (50.0/50.0)</w:t>
            </w:r>
          </w:p>
        </w:tc>
      </w:tr>
      <w:tr w:rsidR="0039303E" w:rsidRPr="00923150" w14:paraId="5888E681" w14:textId="77777777" w:rsidTr="00CF19E5">
        <w:trPr>
          <w:trHeight w:val="456"/>
        </w:trPr>
        <w:tc>
          <w:tcPr>
            <w:tcW w:w="3811" w:type="dxa"/>
            <w:vAlign w:val="center"/>
          </w:tcPr>
          <w:p w14:paraId="4C8D9EB0" w14:textId="77777777" w:rsidR="0039303E" w:rsidRPr="00876FAE" w:rsidRDefault="0039303E" w:rsidP="00C43087">
            <w:pPr>
              <w:spacing w:before="60" w:after="60"/>
              <w:ind w:left="34"/>
              <w:jc w:val="center"/>
            </w:pPr>
            <w:r>
              <w:t>R513A</w:t>
            </w:r>
          </w:p>
        </w:tc>
        <w:tc>
          <w:tcPr>
            <w:tcW w:w="5945" w:type="dxa"/>
            <w:vAlign w:val="center"/>
          </w:tcPr>
          <w:p w14:paraId="700DB295" w14:textId="77777777" w:rsidR="0039303E" w:rsidRPr="00876FAE" w:rsidRDefault="0039303E" w:rsidP="00C43087">
            <w:pPr>
              <w:spacing w:before="60" w:after="60"/>
              <w:jc w:val="left"/>
            </w:pPr>
            <w:r>
              <w:t>R1234yf/R134a</w:t>
            </w:r>
            <w:r w:rsidRPr="00023DE7">
              <w:t xml:space="preserve"> (5</w:t>
            </w:r>
            <w:r>
              <w:t>6</w:t>
            </w:r>
            <w:r w:rsidRPr="00023DE7">
              <w:t>.0/</w:t>
            </w:r>
            <w:r>
              <w:t>44</w:t>
            </w:r>
            <w:r w:rsidRPr="00023DE7">
              <w:t>.0)</w:t>
            </w:r>
          </w:p>
        </w:tc>
      </w:tr>
    </w:tbl>
    <w:p w14:paraId="16FFBDC1" w14:textId="07D9787F" w:rsidR="00262D4C" w:rsidRDefault="00262D4C" w:rsidP="00262D4C">
      <w:pPr>
        <w:pStyle w:val="ListParagraph"/>
        <w:numPr>
          <w:ilvl w:val="0"/>
          <w:numId w:val="6"/>
        </w:numPr>
        <w:spacing w:before="60" w:after="0" w:line="240" w:lineRule="auto"/>
        <w:contextualSpacing w:val="0"/>
        <w:jc w:val="both"/>
        <w:rPr>
          <w:rFonts w:ascii="Times New Roman" w:hAnsi="Times New Roman"/>
          <w:sz w:val="20"/>
          <w:szCs w:val="20"/>
        </w:rPr>
      </w:pPr>
      <w:r w:rsidRPr="005169C2">
        <w:rPr>
          <w:rFonts w:ascii="Times New Roman" w:hAnsi="Times New Roman"/>
          <w:sz w:val="20"/>
          <w:szCs w:val="20"/>
        </w:rPr>
        <w:t xml:space="preserve">The contents of this table </w:t>
      </w:r>
      <w:r w:rsidR="00862EC4">
        <w:rPr>
          <w:rFonts w:ascii="Times New Roman" w:hAnsi="Times New Roman"/>
          <w:sz w:val="20"/>
          <w:szCs w:val="20"/>
        </w:rPr>
        <w:t>are</w:t>
      </w:r>
      <w:r w:rsidRPr="005169C2">
        <w:rPr>
          <w:rFonts w:ascii="Times New Roman" w:hAnsi="Times New Roman"/>
          <w:sz w:val="20"/>
          <w:szCs w:val="20"/>
        </w:rPr>
        <w:t xml:space="preserve"> from ANSI/ASHRAE 34-201</w:t>
      </w:r>
      <w:r>
        <w:rPr>
          <w:rFonts w:ascii="Times New Roman" w:hAnsi="Times New Roman"/>
          <w:sz w:val="20"/>
          <w:szCs w:val="20"/>
        </w:rPr>
        <w:t>3</w:t>
      </w:r>
      <w:r w:rsidRPr="005169C2">
        <w:rPr>
          <w:rFonts w:ascii="Times New Roman" w:hAnsi="Times New Roman"/>
          <w:sz w:val="20"/>
          <w:szCs w:val="20"/>
        </w:rPr>
        <w:t>, Designation and Safety Classification of Refrigerant, published on the ASHRAE website.</w:t>
      </w:r>
    </w:p>
    <w:p w14:paraId="3E2A0E31" w14:textId="60435FAC" w:rsidR="00176B29" w:rsidRDefault="00176B29" w:rsidP="00176B29"/>
    <w:p w14:paraId="318DE40E" w14:textId="77777777" w:rsidR="00612476" w:rsidRDefault="00612476">
      <w:pPr>
        <w:spacing w:before="0"/>
        <w:jc w:val="left"/>
        <w:rPr>
          <w:rFonts w:ascii="Calibri" w:eastAsia="Times New Roman" w:hAnsi="Calibri" w:cs="Times New Roman"/>
          <w:b/>
          <w:bCs/>
          <w:sz w:val="26"/>
          <w:szCs w:val="26"/>
          <w:lang w:val="en-US"/>
        </w:rPr>
      </w:pPr>
      <w:r>
        <w:br w:type="page"/>
      </w:r>
    </w:p>
    <w:p w14:paraId="236458AF" w14:textId="37C8E88B" w:rsidR="00262D4C" w:rsidRPr="00BA4837" w:rsidRDefault="00262D4C" w:rsidP="00262D4C">
      <w:pPr>
        <w:pStyle w:val="Heading3"/>
      </w:pPr>
      <w:bookmarkStart w:id="218" w:name="_Toc525141327"/>
      <w:r w:rsidRPr="00BA4837">
        <w:t xml:space="preserve">Energy </w:t>
      </w:r>
      <w:r>
        <w:t>c</w:t>
      </w:r>
      <w:r w:rsidRPr="00BA4837">
        <w:t>onsumption</w:t>
      </w:r>
      <w:r w:rsidR="00B861D9">
        <w:t xml:space="preserve"> calculations and comparisons</w:t>
      </w:r>
      <w:bookmarkEnd w:id="218"/>
    </w:p>
    <w:p w14:paraId="5BAAEE44" w14:textId="11BAAD5D" w:rsidR="00262D4C" w:rsidRDefault="00262D4C" w:rsidP="00262D4C">
      <w:pPr>
        <w:rPr>
          <w:rFonts w:cs="Times New Roman"/>
          <w:szCs w:val="22"/>
          <w:lang w:val="en-US"/>
        </w:rPr>
      </w:pPr>
      <w:r w:rsidRPr="00E96D15">
        <w:rPr>
          <w:rFonts w:cs="Times New Roman"/>
          <w:szCs w:val="22"/>
          <w:lang w:val="en-US"/>
        </w:rPr>
        <w:t xml:space="preserve">The electrical consumption of products is estimated to allow a calculation of energy related emissions produced by each product, equipment category and segment. </w:t>
      </w:r>
    </w:p>
    <w:p w14:paraId="4D9B96FE" w14:textId="28448A28" w:rsidR="00B861D9" w:rsidRDefault="00B861D9" w:rsidP="00B861D9">
      <w:pPr>
        <w:snapToGrid w:val="0"/>
        <w:rPr>
          <w:lang w:val="en-AU"/>
        </w:rPr>
      </w:pPr>
      <w:r>
        <w:rPr>
          <w:lang w:val="en-AU"/>
        </w:rPr>
        <w:t xml:space="preserve">CHF3 electricity consumption calculations have been compared to the most relevant recent studies commissioned by the </w:t>
      </w:r>
      <w:r w:rsidRPr="003317E8">
        <w:rPr>
          <w:lang w:val="en-AU"/>
        </w:rPr>
        <w:t xml:space="preserve">Equipment Energy Efficiency </w:t>
      </w:r>
      <w:r>
        <w:rPr>
          <w:lang w:val="en-AU"/>
        </w:rPr>
        <w:t xml:space="preserve">(E3) </w:t>
      </w:r>
      <w:r w:rsidR="00FE74F2" w:rsidRPr="003317E8">
        <w:rPr>
          <w:lang w:val="en-AU"/>
        </w:rPr>
        <w:t>program</w:t>
      </w:r>
      <w:r>
        <w:rPr>
          <w:lang w:val="en-AU"/>
        </w:rPr>
        <w:t xml:space="preserve"> of the Department of </w:t>
      </w:r>
      <w:r w:rsidR="00862EC4">
        <w:rPr>
          <w:lang w:val="en-AU"/>
        </w:rPr>
        <w:t xml:space="preserve">the Environment and </w:t>
      </w:r>
      <w:r>
        <w:rPr>
          <w:lang w:val="en-AU"/>
        </w:rPr>
        <w:t xml:space="preserve">Energy. </w:t>
      </w:r>
    </w:p>
    <w:p w14:paraId="64FC7A3E" w14:textId="77777777" w:rsidR="00B861D9" w:rsidRPr="00F47C6B" w:rsidRDefault="00B861D9" w:rsidP="00B861D9">
      <w:pPr>
        <w:snapToGrid w:val="0"/>
        <w:spacing w:before="240"/>
        <w:outlineLvl w:val="0"/>
        <w:rPr>
          <w:b/>
          <w:lang w:val="en-AU"/>
        </w:rPr>
      </w:pPr>
      <w:r w:rsidRPr="00F47C6B">
        <w:rPr>
          <w:b/>
          <w:lang w:val="en-AU"/>
        </w:rPr>
        <w:t>Domestic refrigeration</w:t>
      </w:r>
    </w:p>
    <w:p w14:paraId="44EA92E9" w14:textId="2BEA55D1" w:rsidR="00B861D9" w:rsidRDefault="007A1335" w:rsidP="00B861D9">
      <w:pPr>
        <w:snapToGrid w:val="0"/>
        <w:rPr>
          <w:lang w:val="en-AU"/>
        </w:rPr>
      </w:pPr>
      <w:r>
        <w:rPr>
          <w:lang w:val="en-AU"/>
        </w:rPr>
        <w:t>CHF3 RAC Stock model</w:t>
      </w:r>
      <w:r w:rsidR="00B861D9">
        <w:rPr>
          <w:lang w:val="en-AU"/>
        </w:rPr>
        <w:t xml:space="preserve"> estimates a total stock of </w:t>
      </w:r>
      <w:r w:rsidR="00B861D9" w:rsidRPr="00102853">
        <w:rPr>
          <w:lang w:val="en-AU"/>
        </w:rPr>
        <w:t xml:space="preserve">greater than 19.2 million </w:t>
      </w:r>
      <w:r w:rsidR="00B861D9">
        <w:rPr>
          <w:lang w:val="en-AU"/>
        </w:rPr>
        <w:t>d</w:t>
      </w:r>
      <w:r w:rsidR="00B861D9" w:rsidRPr="00102853">
        <w:rPr>
          <w:lang w:val="en-AU"/>
        </w:rPr>
        <w:t xml:space="preserve">omestic refrigeration </w:t>
      </w:r>
      <w:r w:rsidR="00B861D9">
        <w:rPr>
          <w:lang w:val="en-AU"/>
        </w:rPr>
        <w:t xml:space="preserve">devices </w:t>
      </w:r>
      <w:r w:rsidR="00B861D9" w:rsidRPr="00102853">
        <w:rPr>
          <w:lang w:val="en-AU"/>
        </w:rPr>
        <w:t>in Australia</w:t>
      </w:r>
      <w:r w:rsidR="00B861D9">
        <w:rPr>
          <w:lang w:val="en-AU"/>
        </w:rPr>
        <w:t xml:space="preserve"> </w:t>
      </w:r>
      <w:r w:rsidR="00B861D9" w:rsidRPr="00102853">
        <w:rPr>
          <w:lang w:val="en-AU"/>
        </w:rPr>
        <w:t>(including domestic freezers and small portable refrigerators)</w:t>
      </w:r>
      <w:r w:rsidR="00B861D9">
        <w:rPr>
          <w:lang w:val="en-AU"/>
        </w:rPr>
        <w:t xml:space="preserve">. </w:t>
      </w:r>
    </w:p>
    <w:p w14:paraId="7612CE2E" w14:textId="55FB40EA" w:rsidR="00B861D9" w:rsidRDefault="00B861D9" w:rsidP="00B861D9">
      <w:pPr>
        <w:snapToGrid w:val="0"/>
        <w:rPr>
          <w:lang w:val="en-AU"/>
        </w:rPr>
      </w:pPr>
      <w:r>
        <w:rPr>
          <w:lang w:val="en-AU"/>
        </w:rPr>
        <w:t xml:space="preserve">The number of these devices that are used in residences is however less than that total stock of equipment. </w:t>
      </w:r>
      <w:r w:rsidRPr="007C6EEF">
        <w:rPr>
          <w:lang w:val="en-AU"/>
        </w:rPr>
        <w:t xml:space="preserve">Deducting from this population of 19.2 million devices an estimated </w:t>
      </w:r>
      <w:r w:rsidR="00620A2F">
        <w:rPr>
          <w:lang w:val="en-AU"/>
        </w:rPr>
        <w:t>8</w:t>
      </w:r>
      <w:r w:rsidRPr="007C6EEF">
        <w:rPr>
          <w:lang w:val="en-AU"/>
        </w:rPr>
        <w:t>8</w:t>
      </w:r>
      <w:r w:rsidR="00620A2F">
        <w:rPr>
          <w:lang w:val="en-AU"/>
        </w:rPr>
        <w:t>8</w:t>
      </w:r>
      <w:r w:rsidRPr="007C6EEF">
        <w:rPr>
          <w:lang w:val="en-AU"/>
        </w:rPr>
        <w:t>,000 portable refrigerators</w:t>
      </w:r>
      <w:r>
        <w:rPr>
          <w:lang w:val="en-AU"/>
        </w:rPr>
        <w:t>, that are run from vehicles, in caravans</w:t>
      </w:r>
      <w:r w:rsidR="00862EC4">
        <w:rPr>
          <w:lang w:val="en-AU"/>
        </w:rPr>
        <w:t xml:space="preserve"> on</w:t>
      </w:r>
      <w:r>
        <w:rPr>
          <w:lang w:val="en-AU"/>
        </w:rPr>
        <w:t xml:space="preserve"> and battery power of various sorts, and deducting a further</w:t>
      </w:r>
      <w:r w:rsidRPr="007C6EEF">
        <w:rPr>
          <w:lang w:val="en-AU"/>
        </w:rPr>
        <w:t xml:space="preserve"> estimated </w:t>
      </w:r>
      <w:r w:rsidR="00620A2F">
        <w:rPr>
          <w:lang w:val="en-AU"/>
        </w:rPr>
        <w:t>5% of d</w:t>
      </w:r>
      <w:r w:rsidRPr="007C6EEF">
        <w:rPr>
          <w:lang w:val="en-AU"/>
        </w:rPr>
        <w:t xml:space="preserve">evices that are assumed to be used in business premises, such as restaurants and takeaway shops, and in office kitchens, and </w:t>
      </w:r>
      <w:r>
        <w:rPr>
          <w:lang w:val="en-AU"/>
        </w:rPr>
        <w:t xml:space="preserve">the </w:t>
      </w:r>
      <w:r w:rsidR="007A1335">
        <w:rPr>
          <w:lang w:val="en-AU"/>
        </w:rPr>
        <w:t>CHF3 RAC Stock model</w:t>
      </w:r>
      <w:r>
        <w:rPr>
          <w:lang w:val="en-AU"/>
        </w:rPr>
        <w:t xml:space="preserve"> arrives at </w:t>
      </w:r>
      <w:r w:rsidRPr="007C6EEF">
        <w:rPr>
          <w:lang w:val="en-AU"/>
        </w:rPr>
        <w:t>an installed base of 17.</w:t>
      </w:r>
      <w:r w:rsidR="00620A2F">
        <w:rPr>
          <w:lang w:val="en-AU"/>
        </w:rPr>
        <w:t>41</w:t>
      </w:r>
      <w:r w:rsidRPr="007C6EEF">
        <w:rPr>
          <w:lang w:val="en-AU"/>
        </w:rPr>
        <w:t xml:space="preserve"> million domestic refrigerators and freezers in res</w:t>
      </w:r>
      <w:r>
        <w:rPr>
          <w:lang w:val="en-AU"/>
        </w:rPr>
        <w:t xml:space="preserve">idential buildings in Australia in 2016. </w:t>
      </w:r>
    </w:p>
    <w:p w14:paraId="4A7CBD3C" w14:textId="77777777" w:rsidR="00B861D9" w:rsidRDefault="00B861D9" w:rsidP="00B861D9">
      <w:pPr>
        <w:snapToGrid w:val="0"/>
        <w:rPr>
          <w:lang w:val="en-AU"/>
        </w:rPr>
      </w:pPr>
      <w:r>
        <w:rPr>
          <w:lang w:val="en-AU"/>
        </w:rPr>
        <w:t>This is</w:t>
      </w:r>
      <w:r w:rsidRPr="007C6EEF">
        <w:rPr>
          <w:lang w:val="en-AU"/>
        </w:rPr>
        <w:t xml:space="preserve"> a value that aligns very well with the results of the Residential Baseline Study 2015 </w:t>
      </w:r>
      <w:r>
        <w:rPr>
          <w:lang w:val="en-AU"/>
        </w:rPr>
        <w:t xml:space="preserve">(E3 2015) which </w:t>
      </w:r>
      <w:r w:rsidRPr="007C6EEF">
        <w:rPr>
          <w:lang w:val="en-AU"/>
        </w:rPr>
        <w:t>estimated an installed base of 17.68 million refrigerators and freezers in Australian homes</w:t>
      </w:r>
      <w:r>
        <w:rPr>
          <w:lang w:val="en-AU"/>
        </w:rPr>
        <w:t xml:space="preserve"> in 2016</w:t>
      </w:r>
      <w:r w:rsidRPr="007C6EEF">
        <w:rPr>
          <w:lang w:val="en-AU"/>
        </w:rPr>
        <w:t>.</w:t>
      </w:r>
    </w:p>
    <w:p w14:paraId="2E7490D2" w14:textId="0291EA31" w:rsidR="00B861D9" w:rsidRDefault="00B861D9" w:rsidP="00B861D9">
      <w:pPr>
        <w:snapToGrid w:val="0"/>
        <w:rPr>
          <w:lang w:val="en-AU"/>
        </w:rPr>
      </w:pPr>
      <w:r>
        <w:rPr>
          <w:lang w:val="en-AU"/>
        </w:rPr>
        <w:t xml:space="preserve">The </w:t>
      </w:r>
      <w:r w:rsidR="007A1335">
        <w:rPr>
          <w:lang w:val="en-AU"/>
        </w:rPr>
        <w:t>CHF3 RAC Stock model</w:t>
      </w:r>
      <w:r>
        <w:rPr>
          <w:lang w:val="en-AU"/>
        </w:rPr>
        <w:t xml:space="preserve"> calculates the 17.59 million domestic refrigerators and freezers consumed 8,5</w:t>
      </w:r>
      <w:r w:rsidR="00620A2F">
        <w:rPr>
          <w:lang w:val="en-AU"/>
        </w:rPr>
        <w:t>34</w:t>
      </w:r>
      <w:r>
        <w:rPr>
          <w:lang w:val="en-AU"/>
        </w:rPr>
        <w:t xml:space="preserve"> GWh in 2016 compared to 29.59 PJ (8,219 GWh) published in the </w:t>
      </w:r>
      <w:r w:rsidRPr="007C6EEF">
        <w:rPr>
          <w:lang w:val="en-AU"/>
        </w:rPr>
        <w:t>Residential Baseline Study</w:t>
      </w:r>
      <w:r>
        <w:rPr>
          <w:lang w:val="en-AU"/>
        </w:rPr>
        <w:t xml:space="preserve"> for 2016.</w:t>
      </w:r>
    </w:p>
    <w:p w14:paraId="48E4A2F4" w14:textId="22F64287" w:rsidR="00B861D9" w:rsidRPr="00F47C6B" w:rsidRDefault="00B861D9" w:rsidP="00B861D9">
      <w:pPr>
        <w:snapToGrid w:val="0"/>
        <w:spacing w:before="240"/>
        <w:outlineLvl w:val="0"/>
        <w:rPr>
          <w:b/>
          <w:lang w:val="en-AU"/>
        </w:rPr>
      </w:pPr>
      <w:r w:rsidRPr="00F47C6B">
        <w:rPr>
          <w:b/>
          <w:lang w:val="en-AU"/>
        </w:rPr>
        <w:t>Hot water heat</w:t>
      </w:r>
      <w:r w:rsidR="00862EC4">
        <w:rPr>
          <w:b/>
          <w:lang w:val="en-AU"/>
        </w:rPr>
        <w:t xml:space="preserve"> </w:t>
      </w:r>
      <w:r w:rsidRPr="00F47C6B">
        <w:rPr>
          <w:b/>
          <w:lang w:val="en-AU"/>
        </w:rPr>
        <w:t>pumps</w:t>
      </w:r>
    </w:p>
    <w:p w14:paraId="064C3C3E" w14:textId="7748F0E9" w:rsidR="00B861D9" w:rsidRDefault="00B861D9" w:rsidP="00B861D9">
      <w:pPr>
        <w:snapToGrid w:val="0"/>
        <w:rPr>
          <w:szCs w:val="22"/>
        </w:rPr>
      </w:pPr>
      <w:r>
        <w:rPr>
          <w:lang w:val="en-AU"/>
        </w:rPr>
        <w:t xml:space="preserve">The </w:t>
      </w:r>
      <w:r w:rsidR="007A1335">
        <w:rPr>
          <w:lang w:val="en-AU"/>
        </w:rPr>
        <w:t>CHF3 RAC Stock model</w:t>
      </w:r>
      <w:r w:rsidRPr="00C57461">
        <w:rPr>
          <w:lang w:val="en-AU"/>
        </w:rPr>
        <w:t xml:space="preserve"> estimates a stock of </w:t>
      </w:r>
      <w:r>
        <w:rPr>
          <w:lang w:val="en-AU"/>
        </w:rPr>
        <w:t xml:space="preserve">greater than 206,000 </w:t>
      </w:r>
      <w:r w:rsidRPr="00125738">
        <w:rPr>
          <w:lang w:val="en-AU"/>
        </w:rPr>
        <w:t>hot water heat</w:t>
      </w:r>
      <w:r>
        <w:rPr>
          <w:lang w:val="en-AU"/>
        </w:rPr>
        <w:t xml:space="preserve"> </w:t>
      </w:r>
      <w:r w:rsidRPr="00125738">
        <w:rPr>
          <w:lang w:val="en-AU"/>
        </w:rPr>
        <w:t>pumps</w:t>
      </w:r>
      <w:r>
        <w:rPr>
          <w:lang w:val="en-AU"/>
        </w:rPr>
        <w:t xml:space="preserve">, a value that aligns with those published by the </w:t>
      </w:r>
      <w:r w:rsidRPr="001C5665">
        <w:rPr>
          <w:szCs w:val="22"/>
        </w:rPr>
        <w:t>Clean Energy Regulator</w:t>
      </w:r>
      <w:r w:rsidRPr="001C5665">
        <w:rPr>
          <w:rStyle w:val="FootnoteReference"/>
          <w:szCs w:val="22"/>
        </w:rPr>
        <w:footnoteReference w:id="69"/>
      </w:r>
      <w:r>
        <w:rPr>
          <w:szCs w:val="22"/>
        </w:rPr>
        <w:t xml:space="preserve"> of 210,649 devices</w:t>
      </w:r>
      <w:r w:rsidRPr="00125738">
        <w:rPr>
          <w:szCs w:val="22"/>
        </w:rPr>
        <w:t xml:space="preserve"> registered at the end of 2016</w:t>
      </w:r>
      <w:r>
        <w:rPr>
          <w:szCs w:val="22"/>
        </w:rPr>
        <w:t xml:space="preserve">. </w:t>
      </w:r>
      <w:r w:rsidRPr="001C5665">
        <w:rPr>
          <w:szCs w:val="22"/>
        </w:rPr>
        <w:t xml:space="preserve">The stock model assumes an average lifespan of 15 </w:t>
      </w:r>
      <w:r w:rsidR="00FE74F2" w:rsidRPr="001C5665">
        <w:rPr>
          <w:szCs w:val="22"/>
        </w:rPr>
        <w:t>year</w:t>
      </w:r>
      <w:r w:rsidR="00FE74F2">
        <w:rPr>
          <w:szCs w:val="22"/>
        </w:rPr>
        <w:t>s</w:t>
      </w:r>
      <w:r>
        <w:rPr>
          <w:szCs w:val="22"/>
        </w:rPr>
        <w:t>, however reduces total stock at a slightly accelerated rate to account for</w:t>
      </w:r>
      <w:r w:rsidRPr="001C5665">
        <w:rPr>
          <w:szCs w:val="22"/>
        </w:rPr>
        <w:t xml:space="preserve"> </w:t>
      </w:r>
      <w:r>
        <w:rPr>
          <w:szCs w:val="22"/>
        </w:rPr>
        <w:t xml:space="preserve">older models that are more likely to have been retired since early 2000s. </w:t>
      </w:r>
    </w:p>
    <w:p w14:paraId="35AFC295" w14:textId="6035D3D5" w:rsidR="00B861D9" w:rsidRDefault="00B861D9" w:rsidP="00B861D9">
      <w:pPr>
        <w:snapToGrid w:val="0"/>
        <w:rPr>
          <w:b/>
          <w:lang w:val="en-AU"/>
        </w:rPr>
      </w:pPr>
      <w:r>
        <w:rPr>
          <w:szCs w:val="22"/>
        </w:rPr>
        <w:t xml:space="preserve">As a result </w:t>
      </w:r>
      <w:r>
        <w:rPr>
          <w:lang w:val="en-AU"/>
        </w:rPr>
        <w:t xml:space="preserve">the </w:t>
      </w:r>
      <w:r w:rsidR="007A1335">
        <w:rPr>
          <w:lang w:val="en-AU"/>
        </w:rPr>
        <w:t>CHF3 RAC Stock model</w:t>
      </w:r>
      <w:r w:rsidRPr="003317E8">
        <w:rPr>
          <w:lang w:val="en-AU"/>
        </w:rPr>
        <w:t xml:space="preserve"> estimates</w:t>
      </w:r>
      <w:r>
        <w:rPr>
          <w:lang w:val="en-AU"/>
        </w:rPr>
        <w:t xml:space="preserve"> the stock of hot water heat pumps at 206,000 units that consumed 186 GWh in 2016 compared to the </w:t>
      </w:r>
      <w:r w:rsidRPr="007C6EEF">
        <w:rPr>
          <w:lang w:val="en-AU"/>
        </w:rPr>
        <w:t>Residential Baseline Study</w:t>
      </w:r>
      <w:r w:rsidRPr="00125738">
        <w:rPr>
          <w:lang w:val="en-AU"/>
        </w:rPr>
        <w:t xml:space="preserve"> </w:t>
      </w:r>
      <w:r>
        <w:rPr>
          <w:lang w:val="en-AU"/>
        </w:rPr>
        <w:t xml:space="preserve">that estimated </w:t>
      </w:r>
      <w:r w:rsidRPr="00125738">
        <w:rPr>
          <w:lang w:val="en-AU"/>
        </w:rPr>
        <w:t>196,378</w:t>
      </w:r>
      <w:r>
        <w:rPr>
          <w:lang w:val="en-AU"/>
        </w:rPr>
        <w:t xml:space="preserve"> devices consuming 0.633 PJ (176 GWh) in 2015.</w:t>
      </w:r>
    </w:p>
    <w:p w14:paraId="32C8A07A" w14:textId="77777777" w:rsidR="00B861D9" w:rsidRPr="0062295D" w:rsidRDefault="00B861D9" w:rsidP="00B861D9">
      <w:pPr>
        <w:snapToGrid w:val="0"/>
        <w:spacing w:before="240"/>
        <w:rPr>
          <w:lang w:val="en-AU"/>
        </w:rPr>
      </w:pPr>
      <w:r w:rsidRPr="00DD7495">
        <w:rPr>
          <w:rFonts w:cs="Times New Roman"/>
          <w:b/>
          <w:lang w:val="en-AU"/>
        </w:rPr>
        <w:t>Stationary air conditioning</w:t>
      </w:r>
    </w:p>
    <w:p w14:paraId="55C133B2" w14:textId="12A2C2FA" w:rsidR="00B861D9" w:rsidRPr="00DD7495" w:rsidRDefault="00B861D9" w:rsidP="00B861D9">
      <w:pPr>
        <w:rPr>
          <w:rFonts w:cs="Times New Roman"/>
          <w:lang w:val="en-AU"/>
        </w:rPr>
      </w:pPr>
      <w:r>
        <w:rPr>
          <w:rFonts w:cs="Times New Roman"/>
          <w:lang w:val="en-AU"/>
        </w:rPr>
        <w:t xml:space="preserve">CHF3 stock numbers and energy use in stationary AC </w:t>
      </w:r>
      <w:r w:rsidR="00862EC4">
        <w:rPr>
          <w:rFonts w:cs="Times New Roman"/>
          <w:lang w:val="en-AU"/>
        </w:rPr>
        <w:t>are</w:t>
      </w:r>
      <w:r w:rsidR="00FE4B1F">
        <w:rPr>
          <w:rFonts w:cs="Times New Roman"/>
          <w:lang w:val="en-AU"/>
        </w:rPr>
        <w:t xml:space="preserve"> </w:t>
      </w:r>
      <w:r>
        <w:rPr>
          <w:rFonts w:cs="Times New Roman"/>
          <w:lang w:val="en-AU"/>
        </w:rPr>
        <w:t xml:space="preserve">based on slightly different equipment definitions and a larger number of categories than were used in the AC RIS prepared for DoEE in 2016. However by combining some of the categories used in CHF3, a comparison of the stocks used in both studies has been made below. </w:t>
      </w:r>
    </w:p>
    <w:p w14:paraId="6FE92986" w14:textId="1E56DB9B" w:rsidR="00B861D9" w:rsidRDefault="00B861D9" w:rsidP="00B861D9">
      <w:pPr>
        <w:rPr>
          <w:rFonts w:cs="Times New Roman"/>
          <w:lang w:val="en-AU"/>
        </w:rPr>
      </w:pPr>
    </w:p>
    <w:p w14:paraId="6A358713" w14:textId="77777777" w:rsidR="00612476" w:rsidRDefault="00612476">
      <w:pPr>
        <w:spacing w:before="0"/>
        <w:jc w:val="left"/>
        <w:rPr>
          <w:rFonts w:eastAsia="Times New Roman" w:cs="Times New Roman"/>
          <w:bCs/>
          <w:i/>
          <w:szCs w:val="20"/>
          <w:lang w:val="en-US"/>
        </w:rPr>
      </w:pPr>
      <w:r>
        <w:br w:type="page"/>
      </w:r>
    </w:p>
    <w:p w14:paraId="05338AE0" w14:textId="175D47EB" w:rsidR="00B861D9" w:rsidRPr="00784A3F" w:rsidRDefault="00784A3F" w:rsidP="00784A3F">
      <w:pPr>
        <w:pStyle w:val="Caption"/>
        <w:keepNext/>
        <w:rPr>
          <w:lang w:val="en-AU"/>
        </w:rPr>
      </w:pPr>
      <w:bookmarkStart w:id="219" w:name="_Toc525141430"/>
      <w:r w:rsidRPr="00784A3F">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41</w:t>
      </w:r>
      <w:r w:rsidR="009D6843">
        <w:rPr>
          <w:noProof/>
        </w:rPr>
        <w:fldChar w:fldCharType="end"/>
      </w:r>
      <w:r w:rsidRPr="00784A3F">
        <w:t xml:space="preserve">: </w:t>
      </w:r>
      <w:r w:rsidR="001F64CE" w:rsidRPr="00784A3F">
        <w:rPr>
          <w:lang w:val="en-AU"/>
        </w:rPr>
        <w:t>Comparisons</w:t>
      </w:r>
      <w:r w:rsidR="00B861D9" w:rsidRPr="00784A3F">
        <w:rPr>
          <w:lang w:val="en-AU"/>
        </w:rPr>
        <w:t xml:space="preserve"> of </w:t>
      </w:r>
      <w:r w:rsidR="00D60BF5" w:rsidRPr="00784A3F">
        <w:rPr>
          <w:lang w:val="en-AU"/>
        </w:rPr>
        <w:t>stock and electricity consumption values: CHF2 vs AC RIS: 2016 vs CHF3: 2016.</w:t>
      </w:r>
      <w:bookmarkEnd w:id="219"/>
    </w:p>
    <w:tbl>
      <w:tblPr>
        <w:tblStyle w:val="TableGrid"/>
        <w:tblW w:w="9634" w:type="dxa"/>
        <w:tblLayout w:type="fixed"/>
        <w:tblLook w:val="04A0" w:firstRow="1" w:lastRow="0" w:firstColumn="1" w:lastColumn="0" w:noHBand="0" w:noVBand="1"/>
      </w:tblPr>
      <w:tblGrid>
        <w:gridCol w:w="2122"/>
        <w:gridCol w:w="1252"/>
        <w:gridCol w:w="1252"/>
        <w:gridCol w:w="1252"/>
        <w:gridCol w:w="1252"/>
        <w:gridCol w:w="1252"/>
        <w:gridCol w:w="1252"/>
      </w:tblGrid>
      <w:tr w:rsidR="00B861D9" w:rsidRPr="00DD7495" w14:paraId="1399AB48" w14:textId="77777777" w:rsidTr="00952C41">
        <w:tc>
          <w:tcPr>
            <w:tcW w:w="2122" w:type="dxa"/>
            <w:vMerge w:val="restart"/>
            <w:shd w:val="clear" w:color="auto" w:fill="B6DDE8" w:themeFill="accent5" w:themeFillTint="66"/>
          </w:tcPr>
          <w:p w14:paraId="3824F09E" w14:textId="77777777" w:rsidR="00B861D9" w:rsidRPr="00B02CED" w:rsidRDefault="00B861D9" w:rsidP="00B861D9">
            <w:pPr>
              <w:snapToGrid w:val="0"/>
              <w:spacing w:before="60" w:after="60"/>
              <w:jc w:val="left"/>
              <w:rPr>
                <w:lang w:val="en-AU"/>
              </w:rPr>
            </w:pPr>
          </w:p>
        </w:tc>
        <w:tc>
          <w:tcPr>
            <w:tcW w:w="2504" w:type="dxa"/>
            <w:gridSpan w:val="2"/>
            <w:shd w:val="clear" w:color="auto" w:fill="B6DDE8" w:themeFill="accent5" w:themeFillTint="66"/>
            <w:vAlign w:val="center"/>
          </w:tcPr>
          <w:p w14:paraId="4F3BFDD2" w14:textId="7370825D" w:rsidR="00B861D9" w:rsidRPr="00B02CED" w:rsidRDefault="00B861D9" w:rsidP="00B861D9">
            <w:pPr>
              <w:snapToGrid w:val="0"/>
              <w:spacing w:before="60" w:after="60"/>
              <w:jc w:val="center"/>
              <w:rPr>
                <w:lang w:val="en-AU"/>
              </w:rPr>
            </w:pPr>
            <w:r w:rsidRPr="00B02CED">
              <w:rPr>
                <w:lang w:val="en-AU"/>
              </w:rPr>
              <w:t>CHF2: 2012</w:t>
            </w:r>
          </w:p>
        </w:tc>
        <w:tc>
          <w:tcPr>
            <w:tcW w:w="2504" w:type="dxa"/>
            <w:gridSpan w:val="2"/>
            <w:shd w:val="clear" w:color="auto" w:fill="B6DDE8" w:themeFill="accent5" w:themeFillTint="66"/>
            <w:vAlign w:val="center"/>
          </w:tcPr>
          <w:p w14:paraId="525F6578" w14:textId="3E461DB3" w:rsidR="00B861D9" w:rsidRPr="00B02CED" w:rsidRDefault="00B861D9" w:rsidP="00B861D9">
            <w:pPr>
              <w:snapToGrid w:val="0"/>
              <w:spacing w:before="60" w:after="60"/>
              <w:jc w:val="center"/>
              <w:rPr>
                <w:lang w:val="en-AU"/>
              </w:rPr>
            </w:pPr>
            <w:r w:rsidRPr="00B02CED">
              <w:rPr>
                <w:lang w:val="en-AU"/>
              </w:rPr>
              <w:t>AC RIS: 2016</w:t>
            </w:r>
          </w:p>
        </w:tc>
        <w:tc>
          <w:tcPr>
            <w:tcW w:w="2504" w:type="dxa"/>
            <w:gridSpan w:val="2"/>
            <w:shd w:val="clear" w:color="auto" w:fill="B6DDE8" w:themeFill="accent5" w:themeFillTint="66"/>
            <w:vAlign w:val="center"/>
          </w:tcPr>
          <w:p w14:paraId="7E941FEC" w14:textId="22EE35DE" w:rsidR="00B861D9" w:rsidRPr="00B02CED" w:rsidRDefault="00B861D9" w:rsidP="00B861D9">
            <w:pPr>
              <w:snapToGrid w:val="0"/>
              <w:spacing w:before="60" w:after="60"/>
              <w:jc w:val="center"/>
              <w:rPr>
                <w:lang w:val="en-AU"/>
              </w:rPr>
            </w:pPr>
            <w:r w:rsidRPr="00B02CED">
              <w:rPr>
                <w:lang w:val="en-AU"/>
              </w:rPr>
              <w:t>CHF3: 2016</w:t>
            </w:r>
          </w:p>
        </w:tc>
      </w:tr>
      <w:tr w:rsidR="00B861D9" w:rsidRPr="00DD7495" w14:paraId="09B19690" w14:textId="77777777" w:rsidTr="00952C41">
        <w:tc>
          <w:tcPr>
            <w:tcW w:w="2122" w:type="dxa"/>
            <w:vMerge/>
            <w:shd w:val="clear" w:color="auto" w:fill="B6DDE8" w:themeFill="accent5" w:themeFillTint="66"/>
          </w:tcPr>
          <w:p w14:paraId="7170B78A" w14:textId="77777777" w:rsidR="00B861D9" w:rsidRPr="00B02CED" w:rsidRDefault="00B861D9" w:rsidP="00B861D9">
            <w:pPr>
              <w:snapToGrid w:val="0"/>
              <w:spacing w:before="60" w:after="60"/>
              <w:jc w:val="left"/>
              <w:rPr>
                <w:lang w:val="en-AU"/>
              </w:rPr>
            </w:pPr>
          </w:p>
        </w:tc>
        <w:tc>
          <w:tcPr>
            <w:tcW w:w="1252" w:type="dxa"/>
            <w:shd w:val="clear" w:color="auto" w:fill="B6DDE8" w:themeFill="accent5" w:themeFillTint="66"/>
            <w:vAlign w:val="center"/>
          </w:tcPr>
          <w:p w14:paraId="0C3E1961" w14:textId="77777777" w:rsidR="00B861D9" w:rsidRPr="00B02CED" w:rsidRDefault="00B861D9" w:rsidP="00B861D9">
            <w:pPr>
              <w:snapToGrid w:val="0"/>
              <w:spacing w:before="60" w:after="60"/>
              <w:jc w:val="center"/>
              <w:rPr>
                <w:lang w:val="en-AU"/>
              </w:rPr>
            </w:pPr>
            <w:r w:rsidRPr="00B02CED">
              <w:rPr>
                <w:lang w:val="en-AU"/>
              </w:rPr>
              <w:t>Stock</w:t>
            </w:r>
          </w:p>
        </w:tc>
        <w:tc>
          <w:tcPr>
            <w:tcW w:w="1252" w:type="dxa"/>
            <w:shd w:val="clear" w:color="auto" w:fill="B6DDE8" w:themeFill="accent5" w:themeFillTint="66"/>
            <w:vAlign w:val="center"/>
          </w:tcPr>
          <w:p w14:paraId="4560559C" w14:textId="087C29FA" w:rsidR="00B861D9" w:rsidRPr="00B02CED" w:rsidRDefault="00B02CED" w:rsidP="00B861D9">
            <w:pPr>
              <w:snapToGrid w:val="0"/>
              <w:spacing w:before="60" w:after="60"/>
              <w:jc w:val="center"/>
              <w:rPr>
                <w:lang w:val="en-AU"/>
              </w:rPr>
            </w:pPr>
            <w:r w:rsidRPr="00B02CED">
              <w:rPr>
                <w:sz w:val="20"/>
                <w:lang w:val="en-AU"/>
              </w:rPr>
              <w:t>Energy consumption (GWh)</w:t>
            </w:r>
          </w:p>
        </w:tc>
        <w:tc>
          <w:tcPr>
            <w:tcW w:w="1252" w:type="dxa"/>
            <w:shd w:val="clear" w:color="auto" w:fill="B6DDE8" w:themeFill="accent5" w:themeFillTint="66"/>
            <w:vAlign w:val="center"/>
          </w:tcPr>
          <w:p w14:paraId="1BC1246E" w14:textId="77777777" w:rsidR="00B861D9" w:rsidRPr="00B02CED" w:rsidRDefault="00B861D9" w:rsidP="00B861D9">
            <w:pPr>
              <w:snapToGrid w:val="0"/>
              <w:spacing w:before="60" w:after="60"/>
              <w:jc w:val="center"/>
              <w:rPr>
                <w:lang w:val="en-AU"/>
              </w:rPr>
            </w:pPr>
            <w:r w:rsidRPr="00B02CED">
              <w:rPr>
                <w:lang w:val="en-AU"/>
              </w:rPr>
              <w:t>Stock</w:t>
            </w:r>
          </w:p>
        </w:tc>
        <w:tc>
          <w:tcPr>
            <w:tcW w:w="1252" w:type="dxa"/>
            <w:shd w:val="clear" w:color="auto" w:fill="B6DDE8" w:themeFill="accent5" w:themeFillTint="66"/>
            <w:vAlign w:val="center"/>
          </w:tcPr>
          <w:p w14:paraId="5B9F52DF" w14:textId="77777777" w:rsidR="00B861D9" w:rsidRPr="00B02CED" w:rsidRDefault="00B861D9" w:rsidP="00B861D9">
            <w:pPr>
              <w:snapToGrid w:val="0"/>
              <w:spacing w:before="60" w:after="60"/>
              <w:jc w:val="center"/>
              <w:rPr>
                <w:sz w:val="20"/>
                <w:lang w:val="en-AU"/>
              </w:rPr>
            </w:pPr>
            <w:r w:rsidRPr="00B02CED">
              <w:rPr>
                <w:sz w:val="20"/>
                <w:lang w:val="en-AU"/>
              </w:rPr>
              <w:t>Energy consumption (GWh)</w:t>
            </w:r>
          </w:p>
        </w:tc>
        <w:tc>
          <w:tcPr>
            <w:tcW w:w="1252" w:type="dxa"/>
            <w:shd w:val="clear" w:color="auto" w:fill="B6DDE8" w:themeFill="accent5" w:themeFillTint="66"/>
            <w:vAlign w:val="center"/>
          </w:tcPr>
          <w:p w14:paraId="0A3B16B9" w14:textId="77777777" w:rsidR="00B861D9" w:rsidRPr="00B02CED" w:rsidRDefault="00B861D9" w:rsidP="00B861D9">
            <w:pPr>
              <w:snapToGrid w:val="0"/>
              <w:spacing w:before="60" w:after="60"/>
              <w:jc w:val="center"/>
              <w:rPr>
                <w:lang w:val="en-AU"/>
              </w:rPr>
            </w:pPr>
            <w:r w:rsidRPr="00B02CED">
              <w:rPr>
                <w:lang w:val="en-AU"/>
              </w:rPr>
              <w:t>Stock</w:t>
            </w:r>
          </w:p>
        </w:tc>
        <w:tc>
          <w:tcPr>
            <w:tcW w:w="1252" w:type="dxa"/>
            <w:shd w:val="clear" w:color="auto" w:fill="B6DDE8" w:themeFill="accent5" w:themeFillTint="66"/>
            <w:vAlign w:val="center"/>
          </w:tcPr>
          <w:p w14:paraId="17E3654A" w14:textId="77777777" w:rsidR="00B861D9" w:rsidRPr="00B02CED" w:rsidRDefault="00B861D9" w:rsidP="00B861D9">
            <w:pPr>
              <w:snapToGrid w:val="0"/>
              <w:spacing w:before="60" w:after="60"/>
              <w:jc w:val="center"/>
              <w:rPr>
                <w:sz w:val="20"/>
                <w:lang w:val="en-AU"/>
              </w:rPr>
            </w:pPr>
            <w:r w:rsidRPr="00B02CED">
              <w:rPr>
                <w:sz w:val="20"/>
                <w:lang w:val="en-AU"/>
              </w:rPr>
              <w:t>Energy consumption (GWh)</w:t>
            </w:r>
          </w:p>
        </w:tc>
      </w:tr>
      <w:tr w:rsidR="00B861D9" w:rsidRPr="00DD7495" w14:paraId="5974D1E5" w14:textId="77777777" w:rsidTr="00B861D9">
        <w:trPr>
          <w:trHeight w:val="680"/>
        </w:trPr>
        <w:tc>
          <w:tcPr>
            <w:tcW w:w="2122" w:type="dxa"/>
          </w:tcPr>
          <w:p w14:paraId="7CE9BB25" w14:textId="77777777" w:rsidR="00B861D9" w:rsidRPr="00B02CED" w:rsidRDefault="00B861D9" w:rsidP="00B861D9">
            <w:pPr>
              <w:snapToGrid w:val="0"/>
              <w:spacing w:before="60" w:after="60"/>
              <w:jc w:val="left"/>
              <w:rPr>
                <w:lang w:val="en-AU"/>
              </w:rPr>
            </w:pPr>
            <w:r w:rsidRPr="00B02CED">
              <w:rPr>
                <w:lang w:val="en-AU"/>
              </w:rPr>
              <w:t>Non-Ducted: Unitary</w:t>
            </w:r>
          </w:p>
        </w:tc>
        <w:tc>
          <w:tcPr>
            <w:tcW w:w="1252" w:type="dxa"/>
          </w:tcPr>
          <w:p w14:paraId="2DBD7A6C" w14:textId="77777777" w:rsidR="00B861D9" w:rsidRPr="00B02CED" w:rsidRDefault="00B861D9" w:rsidP="00B861D9">
            <w:pPr>
              <w:snapToGrid w:val="0"/>
              <w:spacing w:before="60" w:after="60"/>
              <w:jc w:val="center"/>
              <w:rPr>
                <w:lang w:val="en-AU"/>
              </w:rPr>
            </w:pPr>
            <w:r w:rsidRPr="00B02CED">
              <w:rPr>
                <w:lang w:val="en-AU"/>
              </w:rPr>
              <w:t>1,915,000</w:t>
            </w:r>
          </w:p>
        </w:tc>
        <w:tc>
          <w:tcPr>
            <w:tcW w:w="1252" w:type="dxa"/>
          </w:tcPr>
          <w:p w14:paraId="590E3E00" w14:textId="77777777" w:rsidR="00B861D9" w:rsidRPr="00B02CED" w:rsidRDefault="00B861D9" w:rsidP="00B861D9">
            <w:pPr>
              <w:snapToGrid w:val="0"/>
              <w:spacing w:before="60" w:after="60"/>
              <w:jc w:val="center"/>
              <w:rPr>
                <w:lang w:val="en-AU"/>
              </w:rPr>
            </w:pPr>
            <w:r w:rsidRPr="00B02CED">
              <w:rPr>
                <w:lang w:val="en-AU"/>
              </w:rPr>
              <w:t>1,967</w:t>
            </w:r>
          </w:p>
        </w:tc>
        <w:tc>
          <w:tcPr>
            <w:tcW w:w="1252" w:type="dxa"/>
          </w:tcPr>
          <w:p w14:paraId="126D6BC1" w14:textId="77777777" w:rsidR="00B861D9" w:rsidRPr="00B02CED" w:rsidRDefault="00B861D9" w:rsidP="00B861D9">
            <w:pPr>
              <w:snapToGrid w:val="0"/>
              <w:spacing w:before="60" w:after="60"/>
              <w:jc w:val="center"/>
              <w:rPr>
                <w:lang w:val="en-AU"/>
              </w:rPr>
            </w:pPr>
            <w:r w:rsidRPr="00B02CED">
              <w:rPr>
                <w:lang w:val="en-AU"/>
              </w:rPr>
              <w:t>1,637,196</w:t>
            </w:r>
          </w:p>
        </w:tc>
        <w:tc>
          <w:tcPr>
            <w:tcW w:w="1252" w:type="dxa"/>
          </w:tcPr>
          <w:p w14:paraId="0ACB9838" w14:textId="77777777" w:rsidR="00B861D9" w:rsidRPr="00B02CED" w:rsidRDefault="00B861D9" w:rsidP="00B861D9">
            <w:pPr>
              <w:snapToGrid w:val="0"/>
              <w:spacing w:before="60" w:after="60"/>
              <w:jc w:val="center"/>
              <w:rPr>
                <w:lang w:val="en-AU"/>
              </w:rPr>
            </w:pPr>
            <w:r w:rsidRPr="00B02CED">
              <w:rPr>
                <w:lang w:val="en-AU"/>
              </w:rPr>
              <w:t>764</w:t>
            </w:r>
          </w:p>
        </w:tc>
        <w:tc>
          <w:tcPr>
            <w:tcW w:w="1252" w:type="dxa"/>
          </w:tcPr>
          <w:p w14:paraId="3F9B4C4C" w14:textId="77777777" w:rsidR="00B861D9" w:rsidRPr="00B02CED" w:rsidRDefault="00B861D9" w:rsidP="00B861D9">
            <w:pPr>
              <w:snapToGrid w:val="0"/>
              <w:spacing w:before="60" w:after="60"/>
              <w:jc w:val="center"/>
              <w:rPr>
                <w:lang w:val="en-AU"/>
              </w:rPr>
            </w:pPr>
            <w:r w:rsidRPr="00B02CED">
              <w:rPr>
                <w:lang w:val="en-AU"/>
              </w:rPr>
              <w:t>1,591,808</w:t>
            </w:r>
          </w:p>
        </w:tc>
        <w:tc>
          <w:tcPr>
            <w:tcW w:w="1252" w:type="dxa"/>
          </w:tcPr>
          <w:p w14:paraId="43CAE30A" w14:textId="77777777" w:rsidR="00B861D9" w:rsidRPr="00B02CED" w:rsidRDefault="00B861D9" w:rsidP="00B861D9">
            <w:pPr>
              <w:snapToGrid w:val="0"/>
              <w:spacing w:before="60" w:after="60"/>
              <w:jc w:val="center"/>
              <w:rPr>
                <w:lang w:val="en-AU"/>
              </w:rPr>
            </w:pPr>
            <w:r w:rsidRPr="00B02CED">
              <w:rPr>
                <w:lang w:val="en-AU"/>
              </w:rPr>
              <w:t>1,166</w:t>
            </w:r>
          </w:p>
        </w:tc>
      </w:tr>
      <w:tr w:rsidR="00B861D9" w:rsidRPr="00DD7495" w14:paraId="305E06AF" w14:textId="77777777" w:rsidTr="00B861D9">
        <w:trPr>
          <w:trHeight w:val="680"/>
        </w:trPr>
        <w:tc>
          <w:tcPr>
            <w:tcW w:w="2122" w:type="dxa"/>
          </w:tcPr>
          <w:p w14:paraId="71A5212B" w14:textId="77777777" w:rsidR="00B861D9" w:rsidRPr="00B02CED" w:rsidRDefault="00B861D9" w:rsidP="00B861D9">
            <w:pPr>
              <w:snapToGrid w:val="0"/>
              <w:spacing w:before="60" w:after="60"/>
              <w:jc w:val="left"/>
              <w:rPr>
                <w:lang w:val="en-AU"/>
              </w:rPr>
            </w:pPr>
            <w:r w:rsidRPr="00B02CED">
              <w:rPr>
                <w:lang w:val="en-AU"/>
              </w:rPr>
              <w:t>Portable AC</w:t>
            </w:r>
          </w:p>
        </w:tc>
        <w:tc>
          <w:tcPr>
            <w:tcW w:w="1252" w:type="dxa"/>
          </w:tcPr>
          <w:p w14:paraId="66F66CCC" w14:textId="77777777" w:rsidR="00B861D9" w:rsidRPr="00B02CED" w:rsidRDefault="00B861D9" w:rsidP="00B861D9">
            <w:pPr>
              <w:snapToGrid w:val="0"/>
              <w:spacing w:before="60" w:after="60"/>
              <w:jc w:val="center"/>
              <w:rPr>
                <w:lang w:val="en-AU"/>
              </w:rPr>
            </w:pPr>
            <w:r w:rsidRPr="00B02CED">
              <w:rPr>
                <w:lang w:val="en-AU"/>
              </w:rPr>
              <w:t>606,000</w:t>
            </w:r>
          </w:p>
        </w:tc>
        <w:tc>
          <w:tcPr>
            <w:tcW w:w="1252" w:type="dxa"/>
          </w:tcPr>
          <w:p w14:paraId="16B8C9D2" w14:textId="77777777" w:rsidR="00B861D9" w:rsidRPr="00B02CED" w:rsidRDefault="00B861D9" w:rsidP="00B861D9">
            <w:pPr>
              <w:snapToGrid w:val="0"/>
              <w:spacing w:before="60" w:after="60"/>
              <w:jc w:val="center"/>
              <w:rPr>
                <w:lang w:val="en-AU"/>
              </w:rPr>
            </w:pPr>
            <w:r w:rsidRPr="00B02CED">
              <w:rPr>
                <w:lang w:val="en-AU"/>
              </w:rPr>
              <w:t>534</w:t>
            </w:r>
          </w:p>
        </w:tc>
        <w:tc>
          <w:tcPr>
            <w:tcW w:w="1252" w:type="dxa"/>
          </w:tcPr>
          <w:p w14:paraId="4A232C7E" w14:textId="77777777" w:rsidR="00B861D9" w:rsidRPr="00B02CED" w:rsidRDefault="00B861D9" w:rsidP="00B861D9">
            <w:pPr>
              <w:snapToGrid w:val="0"/>
              <w:spacing w:before="60" w:after="60"/>
              <w:jc w:val="center"/>
              <w:rPr>
                <w:lang w:val="en-AU"/>
              </w:rPr>
            </w:pPr>
            <w:r w:rsidRPr="00B02CED">
              <w:rPr>
                <w:lang w:val="en-AU"/>
              </w:rPr>
              <w:t>789,897</w:t>
            </w:r>
          </w:p>
        </w:tc>
        <w:tc>
          <w:tcPr>
            <w:tcW w:w="1252" w:type="dxa"/>
          </w:tcPr>
          <w:p w14:paraId="426EC83F" w14:textId="77777777" w:rsidR="00B861D9" w:rsidRPr="00B02CED" w:rsidRDefault="00B861D9" w:rsidP="00B861D9">
            <w:pPr>
              <w:snapToGrid w:val="0"/>
              <w:spacing w:before="60" w:after="60"/>
              <w:jc w:val="center"/>
              <w:rPr>
                <w:lang w:val="en-AU"/>
              </w:rPr>
            </w:pPr>
            <w:r w:rsidRPr="00B02CED">
              <w:rPr>
                <w:lang w:val="en-AU"/>
              </w:rPr>
              <w:t>176</w:t>
            </w:r>
          </w:p>
        </w:tc>
        <w:tc>
          <w:tcPr>
            <w:tcW w:w="1252" w:type="dxa"/>
          </w:tcPr>
          <w:p w14:paraId="2F04F6FF" w14:textId="77777777" w:rsidR="00B861D9" w:rsidRPr="00B02CED" w:rsidRDefault="00B861D9" w:rsidP="00B861D9">
            <w:pPr>
              <w:snapToGrid w:val="0"/>
              <w:spacing w:before="60" w:after="60"/>
              <w:jc w:val="center"/>
              <w:rPr>
                <w:lang w:val="en-AU"/>
              </w:rPr>
            </w:pPr>
            <w:r w:rsidRPr="00B02CED">
              <w:rPr>
                <w:lang w:val="en-AU"/>
              </w:rPr>
              <w:t>826,561</w:t>
            </w:r>
          </w:p>
        </w:tc>
        <w:tc>
          <w:tcPr>
            <w:tcW w:w="1252" w:type="dxa"/>
          </w:tcPr>
          <w:p w14:paraId="6C8473DE" w14:textId="77777777" w:rsidR="00B861D9" w:rsidRPr="00B02CED" w:rsidRDefault="00B861D9" w:rsidP="00B861D9">
            <w:pPr>
              <w:snapToGrid w:val="0"/>
              <w:spacing w:before="60" w:after="60"/>
              <w:jc w:val="center"/>
              <w:rPr>
                <w:lang w:val="en-AU"/>
              </w:rPr>
            </w:pPr>
            <w:r w:rsidRPr="00B02CED">
              <w:rPr>
                <w:lang w:val="en-AU"/>
              </w:rPr>
              <w:t>309</w:t>
            </w:r>
          </w:p>
        </w:tc>
      </w:tr>
      <w:tr w:rsidR="00B861D9" w:rsidRPr="00DD7495" w14:paraId="3D0F9253" w14:textId="77777777" w:rsidTr="00B861D9">
        <w:trPr>
          <w:trHeight w:val="680"/>
        </w:trPr>
        <w:tc>
          <w:tcPr>
            <w:tcW w:w="2122" w:type="dxa"/>
          </w:tcPr>
          <w:p w14:paraId="223324F1" w14:textId="77777777" w:rsidR="00B861D9" w:rsidRPr="00B02CED" w:rsidRDefault="00B861D9" w:rsidP="00B861D9">
            <w:pPr>
              <w:snapToGrid w:val="0"/>
              <w:spacing w:before="60" w:after="60"/>
              <w:jc w:val="left"/>
              <w:rPr>
                <w:lang w:val="en-AU"/>
              </w:rPr>
            </w:pPr>
            <w:r w:rsidRPr="00B02CED">
              <w:rPr>
                <w:lang w:val="en-AU"/>
              </w:rPr>
              <w:t>Single split system: non-ducted</w:t>
            </w:r>
          </w:p>
        </w:tc>
        <w:tc>
          <w:tcPr>
            <w:tcW w:w="1252" w:type="dxa"/>
          </w:tcPr>
          <w:p w14:paraId="1F1D0253" w14:textId="77777777" w:rsidR="00B861D9" w:rsidRPr="00B02CED" w:rsidRDefault="00B861D9" w:rsidP="00B861D9">
            <w:pPr>
              <w:snapToGrid w:val="0"/>
              <w:spacing w:before="60" w:after="60"/>
              <w:jc w:val="center"/>
              <w:rPr>
                <w:lang w:val="en-AU"/>
              </w:rPr>
            </w:pPr>
            <w:r w:rsidRPr="00B02CED">
              <w:rPr>
                <w:lang w:val="en-AU"/>
              </w:rPr>
              <w:t>7,145,000</w:t>
            </w:r>
          </w:p>
        </w:tc>
        <w:tc>
          <w:tcPr>
            <w:tcW w:w="1252" w:type="dxa"/>
          </w:tcPr>
          <w:p w14:paraId="36EEFCA6" w14:textId="77777777" w:rsidR="00B861D9" w:rsidRPr="00B02CED" w:rsidRDefault="00B861D9" w:rsidP="00B861D9">
            <w:pPr>
              <w:snapToGrid w:val="0"/>
              <w:spacing w:before="60" w:after="60"/>
              <w:jc w:val="center"/>
              <w:rPr>
                <w:lang w:val="en-AU"/>
              </w:rPr>
            </w:pPr>
            <w:r w:rsidRPr="00B02CED">
              <w:rPr>
                <w:lang w:val="en-AU"/>
              </w:rPr>
              <w:t>7,542</w:t>
            </w:r>
          </w:p>
        </w:tc>
        <w:tc>
          <w:tcPr>
            <w:tcW w:w="1252" w:type="dxa"/>
          </w:tcPr>
          <w:p w14:paraId="095F459F" w14:textId="77777777" w:rsidR="00B861D9" w:rsidRPr="00B02CED" w:rsidRDefault="00B861D9" w:rsidP="00B861D9">
            <w:pPr>
              <w:snapToGrid w:val="0"/>
              <w:spacing w:before="60" w:after="60"/>
              <w:jc w:val="center"/>
              <w:rPr>
                <w:lang w:val="en-AU"/>
              </w:rPr>
            </w:pPr>
            <w:r w:rsidRPr="00B02CED">
              <w:rPr>
                <w:lang w:val="en-AU"/>
              </w:rPr>
              <w:t>7,864,553</w:t>
            </w:r>
          </w:p>
        </w:tc>
        <w:tc>
          <w:tcPr>
            <w:tcW w:w="1252" w:type="dxa"/>
          </w:tcPr>
          <w:p w14:paraId="26FEAC05" w14:textId="77777777" w:rsidR="00B861D9" w:rsidRPr="00B02CED" w:rsidRDefault="00B861D9" w:rsidP="00B861D9">
            <w:pPr>
              <w:snapToGrid w:val="0"/>
              <w:spacing w:before="60" w:after="60"/>
              <w:jc w:val="center"/>
              <w:rPr>
                <w:lang w:val="en-AU"/>
              </w:rPr>
            </w:pPr>
            <w:r w:rsidRPr="00B02CED">
              <w:rPr>
                <w:lang w:val="en-AU"/>
              </w:rPr>
              <w:t>5,652</w:t>
            </w:r>
          </w:p>
        </w:tc>
        <w:tc>
          <w:tcPr>
            <w:tcW w:w="1252" w:type="dxa"/>
          </w:tcPr>
          <w:p w14:paraId="131A0BB1" w14:textId="77777777" w:rsidR="00B861D9" w:rsidRPr="00B02CED" w:rsidRDefault="00B861D9" w:rsidP="00B861D9">
            <w:pPr>
              <w:snapToGrid w:val="0"/>
              <w:spacing w:before="60" w:after="60"/>
              <w:jc w:val="center"/>
              <w:rPr>
                <w:lang w:val="en-AU"/>
              </w:rPr>
            </w:pPr>
            <w:r w:rsidRPr="00B02CED">
              <w:rPr>
                <w:lang w:val="en-AU"/>
              </w:rPr>
              <w:t>9,238,148</w:t>
            </w:r>
          </w:p>
        </w:tc>
        <w:tc>
          <w:tcPr>
            <w:tcW w:w="1252" w:type="dxa"/>
          </w:tcPr>
          <w:p w14:paraId="693F50E7" w14:textId="77777777" w:rsidR="00B861D9" w:rsidRPr="00B02CED" w:rsidRDefault="00B861D9" w:rsidP="00B861D9">
            <w:pPr>
              <w:snapToGrid w:val="0"/>
              <w:spacing w:before="60" w:after="60"/>
              <w:jc w:val="center"/>
              <w:rPr>
                <w:lang w:val="en-AU"/>
              </w:rPr>
            </w:pPr>
            <w:r w:rsidRPr="00B02CED">
              <w:rPr>
                <w:lang w:val="en-AU"/>
              </w:rPr>
              <w:t>7,972</w:t>
            </w:r>
          </w:p>
        </w:tc>
      </w:tr>
      <w:tr w:rsidR="00B861D9" w:rsidRPr="00DD7495" w14:paraId="0AF766EE" w14:textId="77777777" w:rsidTr="00B861D9">
        <w:trPr>
          <w:trHeight w:val="680"/>
        </w:trPr>
        <w:tc>
          <w:tcPr>
            <w:tcW w:w="2122" w:type="dxa"/>
          </w:tcPr>
          <w:p w14:paraId="196D3CEB" w14:textId="77777777" w:rsidR="00B861D9" w:rsidRPr="00B02CED" w:rsidRDefault="00B861D9" w:rsidP="00B861D9">
            <w:pPr>
              <w:snapToGrid w:val="0"/>
              <w:spacing w:before="60" w:after="60"/>
              <w:jc w:val="left"/>
              <w:rPr>
                <w:lang w:val="en-AU"/>
              </w:rPr>
            </w:pPr>
            <w:r w:rsidRPr="00B02CED">
              <w:rPr>
                <w:lang w:val="en-AU"/>
              </w:rPr>
              <w:t>Single split &amp; packaged: ducted</w:t>
            </w:r>
          </w:p>
        </w:tc>
        <w:tc>
          <w:tcPr>
            <w:tcW w:w="1252" w:type="dxa"/>
          </w:tcPr>
          <w:p w14:paraId="0EC6B0C8" w14:textId="77777777" w:rsidR="00B861D9" w:rsidRPr="00B02CED" w:rsidRDefault="00B861D9" w:rsidP="00B861D9">
            <w:pPr>
              <w:snapToGrid w:val="0"/>
              <w:spacing w:before="60" w:after="60"/>
              <w:jc w:val="center"/>
              <w:rPr>
                <w:lang w:val="en-AU"/>
              </w:rPr>
            </w:pPr>
            <w:r w:rsidRPr="00B02CED">
              <w:rPr>
                <w:lang w:val="en-AU"/>
              </w:rPr>
              <w:t>1,304,000</w:t>
            </w:r>
          </w:p>
        </w:tc>
        <w:tc>
          <w:tcPr>
            <w:tcW w:w="1252" w:type="dxa"/>
          </w:tcPr>
          <w:p w14:paraId="77789EFA" w14:textId="77777777" w:rsidR="00B861D9" w:rsidRPr="00B02CED" w:rsidRDefault="00B861D9" w:rsidP="00B861D9">
            <w:pPr>
              <w:snapToGrid w:val="0"/>
              <w:spacing w:before="60" w:after="60"/>
              <w:jc w:val="center"/>
              <w:rPr>
                <w:lang w:val="en-AU"/>
              </w:rPr>
            </w:pPr>
            <w:r w:rsidRPr="00B02CED">
              <w:rPr>
                <w:lang w:val="en-AU"/>
              </w:rPr>
              <w:t>13,472</w:t>
            </w:r>
          </w:p>
        </w:tc>
        <w:tc>
          <w:tcPr>
            <w:tcW w:w="1252" w:type="dxa"/>
          </w:tcPr>
          <w:p w14:paraId="6977D11B" w14:textId="77777777" w:rsidR="00B861D9" w:rsidRPr="00B02CED" w:rsidRDefault="00B861D9" w:rsidP="00B861D9">
            <w:pPr>
              <w:snapToGrid w:val="0"/>
              <w:spacing w:before="60" w:after="60"/>
              <w:jc w:val="center"/>
              <w:rPr>
                <w:lang w:val="en-AU"/>
              </w:rPr>
            </w:pPr>
            <w:r w:rsidRPr="00B02CED">
              <w:rPr>
                <w:lang w:val="en-AU"/>
              </w:rPr>
              <w:t>1,741,133</w:t>
            </w:r>
          </w:p>
        </w:tc>
        <w:tc>
          <w:tcPr>
            <w:tcW w:w="1252" w:type="dxa"/>
          </w:tcPr>
          <w:p w14:paraId="349DF56A" w14:textId="77777777" w:rsidR="00B861D9" w:rsidRPr="00B02CED" w:rsidRDefault="00B861D9" w:rsidP="00B861D9">
            <w:pPr>
              <w:snapToGrid w:val="0"/>
              <w:spacing w:before="60" w:after="60"/>
              <w:jc w:val="center"/>
              <w:rPr>
                <w:lang w:val="en-AU"/>
              </w:rPr>
            </w:pPr>
            <w:r w:rsidRPr="00B02CED">
              <w:rPr>
                <w:lang w:val="en-AU"/>
              </w:rPr>
              <w:t>6,294</w:t>
            </w:r>
          </w:p>
        </w:tc>
        <w:tc>
          <w:tcPr>
            <w:tcW w:w="1252" w:type="dxa"/>
          </w:tcPr>
          <w:p w14:paraId="2ADCBFF9" w14:textId="77777777" w:rsidR="00B861D9" w:rsidRPr="00B02CED" w:rsidRDefault="00B861D9" w:rsidP="00B861D9">
            <w:pPr>
              <w:snapToGrid w:val="0"/>
              <w:spacing w:before="60" w:after="60"/>
              <w:jc w:val="center"/>
              <w:rPr>
                <w:lang w:val="en-AU"/>
              </w:rPr>
            </w:pPr>
            <w:r w:rsidRPr="00B02CED">
              <w:rPr>
                <w:lang w:val="en-AU"/>
              </w:rPr>
              <w:t>2,025,821</w:t>
            </w:r>
          </w:p>
        </w:tc>
        <w:tc>
          <w:tcPr>
            <w:tcW w:w="1252" w:type="dxa"/>
          </w:tcPr>
          <w:p w14:paraId="71BD6C7A" w14:textId="77777777" w:rsidR="00B861D9" w:rsidRPr="00B02CED" w:rsidRDefault="00B861D9" w:rsidP="00B861D9">
            <w:pPr>
              <w:snapToGrid w:val="0"/>
              <w:spacing w:before="60" w:after="60"/>
              <w:jc w:val="center"/>
              <w:rPr>
                <w:lang w:val="en-AU"/>
              </w:rPr>
            </w:pPr>
            <w:r w:rsidRPr="00B02CED">
              <w:rPr>
                <w:lang w:val="en-AU"/>
              </w:rPr>
              <w:t>9,254</w:t>
            </w:r>
          </w:p>
        </w:tc>
      </w:tr>
      <w:tr w:rsidR="00B861D9" w:rsidRPr="00DD7495" w14:paraId="60C59A8E" w14:textId="77777777" w:rsidTr="00B861D9">
        <w:trPr>
          <w:trHeight w:val="680"/>
        </w:trPr>
        <w:tc>
          <w:tcPr>
            <w:tcW w:w="2122" w:type="dxa"/>
          </w:tcPr>
          <w:p w14:paraId="50346D6F" w14:textId="77777777" w:rsidR="00B861D9" w:rsidRPr="00B02CED" w:rsidRDefault="00B861D9" w:rsidP="00B861D9">
            <w:pPr>
              <w:snapToGrid w:val="0"/>
              <w:spacing w:before="60" w:after="60"/>
              <w:jc w:val="left"/>
              <w:rPr>
                <w:lang w:val="en-AU"/>
              </w:rPr>
            </w:pPr>
            <w:r w:rsidRPr="00B02CED">
              <w:rPr>
                <w:lang w:val="en-AU"/>
              </w:rPr>
              <w:t>Multi split</w:t>
            </w:r>
          </w:p>
        </w:tc>
        <w:tc>
          <w:tcPr>
            <w:tcW w:w="1252" w:type="dxa"/>
            <w:vMerge w:val="restart"/>
            <w:vAlign w:val="center"/>
          </w:tcPr>
          <w:p w14:paraId="06572547" w14:textId="77777777" w:rsidR="00B861D9" w:rsidRPr="00B02CED" w:rsidRDefault="00B861D9" w:rsidP="00B861D9">
            <w:pPr>
              <w:snapToGrid w:val="0"/>
              <w:spacing w:before="60" w:after="60"/>
              <w:jc w:val="center"/>
              <w:rPr>
                <w:lang w:val="en-AU"/>
              </w:rPr>
            </w:pPr>
            <w:r w:rsidRPr="00B02CED">
              <w:rPr>
                <w:lang w:val="en-AU"/>
              </w:rPr>
              <w:t>276,000</w:t>
            </w:r>
          </w:p>
        </w:tc>
        <w:tc>
          <w:tcPr>
            <w:tcW w:w="1252" w:type="dxa"/>
            <w:vMerge w:val="restart"/>
            <w:vAlign w:val="center"/>
          </w:tcPr>
          <w:p w14:paraId="583DC220" w14:textId="77777777" w:rsidR="00B861D9" w:rsidRPr="00B02CED" w:rsidRDefault="00B861D9" w:rsidP="00B861D9">
            <w:pPr>
              <w:snapToGrid w:val="0"/>
              <w:spacing w:before="60" w:after="60"/>
              <w:jc w:val="center"/>
              <w:rPr>
                <w:lang w:val="en-AU"/>
              </w:rPr>
            </w:pPr>
            <w:r w:rsidRPr="00B02CED">
              <w:rPr>
                <w:lang w:val="en-AU"/>
              </w:rPr>
              <w:t>2,041</w:t>
            </w:r>
          </w:p>
        </w:tc>
        <w:tc>
          <w:tcPr>
            <w:tcW w:w="1252" w:type="dxa"/>
          </w:tcPr>
          <w:p w14:paraId="544D1B58" w14:textId="77777777" w:rsidR="00B861D9" w:rsidRPr="00B02CED" w:rsidRDefault="00B861D9" w:rsidP="00B861D9">
            <w:pPr>
              <w:snapToGrid w:val="0"/>
              <w:spacing w:before="60" w:after="60"/>
              <w:jc w:val="center"/>
              <w:rPr>
                <w:lang w:val="en-AU"/>
              </w:rPr>
            </w:pPr>
            <w:r w:rsidRPr="00B02CED">
              <w:rPr>
                <w:lang w:val="en-AU"/>
              </w:rPr>
              <w:t>264,496</w:t>
            </w:r>
          </w:p>
        </w:tc>
        <w:tc>
          <w:tcPr>
            <w:tcW w:w="1252" w:type="dxa"/>
          </w:tcPr>
          <w:p w14:paraId="2D1ED104" w14:textId="77777777" w:rsidR="00B861D9" w:rsidRPr="00B02CED" w:rsidRDefault="00B861D9" w:rsidP="00B861D9">
            <w:pPr>
              <w:snapToGrid w:val="0"/>
              <w:spacing w:before="60" w:after="60"/>
              <w:jc w:val="center"/>
              <w:rPr>
                <w:lang w:val="en-AU"/>
              </w:rPr>
            </w:pPr>
            <w:r w:rsidRPr="00B02CED">
              <w:rPr>
                <w:lang w:val="en-AU"/>
              </w:rPr>
              <w:t>320</w:t>
            </w:r>
          </w:p>
        </w:tc>
        <w:tc>
          <w:tcPr>
            <w:tcW w:w="1252" w:type="dxa"/>
          </w:tcPr>
          <w:p w14:paraId="12455C53" w14:textId="77777777" w:rsidR="00B861D9" w:rsidRPr="00B02CED" w:rsidRDefault="00B861D9" w:rsidP="00B861D9">
            <w:pPr>
              <w:snapToGrid w:val="0"/>
              <w:spacing w:before="60" w:after="60"/>
              <w:jc w:val="center"/>
              <w:rPr>
                <w:lang w:val="en-AU"/>
              </w:rPr>
            </w:pPr>
            <w:r w:rsidRPr="00B02CED">
              <w:rPr>
                <w:lang w:val="en-AU"/>
              </w:rPr>
              <w:t>331,165</w:t>
            </w:r>
          </w:p>
        </w:tc>
        <w:tc>
          <w:tcPr>
            <w:tcW w:w="1252" w:type="dxa"/>
          </w:tcPr>
          <w:p w14:paraId="09F395C7" w14:textId="77777777" w:rsidR="00B861D9" w:rsidRPr="00B02CED" w:rsidRDefault="00B861D9" w:rsidP="00B861D9">
            <w:pPr>
              <w:snapToGrid w:val="0"/>
              <w:spacing w:before="60" w:after="60"/>
              <w:jc w:val="center"/>
              <w:rPr>
                <w:lang w:val="en-AU"/>
              </w:rPr>
            </w:pPr>
            <w:r w:rsidRPr="00B02CED">
              <w:rPr>
                <w:lang w:val="en-AU"/>
              </w:rPr>
              <w:t>516</w:t>
            </w:r>
          </w:p>
        </w:tc>
      </w:tr>
      <w:tr w:rsidR="00B861D9" w:rsidRPr="00DD7495" w14:paraId="61658D59" w14:textId="77777777" w:rsidTr="00B861D9">
        <w:trPr>
          <w:trHeight w:val="680"/>
        </w:trPr>
        <w:tc>
          <w:tcPr>
            <w:tcW w:w="2122" w:type="dxa"/>
          </w:tcPr>
          <w:p w14:paraId="17C71A52" w14:textId="77777777" w:rsidR="00B861D9" w:rsidRPr="00B02CED" w:rsidRDefault="00B861D9" w:rsidP="00B861D9">
            <w:pPr>
              <w:snapToGrid w:val="0"/>
              <w:spacing w:before="60" w:after="60"/>
              <w:jc w:val="left"/>
              <w:rPr>
                <w:lang w:val="en-AU"/>
              </w:rPr>
            </w:pPr>
            <w:r w:rsidRPr="00B02CED">
              <w:rPr>
                <w:lang w:val="en-AU"/>
              </w:rPr>
              <w:t>VRV/VRF split systems</w:t>
            </w:r>
          </w:p>
        </w:tc>
        <w:tc>
          <w:tcPr>
            <w:tcW w:w="1252" w:type="dxa"/>
            <w:vMerge/>
            <w:vAlign w:val="center"/>
          </w:tcPr>
          <w:p w14:paraId="4C49825F" w14:textId="77777777" w:rsidR="00B861D9" w:rsidRPr="00B02CED" w:rsidRDefault="00B861D9" w:rsidP="00B861D9">
            <w:pPr>
              <w:snapToGrid w:val="0"/>
              <w:spacing w:before="60" w:after="60"/>
              <w:jc w:val="center"/>
              <w:rPr>
                <w:lang w:val="en-AU"/>
              </w:rPr>
            </w:pPr>
          </w:p>
        </w:tc>
        <w:tc>
          <w:tcPr>
            <w:tcW w:w="1252" w:type="dxa"/>
            <w:vMerge/>
          </w:tcPr>
          <w:p w14:paraId="3B1B5466" w14:textId="77777777" w:rsidR="00B861D9" w:rsidRPr="00B02CED" w:rsidRDefault="00B861D9" w:rsidP="00B861D9">
            <w:pPr>
              <w:snapToGrid w:val="0"/>
              <w:spacing w:before="60" w:after="60"/>
              <w:jc w:val="center"/>
              <w:rPr>
                <w:lang w:val="en-AU"/>
              </w:rPr>
            </w:pPr>
          </w:p>
        </w:tc>
        <w:tc>
          <w:tcPr>
            <w:tcW w:w="1252" w:type="dxa"/>
          </w:tcPr>
          <w:p w14:paraId="22819763" w14:textId="77777777" w:rsidR="00B861D9" w:rsidRPr="00B02CED" w:rsidRDefault="00B861D9" w:rsidP="00B861D9">
            <w:pPr>
              <w:snapToGrid w:val="0"/>
              <w:spacing w:before="60" w:after="60"/>
              <w:jc w:val="center"/>
              <w:rPr>
                <w:lang w:val="en-AU"/>
              </w:rPr>
            </w:pPr>
            <w:r w:rsidRPr="00B02CED">
              <w:rPr>
                <w:lang w:val="en-AU"/>
              </w:rPr>
              <w:t>86,204</w:t>
            </w:r>
          </w:p>
        </w:tc>
        <w:tc>
          <w:tcPr>
            <w:tcW w:w="1252" w:type="dxa"/>
          </w:tcPr>
          <w:p w14:paraId="60996BA2" w14:textId="77777777" w:rsidR="00B861D9" w:rsidRPr="00B02CED" w:rsidRDefault="00B861D9" w:rsidP="00B861D9">
            <w:pPr>
              <w:snapToGrid w:val="0"/>
              <w:spacing w:before="60" w:after="60"/>
              <w:jc w:val="center"/>
              <w:rPr>
                <w:lang w:val="en-AU"/>
              </w:rPr>
            </w:pPr>
            <w:r w:rsidRPr="00B02CED">
              <w:rPr>
                <w:lang w:val="en-AU"/>
              </w:rPr>
              <w:t>626</w:t>
            </w:r>
          </w:p>
        </w:tc>
        <w:tc>
          <w:tcPr>
            <w:tcW w:w="1252" w:type="dxa"/>
          </w:tcPr>
          <w:p w14:paraId="78C3084E" w14:textId="77777777" w:rsidR="00B861D9" w:rsidRPr="00B02CED" w:rsidRDefault="00B861D9" w:rsidP="00B861D9">
            <w:pPr>
              <w:snapToGrid w:val="0"/>
              <w:spacing w:before="60" w:after="60"/>
              <w:jc w:val="center"/>
              <w:rPr>
                <w:lang w:val="en-AU"/>
              </w:rPr>
            </w:pPr>
            <w:r w:rsidRPr="00B02CED">
              <w:rPr>
                <w:lang w:val="en-AU"/>
              </w:rPr>
              <w:t>93,547</w:t>
            </w:r>
          </w:p>
        </w:tc>
        <w:tc>
          <w:tcPr>
            <w:tcW w:w="1252" w:type="dxa"/>
          </w:tcPr>
          <w:p w14:paraId="6D228C19" w14:textId="77777777" w:rsidR="00B861D9" w:rsidRPr="00B02CED" w:rsidRDefault="00B861D9" w:rsidP="00B861D9">
            <w:pPr>
              <w:snapToGrid w:val="0"/>
              <w:spacing w:before="60" w:after="60"/>
              <w:jc w:val="center"/>
              <w:rPr>
                <w:lang w:val="en-AU"/>
              </w:rPr>
            </w:pPr>
            <w:r w:rsidRPr="00B02CED">
              <w:rPr>
                <w:lang w:val="en-AU"/>
              </w:rPr>
              <w:t>617</w:t>
            </w:r>
          </w:p>
        </w:tc>
      </w:tr>
      <w:tr w:rsidR="00B861D9" w:rsidRPr="00DD7495" w14:paraId="5B89933B" w14:textId="77777777" w:rsidTr="00B861D9">
        <w:trPr>
          <w:trHeight w:val="680"/>
        </w:trPr>
        <w:tc>
          <w:tcPr>
            <w:tcW w:w="2122" w:type="dxa"/>
          </w:tcPr>
          <w:p w14:paraId="0FEC6953" w14:textId="77777777" w:rsidR="00B861D9" w:rsidRPr="00B02CED" w:rsidRDefault="00B861D9" w:rsidP="00B861D9">
            <w:pPr>
              <w:snapToGrid w:val="0"/>
              <w:spacing w:before="60" w:after="60"/>
              <w:jc w:val="left"/>
              <w:rPr>
                <w:lang w:val="en-AU"/>
              </w:rPr>
            </w:pPr>
            <w:r w:rsidRPr="00B02CED">
              <w:rPr>
                <w:lang w:val="en-AU"/>
              </w:rPr>
              <w:t xml:space="preserve">Heat pumps </w:t>
            </w:r>
            <w:r w:rsidRPr="00B02CED">
              <w:rPr>
                <w:vertAlign w:val="superscript"/>
                <w:lang w:val="en-AU"/>
              </w:rPr>
              <w:t>(1)</w:t>
            </w:r>
          </w:p>
        </w:tc>
        <w:tc>
          <w:tcPr>
            <w:tcW w:w="1252" w:type="dxa"/>
          </w:tcPr>
          <w:p w14:paraId="7B914E65" w14:textId="77777777" w:rsidR="00B861D9" w:rsidRPr="00B02CED" w:rsidRDefault="00B861D9" w:rsidP="00B861D9">
            <w:pPr>
              <w:snapToGrid w:val="0"/>
              <w:spacing w:before="60" w:after="60"/>
              <w:jc w:val="center"/>
              <w:rPr>
                <w:lang w:val="en-AU"/>
              </w:rPr>
            </w:pPr>
            <w:r w:rsidRPr="00B02CED">
              <w:rPr>
                <w:lang w:val="en-AU"/>
              </w:rPr>
              <w:t>269,000</w:t>
            </w:r>
          </w:p>
        </w:tc>
        <w:tc>
          <w:tcPr>
            <w:tcW w:w="1252" w:type="dxa"/>
          </w:tcPr>
          <w:p w14:paraId="10797035" w14:textId="77777777" w:rsidR="00B861D9" w:rsidRPr="00B02CED" w:rsidRDefault="00B861D9" w:rsidP="00B861D9">
            <w:pPr>
              <w:snapToGrid w:val="0"/>
              <w:spacing w:before="60" w:after="60"/>
              <w:jc w:val="center"/>
              <w:rPr>
                <w:lang w:val="en-AU"/>
              </w:rPr>
            </w:pPr>
            <w:r w:rsidRPr="00B02CED">
              <w:rPr>
                <w:lang w:val="en-AU"/>
              </w:rPr>
              <w:t>308</w:t>
            </w:r>
          </w:p>
        </w:tc>
        <w:tc>
          <w:tcPr>
            <w:tcW w:w="1252" w:type="dxa"/>
          </w:tcPr>
          <w:p w14:paraId="1DD249F1" w14:textId="77777777" w:rsidR="00B861D9" w:rsidRPr="00B02CED" w:rsidRDefault="00B861D9" w:rsidP="00B861D9">
            <w:pPr>
              <w:snapToGrid w:val="0"/>
              <w:spacing w:before="60" w:after="60"/>
              <w:jc w:val="center"/>
              <w:rPr>
                <w:lang w:val="en-AU"/>
              </w:rPr>
            </w:pPr>
            <w:r w:rsidRPr="00B02CED">
              <w:rPr>
                <w:lang w:val="en-AU"/>
              </w:rPr>
              <w:t>-</w:t>
            </w:r>
          </w:p>
        </w:tc>
        <w:tc>
          <w:tcPr>
            <w:tcW w:w="1252" w:type="dxa"/>
          </w:tcPr>
          <w:p w14:paraId="276B6E3B" w14:textId="77777777" w:rsidR="00B861D9" w:rsidRPr="00B02CED" w:rsidRDefault="00B861D9" w:rsidP="00B861D9">
            <w:pPr>
              <w:snapToGrid w:val="0"/>
              <w:spacing w:before="60" w:after="60"/>
              <w:jc w:val="center"/>
              <w:rPr>
                <w:lang w:val="en-AU"/>
              </w:rPr>
            </w:pPr>
            <w:r w:rsidRPr="00B02CED">
              <w:rPr>
                <w:lang w:val="en-AU"/>
              </w:rPr>
              <w:t>-</w:t>
            </w:r>
          </w:p>
        </w:tc>
        <w:tc>
          <w:tcPr>
            <w:tcW w:w="1252" w:type="dxa"/>
          </w:tcPr>
          <w:p w14:paraId="5F709271" w14:textId="77777777" w:rsidR="00B861D9" w:rsidRPr="00B02CED" w:rsidRDefault="00B861D9" w:rsidP="00B861D9">
            <w:pPr>
              <w:snapToGrid w:val="0"/>
              <w:spacing w:before="60" w:after="60"/>
              <w:jc w:val="center"/>
              <w:rPr>
                <w:lang w:val="en-AU"/>
              </w:rPr>
            </w:pPr>
            <w:r w:rsidRPr="00B02CED">
              <w:rPr>
                <w:lang w:val="en-AU"/>
              </w:rPr>
              <w:t>310,120</w:t>
            </w:r>
          </w:p>
        </w:tc>
        <w:tc>
          <w:tcPr>
            <w:tcW w:w="1252" w:type="dxa"/>
          </w:tcPr>
          <w:p w14:paraId="7CAEDE0D" w14:textId="77777777" w:rsidR="00B861D9" w:rsidRPr="00B02CED" w:rsidRDefault="00B861D9" w:rsidP="00B861D9">
            <w:pPr>
              <w:snapToGrid w:val="0"/>
              <w:spacing w:before="60" w:after="60"/>
              <w:jc w:val="center"/>
              <w:rPr>
                <w:lang w:val="en-AU"/>
              </w:rPr>
            </w:pPr>
            <w:r w:rsidRPr="00B02CED">
              <w:rPr>
                <w:lang w:val="en-AU"/>
              </w:rPr>
              <w:t>507</w:t>
            </w:r>
          </w:p>
        </w:tc>
      </w:tr>
      <w:tr w:rsidR="00B861D9" w:rsidRPr="00DD7495" w14:paraId="057C5DD8" w14:textId="77777777" w:rsidTr="00B861D9">
        <w:trPr>
          <w:trHeight w:val="680"/>
        </w:trPr>
        <w:tc>
          <w:tcPr>
            <w:tcW w:w="2122" w:type="dxa"/>
          </w:tcPr>
          <w:p w14:paraId="47E217AC" w14:textId="77777777" w:rsidR="00B861D9" w:rsidRPr="00B02CED" w:rsidRDefault="00B861D9" w:rsidP="00B861D9">
            <w:pPr>
              <w:snapToGrid w:val="0"/>
              <w:spacing w:before="60" w:after="60"/>
              <w:jc w:val="left"/>
              <w:rPr>
                <w:lang w:val="en-AU"/>
              </w:rPr>
            </w:pPr>
            <w:r w:rsidRPr="00B02CED">
              <w:rPr>
                <w:lang w:val="en-AU"/>
              </w:rPr>
              <w:t>Close control</w:t>
            </w:r>
          </w:p>
        </w:tc>
        <w:tc>
          <w:tcPr>
            <w:tcW w:w="1252" w:type="dxa"/>
          </w:tcPr>
          <w:p w14:paraId="47B30823" w14:textId="77777777" w:rsidR="00B861D9" w:rsidRPr="00B02CED" w:rsidRDefault="00B861D9" w:rsidP="00B861D9">
            <w:pPr>
              <w:snapToGrid w:val="0"/>
              <w:spacing w:before="60" w:after="60"/>
              <w:jc w:val="center"/>
              <w:rPr>
                <w:lang w:val="en-AU"/>
              </w:rPr>
            </w:pPr>
            <w:r w:rsidRPr="00B02CED">
              <w:rPr>
                <w:lang w:val="en-AU"/>
              </w:rPr>
              <w:t>11,500</w:t>
            </w:r>
          </w:p>
        </w:tc>
        <w:tc>
          <w:tcPr>
            <w:tcW w:w="1252" w:type="dxa"/>
          </w:tcPr>
          <w:p w14:paraId="3A4BFAB6" w14:textId="77777777" w:rsidR="00B861D9" w:rsidRPr="00B02CED" w:rsidRDefault="00B861D9" w:rsidP="00B861D9">
            <w:pPr>
              <w:snapToGrid w:val="0"/>
              <w:spacing w:before="60" w:after="60"/>
              <w:jc w:val="center"/>
              <w:rPr>
                <w:lang w:val="en-AU"/>
              </w:rPr>
            </w:pPr>
            <w:r w:rsidRPr="00B02CED">
              <w:rPr>
                <w:lang w:val="en-AU"/>
              </w:rPr>
              <w:t>1,478</w:t>
            </w:r>
          </w:p>
        </w:tc>
        <w:tc>
          <w:tcPr>
            <w:tcW w:w="1252" w:type="dxa"/>
          </w:tcPr>
          <w:p w14:paraId="0FDDE359" w14:textId="77777777" w:rsidR="00B861D9" w:rsidRPr="00B02CED" w:rsidRDefault="00B861D9" w:rsidP="00B861D9">
            <w:pPr>
              <w:snapToGrid w:val="0"/>
              <w:spacing w:before="60" w:after="60"/>
              <w:jc w:val="center"/>
              <w:rPr>
                <w:lang w:val="en-AU"/>
              </w:rPr>
            </w:pPr>
            <w:r w:rsidRPr="00B02CED">
              <w:rPr>
                <w:lang w:val="en-AU"/>
              </w:rPr>
              <w:t>20,449</w:t>
            </w:r>
          </w:p>
        </w:tc>
        <w:tc>
          <w:tcPr>
            <w:tcW w:w="1252" w:type="dxa"/>
          </w:tcPr>
          <w:p w14:paraId="4E678EE5" w14:textId="77777777" w:rsidR="00B861D9" w:rsidRPr="00B02CED" w:rsidRDefault="00B861D9" w:rsidP="00B861D9">
            <w:pPr>
              <w:snapToGrid w:val="0"/>
              <w:spacing w:before="60" w:after="60"/>
              <w:jc w:val="center"/>
              <w:rPr>
                <w:lang w:val="en-AU"/>
              </w:rPr>
            </w:pPr>
            <w:r w:rsidRPr="00B02CED">
              <w:rPr>
                <w:lang w:val="en-AU"/>
              </w:rPr>
              <w:t>1,553</w:t>
            </w:r>
          </w:p>
        </w:tc>
        <w:tc>
          <w:tcPr>
            <w:tcW w:w="1252" w:type="dxa"/>
          </w:tcPr>
          <w:p w14:paraId="75E1BE8E" w14:textId="77777777" w:rsidR="00B861D9" w:rsidRPr="00B02CED" w:rsidRDefault="00B861D9" w:rsidP="00B861D9">
            <w:pPr>
              <w:snapToGrid w:val="0"/>
              <w:spacing w:before="60" w:after="60"/>
              <w:jc w:val="center"/>
              <w:rPr>
                <w:lang w:val="en-AU"/>
              </w:rPr>
            </w:pPr>
            <w:r w:rsidRPr="00B02CED">
              <w:rPr>
                <w:lang w:val="en-AU"/>
              </w:rPr>
              <w:t>20,872</w:t>
            </w:r>
          </w:p>
        </w:tc>
        <w:tc>
          <w:tcPr>
            <w:tcW w:w="1252" w:type="dxa"/>
          </w:tcPr>
          <w:p w14:paraId="705845D8" w14:textId="77777777" w:rsidR="00B861D9" w:rsidRPr="00B02CED" w:rsidRDefault="00B861D9" w:rsidP="00B861D9">
            <w:pPr>
              <w:snapToGrid w:val="0"/>
              <w:spacing w:before="60" w:after="60"/>
              <w:jc w:val="center"/>
              <w:rPr>
                <w:lang w:val="en-AU"/>
              </w:rPr>
            </w:pPr>
            <w:r w:rsidRPr="00B02CED">
              <w:rPr>
                <w:lang w:val="en-AU"/>
              </w:rPr>
              <w:t>1,544</w:t>
            </w:r>
          </w:p>
        </w:tc>
      </w:tr>
      <w:tr w:rsidR="00B861D9" w:rsidRPr="00DD7495" w14:paraId="194A9288" w14:textId="77777777" w:rsidTr="00B861D9">
        <w:trPr>
          <w:trHeight w:val="680"/>
        </w:trPr>
        <w:tc>
          <w:tcPr>
            <w:tcW w:w="2122" w:type="dxa"/>
          </w:tcPr>
          <w:p w14:paraId="0F28CA04" w14:textId="77777777" w:rsidR="00B861D9" w:rsidRPr="00B02CED" w:rsidRDefault="00B861D9" w:rsidP="00B861D9">
            <w:pPr>
              <w:snapToGrid w:val="0"/>
              <w:spacing w:before="60" w:after="60"/>
              <w:jc w:val="left"/>
              <w:rPr>
                <w:lang w:val="en-AU"/>
              </w:rPr>
            </w:pPr>
            <w:r w:rsidRPr="00B02CED">
              <w:rPr>
                <w:lang w:val="en-AU"/>
              </w:rPr>
              <w:t>Chillers</w:t>
            </w:r>
          </w:p>
        </w:tc>
        <w:tc>
          <w:tcPr>
            <w:tcW w:w="1252" w:type="dxa"/>
          </w:tcPr>
          <w:p w14:paraId="2ADAA4D1" w14:textId="77777777" w:rsidR="00B861D9" w:rsidRPr="00B02CED" w:rsidRDefault="00B861D9" w:rsidP="00B861D9">
            <w:pPr>
              <w:snapToGrid w:val="0"/>
              <w:spacing w:before="60" w:after="60"/>
              <w:jc w:val="center"/>
              <w:rPr>
                <w:lang w:val="en-AU"/>
              </w:rPr>
            </w:pPr>
            <w:r w:rsidRPr="00B02CED">
              <w:rPr>
                <w:lang w:val="en-AU"/>
              </w:rPr>
              <w:t>28,500</w:t>
            </w:r>
          </w:p>
        </w:tc>
        <w:tc>
          <w:tcPr>
            <w:tcW w:w="1252" w:type="dxa"/>
          </w:tcPr>
          <w:p w14:paraId="20F1A398" w14:textId="77777777" w:rsidR="00B861D9" w:rsidRPr="00B02CED" w:rsidRDefault="00B861D9" w:rsidP="00B861D9">
            <w:pPr>
              <w:snapToGrid w:val="0"/>
              <w:spacing w:before="60" w:after="60"/>
              <w:jc w:val="center"/>
              <w:rPr>
                <w:lang w:val="en-AU"/>
              </w:rPr>
            </w:pPr>
            <w:r w:rsidRPr="00B02CED">
              <w:rPr>
                <w:lang w:val="en-AU"/>
              </w:rPr>
              <w:t>6,335</w:t>
            </w:r>
          </w:p>
        </w:tc>
        <w:tc>
          <w:tcPr>
            <w:tcW w:w="1252" w:type="dxa"/>
          </w:tcPr>
          <w:p w14:paraId="711DC480" w14:textId="77777777" w:rsidR="00B861D9" w:rsidRPr="00B02CED" w:rsidRDefault="00B861D9" w:rsidP="00B861D9">
            <w:pPr>
              <w:snapToGrid w:val="0"/>
              <w:spacing w:before="60" w:after="60"/>
              <w:jc w:val="center"/>
              <w:rPr>
                <w:lang w:val="en-AU"/>
              </w:rPr>
            </w:pPr>
            <w:r w:rsidRPr="00B02CED">
              <w:rPr>
                <w:lang w:val="en-AU"/>
              </w:rPr>
              <w:t>20,664</w:t>
            </w:r>
          </w:p>
        </w:tc>
        <w:tc>
          <w:tcPr>
            <w:tcW w:w="1252" w:type="dxa"/>
          </w:tcPr>
          <w:p w14:paraId="1E084AE1" w14:textId="77777777" w:rsidR="00B861D9" w:rsidRPr="00B02CED" w:rsidRDefault="00B861D9" w:rsidP="00B861D9">
            <w:pPr>
              <w:snapToGrid w:val="0"/>
              <w:spacing w:before="60" w:after="60"/>
              <w:jc w:val="center"/>
              <w:rPr>
                <w:lang w:val="en-AU"/>
              </w:rPr>
            </w:pPr>
            <w:r w:rsidRPr="00B02CED">
              <w:rPr>
                <w:lang w:val="en-AU"/>
              </w:rPr>
              <w:t>6,144</w:t>
            </w:r>
          </w:p>
        </w:tc>
        <w:tc>
          <w:tcPr>
            <w:tcW w:w="1252" w:type="dxa"/>
          </w:tcPr>
          <w:p w14:paraId="3F2D4E43" w14:textId="77777777" w:rsidR="00B861D9" w:rsidRPr="00B02CED" w:rsidRDefault="00B861D9" w:rsidP="00B861D9">
            <w:pPr>
              <w:snapToGrid w:val="0"/>
              <w:spacing w:before="60" w:after="60"/>
              <w:jc w:val="center"/>
              <w:rPr>
                <w:lang w:val="en-AU"/>
              </w:rPr>
            </w:pPr>
            <w:r w:rsidRPr="00B02CED">
              <w:rPr>
                <w:lang w:val="en-AU"/>
              </w:rPr>
              <w:t>24,914</w:t>
            </w:r>
          </w:p>
        </w:tc>
        <w:tc>
          <w:tcPr>
            <w:tcW w:w="1252" w:type="dxa"/>
          </w:tcPr>
          <w:p w14:paraId="482046D7" w14:textId="77777777" w:rsidR="00B861D9" w:rsidRPr="00B02CED" w:rsidRDefault="00B861D9" w:rsidP="00B861D9">
            <w:pPr>
              <w:snapToGrid w:val="0"/>
              <w:spacing w:before="60" w:after="60"/>
              <w:jc w:val="center"/>
              <w:rPr>
                <w:lang w:val="en-AU"/>
              </w:rPr>
            </w:pPr>
            <w:r w:rsidRPr="00B02CED">
              <w:rPr>
                <w:lang w:val="en-AU"/>
              </w:rPr>
              <w:t>7,676</w:t>
            </w:r>
          </w:p>
        </w:tc>
      </w:tr>
      <w:tr w:rsidR="00B861D9" w:rsidRPr="00DD7495" w14:paraId="14FA097C" w14:textId="77777777" w:rsidTr="00B861D9">
        <w:trPr>
          <w:trHeight w:val="680"/>
        </w:trPr>
        <w:tc>
          <w:tcPr>
            <w:tcW w:w="2122" w:type="dxa"/>
          </w:tcPr>
          <w:p w14:paraId="5CE41883" w14:textId="77777777" w:rsidR="00B861D9" w:rsidRPr="00B02CED" w:rsidRDefault="00B861D9" w:rsidP="00B861D9">
            <w:pPr>
              <w:snapToGrid w:val="0"/>
              <w:spacing w:before="60" w:after="60"/>
              <w:jc w:val="left"/>
              <w:rPr>
                <w:lang w:val="en-AU"/>
              </w:rPr>
            </w:pPr>
            <w:r w:rsidRPr="00B02CED">
              <w:rPr>
                <w:lang w:val="en-AU"/>
              </w:rPr>
              <w:t>Chiller ancillaries</w:t>
            </w:r>
          </w:p>
        </w:tc>
        <w:tc>
          <w:tcPr>
            <w:tcW w:w="1252" w:type="dxa"/>
          </w:tcPr>
          <w:p w14:paraId="358D40C4" w14:textId="77777777" w:rsidR="00B861D9" w:rsidRPr="00B02CED" w:rsidRDefault="00B861D9" w:rsidP="00B861D9">
            <w:pPr>
              <w:snapToGrid w:val="0"/>
              <w:spacing w:before="60" w:after="60"/>
              <w:jc w:val="center"/>
              <w:rPr>
                <w:lang w:val="en-AU"/>
              </w:rPr>
            </w:pPr>
            <w:r w:rsidRPr="00B02CED">
              <w:rPr>
                <w:lang w:val="en-AU"/>
              </w:rPr>
              <w:t>-</w:t>
            </w:r>
          </w:p>
        </w:tc>
        <w:tc>
          <w:tcPr>
            <w:tcW w:w="1252" w:type="dxa"/>
          </w:tcPr>
          <w:p w14:paraId="06FA7D9E" w14:textId="77777777" w:rsidR="00B861D9" w:rsidRPr="00B02CED" w:rsidRDefault="00B861D9" w:rsidP="00B861D9">
            <w:pPr>
              <w:snapToGrid w:val="0"/>
              <w:spacing w:before="60" w:after="60"/>
              <w:jc w:val="center"/>
              <w:rPr>
                <w:lang w:val="en-AU"/>
              </w:rPr>
            </w:pPr>
            <w:r w:rsidRPr="00B02CED">
              <w:rPr>
                <w:lang w:val="en-AU"/>
              </w:rPr>
              <w:t>3,167</w:t>
            </w:r>
          </w:p>
        </w:tc>
        <w:tc>
          <w:tcPr>
            <w:tcW w:w="1252" w:type="dxa"/>
          </w:tcPr>
          <w:p w14:paraId="52B1C4C7" w14:textId="77777777" w:rsidR="00B861D9" w:rsidRPr="00B02CED" w:rsidRDefault="00B861D9" w:rsidP="00B861D9">
            <w:pPr>
              <w:snapToGrid w:val="0"/>
              <w:spacing w:before="60" w:after="60"/>
              <w:jc w:val="center"/>
              <w:rPr>
                <w:lang w:val="en-AU"/>
              </w:rPr>
            </w:pPr>
            <w:r w:rsidRPr="00B02CED">
              <w:rPr>
                <w:lang w:val="en-AU"/>
              </w:rPr>
              <w:t>-</w:t>
            </w:r>
          </w:p>
        </w:tc>
        <w:tc>
          <w:tcPr>
            <w:tcW w:w="1252" w:type="dxa"/>
          </w:tcPr>
          <w:p w14:paraId="08D6F0D8" w14:textId="77777777" w:rsidR="00B861D9" w:rsidRPr="00B02CED" w:rsidRDefault="00B861D9" w:rsidP="00B861D9">
            <w:pPr>
              <w:snapToGrid w:val="0"/>
              <w:spacing w:before="60" w:after="60"/>
              <w:jc w:val="center"/>
              <w:rPr>
                <w:lang w:val="en-AU"/>
              </w:rPr>
            </w:pPr>
            <w:r w:rsidRPr="00B02CED">
              <w:rPr>
                <w:lang w:val="en-AU"/>
              </w:rPr>
              <w:t>-</w:t>
            </w:r>
          </w:p>
        </w:tc>
        <w:tc>
          <w:tcPr>
            <w:tcW w:w="1252" w:type="dxa"/>
          </w:tcPr>
          <w:p w14:paraId="38E24D2F" w14:textId="77777777" w:rsidR="00B861D9" w:rsidRPr="00B02CED" w:rsidRDefault="00B861D9" w:rsidP="00B861D9">
            <w:pPr>
              <w:snapToGrid w:val="0"/>
              <w:spacing w:before="60" w:after="60"/>
              <w:jc w:val="center"/>
              <w:rPr>
                <w:lang w:val="en-AU"/>
              </w:rPr>
            </w:pPr>
            <w:r w:rsidRPr="00B02CED">
              <w:rPr>
                <w:lang w:val="en-AU"/>
              </w:rPr>
              <w:t>-</w:t>
            </w:r>
          </w:p>
        </w:tc>
        <w:tc>
          <w:tcPr>
            <w:tcW w:w="1252" w:type="dxa"/>
          </w:tcPr>
          <w:p w14:paraId="5CB7DF30" w14:textId="77777777" w:rsidR="00B861D9" w:rsidRPr="00B02CED" w:rsidRDefault="00B861D9" w:rsidP="00B861D9">
            <w:pPr>
              <w:snapToGrid w:val="0"/>
              <w:spacing w:before="60" w:after="60"/>
              <w:jc w:val="center"/>
              <w:rPr>
                <w:lang w:val="en-AU"/>
              </w:rPr>
            </w:pPr>
            <w:r w:rsidRPr="00B02CED">
              <w:rPr>
                <w:lang w:val="en-AU"/>
              </w:rPr>
              <w:t>3,838</w:t>
            </w:r>
          </w:p>
        </w:tc>
      </w:tr>
      <w:tr w:rsidR="00B861D9" w:rsidRPr="00DD7495" w14:paraId="13CF3405" w14:textId="77777777" w:rsidTr="00B861D9">
        <w:trPr>
          <w:trHeight w:val="680"/>
        </w:trPr>
        <w:tc>
          <w:tcPr>
            <w:tcW w:w="2122" w:type="dxa"/>
          </w:tcPr>
          <w:p w14:paraId="574A93BE" w14:textId="77777777" w:rsidR="00B861D9" w:rsidRPr="00B02CED" w:rsidRDefault="00B861D9" w:rsidP="00B861D9">
            <w:pPr>
              <w:snapToGrid w:val="0"/>
              <w:spacing w:before="60" w:after="60"/>
              <w:jc w:val="left"/>
              <w:rPr>
                <w:lang w:val="en-AU"/>
              </w:rPr>
            </w:pPr>
            <w:r w:rsidRPr="00B02CED">
              <w:rPr>
                <w:lang w:val="en-AU"/>
              </w:rPr>
              <w:t>Total</w:t>
            </w:r>
          </w:p>
        </w:tc>
        <w:tc>
          <w:tcPr>
            <w:tcW w:w="1252" w:type="dxa"/>
          </w:tcPr>
          <w:p w14:paraId="6312B49E" w14:textId="77777777" w:rsidR="00B861D9" w:rsidRPr="00B02CED" w:rsidRDefault="00B861D9" w:rsidP="00B861D9">
            <w:pPr>
              <w:snapToGrid w:val="0"/>
              <w:spacing w:before="60" w:after="60"/>
              <w:jc w:val="center"/>
              <w:rPr>
                <w:lang w:val="en-AU"/>
              </w:rPr>
            </w:pPr>
            <w:r w:rsidRPr="00B02CED">
              <w:rPr>
                <w:lang w:val="en-AU"/>
              </w:rPr>
              <w:t>11,555,000</w:t>
            </w:r>
          </w:p>
        </w:tc>
        <w:tc>
          <w:tcPr>
            <w:tcW w:w="1252" w:type="dxa"/>
          </w:tcPr>
          <w:p w14:paraId="5FA7EE02" w14:textId="77777777" w:rsidR="00B861D9" w:rsidRPr="00B02CED" w:rsidRDefault="00B861D9" w:rsidP="00B861D9">
            <w:pPr>
              <w:snapToGrid w:val="0"/>
              <w:spacing w:before="60" w:after="60"/>
              <w:jc w:val="center"/>
              <w:rPr>
                <w:lang w:val="en-AU"/>
              </w:rPr>
            </w:pPr>
            <w:r w:rsidRPr="00B02CED">
              <w:rPr>
                <w:lang w:val="en-AU"/>
              </w:rPr>
              <w:t>36,845</w:t>
            </w:r>
          </w:p>
        </w:tc>
        <w:tc>
          <w:tcPr>
            <w:tcW w:w="1252" w:type="dxa"/>
          </w:tcPr>
          <w:p w14:paraId="4862B00C" w14:textId="77777777" w:rsidR="00B861D9" w:rsidRPr="00B02CED" w:rsidRDefault="00B861D9" w:rsidP="00B861D9">
            <w:pPr>
              <w:snapToGrid w:val="0"/>
              <w:spacing w:before="60" w:after="60"/>
              <w:jc w:val="center"/>
              <w:rPr>
                <w:lang w:val="en-AU"/>
              </w:rPr>
            </w:pPr>
            <w:r w:rsidRPr="00B02CED">
              <w:rPr>
                <w:lang w:val="en-AU"/>
              </w:rPr>
              <w:t>-</w:t>
            </w:r>
          </w:p>
        </w:tc>
        <w:tc>
          <w:tcPr>
            <w:tcW w:w="1252" w:type="dxa"/>
          </w:tcPr>
          <w:p w14:paraId="0D0896BA" w14:textId="77777777" w:rsidR="00B861D9" w:rsidRPr="00B02CED" w:rsidRDefault="00B861D9" w:rsidP="00B861D9">
            <w:pPr>
              <w:snapToGrid w:val="0"/>
              <w:spacing w:before="60" w:after="60"/>
              <w:jc w:val="center"/>
              <w:rPr>
                <w:lang w:val="en-AU"/>
              </w:rPr>
            </w:pPr>
            <w:r w:rsidRPr="00B02CED">
              <w:rPr>
                <w:lang w:val="en-AU"/>
              </w:rPr>
              <w:t>-</w:t>
            </w:r>
          </w:p>
        </w:tc>
        <w:tc>
          <w:tcPr>
            <w:tcW w:w="1252" w:type="dxa"/>
          </w:tcPr>
          <w:p w14:paraId="1D8B134C" w14:textId="77777777" w:rsidR="00B861D9" w:rsidRPr="00B02CED" w:rsidRDefault="00B861D9" w:rsidP="00B861D9">
            <w:pPr>
              <w:snapToGrid w:val="0"/>
              <w:spacing w:before="60" w:after="60"/>
              <w:jc w:val="center"/>
              <w:rPr>
                <w:lang w:val="en-AU"/>
              </w:rPr>
            </w:pPr>
            <w:r w:rsidRPr="00B02CED">
              <w:rPr>
                <w:lang w:val="en-AU"/>
              </w:rPr>
              <w:t>14,462,956</w:t>
            </w:r>
          </w:p>
        </w:tc>
        <w:tc>
          <w:tcPr>
            <w:tcW w:w="1252" w:type="dxa"/>
          </w:tcPr>
          <w:p w14:paraId="7B700726" w14:textId="77777777" w:rsidR="00B861D9" w:rsidRPr="00B02CED" w:rsidRDefault="00B861D9" w:rsidP="00B861D9">
            <w:pPr>
              <w:snapToGrid w:val="0"/>
              <w:spacing w:before="60" w:after="60"/>
              <w:jc w:val="center"/>
              <w:rPr>
                <w:lang w:val="en-AU"/>
              </w:rPr>
            </w:pPr>
            <w:r w:rsidRPr="00B02CED">
              <w:rPr>
                <w:lang w:val="en-AU"/>
              </w:rPr>
              <w:t>33,452</w:t>
            </w:r>
          </w:p>
        </w:tc>
      </w:tr>
    </w:tbl>
    <w:p w14:paraId="6358EF6B" w14:textId="6AFFE27D" w:rsidR="00D60BF5" w:rsidRDefault="00D60BF5" w:rsidP="00B861D9">
      <w:pPr>
        <w:rPr>
          <w:rFonts w:cs="Times New Roman"/>
          <w:sz w:val="20"/>
          <w:szCs w:val="20"/>
          <w:lang w:val="en-AU"/>
        </w:rPr>
      </w:pPr>
      <w:r>
        <w:rPr>
          <w:rFonts w:cs="Times New Roman"/>
          <w:sz w:val="20"/>
          <w:szCs w:val="20"/>
          <w:lang w:val="en-AU"/>
        </w:rPr>
        <w:t xml:space="preserve">Notes: </w:t>
      </w:r>
      <w:r w:rsidR="00B861D9" w:rsidRPr="0063710D">
        <w:rPr>
          <w:rFonts w:cs="Times New Roman"/>
          <w:sz w:val="20"/>
          <w:szCs w:val="20"/>
          <w:lang w:val="en-AU"/>
        </w:rPr>
        <w:t xml:space="preserve"> </w:t>
      </w:r>
    </w:p>
    <w:p w14:paraId="0F0B56FF" w14:textId="77271E43" w:rsidR="00B861D9" w:rsidRPr="00D60BF5"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sz w:val="20"/>
          <w:szCs w:val="20"/>
          <w:lang w:val="en-AU"/>
        </w:rPr>
        <w:t>“</w:t>
      </w:r>
      <w:r w:rsidRPr="00D60BF5">
        <w:rPr>
          <w:rFonts w:ascii="Times New Roman" w:hAnsi="Times New Roman"/>
          <w:i/>
          <w:sz w:val="20"/>
          <w:szCs w:val="20"/>
          <w:lang w:val="en-AU"/>
        </w:rPr>
        <w:t>Decision and Consultation Regulation Impact Statement Air conditioners, Chillers and Close Control Air Conditioner: Energy Modelling &amp; Cost Benefit Analysis</w:t>
      </w:r>
      <w:r w:rsidRPr="00D60BF5">
        <w:rPr>
          <w:rFonts w:ascii="Times New Roman" w:hAnsi="Times New Roman"/>
          <w:sz w:val="20"/>
          <w:szCs w:val="20"/>
          <w:lang w:val="en-AU"/>
        </w:rPr>
        <w:t>” prepared by EnergyConsult on behalf of the trans-Tasman Equipment Energy Efficiency (E3) programme, 2015 to 2017 (E3 2017a).</w:t>
      </w:r>
    </w:p>
    <w:p w14:paraId="41152A6F" w14:textId="2B90AE4A" w:rsidR="00B861D9" w:rsidRPr="0062295D"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rFonts w:ascii="Times New Roman" w:hAnsi="Times New Roman"/>
          <w:sz w:val="20"/>
          <w:szCs w:val="20"/>
          <w:lang w:val="en-AU"/>
        </w:rPr>
        <w:t xml:space="preserve">Domestic and commercial hot water heat pumps; swimming pool heat pumps; and heat pump </w:t>
      </w:r>
      <w:r w:rsidR="001F64CE" w:rsidRPr="00D60BF5">
        <w:rPr>
          <w:rFonts w:ascii="Times New Roman" w:hAnsi="Times New Roman"/>
          <w:sz w:val="20"/>
          <w:szCs w:val="20"/>
          <w:lang w:val="en-AU"/>
        </w:rPr>
        <w:t>clothes</w:t>
      </w:r>
      <w:r w:rsidRPr="00D60BF5">
        <w:rPr>
          <w:rFonts w:ascii="Times New Roman" w:hAnsi="Times New Roman"/>
          <w:sz w:val="20"/>
          <w:szCs w:val="20"/>
          <w:lang w:val="en-AU"/>
        </w:rPr>
        <w:t xml:space="preserve"> dryers</w:t>
      </w:r>
      <w:r w:rsidRPr="0062295D">
        <w:rPr>
          <w:rFonts w:ascii="Times New Roman" w:hAnsi="Times New Roman"/>
          <w:sz w:val="20"/>
          <w:szCs w:val="20"/>
          <w:lang w:val="en-AU"/>
        </w:rPr>
        <w:t>.</w:t>
      </w:r>
    </w:p>
    <w:p w14:paraId="67384740" w14:textId="08F7614B" w:rsidR="00B861D9" w:rsidRPr="00D60BF5"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rFonts w:ascii="Times New Roman" w:hAnsi="Times New Roman"/>
          <w:sz w:val="20"/>
          <w:szCs w:val="20"/>
          <w:lang w:val="en-AU"/>
        </w:rPr>
        <w:t xml:space="preserve">The energy consumption calculations for stationary AC includes fan energy for equipment where the fan is incorporated into the equipment, which includes all residential and light commercial AC equipment. Large AC such as space chillers have separate ventilation systems and ancillaries including pumps and motors. An allowance of 50% for ancillary equipment is included </w:t>
      </w:r>
      <w:r w:rsidR="00862EC4">
        <w:rPr>
          <w:rFonts w:ascii="Times New Roman" w:hAnsi="Times New Roman"/>
          <w:sz w:val="20"/>
          <w:szCs w:val="20"/>
          <w:lang w:val="en-AU"/>
        </w:rPr>
        <w:t>in</w:t>
      </w:r>
      <w:r w:rsidR="00FE4B1F">
        <w:rPr>
          <w:rFonts w:ascii="Times New Roman" w:hAnsi="Times New Roman"/>
          <w:sz w:val="20"/>
          <w:szCs w:val="20"/>
          <w:lang w:val="en-AU"/>
        </w:rPr>
        <w:t xml:space="preserve"> </w:t>
      </w:r>
      <w:r w:rsidRPr="00D60BF5">
        <w:rPr>
          <w:rFonts w:ascii="Times New Roman" w:hAnsi="Times New Roman"/>
          <w:sz w:val="20"/>
          <w:szCs w:val="20"/>
          <w:lang w:val="en-AU"/>
        </w:rPr>
        <w:t>the calculation for both air cooled and water cooled chillers.</w:t>
      </w:r>
    </w:p>
    <w:p w14:paraId="75126273" w14:textId="1B32D6F5" w:rsidR="00B861D9" w:rsidRPr="00D60BF5"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rFonts w:ascii="Times New Roman" w:hAnsi="Times New Roman"/>
          <w:sz w:val="20"/>
          <w:szCs w:val="20"/>
          <w:lang w:val="en-AU"/>
        </w:rPr>
        <w:t>No allowance is made for fan energy for residential, commercial and industrial ventilation that includes a diverse range of applications such as domestic exhaust fans</w:t>
      </w:r>
      <w:r w:rsidR="00862EC4">
        <w:rPr>
          <w:rFonts w:ascii="Times New Roman" w:hAnsi="Times New Roman"/>
          <w:sz w:val="20"/>
          <w:szCs w:val="20"/>
          <w:lang w:val="en-AU"/>
        </w:rPr>
        <w:t>,</w:t>
      </w:r>
      <w:r w:rsidRPr="00D60BF5">
        <w:rPr>
          <w:rFonts w:ascii="Times New Roman" w:hAnsi="Times New Roman"/>
          <w:sz w:val="20"/>
          <w:szCs w:val="20"/>
          <w:lang w:val="en-AU"/>
        </w:rPr>
        <w:t xml:space="preserve"> kitchen exhaust fans for residences and commercial kitchens</w:t>
      </w:r>
      <w:r w:rsidR="00862EC4">
        <w:rPr>
          <w:rFonts w:ascii="Times New Roman" w:hAnsi="Times New Roman"/>
          <w:sz w:val="20"/>
          <w:szCs w:val="20"/>
          <w:lang w:val="en-AU"/>
        </w:rPr>
        <w:t>,</w:t>
      </w:r>
      <w:r w:rsidRPr="00D60BF5">
        <w:rPr>
          <w:rFonts w:ascii="Times New Roman" w:hAnsi="Times New Roman"/>
          <w:sz w:val="20"/>
          <w:szCs w:val="20"/>
          <w:lang w:val="en-AU"/>
        </w:rPr>
        <w:t xml:space="preserve"> carpark ventilation systems to monitor and control carbon monoxide levels</w:t>
      </w:r>
      <w:r w:rsidR="00862EC4">
        <w:rPr>
          <w:rFonts w:ascii="Times New Roman" w:hAnsi="Times New Roman"/>
          <w:sz w:val="20"/>
          <w:szCs w:val="20"/>
          <w:lang w:val="en-AU"/>
        </w:rPr>
        <w:t>,</w:t>
      </w:r>
      <w:r w:rsidRPr="00D60BF5">
        <w:rPr>
          <w:rFonts w:ascii="Times New Roman" w:hAnsi="Times New Roman"/>
          <w:sz w:val="20"/>
          <w:szCs w:val="20"/>
          <w:lang w:val="en-AU"/>
        </w:rPr>
        <w:t xml:space="preserve"> and ventilation systems for industrial processes.    </w:t>
      </w:r>
    </w:p>
    <w:p w14:paraId="5D57CDD0" w14:textId="77777777" w:rsidR="00B861D9" w:rsidRPr="00D60BF5"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rFonts w:ascii="Times New Roman" w:hAnsi="Times New Roman"/>
          <w:sz w:val="20"/>
          <w:szCs w:val="20"/>
          <w:lang w:val="en-AU"/>
        </w:rPr>
        <w:t>CHF3 and the AC RIS 2015 use similar average capacities and efficiencies (i.e. AEER and ACOP) in the energy consumption calculations.</w:t>
      </w:r>
    </w:p>
    <w:p w14:paraId="0C7F7E1B" w14:textId="77777777" w:rsidR="00B861D9" w:rsidRPr="00DD7495" w:rsidRDefault="00B861D9" w:rsidP="00B861D9">
      <w:pPr>
        <w:snapToGrid w:val="0"/>
        <w:rPr>
          <w:rFonts w:cs="Times New Roman"/>
          <w:lang w:val="en-AU"/>
        </w:rPr>
      </w:pPr>
    </w:p>
    <w:p w14:paraId="1215879C" w14:textId="77777777" w:rsidR="00B861D9" w:rsidRPr="00DD7495" w:rsidRDefault="00B861D9" w:rsidP="00B861D9">
      <w:pPr>
        <w:snapToGrid w:val="0"/>
        <w:rPr>
          <w:rFonts w:cs="Times New Roman"/>
          <w:b/>
          <w:lang w:val="en-AU"/>
        </w:rPr>
      </w:pPr>
      <w:r w:rsidRPr="00DD7495">
        <w:rPr>
          <w:rFonts w:cs="Times New Roman"/>
          <w:b/>
          <w:lang w:val="en-AU"/>
        </w:rPr>
        <w:t xml:space="preserve">Residential </w:t>
      </w:r>
      <w:r>
        <w:rPr>
          <w:rFonts w:cs="Times New Roman"/>
          <w:b/>
          <w:lang w:val="en-AU"/>
        </w:rPr>
        <w:t xml:space="preserve">AC electricity use </w:t>
      </w:r>
      <w:r w:rsidRPr="00DD7495">
        <w:rPr>
          <w:rFonts w:cs="Times New Roman"/>
          <w:b/>
          <w:lang w:val="en-AU"/>
        </w:rPr>
        <w:t>calculations</w:t>
      </w:r>
    </w:p>
    <w:p w14:paraId="5F002F2E" w14:textId="77777777" w:rsidR="00B861D9" w:rsidRPr="00DD7495" w:rsidRDefault="00B861D9" w:rsidP="00B861D9">
      <w:pPr>
        <w:snapToGrid w:val="0"/>
        <w:rPr>
          <w:rFonts w:cs="Times New Roman"/>
          <w:lang w:val="en-AU"/>
        </w:rPr>
      </w:pPr>
      <w:r>
        <w:rPr>
          <w:rFonts w:cs="Times New Roman"/>
          <w:lang w:val="en-AU"/>
        </w:rPr>
        <w:t xml:space="preserve">The CHF2 </w:t>
      </w:r>
      <w:r w:rsidRPr="00DD7495">
        <w:rPr>
          <w:rFonts w:cs="Times New Roman"/>
          <w:lang w:val="en-AU"/>
        </w:rPr>
        <w:t xml:space="preserve">calculation </w:t>
      </w:r>
      <w:r>
        <w:rPr>
          <w:rFonts w:cs="Times New Roman"/>
          <w:lang w:val="en-AU"/>
        </w:rPr>
        <w:t xml:space="preserve">of residential AC electricity use </w:t>
      </w:r>
      <w:r w:rsidRPr="00DD7495">
        <w:rPr>
          <w:rFonts w:cs="Times New Roman"/>
          <w:lang w:val="en-AU"/>
        </w:rPr>
        <w:t>was based on 500 full load hours of cooling and heating combined</w:t>
      </w:r>
      <w:r>
        <w:rPr>
          <w:rFonts w:cs="Times New Roman"/>
          <w:lang w:val="en-AU"/>
        </w:rPr>
        <w:t xml:space="preserve"> and</w:t>
      </w:r>
      <w:r w:rsidRPr="00DD7495">
        <w:rPr>
          <w:rFonts w:cs="Times New Roman"/>
          <w:lang w:val="en-AU"/>
        </w:rPr>
        <w:t xml:space="preserve"> </w:t>
      </w:r>
      <w:r>
        <w:rPr>
          <w:rFonts w:cs="Times New Roman"/>
          <w:lang w:val="en-AU"/>
        </w:rPr>
        <w:t xml:space="preserve">used </w:t>
      </w:r>
      <w:r w:rsidRPr="00DD7495">
        <w:rPr>
          <w:rFonts w:cs="Times New Roman"/>
          <w:lang w:val="en-AU"/>
        </w:rPr>
        <w:t>average COP and EER efficiencies by equipment class without any discounting factors.</w:t>
      </w:r>
    </w:p>
    <w:p w14:paraId="251EEACE" w14:textId="5082B03C" w:rsidR="00B861D9" w:rsidRDefault="00B861D9" w:rsidP="00B861D9">
      <w:pPr>
        <w:snapToGrid w:val="0"/>
        <w:rPr>
          <w:rFonts w:cs="Times New Roman"/>
          <w:lang w:val="en-AU"/>
        </w:rPr>
      </w:pPr>
      <w:r w:rsidRPr="00DD7495">
        <w:rPr>
          <w:rFonts w:cs="Times New Roman"/>
          <w:lang w:val="en-AU"/>
        </w:rPr>
        <w:t>The AC RIS 2015 residential calculation was based a 2012 ABS survey of general operating hours of heating an</w:t>
      </w:r>
      <w:r>
        <w:rPr>
          <w:rFonts w:cs="Times New Roman"/>
          <w:lang w:val="en-AU"/>
        </w:rPr>
        <w:t xml:space="preserve">d cooling equipment by </w:t>
      </w:r>
      <w:r w:rsidR="00FE74F2">
        <w:rPr>
          <w:rFonts w:cs="Times New Roman"/>
          <w:lang w:val="en-AU"/>
        </w:rPr>
        <w:t>state</w:t>
      </w:r>
      <w:r>
        <w:rPr>
          <w:rFonts w:cs="Times New Roman"/>
          <w:lang w:val="en-AU"/>
        </w:rPr>
        <w:t>, which calculated an average of</w:t>
      </w:r>
      <w:r w:rsidRPr="00DD7495">
        <w:rPr>
          <w:rFonts w:cs="Times New Roman"/>
          <w:lang w:val="en-AU"/>
        </w:rPr>
        <w:t xml:space="preserve"> 979 operating </w:t>
      </w:r>
      <w:r>
        <w:rPr>
          <w:rFonts w:cs="Times New Roman"/>
          <w:lang w:val="en-AU"/>
        </w:rPr>
        <w:t>hours for a</w:t>
      </w:r>
      <w:r w:rsidRPr="00DD7495">
        <w:rPr>
          <w:rFonts w:cs="Times New Roman"/>
          <w:lang w:val="en-AU"/>
        </w:rPr>
        <w:t xml:space="preserve"> non-ducted</w:t>
      </w:r>
      <w:r>
        <w:rPr>
          <w:rFonts w:cs="Times New Roman"/>
          <w:lang w:val="en-AU"/>
        </w:rPr>
        <w:t xml:space="preserve"> single split system stock mix </w:t>
      </w:r>
      <w:r w:rsidRPr="00DD7495">
        <w:rPr>
          <w:rFonts w:cs="Times New Roman"/>
          <w:lang w:val="en-AU"/>
        </w:rPr>
        <w:t xml:space="preserve">and 932 operating </w:t>
      </w:r>
      <w:r>
        <w:rPr>
          <w:rFonts w:cs="Times New Roman"/>
          <w:lang w:val="en-AU"/>
        </w:rPr>
        <w:t>hours for a</w:t>
      </w:r>
      <w:r w:rsidRPr="00DD7495">
        <w:rPr>
          <w:rFonts w:cs="Times New Roman"/>
          <w:lang w:val="en-AU"/>
        </w:rPr>
        <w:t xml:space="preserve"> ducted equipment stock mix. A product adjustment factor of 0.75 </w:t>
      </w:r>
      <w:r w:rsidR="00F368B3">
        <w:rPr>
          <w:rFonts w:cs="Times New Roman"/>
          <w:lang w:val="en-AU"/>
        </w:rPr>
        <w:t>wa</w:t>
      </w:r>
      <w:r w:rsidRPr="00DD7495">
        <w:rPr>
          <w:rFonts w:cs="Times New Roman"/>
          <w:lang w:val="en-AU"/>
        </w:rPr>
        <w:t>s applied to non-ducted single split systems and heating hou</w:t>
      </w:r>
      <w:r>
        <w:rPr>
          <w:rFonts w:cs="Times New Roman"/>
          <w:lang w:val="en-AU"/>
        </w:rPr>
        <w:t xml:space="preserve">rs discounted by a factor of </w:t>
      </w:r>
      <w:r w:rsidRPr="005A2CD7">
        <w:rPr>
          <w:rFonts w:cs="Times New Roman"/>
          <w:lang w:val="en-AU"/>
        </w:rPr>
        <w:t>0.56 based</w:t>
      </w:r>
      <w:r w:rsidRPr="00DD7495">
        <w:rPr>
          <w:rFonts w:cs="Times New Roman"/>
          <w:lang w:val="en-AU"/>
        </w:rPr>
        <w:t xml:space="preserve"> on a stock weighted average. </w:t>
      </w:r>
    </w:p>
    <w:p w14:paraId="2E229450" w14:textId="51F76B6A" w:rsidR="00B861D9" w:rsidRDefault="00B861D9" w:rsidP="00B861D9">
      <w:pPr>
        <w:snapToGrid w:val="0"/>
        <w:rPr>
          <w:rFonts w:cs="Times New Roman"/>
          <w:lang w:val="en-AU"/>
        </w:rPr>
      </w:pPr>
      <w:r>
        <w:rPr>
          <w:rFonts w:cs="Times New Roman"/>
          <w:lang w:val="en-AU"/>
        </w:rPr>
        <w:t xml:space="preserve">Finally, the AC RIS incorporated part load calculations for a range of part load </w:t>
      </w:r>
      <w:r w:rsidR="00E72B22">
        <w:rPr>
          <w:rFonts w:cs="Times New Roman"/>
          <w:lang w:val="en-AU"/>
        </w:rPr>
        <w:t xml:space="preserve">operating </w:t>
      </w:r>
      <w:r>
        <w:rPr>
          <w:rFonts w:cs="Times New Roman"/>
          <w:lang w:val="en-AU"/>
        </w:rPr>
        <w:t>bins and efficiencies, which discounts the equivalent full load hours</w:t>
      </w:r>
      <w:r w:rsidRPr="00DD7495">
        <w:rPr>
          <w:rFonts w:cs="Times New Roman"/>
          <w:lang w:val="en-AU"/>
        </w:rPr>
        <w:t xml:space="preserve"> </w:t>
      </w:r>
      <w:r>
        <w:rPr>
          <w:rFonts w:cs="Times New Roman"/>
          <w:lang w:val="en-AU"/>
        </w:rPr>
        <w:t>by varying amounts, depending on the efficiencies and variability of the technology type</w:t>
      </w:r>
      <w:r w:rsidR="00862EC4">
        <w:rPr>
          <w:rFonts w:cs="Times New Roman"/>
          <w:lang w:val="en-AU"/>
        </w:rPr>
        <w:t>,</w:t>
      </w:r>
      <w:r>
        <w:rPr>
          <w:rFonts w:cs="Times New Roman"/>
          <w:lang w:val="en-AU"/>
        </w:rPr>
        <w:t xml:space="preserve"> </w:t>
      </w:r>
      <w:r w:rsidRPr="00DD7495">
        <w:rPr>
          <w:rFonts w:cs="Times New Roman"/>
          <w:lang w:val="en-AU"/>
        </w:rPr>
        <w:t xml:space="preserve">before </w:t>
      </w:r>
      <w:r>
        <w:rPr>
          <w:rFonts w:cs="Times New Roman"/>
          <w:lang w:val="en-AU"/>
        </w:rPr>
        <w:t xml:space="preserve">applying </w:t>
      </w:r>
      <w:r w:rsidRPr="00DD7495">
        <w:rPr>
          <w:rFonts w:cs="Times New Roman"/>
          <w:lang w:val="en-AU"/>
        </w:rPr>
        <w:t>an occupancy factor of 0.9 to account for unoccupied dwellings (i.e. holiday homes)</w:t>
      </w:r>
      <w:r>
        <w:rPr>
          <w:rFonts w:cs="Times New Roman"/>
          <w:lang w:val="en-AU"/>
        </w:rPr>
        <w:t>. The result is that the AC RIS calculated electricity consumption on the basis of equipment being used for 250 full load hours for window wall units</w:t>
      </w:r>
      <w:r w:rsidR="00862EC4">
        <w:rPr>
          <w:rFonts w:cs="Times New Roman"/>
          <w:lang w:val="en-AU"/>
        </w:rPr>
        <w:t>,</w:t>
      </w:r>
      <w:r>
        <w:rPr>
          <w:rFonts w:cs="Times New Roman"/>
          <w:lang w:val="en-AU"/>
        </w:rPr>
        <w:t xml:space="preserve"> 360 hours for </w:t>
      </w:r>
      <w:r w:rsidRPr="008E3B5B">
        <w:rPr>
          <w:rFonts w:cs="Times New Roman"/>
          <w:lang w:val="en-AU"/>
        </w:rPr>
        <w:t>non-ducted single split system</w:t>
      </w:r>
      <w:r w:rsidR="00862EC4">
        <w:rPr>
          <w:rFonts w:cs="Times New Roman"/>
          <w:lang w:val="en-AU"/>
        </w:rPr>
        <w:t>s,</w:t>
      </w:r>
      <w:r>
        <w:rPr>
          <w:rFonts w:cs="Times New Roman"/>
          <w:lang w:val="en-AU"/>
        </w:rPr>
        <w:t xml:space="preserve"> and 450 hours for </w:t>
      </w:r>
      <w:r w:rsidRPr="008E3B5B">
        <w:rPr>
          <w:rFonts w:cs="Times New Roman"/>
          <w:lang w:val="en-AU"/>
        </w:rPr>
        <w:t>ducted single split system</w:t>
      </w:r>
      <w:r>
        <w:rPr>
          <w:rFonts w:cs="Times New Roman"/>
          <w:lang w:val="en-AU"/>
        </w:rPr>
        <w:t>s.</w:t>
      </w:r>
    </w:p>
    <w:p w14:paraId="7FA092BB" w14:textId="77777777" w:rsidR="00B861D9" w:rsidRDefault="00B861D9" w:rsidP="00B861D9">
      <w:pPr>
        <w:snapToGrid w:val="0"/>
        <w:rPr>
          <w:rFonts w:cs="Times New Roman"/>
          <w:lang w:val="en-AU"/>
        </w:rPr>
      </w:pPr>
      <w:r w:rsidRPr="00DD7495">
        <w:rPr>
          <w:rFonts w:cs="Times New Roman"/>
          <w:lang w:val="en-AU"/>
        </w:rPr>
        <w:t>The CHF3 residential calculation makes the same assumptions as the AC RIS 2015 except applies a part load to full load factor of 0.75</w:t>
      </w:r>
      <w:r>
        <w:rPr>
          <w:rFonts w:cs="Times New Roman"/>
          <w:lang w:val="en-AU"/>
        </w:rPr>
        <w:t xml:space="preserve"> resulting in</w:t>
      </w:r>
      <w:r w:rsidRPr="00DD7495">
        <w:rPr>
          <w:rFonts w:cs="Times New Roman"/>
          <w:lang w:val="en-AU"/>
        </w:rPr>
        <w:t xml:space="preserve"> 454 full load hours, before applying an occupancy factor of 0.9 and a field efficiency factor of 0.9 for non-ducted single split systems and 0.85 for ducted systems that accounts for sub-optimal performance in the field versus rated efficiencies.</w:t>
      </w:r>
    </w:p>
    <w:p w14:paraId="3EA8A13D" w14:textId="7FE53CA5" w:rsidR="00B861D9" w:rsidRPr="00DD7495" w:rsidRDefault="00B861D9" w:rsidP="00B861D9">
      <w:pPr>
        <w:snapToGrid w:val="0"/>
        <w:rPr>
          <w:rFonts w:cs="Times New Roman"/>
          <w:b/>
          <w:lang w:val="en-AU"/>
        </w:rPr>
      </w:pPr>
      <w:r w:rsidRPr="00DD7495">
        <w:rPr>
          <w:rFonts w:cs="Times New Roman"/>
          <w:b/>
          <w:lang w:val="en-AU"/>
        </w:rPr>
        <w:t xml:space="preserve">Business </w:t>
      </w:r>
      <w:r w:rsidR="00862EC4">
        <w:rPr>
          <w:rFonts w:cs="Times New Roman"/>
          <w:b/>
          <w:lang w:val="en-AU"/>
        </w:rPr>
        <w:t xml:space="preserve">electricity use </w:t>
      </w:r>
      <w:r w:rsidRPr="00DD7495">
        <w:rPr>
          <w:rFonts w:cs="Times New Roman"/>
          <w:b/>
          <w:lang w:val="en-AU"/>
        </w:rPr>
        <w:t>calculations</w:t>
      </w:r>
    </w:p>
    <w:p w14:paraId="663E73E1" w14:textId="5C8DA831" w:rsidR="00B861D9" w:rsidRPr="00DD7495" w:rsidRDefault="00B861D9" w:rsidP="00B861D9">
      <w:pPr>
        <w:snapToGrid w:val="0"/>
        <w:rPr>
          <w:rFonts w:cs="Times New Roman"/>
          <w:lang w:val="en-AU"/>
        </w:rPr>
      </w:pPr>
      <w:r>
        <w:rPr>
          <w:rFonts w:cs="Times New Roman"/>
          <w:lang w:val="en-AU"/>
        </w:rPr>
        <w:t xml:space="preserve">The </w:t>
      </w:r>
      <w:r w:rsidRPr="00DD7495">
        <w:rPr>
          <w:rFonts w:cs="Times New Roman"/>
          <w:lang w:val="en-AU"/>
        </w:rPr>
        <w:t xml:space="preserve">CHF2 calculation </w:t>
      </w:r>
      <w:r>
        <w:rPr>
          <w:rFonts w:cs="Times New Roman"/>
          <w:lang w:val="en-AU"/>
        </w:rPr>
        <w:t xml:space="preserve">of business electricity use </w:t>
      </w:r>
      <w:r w:rsidRPr="00DD7495">
        <w:rPr>
          <w:rFonts w:cs="Times New Roman"/>
          <w:lang w:val="en-AU"/>
        </w:rPr>
        <w:t xml:space="preserve">was based on 1,255 full load hours (cooling plus heating) based on the assumption there were 251 working days </w:t>
      </w:r>
      <w:r w:rsidR="005F1DC6">
        <w:rPr>
          <w:rFonts w:cs="Times New Roman"/>
          <w:lang w:val="en-AU"/>
        </w:rPr>
        <w:t>(</w:t>
      </w:r>
      <w:r w:rsidRPr="00DD7495">
        <w:rPr>
          <w:rFonts w:cs="Times New Roman"/>
          <w:lang w:val="en-AU"/>
        </w:rPr>
        <w:t>excluding weekends and statutory holidays</w:t>
      </w:r>
      <w:r w:rsidR="005F1DC6">
        <w:rPr>
          <w:rFonts w:cs="Times New Roman"/>
          <w:lang w:val="en-AU"/>
        </w:rPr>
        <w:t>)</w:t>
      </w:r>
      <w:r w:rsidRPr="00DD7495">
        <w:rPr>
          <w:rFonts w:cs="Times New Roman"/>
          <w:lang w:val="en-AU"/>
        </w:rPr>
        <w:t>, and the system operated 10 hours per day (i.e. 2,510 operating hours per annum) on full load 50% of the time.</w:t>
      </w:r>
    </w:p>
    <w:p w14:paraId="04F06CF6" w14:textId="77777777" w:rsidR="00B861D9" w:rsidRPr="00DD7495" w:rsidRDefault="00B861D9" w:rsidP="00B861D9">
      <w:pPr>
        <w:snapToGrid w:val="0"/>
        <w:rPr>
          <w:rFonts w:cs="Times New Roman"/>
          <w:lang w:val="en-AU"/>
        </w:rPr>
      </w:pPr>
      <w:r w:rsidRPr="00DD7495">
        <w:rPr>
          <w:rFonts w:cs="Times New Roman"/>
          <w:lang w:val="en-AU"/>
        </w:rPr>
        <w:t xml:space="preserve">The actual operating hours of businesses can vary significantly depending on the type of business. For </w:t>
      </w:r>
      <w:r>
        <w:rPr>
          <w:rFonts w:cs="Times New Roman"/>
          <w:lang w:val="en-AU"/>
        </w:rPr>
        <w:t>example many large supermarkets can be</w:t>
      </w:r>
      <w:r w:rsidRPr="00DD7495">
        <w:rPr>
          <w:rFonts w:cs="Times New Roman"/>
          <w:lang w:val="en-AU"/>
        </w:rPr>
        <w:t xml:space="preserve"> open from 7.00 am to 12.00 pm and only close for Christmas day</w:t>
      </w:r>
      <w:r>
        <w:rPr>
          <w:rFonts w:cs="Times New Roman"/>
          <w:lang w:val="en-AU"/>
        </w:rPr>
        <w:t>,</w:t>
      </w:r>
      <w:r w:rsidRPr="00DD7495">
        <w:rPr>
          <w:rFonts w:cs="Times New Roman"/>
          <w:lang w:val="en-AU"/>
        </w:rPr>
        <w:t xml:space="preserve"> equating to more than 6,000 </w:t>
      </w:r>
      <w:r>
        <w:rPr>
          <w:rFonts w:cs="Times New Roman"/>
          <w:lang w:val="en-AU"/>
        </w:rPr>
        <w:t>operating hours per annum. Smaller retail stores are often</w:t>
      </w:r>
      <w:r w:rsidRPr="00DD7495">
        <w:rPr>
          <w:rFonts w:cs="Times New Roman"/>
          <w:lang w:val="en-AU"/>
        </w:rPr>
        <w:t xml:space="preserve"> open weekdays plus half a day on the weekend and one night to 9.00 pm weekdays equating to around 2,800 operating hours per annum. </w:t>
      </w:r>
    </w:p>
    <w:p w14:paraId="1690D444" w14:textId="6C442795" w:rsidR="00B861D9" w:rsidRPr="00DD7495" w:rsidRDefault="00B861D9" w:rsidP="00B861D9">
      <w:pPr>
        <w:snapToGrid w:val="0"/>
        <w:rPr>
          <w:rFonts w:cs="Times New Roman"/>
          <w:lang w:val="en-AU"/>
        </w:rPr>
      </w:pPr>
      <w:r w:rsidRPr="00DD7495">
        <w:rPr>
          <w:rFonts w:cs="Times New Roman"/>
          <w:lang w:val="en-AU"/>
        </w:rPr>
        <w:t>Many businesses have their air conditioning systems pre-programmed to operate around 10 hours per day to take into account occupants arriving</w:t>
      </w:r>
      <w:r>
        <w:rPr>
          <w:rFonts w:cs="Times New Roman"/>
          <w:lang w:val="en-AU"/>
        </w:rPr>
        <w:t xml:space="preserve"> early and leaving later. S</w:t>
      </w:r>
      <w:r w:rsidRPr="00DD7495">
        <w:rPr>
          <w:rFonts w:cs="Times New Roman"/>
          <w:lang w:val="en-AU"/>
        </w:rPr>
        <w:t xml:space="preserve">ome medium to large </w:t>
      </w:r>
      <w:r>
        <w:rPr>
          <w:rFonts w:cs="Times New Roman"/>
          <w:lang w:val="en-AU"/>
        </w:rPr>
        <w:t xml:space="preserve">commercial, office and education </w:t>
      </w:r>
      <w:r w:rsidRPr="00DD7495">
        <w:rPr>
          <w:rFonts w:cs="Times New Roman"/>
          <w:lang w:val="en-AU"/>
        </w:rPr>
        <w:t>buildings may have an air conditioning button that occupants can push to provide temporary conditioning outside normal working hours.</w:t>
      </w:r>
    </w:p>
    <w:p w14:paraId="4D2BDF56" w14:textId="086FDEF2" w:rsidR="00B861D9" w:rsidRDefault="00B861D9" w:rsidP="00B861D9">
      <w:pPr>
        <w:snapToGrid w:val="0"/>
        <w:rPr>
          <w:rFonts w:cs="Times New Roman"/>
          <w:lang w:val="en-AU"/>
        </w:rPr>
      </w:pPr>
      <w:r>
        <w:rPr>
          <w:rFonts w:cs="Times New Roman"/>
          <w:lang w:val="en-AU"/>
        </w:rPr>
        <w:t>The AC RIS 2015</w:t>
      </w:r>
      <w:r w:rsidRPr="00DD7495">
        <w:rPr>
          <w:rFonts w:cs="Times New Roman"/>
          <w:lang w:val="en-AU"/>
        </w:rPr>
        <w:t xml:space="preserve"> calculation </w:t>
      </w:r>
      <w:r>
        <w:rPr>
          <w:rFonts w:cs="Times New Roman"/>
          <w:lang w:val="en-AU"/>
        </w:rPr>
        <w:t xml:space="preserve">of electricity use in businesses </w:t>
      </w:r>
      <w:r w:rsidRPr="00DD7495">
        <w:rPr>
          <w:rFonts w:cs="Times New Roman"/>
          <w:lang w:val="en-AU"/>
        </w:rPr>
        <w:t>was based on 2,062 operating hours</w:t>
      </w:r>
      <w:r>
        <w:rPr>
          <w:rFonts w:cs="Times New Roman"/>
          <w:lang w:val="en-AU"/>
        </w:rPr>
        <w:t xml:space="preserve"> and </w:t>
      </w:r>
      <w:r w:rsidRPr="008E3B5B">
        <w:rPr>
          <w:rFonts w:cs="Times New Roman"/>
          <w:lang w:val="en-AU"/>
        </w:rPr>
        <w:t>undertakes part load calculations for a range of part load bins and efficiencies</w:t>
      </w:r>
      <w:r>
        <w:rPr>
          <w:rFonts w:cs="Times New Roman"/>
          <w:lang w:val="en-AU"/>
        </w:rPr>
        <w:t xml:space="preserve"> by </w:t>
      </w:r>
      <w:r w:rsidRPr="008E3B5B">
        <w:rPr>
          <w:rFonts w:cs="Times New Roman"/>
          <w:lang w:val="en-AU"/>
        </w:rPr>
        <w:t>technology type</w:t>
      </w:r>
      <w:r>
        <w:rPr>
          <w:rFonts w:cs="Times New Roman"/>
          <w:lang w:val="en-AU"/>
        </w:rPr>
        <w:t xml:space="preserve">. When compared to a full load calculation the resulting hours of use in the RIS equates to </w:t>
      </w:r>
      <w:r w:rsidRPr="008E3B5B">
        <w:rPr>
          <w:rFonts w:cs="Times New Roman"/>
          <w:lang w:val="en-AU"/>
        </w:rPr>
        <w:t xml:space="preserve">around </w:t>
      </w:r>
      <w:r>
        <w:rPr>
          <w:rFonts w:cs="Times New Roman"/>
          <w:lang w:val="en-AU"/>
        </w:rPr>
        <w:t>955</w:t>
      </w:r>
      <w:r w:rsidRPr="008E3B5B">
        <w:rPr>
          <w:rFonts w:cs="Times New Roman"/>
          <w:lang w:val="en-AU"/>
        </w:rPr>
        <w:t xml:space="preserve"> full load hours for window wall units</w:t>
      </w:r>
      <w:r w:rsidR="005F1DC6">
        <w:rPr>
          <w:rFonts w:cs="Times New Roman"/>
          <w:lang w:val="en-AU"/>
        </w:rPr>
        <w:t>,</w:t>
      </w:r>
      <w:r w:rsidRPr="008E3B5B">
        <w:rPr>
          <w:rFonts w:cs="Times New Roman"/>
          <w:lang w:val="en-AU"/>
        </w:rPr>
        <w:t xml:space="preserve"> </w:t>
      </w:r>
      <w:r>
        <w:rPr>
          <w:rFonts w:cs="Times New Roman"/>
          <w:lang w:val="en-AU"/>
        </w:rPr>
        <w:t>1,275</w:t>
      </w:r>
      <w:r w:rsidRPr="008E3B5B">
        <w:rPr>
          <w:rFonts w:cs="Times New Roman"/>
          <w:lang w:val="en-AU"/>
        </w:rPr>
        <w:t xml:space="preserve"> </w:t>
      </w:r>
      <w:r>
        <w:rPr>
          <w:rFonts w:cs="Times New Roman"/>
          <w:lang w:val="en-AU"/>
        </w:rPr>
        <w:t xml:space="preserve">full load </w:t>
      </w:r>
      <w:r w:rsidRPr="008E3B5B">
        <w:rPr>
          <w:rFonts w:cs="Times New Roman"/>
          <w:lang w:val="en-AU"/>
        </w:rPr>
        <w:t>hours for non-ducted single split system</w:t>
      </w:r>
      <w:r w:rsidR="005F1DC6">
        <w:rPr>
          <w:rFonts w:cs="Times New Roman"/>
          <w:lang w:val="en-AU"/>
        </w:rPr>
        <w:t>,</w:t>
      </w:r>
      <w:r w:rsidRPr="008E3B5B">
        <w:rPr>
          <w:rFonts w:cs="Times New Roman"/>
          <w:lang w:val="en-AU"/>
        </w:rPr>
        <w:t xml:space="preserve"> and, </w:t>
      </w:r>
      <w:r>
        <w:rPr>
          <w:rFonts w:cs="Times New Roman"/>
          <w:lang w:val="en-AU"/>
        </w:rPr>
        <w:t>1,870</w:t>
      </w:r>
      <w:r w:rsidRPr="008E3B5B">
        <w:rPr>
          <w:rFonts w:cs="Times New Roman"/>
          <w:lang w:val="en-AU"/>
        </w:rPr>
        <w:t xml:space="preserve"> </w:t>
      </w:r>
      <w:r>
        <w:rPr>
          <w:rFonts w:cs="Times New Roman"/>
          <w:lang w:val="en-AU"/>
        </w:rPr>
        <w:t xml:space="preserve">full load </w:t>
      </w:r>
      <w:r w:rsidRPr="008E3B5B">
        <w:rPr>
          <w:rFonts w:cs="Times New Roman"/>
          <w:lang w:val="en-AU"/>
        </w:rPr>
        <w:t>hours for ducted single split systems.</w:t>
      </w:r>
    </w:p>
    <w:p w14:paraId="2723CDA5" w14:textId="7F946536" w:rsidR="00B861D9" w:rsidRPr="00DD7495" w:rsidRDefault="00B861D9" w:rsidP="00B861D9">
      <w:pPr>
        <w:snapToGrid w:val="0"/>
        <w:rPr>
          <w:rFonts w:cs="Times New Roman"/>
          <w:lang w:val="en-AU"/>
        </w:rPr>
      </w:pPr>
      <w:r w:rsidRPr="00DD7495">
        <w:rPr>
          <w:rFonts w:cs="Times New Roman"/>
          <w:lang w:val="en-AU"/>
        </w:rPr>
        <w:t xml:space="preserve">CHF3 has assumed 251 working days on average </w:t>
      </w:r>
      <w:r w:rsidR="0026556C">
        <w:rPr>
          <w:rFonts w:cs="Times New Roman"/>
          <w:lang w:val="en-AU"/>
        </w:rPr>
        <w:t xml:space="preserve">(i.e. </w:t>
      </w:r>
      <w:r w:rsidRPr="00DD7495">
        <w:rPr>
          <w:rFonts w:cs="Times New Roman"/>
          <w:lang w:val="en-AU"/>
        </w:rPr>
        <w:t>exclud</w:t>
      </w:r>
      <w:r w:rsidR="0026556C">
        <w:rPr>
          <w:rFonts w:cs="Times New Roman"/>
          <w:lang w:val="en-AU"/>
        </w:rPr>
        <w:t>es</w:t>
      </w:r>
      <w:r w:rsidRPr="00DD7495">
        <w:rPr>
          <w:rFonts w:cs="Times New Roman"/>
          <w:lang w:val="en-AU"/>
        </w:rPr>
        <w:t xml:space="preserve"> weekends</w:t>
      </w:r>
      <w:r>
        <w:rPr>
          <w:rFonts w:cs="Times New Roman"/>
          <w:lang w:val="en-AU"/>
        </w:rPr>
        <w:t xml:space="preserve"> and statutory holidays</w:t>
      </w:r>
      <w:r w:rsidR="0026556C">
        <w:rPr>
          <w:rFonts w:cs="Times New Roman"/>
          <w:lang w:val="en-AU"/>
        </w:rPr>
        <w:t>)</w:t>
      </w:r>
      <w:r>
        <w:rPr>
          <w:rFonts w:cs="Times New Roman"/>
          <w:lang w:val="en-AU"/>
        </w:rPr>
        <w:t>, and equipment operating</w:t>
      </w:r>
      <w:r w:rsidRPr="00DD7495">
        <w:rPr>
          <w:rFonts w:cs="Times New Roman"/>
          <w:lang w:val="en-AU"/>
        </w:rPr>
        <w:t xml:space="preserve"> 10 hours per day (i.e. 2,510 operating hours per annum) on full load 40% of the time equating to </w:t>
      </w:r>
      <w:r>
        <w:rPr>
          <w:rFonts w:cs="Times New Roman"/>
          <w:lang w:val="en-AU"/>
        </w:rPr>
        <w:t>1,004 full load hours per annum for all residential style and light commercial equipment types that are installed in business premises.</w:t>
      </w:r>
    </w:p>
    <w:p w14:paraId="2394FFE5" w14:textId="36134E5E" w:rsidR="00B861D9" w:rsidRPr="00DD7495" w:rsidRDefault="00B861D9" w:rsidP="00B861D9">
      <w:pPr>
        <w:snapToGrid w:val="0"/>
        <w:rPr>
          <w:rFonts w:cs="Times New Roman"/>
          <w:lang w:val="en-AU"/>
        </w:rPr>
      </w:pPr>
      <w:r>
        <w:rPr>
          <w:rFonts w:cs="Times New Roman"/>
          <w:lang w:val="en-AU"/>
        </w:rPr>
        <w:t>B</w:t>
      </w:r>
      <w:r w:rsidRPr="00DD7495">
        <w:rPr>
          <w:rFonts w:cs="Times New Roman"/>
          <w:lang w:val="en-AU"/>
        </w:rPr>
        <w:t>oth the AC RIS process and CHF</w:t>
      </w:r>
      <w:r>
        <w:rPr>
          <w:rFonts w:cs="Times New Roman"/>
          <w:lang w:val="en-AU"/>
        </w:rPr>
        <w:t xml:space="preserve"> stock model</w:t>
      </w:r>
      <w:r w:rsidRPr="00DD7495">
        <w:rPr>
          <w:rFonts w:cs="Times New Roman"/>
          <w:lang w:val="en-AU"/>
        </w:rPr>
        <w:t xml:space="preserve"> would benefit from actual operating data from a variety of </w:t>
      </w:r>
      <w:r>
        <w:rPr>
          <w:rFonts w:cs="Times New Roman"/>
          <w:lang w:val="en-AU"/>
        </w:rPr>
        <w:t xml:space="preserve">types of </w:t>
      </w:r>
      <w:r w:rsidRPr="00DD7495">
        <w:rPr>
          <w:rFonts w:cs="Times New Roman"/>
          <w:lang w:val="en-AU"/>
        </w:rPr>
        <w:t>residences</w:t>
      </w:r>
      <w:r w:rsidR="005F1DC6">
        <w:rPr>
          <w:rFonts w:cs="Times New Roman"/>
          <w:lang w:val="en-AU"/>
        </w:rPr>
        <w:t xml:space="preserve"> and</w:t>
      </w:r>
      <w:r>
        <w:rPr>
          <w:rFonts w:cs="Times New Roman"/>
          <w:lang w:val="en-AU"/>
        </w:rPr>
        <w:t xml:space="preserve"> </w:t>
      </w:r>
      <w:r w:rsidRPr="00DD7495">
        <w:rPr>
          <w:rFonts w:cs="Times New Roman"/>
          <w:lang w:val="en-AU"/>
        </w:rPr>
        <w:t>business</w:t>
      </w:r>
      <w:r>
        <w:rPr>
          <w:rFonts w:cs="Times New Roman"/>
          <w:lang w:val="en-AU"/>
        </w:rPr>
        <w:t>es</w:t>
      </w:r>
      <w:r w:rsidR="005F1DC6">
        <w:rPr>
          <w:rFonts w:cs="Times New Roman"/>
          <w:lang w:val="en-AU"/>
        </w:rPr>
        <w:t>, which</w:t>
      </w:r>
      <w:r>
        <w:rPr>
          <w:rFonts w:cs="Times New Roman"/>
          <w:lang w:val="en-AU"/>
        </w:rPr>
        <w:t xml:space="preserve"> coupled with data </w:t>
      </w:r>
      <w:r w:rsidR="005F1DC6">
        <w:rPr>
          <w:rFonts w:cs="Times New Roman"/>
          <w:lang w:val="en-AU"/>
        </w:rPr>
        <w:t xml:space="preserve">on </w:t>
      </w:r>
      <w:r>
        <w:rPr>
          <w:rFonts w:cs="Times New Roman"/>
          <w:lang w:val="en-AU"/>
        </w:rPr>
        <w:t>AC equipment efficiency in the field, would enable a much more accurate</w:t>
      </w:r>
      <w:r w:rsidRPr="00DD7495">
        <w:rPr>
          <w:rFonts w:cs="Times New Roman"/>
          <w:lang w:val="en-AU"/>
        </w:rPr>
        <w:t xml:space="preserve"> assess</w:t>
      </w:r>
      <w:r>
        <w:rPr>
          <w:rFonts w:cs="Times New Roman"/>
          <w:lang w:val="en-AU"/>
        </w:rPr>
        <w:t>ment of the</w:t>
      </w:r>
      <w:r w:rsidRPr="00DD7495">
        <w:rPr>
          <w:rFonts w:cs="Times New Roman"/>
          <w:lang w:val="en-AU"/>
        </w:rPr>
        <w:t xml:space="preserve"> part and full load operating hours of air conditioning equipment</w:t>
      </w:r>
      <w:r>
        <w:rPr>
          <w:rFonts w:cs="Times New Roman"/>
          <w:lang w:val="en-AU"/>
        </w:rPr>
        <w:t xml:space="preserve"> in commercial premises</w:t>
      </w:r>
      <w:r w:rsidRPr="00DD7495">
        <w:rPr>
          <w:rFonts w:cs="Times New Roman"/>
          <w:lang w:val="en-AU"/>
        </w:rPr>
        <w:t>.</w:t>
      </w:r>
    </w:p>
    <w:p w14:paraId="2629BC93" w14:textId="77777777" w:rsidR="00B861D9" w:rsidRPr="00DD7495" w:rsidRDefault="00B861D9" w:rsidP="00B861D9">
      <w:pPr>
        <w:snapToGrid w:val="0"/>
        <w:rPr>
          <w:rFonts w:cs="Times New Roman"/>
          <w:lang w:val="en-AU"/>
        </w:rPr>
      </w:pPr>
    </w:p>
    <w:p w14:paraId="7951B6F3" w14:textId="77777777" w:rsidR="00EC76EA" w:rsidRDefault="00EC76EA">
      <w:pPr>
        <w:spacing w:before="0"/>
        <w:jc w:val="left"/>
        <w:rPr>
          <w:rFonts w:cs="Times New Roman"/>
          <w:b/>
          <w:lang w:val="en-AU"/>
        </w:rPr>
      </w:pPr>
      <w:r>
        <w:rPr>
          <w:rFonts w:cs="Times New Roman"/>
          <w:b/>
          <w:lang w:val="en-AU"/>
        </w:rPr>
        <w:br w:type="page"/>
      </w:r>
    </w:p>
    <w:p w14:paraId="2A3418B6" w14:textId="1C580F5A" w:rsidR="00B861D9" w:rsidRPr="00DD7495" w:rsidRDefault="00B861D9" w:rsidP="00B861D9">
      <w:pPr>
        <w:snapToGrid w:val="0"/>
        <w:rPr>
          <w:rFonts w:cs="Times New Roman"/>
          <w:b/>
          <w:lang w:val="en-AU"/>
        </w:rPr>
      </w:pPr>
      <w:r w:rsidRPr="00DD7495">
        <w:rPr>
          <w:rFonts w:cs="Times New Roman"/>
          <w:b/>
          <w:lang w:val="en-AU"/>
        </w:rPr>
        <w:t>Close Control AC</w:t>
      </w:r>
    </w:p>
    <w:p w14:paraId="2BA4D8A2" w14:textId="646E2512" w:rsidR="00B861D9" w:rsidRDefault="00B861D9" w:rsidP="00B861D9">
      <w:pPr>
        <w:snapToGrid w:val="0"/>
        <w:rPr>
          <w:rFonts w:cs="Times New Roman"/>
          <w:lang w:val="en-AU"/>
        </w:rPr>
      </w:pPr>
      <w:r>
        <w:rPr>
          <w:rFonts w:cs="Times New Roman"/>
          <w:lang w:val="en-AU"/>
        </w:rPr>
        <w:t xml:space="preserve">CHF3 assumes that 81% of close control equipment is </w:t>
      </w:r>
      <w:r w:rsidRPr="00DD7495">
        <w:rPr>
          <w:rFonts w:cs="Times New Roman"/>
          <w:lang w:val="en-AU"/>
        </w:rPr>
        <w:t xml:space="preserve">operating 8,760 </w:t>
      </w:r>
      <w:r>
        <w:rPr>
          <w:rFonts w:cs="Times New Roman"/>
          <w:lang w:val="en-AU"/>
        </w:rPr>
        <w:t xml:space="preserve">hours </w:t>
      </w:r>
      <w:r w:rsidRPr="00DD7495">
        <w:rPr>
          <w:rFonts w:cs="Times New Roman"/>
          <w:lang w:val="en-AU"/>
        </w:rPr>
        <w:t>per year</w:t>
      </w:r>
      <w:r>
        <w:rPr>
          <w:rFonts w:cs="Times New Roman"/>
          <w:lang w:val="en-AU"/>
        </w:rPr>
        <w:t>,</w:t>
      </w:r>
      <w:r w:rsidRPr="00DD7495">
        <w:rPr>
          <w:rFonts w:cs="Times New Roman"/>
          <w:lang w:val="en-AU"/>
        </w:rPr>
        <w:t xml:space="preserve"> based </w:t>
      </w:r>
      <w:r>
        <w:rPr>
          <w:rFonts w:cs="Times New Roman"/>
          <w:lang w:val="en-AU"/>
        </w:rPr>
        <w:t xml:space="preserve">on </w:t>
      </w:r>
      <w:r w:rsidRPr="00DD7495">
        <w:rPr>
          <w:rFonts w:cs="Times New Roman"/>
          <w:lang w:val="en-AU"/>
        </w:rPr>
        <w:t>the assumption that 20% o</w:t>
      </w:r>
      <w:r>
        <w:rPr>
          <w:rFonts w:cs="Times New Roman"/>
          <w:lang w:val="en-AU"/>
        </w:rPr>
        <w:t>f systems have no back up</w:t>
      </w:r>
      <w:r w:rsidR="005F1DC6">
        <w:rPr>
          <w:rFonts w:cs="Times New Roman"/>
          <w:lang w:val="en-AU"/>
        </w:rPr>
        <w:t>,</w:t>
      </w:r>
      <w:r w:rsidRPr="00DD7495">
        <w:rPr>
          <w:rFonts w:cs="Times New Roman"/>
          <w:lang w:val="en-AU"/>
        </w:rPr>
        <w:t xml:space="preserve"> 40% of systems are 1 operating system to 1 back up</w:t>
      </w:r>
      <w:r w:rsidR="005F1DC6">
        <w:rPr>
          <w:rFonts w:cs="Times New Roman"/>
          <w:lang w:val="en-AU"/>
        </w:rPr>
        <w:t>,</w:t>
      </w:r>
      <w:r w:rsidRPr="00DD7495">
        <w:rPr>
          <w:rFonts w:cs="Times New Roman"/>
          <w:lang w:val="en-AU"/>
        </w:rPr>
        <w:t xml:space="preserve"> 25% of systems have 5 units operating with one back up</w:t>
      </w:r>
      <w:r w:rsidR="005F1DC6">
        <w:rPr>
          <w:rFonts w:cs="Times New Roman"/>
          <w:lang w:val="en-AU"/>
        </w:rPr>
        <w:t>,</w:t>
      </w:r>
      <w:r w:rsidRPr="00DD7495">
        <w:rPr>
          <w:rFonts w:cs="Times New Roman"/>
          <w:lang w:val="en-AU"/>
        </w:rPr>
        <w:t xml:space="preserve"> and 15% of large systems with 10 or more units have one back up. A part load to full load factor of 0.75 is then applied equating to 81% of the installed base operating 6,570 full load hours per annum (or 5,322 hours </w:t>
      </w:r>
      <w:r>
        <w:rPr>
          <w:rFonts w:cs="Times New Roman"/>
          <w:lang w:val="en-AU"/>
        </w:rPr>
        <w:t xml:space="preserve">per piece of equipment </w:t>
      </w:r>
      <w:r w:rsidRPr="00DD7495">
        <w:rPr>
          <w:rFonts w:cs="Times New Roman"/>
          <w:lang w:val="en-AU"/>
        </w:rPr>
        <w:t>across the fleet).</w:t>
      </w:r>
    </w:p>
    <w:p w14:paraId="667627B4" w14:textId="3ECBFA7E" w:rsidR="00CA7454" w:rsidRPr="00CA7454" w:rsidRDefault="00CA7454" w:rsidP="00612476">
      <w:pPr>
        <w:snapToGrid w:val="0"/>
        <w:spacing w:before="240"/>
        <w:rPr>
          <w:rFonts w:cs="Times New Roman"/>
          <w:b/>
          <w:lang w:val="en-AU"/>
        </w:rPr>
      </w:pPr>
      <w:r w:rsidRPr="00CA7454">
        <w:rPr>
          <w:rFonts w:cs="Times New Roman"/>
          <w:b/>
          <w:lang w:val="en-AU"/>
        </w:rPr>
        <w:t>Proportion of residential and commercial</w:t>
      </w:r>
    </w:p>
    <w:p w14:paraId="7BDB4E15" w14:textId="2AA46CEC" w:rsidR="00CA7454" w:rsidRDefault="00CA7454" w:rsidP="00CA7454">
      <w:pPr>
        <w:rPr>
          <w:szCs w:val="22"/>
        </w:rPr>
      </w:pPr>
      <w:bookmarkStart w:id="220" w:name="_Toc494118107"/>
      <w:bookmarkStart w:id="221" w:name="_Toc494118110"/>
      <w:r w:rsidRPr="00C43087">
        <w:rPr>
          <w:szCs w:val="22"/>
        </w:rPr>
        <w:t xml:space="preserve">To allow calculation of </w:t>
      </w:r>
      <w:r>
        <w:rPr>
          <w:szCs w:val="22"/>
        </w:rPr>
        <w:t>indirect emissions as a result of electricity consumption in various product categories, an estimate of annual hours of use of the equipment types is used. Estimates of hours of use vary depending on whether the equipment is employed in a residential or a commercial setting. There are many smaller equipment types that are used in both residential and commercial settings. The table below lists the estimated percentage of ‘commercial use’ of the stock, applied to the product categories where this is the case.</w:t>
      </w:r>
    </w:p>
    <w:p w14:paraId="274F8413" w14:textId="33763F48" w:rsidR="00CA7454" w:rsidRPr="00C43087" w:rsidRDefault="00CA7454" w:rsidP="00CA7454">
      <w:pPr>
        <w:rPr>
          <w:szCs w:val="22"/>
        </w:rPr>
      </w:pPr>
      <w:r>
        <w:rPr>
          <w:szCs w:val="22"/>
        </w:rPr>
        <w:t>As well as being used in the calculation of indirect emissions these ratios are also used in calculated annual expenditure on electricity as</w:t>
      </w:r>
      <w:r w:rsidR="00F368B3">
        <w:rPr>
          <w:szCs w:val="22"/>
        </w:rPr>
        <w:t xml:space="preserve"> different national average electricity tariffs apply for</w:t>
      </w:r>
      <w:r>
        <w:rPr>
          <w:szCs w:val="22"/>
        </w:rPr>
        <w:t xml:space="preserve"> residential and commercial</w:t>
      </w:r>
      <w:r w:rsidR="00F368B3">
        <w:rPr>
          <w:szCs w:val="22"/>
        </w:rPr>
        <w:t xml:space="preserve"> users.</w:t>
      </w:r>
      <w:r>
        <w:rPr>
          <w:szCs w:val="22"/>
        </w:rPr>
        <w:t>.</w:t>
      </w:r>
    </w:p>
    <w:p w14:paraId="308A9DE7" w14:textId="77777777" w:rsidR="00CA7454" w:rsidRPr="00C43087" w:rsidRDefault="00CA7454" w:rsidP="00CA7454">
      <w:pPr>
        <w:rPr>
          <w:szCs w:val="22"/>
          <w:highlight w:val="yellow"/>
        </w:rPr>
      </w:pPr>
    </w:p>
    <w:p w14:paraId="50D867F4" w14:textId="03C3681B" w:rsidR="00CA7454" w:rsidRPr="00784A3F" w:rsidRDefault="00784A3F" w:rsidP="00784A3F">
      <w:pPr>
        <w:pStyle w:val="Caption"/>
        <w:keepNext/>
        <w:rPr>
          <w:szCs w:val="22"/>
        </w:rPr>
      </w:pPr>
      <w:bookmarkStart w:id="222" w:name="_Toc525141431"/>
      <w:r w:rsidRPr="00784A3F">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42</w:t>
      </w:r>
      <w:r w:rsidR="009D6843">
        <w:rPr>
          <w:noProof/>
        </w:rPr>
        <w:fldChar w:fldCharType="end"/>
      </w:r>
      <w:r w:rsidRPr="00784A3F">
        <w:t xml:space="preserve">: </w:t>
      </w:r>
      <w:r w:rsidR="00CA7454" w:rsidRPr="00784A3F">
        <w:rPr>
          <w:szCs w:val="22"/>
        </w:rPr>
        <w:t>Estimated air conditioning proportion of use in commercial applications</w:t>
      </w:r>
      <w:bookmarkEnd w:id="220"/>
      <w:r w:rsidR="00CA7454" w:rsidRPr="00784A3F">
        <w:rPr>
          <w:szCs w:val="22"/>
        </w:rPr>
        <w:t>.</w:t>
      </w:r>
      <w:bookmarkEnd w:id="222"/>
    </w:p>
    <w:tbl>
      <w:tblPr>
        <w:tblW w:w="976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1"/>
        <w:gridCol w:w="4823"/>
      </w:tblGrid>
      <w:tr w:rsidR="00CA7454" w:rsidRPr="00923150" w14:paraId="03399C47" w14:textId="77777777" w:rsidTr="00A86FE4">
        <w:trPr>
          <w:trHeight w:val="684"/>
          <w:tblHeader/>
        </w:trPr>
        <w:tc>
          <w:tcPr>
            <w:tcW w:w="4941"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1918EEF5" w14:textId="77777777" w:rsidR="00CA7454" w:rsidRPr="00923150" w:rsidRDefault="00CA7454" w:rsidP="00527087">
            <w:pPr>
              <w:spacing w:before="60" w:after="60"/>
              <w:ind w:left="34"/>
              <w:jc w:val="left"/>
            </w:pPr>
            <w:r>
              <w:t>Product category</w:t>
            </w:r>
          </w:p>
        </w:tc>
        <w:tc>
          <w:tcPr>
            <w:tcW w:w="4823"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6C93F562" w14:textId="77777777" w:rsidR="00CA7454" w:rsidRPr="00923150" w:rsidRDefault="00CA7454" w:rsidP="00527087">
            <w:pPr>
              <w:spacing w:before="60" w:after="60"/>
              <w:jc w:val="center"/>
            </w:pPr>
            <w:r>
              <w:t>Commercial (%)</w:t>
            </w:r>
            <w:r w:rsidRPr="00957119">
              <w:t xml:space="preserve"> </w:t>
            </w:r>
          </w:p>
        </w:tc>
      </w:tr>
      <w:tr w:rsidR="00CA7454" w:rsidRPr="00EF7EDD" w14:paraId="40D148F6" w14:textId="77777777" w:rsidTr="00527087">
        <w:trPr>
          <w:trHeight w:val="456"/>
        </w:trPr>
        <w:tc>
          <w:tcPr>
            <w:tcW w:w="4941" w:type="dxa"/>
            <w:vAlign w:val="center"/>
          </w:tcPr>
          <w:p w14:paraId="542D0404" w14:textId="77777777" w:rsidR="00CA7454" w:rsidRPr="00EF7EDD" w:rsidRDefault="00CA7454" w:rsidP="00527087">
            <w:pPr>
              <w:spacing w:before="0"/>
              <w:ind w:left="34"/>
              <w:jc w:val="left"/>
              <w:rPr>
                <w:sz w:val="20"/>
                <w:szCs w:val="20"/>
              </w:rPr>
            </w:pPr>
            <w:r w:rsidRPr="00EF7EDD">
              <w:rPr>
                <w:sz w:val="20"/>
                <w:szCs w:val="20"/>
              </w:rPr>
              <w:t>1Ph N</w:t>
            </w:r>
            <w:r>
              <w:rPr>
                <w:sz w:val="20"/>
                <w:szCs w:val="20"/>
              </w:rPr>
              <w:t>on d</w:t>
            </w:r>
            <w:r w:rsidRPr="00EF7EDD">
              <w:rPr>
                <w:sz w:val="20"/>
                <w:szCs w:val="20"/>
              </w:rPr>
              <w:t xml:space="preserve">ucted </w:t>
            </w:r>
            <w:r>
              <w:rPr>
                <w:sz w:val="20"/>
                <w:szCs w:val="20"/>
              </w:rPr>
              <w:t>s</w:t>
            </w:r>
            <w:r w:rsidRPr="00EF7EDD">
              <w:rPr>
                <w:sz w:val="20"/>
                <w:szCs w:val="20"/>
              </w:rPr>
              <w:t xml:space="preserve">plit 0-4kW </w:t>
            </w:r>
          </w:p>
        </w:tc>
        <w:tc>
          <w:tcPr>
            <w:tcW w:w="4823" w:type="dxa"/>
            <w:vAlign w:val="center"/>
          </w:tcPr>
          <w:p w14:paraId="5DFFFE72" w14:textId="77777777" w:rsidR="00CA7454" w:rsidRPr="00EF7EDD" w:rsidRDefault="00CA7454" w:rsidP="00527087">
            <w:pPr>
              <w:spacing w:before="0"/>
              <w:jc w:val="center"/>
              <w:rPr>
                <w:sz w:val="20"/>
                <w:szCs w:val="20"/>
              </w:rPr>
            </w:pPr>
            <w:r w:rsidRPr="00EF7EDD">
              <w:rPr>
                <w:sz w:val="20"/>
                <w:szCs w:val="20"/>
              </w:rPr>
              <w:t>5%</w:t>
            </w:r>
          </w:p>
        </w:tc>
      </w:tr>
      <w:tr w:rsidR="00CA7454" w:rsidRPr="00EF7EDD" w14:paraId="5FD77332" w14:textId="77777777" w:rsidTr="00527087">
        <w:trPr>
          <w:trHeight w:val="456"/>
        </w:trPr>
        <w:tc>
          <w:tcPr>
            <w:tcW w:w="4941" w:type="dxa"/>
            <w:vAlign w:val="center"/>
          </w:tcPr>
          <w:p w14:paraId="37E8CE46"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on d</w:t>
            </w:r>
            <w:r w:rsidRPr="00EF7EDD">
              <w:rPr>
                <w:sz w:val="20"/>
                <w:szCs w:val="20"/>
              </w:rPr>
              <w:t xml:space="preserve">ucted </w:t>
            </w:r>
            <w:r>
              <w:rPr>
                <w:sz w:val="20"/>
                <w:szCs w:val="20"/>
              </w:rPr>
              <w:t>s</w:t>
            </w:r>
            <w:r w:rsidRPr="00EF7EDD">
              <w:rPr>
                <w:sz w:val="20"/>
                <w:szCs w:val="20"/>
              </w:rPr>
              <w:t xml:space="preserve">plit 4-6kW </w:t>
            </w:r>
          </w:p>
        </w:tc>
        <w:tc>
          <w:tcPr>
            <w:tcW w:w="4823" w:type="dxa"/>
            <w:vAlign w:val="center"/>
          </w:tcPr>
          <w:p w14:paraId="793E2326" w14:textId="77777777" w:rsidR="00CA7454" w:rsidRPr="00EF7EDD" w:rsidRDefault="00CA7454" w:rsidP="00527087">
            <w:pPr>
              <w:spacing w:before="60" w:after="60"/>
              <w:jc w:val="center"/>
              <w:rPr>
                <w:sz w:val="20"/>
                <w:szCs w:val="20"/>
              </w:rPr>
            </w:pPr>
            <w:r w:rsidRPr="00EF7EDD">
              <w:rPr>
                <w:sz w:val="20"/>
                <w:szCs w:val="20"/>
              </w:rPr>
              <w:t>15%</w:t>
            </w:r>
          </w:p>
        </w:tc>
      </w:tr>
      <w:tr w:rsidR="00CA7454" w:rsidRPr="00EF7EDD" w14:paraId="52E2DE1B" w14:textId="77777777" w:rsidTr="00527087">
        <w:trPr>
          <w:trHeight w:val="456"/>
        </w:trPr>
        <w:tc>
          <w:tcPr>
            <w:tcW w:w="4941" w:type="dxa"/>
            <w:vAlign w:val="center"/>
          </w:tcPr>
          <w:p w14:paraId="676B31E2"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on d</w:t>
            </w:r>
            <w:r w:rsidRPr="00EF7EDD">
              <w:rPr>
                <w:sz w:val="20"/>
                <w:szCs w:val="20"/>
              </w:rPr>
              <w:t xml:space="preserve">ucted </w:t>
            </w:r>
            <w:r>
              <w:rPr>
                <w:sz w:val="20"/>
                <w:szCs w:val="20"/>
              </w:rPr>
              <w:t>s</w:t>
            </w:r>
            <w:r w:rsidRPr="00EF7EDD">
              <w:rPr>
                <w:sz w:val="20"/>
                <w:szCs w:val="20"/>
              </w:rPr>
              <w:t xml:space="preserve">plit 6-10kW </w:t>
            </w:r>
          </w:p>
        </w:tc>
        <w:tc>
          <w:tcPr>
            <w:tcW w:w="4823" w:type="dxa"/>
            <w:vAlign w:val="center"/>
          </w:tcPr>
          <w:p w14:paraId="16659A73" w14:textId="77777777" w:rsidR="00CA7454" w:rsidRPr="00EF7EDD" w:rsidRDefault="00CA7454" w:rsidP="00527087">
            <w:pPr>
              <w:spacing w:before="60" w:after="60"/>
              <w:jc w:val="center"/>
              <w:rPr>
                <w:sz w:val="20"/>
                <w:szCs w:val="20"/>
              </w:rPr>
            </w:pPr>
            <w:r w:rsidRPr="00EF7EDD">
              <w:rPr>
                <w:sz w:val="20"/>
                <w:szCs w:val="20"/>
              </w:rPr>
              <w:t>20%</w:t>
            </w:r>
          </w:p>
        </w:tc>
      </w:tr>
      <w:tr w:rsidR="00CA7454" w:rsidRPr="00EF7EDD" w14:paraId="5EA4415A" w14:textId="77777777" w:rsidTr="00527087">
        <w:trPr>
          <w:trHeight w:val="456"/>
        </w:trPr>
        <w:tc>
          <w:tcPr>
            <w:tcW w:w="4941" w:type="dxa"/>
            <w:vAlign w:val="center"/>
          </w:tcPr>
          <w:p w14:paraId="646F91B7"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 xml:space="preserve">on </w:t>
            </w:r>
            <w:r w:rsidRPr="00EF7EDD">
              <w:rPr>
                <w:sz w:val="20"/>
                <w:szCs w:val="20"/>
              </w:rPr>
              <w:t xml:space="preserve">ducted </w:t>
            </w:r>
            <w:r>
              <w:rPr>
                <w:sz w:val="20"/>
                <w:szCs w:val="20"/>
              </w:rPr>
              <w:t>s</w:t>
            </w:r>
            <w:r w:rsidRPr="00EF7EDD">
              <w:rPr>
                <w:sz w:val="20"/>
                <w:szCs w:val="20"/>
              </w:rPr>
              <w:t xml:space="preserve">plit&gt;10kW </w:t>
            </w:r>
          </w:p>
        </w:tc>
        <w:tc>
          <w:tcPr>
            <w:tcW w:w="4823" w:type="dxa"/>
            <w:vAlign w:val="center"/>
          </w:tcPr>
          <w:p w14:paraId="27360681" w14:textId="77777777" w:rsidR="00CA7454" w:rsidRPr="00EF7EDD" w:rsidRDefault="00CA7454" w:rsidP="00527087">
            <w:pPr>
              <w:spacing w:before="60" w:after="60"/>
              <w:jc w:val="center"/>
              <w:rPr>
                <w:sz w:val="20"/>
                <w:szCs w:val="20"/>
              </w:rPr>
            </w:pPr>
            <w:r w:rsidRPr="00EF7EDD">
              <w:rPr>
                <w:sz w:val="20"/>
                <w:szCs w:val="20"/>
              </w:rPr>
              <w:t>30%</w:t>
            </w:r>
          </w:p>
        </w:tc>
      </w:tr>
      <w:tr w:rsidR="00CA7454" w:rsidRPr="00EF7EDD" w14:paraId="3C5D511B" w14:textId="77777777" w:rsidTr="00527087">
        <w:trPr>
          <w:trHeight w:val="456"/>
        </w:trPr>
        <w:tc>
          <w:tcPr>
            <w:tcW w:w="4941" w:type="dxa"/>
            <w:vAlign w:val="center"/>
          </w:tcPr>
          <w:p w14:paraId="5E6C0644" w14:textId="77777777" w:rsidR="00CA7454" w:rsidRPr="00EF7EDD" w:rsidRDefault="00CA7454" w:rsidP="00527087">
            <w:pPr>
              <w:spacing w:before="60" w:after="60"/>
              <w:ind w:left="34"/>
              <w:jc w:val="left"/>
              <w:rPr>
                <w:sz w:val="20"/>
                <w:szCs w:val="20"/>
              </w:rPr>
            </w:pPr>
            <w:r w:rsidRPr="00EF7EDD">
              <w:rPr>
                <w:sz w:val="20"/>
                <w:szCs w:val="20"/>
              </w:rPr>
              <w:t>3Ph N</w:t>
            </w:r>
            <w:r>
              <w:rPr>
                <w:sz w:val="20"/>
                <w:szCs w:val="20"/>
              </w:rPr>
              <w:t xml:space="preserve">on </w:t>
            </w:r>
            <w:r w:rsidRPr="00EF7EDD">
              <w:rPr>
                <w:sz w:val="20"/>
                <w:szCs w:val="20"/>
              </w:rPr>
              <w:t xml:space="preserve">ducted </w:t>
            </w:r>
            <w:r>
              <w:rPr>
                <w:sz w:val="20"/>
                <w:szCs w:val="20"/>
              </w:rPr>
              <w:t>s</w:t>
            </w:r>
            <w:r w:rsidRPr="00EF7EDD">
              <w:rPr>
                <w:sz w:val="20"/>
                <w:szCs w:val="20"/>
              </w:rPr>
              <w:t xml:space="preserve">plit 0-20kW </w:t>
            </w:r>
          </w:p>
        </w:tc>
        <w:tc>
          <w:tcPr>
            <w:tcW w:w="4823" w:type="dxa"/>
            <w:vAlign w:val="center"/>
          </w:tcPr>
          <w:p w14:paraId="7139401B" w14:textId="77777777" w:rsidR="00CA7454" w:rsidRPr="00EF7EDD" w:rsidRDefault="00CA7454" w:rsidP="00527087">
            <w:pPr>
              <w:spacing w:before="60" w:after="60"/>
              <w:jc w:val="center"/>
              <w:rPr>
                <w:sz w:val="20"/>
                <w:szCs w:val="20"/>
              </w:rPr>
            </w:pPr>
            <w:r w:rsidRPr="00EF7EDD">
              <w:rPr>
                <w:sz w:val="20"/>
                <w:szCs w:val="20"/>
              </w:rPr>
              <w:t>95%</w:t>
            </w:r>
          </w:p>
        </w:tc>
      </w:tr>
      <w:tr w:rsidR="00CA7454" w:rsidRPr="00EF7EDD" w14:paraId="0066C757" w14:textId="77777777" w:rsidTr="00527087">
        <w:trPr>
          <w:trHeight w:val="456"/>
        </w:trPr>
        <w:tc>
          <w:tcPr>
            <w:tcW w:w="4941" w:type="dxa"/>
            <w:vAlign w:val="center"/>
          </w:tcPr>
          <w:p w14:paraId="62FD580A" w14:textId="77777777" w:rsidR="00CA7454" w:rsidRPr="00EF7EDD" w:rsidRDefault="00CA7454" w:rsidP="00527087">
            <w:pPr>
              <w:spacing w:before="60" w:after="60"/>
              <w:ind w:left="34"/>
              <w:jc w:val="left"/>
              <w:rPr>
                <w:sz w:val="20"/>
                <w:szCs w:val="20"/>
              </w:rPr>
            </w:pPr>
            <w:r w:rsidRPr="00EF7EDD">
              <w:rPr>
                <w:sz w:val="20"/>
                <w:szCs w:val="20"/>
              </w:rPr>
              <w:t>1Ph Ducted</w:t>
            </w:r>
          </w:p>
        </w:tc>
        <w:tc>
          <w:tcPr>
            <w:tcW w:w="4823" w:type="dxa"/>
            <w:vAlign w:val="center"/>
          </w:tcPr>
          <w:p w14:paraId="2C2772AB" w14:textId="77777777" w:rsidR="00CA7454" w:rsidRPr="00EF7EDD" w:rsidRDefault="00CA7454" w:rsidP="00527087">
            <w:pPr>
              <w:spacing w:before="60" w:after="60"/>
              <w:jc w:val="center"/>
              <w:rPr>
                <w:sz w:val="20"/>
                <w:szCs w:val="20"/>
              </w:rPr>
            </w:pPr>
            <w:r w:rsidRPr="00EF7EDD">
              <w:rPr>
                <w:sz w:val="20"/>
                <w:szCs w:val="20"/>
              </w:rPr>
              <w:t>20%</w:t>
            </w:r>
          </w:p>
        </w:tc>
      </w:tr>
      <w:tr w:rsidR="00CA7454" w:rsidRPr="00EF7EDD" w14:paraId="3A2A4053" w14:textId="77777777" w:rsidTr="00527087">
        <w:trPr>
          <w:trHeight w:val="456"/>
        </w:trPr>
        <w:tc>
          <w:tcPr>
            <w:tcW w:w="4941" w:type="dxa"/>
            <w:vAlign w:val="center"/>
          </w:tcPr>
          <w:p w14:paraId="01FA1772" w14:textId="77777777" w:rsidR="00CA7454" w:rsidRPr="00EF7EDD" w:rsidRDefault="00CA7454" w:rsidP="00527087">
            <w:pPr>
              <w:spacing w:before="60" w:after="60"/>
              <w:ind w:left="34"/>
              <w:jc w:val="left"/>
              <w:rPr>
                <w:sz w:val="20"/>
                <w:szCs w:val="20"/>
              </w:rPr>
            </w:pPr>
            <w:r w:rsidRPr="00EF7EDD">
              <w:rPr>
                <w:sz w:val="20"/>
                <w:szCs w:val="20"/>
              </w:rPr>
              <w:t xml:space="preserve">3Ph Ducted 0-20kW </w:t>
            </w:r>
          </w:p>
        </w:tc>
        <w:tc>
          <w:tcPr>
            <w:tcW w:w="4823" w:type="dxa"/>
            <w:vAlign w:val="center"/>
          </w:tcPr>
          <w:p w14:paraId="726224CA" w14:textId="77777777" w:rsidR="00CA7454" w:rsidRPr="00EF7EDD" w:rsidRDefault="00CA7454" w:rsidP="00527087">
            <w:pPr>
              <w:spacing w:before="60" w:after="60"/>
              <w:jc w:val="center"/>
              <w:rPr>
                <w:sz w:val="20"/>
                <w:szCs w:val="20"/>
              </w:rPr>
            </w:pPr>
            <w:r w:rsidRPr="007C2826">
              <w:rPr>
                <w:sz w:val="20"/>
                <w:szCs w:val="20"/>
              </w:rPr>
              <w:t>80%</w:t>
            </w:r>
          </w:p>
        </w:tc>
      </w:tr>
      <w:tr w:rsidR="00CA7454" w:rsidRPr="00EF7EDD" w14:paraId="4C3C12EC" w14:textId="77777777" w:rsidTr="00527087">
        <w:trPr>
          <w:trHeight w:val="456"/>
        </w:trPr>
        <w:tc>
          <w:tcPr>
            <w:tcW w:w="4941" w:type="dxa"/>
            <w:vAlign w:val="center"/>
          </w:tcPr>
          <w:p w14:paraId="01F279D0" w14:textId="77777777" w:rsidR="00CA7454" w:rsidRPr="00EF7EDD" w:rsidRDefault="00CA7454" w:rsidP="00527087">
            <w:pPr>
              <w:spacing w:before="60" w:after="60"/>
              <w:ind w:left="34"/>
              <w:jc w:val="left"/>
              <w:rPr>
                <w:sz w:val="20"/>
                <w:szCs w:val="20"/>
              </w:rPr>
            </w:pPr>
            <w:r w:rsidRPr="00EF7EDD">
              <w:rPr>
                <w:sz w:val="20"/>
                <w:szCs w:val="20"/>
              </w:rPr>
              <w:t xml:space="preserve">3Ph Ducted 20-40kW </w:t>
            </w:r>
          </w:p>
        </w:tc>
        <w:tc>
          <w:tcPr>
            <w:tcW w:w="4823" w:type="dxa"/>
            <w:vAlign w:val="center"/>
          </w:tcPr>
          <w:p w14:paraId="4E37C2E1" w14:textId="77777777" w:rsidR="00CA7454" w:rsidRPr="00EF7EDD" w:rsidRDefault="00CA7454" w:rsidP="00527087">
            <w:pPr>
              <w:spacing w:before="60" w:after="60"/>
              <w:jc w:val="center"/>
              <w:rPr>
                <w:sz w:val="20"/>
                <w:szCs w:val="20"/>
              </w:rPr>
            </w:pPr>
            <w:r w:rsidRPr="00EF7EDD">
              <w:rPr>
                <w:sz w:val="20"/>
                <w:szCs w:val="20"/>
              </w:rPr>
              <w:t>95%</w:t>
            </w:r>
          </w:p>
        </w:tc>
      </w:tr>
      <w:tr w:rsidR="00CA7454" w:rsidRPr="00EF7EDD" w14:paraId="3908C5CC" w14:textId="77777777" w:rsidTr="00527087">
        <w:trPr>
          <w:trHeight w:val="456"/>
        </w:trPr>
        <w:tc>
          <w:tcPr>
            <w:tcW w:w="4941" w:type="dxa"/>
            <w:vAlign w:val="center"/>
          </w:tcPr>
          <w:p w14:paraId="37AEC8C4" w14:textId="77777777" w:rsidR="00CA7454" w:rsidRPr="00EF7EDD" w:rsidRDefault="00CA7454" w:rsidP="00527087">
            <w:pPr>
              <w:spacing w:before="60" w:after="60"/>
              <w:ind w:left="34"/>
              <w:jc w:val="left"/>
              <w:rPr>
                <w:sz w:val="20"/>
                <w:szCs w:val="20"/>
              </w:rPr>
            </w:pPr>
            <w:r w:rsidRPr="00EF7EDD">
              <w:rPr>
                <w:sz w:val="20"/>
                <w:szCs w:val="20"/>
              </w:rPr>
              <w:t xml:space="preserve">3Ph Ducted &gt;40kW </w:t>
            </w:r>
          </w:p>
        </w:tc>
        <w:tc>
          <w:tcPr>
            <w:tcW w:w="4823" w:type="dxa"/>
            <w:vAlign w:val="center"/>
          </w:tcPr>
          <w:p w14:paraId="4758E9A9"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4B90351D" w14:textId="77777777" w:rsidTr="00527087">
        <w:trPr>
          <w:trHeight w:val="456"/>
        </w:trPr>
        <w:tc>
          <w:tcPr>
            <w:tcW w:w="4941" w:type="dxa"/>
            <w:vAlign w:val="center"/>
          </w:tcPr>
          <w:p w14:paraId="2098EEF0"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on d</w:t>
            </w:r>
            <w:r w:rsidRPr="00EF7EDD">
              <w:rPr>
                <w:sz w:val="20"/>
                <w:szCs w:val="20"/>
              </w:rPr>
              <w:t xml:space="preserve">ucted </w:t>
            </w:r>
            <w:r>
              <w:rPr>
                <w:sz w:val="20"/>
                <w:szCs w:val="20"/>
              </w:rPr>
              <w:t>u</w:t>
            </w:r>
            <w:r w:rsidRPr="00EF7EDD">
              <w:rPr>
                <w:sz w:val="20"/>
                <w:szCs w:val="20"/>
              </w:rPr>
              <w:t xml:space="preserve">nitary 0-10kW </w:t>
            </w:r>
          </w:p>
        </w:tc>
        <w:tc>
          <w:tcPr>
            <w:tcW w:w="4823" w:type="dxa"/>
            <w:vAlign w:val="center"/>
          </w:tcPr>
          <w:p w14:paraId="26134023" w14:textId="77777777" w:rsidR="00CA7454" w:rsidRPr="00EF7EDD" w:rsidRDefault="00CA7454" w:rsidP="00527087">
            <w:pPr>
              <w:spacing w:before="60" w:after="60"/>
              <w:jc w:val="center"/>
              <w:rPr>
                <w:sz w:val="20"/>
                <w:szCs w:val="20"/>
              </w:rPr>
            </w:pPr>
            <w:r w:rsidRPr="00EF7EDD">
              <w:rPr>
                <w:sz w:val="20"/>
                <w:szCs w:val="20"/>
              </w:rPr>
              <w:t>30%</w:t>
            </w:r>
          </w:p>
        </w:tc>
      </w:tr>
      <w:tr w:rsidR="00CA7454" w:rsidRPr="00EF7EDD" w14:paraId="2237B678" w14:textId="77777777" w:rsidTr="00527087">
        <w:trPr>
          <w:trHeight w:val="456"/>
        </w:trPr>
        <w:tc>
          <w:tcPr>
            <w:tcW w:w="4941" w:type="dxa"/>
            <w:vAlign w:val="center"/>
          </w:tcPr>
          <w:p w14:paraId="76526E6D"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 xml:space="preserve">on </w:t>
            </w:r>
            <w:r w:rsidRPr="00EF7EDD">
              <w:rPr>
                <w:sz w:val="20"/>
                <w:szCs w:val="20"/>
              </w:rPr>
              <w:t xml:space="preserve">ducted </w:t>
            </w:r>
            <w:r>
              <w:rPr>
                <w:sz w:val="20"/>
                <w:szCs w:val="20"/>
              </w:rPr>
              <w:t>u</w:t>
            </w:r>
            <w:r w:rsidRPr="00EF7EDD">
              <w:rPr>
                <w:sz w:val="20"/>
                <w:szCs w:val="20"/>
              </w:rPr>
              <w:t xml:space="preserve">nitary&gt;10kW </w:t>
            </w:r>
          </w:p>
        </w:tc>
        <w:tc>
          <w:tcPr>
            <w:tcW w:w="4823" w:type="dxa"/>
            <w:vAlign w:val="center"/>
          </w:tcPr>
          <w:p w14:paraId="53634415"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154E050F" w14:textId="77777777" w:rsidTr="00527087">
        <w:trPr>
          <w:trHeight w:val="456"/>
        </w:trPr>
        <w:tc>
          <w:tcPr>
            <w:tcW w:w="4941" w:type="dxa"/>
            <w:vAlign w:val="center"/>
          </w:tcPr>
          <w:p w14:paraId="4E5FCF18" w14:textId="77777777" w:rsidR="00CA7454" w:rsidRPr="00EF7EDD" w:rsidRDefault="00CA7454" w:rsidP="00527087">
            <w:pPr>
              <w:spacing w:before="60" w:after="60"/>
              <w:ind w:left="34"/>
              <w:jc w:val="left"/>
              <w:rPr>
                <w:sz w:val="20"/>
                <w:szCs w:val="20"/>
              </w:rPr>
            </w:pPr>
            <w:r w:rsidRPr="00EF7EDD">
              <w:rPr>
                <w:sz w:val="20"/>
                <w:szCs w:val="20"/>
              </w:rPr>
              <w:t>Portable AC 0-10kW</w:t>
            </w:r>
          </w:p>
        </w:tc>
        <w:tc>
          <w:tcPr>
            <w:tcW w:w="4823" w:type="dxa"/>
            <w:vAlign w:val="center"/>
          </w:tcPr>
          <w:p w14:paraId="4C9899B8" w14:textId="77777777" w:rsidR="00CA7454" w:rsidRPr="00EF7EDD" w:rsidRDefault="00CA7454" w:rsidP="00527087">
            <w:pPr>
              <w:spacing w:before="60" w:after="60"/>
              <w:jc w:val="center"/>
              <w:rPr>
                <w:sz w:val="20"/>
                <w:szCs w:val="20"/>
              </w:rPr>
            </w:pPr>
            <w:r w:rsidRPr="00EF7EDD">
              <w:rPr>
                <w:sz w:val="20"/>
                <w:szCs w:val="20"/>
              </w:rPr>
              <w:t>5%</w:t>
            </w:r>
          </w:p>
        </w:tc>
      </w:tr>
      <w:tr w:rsidR="00CA7454" w:rsidRPr="00EF7EDD" w14:paraId="5DAB154A" w14:textId="77777777" w:rsidTr="00527087">
        <w:trPr>
          <w:trHeight w:val="456"/>
        </w:trPr>
        <w:tc>
          <w:tcPr>
            <w:tcW w:w="4941" w:type="dxa"/>
            <w:vAlign w:val="center"/>
          </w:tcPr>
          <w:p w14:paraId="6D24C26D" w14:textId="77777777" w:rsidR="00CA7454" w:rsidRPr="00EF7EDD" w:rsidRDefault="00CA7454" w:rsidP="00527087">
            <w:pPr>
              <w:spacing w:before="60" w:after="60"/>
              <w:ind w:left="34"/>
              <w:jc w:val="left"/>
              <w:rPr>
                <w:sz w:val="20"/>
                <w:szCs w:val="20"/>
              </w:rPr>
            </w:pPr>
            <w:r w:rsidRPr="00EF7EDD">
              <w:rPr>
                <w:sz w:val="20"/>
                <w:szCs w:val="20"/>
              </w:rPr>
              <w:t>3Ph N</w:t>
            </w:r>
            <w:r>
              <w:rPr>
                <w:sz w:val="20"/>
                <w:szCs w:val="20"/>
              </w:rPr>
              <w:t>on d</w:t>
            </w:r>
            <w:r w:rsidRPr="00EF7EDD">
              <w:rPr>
                <w:sz w:val="20"/>
                <w:szCs w:val="20"/>
              </w:rPr>
              <w:t xml:space="preserve">ucted 20-40kW </w:t>
            </w:r>
          </w:p>
        </w:tc>
        <w:tc>
          <w:tcPr>
            <w:tcW w:w="4823" w:type="dxa"/>
            <w:vAlign w:val="center"/>
          </w:tcPr>
          <w:p w14:paraId="3643AF5B"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1EF8C9B2" w14:textId="77777777" w:rsidTr="00527087">
        <w:trPr>
          <w:trHeight w:val="456"/>
        </w:trPr>
        <w:tc>
          <w:tcPr>
            <w:tcW w:w="4941" w:type="dxa"/>
            <w:vAlign w:val="center"/>
          </w:tcPr>
          <w:p w14:paraId="075CB2EB" w14:textId="77777777" w:rsidR="00CA7454" w:rsidRPr="00EF7EDD" w:rsidRDefault="00CA7454" w:rsidP="00527087">
            <w:pPr>
              <w:spacing w:before="60" w:after="60"/>
              <w:ind w:left="34"/>
              <w:jc w:val="left"/>
              <w:rPr>
                <w:sz w:val="20"/>
                <w:szCs w:val="20"/>
              </w:rPr>
            </w:pPr>
            <w:r w:rsidRPr="00EF7EDD">
              <w:rPr>
                <w:sz w:val="20"/>
                <w:szCs w:val="20"/>
              </w:rPr>
              <w:t>3Ph N</w:t>
            </w:r>
            <w:r>
              <w:rPr>
                <w:sz w:val="20"/>
                <w:szCs w:val="20"/>
              </w:rPr>
              <w:t>on d</w:t>
            </w:r>
            <w:r w:rsidRPr="00EF7EDD">
              <w:rPr>
                <w:sz w:val="20"/>
                <w:szCs w:val="20"/>
              </w:rPr>
              <w:t xml:space="preserve">ucted &gt;40kW </w:t>
            </w:r>
          </w:p>
        </w:tc>
        <w:tc>
          <w:tcPr>
            <w:tcW w:w="4823" w:type="dxa"/>
            <w:vAlign w:val="center"/>
          </w:tcPr>
          <w:p w14:paraId="0A489E97"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76C680D3" w14:textId="77777777" w:rsidTr="00527087">
        <w:trPr>
          <w:trHeight w:val="456"/>
        </w:trPr>
        <w:tc>
          <w:tcPr>
            <w:tcW w:w="4941" w:type="dxa"/>
            <w:vAlign w:val="center"/>
          </w:tcPr>
          <w:p w14:paraId="495E660A" w14:textId="77777777" w:rsidR="00CA7454" w:rsidRPr="00EF7EDD" w:rsidRDefault="00CA7454" w:rsidP="00527087">
            <w:pPr>
              <w:spacing w:before="60" w:after="60"/>
              <w:ind w:left="34"/>
              <w:jc w:val="left"/>
              <w:rPr>
                <w:sz w:val="20"/>
                <w:szCs w:val="20"/>
              </w:rPr>
            </w:pPr>
            <w:r w:rsidRPr="00EF7EDD">
              <w:rPr>
                <w:sz w:val="20"/>
                <w:szCs w:val="20"/>
              </w:rPr>
              <w:t>Chillers</w:t>
            </w:r>
          </w:p>
        </w:tc>
        <w:tc>
          <w:tcPr>
            <w:tcW w:w="4823" w:type="dxa"/>
            <w:vAlign w:val="center"/>
          </w:tcPr>
          <w:p w14:paraId="457D6633"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63492A35" w14:textId="77777777" w:rsidTr="00527087">
        <w:trPr>
          <w:trHeight w:val="456"/>
        </w:trPr>
        <w:tc>
          <w:tcPr>
            <w:tcW w:w="4941" w:type="dxa"/>
            <w:vAlign w:val="center"/>
          </w:tcPr>
          <w:p w14:paraId="384917BD" w14:textId="055D4F46" w:rsidR="00CA7454" w:rsidRPr="00EF7EDD" w:rsidRDefault="00CA7454" w:rsidP="00527087">
            <w:pPr>
              <w:spacing w:before="60" w:after="60"/>
              <w:ind w:left="34"/>
              <w:jc w:val="left"/>
              <w:rPr>
                <w:sz w:val="20"/>
                <w:szCs w:val="20"/>
              </w:rPr>
            </w:pPr>
            <w:r w:rsidRPr="00EF7EDD">
              <w:rPr>
                <w:sz w:val="20"/>
                <w:szCs w:val="20"/>
              </w:rPr>
              <w:t>Multi Splits</w:t>
            </w:r>
          </w:p>
        </w:tc>
        <w:tc>
          <w:tcPr>
            <w:tcW w:w="4823" w:type="dxa"/>
            <w:vAlign w:val="center"/>
          </w:tcPr>
          <w:p w14:paraId="67207584" w14:textId="09C5456C" w:rsidR="00CA7454" w:rsidRPr="007C2826" w:rsidRDefault="007C2826" w:rsidP="00527087">
            <w:pPr>
              <w:spacing w:before="60" w:after="60"/>
              <w:jc w:val="center"/>
              <w:rPr>
                <w:sz w:val="20"/>
                <w:szCs w:val="20"/>
              </w:rPr>
            </w:pPr>
            <w:r w:rsidRPr="007C2826">
              <w:rPr>
                <w:sz w:val="20"/>
                <w:szCs w:val="20"/>
              </w:rPr>
              <w:t>2</w:t>
            </w:r>
            <w:r w:rsidR="00CA7454" w:rsidRPr="007C2826">
              <w:rPr>
                <w:sz w:val="20"/>
                <w:szCs w:val="20"/>
              </w:rPr>
              <w:t>0%</w:t>
            </w:r>
          </w:p>
        </w:tc>
      </w:tr>
      <w:tr w:rsidR="00CA7454" w:rsidRPr="00EF7EDD" w14:paraId="619D85A3" w14:textId="77777777" w:rsidTr="00527087">
        <w:trPr>
          <w:trHeight w:val="456"/>
        </w:trPr>
        <w:tc>
          <w:tcPr>
            <w:tcW w:w="4941" w:type="dxa"/>
            <w:vAlign w:val="center"/>
          </w:tcPr>
          <w:p w14:paraId="08E52A9E" w14:textId="14DB65A6" w:rsidR="00CA7454" w:rsidRPr="00EF7EDD" w:rsidRDefault="007C2826" w:rsidP="00527087">
            <w:pPr>
              <w:spacing w:before="60" w:after="60"/>
              <w:ind w:left="34"/>
              <w:jc w:val="left"/>
              <w:rPr>
                <w:sz w:val="20"/>
                <w:szCs w:val="20"/>
              </w:rPr>
            </w:pPr>
            <w:r w:rsidRPr="007C2826">
              <w:rPr>
                <w:sz w:val="20"/>
                <w:szCs w:val="20"/>
              </w:rPr>
              <w:t>VRV/VRF split systems</w:t>
            </w:r>
          </w:p>
        </w:tc>
        <w:tc>
          <w:tcPr>
            <w:tcW w:w="4823" w:type="dxa"/>
            <w:vAlign w:val="center"/>
          </w:tcPr>
          <w:p w14:paraId="5AA0B06F" w14:textId="3471B8A4" w:rsidR="00CA7454" w:rsidRPr="007C2826" w:rsidRDefault="007C2826" w:rsidP="00527087">
            <w:pPr>
              <w:spacing w:before="60" w:after="60"/>
              <w:jc w:val="center"/>
              <w:rPr>
                <w:sz w:val="20"/>
                <w:szCs w:val="20"/>
              </w:rPr>
            </w:pPr>
            <w:r w:rsidRPr="007C2826">
              <w:rPr>
                <w:sz w:val="20"/>
                <w:szCs w:val="20"/>
              </w:rPr>
              <w:t>75</w:t>
            </w:r>
            <w:r w:rsidR="00CA7454" w:rsidRPr="007C2826">
              <w:rPr>
                <w:sz w:val="20"/>
                <w:szCs w:val="20"/>
              </w:rPr>
              <w:t>%</w:t>
            </w:r>
          </w:p>
        </w:tc>
      </w:tr>
      <w:tr w:rsidR="00CA7454" w:rsidRPr="00EF7EDD" w14:paraId="40C23D11" w14:textId="77777777" w:rsidTr="00527087">
        <w:trPr>
          <w:trHeight w:val="456"/>
        </w:trPr>
        <w:tc>
          <w:tcPr>
            <w:tcW w:w="4941" w:type="dxa"/>
            <w:vAlign w:val="center"/>
          </w:tcPr>
          <w:p w14:paraId="003F6C52" w14:textId="77777777" w:rsidR="00CA7454" w:rsidRPr="00EF7EDD" w:rsidRDefault="00CA7454" w:rsidP="00527087">
            <w:pPr>
              <w:spacing w:before="60" w:after="60"/>
              <w:ind w:left="34"/>
              <w:jc w:val="left"/>
              <w:rPr>
                <w:sz w:val="20"/>
                <w:szCs w:val="20"/>
              </w:rPr>
            </w:pPr>
            <w:r w:rsidRPr="00EF7EDD">
              <w:rPr>
                <w:sz w:val="20"/>
                <w:szCs w:val="20"/>
              </w:rPr>
              <w:t>C</w:t>
            </w:r>
            <w:r>
              <w:rPr>
                <w:sz w:val="20"/>
                <w:szCs w:val="20"/>
              </w:rPr>
              <w:t>lose control air conditioning</w:t>
            </w:r>
          </w:p>
        </w:tc>
        <w:tc>
          <w:tcPr>
            <w:tcW w:w="4823" w:type="dxa"/>
            <w:vAlign w:val="center"/>
          </w:tcPr>
          <w:p w14:paraId="1C2B35F8"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3F52D1FC" w14:textId="77777777" w:rsidTr="00527087">
        <w:trPr>
          <w:trHeight w:val="456"/>
        </w:trPr>
        <w:tc>
          <w:tcPr>
            <w:tcW w:w="4941" w:type="dxa"/>
            <w:vAlign w:val="center"/>
          </w:tcPr>
          <w:p w14:paraId="76AD9275" w14:textId="77777777" w:rsidR="00CA7454" w:rsidRPr="00EF7EDD" w:rsidRDefault="00CA7454" w:rsidP="00527087">
            <w:pPr>
              <w:spacing w:before="60" w:after="60"/>
              <w:ind w:left="34"/>
              <w:jc w:val="left"/>
              <w:rPr>
                <w:sz w:val="20"/>
                <w:szCs w:val="20"/>
              </w:rPr>
            </w:pPr>
            <w:r w:rsidRPr="00EF7EDD">
              <w:rPr>
                <w:sz w:val="20"/>
                <w:szCs w:val="20"/>
              </w:rPr>
              <w:t>HW heat pump: commercial</w:t>
            </w:r>
          </w:p>
        </w:tc>
        <w:tc>
          <w:tcPr>
            <w:tcW w:w="4823" w:type="dxa"/>
            <w:vAlign w:val="center"/>
          </w:tcPr>
          <w:p w14:paraId="7BD8982C" w14:textId="77777777" w:rsidR="00CA7454" w:rsidRPr="00EF7EDD" w:rsidRDefault="00CA7454" w:rsidP="00527087">
            <w:pPr>
              <w:spacing w:before="60" w:after="60"/>
              <w:jc w:val="center"/>
              <w:rPr>
                <w:sz w:val="20"/>
                <w:szCs w:val="20"/>
              </w:rPr>
            </w:pPr>
            <w:r w:rsidRPr="00EF7EDD">
              <w:rPr>
                <w:sz w:val="20"/>
                <w:szCs w:val="20"/>
              </w:rPr>
              <w:t>100%</w:t>
            </w:r>
          </w:p>
        </w:tc>
      </w:tr>
      <w:bookmarkEnd w:id="221"/>
    </w:tbl>
    <w:p w14:paraId="358639D7" w14:textId="77777777" w:rsidR="00612476" w:rsidRPr="00612476" w:rsidRDefault="00612476" w:rsidP="00612476">
      <w:pPr>
        <w:pStyle w:val="Heading3"/>
        <w:numPr>
          <w:ilvl w:val="0"/>
          <w:numId w:val="0"/>
        </w:numPr>
        <w:ind w:left="720" w:hanging="720"/>
        <w:rPr>
          <w:rFonts w:ascii="Times New Roman" w:eastAsiaTheme="minorEastAsia" w:hAnsi="Times New Roman"/>
          <w:b w:val="0"/>
          <w:bCs w:val="0"/>
          <w:sz w:val="22"/>
          <w:szCs w:val="22"/>
        </w:rPr>
      </w:pPr>
    </w:p>
    <w:p w14:paraId="1ED765CC" w14:textId="1FA91B3A" w:rsidR="00262D4C" w:rsidRPr="00135E24" w:rsidRDefault="00262D4C" w:rsidP="00262D4C">
      <w:pPr>
        <w:pStyle w:val="Heading3"/>
      </w:pPr>
      <w:bookmarkStart w:id="223" w:name="_Toc525141328"/>
      <w:r w:rsidRPr="00135E24">
        <w:t xml:space="preserve">Energy </w:t>
      </w:r>
      <w:r>
        <w:t>r</w:t>
      </w:r>
      <w:r w:rsidRPr="00135E24">
        <w:t xml:space="preserve">elated </w:t>
      </w:r>
      <w:r>
        <w:t>g</w:t>
      </w:r>
      <w:r w:rsidRPr="00135E24">
        <w:t xml:space="preserve">reenhouse </w:t>
      </w:r>
      <w:r>
        <w:t>e</w:t>
      </w:r>
      <w:r w:rsidRPr="00135E24">
        <w:t>missions</w:t>
      </w:r>
      <w:bookmarkEnd w:id="223"/>
    </w:p>
    <w:p w14:paraId="486903B3" w14:textId="77777777" w:rsidR="00262D4C" w:rsidRPr="00E96D15" w:rsidRDefault="00262D4C" w:rsidP="00262D4C">
      <w:pPr>
        <w:rPr>
          <w:rFonts w:cs="Times New Roman"/>
          <w:szCs w:val="22"/>
          <w:lang w:val="en-US"/>
        </w:rPr>
      </w:pPr>
      <w:r w:rsidRPr="00E96D15">
        <w:rPr>
          <w:rFonts w:cs="Times New Roman"/>
          <w:szCs w:val="22"/>
          <w:lang w:val="en-US"/>
        </w:rPr>
        <w:t>The total hours each product is operated per annum is multiplied by the electricity demand of each product, and by a national average greenhouse intensity factor for electricity, to arrive at an estimate of indirect, energy related greenhouse gas emissions.</w:t>
      </w:r>
    </w:p>
    <w:p w14:paraId="1987E084" w14:textId="0AFD72F0" w:rsidR="00044211" w:rsidRPr="00E96D15" w:rsidRDefault="00044211" w:rsidP="00044211">
      <w:pPr>
        <w:rPr>
          <w:rFonts w:cs="Times New Roman"/>
          <w:szCs w:val="22"/>
          <w:lang w:val="en-US"/>
        </w:rPr>
      </w:pPr>
      <w:r>
        <w:rPr>
          <w:rFonts w:cs="Times New Roman"/>
          <w:szCs w:val="22"/>
          <w:lang w:val="en-US"/>
        </w:rPr>
        <w:t xml:space="preserve">In CHF2 the </w:t>
      </w:r>
      <w:r w:rsidR="00EC540A">
        <w:rPr>
          <w:rFonts w:cs="Times New Roman"/>
          <w:szCs w:val="22"/>
          <w:lang w:val="en-US"/>
        </w:rPr>
        <w:t xml:space="preserve">NGERS </w:t>
      </w:r>
      <w:r w:rsidR="00FE74F2">
        <w:rPr>
          <w:rFonts w:cs="Times New Roman"/>
          <w:szCs w:val="22"/>
          <w:lang w:val="en-US"/>
        </w:rPr>
        <w:t>s</w:t>
      </w:r>
      <w:r w:rsidR="00FE74F2" w:rsidRPr="00E96D15">
        <w:rPr>
          <w:rFonts w:cs="Times New Roman"/>
          <w:szCs w:val="22"/>
          <w:lang w:val="en-US"/>
        </w:rPr>
        <w:t>tate</w:t>
      </w:r>
      <w:r w:rsidRPr="00E96D15">
        <w:rPr>
          <w:rFonts w:cs="Times New Roman"/>
          <w:szCs w:val="22"/>
          <w:lang w:val="en-US"/>
        </w:rPr>
        <w:t xml:space="preserve"> based indirect (scope 2) emission factors from consumption of purchased electricity from a grid for the 2012-13 reporting year</w:t>
      </w:r>
      <w:r>
        <w:rPr>
          <w:rFonts w:cs="Times New Roman"/>
          <w:szCs w:val="22"/>
          <w:lang w:val="en-US"/>
        </w:rPr>
        <w:t xml:space="preserve"> </w:t>
      </w:r>
      <w:r w:rsidRPr="00E96D15">
        <w:rPr>
          <w:rFonts w:cs="Times New Roman"/>
          <w:szCs w:val="22"/>
          <w:lang w:val="en-US"/>
        </w:rPr>
        <w:t>was used</w:t>
      </w:r>
      <w:r w:rsidR="00024B57">
        <w:rPr>
          <w:rFonts w:cs="Times New Roman"/>
          <w:szCs w:val="22"/>
          <w:lang w:val="en-US"/>
        </w:rPr>
        <w:t xml:space="preserve"> </w:t>
      </w:r>
      <w:r w:rsidRPr="00E96D15">
        <w:rPr>
          <w:rFonts w:cs="Times New Roman"/>
          <w:szCs w:val="22"/>
          <w:lang w:val="en-US"/>
        </w:rPr>
        <w:t>to calculate a national weighted average based on population using data from ABS 3101.0</w:t>
      </w:r>
      <w:r>
        <w:rPr>
          <w:rFonts w:cs="Times New Roman"/>
          <w:szCs w:val="22"/>
          <w:lang w:val="en-US"/>
        </w:rPr>
        <w:t xml:space="preserve">, </w:t>
      </w:r>
      <w:r w:rsidRPr="00E96D15">
        <w:rPr>
          <w:rFonts w:cs="Times New Roman"/>
          <w:szCs w:val="22"/>
          <w:lang w:val="en-US"/>
        </w:rPr>
        <w:t>Australian Demographic Statistics, June 2012</w:t>
      </w:r>
      <w:r>
        <w:rPr>
          <w:rFonts w:cs="Times New Roman"/>
          <w:szCs w:val="22"/>
          <w:lang w:val="en-US"/>
        </w:rPr>
        <w:t xml:space="preserve"> (</w:t>
      </w:r>
      <w:r w:rsidRPr="00135E24">
        <w:rPr>
          <w:rFonts w:cs="Times New Roman"/>
          <w:szCs w:val="22"/>
          <w:lang w:val="en-US"/>
        </w:rPr>
        <w:t>ABS 3101.0 201</w:t>
      </w:r>
      <w:r>
        <w:rPr>
          <w:rFonts w:cs="Times New Roman"/>
          <w:szCs w:val="22"/>
          <w:lang w:val="en-US"/>
        </w:rPr>
        <w:t>7)</w:t>
      </w:r>
      <w:r w:rsidR="00024B57">
        <w:rPr>
          <w:rFonts w:cs="Times New Roman"/>
          <w:szCs w:val="22"/>
          <w:lang w:val="en-US"/>
        </w:rPr>
        <w:t>. The calculated national average for CHF2 in 2012</w:t>
      </w:r>
      <w:r w:rsidR="00EC540A">
        <w:rPr>
          <w:rFonts w:cs="Times New Roman"/>
          <w:szCs w:val="22"/>
          <w:lang w:val="en-US"/>
        </w:rPr>
        <w:t xml:space="preserve"> </w:t>
      </w:r>
      <w:r w:rsidR="00024B57">
        <w:rPr>
          <w:rFonts w:cs="Times New Roman"/>
          <w:szCs w:val="22"/>
          <w:lang w:val="en-US"/>
        </w:rPr>
        <w:t xml:space="preserve">was </w:t>
      </w:r>
      <w:r w:rsidR="00EC540A">
        <w:rPr>
          <w:rFonts w:cs="Times New Roman"/>
          <w:szCs w:val="22"/>
          <w:lang w:val="en-US"/>
        </w:rPr>
        <w:t>0.</w:t>
      </w:r>
      <w:r w:rsidR="00024B57">
        <w:rPr>
          <w:rFonts w:cs="Times New Roman"/>
          <w:szCs w:val="22"/>
          <w:lang w:val="en-US"/>
        </w:rPr>
        <w:t>9</w:t>
      </w:r>
      <w:r w:rsidR="00270510">
        <w:rPr>
          <w:rFonts w:cs="Times New Roman"/>
          <w:szCs w:val="22"/>
          <w:lang w:val="en-US"/>
        </w:rPr>
        <w:t>14</w:t>
      </w:r>
      <w:r w:rsidR="00EC540A">
        <w:rPr>
          <w:rFonts w:cs="Times New Roman"/>
          <w:szCs w:val="22"/>
          <w:lang w:val="en-US"/>
        </w:rPr>
        <w:t xml:space="preserve"> </w:t>
      </w:r>
      <w:r w:rsidR="00EC540A" w:rsidRPr="00D20840">
        <w:rPr>
          <w:rFonts w:cs="Times New Roman"/>
          <w:szCs w:val="22"/>
          <w:lang w:val="en-US"/>
        </w:rPr>
        <w:t>kg CO</w:t>
      </w:r>
      <w:r w:rsidR="00EC540A" w:rsidRPr="00D20840">
        <w:rPr>
          <w:rFonts w:cs="Times New Roman"/>
          <w:szCs w:val="22"/>
          <w:vertAlign w:val="subscript"/>
          <w:lang w:val="en-US"/>
        </w:rPr>
        <w:t>2</w:t>
      </w:r>
      <w:r w:rsidR="00EC540A" w:rsidRPr="00D20840">
        <w:rPr>
          <w:rFonts w:cs="Times New Roman"/>
          <w:szCs w:val="22"/>
          <w:lang w:val="en-US"/>
        </w:rPr>
        <w:t>e/kWh</w:t>
      </w:r>
      <w:r w:rsidR="00EC540A" w:rsidRPr="00E96D15">
        <w:rPr>
          <w:rFonts w:cs="Times New Roman"/>
          <w:szCs w:val="22"/>
          <w:lang w:val="en-US"/>
        </w:rPr>
        <w:t>.</w:t>
      </w:r>
    </w:p>
    <w:p w14:paraId="7FBFB387" w14:textId="792159AF" w:rsidR="00262D4C" w:rsidRPr="00E96D15" w:rsidRDefault="00044211" w:rsidP="00262D4C">
      <w:pPr>
        <w:rPr>
          <w:rFonts w:cs="Times New Roman"/>
          <w:szCs w:val="22"/>
          <w:lang w:val="en-US"/>
        </w:rPr>
      </w:pPr>
      <w:r>
        <w:rPr>
          <w:rFonts w:cs="Times New Roman"/>
          <w:szCs w:val="22"/>
          <w:lang w:val="en-US"/>
        </w:rPr>
        <w:t>In CHF3 the l</w:t>
      </w:r>
      <w:r w:rsidRPr="00044211">
        <w:rPr>
          <w:rFonts w:cs="Times New Roman"/>
          <w:szCs w:val="22"/>
          <w:lang w:val="en-US"/>
        </w:rPr>
        <w:t xml:space="preserve">atest </w:t>
      </w:r>
      <w:r>
        <w:rPr>
          <w:rFonts w:cs="Times New Roman"/>
          <w:szCs w:val="22"/>
          <w:lang w:val="en-US"/>
        </w:rPr>
        <w:t>national e</w:t>
      </w:r>
      <w:r w:rsidRPr="00044211">
        <w:rPr>
          <w:rFonts w:cs="Times New Roman"/>
          <w:szCs w:val="22"/>
          <w:lang w:val="en-US"/>
        </w:rPr>
        <w:t>stimate</w:t>
      </w:r>
      <w:r>
        <w:rPr>
          <w:rFonts w:cs="Times New Roman"/>
          <w:szCs w:val="22"/>
          <w:lang w:val="en-US"/>
        </w:rPr>
        <w:t xml:space="preserve"> </w:t>
      </w:r>
      <w:r w:rsidRPr="00044211">
        <w:rPr>
          <w:rFonts w:cs="Times New Roman"/>
          <w:szCs w:val="22"/>
          <w:lang w:val="en-US"/>
        </w:rPr>
        <w:t xml:space="preserve">Scope 2 and 3 emissions factors - consumption of purchased electricity by end users </w:t>
      </w:r>
      <w:r w:rsidR="00D20840">
        <w:rPr>
          <w:rFonts w:cs="Times New Roman"/>
          <w:szCs w:val="22"/>
          <w:lang w:val="en-US"/>
        </w:rPr>
        <w:t xml:space="preserve">(Table 41, </w:t>
      </w:r>
      <w:r w:rsidR="002A2B56">
        <w:rPr>
          <w:rFonts w:cs="Times New Roman"/>
          <w:szCs w:val="22"/>
          <w:lang w:val="en-US"/>
        </w:rPr>
        <w:t>NGA Factors</w:t>
      </w:r>
      <w:r w:rsidR="006B1747">
        <w:rPr>
          <w:rFonts w:cs="Times New Roman"/>
          <w:szCs w:val="22"/>
          <w:lang w:val="en-US"/>
        </w:rPr>
        <w:t xml:space="preserve"> DoEE 2017</w:t>
      </w:r>
      <w:r w:rsidR="00262D4C">
        <w:rPr>
          <w:rFonts w:cs="Times New Roman"/>
          <w:szCs w:val="22"/>
          <w:lang w:val="en-US"/>
        </w:rPr>
        <w:t>)</w:t>
      </w:r>
      <w:r w:rsidR="00EC540A">
        <w:rPr>
          <w:rFonts w:cs="Times New Roman"/>
          <w:szCs w:val="22"/>
          <w:lang w:val="en-US"/>
        </w:rPr>
        <w:t xml:space="preserve"> was used, a</w:t>
      </w:r>
      <w:r w:rsidR="00262D4C" w:rsidRPr="00E96D15">
        <w:rPr>
          <w:rFonts w:cs="Times New Roman"/>
          <w:szCs w:val="22"/>
          <w:lang w:val="en-US"/>
        </w:rPr>
        <w:t xml:space="preserve"> </w:t>
      </w:r>
      <w:r w:rsidR="00D20840">
        <w:rPr>
          <w:rFonts w:cs="Times New Roman"/>
          <w:szCs w:val="22"/>
          <w:lang w:val="en-US"/>
        </w:rPr>
        <w:t>value of 0.</w:t>
      </w:r>
      <w:r w:rsidR="00EC540A">
        <w:rPr>
          <w:rFonts w:cs="Times New Roman"/>
          <w:szCs w:val="22"/>
          <w:lang w:val="en-US"/>
        </w:rPr>
        <w:t>81</w:t>
      </w:r>
      <w:r w:rsidR="00D20840">
        <w:rPr>
          <w:rFonts w:cs="Times New Roman"/>
          <w:szCs w:val="22"/>
          <w:lang w:val="en-US"/>
        </w:rPr>
        <w:t xml:space="preserve"> </w:t>
      </w:r>
      <w:r w:rsidR="00D20840" w:rsidRPr="00D20840">
        <w:rPr>
          <w:rFonts w:cs="Times New Roman"/>
          <w:szCs w:val="22"/>
          <w:lang w:val="en-US"/>
        </w:rPr>
        <w:t>kg CO</w:t>
      </w:r>
      <w:r w:rsidR="00D20840" w:rsidRPr="00D20840">
        <w:rPr>
          <w:rFonts w:cs="Times New Roman"/>
          <w:szCs w:val="22"/>
          <w:vertAlign w:val="subscript"/>
          <w:lang w:val="en-US"/>
        </w:rPr>
        <w:t>2</w:t>
      </w:r>
      <w:r w:rsidR="00D20840" w:rsidRPr="00D20840">
        <w:rPr>
          <w:rFonts w:cs="Times New Roman"/>
          <w:szCs w:val="22"/>
          <w:lang w:val="en-US"/>
        </w:rPr>
        <w:t>e/kWh</w:t>
      </w:r>
      <w:r w:rsidR="00262D4C" w:rsidRPr="00E96D15">
        <w:rPr>
          <w:rFonts w:cs="Times New Roman"/>
          <w:szCs w:val="22"/>
          <w:lang w:val="en-US"/>
        </w:rPr>
        <w:t xml:space="preserve">. </w:t>
      </w:r>
    </w:p>
    <w:p w14:paraId="0755C6BC" w14:textId="219588C9" w:rsidR="00CA7454" w:rsidRDefault="00CA7454" w:rsidP="00CA7454">
      <w:pPr>
        <w:rPr>
          <w:rFonts w:cs="Times New Roman"/>
          <w:szCs w:val="22"/>
          <w:lang w:val="en-US"/>
        </w:rPr>
      </w:pPr>
      <w:r w:rsidRPr="00E96D15">
        <w:rPr>
          <w:rFonts w:cs="Times New Roman"/>
          <w:szCs w:val="22"/>
          <w:lang w:val="en-US"/>
        </w:rPr>
        <w:t>Fuel combustion emissions for petrol and diesel used by transport refrigeration and mobile air conditioning w</w:t>
      </w:r>
      <w:r w:rsidR="005F1DC6">
        <w:rPr>
          <w:rFonts w:cs="Times New Roman"/>
          <w:szCs w:val="22"/>
          <w:lang w:val="en-US"/>
        </w:rPr>
        <w:t>ere</w:t>
      </w:r>
      <w:r w:rsidRPr="00E96D15">
        <w:rPr>
          <w:rFonts w:cs="Times New Roman"/>
          <w:szCs w:val="22"/>
          <w:lang w:val="en-US"/>
        </w:rPr>
        <w:t xml:space="preserve"> calculated using the relevant energy content emission factors for post 2004 vehicles.</w:t>
      </w:r>
    </w:p>
    <w:p w14:paraId="46D525B3" w14:textId="77777777" w:rsidR="00784A3F" w:rsidRDefault="00784A3F" w:rsidP="00CA7454">
      <w:pPr>
        <w:rPr>
          <w:rFonts w:cs="Times New Roman"/>
          <w:szCs w:val="22"/>
          <w:lang w:val="en-US"/>
        </w:rPr>
      </w:pPr>
    </w:p>
    <w:p w14:paraId="00B5D1F9" w14:textId="344FF01A" w:rsidR="00CA7454" w:rsidRPr="00784A3F" w:rsidRDefault="00784A3F" w:rsidP="00784A3F">
      <w:pPr>
        <w:pStyle w:val="Caption"/>
        <w:keepNext/>
        <w:rPr>
          <w:szCs w:val="22"/>
        </w:rPr>
      </w:pPr>
      <w:bookmarkStart w:id="224" w:name="_Toc494118111"/>
      <w:bookmarkStart w:id="225" w:name="_Toc525141432"/>
      <w:r w:rsidRPr="00784A3F">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43</w:t>
      </w:r>
      <w:r w:rsidR="009D6843">
        <w:rPr>
          <w:noProof/>
        </w:rPr>
        <w:fldChar w:fldCharType="end"/>
      </w:r>
      <w:r w:rsidRPr="00784A3F">
        <w:t xml:space="preserve">: </w:t>
      </w:r>
      <w:r w:rsidR="00CA7454" w:rsidRPr="00784A3F">
        <w:rPr>
          <w:szCs w:val="22"/>
        </w:rPr>
        <w:t>Fuel combustion emission factors-fuels used for transport energy purposes for post-2004 vehicles</w:t>
      </w:r>
      <w:bookmarkEnd w:id="224"/>
      <w:r w:rsidR="00CA7454" w:rsidRPr="00784A3F">
        <w:rPr>
          <w:szCs w:val="22"/>
        </w:rPr>
        <w:t>.</w:t>
      </w:r>
      <w:bookmarkEnd w:id="225"/>
    </w:p>
    <w:tbl>
      <w:tblPr>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127"/>
        <w:gridCol w:w="1695"/>
        <w:gridCol w:w="1696"/>
        <w:gridCol w:w="1848"/>
      </w:tblGrid>
      <w:tr w:rsidR="00952C41" w:rsidRPr="00952C41" w14:paraId="7B32E038" w14:textId="77777777" w:rsidTr="00784A3F">
        <w:trPr>
          <w:trHeight w:val="684"/>
        </w:trPr>
        <w:tc>
          <w:tcPr>
            <w:tcW w:w="2268" w:type="dxa"/>
            <w:vMerge w:val="restart"/>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5A44EF5C" w14:textId="77777777" w:rsidR="00CA7454" w:rsidRPr="00952C41" w:rsidRDefault="00CA7454" w:rsidP="00527087">
            <w:pPr>
              <w:spacing w:after="120"/>
              <w:ind w:left="284"/>
              <w:rPr>
                <w:color w:val="000000" w:themeColor="text1"/>
              </w:rPr>
            </w:pPr>
            <w:r w:rsidRPr="00952C41">
              <w:rPr>
                <w:color w:val="000000" w:themeColor="text1"/>
              </w:rPr>
              <w:t>Fuel type</w:t>
            </w:r>
          </w:p>
        </w:tc>
        <w:tc>
          <w:tcPr>
            <w:tcW w:w="2127" w:type="dxa"/>
            <w:vMerge w:val="restart"/>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219F7537" w14:textId="77777777" w:rsidR="00CA7454" w:rsidRPr="00952C41" w:rsidRDefault="00CA7454" w:rsidP="00527087">
            <w:pPr>
              <w:spacing w:after="120"/>
              <w:jc w:val="center"/>
              <w:rPr>
                <w:rFonts w:cs="Times New Roman"/>
                <w:color w:val="000000" w:themeColor="text1"/>
                <w:szCs w:val="22"/>
              </w:rPr>
            </w:pPr>
            <w:r w:rsidRPr="00952C41">
              <w:rPr>
                <w:rFonts w:eastAsia="Times New Roman" w:cs="Times New Roman"/>
                <w:color w:val="000000" w:themeColor="text1"/>
                <w:szCs w:val="22"/>
              </w:rPr>
              <w:t>Energy content factor (GJ/kL)</w:t>
            </w:r>
          </w:p>
        </w:tc>
        <w:tc>
          <w:tcPr>
            <w:tcW w:w="5239" w:type="dxa"/>
            <w:gridSpan w:val="3"/>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7D608748" w14:textId="7227E7DC" w:rsidR="00CA7454" w:rsidRPr="00952C41" w:rsidRDefault="00CA7454" w:rsidP="00527087">
            <w:pPr>
              <w:spacing w:after="120"/>
              <w:jc w:val="center"/>
              <w:rPr>
                <w:rFonts w:cs="Times New Roman"/>
                <w:color w:val="000000" w:themeColor="text1"/>
                <w:szCs w:val="22"/>
              </w:rPr>
            </w:pPr>
            <w:r w:rsidRPr="00952C41">
              <w:rPr>
                <w:rFonts w:eastAsia="Times New Roman" w:cs="Times New Roman"/>
                <w:color w:val="000000" w:themeColor="text1"/>
                <w:szCs w:val="22"/>
              </w:rPr>
              <w:t>Emission factors (kg CO</w:t>
            </w:r>
            <w:r w:rsidRPr="00952C41">
              <w:rPr>
                <w:rFonts w:eastAsia="Times New Roman" w:cs="Times New Roman"/>
                <w:color w:val="000000" w:themeColor="text1"/>
                <w:szCs w:val="22"/>
                <w:vertAlign w:val="subscript"/>
              </w:rPr>
              <w:t>2</w:t>
            </w:r>
            <w:r w:rsidRPr="00952C41">
              <w:rPr>
                <w:rFonts w:eastAsia="Times New Roman" w:cs="Times New Roman"/>
                <w:color w:val="000000" w:themeColor="text1"/>
                <w:szCs w:val="22"/>
              </w:rPr>
              <w:t>e/GJ)</w:t>
            </w:r>
          </w:p>
        </w:tc>
      </w:tr>
      <w:tr w:rsidR="00952C41" w:rsidRPr="00952C41" w14:paraId="67552BDD" w14:textId="77777777" w:rsidTr="00784A3F">
        <w:trPr>
          <w:trHeight w:val="456"/>
        </w:trPr>
        <w:tc>
          <w:tcPr>
            <w:tcW w:w="2268" w:type="dxa"/>
            <w:vMerge/>
            <w:tcBorders>
              <w:top w:val="single" w:sz="8" w:space="0" w:color="auto"/>
              <w:left w:val="single" w:sz="8" w:space="0" w:color="auto"/>
              <w:right w:val="single" w:sz="8" w:space="0" w:color="auto"/>
            </w:tcBorders>
            <w:shd w:val="clear" w:color="auto" w:fill="B6DDE8" w:themeFill="accent5" w:themeFillTint="66"/>
            <w:vAlign w:val="bottom"/>
          </w:tcPr>
          <w:p w14:paraId="69D0C957" w14:textId="77777777" w:rsidR="00CA7454" w:rsidRPr="00952C41" w:rsidRDefault="00CA7454" w:rsidP="00527087">
            <w:pPr>
              <w:spacing w:before="60" w:after="60"/>
              <w:ind w:left="284"/>
              <w:rPr>
                <w:color w:val="000000" w:themeColor="text1"/>
              </w:rPr>
            </w:pPr>
          </w:p>
        </w:tc>
        <w:tc>
          <w:tcPr>
            <w:tcW w:w="2127" w:type="dxa"/>
            <w:vMerge/>
            <w:tcBorders>
              <w:top w:val="single" w:sz="8" w:space="0" w:color="auto"/>
              <w:left w:val="single" w:sz="8" w:space="0" w:color="auto"/>
              <w:right w:val="single" w:sz="8" w:space="0" w:color="auto"/>
            </w:tcBorders>
            <w:shd w:val="clear" w:color="auto" w:fill="B6DDE8" w:themeFill="accent5" w:themeFillTint="66"/>
            <w:vAlign w:val="bottom"/>
          </w:tcPr>
          <w:p w14:paraId="09C8F855" w14:textId="77777777" w:rsidR="00CA7454" w:rsidRPr="00952C41" w:rsidRDefault="00CA7454" w:rsidP="00527087">
            <w:pPr>
              <w:spacing w:before="60" w:after="60"/>
              <w:jc w:val="center"/>
              <w:rPr>
                <w:color w:val="000000" w:themeColor="text1"/>
              </w:rPr>
            </w:pPr>
          </w:p>
        </w:tc>
        <w:tc>
          <w:tcPr>
            <w:tcW w:w="1695" w:type="dxa"/>
            <w:tcBorders>
              <w:top w:val="single" w:sz="8" w:space="0" w:color="auto"/>
              <w:left w:val="single" w:sz="8" w:space="0" w:color="auto"/>
              <w:right w:val="single" w:sz="8" w:space="0" w:color="auto"/>
            </w:tcBorders>
            <w:shd w:val="clear" w:color="auto" w:fill="B6DDE8" w:themeFill="accent5" w:themeFillTint="66"/>
            <w:vAlign w:val="bottom"/>
          </w:tcPr>
          <w:p w14:paraId="7DEB93AA" w14:textId="77777777" w:rsidR="00CA7454" w:rsidRPr="00952C41" w:rsidRDefault="00CA7454" w:rsidP="00527087">
            <w:pPr>
              <w:spacing w:before="60" w:after="60"/>
              <w:jc w:val="center"/>
              <w:rPr>
                <w:color w:val="000000" w:themeColor="text1"/>
              </w:rPr>
            </w:pPr>
            <w:r w:rsidRPr="00952C41">
              <w:rPr>
                <w:color w:val="000000" w:themeColor="text1"/>
              </w:rPr>
              <w:t>CO</w:t>
            </w:r>
            <w:r w:rsidRPr="00952C41">
              <w:rPr>
                <w:color w:val="000000" w:themeColor="text1"/>
                <w:vertAlign w:val="subscript"/>
              </w:rPr>
              <w:t>2</w:t>
            </w:r>
          </w:p>
        </w:tc>
        <w:tc>
          <w:tcPr>
            <w:tcW w:w="1696" w:type="dxa"/>
            <w:tcBorders>
              <w:top w:val="single" w:sz="8" w:space="0" w:color="auto"/>
              <w:left w:val="single" w:sz="8" w:space="0" w:color="auto"/>
              <w:right w:val="single" w:sz="8" w:space="0" w:color="auto"/>
            </w:tcBorders>
            <w:shd w:val="clear" w:color="auto" w:fill="B6DDE8" w:themeFill="accent5" w:themeFillTint="66"/>
            <w:vAlign w:val="bottom"/>
          </w:tcPr>
          <w:p w14:paraId="518CE934" w14:textId="77777777" w:rsidR="00CA7454" w:rsidRPr="00952C41" w:rsidRDefault="00CA7454" w:rsidP="00527087">
            <w:pPr>
              <w:spacing w:before="60" w:after="60"/>
              <w:jc w:val="center"/>
              <w:rPr>
                <w:color w:val="000000" w:themeColor="text1"/>
              </w:rPr>
            </w:pPr>
            <w:r w:rsidRPr="00952C41">
              <w:rPr>
                <w:color w:val="000000" w:themeColor="text1"/>
              </w:rPr>
              <w:t>CH</w:t>
            </w:r>
            <w:r w:rsidRPr="00961A43">
              <w:rPr>
                <w:color w:val="000000" w:themeColor="text1"/>
                <w:vertAlign w:val="subscript"/>
              </w:rPr>
              <w:t>4</w:t>
            </w:r>
          </w:p>
        </w:tc>
        <w:tc>
          <w:tcPr>
            <w:tcW w:w="1848" w:type="dxa"/>
            <w:tcBorders>
              <w:top w:val="single" w:sz="8" w:space="0" w:color="auto"/>
              <w:left w:val="single" w:sz="8" w:space="0" w:color="auto"/>
            </w:tcBorders>
            <w:shd w:val="clear" w:color="auto" w:fill="B6DDE8" w:themeFill="accent5" w:themeFillTint="66"/>
            <w:vAlign w:val="bottom"/>
          </w:tcPr>
          <w:p w14:paraId="25DB40E4" w14:textId="77777777" w:rsidR="00CA7454" w:rsidRPr="00952C41" w:rsidRDefault="00CA7454" w:rsidP="00527087">
            <w:pPr>
              <w:spacing w:before="60" w:after="60"/>
              <w:jc w:val="center"/>
              <w:rPr>
                <w:color w:val="000000" w:themeColor="text1"/>
              </w:rPr>
            </w:pPr>
            <w:r w:rsidRPr="00952C41">
              <w:rPr>
                <w:color w:val="000000" w:themeColor="text1"/>
              </w:rPr>
              <w:t>N</w:t>
            </w:r>
            <w:r w:rsidRPr="00961A43">
              <w:rPr>
                <w:color w:val="000000" w:themeColor="text1"/>
                <w:vertAlign w:val="subscript"/>
              </w:rPr>
              <w:t>2</w:t>
            </w:r>
            <w:r w:rsidRPr="00952C41">
              <w:rPr>
                <w:color w:val="000000" w:themeColor="text1"/>
              </w:rPr>
              <w:t>O</w:t>
            </w:r>
          </w:p>
        </w:tc>
      </w:tr>
      <w:tr w:rsidR="00CA7454" w:rsidRPr="00A62170" w14:paraId="57F439D1" w14:textId="77777777" w:rsidTr="00784A3F">
        <w:trPr>
          <w:trHeight w:val="456"/>
        </w:trPr>
        <w:tc>
          <w:tcPr>
            <w:tcW w:w="2268" w:type="dxa"/>
            <w:tcBorders>
              <w:top w:val="single" w:sz="8" w:space="0" w:color="auto"/>
            </w:tcBorders>
            <w:vAlign w:val="bottom"/>
          </w:tcPr>
          <w:p w14:paraId="4980B099" w14:textId="77777777" w:rsidR="00CA7454" w:rsidRPr="00A62170" w:rsidRDefault="00CA7454" w:rsidP="00527087">
            <w:pPr>
              <w:spacing w:before="60" w:after="60"/>
              <w:ind w:left="284"/>
            </w:pPr>
            <w:r w:rsidRPr="00A62170">
              <w:t>Gasoline (petrol)</w:t>
            </w:r>
          </w:p>
        </w:tc>
        <w:tc>
          <w:tcPr>
            <w:tcW w:w="2127" w:type="dxa"/>
            <w:tcBorders>
              <w:top w:val="single" w:sz="8" w:space="0" w:color="auto"/>
            </w:tcBorders>
            <w:vAlign w:val="bottom"/>
          </w:tcPr>
          <w:p w14:paraId="6903CC53" w14:textId="77777777" w:rsidR="00CA7454" w:rsidRPr="00A62170" w:rsidRDefault="00CA7454" w:rsidP="00527087">
            <w:pPr>
              <w:spacing w:before="60" w:after="60"/>
              <w:jc w:val="center"/>
            </w:pPr>
            <w:r w:rsidRPr="00A62170">
              <w:t>34.2</w:t>
            </w:r>
          </w:p>
        </w:tc>
        <w:tc>
          <w:tcPr>
            <w:tcW w:w="1695" w:type="dxa"/>
            <w:vAlign w:val="bottom"/>
          </w:tcPr>
          <w:p w14:paraId="51C277D3" w14:textId="77777777" w:rsidR="00CA7454" w:rsidRPr="00A62170" w:rsidRDefault="00CA7454" w:rsidP="00527087">
            <w:pPr>
              <w:spacing w:before="60" w:after="60"/>
              <w:jc w:val="center"/>
            </w:pPr>
            <w:r>
              <w:t>67.4</w:t>
            </w:r>
          </w:p>
        </w:tc>
        <w:tc>
          <w:tcPr>
            <w:tcW w:w="1696" w:type="dxa"/>
            <w:vAlign w:val="bottom"/>
          </w:tcPr>
          <w:p w14:paraId="2C7BB42B" w14:textId="77777777" w:rsidR="00CA7454" w:rsidRPr="00A62170" w:rsidRDefault="00CA7454" w:rsidP="00527087">
            <w:pPr>
              <w:spacing w:before="60" w:after="60"/>
              <w:jc w:val="center"/>
            </w:pPr>
            <w:r>
              <w:t>0.0</w:t>
            </w:r>
            <w:r w:rsidRPr="00A62170">
              <w:t>2</w:t>
            </w:r>
          </w:p>
        </w:tc>
        <w:tc>
          <w:tcPr>
            <w:tcW w:w="1848" w:type="dxa"/>
            <w:vAlign w:val="bottom"/>
          </w:tcPr>
          <w:p w14:paraId="20BB9949" w14:textId="77777777" w:rsidR="00CA7454" w:rsidRPr="00A62170" w:rsidRDefault="00CA7454" w:rsidP="00527087">
            <w:pPr>
              <w:spacing w:before="60" w:after="60"/>
              <w:jc w:val="center"/>
            </w:pPr>
            <w:r w:rsidRPr="00A62170">
              <w:t>0.2</w:t>
            </w:r>
          </w:p>
        </w:tc>
      </w:tr>
      <w:tr w:rsidR="00CA7454" w:rsidRPr="00A62170" w14:paraId="39A4549C" w14:textId="77777777" w:rsidTr="00784A3F">
        <w:trPr>
          <w:trHeight w:val="456"/>
        </w:trPr>
        <w:tc>
          <w:tcPr>
            <w:tcW w:w="2268" w:type="dxa"/>
            <w:vAlign w:val="bottom"/>
          </w:tcPr>
          <w:p w14:paraId="4F5AFEE3" w14:textId="77777777" w:rsidR="00CA7454" w:rsidRPr="00A62170" w:rsidRDefault="00CA7454" w:rsidP="00527087">
            <w:pPr>
              <w:spacing w:before="60" w:after="60"/>
              <w:ind w:left="284"/>
            </w:pPr>
            <w:r w:rsidRPr="00A62170">
              <w:t>Diesel oil</w:t>
            </w:r>
          </w:p>
        </w:tc>
        <w:tc>
          <w:tcPr>
            <w:tcW w:w="2127" w:type="dxa"/>
            <w:vAlign w:val="bottom"/>
          </w:tcPr>
          <w:p w14:paraId="70F11CE2" w14:textId="77777777" w:rsidR="00CA7454" w:rsidRPr="00A62170" w:rsidRDefault="00CA7454" w:rsidP="00527087">
            <w:pPr>
              <w:spacing w:before="60" w:after="60"/>
              <w:jc w:val="center"/>
            </w:pPr>
            <w:r w:rsidRPr="00A62170">
              <w:t>38.6</w:t>
            </w:r>
          </w:p>
        </w:tc>
        <w:tc>
          <w:tcPr>
            <w:tcW w:w="1695" w:type="dxa"/>
            <w:vAlign w:val="bottom"/>
          </w:tcPr>
          <w:p w14:paraId="6CEE02CF" w14:textId="77777777" w:rsidR="00CA7454" w:rsidRPr="00A62170" w:rsidRDefault="00CA7454" w:rsidP="00527087">
            <w:pPr>
              <w:spacing w:before="60" w:after="60"/>
              <w:jc w:val="center"/>
            </w:pPr>
            <w:r w:rsidRPr="00A62170">
              <w:t>69.</w:t>
            </w:r>
            <w:r>
              <w:t>9</w:t>
            </w:r>
          </w:p>
        </w:tc>
        <w:tc>
          <w:tcPr>
            <w:tcW w:w="1696" w:type="dxa"/>
            <w:vAlign w:val="bottom"/>
          </w:tcPr>
          <w:p w14:paraId="01EEB105" w14:textId="77777777" w:rsidR="00CA7454" w:rsidRPr="00A62170" w:rsidRDefault="00CA7454" w:rsidP="00527087">
            <w:pPr>
              <w:spacing w:before="60" w:after="60"/>
              <w:jc w:val="center"/>
            </w:pPr>
            <w:r w:rsidRPr="00A62170">
              <w:t>0.01</w:t>
            </w:r>
          </w:p>
        </w:tc>
        <w:tc>
          <w:tcPr>
            <w:tcW w:w="1848" w:type="dxa"/>
            <w:vAlign w:val="bottom"/>
          </w:tcPr>
          <w:p w14:paraId="3D09BCFF" w14:textId="77777777" w:rsidR="00CA7454" w:rsidRPr="00A62170" w:rsidRDefault="00CA7454" w:rsidP="00527087">
            <w:pPr>
              <w:spacing w:before="60" w:after="60"/>
              <w:jc w:val="center"/>
            </w:pPr>
            <w:r w:rsidRPr="00A62170">
              <w:t>0.6</w:t>
            </w:r>
          </w:p>
        </w:tc>
      </w:tr>
    </w:tbl>
    <w:p w14:paraId="704ECA92" w14:textId="5C2A378A" w:rsidR="00CA7454" w:rsidRPr="00D37A89" w:rsidRDefault="00CA7454" w:rsidP="00CA7454">
      <w:pPr>
        <w:spacing w:before="0"/>
        <w:rPr>
          <w:sz w:val="20"/>
          <w:szCs w:val="20"/>
        </w:rPr>
      </w:pPr>
      <w:r w:rsidRPr="00D37A89">
        <w:rPr>
          <w:sz w:val="20"/>
          <w:szCs w:val="20"/>
        </w:rPr>
        <w:t xml:space="preserve">(Source: </w:t>
      </w:r>
      <w:r w:rsidRPr="00270510">
        <w:rPr>
          <w:sz w:val="20"/>
          <w:szCs w:val="20"/>
        </w:rPr>
        <w:t xml:space="preserve">Table </w:t>
      </w:r>
      <w:r>
        <w:rPr>
          <w:sz w:val="20"/>
          <w:szCs w:val="20"/>
        </w:rPr>
        <w:t>4</w:t>
      </w:r>
      <w:r w:rsidRPr="00270510">
        <w:rPr>
          <w:sz w:val="20"/>
          <w:szCs w:val="20"/>
        </w:rPr>
        <w:t>, NGA Factors DoEE 2017</w:t>
      </w:r>
      <w:r w:rsidRPr="00D37A89">
        <w:rPr>
          <w:sz w:val="20"/>
          <w:szCs w:val="20"/>
        </w:rPr>
        <w:t>)</w:t>
      </w:r>
    </w:p>
    <w:p w14:paraId="33569023" w14:textId="77777777" w:rsidR="00300C77" w:rsidRPr="00E96D15" w:rsidRDefault="00300C77" w:rsidP="00262D4C">
      <w:pPr>
        <w:rPr>
          <w:rFonts w:cs="Times New Roman"/>
          <w:szCs w:val="22"/>
          <w:lang w:val="en-US"/>
        </w:rPr>
      </w:pPr>
    </w:p>
    <w:p w14:paraId="072945C7" w14:textId="77777777" w:rsidR="00262D4C" w:rsidRPr="00491313" w:rsidRDefault="00262D4C" w:rsidP="00262D4C">
      <w:pPr>
        <w:pStyle w:val="Heading3"/>
      </w:pPr>
      <w:bookmarkStart w:id="226" w:name="_Toc525141329"/>
      <w:r w:rsidRPr="00491313">
        <w:t xml:space="preserve">Annual </w:t>
      </w:r>
      <w:r>
        <w:t>e</w:t>
      </w:r>
      <w:r w:rsidRPr="00491313">
        <w:t>xpenditure</w:t>
      </w:r>
      <w:bookmarkEnd w:id="226"/>
    </w:p>
    <w:p w14:paraId="5566A35B" w14:textId="7A1834FB" w:rsidR="00262D4C" w:rsidRPr="003961CE" w:rsidRDefault="00262D4C" w:rsidP="00262D4C">
      <w:pPr>
        <w:rPr>
          <w:rFonts w:cs="Times New Roman"/>
          <w:szCs w:val="22"/>
          <w:lang w:val="en-US"/>
        </w:rPr>
      </w:pPr>
      <w:r w:rsidRPr="003961CE">
        <w:rPr>
          <w:rFonts w:cs="Times New Roman"/>
          <w:szCs w:val="22"/>
          <w:lang w:val="en-US"/>
        </w:rPr>
        <w:t>The number of pieces of any product being imported, manufactured, sold, installed</w:t>
      </w:r>
      <w:r w:rsidR="005F1DC6">
        <w:rPr>
          <w:rFonts w:cs="Times New Roman"/>
          <w:szCs w:val="22"/>
          <w:lang w:val="en-US"/>
        </w:rPr>
        <w:t>,</w:t>
      </w:r>
      <w:r w:rsidRPr="003961CE">
        <w:rPr>
          <w:rFonts w:cs="Times New Roman"/>
          <w:szCs w:val="22"/>
          <w:lang w:val="en-US"/>
        </w:rPr>
        <w:t xml:space="preserve"> and commissioned in any year is known from the stock model. The average cost to the end-user of that product is known from surveys of the market and interviews with suppliers. These two factors allow the calculation of total expenditure on RAC equipment in any year.</w:t>
      </w:r>
    </w:p>
    <w:p w14:paraId="5D95BF83" w14:textId="387C18EB" w:rsidR="00262D4C" w:rsidRPr="003961CE" w:rsidRDefault="00262D4C" w:rsidP="00262D4C">
      <w:pPr>
        <w:rPr>
          <w:rFonts w:cs="Times New Roman"/>
          <w:szCs w:val="22"/>
          <w:lang w:val="en-US"/>
        </w:rPr>
      </w:pPr>
      <w:r w:rsidRPr="003961CE">
        <w:rPr>
          <w:rFonts w:cs="Times New Roman"/>
          <w:szCs w:val="22"/>
          <w:lang w:val="en-US"/>
        </w:rPr>
        <w:t>The quantity of refrigerant</w:t>
      </w:r>
      <w:r w:rsidR="00DE68A2">
        <w:rPr>
          <w:rFonts w:cs="Times New Roman"/>
          <w:szCs w:val="22"/>
          <w:lang w:val="en-US"/>
        </w:rPr>
        <w:t>s</w:t>
      </w:r>
      <w:r w:rsidRPr="003961CE">
        <w:rPr>
          <w:rFonts w:cs="Times New Roman"/>
          <w:szCs w:val="22"/>
          <w:lang w:val="en-US"/>
        </w:rPr>
        <w:t xml:space="preserve"> that are imported every year is known from </w:t>
      </w:r>
      <w:r w:rsidR="00176B29">
        <w:rPr>
          <w:rFonts w:cs="Times New Roman"/>
          <w:szCs w:val="22"/>
          <w:lang w:val="en-US"/>
        </w:rPr>
        <w:t>the Department</w:t>
      </w:r>
      <w:r w:rsidRPr="003961CE">
        <w:rPr>
          <w:rFonts w:cs="Times New Roman"/>
          <w:szCs w:val="22"/>
          <w:lang w:val="en-US"/>
        </w:rPr>
        <w:t xml:space="preserve"> </w:t>
      </w:r>
      <w:r w:rsidR="008054ED">
        <w:rPr>
          <w:rFonts w:cs="Times New Roman"/>
          <w:szCs w:val="22"/>
          <w:lang w:val="en-US"/>
        </w:rPr>
        <w:t xml:space="preserve">of the Environment and Energy’s </w:t>
      </w:r>
      <w:r w:rsidRPr="003961CE">
        <w:rPr>
          <w:rFonts w:cs="Times New Roman"/>
          <w:szCs w:val="22"/>
          <w:lang w:val="en-US"/>
        </w:rPr>
        <w:t xml:space="preserve">bulk import data. The uses to which that </w:t>
      </w:r>
      <w:r w:rsidR="00703A81">
        <w:rPr>
          <w:rFonts w:cs="Times New Roman"/>
          <w:szCs w:val="22"/>
          <w:lang w:val="en-US"/>
        </w:rPr>
        <w:t>refrigerant</w:t>
      </w:r>
      <w:r w:rsidRPr="003961CE">
        <w:rPr>
          <w:rFonts w:cs="Times New Roman"/>
          <w:szCs w:val="22"/>
          <w:lang w:val="en-US"/>
        </w:rPr>
        <w:t xml:space="preserve"> is put is deduced from the data underlying the calculation of the bank of </w:t>
      </w:r>
      <w:r w:rsidR="00703A81">
        <w:rPr>
          <w:rFonts w:cs="Times New Roman"/>
          <w:szCs w:val="22"/>
          <w:lang w:val="en-US"/>
        </w:rPr>
        <w:t>refrigerants</w:t>
      </w:r>
      <w:r w:rsidRPr="003961CE">
        <w:rPr>
          <w:rFonts w:cs="Times New Roman"/>
          <w:szCs w:val="22"/>
          <w:lang w:val="en-US"/>
        </w:rPr>
        <w:t xml:space="preserve">. The </w:t>
      </w:r>
      <w:r w:rsidR="003D6C9C">
        <w:rPr>
          <w:rFonts w:cs="Times New Roman"/>
          <w:szCs w:val="22"/>
          <w:lang w:val="en-US"/>
        </w:rPr>
        <w:t>cost</w:t>
      </w:r>
      <w:r w:rsidRPr="003961CE">
        <w:rPr>
          <w:rFonts w:cs="Times New Roman"/>
          <w:szCs w:val="22"/>
          <w:lang w:val="en-US"/>
        </w:rPr>
        <w:t xml:space="preserve"> to the end-users of that </w:t>
      </w:r>
      <w:r w:rsidR="00703A81">
        <w:rPr>
          <w:rFonts w:cs="Times New Roman"/>
          <w:szCs w:val="22"/>
          <w:lang w:val="en-US"/>
        </w:rPr>
        <w:t>refrigerant</w:t>
      </w:r>
      <w:r w:rsidRPr="003961CE">
        <w:rPr>
          <w:rFonts w:cs="Times New Roman"/>
          <w:szCs w:val="22"/>
          <w:lang w:val="en-US"/>
        </w:rPr>
        <w:t xml:space="preserve"> is known from market surveys and information from wholesalers (i.e. list prices and discounts) and service contractors (i.e. mark-ups to end-users). These factors allow the calculation of total annual expenditure by end-users on refrigerant.</w:t>
      </w:r>
    </w:p>
    <w:p w14:paraId="54E0DC2E" w14:textId="4A271679" w:rsidR="00262D4C" w:rsidRPr="003961CE" w:rsidRDefault="00262D4C" w:rsidP="00262D4C">
      <w:pPr>
        <w:rPr>
          <w:rFonts w:cs="Times New Roman"/>
          <w:szCs w:val="22"/>
          <w:lang w:val="en-US"/>
        </w:rPr>
      </w:pPr>
      <w:r w:rsidRPr="003961CE">
        <w:rPr>
          <w:rFonts w:cs="Times New Roman"/>
          <w:szCs w:val="22"/>
          <w:lang w:val="en-US"/>
        </w:rPr>
        <w:t xml:space="preserve">The quantity of electricity consumed in RAC equipment is calculated and an average per kWh price applied to provide an estimate of annual expenditure by equipment and appliance owners on electricity consumed in the equipment. </w:t>
      </w:r>
      <w:r w:rsidR="00EC6E68">
        <w:rPr>
          <w:rFonts w:cs="Times New Roman"/>
          <w:szCs w:val="22"/>
          <w:lang w:val="en-US"/>
        </w:rPr>
        <w:t xml:space="preserve">Three </w:t>
      </w:r>
      <w:r w:rsidRPr="003961CE">
        <w:rPr>
          <w:rFonts w:cs="Times New Roman"/>
          <w:szCs w:val="22"/>
          <w:lang w:val="en-US"/>
        </w:rPr>
        <w:t xml:space="preserve">national average rates were used, one for commercial </w:t>
      </w:r>
      <w:r w:rsidRPr="00EC6E68">
        <w:rPr>
          <w:rFonts w:cs="Times New Roman"/>
          <w:szCs w:val="22"/>
          <w:lang w:val="en-US"/>
        </w:rPr>
        <w:t>end-users of 1</w:t>
      </w:r>
      <w:r w:rsidR="00EC6E68" w:rsidRPr="00EC6E68">
        <w:rPr>
          <w:rFonts w:cs="Times New Roman"/>
          <w:szCs w:val="22"/>
          <w:lang w:val="en-US"/>
        </w:rPr>
        <w:t>6</w:t>
      </w:r>
      <w:r w:rsidRPr="00EC6E68">
        <w:rPr>
          <w:rFonts w:cs="Times New Roman"/>
          <w:szCs w:val="22"/>
          <w:lang w:val="en-US"/>
        </w:rPr>
        <w:t xml:space="preserve">c/kWh, </w:t>
      </w:r>
      <w:r w:rsidR="00EC6E68" w:rsidRPr="00EC6E68">
        <w:rPr>
          <w:rFonts w:cs="Times New Roman"/>
          <w:szCs w:val="22"/>
          <w:lang w:val="en-US"/>
        </w:rPr>
        <w:t xml:space="preserve">industrial end-users </w:t>
      </w:r>
      <w:r w:rsidR="00917F46">
        <w:rPr>
          <w:rFonts w:cs="Times New Roman"/>
          <w:szCs w:val="22"/>
          <w:lang w:val="en-US"/>
        </w:rPr>
        <w:t>of 13</w:t>
      </w:r>
      <w:r w:rsidR="00EC6E68" w:rsidRPr="00EC6E68">
        <w:rPr>
          <w:rFonts w:cs="Times New Roman"/>
          <w:szCs w:val="22"/>
          <w:lang w:val="en-US"/>
        </w:rPr>
        <w:t xml:space="preserve">c/kWh </w:t>
      </w:r>
      <w:r w:rsidRPr="00EC6E68">
        <w:rPr>
          <w:rFonts w:cs="Times New Roman"/>
          <w:szCs w:val="22"/>
          <w:lang w:val="en-US"/>
        </w:rPr>
        <w:t>and 2</w:t>
      </w:r>
      <w:r w:rsidR="00EC6E68" w:rsidRPr="00EC6E68">
        <w:rPr>
          <w:rFonts w:cs="Times New Roman"/>
          <w:szCs w:val="22"/>
          <w:lang w:val="en-US"/>
        </w:rPr>
        <w:t>8</w:t>
      </w:r>
      <w:r w:rsidRPr="00EC6E68">
        <w:rPr>
          <w:rFonts w:cs="Times New Roman"/>
          <w:szCs w:val="22"/>
          <w:lang w:val="en-US"/>
        </w:rPr>
        <w:t>c/kWh fo</w:t>
      </w:r>
      <w:r w:rsidRPr="003961CE">
        <w:rPr>
          <w:rFonts w:cs="Times New Roman"/>
          <w:szCs w:val="22"/>
          <w:lang w:val="en-US"/>
        </w:rPr>
        <w:t>r residential. A rate of 13c/kWh was used for large commercial end-users such as cold storage facilities.</w:t>
      </w:r>
      <w:r w:rsidR="00B3008C">
        <w:rPr>
          <w:rFonts w:cs="Times New Roman"/>
          <w:szCs w:val="22"/>
          <w:lang w:val="en-US"/>
        </w:rPr>
        <w:t xml:space="preserve"> The rates are as per the </w:t>
      </w:r>
      <w:r w:rsidR="00B3008C" w:rsidRPr="00B3008C">
        <w:rPr>
          <w:rFonts w:cs="Times New Roman"/>
          <w:szCs w:val="22"/>
          <w:lang w:val="en-US"/>
        </w:rPr>
        <w:t>AEMO National Electricity and Gas Forecasting, Neutral Scenario, 1981 to 2037 by State, wholesale and retail prices, Australian Energy Market Operator</w:t>
      </w:r>
      <w:r w:rsidR="00961A43">
        <w:rPr>
          <w:rFonts w:cs="Times New Roman"/>
          <w:szCs w:val="22"/>
          <w:lang w:val="en-US"/>
        </w:rPr>
        <w:t xml:space="preserve"> for 2016 that was </w:t>
      </w:r>
      <w:r w:rsidR="00B3008C" w:rsidRPr="00B3008C">
        <w:rPr>
          <w:rFonts w:cs="Times New Roman"/>
          <w:szCs w:val="22"/>
          <w:lang w:val="en-US"/>
        </w:rPr>
        <w:t xml:space="preserve">published </w:t>
      </w:r>
      <w:r w:rsidR="00961A43">
        <w:rPr>
          <w:rFonts w:cs="Times New Roman"/>
          <w:szCs w:val="22"/>
          <w:lang w:val="en-US"/>
        </w:rPr>
        <w:t xml:space="preserve">in </w:t>
      </w:r>
      <w:r w:rsidR="00B3008C" w:rsidRPr="00B3008C">
        <w:rPr>
          <w:rFonts w:cs="Times New Roman"/>
          <w:szCs w:val="22"/>
          <w:lang w:val="en-US"/>
        </w:rPr>
        <w:t>2017</w:t>
      </w:r>
      <w:r w:rsidR="00961A43">
        <w:rPr>
          <w:rStyle w:val="CommentReference"/>
          <w:rFonts w:eastAsia="Times New Roman"/>
        </w:rPr>
        <w:t>.</w:t>
      </w:r>
      <w:r w:rsidR="00B3008C">
        <w:rPr>
          <w:rFonts w:cs="Times New Roman"/>
          <w:szCs w:val="22"/>
          <w:lang w:val="en-US"/>
        </w:rPr>
        <w:t xml:space="preserve"> It should be noted the AEMO rates </w:t>
      </w:r>
      <w:r w:rsidR="002648C0">
        <w:rPr>
          <w:rFonts w:cs="Times New Roman"/>
          <w:szCs w:val="22"/>
          <w:lang w:val="en-US"/>
        </w:rPr>
        <w:t xml:space="preserve">published </w:t>
      </w:r>
      <w:r w:rsidR="00961A43">
        <w:rPr>
          <w:rFonts w:cs="Times New Roman"/>
          <w:szCs w:val="22"/>
          <w:lang w:val="en-US"/>
        </w:rPr>
        <w:t xml:space="preserve">for 2017 </w:t>
      </w:r>
      <w:r w:rsidR="00B3008C">
        <w:rPr>
          <w:rFonts w:cs="Times New Roman"/>
          <w:szCs w:val="22"/>
          <w:lang w:val="en-US"/>
        </w:rPr>
        <w:t xml:space="preserve">were significantly higher (i.e. commercial 20c/kWh, industrial 17c/kWh and residential 31c/kWh) and actual </w:t>
      </w:r>
      <w:r w:rsidR="00961A43">
        <w:rPr>
          <w:rFonts w:cs="Times New Roman"/>
          <w:szCs w:val="22"/>
          <w:lang w:val="en-US"/>
        </w:rPr>
        <w:t xml:space="preserve">rates </w:t>
      </w:r>
      <w:r w:rsidR="002648C0">
        <w:rPr>
          <w:rFonts w:cs="Times New Roman"/>
          <w:szCs w:val="22"/>
          <w:lang w:val="en-US"/>
        </w:rPr>
        <w:t xml:space="preserve">at the end of 2017 were </w:t>
      </w:r>
      <w:r w:rsidR="00B3008C">
        <w:rPr>
          <w:rFonts w:cs="Times New Roman"/>
          <w:szCs w:val="22"/>
          <w:lang w:val="en-US"/>
        </w:rPr>
        <w:t>higher again.</w:t>
      </w:r>
    </w:p>
    <w:p w14:paraId="516BB783" w14:textId="1F2E49C2" w:rsidR="00262D4C" w:rsidRPr="003961CE" w:rsidRDefault="00262D4C" w:rsidP="00262D4C">
      <w:pPr>
        <w:rPr>
          <w:rFonts w:cs="Times New Roman"/>
          <w:szCs w:val="22"/>
          <w:lang w:val="en-US"/>
        </w:rPr>
      </w:pPr>
      <w:r w:rsidRPr="003961CE">
        <w:rPr>
          <w:rFonts w:cs="Times New Roman"/>
          <w:szCs w:val="22"/>
          <w:lang w:val="en-US"/>
        </w:rPr>
        <w:t xml:space="preserve">The assumptions made about </w:t>
      </w:r>
      <w:r w:rsidRPr="00BF6679">
        <w:rPr>
          <w:rFonts w:cs="Times New Roman"/>
          <w:szCs w:val="22"/>
          <w:lang w:val="en-US"/>
        </w:rPr>
        <w:t xml:space="preserve">the proportion of different classes of air conditioning equipment found in commercial applications are tabulated in </w:t>
      </w:r>
      <w:r w:rsidR="00AB04D0" w:rsidRPr="00BF6679">
        <w:rPr>
          <w:rFonts w:cs="Times New Roman"/>
          <w:i/>
          <w:szCs w:val="22"/>
          <w:lang w:val="en-US"/>
        </w:rPr>
        <w:t>Table 42</w:t>
      </w:r>
      <w:r w:rsidRPr="00BF6679">
        <w:rPr>
          <w:rFonts w:cs="Times New Roman"/>
          <w:i/>
          <w:szCs w:val="22"/>
          <w:lang w:val="en-US"/>
        </w:rPr>
        <w:t xml:space="preserve">: </w:t>
      </w:r>
      <w:r w:rsidR="007C2826" w:rsidRPr="00BF6679">
        <w:rPr>
          <w:rFonts w:cs="Times New Roman"/>
          <w:i/>
          <w:szCs w:val="22"/>
          <w:lang w:val="en-US"/>
        </w:rPr>
        <w:t>Estimated air conditioning</w:t>
      </w:r>
      <w:r w:rsidR="007C2826" w:rsidRPr="007C2826">
        <w:rPr>
          <w:rFonts w:cs="Times New Roman"/>
          <w:i/>
          <w:szCs w:val="22"/>
          <w:lang w:val="en-US"/>
        </w:rPr>
        <w:t xml:space="preserve"> proportion of use in commercial applications</w:t>
      </w:r>
      <w:r w:rsidRPr="003961CE">
        <w:rPr>
          <w:rFonts w:cs="Times New Roman"/>
          <w:szCs w:val="22"/>
          <w:lang w:val="en-US"/>
        </w:rPr>
        <w:t>. These estimates are based on information provided by major importers and manufacturers, and on first-hand experience of the market for air conditioning equipment in Australia</w:t>
      </w:r>
      <w:r w:rsidR="00B77805">
        <w:rPr>
          <w:rFonts w:cs="Times New Roman"/>
          <w:szCs w:val="22"/>
          <w:lang w:val="en-US"/>
        </w:rPr>
        <w:t>,</w:t>
      </w:r>
      <w:r w:rsidRPr="003961CE">
        <w:rPr>
          <w:rFonts w:cs="Times New Roman"/>
          <w:szCs w:val="22"/>
          <w:lang w:val="en-US"/>
        </w:rPr>
        <w:t xml:space="preserve"> where some large ducted systems are used in the residential sector, and many small units are found being employed in commercial and retail applications. </w:t>
      </w:r>
    </w:p>
    <w:p w14:paraId="2C6BFE86" w14:textId="77777777" w:rsidR="00262D4C" w:rsidRDefault="00262D4C" w:rsidP="00262D4C">
      <w:pPr>
        <w:rPr>
          <w:rFonts w:cs="Times New Roman"/>
          <w:szCs w:val="22"/>
          <w:lang w:val="en-US"/>
        </w:rPr>
      </w:pPr>
      <w:r w:rsidRPr="003961CE">
        <w:rPr>
          <w:rFonts w:cs="Times New Roman"/>
          <w:szCs w:val="22"/>
          <w:lang w:val="en-US"/>
        </w:rPr>
        <w:t>The proportion of equipment used in commercial applications influences the result of the calculation of the energy spend because of the different hours of use of commercial equipment versus residential equipment, and because of the different electricity prices applied to commercial equipment.</w:t>
      </w:r>
    </w:p>
    <w:p w14:paraId="46101DAA" w14:textId="32F6F227" w:rsidR="00262D4C" w:rsidRPr="003961CE" w:rsidRDefault="00262D4C" w:rsidP="00262D4C">
      <w:pPr>
        <w:rPr>
          <w:rFonts w:cs="Times New Roman"/>
          <w:szCs w:val="22"/>
          <w:lang w:val="en-US"/>
        </w:rPr>
      </w:pPr>
      <w:r w:rsidRPr="00EF7EDD">
        <w:rPr>
          <w:rFonts w:cs="Times New Roman"/>
          <w:szCs w:val="22"/>
          <w:lang w:val="en-US"/>
        </w:rPr>
        <w:t>All domestic refrigeration equipment used the residential tariff</w:t>
      </w:r>
      <w:r w:rsidR="00B77805">
        <w:rPr>
          <w:rFonts w:cs="Times New Roman"/>
          <w:szCs w:val="22"/>
          <w:lang w:val="en-US"/>
        </w:rPr>
        <w:t>. D</w:t>
      </w:r>
      <w:r w:rsidRPr="00EF7EDD">
        <w:rPr>
          <w:rFonts w:cs="Times New Roman"/>
          <w:szCs w:val="22"/>
          <w:lang w:val="en-US"/>
        </w:rPr>
        <w:t>evices in the refrigerated cold food chain used the commercial rate.</w:t>
      </w:r>
    </w:p>
    <w:p w14:paraId="3F20A3FB" w14:textId="41C07A37" w:rsidR="000900C0" w:rsidRDefault="000900C0">
      <w:pPr>
        <w:spacing w:before="0"/>
        <w:jc w:val="left"/>
        <w:rPr>
          <w:rFonts w:asciiTheme="majorHAnsi" w:hAnsiTheme="majorHAnsi"/>
          <w:b/>
          <w:sz w:val="32"/>
          <w:szCs w:val="32"/>
        </w:rPr>
      </w:pPr>
      <w:r>
        <w:rPr>
          <w:rFonts w:asciiTheme="majorHAnsi" w:hAnsiTheme="majorHAnsi"/>
          <w:b/>
          <w:sz w:val="32"/>
          <w:szCs w:val="32"/>
        </w:rPr>
        <w:br w:type="page"/>
      </w:r>
    </w:p>
    <w:p w14:paraId="72C01597" w14:textId="71BC6225" w:rsidR="00AC0CE4" w:rsidRPr="00AC0CE4" w:rsidRDefault="00C45435" w:rsidP="00CE6F99">
      <w:pPr>
        <w:pStyle w:val="Heading2"/>
      </w:pPr>
      <w:bookmarkStart w:id="227" w:name="_Toc525141330"/>
      <w:bookmarkStart w:id="228" w:name="_Toc494661770"/>
      <w:r>
        <w:t>RAC Stock model</w:t>
      </w:r>
      <w:r w:rsidR="00AC0CE4">
        <w:t xml:space="preserve"> outputs</w:t>
      </w:r>
      <w:r w:rsidR="006C1471">
        <w:t xml:space="preserve"> and projections</w:t>
      </w:r>
      <w:bookmarkEnd w:id="227"/>
    </w:p>
    <w:p w14:paraId="4E09310C" w14:textId="0BDB8BA8" w:rsidR="00AC0CE4" w:rsidRPr="007044E7" w:rsidRDefault="00AC0CE4" w:rsidP="007044E7">
      <w:r w:rsidRPr="007044E7">
        <w:t xml:space="preserve">The main outputs </w:t>
      </w:r>
      <w:r w:rsidR="006C1471">
        <w:t xml:space="preserve">and projections </w:t>
      </w:r>
      <w:r w:rsidRPr="007044E7">
        <w:t>of the model are:</w:t>
      </w:r>
    </w:p>
    <w:p w14:paraId="51AB887A" w14:textId="55A3CA2C" w:rsidR="00AC0CE4" w:rsidRPr="00E74991"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sidRPr="00E74991">
        <w:rPr>
          <w:rFonts w:ascii="Times New Roman" w:hAnsi="Times New Roman"/>
          <w:b/>
        </w:rPr>
        <w:t xml:space="preserve">Annual refrigerant </w:t>
      </w:r>
      <w:r w:rsidR="00726744">
        <w:rPr>
          <w:rFonts w:ascii="Times New Roman" w:hAnsi="Times New Roman"/>
          <w:b/>
        </w:rPr>
        <w:t>use</w:t>
      </w:r>
      <w:r w:rsidR="00726744" w:rsidRPr="00E74991">
        <w:rPr>
          <w:rFonts w:ascii="Times New Roman" w:hAnsi="Times New Roman"/>
          <w:b/>
        </w:rPr>
        <w:t xml:space="preserve"> </w:t>
      </w:r>
      <w:r w:rsidRPr="00E74991">
        <w:rPr>
          <w:rFonts w:ascii="Times New Roman" w:hAnsi="Times New Roman"/>
        </w:rPr>
        <w:t xml:space="preserve">of all RAC technology and of </w:t>
      </w:r>
      <w:r w:rsidR="00B77805">
        <w:rPr>
          <w:rFonts w:ascii="Times New Roman" w:hAnsi="Times New Roman"/>
        </w:rPr>
        <w:t>c</w:t>
      </w:r>
      <w:r w:rsidRPr="00E74991">
        <w:rPr>
          <w:rFonts w:ascii="Times New Roman" w:hAnsi="Times New Roman"/>
        </w:rPr>
        <w:t xml:space="preserve">lasses, </w:t>
      </w:r>
      <w:r w:rsidR="00B77805">
        <w:rPr>
          <w:rFonts w:ascii="Times New Roman" w:hAnsi="Times New Roman"/>
        </w:rPr>
        <w:t>s</w:t>
      </w:r>
      <w:r w:rsidRPr="00E74991">
        <w:rPr>
          <w:rFonts w:ascii="Times New Roman" w:hAnsi="Times New Roman"/>
        </w:rPr>
        <w:t xml:space="preserve">egments and some </w:t>
      </w:r>
      <w:r w:rsidR="00B77805">
        <w:rPr>
          <w:rFonts w:ascii="Times New Roman" w:hAnsi="Times New Roman"/>
        </w:rPr>
        <w:t>p</w:t>
      </w:r>
      <w:r w:rsidRPr="00E74991">
        <w:rPr>
          <w:rFonts w:ascii="Times New Roman" w:hAnsi="Times New Roman"/>
        </w:rPr>
        <w:t xml:space="preserve">roduct </w:t>
      </w:r>
      <w:r w:rsidR="00B77805">
        <w:rPr>
          <w:rFonts w:ascii="Times New Roman" w:hAnsi="Times New Roman"/>
        </w:rPr>
        <w:t>c</w:t>
      </w:r>
      <w:r w:rsidRPr="00E74991">
        <w:rPr>
          <w:rFonts w:ascii="Times New Roman" w:hAnsi="Times New Roman"/>
        </w:rPr>
        <w:t>ategories;</w:t>
      </w:r>
    </w:p>
    <w:p w14:paraId="3C9F9879" w14:textId="62EB0AFA" w:rsidR="00AC0CE4" w:rsidRPr="00E74991"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sidRPr="00E74991">
        <w:rPr>
          <w:rFonts w:ascii="Times New Roman" w:hAnsi="Times New Roman"/>
          <w:b/>
        </w:rPr>
        <w:t xml:space="preserve">Indirect </w:t>
      </w:r>
      <w:r w:rsidR="00B77805">
        <w:rPr>
          <w:rFonts w:ascii="Times New Roman" w:hAnsi="Times New Roman"/>
          <w:b/>
        </w:rPr>
        <w:t>e</w:t>
      </w:r>
      <w:r w:rsidRPr="00E74991">
        <w:rPr>
          <w:rFonts w:ascii="Times New Roman" w:hAnsi="Times New Roman"/>
          <w:b/>
        </w:rPr>
        <w:t>missions</w:t>
      </w:r>
      <w:r w:rsidRPr="00E74991">
        <w:rPr>
          <w:rFonts w:ascii="Times New Roman" w:hAnsi="Times New Roman"/>
        </w:rPr>
        <w:t xml:space="preserve"> as a result of energy use by RAC technology owned by commercial enterprises and privately;</w:t>
      </w:r>
    </w:p>
    <w:p w14:paraId="51A91FDD" w14:textId="636C62E0" w:rsidR="00AC0CE4" w:rsidRPr="00FF4A30"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sidRPr="00FF4A30">
        <w:rPr>
          <w:rFonts w:ascii="Times New Roman" w:hAnsi="Times New Roman"/>
          <w:b/>
        </w:rPr>
        <w:t xml:space="preserve">The </w:t>
      </w:r>
      <w:r w:rsidR="00B77805">
        <w:rPr>
          <w:rFonts w:ascii="Times New Roman" w:hAnsi="Times New Roman"/>
          <w:b/>
        </w:rPr>
        <w:t>b</w:t>
      </w:r>
      <w:r w:rsidRPr="00FF4A30">
        <w:rPr>
          <w:rFonts w:ascii="Times New Roman" w:hAnsi="Times New Roman"/>
          <w:b/>
        </w:rPr>
        <w:t>ank</w:t>
      </w:r>
      <w:r w:rsidRPr="00FF4A30">
        <w:rPr>
          <w:rFonts w:ascii="Times New Roman" w:hAnsi="Times New Roman"/>
        </w:rPr>
        <w:t xml:space="preserve"> of </w:t>
      </w:r>
      <w:r>
        <w:rPr>
          <w:rFonts w:ascii="Times New Roman" w:hAnsi="Times New Roman"/>
        </w:rPr>
        <w:t xml:space="preserve">refrigerant employed in the entire stock of equipment, and in various </w:t>
      </w:r>
      <w:r w:rsidR="00B77805">
        <w:rPr>
          <w:rFonts w:ascii="Times New Roman" w:hAnsi="Times New Roman"/>
        </w:rPr>
        <w:t>c</w:t>
      </w:r>
      <w:r>
        <w:rPr>
          <w:rFonts w:ascii="Times New Roman" w:hAnsi="Times New Roman"/>
        </w:rPr>
        <w:t xml:space="preserve">lasses, </w:t>
      </w:r>
      <w:r w:rsidR="00B77805">
        <w:rPr>
          <w:rFonts w:ascii="Times New Roman" w:hAnsi="Times New Roman"/>
        </w:rPr>
        <w:t>s</w:t>
      </w:r>
      <w:r>
        <w:rPr>
          <w:rFonts w:ascii="Times New Roman" w:hAnsi="Times New Roman"/>
        </w:rPr>
        <w:t xml:space="preserve">egments and </w:t>
      </w:r>
      <w:r w:rsidR="00B77805">
        <w:rPr>
          <w:rFonts w:ascii="Times New Roman" w:hAnsi="Times New Roman"/>
        </w:rPr>
        <w:t>p</w:t>
      </w:r>
      <w:r>
        <w:rPr>
          <w:rFonts w:ascii="Times New Roman" w:hAnsi="Times New Roman"/>
        </w:rPr>
        <w:t xml:space="preserve">roduct </w:t>
      </w:r>
      <w:r w:rsidR="00B77805">
        <w:rPr>
          <w:rFonts w:ascii="Times New Roman" w:hAnsi="Times New Roman"/>
        </w:rPr>
        <w:t>c</w:t>
      </w:r>
      <w:r>
        <w:rPr>
          <w:rFonts w:ascii="Times New Roman" w:hAnsi="Times New Roman"/>
        </w:rPr>
        <w:t>ategories of the stock</w:t>
      </w:r>
      <w:r w:rsidRPr="00FF4A30">
        <w:rPr>
          <w:rFonts w:ascii="Times New Roman" w:hAnsi="Times New Roman"/>
        </w:rPr>
        <w:t>;</w:t>
      </w:r>
    </w:p>
    <w:p w14:paraId="00FD18C4" w14:textId="08FEB433" w:rsidR="00D715D5" w:rsidRPr="00D715D5" w:rsidRDefault="00D715D5" w:rsidP="00AC0CE4">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b/>
        </w:rPr>
        <w:t xml:space="preserve">Direct </w:t>
      </w:r>
      <w:r w:rsidR="00B77805">
        <w:rPr>
          <w:rFonts w:ascii="Times New Roman" w:hAnsi="Times New Roman"/>
          <w:b/>
        </w:rPr>
        <w:t>e</w:t>
      </w:r>
      <w:r>
        <w:rPr>
          <w:rFonts w:ascii="Times New Roman" w:hAnsi="Times New Roman"/>
          <w:b/>
        </w:rPr>
        <w:t xml:space="preserve">missions </w:t>
      </w:r>
      <w:r w:rsidRPr="00D715D5">
        <w:rPr>
          <w:rFonts w:ascii="Times New Roman" w:hAnsi="Times New Roman"/>
        </w:rPr>
        <w:t xml:space="preserve">by </w:t>
      </w:r>
      <w:r w:rsidR="00F863A5">
        <w:rPr>
          <w:rFonts w:ascii="Times New Roman" w:hAnsi="Times New Roman"/>
        </w:rPr>
        <w:t>product category</w:t>
      </w:r>
      <w:r w:rsidRPr="00D715D5">
        <w:rPr>
          <w:rFonts w:ascii="Times New Roman" w:hAnsi="Times New Roman"/>
        </w:rPr>
        <w:t xml:space="preserve"> in most cases, by </w:t>
      </w:r>
      <w:r w:rsidR="00B77805">
        <w:rPr>
          <w:rFonts w:ascii="Times New Roman" w:hAnsi="Times New Roman"/>
        </w:rPr>
        <w:t>s</w:t>
      </w:r>
      <w:r w:rsidRPr="00D715D5">
        <w:rPr>
          <w:rFonts w:ascii="Times New Roman" w:hAnsi="Times New Roman"/>
        </w:rPr>
        <w:t xml:space="preserve">egment and </w:t>
      </w:r>
      <w:r w:rsidR="00B77805">
        <w:rPr>
          <w:rFonts w:ascii="Times New Roman" w:hAnsi="Times New Roman"/>
        </w:rPr>
        <w:t>c</w:t>
      </w:r>
      <w:r w:rsidRPr="00D715D5">
        <w:rPr>
          <w:rFonts w:ascii="Times New Roman" w:hAnsi="Times New Roman"/>
        </w:rPr>
        <w:t>lass, and as an economy wide average from the entire Bank;</w:t>
      </w:r>
    </w:p>
    <w:p w14:paraId="60384D2E" w14:textId="39F0C13B" w:rsidR="00AC0CE4" w:rsidRPr="00FF4A30"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b/>
        </w:rPr>
        <w:t>Projections for predicted s</w:t>
      </w:r>
      <w:r w:rsidRPr="00FF4A30">
        <w:rPr>
          <w:rFonts w:ascii="Times New Roman" w:hAnsi="Times New Roman"/>
          <w:b/>
        </w:rPr>
        <w:t xml:space="preserve">ales </w:t>
      </w:r>
      <w:r>
        <w:rPr>
          <w:rFonts w:ascii="Times New Roman" w:hAnsi="Times New Roman"/>
          <w:b/>
        </w:rPr>
        <w:t>m</w:t>
      </w:r>
      <w:r w:rsidRPr="00FF4A30">
        <w:rPr>
          <w:rFonts w:ascii="Times New Roman" w:hAnsi="Times New Roman"/>
          <w:b/>
        </w:rPr>
        <w:t>ix</w:t>
      </w:r>
      <w:r w:rsidRPr="00FF4A30">
        <w:rPr>
          <w:rFonts w:ascii="Times New Roman" w:hAnsi="Times New Roman"/>
        </w:rPr>
        <w:t xml:space="preserve"> of new equipment by </w:t>
      </w:r>
      <w:r>
        <w:rPr>
          <w:rFonts w:ascii="Times New Roman" w:hAnsi="Times New Roman"/>
        </w:rPr>
        <w:t xml:space="preserve">the type of </w:t>
      </w:r>
      <w:r w:rsidRPr="00FF4A30">
        <w:rPr>
          <w:rFonts w:ascii="Times New Roman" w:hAnsi="Times New Roman"/>
        </w:rPr>
        <w:t xml:space="preserve">refrigerant </w:t>
      </w:r>
      <w:r>
        <w:rPr>
          <w:rFonts w:ascii="Times New Roman" w:hAnsi="Times New Roman"/>
        </w:rPr>
        <w:t>in that equipment</w:t>
      </w:r>
      <w:r w:rsidRPr="00FF4A30">
        <w:rPr>
          <w:rFonts w:ascii="Times New Roman" w:hAnsi="Times New Roman"/>
        </w:rPr>
        <w:t>; and,</w:t>
      </w:r>
    </w:p>
    <w:p w14:paraId="6AF5CD21" w14:textId="56BD2722" w:rsidR="00AC0CE4" w:rsidRPr="00FF4A30"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sidRPr="00FF4A30">
        <w:rPr>
          <w:rFonts w:ascii="Times New Roman" w:hAnsi="Times New Roman"/>
          <w:b/>
        </w:rPr>
        <w:t>End-of-</w:t>
      </w:r>
      <w:r w:rsidR="00B77805">
        <w:rPr>
          <w:rFonts w:ascii="Times New Roman" w:hAnsi="Times New Roman"/>
          <w:b/>
        </w:rPr>
        <w:t>l</w:t>
      </w:r>
      <w:r w:rsidRPr="00FF4A30">
        <w:rPr>
          <w:rFonts w:ascii="Times New Roman" w:hAnsi="Times New Roman"/>
          <w:b/>
        </w:rPr>
        <w:t xml:space="preserve">ife </w:t>
      </w:r>
      <w:r w:rsidR="00B77805">
        <w:rPr>
          <w:rFonts w:ascii="Times New Roman" w:hAnsi="Times New Roman"/>
          <w:b/>
        </w:rPr>
        <w:t>e</w:t>
      </w:r>
      <w:r w:rsidRPr="00FF4A30">
        <w:rPr>
          <w:rFonts w:ascii="Times New Roman" w:hAnsi="Times New Roman"/>
          <w:b/>
        </w:rPr>
        <w:t xml:space="preserve">missions </w:t>
      </w:r>
      <w:r w:rsidRPr="00FF4A30">
        <w:rPr>
          <w:rFonts w:ascii="Times New Roman" w:hAnsi="Times New Roman"/>
        </w:rPr>
        <w:t>from the entire stock of equipment</w:t>
      </w:r>
      <w:r>
        <w:rPr>
          <w:rFonts w:ascii="Times New Roman" w:hAnsi="Times New Roman"/>
        </w:rPr>
        <w:t xml:space="preserve"> and from some </w:t>
      </w:r>
      <w:r w:rsidR="00B77805">
        <w:rPr>
          <w:rFonts w:ascii="Times New Roman" w:hAnsi="Times New Roman"/>
        </w:rPr>
        <w:t>c</w:t>
      </w:r>
      <w:r>
        <w:rPr>
          <w:rFonts w:ascii="Times New Roman" w:hAnsi="Times New Roman"/>
        </w:rPr>
        <w:t xml:space="preserve">lasses and </w:t>
      </w:r>
      <w:r w:rsidR="00B77805">
        <w:rPr>
          <w:rFonts w:ascii="Times New Roman" w:hAnsi="Times New Roman"/>
        </w:rPr>
        <w:t>s</w:t>
      </w:r>
      <w:r>
        <w:rPr>
          <w:rFonts w:ascii="Times New Roman" w:hAnsi="Times New Roman"/>
        </w:rPr>
        <w:t>egments of the stock</w:t>
      </w:r>
      <w:r w:rsidRPr="00FF4A30">
        <w:rPr>
          <w:rFonts w:ascii="Times New Roman" w:hAnsi="Times New Roman"/>
        </w:rPr>
        <w:t>.</w:t>
      </w:r>
    </w:p>
    <w:p w14:paraId="72CB48A5" w14:textId="4B251745" w:rsidR="00AC0CE4" w:rsidRPr="008E0983" w:rsidRDefault="00AC0CE4" w:rsidP="00AC0CE4">
      <w:pPr>
        <w:rPr>
          <w:rFonts w:cs="Times New Roman"/>
          <w:szCs w:val="22"/>
          <w:lang w:val="en-US"/>
        </w:rPr>
      </w:pPr>
      <w:r>
        <w:rPr>
          <w:rFonts w:cs="Times New Roman"/>
          <w:szCs w:val="22"/>
          <w:lang w:val="en-US"/>
        </w:rPr>
        <w:t>As a result of all of the above t</w:t>
      </w:r>
      <w:r w:rsidRPr="008E0983">
        <w:rPr>
          <w:rFonts w:cs="Times New Roman"/>
          <w:szCs w:val="22"/>
          <w:lang w:val="en-US"/>
        </w:rPr>
        <w:t xml:space="preserve">he </w:t>
      </w:r>
      <w:r w:rsidR="00C45435">
        <w:rPr>
          <w:rFonts w:cs="Times New Roman"/>
          <w:szCs w:val="22"/>
          <w:lang w:val="en-US"/>
        </w:rPr>
        <w:t>RAC Stock model</w:t>
      </w:r>
      <w:r w:rsidRPr="008E0983">
        <w:rPr>
          <w:rFonts w:cs="Times New Roman"/>
          <w:szCs w:val="22"/>
          <w:lang w:val="en-US"/>
        </w:rPr>
        <w:t xml:space="preserve"> </w:t>
      </w:r>
      <w:r>
        <w:rPr>
          <w:rFonts w:cs="Times New Roman"/>
          <w:szCs w:val="22"/>
          <w:lang w:val="en-US"/>
        </w:rPr>
        <w:t>can also be used to generate</w:t>
      </w:r>
      <w:r w:rsidRPr="008E0983">
        <w:rPr>
          <w:rFonts w:cs="Times New Roman"/>
          <w:szCs w:val="22"/>
          <w:lang w:val="en-US"/>
        </w:rPr>
        <w:t xml:space="preserve"> projections of </w:t>
      </w:r>
      <w:r>
        <w:rPr>
          <w:rFonts w:cs="Times New Roman"/>
          <w:szCs w:val="22"/>
          <w:lang w:val="en-US"/>
        </w:rPr>
        <w:t xml:space="preserve">the working </w:t>
      </w:r>
      <w:r w:rsidRPr="008E0983">
        <w:rPr>
          <w:rFonts w:cs="Times New Roman"/>
          <w:szCs w:val="22"/>
          <w:lang w:val="en-US"/>
        </w:rPr>
        <w:t xml:space="preserve">banks </w:t>
      </w:r>
      <w:r>
        <w:rPr>
          <w:rFonts w:cs="Times New Roman"/>
          <w:szCs w:val="22"/>
          <w:lang w:val="en-US"/>
        </w:rPr>
        <w:t xml:space="preserve">of refrigerant by </w:t>
      </w:r>
      <w:r w:rsidR="00B77805">
        <w:rPr>
          <w:rFonts w:cs="Times New Roman"/>
          <w:szCs w:val="22"/>
          <w:lang w:val="en-US"/>
        </w:rPr>
        <w:t>c</w:t>
      </w:r>
      <w:r>
        <w:rPr>
          <w:rFonts w:cs="Times New Roman"/>
          <w:szCs w:val="22"/>
          <w:lang w:val="en-US"/>
        </w:rPr>
        <w:t xml:space="preserve">lass, and, in some cases by equipment </w:t>
      </w:r>
      <w:r w:rsidR="00B77805">
        <w:rPr>
          <w:rFonts w:cs="Times New Roman"/>
          <w:szCs w:val="22"/>
          <w:lang w:val="en-US"/>
        </w:rPr>
        <w:t>s</w:t>
      </w:r>
      <w:r>
        <w:rPr>
          <w:rFonts w:cs="Times New Roman"/>
          <w:szCs w:val="22"/>
          <w:lang w:val="en-US"/>
        </w:rPr>
        <w:t xml:space="preserve">egment. </w:t>
      </w:r>
      <w:r w:rsidRPr="008E0983">
        <w:rPr>
          <w:rFonts w:cs="Times New Roman"/>
          <w:szCs w:val="22"/>
          <w:lang w:val="en-US"/>
        </w:rPr>
        <w:t xml:space="preserve"> </w:t>
      </w:r>
      <w:r>
        <w:rPr>
          <w:rFonts w:cs="Times New Roman"/>
          <w:szCs w:val="22"/>
          <w:lang w:val="en-US"/>
        </w:rPr>
        <w:t xml:space="preserve">The model also produces projections of annual service </w:t>
      </w:r>
      <w:r w:rsidR="000A6FDD">
        <w:rPr>
          <w:rFonts w:cs="Times New Roman"/>
          <w:szCs w:val="22"/>
          <w:lang w:val="en-US"/>
        </w:rPr>
        <w:t>use</w:t>
      </w:r>
      <w:r w:rsidR="000A6FDD" w:rsidRPr="008E0983">
        <w:rPr>
          <w:rFonts w:cs="Times New Roman"/>
          <w:szCs w:val="22"/>
          <w:lang w:val="en-US"/>
        </w:rPr>
        <w:t xml:space="preserve"> </w:t>
      </w:r>
      <w:r w:rsidRPr="008E0983">
        <w:rPr>
          <w:rFonts w:cs="Times New Roman"/>
          <w:szCs w:val="22"/>
          <w:lang w:val="en-US"/>
        </w:rPr>
        <w:t xml:space="preserve">by </w:t>
      </w:r>
      <w:r>
        <w:rPr>
          <w:rFonts w:cs="Times New Roman"/>
          <w:szCs w:val="22"/>
          <w:lang w:val="en-US"/>
        </w:rPr>
        <w:t>refrigerant</w:t>
      </w:r>
      <w:r w:rsidRPr="008E0983">
        <w:rPr>
          <w:rFonts w:cs="Times New Roman"/>
          <w:szCs w:val="22"/>
          <w:lang w:val="en-US"/>
        </w:rPr>
        <w:t xml:space="preserve"> </w:t>
      </w:r>
      <w:r w:rsidR="000A6FDD">
        <w:rPr>
          <w:rFonts w:cs="Times New Roman"/>
          <w:szCs w:val="22"/>
          <w:lang w:val="en-US"/>
        </w:rPr>
        <w:t xml:space="preserve">type </w:t>
      </w:r>
      <w:r w:rsidRPr="008E0983">
        <w:rPr>
          <w:rFonts w:cs="Times New Roman"/>
          <w:szCs w:val="22"/>
          <w:lang w:val="en-US"/>
        </w:rPr>
        <w:t>from 2016 to 2030</w:t>
      </w:r>
      <w:r>
        <w:rPr>
          <w:rFonts w:cs="Times New Roman"/>
          <w:szCs w:val="22"/>
          <w:lang w:val="en-US"/>
        </w:rPr>
        <w:t>. Projections are calculated</w:t>
      </w:r>
      <w:r w:rsidRPr="008E0983">
        <w:rPr>
          <w:rFonts w:cs="Times New Roman"/>
          <w:szCs w:val="22"/>
          <w:lang w:val="en-US"/>
        </w:rPr>
        <w:t xml:space="preserve"> in </w:t>
      </w:r>
      <w:r w:rsidR="00B77805">
        <w:rPr>
          <w:rFonts w:cs="Times New Roman"/>
          <w:szCs w:val="22"/>
          <w:lang w:val="en-US"/>
        </w:rPr>
        <w:t>m</w:t>
      </w:r>
      <w:r>
        <w:rPr>
          <w:rFonts w:cs="Times New Roman"/>
          <w:szCs w:val="22"/>
          <w:lang w:val="en-US"/>
        </w:rPr>
        <w:t xml:space="preserve">etric </w:t>
      </w:r>
      <w:r w:rsidR="00B77805">
        <w:rPr>
          <w:rFonts w:cs="Times New Roman"/>
          <w:szCs w:val="22"/>
          <w:lang w:val="en-US"/>
        </w:rPr>
        <w:t>t</w:t>
      </w:r>
      <w:r w:rsidRPr="008E0983">
        <w:rPr>
          <w:rFonts w:cs="Times New Roman"/>
          <w:szCs w:val="22"/>
          <w:lang w:val="en-US"/>
        </w:rPr>
        <w:t xml:space="preserve">onnes and </w:t>
      </w:r>
      <w:r>
        <w:rPr>
          <w:rFonts w:cs="Times New Roman"/>
          <w:szCs w:val="22"/>
          <w:lang w:val="en-US"/>
        </w:rPr>
        <w:t>in m</w:t>
      </w:r>
      <w:r w:rsidR="000A6FDD">
        <w:rPr>
          <w:rFonts w:cs="Times New Roman"/>
          <w:szCs w:val="22"/>
          <w:lang w:val="en-US"/>
        </w:rPr>
        <w:t>illion</w:t>
      </w:r>
      <w:r w:rsidR="004D766E">
        <w:rPr>
          <w:rFonts w:cs="Times New Roman"/>
          <w:szCs w:val="22"/>
          <w:lang w:val="en-US"/>
        </w:rPr>
        <w:t>s of</w:t>
      </w:r>
      <w:r w:rsidR="000A6FDD">
        <w:rPr>
          <w:rFonts w:cs="Times New Roman"/>
          <w:szCs w:val="22"/>
          <w:lang w:val="en-US"/>
        </w:rPr>
        <w:t xml:space="preserve"> tonnes</w:t>
      </w:r>
      <w:r w:rsidRPr="008E0983">
        <w:rPr>
          <w:rFonts w:cs="Times New Roman"/>
          <w:szCs w:val="22"/>
          <w:lang w:val="en-US"/>
        </w:rPr>
        <w:t xml:space="preserve"> CO</w:t>
      </w:r>
      <w:r w:rsidRPr="008E0983">
        <w:rPr>
          <w:rFonts w:cs="Times New Roman"/>
          <w:szCs w:val="22"/>
          <w:vertAlign w:val="subscript"/>
          <w:lang w:val="en-US"/>
        </w:rPr>
        <w:t>2</w:t>
      </w:r>
      <w:r w:rsidRPr="008E0983">
        <w:rPr>
          <w:rFonts w:cs="Times New Roman"/>
          <w:szCs w:val="22"/>
          <w:lang w:val="en-US"/>
        </w:rPr>
        <w:t>e</w:t>
      </w:r>
      <w:r>
        <w:rPr>
          <w:rFonts w:cs="Times New Roman"/>
          <w:szCs w:val="22"/>
          <w:lang w:val="en-US"/>
        </w:rPr>
        <w:t>.</w:t>
      </w:r>
      <w:r w:rsidRPr="008E0983">
        <w:rPr>
          <w:rFonts w:cs="Times New Roman"/>
          <w:szCs w:val="22"/>
          <w:lang w:val="en-US"/>
        </w:rPr>
        <w:t xml:space="preserve"> </w:t>
      </w:r>
      <w:r>
        <w:rPr>
          <w:rFonts w:cs="Times New Roman"/>
          <w:szCs w:val="22"/>
          <w:lang w:val="en-US"/>
        </w:rPr>
        <w:t xml:space="preserve">This enables the model to be used to estimate and analyse the future </w:t>
      </w:r>
      <w:r w:rsidR="005B4C6C">
        <w:rPr>
          <w:rFonts w:cs="Times New Roman"/>
          <w:szCs w:val="22"/>
          <w:lang w:val="en-US"/>
        </w:rPr>
        <w:t>refrigerant ban</w:t>
      </w:r>
      <w:r w:rsidR="00B77805">
        <w:rPr>
          <w:rFonts w:cs="Times New Roman"/>
          <w:szCs w:val="22"/>
          <w:lang w:val="en-US"/>
        </w:rPr>
        <w:t>k</w:t>
      </w:r>
      <w:r w:rsidR="005B4C6C">
        <w:rPr>
          <w:rFonts w:cs="Times New Roman"/>
          <w:szCs w:val="22"/>
          <w:lang w:val="en-US"/>
        </w:rPr>
        <w:t xml:space="preserve"> in</w:t>
      </w:r>
      <w:r>
        <w:rPr>
          <w:rFonts w:cs="Times New Roman"/>
          <w:szCs w:val="22"/>
          <w:lang w:val="en-US"/>
        </w:rPr>
        <w:t xml:space="preserve"> an economy </w:t>
      </w:r>
      <w:r w:rsidR="005B4C6C">
        <w:rPr>
          <w:rFonts w:cs="Times New Roman"/>
          <w:szCs w:val="22"/>
          <w:lang w:val="en-US"/>
        </w:rPr>
        <w:t xml:space="preserve">as compared to the bank required under </w:t>
      </w:r>
      <w:r>
        <w:rPr>
          <w:rFonts w:cs="Times New Roman"/>
          <w:szCs w:val="22"/>
          <w:lang w:val="en-US"/>
        </w:rPr>
        <w:t>international agreements to phas</w:t>
      </w:r>
      <w:r w:rsidR="005B4C6C">
        <w:rPr>
          <w:rFonts w:cs="Times New Roman"/>
          <w:szCs w:val="22"/>
          <w:lang w:val="en-US"/>
        </w:rPr>
        <w:t>e</w:t>
      </w:r>
      <w:r>
        <w:rPr>
          <w:rFonts w:cs="Times New Roman"/>
          <w:szCs w:val="22"/>
          <w:lang w:val="en-US"/>
        </w:rPr>
        <w:t xml:space="preserve"> down HFCs and an overall reduction in greenhouse gas emissions.</w:t>
      </w:r>
    </w:p>
    <w:p w14:paraId="7BAEE43D" w14:textId="699CCEF0" w:rsidR="00AC0CE4" w:rsidRPr="008E0983" w:rsidRDefault="00AC0CE4" w:rsidP="00AC0CE4">
      <w:pPr>
        <w:rPr>
          <w:rFonts w:cs="Times New Roman"/>
          <w:szCs w:val="22"/>
          <w:lang w:val="en-US"/>
        </w:rPr>
      </w:pPr>
      <w:r w:rsidRPr="008E0983">
        <w:rPr>
          <w:rFonts w:cs="Times New Roman"/>
          <w:szCs w:val="22"/>
          <w:lang w:val="en-US"/>
        </w:rPr>
        <w:t xml:space="preserve">An example is shown below of the </w:t>
      </w:r>
      <w:r w:rsidR="007C2826">
        <w:rPr>
          <w:rFonts w:cs="Times New Roman"/>
          <w:szCs w:val="22"/>
          <w:lang w:val="en-US"/>
        </w:rPr>
        <w:t>s</w:t>
      </w:r>
      <w:r w:rsidRPr="008E0983">
        <w:rPr>
          <w:rFonts w:cs="Times New Roman"/>
          <w:szCs w:val="22"/>
          <w:lang w:val="en-US"/>
        </w:rPr>
        <w:t xml:space="preserve">mall MAC bank in tonnes and </w:t>
      </w:r>
      <w:r w:rsidR="004D766E">
        <w:rPr>
          <w:rFonts w:cs="Times New Roman"/>
          <w:szCs w:val="22"/>
          <w:lang w:val="en-US"/>
        </w:rPr>
        <w:t xml:space="preserve">millions of tonnes of </w:t>
      </w:r>
      <w:r w:rsidRPr="008E0983">
        <w:rPr>
          <w:rFonts w:cs="Times New Roman"/>
          <w:szCs w:val="22"/>
          <w:lang w:val="en-US"/>
        </w:rPr>
        <w:t>CO</w:t>
      </w:r>
      <w:r w:rsidRPr="008E0983">
        <w:rPr>
          <w:rFonts w:cs="Times New Roman"/>
          <w:szCs w:val="22"/>
          <w:vertAlign w:val="subscript"/>
          <w:lang w:val="en-US"/>
        </w:rPr>
        <w:t>2</w:t>
      </w:r>
      <w:r w:rsidRPr="008E0983">
        <w:rPr>
          <w:rFonts w:cs="Times New Roman"/>
          <w:szCs w:val="22"/>
          <w:lang w:val="en-US"/>
        </w:rPr>
        <w:t>e</w:t>
      </w:r>
      <w:r>
        <w:rPr>
          <w:rFonts w:cs="Times New Roman"/>
          <w:szCs w:val="22"/>
          <w:lang w:val="en-US"/>
        </w:rPr>
        <w:t xml:space="preserve"> based on the equivalent bank.</w:t>
      </w:r>
    </w:p>
    <w:p w14:paraId="7F76F390" w14:textId="08DF322E" w:rsidR="00C63AF4" w:rsidRDefault="00C63AF4">
      <w:pPr>
        <w:spacing w:before="0"/>
        <w:jc w:val="left"/>
        <w:rPr>
          <w:rFonts w:cs="Times New Roman"/>
        </w:rPr>
      </w:pPr>
      <w:r>
        <w:rPr>
          <w:rFonts w:cs="Times New Roman"/>
        </w:rPr>
        <w:br w:type="page"/>
      </w:r>
    </w:p>
    <w:tbl>
      <w:tblPr>
        <w:tblW w:w="9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6"/>
      </w:tblGrid>
      <w:tr w:rsidR="00C63AF4" w:rsidRPr="00613398" w14:paraId="4C659DD6" w14:textId="77777777" w:rsidTr="00CF19E5">
        <w:tc>
          <w:tcPr>
            <w:tcW w:w="9826" w:type="dxa"/>
            <w:vAlign w:val="center"/>
          </w:tcPr>
          <w:p w14:paraId="116AE1D0" w14:textId="77777777" w:rsidR="00AC0CE4" w:rsidRPr="00613398" w:rsidRDefault="00AC0CE4" w:rsidP="00AC0CE4">
            <w:pPr>
              <w:spacing w:after="120"/>
              <w:jc w:val="center"/>
              <w:rPr>
                <w:rFonts w:cs="Times New Roman"/>
                <w:b/>
              </w:rPr>
            </w:pPr>
            <w:r w:rsidRPr="00613398">
              <w:rPr>
                <w:rFonts w:cs="Times New Roman"/>
                <w:b/>
              </w:rPr>
              <w:br w:type="page"/>
            </w:r>
            <w:r w:rsidRPr="008E0983">
              <w:rPr>
                <w:rFonts w:cs="Times New Roman"/>
                <w:b/>
              </w:rPr>
              <w:t>Bank (tonnes): 2016 to 2030</w:t>
            </w:r>
          </w:p>
        </w:tc>
      </w:tr>
      <w:tr w:rsidR="00C63AF4" w:rsidRPr="000F7FAE" w14:paraId="7667C996" w14:textId="77777777" w:rsidTr="00CF19E5">
        <w:tc>
          <w:tcPr>
            <w:tcW w:w="9826" w:type="dxa"/>
            <w:vAlign w:val="center"/>
          </w:tcPr>
          <w:p w14:paraId="7164FA33" w14:textId="77777777" w:rsidR="00AC0CE4" w:rsidRPr="000F7FAE" w:rsidRDefault="00AC0CE4" w:rsidP="00AC0CE4">
            <w:pPr>
              <w:spacing w:before="60" w:after="60"/>
              <w:jc w:val="center"/>
              <w:rPr>
                <w:sz w:val="16"/>
                <w:szCs w:val="16"/>
              </w:rPr>
            </w:pPr>
          </w:p>
          <w:p w14:paraId="49DF601A" w14:textId="31AC73C0" w:rsidR="00AC0CE4" w:rsidRPr="000F7FAE" w:rsidRDefault="00C63AF4" w:rsidP="00AC0CE4">
            <w:pPr>
              <w:spacing w:before="60" w:after="60"/>
              <w:jc w:val="center"/>
              <w:rPr>
                <w:sz w:val="16"/>
                <w:szCs w:val="16"/>
              </w:rPr>
            </w:pPr>
            <w:r>
              <w:rPr>
                <w:noProof/>
                <w:lang w:val="en-AU" w:eastAsia="en-AU"/>
              </w:rPr>
              <w:drawing>
                <wp:inline distT="0" distB="0" distL="0" distR="0" wp14:anchorId="3FE166F7" wp14:editId="4537DFE1">
                  <wp:extent cx="6030595"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30595" cy="2133600"/>
                          </a:xfrm>
                          <a:prstGeom prst="rect">
                            <a:avLst/>
                          </a:prstGeom>
                        </pic:spPr>
                      </pic:pic>
                    </a:graphicData>
                  </a:graphic>
                </wp:inline>
              </w:drawing>
            </w:r>
          </w:p>
          <w:p w14:paraId="19769CBD" w14:textId="77777777" w:rsidR="00AC0CE4" w:rsidRPr="000F7FAE" w:rsidRDefault="00AC0CE4" w:rsidP="00AC0CE4">
            <w:pPr>
              <w:spacing w:before="60" w:after="60"/>
              <w:jc w:val="center"/>
              <w:rPr>
                <w:sz w:val="16"/>
                <w:szCs w:val="16"/>
              </w:rPr>
            </w:pPr>
          </w:p>
        </w:tc>
      </w:tr>
      <w:tr w:rsidR="00C63AF4" w:rsidRPr="00923150" w14:paraId="46F7B935" w14:textId="77777777" w:rsidTr="00CF19E5">
        <w:tc>
          <w:tcPr>
            <w:tcW w:w="9826" w:type="dxa"/>
            <w:vAlign w:val="center"/>
          </w:tcPr>
          <w:p w14:paraId="06AD71E9" w14:textId="5F421877" w:rsidR="00AC0CE4" w:rsidRPr="0023612A" w:rsidRDefault="0023612A" w:rsidP="0023612A">
            <w:pPr>
              <w:pStyle w:val="Caption"/>
            </w:pPr>
            <w:bookmarkStart w:id="229" w:name="_Toc525141388"/>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57</w:t>
            </w:r>
            <w:r w:rsidR="009D6843">
              <w:rPr>
                <w:noProof/>
              </w:rPr>
              <w:fldChar w:fldCharType="end"/>
            </w:r>
            <w:r w:rsidR="00AC0CE4" w:rsidRPr="0023612A">
              <w:rPr>
                <w:bCs w:val="0"/>
              </w:rPr>
              <w:t>: Mobile AC refrigerant bank in tonnes from 2016 to 2030.</w:t>
            </w:r>
            <w:bookmarkEnd w:id="229"/>
          </w:p>
        </w:tc>
      </w:tr>
    </w:tbl>
    <w:p w14:paraId="2888FD9F" w14:textId="77777777" w:rsidR="00AC0CE4" w:rsidRDefault="00AC0CE4" w:rsidP="00AC0CE4">
      <w:pPr>
        <w:spacing w:before="60"/>
        <w:rPr>
          <w:rFonts w:cs="Times New Roman"/>
          <w:sz w:val="20"/>
          <w:szCs w:val="20"/>
        </w:rPr>
      </w:pPr>
    </w:p>
    <w:tbl>
      <w:tblPr>
        <w:tblW w:w="9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6"/>
      </w:tblGrid>
      <w:tr w:rsidR="00C63AF4" w:rsidRPr="00613398" w14:paraId="214BB154" w14:textId="77777777" w:rsidTr="00CF19E5">
        <w:tc>
          <w:tcPr>
            <w:tcW w:w="9826" w:type="dxa"/>
            <w:vAlign w:val="center"/>
          </w:tcPr>
          <w:p w14:paraId="2A768EA9" w14:textId="77777777" w:rsidR="00AC0CE4" w:rsidRPr="00613398" w:rsidRDefault="00AC0CE4" w:rsidP="00AC0CE4">
            <w:pPr>
              <w:spacing w:after="120"/>
              <w:jc w:val="center"/>
              <w:rPr>
                <w:rFonts w:cs="Times New Roman"/>
                <w:b/>
              </w:rPr>
            </w:pPr>
            <w:r w:rsidRPr="00613398">
              <w:rPr>
                <w:rFonts w:cs="Times New Roman"/>
                <w:b/>
              </w:rPr>
              <w:br w:type="page"/>
            </w:r>
            <w:r w:rsidRPr="008E0983">
              <w:rPr>
                <w:rFonts w:cs="Times New Roman"/>
                <w:b/>
              </w:rPr>
              <w:t>Bank (</w:t>
            </w:r>
            <w:r>
              <w:rPr>
                <w:rFonts w:cs="Times New Roman"/>
                <w:b/>
              </w:rPr>
              <w:t>Mt CO</w:t>
            </w:r>
            <w:r w:rsidRPr="008E0983">
              <w:rPr>
                <w:rFonts w:cs="Times New Roman"/>
                <w:b/>
                <w:vertAlign w:val="subscript"/>
              </w:rPr>
              <w:t>2</w:t>
            </w:r>
            <w:r>
              <w:rPr>
                <w:rFonts w:cs="Times New Roman"/>
                <w:b/>
              </w:rPr>
              <w:t>e</w:t>
            </w:r>
            <w:r w:rsidRPr="008E0983">
              <w:rPr>
                <w:rFonts w:cs="Times New Roman"/>
                <w:b/>
              </w:rPr>
              <w:t>): 2016 to 2030</w:t>
            </w:r>
          </w:p>
        </w:tc>
      </w:tr>
      <w:tr w:rsidR="00C63AF4" w:rsidRPr="000F7FAE" w14:paraId="4018853C" w14:textId="77777777" w:rsidTr="00CF19E5">
        <w:tc>
          <w:tcPr>
            <w:tcW w:w="9826" w:type="dxa"/>
            <w:vAlign w:val="center"/>
          </w:tcPr>
          <w:p w14:paraId="6FDEA560" w14:textId="77777777" w:rsidR="00AC0CE4" w:rsidRPr="000F7FAE" w:rsidRDefault="00AC0CE4" w:rsidP="00AC0CE4">
            <w:pPr>
              <w:spacing w:before="60" w:after="60"/>
              <w:jc w:val="center"/>
              <w:rPr>
                <w:sz w:val="16"/>
                <w:szCs w:val="16"/>
              </w:rPr>
            </w:pPr>
          </w:p>
          <w:p w14:paraId="4B7B471D" w14:textId="77777777" w:rsidR="00AC0CE4" w:rsidRPr="000F7FAE" w:rsidRDefault="00AC0CE4" w:rsidP="00AC0CE4">
            <w:pPr>
              <w:spacing w:before="60" w:after="60"/>
              <w:jc w:val="center"/>
              <w:rPr>
                <w:sz w:val="16"/>
                <w:szCs w:val="16"/>
              </w:rPr>
            </w:pPr>
            <w:r>
              <w:rPr>
                <w:noProof/>
                <w:lang w:val="en-AU" w:eastAsia="en-AU"/>
              </w:rPr>
              <w:drawing>
                <wp:inline distT="0" distB="0" distL="0" distR="0" wp14:anchorId="54DDB45D" wp14:editId="585D49DF">
                  <wp:extent cx="6030595" cy="2075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30595" cy="2075815"/>
                          </a:xfrm>
                          <a:prstGeom prst="rect">
                            <a:avLst/>
                          </a:prstGeom>
                        </pic:spPr>
                      </pic:pic>
                    </a:graphicData>
                  </a:graphic>
                </wp:inline>
              </w:drawing>
            </w:r>
          </w:p>
          <w:p w14:paraId="53640B76" w14:textId="77777777" w:rsidR="00AC0CE4" w:rsidRPr="000F7FAE" w:rsidRDefault="00AC0CE4" w:rsidP="00AC0CE4">
            <w:pPr>
              <w:spacing w:before="60" w:after="60"/>
              <w:jc w:val="center"/>
              <w:rPr>
                <w:sz w:val="16"/>
                <w:szCs w:val="16"/>
              </w:rPr>
            </w:pPr>
          </w:p>
        </w:tc>
      </w:tr>
      <w:tr w:rsidR="00C63AF4" w:rsidRPr="00923150" w14:paraId="573F1498" w14:textId="77777777" w:rsidTr="00CF19E5">
        <w:tc>
          <w:tcPr>
            <w:tcW w:w="9826" w:type="dxa"/>
            <w:vAlign w:val="center"/>
          </w:tcPr>
          <w:p w14:paraId="07BC20B2" w14:textId="04D64078" w:rsidR="00AC0CE4" w:rsidRPr="0023612A" w:rsidRDefault="0023612A" w:rsidP="0023612A">
            <w:pPr>
              <w:pStyle w:val="Caption"/>
            </w:pPr>
            <w:bookmarkStart w:id="230" w:name="_Toc525141389"/>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715E05">
              <w:rPr>
                <w:noProof/>
              </w:rPr>
              <w:t>58</w:t>
            </w:r>
            <w:r w:rsidR="009D6843">
              <w:rPr>
                <w:noProof/>
              </w:rPr>
              <w:fldChar w:fldCharType="end"/>
            </w:r>
            <w:r w:rsidR="00AC0CE4" w:rsidRPr="0023612A">
              <w:rPr>
                <w:bCs w:val="0"/>
              </w:rPr>
              <w:t>: Mobile AC refrigerant bank in Mt CO</w:t>
            </w:r>
            <w:r w:rsidR="00AC0CE4" w:rsidRPr="0023612A">
              <w:rPr>
                <w:bCs w:val="0"/>
                <w:vertAlign w:val="subscript"/>
              </w:rPr>
              <w:t>2</w:t>
            </w:r>
            <w:r w:rsidR="00AC0CE4" w:rsidRPr="0023612A">
              <w:rPr>
                <w:bCs w:val="0"/>
              </w:rPr>
              <w:t>e from 2016 to 2030.</w:t>
            </w:r>
            <w:bookmarkEnd w:id="230"/>
          </w:p>
        </w:tc>
      </w:tr>
    </w:tbl>
    <w:p w14:paraId="703C40BB" w14:textId="77777777" w:rsidR="00EC76EA" w:rsidRDefault="00EC76EA" w:rsidP="00AC0CE4">
      <w:pPr>
        <w:rPr>
          <w:rFonts w:cs="Times New Roman"/>
          <w:szCs w:val="22"/>
          <w:lang w:val="en-US"/>
        </w:rPr>
      </w:pPr>
    </w:p>
    <w:p w14:paraId="2A05F372" w14:textId="635D0D72" w:rsidR="00AC0CE4" w:rsidRPr="008E0983" w:rsidRDefault="00AC0CE4" w:rsidP="00AC0CE4">
      <w:pPr>
        <w:rPr>
          <w:rFonts w:cs="Times New Roman"/>
          <w:szCs w:val="22"/>
          <w:lang w:val="en-US"/>
        </w:rPr>
      </w:pPr>
      <w:r>
        <w:rPr>
          <w:rFonts w:cs="Times New Roman"/>
          <w:szCs w:val="22"/>
          <w:lang w:val="en-US"/>
        </w:rPr>
        <w:t>C</w:t>
      </w:r>
      <w:r w:rsidRPr="008E0983">
        <w:rPr>
          <w:rFonts w:cs="Times New Roman"/>
          <w:szCs w:val="22"/>
          <w:lang w:val="en-US"/>
        </w:rPr>
        <w:t xml:space="preserve">harts and tables </w:t>
      </w:r>
      <w:r>
        <w:rPr>
          <w:rFonts w:cs="Times New Roman"/>
          <w:szCs w:val="22"/>
          <w:lang w:val="en-US"/>
        </w:rPr>
        <w:t xml:space="preserve">illustrating projected changes </w:t>
      </w:r>
      <w:r w:rsidRPr="008E0983">
        <w:rPr>
          <w:rFonts w:cs="Times New Roman"/>
          <w:szCs w:val="22"/>
          <w:lang w:val="en-US"/>
        </w:rPr>
        <w:t xml:space="preserve">of the </w:t>
      </w:r>
      <w:r>
        <w:rPr>
          <w:rFonts w:cs="Times New Roman"/>
          <w:szCs w:val="22"/>
          <w:lang w:val="en-US"/>
        </w:rPr>
        <w:t xml:space="preserve">various </w:t>
      </w:r>
      <w:r w:rsidRPr="008E0983">
        <w:rPr>
          <w:rFonts w:cs="Times New Roman"/>
          <w:szCs w:val="22"/>
          <w:lang w:val="en-US"/>
        </w:rPr>
        <w:t>banks</w:t>
      </w:r>
      <w:r>
        <w:rPr>
          <w:rFonts w:cs="Times New Roman"/>
          <w:szCs w:val="22"/>
          <w:lang w:val="en-US"/>
        </w:rPr>
        <w:t xml:space="preserve"> are published</w:t>
      </w:r>
      <w:r w:rsidRPr="008E0983">
        <w:rPr>
          <w:rFonts w:cs="Times New Roman"/>
          <w:szCs w:val="22"/>
          <w:lang w:val="en-US"/>
        </w:rPr>
        <w:t xml:space="preserve"> in </w:t>
      </w:r>
      <w:r w:rsidRPr="004B5955">
        <w:rPr>
          <w:rFonts w:cs="Times New Roman"/>
          <w:i/>
          <w:szCs w:val="22"/>
          <w:lang w:val="en-US"/>
        </w:rPr>
        <w:t xml:space="preserve">Appendix </w:t>
      </w:r>
      <w:r w:rsidR="007C2826">
        <w:rPr>
          <w:rFonts w:cs="Times New Roman"/>
          <w:i/>
          <w:szCs w:val="22"/>
          <w:lang w:val="en-US"/>
        </w:rPr>
        <w:t>B</w:t>
      </w:r>
      <w:r w:rsidR="0054445B">
        <w:rPr>
          <w:rFonts w:cs="Times New Roman"/>
          <w:i/>
          <w:szCs w:val="22"/>
          <w:lang w:val="en-US"/>
        </w:rPr>
        <w:t>3</w:t>
      </w:r>
      <w:r w:rsidR="00211E5C">
        <w:rPr>
          <w:rFonts w:cs="Times New Roman"/>
          <w:i/>
          <w:szCs w:val="22"/>
          <w:lang w:val="en-US"/>
        </w:rPr>
        <w:t xml:space="preserve">: </w:t>
      </w:r>
      <w:r w:rsidR="0054445B" w:rsidRPr="0054445B">
        <w:rPr>
          <w:rFonts w:cs="Times New Roman"/>
          <w:i/>
          <w:szCs w:val="22"/>
          <w:lang w:val="en-US"/>
        </w:rPr>
        <w:t>Bank projections by class and segment</w:t>
      </w:r>
      <w:r w:rsidR="0054445B">
        <w:rPr>
          <w:rFonts w:cs="Times New Roman"/>
          <w:szCs w:val="22"/>
          <w:lang w:val="en-US"/>
        </w:rPr>
        <w:t>.</w:t>
      </w:r>
    </w:p>
    <w:p w14:paraId="4159294A" w14:textId="77777777" w:rsidR="00AC0CE4" w:rsidRDefault="00AC0CE4" w:rsidP="00AC0CE4">
      <w:pPr>
        <w:spacing w:before="60"/>
        <w:rPr>
          <w:rFonts w:cs="Times New Roman"/>
          <w:sz w:val="20"/>
          <w:szCs w:val="20"/>
        </w:rPr>
      </w:pPr>
    </w:p>
    <w:p w14:paraId="1491E3A9" w14:textId="77777777" w:rsidR="00AC0CE4" w:rsidRDefault="00AC0CE4" w:rsidP="00AC0CE4">
      <w:pPr>
        <w:rPr>
          <w:rFonts w:cs="Times New Roman"/>
          <w:szCs w:val="22"/>
          <w:highlight w:val="yellow"/>
          <w:lang w:val="en-US"/>
        </w:rPr>
      </w:pPr>
    </w:p>
    <w:p w14:paraId="35FBBFF5" w14:textId="77777777" w:rsidR="00243784" w:rsidRDefault="00243784" w:rsidP="00243784">
      <w:pPr>
        <w:spacing w:before="60"/>
        <w:rPr>
          <w:rFonts w:cs="Times New Roman"/>
          <w:sz w:val="20"/>
          <w:szCs w:val="20"/>
        </w:rPr>
      </w:pPr>
    </w:p>
    <w:p w14:paraId="4BF65504" w14:textId="77777777" w:rsidR="00243784" w:rsidRPr="0088336E" w:rsidRDefault="00243784" w:rsidP="00243784">
      <w:pPr>
        <w:rPr>
          <w:rFonts w:cs="Times New Roman"/>
          <w:szCs w:val="22"/>
          <w:lang w:val="en-US"/>
        </w:rPr>
      </w:pPr>
    </w:p>
    <w:p w14:paraId="4428593D" w14:textId="77777777" w:rsidR="00243784" w:rsidRPr="0088336E" w:rsidRDefault="00243784" w:rsidP="00243784">
      <w:pPr>
        <w:rPr>
          <w:rFonts w:cs="Times New Roman"/>
          <w:szCs w:val="22"/>
          <w:lang w:val="en-US"/>
        </w:rPr>
      </w:pPr>
    </w:p>
    <w:p w14:paraId="5AF44A62" w14:textId="77777777" w:rsidR="00243784" w:rsidRPr="0088336E" w:rsidRDefault="00243784" w:rsidP="00243784">
      <w:pPr>
        <w:rPr>
          <w:rFonts w:cs="Times New Roman"/>
          <w:szCs w:val="22"/>
          <w:lang w:val="en-US"/>
        </w:rPr>
      </w:pPr>
    </w:p>
    <w:p w14:paraId="68D6678B" w14:textId="77777777" w:rsidR="00243784" w:rsidRPr="0088336E" w:rsidRDefault="00243784" w:rsidP="00243784">
      <w:pPr>
        <w:rPr>
          <w:rFonts w:cs="Times New Roman"/>
          <w:szCs w:val="22"/>
          <w:lang w:val="en-US"/>
        </w:rPr>
      </w:pPr>
    </w:p>
    <w:p w14:paraId="0DF6A61F" w14:textId="3CDC9186" w:rsidR="00900966" w:rsidRPr="00E02F71" w:rsidRDefault="00900966" w:rsidP="00CE6F99">
      <w:pPr>
        <w:pStyle w:val="Heading2"/>
      </w:pPr>
      <w:bookmarkStart w:id="231" w:name="_Toc525141331"/>
      <w:r w:rsidRPr="00E02F71">
        <w:t xml:space="preserve">HVAC&amp;R Supply </w:t>
      </w:r>
      <w:r w:rsidR="004D19DE" w:rsidRPr="00E02F71">
        <w:t>c</w:t>
      </w:r>
      <w:r w:rsidRPr="00E02F71">
        <w:t xml:space="preserve">hain </w:t>
      </w:r>
      <w:r w:rsidR="004D19DE" w:rsidRPr="00E02F71">
        <w:t>business types</w:t>
      </w:r>
      <w:bookmarkEnd w:id="228"/>
      <w:r w:rsidR="00EA258F">
        <w:t xml:space="preserve"> and end use applications</w:t>
      </w:r>
      <w:bookmarkEnd w:id="231"/>
    </w:p>
    <w:p w14:paraId="6FE51BA6" w14:textId="31522501" w:rsidR="00AB04D0" w:rsidRDefault="00D82230" w:rsidP="0059178D">
      <w:pPr>
        <w:spacing w:before="0"/>
      </w:pPr>
      <w:r>
        <w:t xml:space="preserve">Understanding the types of businesses in the </w:t>
      </w:r>
      <w:r w:rsidR="0059178D" w:rsidRPr="0059178D">
        <w:t xml:space="preserve">HVAC&amp;R </w:t>
      </w:r>
      <w:r w:rsidR="00B77805">
        <w:t>s</w:t>
      </w:r>
      <w:r w:rsidR="0059178D" w:rsidRPr="0059178D">
        <w:t>upply chain</w:t>
      </w:r>
      <w:r w:rsidR="0059178D">
        <w:t xml:space="preserve"> and end use applications is important when defining the industry boundaries in terms of business and employment counts. </w:t>
      </w:r>
      <w:r w:rsidR="0059178D" w:rsidRPr="0059178D">
        <w:rPr>
          <w:i/>
        </w:rPr>
        <w:t xml:space="preserve">Table </w:t>
      </w:r>
      <w:r w:rsidR="00AB04D0">
        <w:rPr>
          <w:i/>
        </w:rPr>
        <w:t>44</w:t>
      </w:r>
      <w:r w:rsidR="0059178D">
        <w:t xml:space="preserve"> below provides a list of businesses that are considered part of the </w:t>
      </w:r>
      <w:r w:rsidR="0059178D" w:rsidRPr="0059178D">
        <w:t>HVAC&amp;R</w:t>
      </w:r>
      <w:r w:rsidR="0059178D">
        <w:t xml:space="preserve"> industry.</w:t>
      </w:r>
      <w:r w:rsidR="00EA258F">
        <w:t xml:space="preserve"> A list of end use applications is provided on the following page</w:t>
      </w:r>
      <w:r w:rsidR="00B77805">
        <w:t>.</w:t>
      </w:r>
      <w:r w:rsidR="00EA258F">
        <w:t xml:space="preserve"> </w:t>
      </w:r>
      <w:r w:rsidR="00B77805">
        <w:t>E</w:t>
      </w:r>
      <w:r w:rsidR="00EA258F">
        <w:t>quipment and services suppliers to these end use applications are generally considered part of the industry sector.</w:t>
      </w:r>
    </w:p>
    <w:p w14:paraId="1BFA5F02" w14:textId="2642E8AE" w:rsidR="00EA258F" w:rsidRPr="00652B31" w:rsidRDefault="00EA258F" w:rsidP="0059178D">
      <w:pPr>
        <w:spacing w:before="0"/>
      </w:pPr>
      <w:r>
        <w:t xml:space="preserve"> </w:t>
      </w:r>
    </w:p>
    <w:p w14:paraId="78844732" w14:textId="59E9BAF8" w:rsidR="00900966" w:rsidRPr="00AB04D0" w:rsidRDefault="00AB04D0" w:rsidP="00AB04D0">
      <w:pPr>
        <w:pStyle w:val="Caption"/>
        <w:keepNext/>
        <w:rPr>
          <w:szCs w:val="22"/>
        </w:rPr>
      </w:pPr>
      <w:bookmarkStart w:id="232" w:name="_Toc494118112"/>
      <w:bookmarkStart w:id="233" w:name="_Toc525141433"/>
      <w:r w:rsidRPr="00AB04D0">
        <w:t xml:space="preserve">Table </w:t>
      </w:r>
      <w:r w:rsidR="009D6843">
        <w:rPr>
          <w:noProof/>
        </w:rPr>
        <w:fldChar w:fldCharType="begin"/>
      </w:r>
      <w:r w:rsidR="009D6843">
        <w:rPr>
          <w:noProof/>
        </w:rPr>
        <w:instrText xml:space="preserve"> SEQ Table \* ARABIC </w:instrText>
      </w:r>
      <w:r w:rsidR="009D6843">
        <w:rPr>
          <w:noProof/>
        </w:rPr>
        <w:fldChar w:fldCharType="separate"/>
      </w:r>
      <w:r w:rsidR="00715E05">
        <w:rPr>
          <w:noProof/>
        </w:rPr>
        <w:t>44</w:t>
      </w:r>
      <w:r w:rsidR="009D6843">
        <w:rPr>
          <w:noProof/>
        </w:rPr>
        <w:fldChar w:fldCharType="end"/>
      </w:r>
      <w:r w:rsidRPr="00AB04D0">
        <w:t xml:space="preserve">: </w:t>
      </w:r>
      <w:r w:rsidR="00900966" w:rsidRPr="00AB04D0">
        <w:rPr>
          <w:szCs w:val="22"/>
        </w:rPr>
        <w:t>Types of businesses in the HVAC&amp;R supply chain</w:t>
      </w:r>
      <w:bookmarkEnd w:id="232"/>
      <w:r w:rsidR="004D19DE" w:rsidRPr="00AB04D0">
        <w:rPr>
          <w:szCs w:val="22"/>
        </w:rPr>
        <w:t>.</w:t>
      </w:r>
      <w:bookmarkEnd w:id="233"/>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7"/>
      </w:tblGrid>
      <w:tr w:rsidR="00900966" w:rsidRPr="00923150" w14:paraId="3C22FCEF" w14:textId="77777777" w:rsidTr="00952C41">
        <w:trPr>
          <w:trHeight w:val="684"/>
        </w:trPr>
        <w:tc>
          <w:tcPr>
            <w:tcW w:w="9487"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05AC4014" w14:textId="77777777" w:rsidR="00900966" w:rsidRPr="00D37A89" w:rsidRDefault="00900966" w:rsidP="00900966">
            <w:pPr>
              <w:spacing w:after="120"/>
              <w:jc w:val="center"/>
              <w:rPr>
                <w:rFonts w:cs="Times New Roman"/>
                <w:szCs w:val="22"/>
              </w:rPr>
            </w:pPr>
            <w:r>
              <w:rPr>
                <w:rFonts w:cs="Times New Roman"/>
                <w:szCs w:val="22"/>
              </w:rPr>
              <w:t>Types of businesses in the HVAC&amp;R industry</w:t>
            </w:r>
          </w:p>
        </w:tc>
      </w:tr>
      <w:tr w:rsidR="00900966" w:rsidRPr="00923150" w14:paraId="41A5AB2F" w14:textId="77777777" w:rsidTr="00CF19E5">
        <w:trPr>
          <w:trHeight w:val="456"/>
        </w:trPr>
        <w:tc>
          <w:tcPr>
            <w:tcW w:w="9487" w:type="dxa"/>
            <w:tcBorders>
              <w:top w:val="single" w:sz="8" w:space="0" w:color="auto"/>
            </w:tcBorders>
            <w:vAlign w:val="bottom"/>
          </w:tcPr>
          <w:p w14:paraId="254E231C" w14:textId="77777777" w:rsidR="00900966" w:rsidRPr="00D37A89" w:rsidRDefault="00900966" w:rsidP="00900966">
            <w:pPr>
              <w:spacing w:before="60" w:after="60"/>
              <w:jc w:val="left"/>
            </w:pPr>
            <w:r w:rsidRPr="00B01A66">
              <w:rPr>
                <w:rFonts w:eastAsia="Times New Roman"/>
                <w:color w:val="000000"/>
                <w:sz w:val="24"/>
                <w:lang w:eastAsia="en-AU"/>
              </w:rPr>
              <w:t>Wholesalers (major and independents: full HVAC&amp;R range, air conditioning, auto air, etc.)</w:t>
            </w:r>
          </w:p>
        </w:tc>
      </w:tr>
      <w:tr w:rsidR="00900966" w:rsidRPr="00923150" w14:paraId="54B957FF" w14:textId="77777777" w:rsidTr="00CF19E5">
        <w:trPr>
          <w:trHeight w:val="456"/>
        </w:trPr>
        <w:tc>
          <w:tcPr>
            <w:tcW w:w="9487" w:type="dxa"/>
            <w:vAlign w:val="bottom"/>
          </w:tcPr>
          <w:p w14:paraId="0BA504E4" w14:textId="77777777" w:rsidR="00900966" w:rsidRPr="00D37A89" w:rsidRDefault="00900966" w:rsidP="00900966">
            <w:pPr>
              <w:spacing w:before="60" w:after="60"/>
              <w:jc w:val="left"/>
            </w:pPr>
            <w:r w:rsidRPr="00B01A66">
              <w:rPr>
                <w:rFonts w:eastAsia="Times New Roman"/>
                <w:color w:val="000000"/>
                <w:sz w:val="24"/>
                <w:lang w:eastAsia="en-AU"/>
              </w:rPr>
              <w:t>Contractors (installation, service and maintenance)</w:t>
            </w:r>
          </w:p>
        </w:tc>
      </w:tr>
      <w:tr w:rsidR="00900966" w:rsidRPr="00923150" w14:paraId="583331CE" w14:textId="77777777" w:rsidTr="00CF19E5">
        <w:trPr>
          <w:trHeight w:val="456"/>
        </w:trPr>
        <w:tc>
          <w:tcPr>
            <w:tcW w:w="9487" w:type="dxa"/>
            <w:vAlign w:val="bottom"/>
          </w:tcPr>
          <w:p w14:paraId="6571C22D" w14:textId="189F1213" w:rsidR="00900966" w:rsidRPr="00D37A89" w:rsidRDefault="00900966" w:rsidP="00B77805">
            <w:pPr>
              <w:spacing w:before="60" w:after="60"/>
              <w:jc w:val="left"/>
            </w:pPr>
            <w:r w:rsidRPr="00B01A66">
              <w:rPr>
                <w:rFonts w:eastAsia="Times New Roman"/>
                <w:color w:val="000000"/>
                <w:sz w:val="24"/>
                <w:lang w:eastAsia="en-AU"/>
              </w:rPr>
              <w:t xml:space="preserve">Equipment </w:t>
            </w:r>
            <w:r w:rsidR="00B77805">
              <w:rPr>
                <w:rFonts w:eastAsia="Times New Roman"/>
                <w:color w:val="000000"/>
                <w:sz w:val="24"/>
                <w:lang w:eastAsia="en-AU"/>
              </w:rPr>
              <w:t>m</w:t>
            </w:r>
            <w:r w:rsidRPr="00B01A66">
              <w:rPr>
                <w:rFonts w:eastAsia="Times New Roman"/>
                <w:color w:val="000000"/>
                <w:sz w:val="24"/>
                <w:lang w:eastAsia="en-AU"/>
              </w:rPr>
              <w:t>anufacturers</w:t>
            </w:r>
          </w:p>
        </w:tc>
      </w:tr>
      <w:tr w:rsidR="00900966" w:rsidRPr="00923150" w14:paraId="143DD26D" w14:textId="77777777" w:rsidTr="00CF19E5">
        <w:trPr>
          <w:trHeight w:val="456"/>
        </w:trPr>
        <w:tc>
          <w:tcPr>
            <w:tcW w:w="9487" w:type="dxa"/>
            <w:vAlign w:val="bottom"/>
          </w:tcPr>
          <w:p w14:paraId="3F0A9689" w14:textId="77777777" w:rsidR="00900966" w:rsidRPr="00D37A89" w:rsidRDefault="00900966" w:rsidP="00900966">
            <w:pPr>
              <w:spacing w:before="60" w:after="60"/>
              <w:jc w:val="left"/>
            </w:pPr>
            <w:r w:rsidRPr="00B01A66">
              <w:rPr>
                <w:rFonts w:eastAsia="Times New Roman"/>
                <w:color w:val="000000"/>
                <w:sz w:val="24"/>
                <w:lang w:eastAsia="en-AU"/>
              </w:rPr>
              <w:t>Equipment suppliers (air conditioning, evaporative coolers, heating, hot water heat pumps, hydronic, commercial refrigeration, domestic refrigeration)</w:t>
            </w:r>
          </w:p>
        </w:tc>
      </w:tr>
      <w:tr w:rsidR="00900966" w:rsidRPr="00923150" w14:paraId="797A7D99" w14:textId="77777777" w:rsidTr="00CF19E5">
        <w:trPr>
          <w:trHeight w:val="456"/>
        </w:trPr>
        <w:tc>
          <w:tcPr>
            <w:tcW w:w="9487" w:type="dxa"/>
            <w:vAlign w:val="bottom"/>
          </w:tcPr>
          <w:p w14:paraId="22BE4C1B" w14:textId="77777777" w:rsidR="00900966" w:rsidRPr="00D37A89" w:rsidRDefault="00900966" w:rsidP="00900966">
            <w:pPr>
              <w:spacing w:before="60" w:after="60"/>
              <w:jc w:val="left"/>
            </w:pPr>
            <w:r w:rsidRPr="00B01A66">
              <w:rPr>
                <w:rFonts w:eastAsia="Times New Roman"/>
                <w:color w:val="000000"/>
                <w:sz w:val="24"/>
                <w:lang w:eastAsia="en-AU"/>
              </w:rPr>
              <w:t>Component suppliers (compressors, fans, coils, chilled beams, refrigerant, etc.)</w:t>
            </w:r>
          </w:p>
        </w:tc>
      </w:tr>
      <w:tr w:rsidR="00900966" w:rsidRPr="00923150" w14:paraId="5EBB901D" w14:textId="77777777" w:rsidTr="00CF19E5">
        <w:trPr>
          <w:trHeight w:val="456"/>
        </w:trPr>
        <w:tc>
          <w:tcPr>
            <w:tcW w:w="9487" w:type="dxa"/>
            <w:vAlign w:val="bottom"/>
          </w:tcPr>
          <w:p w14:paraId="6B3155F5" w14:textId="6B76C45A" w:rsidR="00900966" w:rsidRPr="00D37A89" w:rsidRDefault="00900966" w:rsidP="00900966">
            <w:pPr>
              <w:spacing w:before="60" w:after="60"/>
              <w:jc w:val="left"/>
            </w:pPr>
            <w:r w:rsidRPr="00B01A66">
              <w:rPr>
                <w:rFonts w:eastAsia="Times New Roman"/>
                <w:color w:val="000000"/>
                <w:sz w:val="24"/>
                <w:lang w:eastAsia="en-AU"/>
              </w:rPr>
              <w:t>Cool</w:t>
            </w:r>
            <w:r w:rsidR="001E68A3">
              <w:rPr>
                <w:rFonts w:eastAsia="Times New Roman"/>
                <w:color w:val="000000"/>
                <w:sz w:val="24"/>
                <w:lang w:eastAsia="en-AU"/>
              </w:rPr>
              <w:t xml:space="preserve"> </w:t>
            </w:r>
            <w:r w:rsidRPr="00B01A66">
              <w:rPr>
                <w:rFonts w:eastAsia="Times New Roman"/>
                <w:color w:val="000000"/>
                <w:sz w:val="24"/>
                <w:lang w:eastAsia="en-AU"/>
              </w:rPr>
              <w:t>room suppliers (panel and contractors)</w:t>
            </w:r>
          </w:p>
        </w:tc>
      </w:tr>
      <w:tr w:rsidR="00900966" w:rsidRPr="00923150" w14:paraId="4957632A" w14:textId="77777777" w:rsidTr="00CF19E5">
        <w:trPr>
          <w:trHeight w:val="456"/>
        </w:trPr>
        <w:tc>
          <w:tcPr>
            <w:tcW w:w="9487" w:type="dxa"/>
            <w:vAlign w:val="bottom"/>
          </w:tcPr>
          <w:p w14:paraId="5C9488F7" w14:textId="77777777" w:rsidR="00900966" w:rsidRPr="00D37A89" w:rsidRDefault="00900966" w:rsidP="00900966">
            <w:pPr>
              <w:spacing w:before="60" w:after="60"/>
              <w:jc w:val="left"/>
            </w:pPr>
            <w:r w:rsidRPr="00B01A66">
              <w:rPr>
                <w:rFonts w:eastAsia="Times New Roman"/>
                <w:color w:val="000000"/>
                <w:sz w:val="24"/>
                <w:lang w:eastAsia="en-AU"/>
              </w:rPr>
              <w:t>Controls and instrumentation suppliers (IS, software, electronics, data logging, VSDs, sensing/measuring, temp/humidity/air flow/air quality, etc.)</w:t>
            </w:r>
          </w:p>
        </w:tc>
      </w:tr>
      <w:tr w:rsidR="00900966" w:rsidRPr="00923150" w14:paraId="424A5952" w14:textId="77777777" w:rsidTr="00CF19E5">
        <w:trPr>
          <w:trHeight w:val="456"/>
        </w:trPr>
        <w:tc>
          <w:tcPr>
            <w:tcW w:w="9487" w:type="dxa"/>
            <w:vAlign w:val="bottom"/>
          </w:tcPr>
          <w:p w14:paraId="388430A1" w14:textId="77777777" w:rsidR="00900966" w:rsidRPr="00D37A89" w:rsidRDefault="00900966" w:rsidP="00900966">
            <w:pPr>
              <w:spacing w:before="60" w:after="60"/>
              <w:jc w:val="left"/>
            </w:pPr>
            <w:r w:rsidRPr="00B01A66">
              <w:rPr>
                <w:rFonts w:eastAsia="Times New Roman"/>
                <w:color w:val="000000"/>
                <w:sz w:val="24"/>
                <w:lang w:eastAsia="en-AU"/>
              </w:rPr>
              <w:t>Filtration and environmental services (supply and cleaning)</w:t>
            </w:r>
          </w:p>
        </w:tc>
      </w:tr>
      <w:tr w:rsidR="00900966" w:rsidRPr="00923150" w14:paraId="02FE27A7" w14:textId="77777777" w:rsidTr="00CF19E5">
        <w:trPr>
          <w:trHeight w:val="456"/>
        </w:trPr>
        <w:tc>
          <w:tcPr>
            <w:tcW w:w="9487" w:type="dxa"/>
            <w:vAlign w:val="bottom"/>
          </w:tcPr>
          <w:p w14:paraId="3951678C" w14:textId="01593E59" w:rsidR="00900966" w:rsidRPr="00D37A89" w:rsidRDefault="00900966" w:rsidP="00900966">
            <w:pPr>
              <w:spacing w:before="60" w:after="60"/>
              <w:jc w:val="left"/>
            </w:pPr>
            <w:r w:rsidRPr="00B01A66">
              <w:rPr>
                <w:rFonts w:eastAsia="Times New Roman"/>
                <w:color w:val="000000"/>
                <w:sz w:val="24"/>
                <w:lang w:eastAsia="en-AU"/>
              </w:rPr>
              <w:t>Air movement (ducts, sheet</w:t>
            </w:r>
            <w:r w:rsidR="001E68A3">
              <w:rPr>
                <w:rFonts w:eastAsia="Times New Roman"/>
                <w:color w:val="000000"/>
                <w:sz w:val="24"/>
                <w:lang w:eastAsia="en-AU"/>
              </w:rPr>
              <w:t xml:space="preserve"> </w:t>
            </w:r>
            <w:r w:rsidRPr="00B01A66">
              <w:rPr>
                <w:rFonts w:eastAsia="Times New Roman"/>
                <w:color w:val="000000"/>
                <w:sz w:val="24"/>
                <w:lang w:eastAsia="en-AU"/>
              </w:rPr>
              <w:t>metal, fittings, registers, dampers, diffusers, accessories)</w:t>
            </w:r>
          </w:p>
        </w:tc>
      </w:tr>
      <w:tr w:rsidR="00900966" w:rsidRPr="00923150" w14:paraId="23BDF085" w14:textId="77777777" w:rsidTr="00CF19E5">
        <w:trPr>
          <w:trHeight w:val="456"/>
        </w:trPr>
        <w:tc>
          <w:tcPr>
            <w:tcW w:w="9487" w:type="dxa"/>
            <w:vAlign w:val="bottom"/>
          </w:tcPr>
          <w:p w14:paraId="6B43D136" w14:textId="77777777" w:rsidR="00900966" w:rsidRPr="00D37A89" w:rsidRDefault="00900966" w:rsidP="00900966">
            <w:pPr>
              <w:spacing w:before="60" w:after="60"/>
              <w:jc w:val="left"/>
            </w:pPr>
            <w:r w:rsidRPr="00B01A66">
              <w:rPr>
                <w:rFonts w:eastAsia="Times New Roman"/>
                <w:color w:val="000000"/>
                <w:sz w:val="24"/>
                <w:lang w:eastAsia="en-AU"/>
              </w:rPr>
              <w:t>Fans and ventilation</w:t>
            </w:r>
          </w:p>
        </w:tc>
      </w:tr>
      <w:tr w:rsidR="00900966" w:rsidRPr="00923150" w14:paraId="292E9F8E" w14:textId="77777777" w:rsidTr="00CF19E5">
        <w:trPr>
          <w:trHeight w:val="456"/>
        </w:trPr>
        <w:tc>
          <w:tcPr>
            <w:tcW w:w="9487" w:type="dxa"/>
            <w:vAlign w:val="bottom"/>
          </w:tcPr>
          <w:p w14:paraId="48C0D816" w14:textId="77777777" w:rsidR="00900966" w:rsidRPr="00D37A89" w:rsidRDefault="00900966" w:rsidP="00900966">
            <w:pPr>
              <w:spacing w:before="60" w:after="60"/>
              <w:jc w:val="left"/>
            </w:pPr>
            <w:r w:rsidRPr="00B01A66">
              <w:rPr>
                <w:rFonts w:eastAsia="Times New Roman"/>
                <w:color w:val="000000"/>
                <w:sz w:val="24"/>
                <w:lang w:eastAsia="en-AU"/>
              </w:rPr>
              <w:t>Mechanical services engineers</w:t>
            </w:r>
          </w:p>
        </w:tc>
      </w:tr>
      <w:tr w:rsidR="00900966" w:rsidRPr="00923150" w14:paraId="69333D98" w14:textId="77777777" w:rsidTr="00CF19E5">
        <w:trPr>
          <w:trHeight w:val="456"/>
        </w:trPr>
        <w:tc>
          <w:tcPr>
            <w:tcW w:w="9487" w:type="dxa"/>
            <w:vAlign w:val="bottom"/>
          </w:tcPr>
          <w:p w14:paraId="7CABE313" w14:textId="77777777" w:rsidR="00900966" w:rsidRPr="00D37A89" w:rsidRDefault="00900966" w:rsidP="00900966">
            <w:pPr>
              <w:spacing w:before="60" w:after="60"/>
              <w:jc w:val="left"/>
            </w:pPr>
            <w:r w:rsidRPr="00B01A66">
              <w:rPr>
                <w:rFonts w:eastAsia="Times New Roman"/>
                <w:color w:val="000000"/>
                <w:sz w:val="24"/>
                <w:lang w:eastAsia="en-AU"/>
              </w:rPr>
              <w:t>Consulting and design engineers</w:t>
            </w:r>
          </w:p>
        </w:tc>
      </w:tr>
      <w:tr w:rsidR="00900966" w:rsidRPr="00923150" w14:paraId="36773615" w14:textId="77777777" w:rsidTr="00CF19E5">
        <w:trPr>
          <w:trHeight w:val="456"/>
        </w:trPr>
        <w:tc>
          <w:tcPr>
            <w:tcW w:w="9487" w:type="dxa"/>
            <w:vAlign w:val="bottom"/>
          </w:tcPr>
          <w:p w14:paraId="6DCEED6C" w14:textId="77777777" w:rsidR="00900966" w:rsidRPr="00D37A89" w:rsidRDefault="00900966" w:rsidP="00900966">
            <w:pPr>
              <w:spacing w:before="60" w:after="60"/>
              <w:jc w:val="left"/>
            </w:pPr>
            <w:r w:rsidRPr="00B01A66">
              <w:rPr>
                <w:rFonts w:eastAsia="Times New Roman"/>
                <w:color w:val="000000"/>
                <w:sz w:val="24"/>
                <w:lang w:eastAsia="en-AU"/>
              </w:rPr>
              <w:t>Commissioning engineers</w:t>
            </w:r>
          </w:p>
        </w:tc>
      </w:tr>
      <w:tr w:rsidR="00900966" w:rsidRPr="00923150" w14:paraId="5C298557" w14:textId="77777777" w:rsidTr="00CF19E5">
        <w:trPr>
          <w:trHeight w:val="456"/>
        </w:trPr>
        <w:tc>
          <w:tcPr>
            <w:tcW w:w="9487" w:type="dxa"/>
            <w:vAlign w:val="bottom"/>
          </w:tcPr>
          <w:p w14:paraId="16628232" w14:textId="77777777" w:rsidR="00900966" w:rsidRPr="00D37A89" w:rsidRDefault="00900966" w:rsidP="00900966">
            <w:pPr>
              <w:spacing w:before="60" w:after="60"/>
              <w:jc w:val="left"/>
            </w:pPr>
            <w:r w:rsidRPr="00B01A66">
              <w:rPr>
                <w:rFonts w:eastAsia="Times New Roman"/>
                <w:color w:val="000000"/>
                <w:sz w:val="24"/>
                <w:lang w:eastAsia="en-AU"/>
              </w:rPr>
              <w:t>Energy efficiency and specialist (i.e. natural refrigerants) engineers</w:t>
            </w:r>
          </w:p>
        </w:tc>
      </w:tr>
      <w:tr w:rsidR="00900966" w:rsidRPr="00923150" w14:paraId="0A860524" w14:textId="77777777" w:rsidTr="00CF19E5">
        <w:trPr>
          <w:trHeight w:val="456"/>
        </w:trPr>
        <w:tc>
          <w:tcPr>
            <w:tcW w:w="9487" w:type="dxa"/>
            <w:vAlign w:val="bottom"/>
          </w:tcPr>
          <w:p w14:paraId="3FED37E4" w14:textId="77777777" w:rsidR="00900966" w:rsidRPr="00D37A89" w:rsidRDefault="00900966" w:rsidP="00900966">
            <w:pPr>
              <w:spacing w:before="60" w:after="60"/>
              <w:jc w:val="left"/>
            </w:pPr>
            <w:r w:rsidRPr="00B01A66">
              <w:rPr>
                <w:rFonts w:eastAsia="Times New Roman"/>
                <w:color w:val="000000"/>
                <w:sz w:val="24"/>
                <w:lang w:eastAsia="en-AU"/>
              </w:rPr>
              <w:t>Facilities maintenance</w:t>
            </w:r>
          </w:p>
        </w:tc>
      </w:tr>
      <w:tr w:rsidR="00900966" w:rsidRPr="00923150" w14:paraId="1074BB28" w14:textId="77777777" w:rsidTr="00CF19E5">
        <w:trPr>
          <w:trHeight w:val="456"/>
        </w:trPr>
        <w:tc>
          <w:tcPr>
            <w:tcW w:w="9487" w:type="dxa"/>
            <w:vAlign w:val="bottom"/>
          </w:tcPr>
          <w:p w14:paraId="527FEB5A" w14:textId="77777777" w:rsidR="00900966" w:rsidRPr="00D37A89" w:rsidRDefault="00900966" w:rsidP="00900966">
            <w:pPr>
              <w:spacing w:before="60" w:after="60"/>
              <w:jc w:val="left"/>
            </w:pPr>
            <w:r w:rsidRPr="00B01A66">
              <w:rPr>
                <w:rFonts w:eastAsia="Times New Roman"/>
                <w:color w:val="000000"/>
                <w:sz w:val="24"/>
                <w:lang w:eastAsia="en-AU"/>
              </w:rPr>
              <w:t>Accessory suppliers (insulation, pipes, fittings, pumps, valves, lighting, tools, chemicals, oils, corrosion protection, etc.)</w:t>
            </w:r>
          </w:p>
        </w:tc>
      </w:tr>
      <w:tr w:rsidR="00900966" w:rsidRPr="00923150" w14:paraId="5855403D" w14:textId="77777777" w:rsidTr="00CF19E5">
        <w:trPr>
          <w:trHeight w:val="456"/>
        </w:trPr>
        <w:tc>
          <w:tcPr>
            <w:tcW w:w="9487" w:type="dxa"/>
            <w:vAlign w:val="bottom"/>
          </w:tcPr>
          <w:p w14:paraId="693CB0BD" w14:textId="77777777" w:rsidR="00900966" w:rsidRPr="00D37A89" w:rsidRDefault="00900966" w:rsidP="00900966">
            <w:pPr>
              <w:spacing w:before="60" w:after="60"/>
              <w:jc w:val="left"/>
            </w:pPr>
            <w:r w:rsidRPr="00B01A66">
              <w:rPr>
                <w:rFonts w:eastAsia="Times New Roman"/>
                <w:color w:val="000000"/>
                <w:sz w:val="24"/>
                <w:lang w:eastAsia="en-AU"/>
              </w:rPr>
              <w:t>Cooling tower specialist</w:t>
            </w:r>
          </w:p>
        </w:tc>
      </w:tr>
      <w:tr w:rsidR="00900966" w:rsidRPr="00923150" w14:paraId="4365BB38" w14:textId="77777777" w:rsidTr="00CF19E5">
        <w:trPr>
          <w:trHeight w:val="456"/>
        </w:trPr>
        <w:tc>
          <w:tcPr>
            <w:tcW w:w="9487" w:type="dxa"/>
            <w:vAlign w:val="bottom"/>
          </w:tcPr>
          <w:p w14:paraId="598E4E7B" w14:textId="77777777" w:rsidR="00900966" w:rsidRPr="00D37A89" w:rsidRDefault="00900966" w:rsidP="00900966">
            <w:pPr>
              <w:spacing w:before="60" w:after="60"/>
              <w:jc w:val="left"/>
            </w:pPr>
            <w:r w:rsidRPr="00B01A66">
              <w:rPr>
                <w:rFonts w:eastAsia="Times New Roman"/>
                <w:color w:val="000000"/>
                <w:sz w:val="24"/>
                <w:lang w:eastAsia="en-AU"/>
              </w:rPr>
              <w:t>Rental companies (</w:t>
            </w:r>
            <w:r w:rsidRPr="00C17D1D">
              <w:rPr>
                <w:rFonts w:eastAsia="Times New Roman"/>
                <w:color w:val="000000"/>
                <w:sz w:val="24"/>
                <w:lang w:eastAsia="en-AU"/>
              </w:rPr>
              <w:t>air conditioning</w:t>
            </w:r>
            <w:r w:rsidRPr="00C17D1D" w:rsidDel="00C17D1D">
              <w:rPr>
                <w:rFonts w:eastAsia="Times New Roman"/>
                <w:color w:val="000000"/>
                <w:sz w:val="24"/>
                <w:lang w:eastAsia="en-AU"/>
              </w:rPr>
              <w:t xml:space="preserve"> </w:t>
            </w:r>
            <w:r w:rsidRPr="00B01A66">
              <w:rPr>
                <w:rFonts w:eastAsia="Times New Roman"/>
                <w:color w:val="000000"/>
                <w:sz w:val="24"/>
                <w:lang w:eastAsia="en-AU"/>
              </w:rPr>
              <w:t>equipment for events and breakdowns)</w:t>
            </w:r>
          </w:p>
        </w:tc>
      </w:tr>
      <w:tr w:rsidR="00900966" w:rsidRPr="00923150" w14:paraId="25F95E36" w14:textId="77777777" w:rsidTr="00CF19E5">
        <w:trPr>
          <w:trHeight w:val="456"/>
        </w:trPr>
        <w:tc>
          <w:tcPr>
            <w:tcW w:w="9487" w:type="dxa"/>
            <w:vAlign w:val="bottom"/>
          </w:tcPr>
          <w:p w14:paraId="30CC3AD2" w14:textId="77777777" w:rsidR="00900966" w:rsidRPr="00D37A89" w:rsidRDefault="00900966" w:rsidP="00900966">
            <w:pPr>
              <w:spacing w:before="60" w:after="60"/>
              <w:jc w:val="left"/>
            </w:pPr>
            <w:r w:rsidRPr="00B01A66">
              <w:rPr>
                <w:rFonts w:eastAsia="Times New Roman"/>
                <w:color w:val="000000"/>
                <w:sz w:val="24"/>
                <w:lang w:eastAsia="en-AU"/>
              </w:rPr>
              <w:t>Business services (insurance brokers, etc.)</w:t>
            </w:r>
          </w:p>
        </w:tc>
      </w:tr>
      <w:tr w:rsidR="00900966" w:rsidRPr="00923150" w14:paraId="1774DA6D" w14:textId="77777777" w:rsidTr="00CF19E5">
        <w:trPr>
          <w:trHeight w:val="456"/>
        </w:trPr>
        <w:tc>
          <w:tcPr>
            <w:tcW w:w="9487" w:type="dxa"/>
            <w:vAlign w:val="bottom"/>
          </w:tcPr>
          <w:p w14:paraId="6AA001E0" w14:textId="77777777" w:rsidR="00900966" w:rsidRPr="00D37A89" w:rsidRDefault="00900966" w:rsidP="00900966">
            <w:pPr>
              <w:spacing w:before="60" w:after="60"/>
              <w:jc w:val="left"/>
            </w:pPr>
            <w:r w:rsidRPr="00B01A66">
              <w:rPr>
                <w:rFonts w:eastAsia="Times New Roman"/>
                <w:color w:val="000000"/>
                <w:sz w:val="24"/>
                <w:lang w:eastAsia="en-AU"/>
              </w:rPr>
              <w:t>Technical services (equipment testing, scientific, calibration, etc.)</w:t>
            </w:r>
          </w:p>
        </w:tc>
      </w:tr>
    </w:tbl>
    <w:p w14:paraId="78EC3839" w14:textId="77777777" w:rsidR="00900966" w:rsidRDefault="00900966" w:rsidP="00900966">
      <w:pPr>
        <w:rPr>
          <w:szCs w:val="22"/>
        </w:rPr>
      </w:pPr>
    </w:p>
    <w:p w14:paraId="0682CDB7" w14:textId="14DC977F" w:rsidR="00915574" w:rsidRPr="00FC3621" w:rsidRDefault="006002E4" w:rsidP="00915574">
      <w:pPr>
        <w:spacing w:before="240"/>
        <w:rPr>
          <w:rFonts w:asciiTheme="majorHAnsi" w:hAnsiTheme="majorHAnsi"/>
          <w:b/>
          <w:sz w:val="24"/>
        </w:rPr>
      </w:pPr>
      <w:r>
        <w:rPr>
          <w:rFonts w:asciiTheme="majorHAnsi" w:hAnsiTheme="majorHAnsi"/>
          <w:b/>
          <w:sz w:val="24"/>
        </w:rPr>
        <w:t>End u</w:t>
      </w:r>
      <w:r w:rsidR="00915574" w:rsidRPr="00FC3621">
        <w:rPr>
          <w:rFonts w:asciiTheme="majorHAnsi" w:hAnsiTheme="majorHAnsi"/>
          <w:b/>
          <w:sz w:val="24"/>
        </w:rPr>
        <w:t xml:space="preserve">se </w:t>
      </w:r>
      <w:r>
        <w:rPr>
          <w:rFonts w:asciiTheme="majorHAnsi" w:hAnsiTheme="majorHAnsi"/>
          <w:b/>
          <w:sz w:val="24"/>
        </w:rPr>
        <w:t>a</w:t>
      </w:r>
      <w:r w:rsidR="00915574" w:rsidRPr="00FC3621">
        <w:rPr>
          <w:rFonts w:asciiTheme="majorHAnsi" w:hAnsiTheme="majorHAnsi"/>
          <w:b/>
          <w:sz w:val="24"/>
        </w:rPr>
        <w:t>pplications</w:t>
      </w:r>
    </w:p>
    <w:p w14:paraId="631A9489" w14:textId="5230A60A" w:rsidR="00915574" w:rsidRDefault="00915574" w:rsidP="00915574">
      <w:r>
        <w:t xml:space="preserve">The following is a list of some of the important industrial and commercial applications where RAC systems are found across the Australian economy. This list does not include the common and populous applications of domestic refrigeration and residential </w:t>
      </w:r>
      <w:r w:rsidR="001F64CE">
        <w:t>air conditioning</w:t>
      </w:r>
      <w:r>
        <w:t xml:space="preserve"> with which readers would be familiar. This provides an insight into the wide applications of RAC systems that the Taxonomy does not reveal, based as that is on the format and capacity of the enabling technology employed in the applications listed below.  </w:t>
      </w:r>
    </w:p>
    <w:p w14:paraId="0DC1284F" w14:textId="3D359D0B" w:rsidR="00915574" w:rsidRDefault="00915574" w:rsidP="00915574">
      <w:r>
        <w:t>If there was any question about the central and essential energy service role that RAC technology plays in the Australian economy, simply read the following list and imagine how the environments and processes listed would be without being serviced by RAC systems.</w:t>
      </w:r>
    </w:p>
    <w:p w14:paraId="46341EB0" w14:textId="77777777" w:rsidR="00915574" w:rsidRPr="00975F99" w:rsidRDefault="00915574" w:rsidP="00915574">
      <w:pPr>
        <w:spacing w:before="240"/>
        <w:rPr>
          <w:rFonts w:asciiTheme="majorHAnsi" w:hAnsiTheme="majorHAnsi"/>
          <w:b/>
          <w:sz w:val="24"/>
        </w:rPr>
      </w:pPr>
      <w:r w:rsidRPr="00975F99">
        <w:rPr>
          <w:rFonts w:asciiTheme="majorHAnsi" w:hAnsiTheme="majorHAnsi"/>
          <w:b/>
          <w:sz w:val="24"/>
        </w:rPr>
        <w:t>Stationary air conditioning systems</w:t>
      </w:r>
    </w:p>
    <w:p w14:paraId="588A246C" w14:textId="77777777" w:rsidR="00915574" w:rsidRDefault="00915574" w:rsidP="00915574">
      <w:pPr>
        <w:jc w:val="left"/>
      </w:pPr>
      <w:r>
        <w:t>Non-residential buildings ventilation and air conditioning systems:</w:t>
      </w:r>
    </w:p>
    <w:p w14:paraId="46A41EF2"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Commercial and government office accommodation</w:t>
      </w:r>
    </w:p>
    <w:p w14:paraId="21441058"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Education (all generally also including some larger format refrigeration) such as schools, universities and TAFEs</w:t>
      </w:r>
    </w:p>
    <w:p w14:paraId="4B33BF0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Community buildings</w:t>
      </w:r>
    </w:p>
    <w:p w14:paraId="1B357A0B"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Hospitals and health facilities including mortuaries</w:t>
      </w:r>
    </w:p>
    <w:p w14:paraId="6D97B86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Hotels and accommodation</w:t>
      </w:r>
    </w:p>
    <w:p w14:paraId="708B5C41"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Industrial</w:t>
      </w:r>
    </w:p>
    <w:p w14:paraId="2D5F130A"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Convention centres, retail malls and food courts</w:t>
      </w:r>
    </w:p>
    <w:p w14:paraId="336A2FFD" w14:textId="77777777" w:rsidR="00915574"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Entertainment, restaurants, swimming pools, gyms</w:t>
      </w:r>
    </w:p>
    <w:p w14:paraId="0BBFD016"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Pr>
          <w:rFonts w:ascii="Times New Roman" w:hAnsi="Times New Roman"/>
        </w:rPr>
        <w:t>Transport hubs, underground train stations, airports</w:t>
      </w:r>
    </w:p>
    <w:p w14:paraId="589E80EE" w14:textId="77777777" w:rsidR="00915574" w:rsidRPr="00975F99" w:rsidRDefault="00915574" w:rsidP="00915574">
      <w:r w:rsidRPr="00975F99">
        <w:t>Close Control facilities</w:t>
      </w:r>
      <w:r>
        <w:t>:</w:t>
      </w:r>
    </w:p>
    <w:p w14:paraId="53C5195B"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Computing, server farms and UPS</w:t>
      </w:r>
    </w:p>
    <w:p w14:paraId="4B6A8B4E"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Telecommunications switching, PABX and UPS</w:t>
      </w:r>
    </w:p>
    <w:p w14:paraId="516F019B"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Museums, galleries, archives and specialised storage</w:t>
      </w:r>
    </w:p>
    <w:p w14:paraId="2A9D8215"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Pharmaceutical</w:t>
      </w:r>
    </w:p>
    <w:p w14:paraId="7794333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 xml:space="preserve">Labs </w:t>
      </w:r>
      <w:r>
        <w:rPr>
          <w:rFonts w:ascii="Times New Roman" w:hAnsi="Times New Roman"/>
        </w:rPr>
        <w:t xml:space="preserve">and </w:t>
      </w:r>
      <w:r w:rsidRPr="00975F99">
        <w:rPr>
          <w:rFonts w:ascii="Times New Roman" w:hAnsi="Times New Roman"/>
        </w:rPr>
        <w:t>testing</w:t>
      </w:r>
    </w:p>
    <w:p w14:paraId="0B7EED01" w14:textId="77777777" w:rsidR="00915574" w:rsidRPr="00975F99" w:rsidRDefault="00915574" w:rsidP="00915574">
      <w:pPr>
        <w:spacing w:before="240"/>
        <w:rPr>
          <w:rFonts w:asciiTheme="majorHAnsi" w:hAnsiTheme="majorHAnsi"/>
          <w:b/>
          <w:sz w:val="24"/>
        </w:rPr>
      </w:pPr>
      <w:r w:rsidRPr="00975F99">
        <w:rPr>
          <w:rFonts w:asciiTheme="majorHAnsi" w:hAnsiTheme="majorHAnsi"/>
          <w:b/>
          <w:sz w:val="24"/>
        </w:rPr>
        <w:t xml:space="preserve">Mobile </w:t>
      </w:r>
      <w:r>
        <w:rPr>
          <w:rFonts w:asciiTheme="majorHAnsi" w:hAnsiTheme="majorHAnsi"/>
          <w:b/>
          <w:sz w:val="24"/>
        </w:rPr>
        <w:t>a</w:t>
      </w:r>
      <w:r w:rsidRPr="00975F99">
        <w:rPr>
          <w:rFonts w:asciiTheme="majorHAnsi" w:hAnsiTheme="majorHAnsi"/>
          <w:b/>
          <w:sz w:val="24"/>
        </w:rPr>
        <w:t xml:space="preserve">ir conditioning </w:t>
      </w:r>
      <w:r>
        <w:rPr>
          <w:rFonts w:asciiTheme="majorHAnsi" w:hAnsiTheme="majorHAnsi"/>
          <w:b/>
          <w:sz w:val="24"/>
        </w:rPr>
        <w:t>s</w:t>
      </w:r>
      <w:r w:rsidRPr="00975F99">
        <w:rPr>
          <w:rFonts w:asciiTheme="majorHAnsi" w:hAnsiTheme="majorHAnsi"/>
          <w:b/>
          <w:sz w:val="24"/>
        </w:rPr>
        <w:t>ystems</w:t>
      </w:r>
    </w:p>
    <w:p w14:paraId="1F56EF3F" w14:textId="77777777" w:rsidR="00915574" w:rsidRDefault="00915574" w:rsidP="00915574">
      <w:r>
        <w:t>Air conditioned and refrigerated transport:</w:t>
      </w:r>
    </w:p>
    <w:p w14:paraId="6524F9FC"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Light commercial</w:t>
      </w:r>
    </w:p>
    <w:p w14:paraId="569717EE"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Buses</w:t>
      </w:r>
    </w:p>
    <w:p w14:paraId="7D7DE810"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Recreational vehicles, mobile homes and caravans</w:t>
      </w:r>
    </w:p>
    <w:p w14:paraId="623CAF83"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Mining &amp; construction</w:t>
      </w:r>
    </w:p>
    <w:p w14:paraId="4D261E9D"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Trains</w:t>
      </w:r>
    </w:p>
    <w:p w14:paraId="4A7147B3"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Agricultural (inc</w:t>
      </w:r>
      <w:r>
        <w:rPr>
          <w:rFonts w:ascii="Times New Roman" w:hAnsi="Times New Roman"/>
        </w:rPr>
        <w:t>luding</w:t>
      </w:r>
      <w:r w:rsidRPr="00975F99">
        <w:rPr>
          <w:rFonts w:ascii="Times New Roman" w:hAnsi="Times New Roman"/>
        </w:rPr>
        <w:t xml:space="preserve"> tractors, harvesters)</w:t>
      </w:r>
    </w:p>
    <w:p w14:paraId="76D86F9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Refrigerated trucks &amp; trailers (cold food chain)</w:t>
      </w:r>
    </w:p>
    <w:p w14:paraId="683F1F8B" w14:textId="77777777" w:rsidR="00915574" w:rsidRPr="003F628A" w:rsidRDefault="00915574" w:rsidP="00915574">
      <w:r w:rsidRPr="003F628A">
        <w:t>Aviation</w:t>
      </w:r>
      <w:r>
        <w:t>:</w:t>
      </w:r>
    </w:p>
    <w:p w14:paraId="58AA1034"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Commercial passenger airlines</w:t>
      </w:r>
    </w:p>
    <w:p w14:paraId="0F3C8CA3"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Military aviation</w:t>
      </w:r>
    </w:p>
    <w:p w14:paraId="20EBF25A"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Private and charter aircraft</w:t>
      </w:r>
    </w:p>
    <w:p w14:paraId="16BD35D3" w14:textId="77777777" w:rsidR="00915574" w:rsidRPr="003F628A" w:rsidRDefault="00915574" w:rsidP="00915574">
      <w:r w:rsidRPr="003F628A">
        <w:t xml:space="preserve">Maritime </w:t>
      </w:r>
      <w:r>
        <w:t>s</w:t>
      </w:r>
      <w:r w:rsidRPr="003F628A">
        <w:t>ystems</w:t>
      </w:r>
      <w:r>
        <w:t>:</w:t>
      </w:r>
    </w:p>
    <w:p w14:paraId="73C68BE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Fishing fleet</w:t>
      </w:r>
    </w:p>
    <w:p w14:paraId="22F33714"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Pr>
          <w:rFonts w:ascii="Times New Roman" w:hAnsi="Times New Roman"/>
        </w:rPr>
        <w:t>S</w:t>
      </w:r>
      <w:r w:rsidRPr="00975F99">
        <w:rPr>
          <w:rFonts w:ascii="Times New Roman" w:hAnsi="Times New Roman"/>
        </w:rPr>
        <w:t>pecialised sea freight</w:t>
      </w:r>
    </w:p>
    <w:p w14:paraId="6794B96E"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Passenger liners</w:t>
      </w:r>
    </w:p>
    <w:p w14:paraId="4F9A8F85"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Luxury boats and private charter</w:t>
      </w:r>
    </w:p>
    <w:p w14:paraId="7780C3FE" w14:textId="77777777" w:rsidR="00915574" w:rsidRDefault="00915574" w:rsidP="005903C1">
      <w:pPr>
        <w:pStyle w:val="ListParagraph"/>
        <w:numPr>
          <w:ilvl w:val="0"/>
          <w:numId w:val="13"/>
        </w:numPr>
        <w:spacing w:before="120" w:after="0" w:line="240" w:lineRule="auto"/>
        <w:contextualSpacing w:val="0"/>
      </w:pPr>
      <w:r w:rsidRPr="00975F99">
        <w:rPr>
          <w:rFonts w:ascii="Times New Roman" w:hAnsi="Times New Roman"/>
        </w:rPr>
        <w:t>Defence field systems and</w:t>
      </w:r>
      <w:r>
        <w:t xml:space="preserve"> emergency services</w:t>
      </w:r>
    </w:p>
    <w:p w14:paraId="21EBEFF2" w14:textId="7635B06D" w:rsidR="00915574" w:rsidRPr="00975F99" w:rsidRDefault="00915574" w:rsidP="00915574">
      <w:pPr>
        <w:spacing w:before="240"/>
        <w:rPr>
          <w:rFonts w:asciiTheme="majorHAnsi" w:hAnsiTheme="majorHAnsi"/>
          <w:b/>
          <w:sz w:val="24"/>
        </w:rPr>
      </w:pPr>
      <w:r>
        <w:rPr>
          <w:rFonts w:asciiTheme="majorHAnsi" w:hAnsiTheme="majorHAnsi"/>
          <w:b/>
          <w:sz w:val="24"/>
        </w:rPr>
        <w:t>Refrigerated cold food chain</w:t>
      </w:r>
      <w:r w:rsidR="006002E4">
        <w:rPr>
          <w:rFonts w:asciiTheme="majorHAnsi" w:hAnsiTheme="majorHAnsi"/>
          <w:b/>
          <w:sz w:val="24"/>
        </w:rPr>
        <w:t>, industrial and p</w:t>
      </w:r>
      <w:r w:rsidRPr="00975F99">
        <w:rPr>
          <w:rFonts w:asciiTheme="majorHAnsi" w:hAnsiTheme="majorHAnsi"/>
          <w:b/>
          <w:sz w:val="24"/>
        </w:rPr>
        <w:t xml:space="preserve">rocess </w:t>
      </w:r>
      <w:r w:rsidR="006002E4">
        <w:rPr>
          <w:rFonts w:asciiTheme="majorHAnsi" w:hAnsiTheme="majorHAnsi"/>
          <w:b/>
          <w:sz w:val="24"/>
        </w:rPr>
        <w:t>s</w:t>
      </w:r>
      <w:r w:rsidRPr="00975F99">
        <w:rPr>
          <w:rFonts w:asciiTheme="majorHAnsi" w:hAnsiTheme="majorHAnsi"/>
          <w:b/>
          <w:sz w:val="24"/>
        </w:rPr>
        <w:t>ystems</w:t>
      </w:r>
    </w:p>
    <w:p w14:paraId="7360D660" w14:textId="77777777" w:rsidR="00915574" w:rsidRPr="003F628A" w:rsidRDefault="00915574" w:rsidP="00915574">
      <w:r>
        <w:t>Commercial refrigeration:</w:t>
      </w:r>
    </w:p>
    <w:p w14:paraId="650D1B4E"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E73EBF">
        <w:rPr>
          <w:rFonts w:ascii="Times New Roman" w:hAnsi="Times New Roman"/>
        </w:rPr>
        <w:t>On farm cool rooms (</w:t>
      </w:r>
      <w:r w:rsidRPr="003F628A">
        <w:rPr>
          <w:rFonts w:ascii="Times New Roman" w:hAnsi="Times New Roman"/>
        </w:rPr>
        <w:t>h</w:t>
      </w:r>
      <w:r w:rsidRPr="00975F99">
        <w:rPr>
          <w:rFonts w:ascii="Times New Roman" w:hAnsi="Times New Roman"/>
        </w:rPr>
        <w:t>orticulture</w:t>
      </w:r>
      <w:r w:rsidRPr="003F628A">
        <w:rPr>
          <w:rFonts w:ascii="Times New Roman" w:hAnsi="Times New Roman"/>
        </w:rPr>
        <w:t>, v</w:t>
      </w:r>
      <w:r w:rsidRPr="00975F99">
        <w:rPr>
          <w:rFonts w:ascii="Times New Roman" w:hAnsi="Times New Roman"/>
        </w:rPr>
        <w:t>egetables</w:t>
      </w:r>
      <w:r w:rsidRPr="003F628A">
        <w:rPr>
          <w:rFonts w:ascii="Times New Roman" w:hAnsi="Times New Roman"/>
        </w:rPr>
        <w:t>, w</w:t>
      </w:r>
      <w:r w:rsidRPr="00975F99">
        <w:rPr>
          <w:rFonts w:ascii="Times New Roman" w:hAnsi="Times New Roman"/>
        </w:rPr>
        <w:t xml:space="preserve">ine </w:t>
      </w:r>
      <w:r w:rsidRPr="003F628A">
        <w:rPr>
          <w:rFonts w:ascii="Times New Roman" w:hAnsi="Times New Roman"/>
        </w:rPr>
        <w:t>g</w:t>
      </w:r>
      <w:r w:rsidRPr="00975F99">
        <w:rPr>
          <w:rFonts w:ascii="Times New Roman" w:hAnsi="Times New Roman"/>
        </w:rPr>
        <w:t>rapes</w:t>
      </w:r>
      <w:r w:rsidRPr="003F628A">
        <w:rPr>
          <w:rFonts w:ascii="Times New Roman" w:hAnsi="Times New Roman"/>
        </w:rPr>
        <w:t>)</w:t>
      </w:r>
    </w:p>
    <w:p w14:paraId="42DD780C" w14:textId="00190CA3"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Aquaculture &amp; wild caught seafood</w:t>
      </w:r>
    </w:p>
    <w:p w14:paraId="45532FBD"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Food transport and distribution centres</w:t>
      </w:r>
    </w:p>
    <w:p w14:paraId="235B3529" w14:textId="77777777" w:rsidR="00915574" w:rsidRPr="00E73EBF" w:rsidRDefault="00915574" w:rsidP="005903C1">
      <w:pPr>
        <w:pStyle w:val="ListParagraph"/>
        <w:numPr>
          <w:ilvl w:val="0"/>
          <w:numId w:val="13"/>
        </w:numPr>
        <w:spacing w:before="120" w:after="0" w:line="240" w:lineRule="auto"/>
        <w:contextualSpacing w:val="0"/>
        <w:rPr>
          <w:rFonts w:ascii="Times New Roman" w:hAnsi="Times New Roman"/>
        </w:rPr>
      </w:pPr>
      <w:r w:rsidRPr="00E73EBF">
        <w:rPr>
          <w:rFonts w:ascii="Times New Roman" w:hAnsi="Times New Roman"/>
        </w:rPr>
        <w:t>Retail display</w:t>
      </w:r>
    </w:p>
    <w:p w14:paraId="7D133504"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Supermarkets</w:t>
      </w:r>
    </w:p>
    <w:p w14:paraId="64E5D376"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Pharmaceuticals</w:t>
      </w:r>
    </w:p>
    <w:p w14:paraId="5FEE3D31" w14:textId="77777777" w:rsidR="00915574" w:rsidRPr="003F628A" w:rsidRDefault="00915574" w:rsidP="00915574">
      <w:r w:rsidRPr="003F628A">
        <w:t>Process chillers &amp; industrial refrigeration</w:t>
      </w:r>
      <w:r>
        <w:t>:</w:t>
      </w:r>
    </w:p>
    <w:p w14:paraId="51AE6D25" w14:textId="3946D7E4"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Brewing and wine</w:t>
      </w:r>
      <w:r w:rsidR="00B77805">
        <w:rPr>
          <w:rFonts w:ascii="Times New Roman" w:hAnsi="Times New Roman"/>
        </w:rPr>
        <w:t xml:space="preserve"> </w:t>
      </w:r>
      <w:r w:rsidRPr="003F628A">
        <w:rPr>
          <w:rFonts w:ascii="Times New Roman" w:hAnsi="Times New Roman"/>
        </w:rPr>
        <w:t>making</w:t>
      </w:r>
    </w:p>
    <w:p w14:paraId="2B9E174F" w14:textId="77777777" w:rsidR="00915574" w:rsidRPr="00E73EBF" w:rsidRDefault="00915574" w:rsidP="005903C1">
      <w:pPr>
        <w:pStyle w:val="ListParagraph"/>
        <w:numPr>
          <w:ilvl w:val="0"/>
          <w:numId w:val="13"/>
        </w:numPr>
        <w:spacing w:before="120" w:after="0" w:line="240" w:lineRule="auto"/>
        <w:contextualSpacing w:val="0"/>
        <w:rPr>
          <w:rFonts w:ascii="Times New Roman" w:hAnsi="Times New Roman"/>
        </w:rPr>
      </w:pPr>
      <w:r w:rsidRPr="00E73EBF">
        <w:rPr>
          <w:rFonts w:ascii="Times New Roman" w:hAnsi="Times New Roman"/>
        </w:rPr>
        <w:t>Dairy industry</w:t>
      </w:r>
    </w:p>
    <w:p w14:paraId="6AF0F6A2"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Milk harvesting and storage</w:t>
      </w:r>
    </w:p>
    <w:p w14:paraId="393282E3"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 xml:space="preserve">Milk processing </w:t>
      </w:r>
    </w:p>
    <w:p w14:paraId="61D416CE" w14:textId="45641D93" w:rsidR="00915574" w:rsidRPr="003F628A" w:rsidRDefault="00423CD4" w:rsidP="005903C1">
      <w:pPr>
        <w:pStyle w:val="ListParagraph"/>
        <w:numPr>
          <w:ilvl w:val="0"/>
          <w:numId w:val="13"/>
        </w:numPr>
        <w:spacing w:before="120" w:after="0" w:line="240" w:lineRule="auto"/>
        <w:contextualSpacing w:val="0"/>
        <w:rPr>
          <w:rFonts w:ascii="Times New Roman" w:hAnsi="Times New Roman"/>
        </w:rPr>
      </w:pPr>
      <w:r>
        <w:rPr>
          <w:rFonts w:ascii="Times New Roman" w:hAnsi="Times New Roman"/>
        </w:rPr>
        <w:t>C</w:t>
      </w:r>
      <w:r w:rsidR="00915574" w:rsidRPr="003F628A">
        <w:rPr>
          <w:rFonts w:ascii="Times New Roman" w:hAnsi="Times New Roman"/>
        </w:rPr>
        <w:t>heese industry</w:t>
      </w:r>
    </w:p>
    <w:p w14:paraId="207BBC99"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Food processing (confectionary, frozen foods, drinks, fruit juice, chilled water as additive)</w:t>
      </w:r>
    </w:p>
    <w:p w14:paraId="45FEF24D"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Ice making</w:t>
      </w:r>
    </w:p>
    <w:p w14:paraId="60A26111" w14:textId="77777777" w:rsidR="00915574" w:rsidRPr="003F628A" w:rsidRDefault="00915574" w:rsidP="00915574">
      <w:r w:rsidRPr="003F628A">
        <w:t>Industrial chiller applications</w:t>
      </w:r>
      <w:r>
        <w:t>:</w:t>
      </w:r>
    </w:p>
    <w:p w14:paraId="5072B4FF"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Plastics/die cooling</w:t>
      </w:r>
    </w:p>
    <w:p w14:paraId="5B968316"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 xml:space="preserve">Electronic plating </w:t>
      </w:r>
    </w:p>
    <w:p w14:paraId="382FC4C6"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Printing machines &amp; associated equipment</w:t>
      </w:r>
    </w:p>
    <w:p w14:paraId="1B9CBB58"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 xml:space="preserve">Dry cleaning </w:t>
      </w:r>
    </w:p>
    <w:p w14:paraId="66CBE985"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Construction</w:t>
      </w:r>
    </w:p>
    <w:p w14:paraId="37CA8941"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Laser cutting equipment</w:t>
      </w:r>
    </w:p>
    <w:p w14:paraId="700058B4"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Chilling of water for industrial processes</w:t>
      </w:r>
    </w:p>
    <w:p w14:paraId="5857E647" w14:textId="77777777" w:rsidR="00915574" w:rsidRPr="003F628A" w:rsidRDefault="00915574" w:rsidP="00915574">
      <w:r w:rsidRPr="003F628A">
        <w:t>Other large chiller deep freeze applications</w:t>
      </w:r>
      <w:r>
        <w:t>:</w:t>
      </w:r>
    </w:p>
    <w:p w14:paraId="3F2A196B"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Water cooling for medical or chemical equipment such as SEM, MRI and X-Ray units</w:t>
      </w:r>
    </w:p>
    <w:p w14:paraId="4D1DFFBA"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Petro-chemical/gas &amp; chemical</w:t>
      </w:r>
    </w:p>
    <w:p w14:paraId="12E864F4"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Medical/pharmaceutical/serum/plasma</w:t>
      </w:r>
    </w:p>
    <w:p w14:paraId="7875AB12"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Co-generation/tri-generation</w:t>
      </w:r>
    </w:p>
    <w:p w14:paraId="5530C7DA" w14:textId="77777777" w:rsidR="00915574" w:rsidRDefault="00915574" w:rsidP="005903C1">
      <w:pPr>
        <w:pStyle w:val="ListParagraph"/>
        <w:numPr>
          <w:ilvl w:val="0"/>
          <w:numId w:val="13"/>
        </w:numPr>
        <w:spacing w:before="120" w:after="0" w:line="240" w:lineRule="auto"/>
        <w:contextualSpacing w:val="0"/>
      </w:pPr>
      <w:r w:rsidRPr="003F628A">
        <w:rPr>
          <w:rFonts w:ascii="Times New Roman" w:hAnsi="Times New Roman"/>
        </w:rPr>
        <w:t>Mining and tunnel</w:t>
      </w:r>
      <w:r>
        <w:t>s</w:t>
      </w:r>
    </w:p>
    <w:p w14:paraId="4B6FC8D7" w14:textId="08FE8F34" w:rsidR="00915574" w:rsidRDefault="001F64CE" w:rsidP="005903C1">
      <w:pPr>
        <w:pStyle w:val="ListParagraph"/>
        <w:numPr>
          <w:ilvl w:val="0"/>
          <w:numId w:val="13"/>
        </w:numPr>
        <w:spacing w:before="120" w:after="0" w:line="240" w:lineRule="auto"/>
        <w:contextualSpacing w:val="0"/>
      </w:pPr>
      <w:r w:rsidRPr="003F628A">
        <w:rPr>
          <w:rFonts w:ascii="Times New Roman" w:hAnsi="Times New Roman"/>
        </w:rPr>
        <w:t>Liquefaction</w:t>
      </w:r>
      <w:r w:rsidR="00915574" w:rsidRPr="003F628A">
        <w:rPr>
          <w:rFonts w:ascii="Times New Roman" w:hAnsi="Times New Roman"/>
        </w:rPr>
        <w:t xml:space="preserve"> and cryogenics</w:t>
      </w:r>
    </w:p>
    <w:p w14:paraId="1A78C75C" w14:textId="77777777" w:rsidR="00915574" w:rsidRDefault="00915574" w:rsidP="00915574">
      <w:pPr>
        <w:jc w:val="left"/>
      </w:pPr>
      <w:r>
        <w:t>Power generation industry:</w:t>
      </w:r>
    </w:p>
    <w:p w14:paraId="2684D370"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Mobile plant</w:t>
      </w:r>
    </w:p>
    <w:p w14:paraId="50B0404F" w14:textId="77777777" w:rsidR="00915574" w:rsidRDefault="00915574" w:rsidP="00915574">
      <w:pPr>
        <w:jc w:val="left"/>
      </w:pPr>
      <w:r>
        <w:t>Other applications:</w:t>
      </w:r>
    </w:p>
    <w:p w14:paraId="14A001A0"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Water coolers</w:t>
      </w:r>
    </w:p>
    <w:p w14:paraId="596B1251" w14:textId="77777777" w:rsidR="00915574" w:rsidRPr="000272CD" w:rsidRDefault="00915574" w:rsidP="005903C1">
      <w:pPr>
        <w:pStyle w:val="ListParagraph"/>
        <w:numPr>
          <w:ilvl w:val="0"/>
          <w:numId w:val="13"/>
        </w:numPr>
        <w:spacing w:before="120" w:after="0" w:line="240" w:lineRule="auto"/>
        <w:contextualSpacing w:val="0"/>
        <w:rPr>
          <w:rFonts w:ascii="Times New Roman" w:hAnsi="Times New Roman"/>
        </w:rPr>
      </w:pPr>
      <w:r>
        <w:rPr>
          <w:rFonts w:ascii="Times New Roman" w:hAnsi="Times New Roman"/>
        </w:rPr>
        <w:t>Heat pump pool heaters</w:t>
      </w:r>
    </w:p>
    <w:p w14:paraId="7BAA9A4B" w14:textId="77777777" w:rsidR="00915574" w:rsidRDefault="00915574" w:rsidP="00915574">
      <w:pPr>
        <w:spacing w:before="0"/>
        <w:jc w:val="left"/>
        <w:rPr>
          <w:rFonts w:eastAsia="Times New Roman" w:cs="Times New Roman"/>
          <w:bCs/>
          <w:szCs w:val="22"/>
          <w:lang w:val="en-US"/>
        </w:rPr>
      </w:pPr>
    </w:p>
    <w:p w14:paraId="5AEE2C86" w14:textId="77777777" w:rsidR="00915574" w:rsidRDefault="00915574" w:rsidP="00915574">
      <w:pPr>
        <w:spacing w:before="0" w:after="120"/>
        <w:jc w:val="left"/>
        <w:rPr>
          <w:rFonts w:cs="Times New Roman"/>
          <w:b/>
          <w:szCs w:val="22"/>
        </w:rPr>
      </w:pPr>
    </w:p>
    <w:p w14:paraId="7E2F057D" w14:textId="77777777" w:rsidR="00915574" w:rsidRDefault="00915574" w:rsidP="00915574">
      <w:pPr>
        <w:spacing w:before="0" w:after="120"/>
        <w:jc w:val="left"/>
        <w:rPr>
          <w:rFonts w:cs="Times New Roman"/>
          <w:b/>
          <w:szCs w:val="22"/>
        </w:rPr>
      </w:pPr>
    </w:p>
    <w:p w14:paraId="721485FC" w14:textId="77777777" w:rsidR="00D45918" w:rsidRPr="003220F2" w:rsidRDefault="00D45918" w:rsidP="00F1372D"/>
    <w:sectPr w:rsidR="00D45918" w:rsidRPr="003220F2" w:rsidSect="00474B83">
      <w:headerReference w:type="even" r:id="rId86"/>
      <w:headerReference w:type="default" r:id="rId87"/>
      <w:footerReference w:type="default" r:id="rId88"/>
      <w:headerReference w:type="first" r:id="rId89"/>
      <w:pgSz w:w="11900" w:h="16840"/>
      <w:pgMar w:top="511" w:right="1127" w:bottom="1440" w:left="1276" w:header="708" w:footer="708"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03071B" w16cid:durableId="1F4D030F"/>
  <w16cid:commentId w16cid:paraId="6307B611" w16cid:durableId="1F4B985E"/>
  <w16cid:commentId w16cid:paraId="04303165" w16cid:durableId="1F4B9862"/>
  <w16cid:commentId w16cid:paraId="2404F2EC" w16cid:durableId="1F4B986A"/>
  <w16cid:commentId w16cid:paraId="5E1B89B9" w16cid:durableId="1F4BA92C"/>
  <w16cid:commentId w16cid:paraId="3B7C64A0" w16cid:durableId="1F4B986B"/>
  <w16cid:commentId w16cid:paraId="40F66469" w16cid:durableId="1F4BA9F5"/>
  <w16cid:commentId w16cid:paraId="3653AE91" w16cid:durableId="1F4B986C"/>
  <w16cid:commentId w16cid:paraId="6A4C8D69" w16cid:durableId="1F4B9870"/>
  <w16cid:commentId w16cid:paraId="05888D0F" w16cid:durableId="1F4B9872"/>
  <w16cid:commentId w16cid:paraId="20682F32" w16cid:durableId="1F4B9874"/>
  <w16cid:commentId w16cid:paraId="0044E0A9" w16cid:durableId="1F4B9875"/>
  <w16cid:commentId w16cid:paraId="64964214" w16cid:durableId="1F4B9876"/>
  <w16cid:commentId w16cid:paraId="4531B8D2" w16cid:durableId="1F4B9879"/>
  <w16cid:commentId w16cid:paraId="5490EB02" w16cid:durableId="1F4BB0EE"/>
  <w16cid:commentId w16cid:paraId="60514CDB" w16cid:durableId="1F4B987A"/>
  <w16cid:commentId w16cid:paraId="259D99F5" w16cid:durableId="1F4B987B"/>
  <w16cid:commentId w16cid:paraId="1D3F06C3" w16cid:durableId="1F4BB1BD"/>
  <w16cid:commentId w16cid:paraId="7BDC3BA6" w16cid:durableId="1F4B987D"/>
  <w16cid:commentId w16cid:paraId="7EE3CFB2" w16cid:durableId="1F4B9881"/>
  <w16cid:commentId w16cid:paraId="12FB8E71" w16cid:durableId="1F4BB60E"/>
  <w16cid:commentId w16cid:paraId="34F5050A" w16cid:durableId="1F4B9884"/>
  <w16cid:commentId w16cid:paraId="0C1A8415" w16cid:durableId="1F4BB7D4"/>
  <w16cid:commentId w16cid:paraId="243DC064" w16cid:durableId="1F4B9886"/>
  <w16cid:commentId w16cid:paraId="41A93AD4" w16cid:durableId="1F4BB92B"/>
  <w16cid:commentId w16cid:paraId="4F883732" w16cid:durableId="1F4B9888"/>
  <w16cid:commentId w16cid:paraId="6514D69C" w16cid:durableId="1F4B98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ED27C" w14:textId="77777777" w:rsidR="000F5291" w:rsidRDefault="000F5291" w:rsidP="003937A5">
      <w:pPr>
        <w:spacing w:before="0"/>
      </w:pPr>
      <w:r>
        <w:separator/>
      </w:r>
    </w:p>
  </w:endnote>
  <w:endnote w:type="continuationSeparator" w:id="0">
    <w:p w14:paraId="2745C1CC" w14:textId="77777777" w:rsidR="000F5291" w:rsidRDefault="000F5291" w:rsidP="003937A5">
      <w:pPr>
        <w:spacing w:before="0"/>
      </w:pPr>
      <w:r>
        <w:continuationSeparator/>
      </w:r>
    </w:p>
  </w:endnote>
  <w:endnote w:type="continuationNotice" w:id="1">
    <w:p w14:paraId="3C2C9137" w14:textId="77777777" w:rsidR="000F5291" w:rsidRDefault="000F529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swiss"/>
    <w:pitch w:val="variable"/>
    <w:sig w:usb0="00000000" w:usb1="5000A1FF" w:usb2="00000000" w:usb3="00000000" w:csb0="000001B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0E08F" w14:textId="77777777" w:rsidR="000E6A93" w:rsidRDefault="000E6A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81" w:type="pct"/>
      <w:tblInd w:w="-1303" w:type="dxa"/>
      <w:tblLayout w:type="fixed"/>
      <w:tblCellMar>
        <w:left w:w="115" w:type="dxa"/>
        <w:right w:w="115" w:type="dxa"/>
      </w:tblCellMar>
      <w:tblLook w:val="04A0" w:firstRow="1" w:lastRow="0" w:firstColumn="1" w:lastColumn="0" w:noHBand="0" w:noVBand="1"/>
    </w:tblPr>
    <w:tblGrid>
      <w:gridCol w:w="136"/>
      <w:gridCol w:w="5132"/>
      <w:gridCol w:w="140"/>
      <w:gridCol w:w="1721"/>
      <w:gridCol w:w="213"/>
      <w:gridCol w:w="838"/>
      <w:gridCol w:w="138"/>
      <w:gridCol w:w="1801"/>
      <w:gridCol w:w="971"/>
    </w:tblGrid>
    <w:tr w:rsidR="000F5291" w:rsidRPr="00EB45B6" w14:paraId="197ACC75" w14:textId="77777777" w:rsidTr="008352D3">
      <w:trPr>
        <w:gridBefore w:val="1"/>
        <w:gridAfter w:val="1"/>
        <w:wBefore w:w="61" w:type="pct"/>
        <w:wAfter w:w="438" w:type="pct"/>
      </w:trPr>
      <w:tc>
        <w:tcPr>
          <w:tcW w:w="2314" w:type="pct"/>
          <w:shd w:val="clear" w:color="auto" w:fill="auto"/>
        </w:tcPr>
        <w:p w14:paraId="3090C14C" w14:textId="77777777" w:rsidR="000F5291" w:rsidRPr="00EB45B6" w:rsidRDefault="000F5291" w:rsidP="008352D3">
          <w:pPr>
            <w:pStyle w:val="Footer"/>
            <w:ind w:right="-145"/>
          </w:pPr>
        </w:p>
      </w:tc>
      <w:tc>
        <w:tcPr>
          <w:tcW w:w="839" w:type="pct"/>
          <w:gridSpan w:val="2"/>
          <w:shd w:val="clear" w:color="auto" w:fill="auto"/>
        </w:tcPr>
        <w:p w14:paraId="3C544A6A" w14:textId="77777777" w:rsidR="000F5291" w:rsidRPr="00EB45B6" w:rsidRDefault="000F5291" w:rsidP="008352D3">
          <w:pPr>
            <w:pStyle w:val="Footer"/>
            <w:ind w:right="-145"/>
            <w:rPr>
              <w:rFonts w:asciiTheme="majorHAnsi" w:hAnsiTheme="majorHAnsi"/>
              <w:sz w:val="22"/>
              <w:szCs w:val="22"/>
            </w:rPr>
          </w:pPr>
          <w:r w:rsidRPr="00EB45B6">
            <w:rPr>
              <w:rFonts w:asciiTheme="majorHAnsi" w:hAnsiTheme="majorHAnsi"/>
              <w:sz w:val="22"/>
              <w:szCs w:val="22"/>
            </w:rPr>
            <w:t>Phone</w:t>
          </w:r>
        </w:p>
      </w:tc>
      <w:tc>
        <w:tcPr>
          <w:tcW w:w="474" w:type="pct"/>
          <w:gridSpan w:val="2"/>
          <w:shd w:val="clear" w:color="auto" w:fill="auto"/>
        </w:tcPr>
        <w:p w14:paraId="08B79B21" w14:textId="77777777" w:rsidR="000F5291" w:rsidRPr="00EB45B6" w:rsidRDefault="000F5291" w:rsidP="008352D3">
          <w:pPr>
            <w:pStyle w:val="Footer"/>
            <w:ind w:right="-145"/>
            <w:rPr>
              <w:rFonts w:asciiTheme="majorHAnsi" w:hAnsiTheme="majorHAnsi"/>
              <w:sz w:val="22"/>
              <w:szCs w:val="22"/>
            </w:rPr>
          </w:pPr>
        </w:p>
      </w:tc>
      <w:tc>
        <w:tcPr>
          <w:tcW w:w="874" w:type="pct"/>
          <w:gridSpan w:val="2"/>
          <w:shd w:val="clear" w:color="auto" w:fill="auto"/>
        </w:tcPr>
        <w:p w14:paraId="06C6F392" w14:textId="77777777" w:rsidR="000F5291" w:rsidRPr="00EB45B6" w:rsidRDefault="000F5291" w:rsidP="008352D3">
          <w:pPr>
            <w:pStyle w:val="Footer"/>
            <w:ind w:right="-145"/>
            <w:rPr>
              <w:rFonts w:asciiTheme="majorHAnsi" w:hAnsiTheme="majorHAnsi"/>
              <w:sz w:val="22"/>
              <w:szCs w:val="22"/>
            </w:rPr>
          </w:pPr>
          <w:r w:rsidRPr="00EB45B6">
            <w:rPr>
              <w:rFonts w:asciiTheme="majorHAnsi" w:hAnsiTheme="majorHAnsi"/>
              <w:sz w:val="22"/>
              <w:szCs w:val="22"/>
            </w:rPr>
            <w:t>Web</w:t>
          </w:r>
        </w:p>
      </w:tc>
    </w:tr>
    <w:tr w:rsidR="000F5291" w:rsidRPr="00847A44" w14:paraId="0CBB9604" w14:textId="77777777" w:rsidTr="008352D3">
      <w:tc>
        <w:tcPr>
          <w:tcW w:w="2438" w:type="pct"/>
          <w:gridSpan w:val="3"/>
          <w:shd w:val="clear" w:color="auto" w:fill="2397B0"/>
        </w:tcPr>
        <w:p w14:paraId="1702629F" w14:textId="77777777" w:rsidR="000F5291" w:rsidRPr="00847A44" w:rsidRDefault="000F5291" w:rsidP="008352D3">
          <w:pPr>
            <w:pStyle w:val="Footer"/>
            <w:tabs>
              <w:tab w:val="clear" w:pos="4320"/>
              <w:tab w:val="clear" w:pos="8640"/>
              <w:tab w:val="center" w:pos="4705"/>
              <w:tab w:val="right" w:pos="8533"/>
            </w:tabs>
            <w:spacing w:before="120" w:after="120"/>
            <w:ind w:left="-115" w:right="-113"/>
            <w:rPr>
              <w:color w:val="FFFFFF" w:themeColor="background1"/>
              <w:sz w:val="20"/>
              <w:szCs w:val="20"/>
            </w:rPr>
          </w:pPr>
        </w:p>
      </w:tc>
      <w:tc>
        <w:tcPr>
          <w:tcW w:w="872" w:type="pct"/>
          <w:gridSpan w:val="2"/>
          <w:shd w:val="clear" w:color="auto" w:fill="2397B0"/>
        </w:tcPr>
        <w:p w14:paraId="518E377E" w14:textId="466EED07" w:rsidR="000F5291" w:rsidRPr="00847A44" w:rsidRDefault="000F5291"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Pr>
              <w:rFonts w:asciiTheme="majorHAnsi" w:hAnsiTheme="majorHAnsi"/>
              <w:color w:val="FFFFFF" w:themeColor="background1"/>
              <w:sz w:val="22"/>
              <w:szCs w:val="22"/>
            </w:rPr>
            <w:t>+61 3 9592 9111</w:t>
          </w:r>
        </w:p>
      </w:tc>
      <w:tc>
        <w:tcPr>
          <w:tcW w:w="440" w:type="pct"/>
          <w:gridSpan w:val="2"/>
          <w:shd w:val="clear" w:color="auto" w:fill="2397B0"/>
        </w:tcPr>
        <w:p w14:paraId="57F3AC6C" w14:textId="77777777" w:rsidR="000F5291" w:rsidRPr="00847A44" w:rsidRDefault="000F5291"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p>
      </w:tc>
      <w:tc>
        <w:tcPr>
          <w:tcW w:w="1250" w:type="pct"/>
          <w:gridSpan w:val="2"/>
          <w:shd w:val="clear" w:color="auto" w:fill="2397B0"/>
        </w:tcPr>
        <w:p w14:paraId="3A2A884C" w14:textId="77777777" w:rsidR="000F5291" w:rsidRPr="00847A44" w:rsidRDefault="000F5291"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sidRPr="00847A44">
            <w:rPr>
              <w:rFonts w:asciiTheme="majorHAnsi" w:hAnsiTheme="majorHAnsi"/>
              <w:color w:val="FFFFFF" w:themeColor="background1"/>
              <w:sz w:val="22"/>
              <w:szCs w:val="22"/>
            </w:rPr>
            <w:t>www.expertgroup.com.au</w:t>
          </w:r>
        </w:p>
      </w:tc>
    </w:tr>
  </w:tbl>
  <w:p w14:paraId="1376D918" w14:textId="77777777" w:rsidR="000F5291" w:rsidRDefault="000F52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FD194" w14:textId="77777777" w:rsidR="000E6A93" w:rsidRDefault="000E6A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1DC50" w14:textId="77777777" w:rsidR="000F5291" w:rsidRDefault="000F5291" w:rsidP="008352D3">
    <w:pPr>
      <w:pStyle w:val="Footer"/>
      <w:jc w:val="right"/>
      <w:rPr>
        <w:rFonts w:ascii="Verdana" w:hAnsi="Verdana"/>
        <w:sz w:val="16"/>
        <w:szCs w:val="16"/>
      </w:rPr>
    </w:pPr>
  </w:p>
  <w:p w14:paraId="601DB9AF" w14:textId="77777777" w:rsidR="000F5291" w:rsidRDefault="000F5291" w:rsidP="008352D3">
    <w:pPr>
      <w:pStyle w:val="Footer"/>
      <w:jc w:val="right"/>
      <w:rPr>
        <w:rFonts w:ascii="Verdana" w:hAnsi="Verdana"/>
        <w:sz w:val="16"/>
        <w:szCs w:val="16"/>
      </w:rPr>
    </w:pPr>
  </w:p>
  <w:p w14:paraId="6F69597F" w14:textId="1D576B7B" w:rsidR="000F5291" w:rsidRPr="001B0746" w:rsidRDefault="000F5291" w:rsidP="008352D3">
    <w:pPr>
      <w:pStyle w:val="Footer"/>
      <w:jc w:val="right"/>
      <w:rPr>
        <w:rFonts w:ascii="Verdana" w:hAnsi="Verdana"/>
        <w:sz w:val="16"/>
        <w:szCs w:val="16"/>
      </w:rPr>
    </w:pPr>
    <w:r w:rsidRPr="001B0746">
      <w:rPr>
        <w:rFonts w:ascii="Verdana" w:hAnsi="Verdana"/>
        <w:sz w:val="16"/>
        <w:szCs w:val="16"/>
      </w:rPr>
      <w:t xml:space="preserve">Page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Pr="001B0746">
      <w:rPr>
        <w:rStyle w:val="PageNumber"/>
        <w:rFonts w:ascii="Verdana" w:hAnsi="Verdana"/>
        <w:sz w:val="16"/>
        <w:szCs w:val="16"/>
      </w:rPr>
      <w:fldChar w:fldCharType="separate"/>
    </w:r>
    <w:r w:rsidR="00B457AA">
      <w:rPr>
        <w:rStyle w:val="PageNumber"/>
        <w:rFonts w:ascii="Verdana" w:hAnsi="Verdana"/>
        <w:noProof/>
        <w:sz w:val="16"/>
        <w:szCs w:val="16"/>
      </w:rPr>
      <w:t>61</w:t>
    </w:r>
    <w:r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Pr="001B0746">
      <w:rPr>
        <w:rStyle w:val="PageNumber"/>
        <w:rFonts w:ascii="Verdana" w:hAnsi="Verdana"/>
        <w:sz w:val="16"/>
        <w:szCs w:val="16"/>
      </w:rPr>
      <w:fldChar w:fldCharType="separate"/>
    </w:r>
    <w:r w:rsidR="00B457AA">
      <w:rPr>
        <w:rStyle w:val="PageNumber"/>
        <w:rFonts w:ascii="Verdana" w:hAnsi="Verdana"/>
        <w:noProof/>
        <w:sz w:val="16"/>
        <w:szCs w:val="16"/>
      </w:rPr>
      <w:t>202</w:t>
    </w:r>
    <w:r w:rsidRPr="001B0746">
      <w:rPr>
        <w:rStyle w:val="PageNumber"/>
        <w:rFonts w:ascii="Verdana" w:hAnsi="Verdana"/>
        <w:sz w:val="16"/>
        <w:szCs w:val="16"/>
      </w:rPr>
      <w:fldChar w:fldCharType="end"/>
    </w:r>
  </w:p>
  <w:p w14:paraId="379B3EB2" w14:textId="77777777" w:rsidR="000F5291" w:rsidRPr="001B0746" w:rsidRDefault="000F5291" w:rsidP="008352D3">
    <w:pPr>
      <w:pStyle w:val="Footer"/>
      <w:ind w:right="360"/>
      <w:jc w:val="right"/>
      <w:rPr>
        <w:rFonts w:ascii="Verdana" w:hAnsi="Verdana"/>
        <w:sz w:val="16"/>
        <w:szCs w:val="16"/>
      </w:rPr>
    </w:pPr>
  </w:p>
  <w:p w14:paraId="59C0F952" w14:textId="77777777" w:rsidR="000F5291" w:rsidRDefault="000F52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DDC89" w14:textId="77777777" w:rsidR="000F5291" w:rsidRDefault="000F5291" w:rsidP="003937A5">
      <w:pPr>
        <w:spacing w:before="0"/>
      </w:pPr>
      <w:r>
        <w:separator/>
      </w:r>
    </w:p>
  </w:footnote>
  <w:footnote w:type="continuationSeparator" w:id="0">
    <w:p w14:paraId="44B18934" w14:textId="77777777" w:rsidR="000F5291" w:rsidRDefault="000F5291" w:rsidP="003937A5">
      <w:pPr>
        <w:spacing w:before="0"/>
      </w:pPr>
      <w:r>
        <w:continuationSeparator/>
      </w:r>
    </w:p>
  </w:footnote>
  <w:footnote w:type="continuationNotice" w:id="1">
    <w:p w14:paraId="3D195F1F" w14:textId="77777777" w:rsidR="000F5291" w:rsidRDefault="000F5291">
      <w:pPr>
        <w:spacing w:before="0"/>
      </w:pPr>
    </w:p>
  </w:footnote>
  <w:footnote w:id="2">
    <w:p w14:paraId="7B05D67B" w14:textId="77777777" w:rsidR="000F5291" w:rsidRPr="006A7F34" w:rsidRDefault="000F5291" w:rsidP="00C44178">
      <w:pPr>
        <w:pStyle w:val="FootnoteText"/>
        <w:rPr>
          <w:lang w:val="en-AU"/>
        </w:rPr>
      </w:pPr>
      <w:r>
        <w:rPr>
          <w:rStyle w:val="FootnoteReference"/>
        </w:rPr>
        <w:footnoteRef/>
      </w:r>
      <w:r>
        <w:t xml:space="preserve"> </w:t>
      </w:r>
      <w:r w:rsidRPr="006A7F34">
        <w:t>Total Australian emissions reported by the NGGI for calendar year 2016 were 533 Mt of CO</w:t>
      </w:r>
      <w:r w:rsidRPr="00F747C4">
        <w:rPr>
          <w:vertAlign w:val="subscript"/>
        </w:rPr>
        <w:t>2</w:t>
      </w:r>
      <w:r w:rsidRPr="006A7F34">
        <w:t>e. National Inventory by Economic Sector, DoEE Feb 2018.</w:t>
      </w:r>
    </w:p>
  </w:footnote>
  <w:footnote w:id="3">
    <w:p w14:paraId="63E6AA25" w14:textId="31A87F8F" w:rsidR="000F5291" w:rsidRPr="00864B42" w:rsidRDefault="000F5291">
      <w:pPr>
        <w:pStyle w:val="FootnoteText"/>
        <w:rPr>
          <w:lang w:val="en-AU"/>
        </w:rPr>
      </w:pPr>
      <w:r>
        <w:rPr>
          <w:rStyle w:val="FootnoteReference"/>
        </w:rPr>
        <w:footnoteRef/>
      </w:r>
      <w:r>
        <w:t xml:space="preserve"> </w:t>
      </w:r>
      <w:r>
        <w:rPr>
          <w:lang w:val="en-AU"/>
        </w:rPr>
        <w:t>As well as being potent greenhouse gases, HCFCs are Ozone Depleting Substances.</w:t>
      </w:r>
    </w:p>
  </w:footnote>
  <w:footnote w:id="4">
    <w:p w14:paraId="689C1634" w14:textId="777960BF" w:rsidR="000F5291" w:rsidRPr="009B5CD9" w:rsidRDefault="000F5291" w:rsidP="00D7402E">
      <w:pPr>
        <w:pStyle w:val="FootnoteText"/>
        <w:rPr>
          <w:lang w:val="en-AU"/>
        </w:rPr>
      </w:pPr>
      <w:r>
        <w:rPr>
          <w:rStyle w:val="FootnoteReference"/>
        </w:rPr>
        <w:footnoteRef/>
      </w:r>
      <w:r>
        <w:t xml:space="preserve"> The </w:t>
      </w:r>
      <w:r w:rsidRPr="00936C99">
        <w:t xml:space="preserve">estimates of greenhouse gas emissions </w:t>
      </w:r>
      <w:r>
        <w:t xml:space="preserve">in CHF3 </w:t>
      </w:r>
      <w:r w:rsidRPr="00936C99">
        <w:t xml:space="preserve">are </w:t>
      </w:r>
      <w:r>
        <w:t>derived</w:t>
      </w:r>
      <w:r w:rsidRPr="00936C99">
        <w:t xml:space="preserve"> from a</w:t>
      </w:r>
      <w:r>
        <w:t xml:space="preserve"> purpose-built</w:t>
      </w:r>
      <w:r w:rsidRPr="00936C99">
        <w:t xml:space="preserve"> model of </w:t>
      </w:r>
      <w:r>
        <w:t xml:space="preserve">RAC </w:t>
      </w:r>
      <w:r w:rsidRPr="00936C99">
        <w:t>stock</w:t>
      </w:r>
      <w:r>
        <w:t>. The e</w:t>
      </w:r>
      <w:r w:rsidRPr="00936C99">
        <w:t>mission factors</w:t>
      </w:r>
      <w:r>
        <w:t xml:space="preserve"> used</w:t>
      </w:r>
      <w:r w:rsidRPr="00936C99">
        <w:t xml:space="preserve"> </w:t>
      </w:r>
      <w:r>
        <w:t xml:space="preserve">to calculate indirect </w:t>
      </w:r>
      <w:r w:rsidRPr="00936C99">
        <w:t xml:space="preserve">and direct emissions </w:t>
      </w:r>
      <w:r>
        <w:t xml:space="preserve">in CHF3 are based on </w:t>
      </w:r>
      <w:r w:rsidRPr="00574F70">
        <w:t>National Greenhouse Accounts Factors July 2017, Department of the Environment and Energy</w:t>
      </w:r>
      <w:r w:rsidRPr="00936C99">
        <w:t>.</w:t>
      </w:r>
      <w:r>
        <w:t xml:space="preserve"> CHF3 estimates of refrigerant emissions value does not include the refrigerant </w:t>
      </w:r>
      <w:r w:rsidRPr="009A307C">
        <w:t xml:space="preserve">collected and destroyed </w:t>
      </w:r>
      <w:r>
        <w:t xml:space="preserve">by </w:t>
      </w:r>
      <w:r w:rsidRPr="009A307C">
        <w:t>Refrigerant Reclaim Australia (RRA)</w:t>
      </w:r>
      <w:r>
        <w:t>. C</w:t>
      </w:r>
      <w:r w:rsidRPr="009A307C">
        <w:t xml:space="preserve">ollections </w:t>
      </w:r>
      <w:r>
        <w:t xml:space="preserve">destroyed by RRA </w:t>
      </w:r>
      <w:r w:rsidRPr="009A307C">
        <w:t xml:space="preserve">in 2016-17 FY </w:t>
      </w:r>
      <w:r>
        <w:t xml:space="preserve">totalled </w:t>
      </w:r>
      <w:r w:rsidRPr="009A307C">
        <w:t>324 tonnes</w:t>
      </w:r>
      <w:r>
        <w:t xml:space="preserve">, assuming an average GWP of 1800 this equates to around 0.6 </w:t>
      </w:r>
      <w:r w:rsidRPr="00443F81">
        <w:t>million tonnes CO</w:t>
      </w:r>
      <w:r w:rsidRPr="00443F81">
        <w:rPr>
          <w:vertAlign w:val="subscript"/>
        </w:rPr>
        <w:t>2</w:t>
      </w:r>
      <w:r w:rsidRPr="00443F81">
        <w:t>e</w:t>
      </w:r>
      <w:r>
        <w:t xml:space="preserve">.  </w:t>
      </w:r>
    </w:p>
  </w:footnote>
  <w:footnote w:id="5">
    <w:p w14:paraId="7FB8204E" w14:textId="324E154C" w:rsidR="000F5291" w:rsidRPr="00CF0E95" w:rsidRDefault="000F5291" w:rsidP="00F765DA">
      <w:pPr>
        <w:pStyle w:val="FootnoteText"/>
        <w:rPr>
          <w:lang w:val="en-US"/>
        </w:rPr>
      </w:pPr>
      <w:r>
        <w:rPr>
          <w:rStyle w:val="FootnoteReference"/>
        </w:rPr>
        <w:footnoteRef/>
      </w:r>
      <w:r>
        <w:t xml:space="preserve"> </w:t>
      </w:r>
      <w:r>
        <w:rPr>
          <w:lang w:val="en-US"/>
        </w:rPr>
        <w:t xml:space="preserve">At the time of the first Cold Hard Facts report, published in 2007 using 2006 data, the possibility of a series of Cold Hard Facts investigations and reports being done over the course of many years had not been considered. As such many of the findings in 2012 and 2016 have no comparable data point in the first edition. </w:t>
      </w:r>
    </w:p>
  </w:footnote>
  <w:footnote w:id="6">
    <w:p w14:paraId="1C39C748" w14:textId="65A8E144" w:rsidR="000F5291" w:rsidRPr="001729AF" w:rsidRDefault="000F5291">
      <w:pPr>
        <w:pStyle w:val="FootnoteText"/>
        <w:rPr>
          <w:lang w:val="en-AU"/>
        </w:rPr>
      </w:pPr>
      <w:r>
        <w:rPr>
          <w:rStyle w:val="FootnoteReference"/>
        </w:rPr>
        <w:footnoteRef/>
      </w:r>
      <w:r>
        <w:t xml:space="preserve"> While cooling services are the sole function of refrigeration systems, </w:t>
      </w:r>
      <w:r>
        <w:rPr>
          <w:lang w:val="en-AU"/>
        </w:rPr>
        <w:t>an increasing portion of the stock of smaller formats of stationary air conditioning equipment also provides space heating in reverse cycle mode. Heating can also be supplied by other technologies entirely or partially (e.g. gas ducted heater with add on refrigerative cooling). When air conditioning is installed it is primarily purchased and sized to provide space cooling.</w:t>
      </w:r>
    </w:p>
  </w:footnote>
  <w:footnote w:id="7">
    <w:p w14:paraId="55BC50E9" w14:textId="00471526" w:rsidR="000F5291" w:rsidRPr="00656245" w:rsidRDefault="000F5291" w:rsidP="00F765DA">
      <w:pPr>
        <w:pStyle w:val="FootnoteText"/>
        <w:rPr>
          <w:lang w:val="en-US"/>
        </w:rPr>
      </w:pPr>
      <w:r>
        <w:rPr>
          <w:rStyle w:val="FootnoteReference"/>
        </w:rPr>
        <w:footnoteRef/>
      </w:r>
      <w:r>
        <w:t xml:space="preserve"> </w:t>
      </w:r>
      <w:r w:rsidRPr="003908AE">
        <w:t>http://adb.anu.edu.au/biography/harrison-james-2165</w:t>
      </w:r>
    </w:p>
  </w:footnote>
  <w:footnote w:id="8">
    <w:p w14:paraId="7698BF9C" w14:textId="7AA461D4" w:rsidR="000F5291" w:rsidRPr="000047CA" w:rsidRDefault="000F5291">
      <w:pPr>
        <w:pStyle w:val="FootnoteText"/>
        <w:rPr>
          <w:lang w:val="en-US"/>
        </w:rPr>
      </w:pPr>
      <w:r>
        <w:rPr>
          <w:rStyle w:val="FootnoteReference"/>
        </w:rPr>
        <w:footnoteRef/>
      </w:r>
      <w:r>
        <w:t xml:space="preserve"> </w:t>
      </w:r>
      <w:r>
        <w:rPr>
          <w:lang w:val="en-US"/>
        </w:rPr>
        <w:t>Estimates of the average life of individual equipment categories are tabulated and explained in Table 38.</w:t>
      </w:r>
    </w:p>
  </w:footnote>
  <w:footnote w:id="9">
    <w:p w14:paraId="641B9EE8" w14:textId="5F62AC09" w:rsidR="000F5291" w:rsidRPr="00E32F4A" w:rsidRDefault="000F5291">
      <w:pPr>
        <w:pStyle w:val="FootnoteText"/>
        <w:rPr>
          <w:lang w:val="en-AU"/>
        </w:rPr>
      </w:pPr>
      <w:r>
        <w:rPr>
          <w:rStyle w:val="FootnoteReference"/>
        </w:rPr>
        <w:footnoteRef/>
      </w:r>
      <w:r>
        <w:t xml:space="preserve"> </w:t>
      </w:r>
      <w:r w:rsidRPr="00E32F4A">
        <w:t xml:space="preserve">Hot water heat pumps </w:t>
      </w:r>
      <w:r>
        <w:t xml:space="preserve">for domestic and commercial applications, and swimming pools </w:t>
      </w:r>
      <w:r w:rsidRPr="00E32F4A">
        <w:t>use refrigeration technology (i.e. vapour compression cycle) to remove the heat from the air to heat water</w:t>
      </w:r>
      <w:r>
        <w:t>.</w:t>
      </w:r>
    </w:p>
  </w:footnote>
  <w:footnote w:id="10">
    <w:p w14:paraId="0AF604B3" w14:textId="6147DD32" w:rsidR="000F5291" w:rsidRPr="00C270A8" w:rsidRDefault="000F5291" w:rsidP="00D42C7D">
      <w:pPr>
        <w:pStyle w:val="FootnoteText"/>
        <w:rPr>
          <w:i w:val="0"/>
          <w:szCs w:val="18"/>
          <w:lang w:val="en-US"/>
        </w:rPr>
      </w:pPr>
      <w:r w:rsidRPr="008E1312">
        <w:rPr>
          <w:rStyle w:val="FootnoteReference"/>
        </w:rPr>
        <w:footnoteRef/>
      </w:r>
      <w:r w:rsidRPr="008E1312">
        <w:t xml:space="preserve"> </w:t>
      </w:r>
      <w:r w:rsidRPr="008E1312">
        <w:rPr>
          <w:szCs w:val="18"/>
          <w:lang w:val="en-AU"/>
        </w:rPr>
        <w:t>Based on actual refrigerant volume charge sizes.</w:t>
      </w:r>
    </w:p>
  </w:footnote>
  <w:footnote w:id="11">
    <w:p w14:paraId="689059BA" w14:textId="211F107C" w:rsidR="000F5291" w:rsidRPr="00E51FB7" w:rsidRDefault="000F5291" w:rsidP="00B85D06">
      <w:pPr>
        <w:pStyle w:val="FootnoteText"/>
        <w:rPr>
          <w:i w:val="0"/>
          <w:szCs w:val="18"/>
          <w:lang w:val="en-US"/>
        </w:rPr>
      </w:pPr>
      <w:r>
        <w:rPr>
          <w:rStyle w:val="FootnoteReference"/>
        </w:rPr>
        <w:footnoteRef/>
      </w:r>
      <w:r>
        <w:t xml:space="preserve"> Assessment base on review of PCE, p</w:t>
      </w:r>
      <w:r w:rsidRPr="00E51FB7">
        <w:rPr>
          <w:szCs w:val="18"/>
          <w:lang w:val="en-US"/>
        </w:rPr>
        <w:t>private communications with industry informants and Expert Group market research</w:t>
      </w:r>
      <w:r>
        <w:rPr>
          <w:szCs w:val="18"/>
          <w:lang w:val="en-US"/>
        </w:rPr>
        <w:t xml:space="preserve"> into current product specifications</w:t>
      </w:r>
      <w:r w:rsidRPr="00E51FB7">
        <w:rPr>
          <w:szCs w:val="18"/>
          <w:lang w:val="en-US"/>
        </w:rPr>
        <w:t>.</w:t>
      </w:r>
    </w:p>
  </w:footnote>
  <w:footnote w:id="12">
    <w:p w14:paraId="04CF166E" w14:textId="77777777" w:rsidR="000F5291" w:rsidRPr="00E10355" w:rsidRDefault="000F5291" w:rsidP="00B85D06">
      <w:pPr>
        <w:pStyle w:val="FootnoteText"/>
        <w:rPr>
          <w:lang w:val="en-AU"/>
        </w:rPr>
      </w:pPr>
      <w:r>
        <w:rPr>
          <w:rStyle w:val="FootnoteReference"/>
        </w:rPr>
        <w:footnoteRef/>
      </w:r>
      <w:r w:rsidRPr="00E10355">
        <w:t>http://www.cleanenergyregulator.gov.au/RET/Forms-and-resources/Postcode-data-for-small-scale-installations#Solar-water-heater-SWH-installations</w:t>
      </w:r>
    </w:p>
  </w:footnote>
  <w:footnote w:id="13">
    <w:p w14:paraId="34471154" w14:textId="71ED5123" w:rsidR="000F5291" w:rsidRPr="006974AA" w:rsidRDefault="000F5291">
      <w:pPr>
        <w:pStyle w:val="FootnoteText"/>
        <w:rPr>
          <w:lang w:val="en-AU"/>
        </w:rPr>
      </w:pPr>
      <w:r>
        <w:rPr>
          <w:rStyle w:val="FootnoteReference"/>
        </w:rPr>
        <w:footnoteRef/>
      </w:r>
      <w:r>
        <w:t xml:space="preserve"> </w:t>
      </w:r>
      <w:r w:rsidRPr="006974AA">
        <w:t>IEC 60335-2-40 Household and similar electrical appliances - Safety - Part 2-40: Particular requirements for electrical heat pumps, air-conditioners and dehumidifiers</w:t>
      </w:r>
      <w:r>
        <w:t xml:space="preserve"> includes permittable </w:t>
      </w:r>
      <w:r w:rsidRPr="006974AA">
        <w:t xml:space="preserve">A2L refrigerant </w:t>
      </w:r>
      <w:r>
        <w:t xml:space="preserve">charge sizes. </w:t>
      </w:r>
    </w:p>
  </w:footnote>
  <w:footnote w:id="14">
    <w:p w14:paraId="70E6463E" w14:textId="05C78039" w:rsidR="000F5291" w:rsidRPr="00D94A72" w:rsidRDefault="000F5291">
      <w:pPr>
        <w:pStyle w:val="FootnoteText"/>
        <w:rPr>
          <w:lang w:val="en-AU"/>
        </w:rPr>
      </w:pPr>
      <w:r>
        <w:rPr>
          <w:rStyle w:val="FootnoteReference"/>
        </w:rPr>
        <w:footnoteRef/>
      </w:r>
      <w:r>
        <w:t xml:space="preserve"> </w:t>
      </w:r>
      <w:r>
        <w:rPr>
          <w:lang w:val="en-AU"/>
        </w:rPr>
        <w:t>Refer Glossary for definitions on refrigerant classifications.</w:t>
      </w:r>
    </w:p>
  </w:footnote>
  <w:footnote w:id="15">
    <w:p w14:paraId="6D44F285" w14:textId="70C00E67" w:rsidR="000F5291" w:rsidRPr="00E51FB7" w:rsidRDefault="000F5291" w:rsidP="00F20DE0">
      <w:pPr>
        <w:pStyle w:val="FootnoteText"/>
        <w:rPr>
          <w:i w:val="0"/>
          <w:szCs w:val="18"/>
          <w:lang w:val="en-AU"/>
        </w:rPr>
      </w:pPr>
      <w:r w:rsidRPr="00E51FB7">
        <w:rPr>
          <w:rStyle w:val="FootnoteReference"/>
        </w:rPr>
        <w:footnoteRef/>
      </w:r>
      <w:r w:rsidRPr="00E51FB7">
        <w:t xml:space="preserve"> </w:t>
      </w:r>
      <w:r>
        <w:t xml:space="preserve">For specific requirements refer to </w:t>
      </w:r>
      <w:r w:rsidRPr="00F20DE0">
        <w:t>IEC 60335-2-40: 2018</w:t>
      </w:r>
      <w:r>
        <w:t xml:space="preserve">. The </w:t>
      </w:r>
      <w:r w:rsidRPr="00E51FB7">
        <w:rPr>
          <w:szCs w:val="18"/>
        </w:rPr>
        <w:t xml:space="preserve">AU/NZ committee (EL-002) </w:t>
      </w:r>
      <w:r>
        <w:rPr>
          <w:szCs w:val="18"/>
        </w:rPr>
        <w:t xml:space="preserve">will </w:t>
      </w:r>
      <w:r w:rsidRPr="00E51FB7">
        <w:rPr>
          <w:szCs w:val="18"/>
        </w:rPr>
        <w:t xml:space="preserve">need to vote on accepting </w:t>
      </w:r>
      <w:r>
        <w:rPr>
          <w:szCs w:val="18"/>
        </w:rPr>
        <w:t>these changes as an AS/NZS Standard before they can be considered in Australia.</w:t>
      </w:r>
    </w:p>
  </w:footnote>
  <w:footnote w:id="16">
    <w:p w14:paraId="76E3F65A" w14:textId="1FE0569F" w:rsidR="000F5291" w:rsidRPr="005A5D61" w:rsidRDefault="000F5291">
      <w:pPr>
        <w:pStyle w:val="FootnoteText"/>
        <w:rPr>
          <w:lang w:val="en-US"/>
        </w:rPr>
      </w:pPr>
      <w:r>
        <w:rPr>
          <w:rStyle w:val="FootnoteReference"/>
        </w:rPr>
        <w:footnoteRef/>
      </w:r>
      <w:r>
        <w:t xml:space="preserve"> </w:t>
      </w:r>
      <w:r>
        <w:rPr>
          <w:lang w:val="en-US"/>
        </w:rPr>
        <w:t>While a general ban on the import of equipment pre-charged with HCFCs was introduced in 2010, exceptions allowed the import of HCFC-123 charged equipment</w:t>
      </w:r>
      <w:r w:rsidRPr="00D63E58">
        <w:rPr>
          <w:lang w:val="en-US"/>
        </w:rPr>
        <w:t xml:space="preserve"> until the end of 2015.</w:t>
      </w:r>
    </w:p>
  </w:footnote>
  <w:footnote w:id="17">
    <w:p w14:paraId="54C1DC37" w14:textId="77CC3004" w:rsidR="000F5291" w:rsidRPr="00784D8B" w:rsidRDefault="000F5291">
      <w:pPr>
        <w:pStyle w:val="FootnoteText"/>
        <w:rPr>
          <w:lang w:val="en-AU"/>
        </w:rPr>
      </w:pPr>
      <w:r>
        <w:rPr>
          <w:rStyle w:val="FootnoteReference"/>
        </w:rPr>
        <w:footnoteRef/>
      </w:r>
      <w:r>
        <w:t xml:space="preserve"> </w:t>
      </w:r>
      <w:r>
        <w:rPr>
          <w:lang w:val="en-AU"/>
        </w:rPr>
        <w:t xml:space="preserve">Some of these companies include </w:t>
      </w:r>
      <w:r w:rsidRPr="00C20618">
        <w:rPr>
          <w:lang w:val="en-AU"/>
        </w:rPr>
        <w:t>Emas Offshore Services</w:t>
      </w:r>
      <w:r>
        <w:rPr>
          <w:lang w:val="en-AU"/>
        </w:rPr>
        <w:t xml:space="preserve">, FUGRO TSM, </w:t>
      </w:r>
      <w:r w:rsidRPr="00CC6307">
        <w:rPr>
          <w:lang w:val="en-AU"/>
        </w:rPr>
        <w:t>Farstad Shipping (Indian Pacific)</w:t>
      </w:r>
      <w:r>
        <w:rPr>
          <w:lang w:val="en-AU"/>
        </w:rPr>
        <w:t xml:space="preserve">, </w:t>
      </w:r>
      <w:r w:rsidRPr="008023A5">
        <w:rPr>
          <w:lang w:val="en-AU"/>
        </w:rPr>
        <w:t>Heerema Marine Contractors</w:t>
      </w:r>
      <w:r>
        <w:rPr>
          <w:lang w:val="en-AU"/>
        </w:rPr>
        <w:t xml:space="preserve">, </w:t>
      </w:r>
      <w:r w:rsidRPr="008023A5">
        <w:rPr>
          <w:lang w:val="en-AU"/>
        </w:rPr>
        <w:t>MMA Offshore</w:t>
      </w:r>
      <w:r>
        <w:rPr>
          <w:lang w:val="en-AU"/>
        </w:rPr>
        <w:t xml:space="preserve">, </w:t>
      </w:r>
      <w:r w:rsidRPr="008023A5">
        <w:rPr>
          <w:lang w:val="en-AU"/>
        </w:rPr>
        <w:t>Svitzer Australia</w:t>
      </w:r>
      <w:r>
        <w:rPr>
          <w:lang w:val="en-AU"/>
        </w:rPr>
        <w:t xml:space="preserve">, TS Marine, </w:t>
      </w:r>
      <w:r w:rsidRPr="00A86BE1">
        <w:rPr>
          <w:lang w:val="en-AU"/>
        </w:rPr>
        <w:t>Tidewater Marine</w:t>
      </w:r>
      <w:r>
        <w:rPr>
          <w:lang w:val="en-AU"/>
        </w:rPr>
        <w:t>, Woodside Energy, Petroleum Geo-Services (</w:t>
      </w:r>
      <w:r w:rsidRPr="00B04B0A">
        <w:rPr>
          <w:lang w:val="en-AU"/>
        </w:rPr>
        <w:t xml:space="preserve">PGS </w:t>
      </w:r>
      <w:r>
        <w:rPr>
          <w:lang w:val="en-AU"/>
        </w:rPr>
        <w:t xml:space="preserve">Australia), </w:t>
      </w:r>
      <w:r w:rsidRPr="0074630D">
        <w:rPr>
          <w:lang w:val="en-AU"/>
        </w:rPr>
        <w:t>Quadrant Energy</w:t>
      </w:r>
      <w:r>
        <w:rPr>
          <w:lang w:val="en-AU"/>
        </w:rPr>
        <w:t>, and others.</w:t>
      </w:r>
    </w:p>
  </w:footnote>
  <w:footnote w:id="18">
    <w:p w14:paraId="04FB47A2" w14:textId="03423147" w:rsidR="000F5291" w:rsidRPr="00703C5F" w:rsidRDefault="000F5291" w:rsidP="00A035DE">
      <w:pPr>
        <w:pStyle w:val="FootnoteText"/>
        <w:rPr>
          <w:lang w:val="en-US"/>
        </w:rPr>
      </w:pPr>
      <w:r>
        <w:rPr>
          <w:rStyle w:val="FootnoteReference"/>
        </w:rPr>
        <w:footnoteRef/>
      </w:r>
      <w:r>
        <w:t xml:space="preserve"> </w:t>
      </w:r>
      <w:r>
        <w:rPr>
          <w:lang w:val="en-US"/>
        </w:rPr>
        <w:t>This 2012 value has been revised upwards in the CHF3 RAC Stock model to 10,600 tonnes compared to the estimate of 9,100 tonnes published in CHF2. There are two main factors that influence this revision including larger charge sizes for older vehicles and CHF3 takes into account the partial charge of the bank that is discussed later in this section.</w:t>
      </w:r>
    </w:p>
  </w:footnote>
  <w:footnote w:id="19">
    <w:p w14:paraId="7BAFF060" w14:textId="15FA8102" w:rsidR="000F5291" w:rsidRPr="002D005F" w:rsidRDefault="000F5291" w:rsidP="001B2302">
      <w:pPr>
        <w:pStyle w:val="FootnoteText"/>
        <w:rPr>
          <w:lang w:val="en-AU"/>
        </w:rPr>
      </w:pPr>
      <w:r>
        <w:rPr>
          <w:rStyle w:val="FootnoteReference"/>
        </w:rPr>
        <w:footnoteRef/>
      </w:r>
      <w:r>
        <w:t xml:space="preserve">A HC retrofit typically involves charging the MAC with HC without changing components unless it is a repair and retrofit. For further details refer to manufacturers installation guidelines. </w:t>
      </w:r>
    </w:p>
  </w:footnote>
  <w:footnote w:id="20">
    <w:p w14:paraId="27A5927B" w14:textId="77777777" w:rsidR="000F5291" w:rsidRPr="00221B7B" w:rsidRDefault="000F5291" w:rsidP="001B2302">
      <w:pPr>
        <w:pStyle w:val="FootnoteText"/>
        <w:rPr>
          <w:lang w:val="en-US"/>
        </w:rPr>
      </w:pPr>
      <w:r>
        <w:rPr>
          <w:rStyle w:val="FootnoteReference"/>
        </w:rPr>
        <w:footnoteRef/>
      </w:r>
      <w:r>
        <w:t xml:space="preserve"> </w:t>
      </w:r>
      <w:r>
        <w:rPr>
          <w:rFonts w:ascii="Times New Roman" w:hAnsi="Times New Roman" w:cs="Times New Roman"/>
          <w:lang w:val="en-AU"/>
        </w:rPr>
        <w:t xml:space="preserve">The </w:t>
      </w:r>
      <w:r w:rsidRPr="00E53413">
        <w:rPr>
          <w:rFonts w:ascii="Times New Roman" w:hAnsi="Times New Roman" w:cs="Times New Roman"/>
          <w:lang w:val="en-AU"/>
        </w:rPr>
        <w:t>Caravan and Campervan Data Report 2016</w:t>
      </w:r>
      <w:r>
        <w:rPr>
          <w:rFonts w:ascii="Times New Roman" w:hAnsi="Times New Roman" w:cs="Times New Roman"/>
          <w:lang w:val="en-AU"/>
        </w:rPr>
        <w:t xml:space="preserve"> prepared by the </w:t>
      </w:r>
      <w:r w:rsidRPr="00E53413">
        <w:rPr>
          <w:rFonts w:ascii="Times New Roman" w:hAnsi="Times New Roman" w:cs="Times New Roman"/>
          <w:lang w:val="en-AU"/>
        </w:rPr>
        <w:t>Caravan Industry Association of Australia Ltd</w:t>
      </w:r>
      <w:r>
        <w:rPr>
          <w:rFonts w:ascii="Times New Roman" w:hAnsi="Times New Roman" w:cs="Times New Roman"/>
          <w:lang w:val="en-AU"/>
        </w:rPr>
        <w:t xml:space="preserve"> is a compilation of data from the ABS Motor Vehicle Census</w:t>
      </w:r>
      <w:r w:rsidRPr="00E53413">
        <w:rPr>
          <w:rFonts w:ascii="Times New Roman" w:hAnsi="Times New Roman" w:cs="Times New Roman"/>
          <w:lang w:val="en-AU"/>
        </w:rPr>
        <w:t xml:space="preserve"> </w:t>
      </w:r>
      <w:r>
        <w:rPr>
          <w:rFonts w:ascii="Times New Roman" w:hAnsi="Times New Roman" w:cs="Times New Roman"/>
          <w:lang w:val="en-AU"/>
        </w:rPr>
        <w:t xml:space="preserve">and </w:t>
      </w:r>
      <w:r w:rsidRPr="00E53413">
        <w:rPr>
          <w:rFonts w:ascii="Times New Roman" w:hAnsi="Times New Roman" w:cs="Times New Roman"/>
          <w:lang w:val="en-AU"/>
        </w:rPr>
        <w:t>Australian Demographic Statistics</w:t>
      </w:r>
      <w:r>
        <w:rPr>
          <w:rFonts w:ascii="Times New Roman" w:hAnsi="Times New Roman" w:cs="Times New Roman"/>
          <w:lang w:val="en-AU"/>
        </w:rPr>
        <w:t xml:space="preserve">. (CVIAA 2016 and </w:t>
      </w:r>
      <w:r w:rsidRPr="00CD4D6E">
        <w:rPr>
          <w:rFonts w:ascii="Times New Roman" w:hAnsi="Times New Roman" w:cs="Times New Roman"/>
          <w:lang w:val="en-AU"/>
        </w:rPr>
        <w:t>ABS 93090.0 2017</w:t>
      </w:r>
      <w:r>
        <w:rPr>
          <w:rFonts w:ascii="Times New Roman" w:hAnsi="Times New Roman" w:cs="Times New Roman"/>
          <w:lang w:val="en-AU"/>
        </w:rPr>
        <w:t>).</w:t>
      </w:r>
    </w:p>
  </w:footnote>
  <w:footnote w:id="21">
    <w:p w14:paraId="287DF80F" w14:textId="7E98A629" w:rsidR="000F5291" w:rsidRPr="005A1C3E" w:rsidRDefault="000F5291" w:rsidP="002B6D25">
      <w:pPr>
        <w:pStyle w:val="FootnoteText"/>
        <w:rPr>
          <w:lang w:val="en-US"/>
        </w:rPr>
      </w:pPr>
      <w:r>
        <w:rPr>
          <w:rStyle w:val="FootnoteReference"/>
        </w:rPr>
        <w:footnoteRef/>
      </w:r>
      <w:r>
        <w:t xml:space="preserve"> </w:t>
      </w:r>
      <w:r>
        <w:rPr>
          <w:lang w:val="en-US"/>
        </w:rPr>
        <w:t>Food Demand in Australia; Trends and Security Issues, Lindsay Hogan, ABARES June 2017.</w:t>
      </w:r>
    </w:p>
  </w:footnote>
  <w:footnote w:id="22">
    <w:p w14:paraId="03A23111" w14:textId="77777777" w:rsidR="000F5291" w:rsidRPr="00F26FA6" w:rsidRDefault="000F5291" w:rsidP="002B6D25">
      <w:pPr>
        <w:pStyle w:val="FootnoteText"/>
        <w:rPr>
          <w:lang w:val="en-US"/>
        </w:rPr>
      </w:pPr>
      <w:r>
        <w:rPr>
          <w:rStyle w:val="FootnoteReference"/>
        </w:rPr>
        <w:footnoteRef/>
      </w:r>
      <w:r>
        <w:t xml:space="preserve"> </w:t>
      </w:r>
      <w:hyperlink r:id="rId1" w:history="1">
        <w:r w:rsidRPr="000A5287">
          <w:rPr>
            <w:rStyle w:val="Hyperlink"/>
          </w:rPr>
          <w:t>http://www.theaustralian.com.au/business/in-depth/global-food-forum/global-food-forum-visy-executive-chairman-anthony-pratts-keynote-address/news-story/b8ebb588148e3ba7d2b84f9d0d9647a3</w:t>
        </w:r>
      </w:hyperlink>
      <w:r>
        <w:t xml:space="preserve"> </w:t>
      </w:r>
    </w:p>
  </w:footnote>
  <w:footnote w:id="23">
    <w:p w14:paraId="004115F2" w14:textId="77777777" w:rsidR="000F5291" w:rsidRPr="00983983" w:rsidRDefault="000F5291" w:rsidP="002B6D25">
      <w:pPr>
        <w:pStyle w:val="FootnoteText"/>
        <w:rPr>
          <w:lang w:val="en-US"/>
        </w:rPr>
      </w:pPr>
      <w:r>
        <w:rPr>
          <w:rStyle w:val="FootnoteReference"/>
        </w:rPr>
        <w:footnoteRef/>
      </w:r>
      <w:r>
        <w:t xml:space="preserve"> </w:t>
      </w:r>
      <w:hyperlink r:id="rId2" w:history="1">
        <w:r w:rsidRPr="000A5287">
          <w:rPr>
            <w:rStyle w:val="Hyperlink"/>
          </w:rPr>
          <w:t>http://www.abc.net.au/news/2017-03-04/farmers-grow-crops-in-greenhouses-prevent-climate-change-effects/8321720</w:t>
        </w:r>
      </w:hyperlink>
      <w:r>
        <w:t xml:space="preserve"> </w:t>
      </w:r>
    </w:p>
  </w:footnote>
  <w:footnote w:id="24">
    <w:p w14:paraId="5BF3A44D" w14:textId="3C4ABBB6" w:rsidR="000F5291" w:rsidRPr="00D55573" w:rsidRDefault="000F5291" w:rsidP="002B6D25">
      <w:pPr>
        <w:pStyle w:val="FootnoteText"/>
        <w:rPr>
          <w:lang w:val="en-US"/>
        </w:rPr>
      </w:pPr>
      <w:r>
        <w:rPr>
          <w:rStyle w:val="FootnoteReference"/>
        </w:rPr>
        <w:footnoteRef/>
      </w:r>
      <w:r>
        <w:t xml:space="preserve"> Williams Refrigeration in Dandenong in Melbourne and Stoddard Manufacturing are significant local manufacturers of refrigeration display cases. </w:t>
      </w:r>
      <w:r>
        <w:rPr>
          <w:lang w:val="en-US"/>
        </w:rPr>
        <w:t>Advanced Refrigeration Technology on the Sunshine Coast is a small producer of highly energy efficient refrigerated display cabinets.</w:t>
      </w:r>
    </w:p>
  </w:footnote>
  <w:footnote w:id="25">
    <w:p w14:paraId="4A2E8D23" w14:textId="047AE395" w:rsidR="000F5291" w:rsidRPr="00EF1E7F" w:rsidRDefault="000F5291">
      <w:pPr>
        <w:pStyle w:val="FootnoteText"/>
        <w:rPr>
          <w:lang w:val="en-AU"/>
        </w:rPr>
      </w:pPr>
      <w:r>
        <w:rPr>
          <w:rStyle w:val="FootnoteReference"/>
        </w:rPr>
        <w:footnoteRef/>
      </w:r>
      <w:r>
        <w:t xml:space="preserve"> Refer </w:t>
      </w:r>
      <w:r w:rsidRPr="00EF1E7F">
        <w:t>AS/NZS ISO 5149:</w:t>
      </w:r>
      <w:r>
        <w:t xml:space="preserve"> </w:t>
      </w:r>
      <w:r w:rsidRPr="00EF1E7F">
        <w:t>2016 Refrigerating systems and heat pumps. - Safety and environmental requirements</w:t>
      </w:r>
      <w:r>
        <w:t xml:space="preserve"> for further details on </w:t>
      </w:r>
      <w:r w:rsidRPr="00EF1E7F">
        <w:t>refrigerant charge limits</w:t>
      </w:r>
      <w:r>
        <w:t>.</w:t>
      </w:r>
    </w:p>
  </w:footnote>
  <w:footnote w:id="26">
    <w:p w14:paraId="7CA6D387" w14:textId="799EB887" w:rsidR="000F5291" w:rsidRPr="00835EFF" w:rsidRDefault="000F5291">
      <w:pPr>
        <w:pStyle w:val="FootnoteText"/>
        <w:rPr>
          <w:lang w:val="en-AU"/>
        </w:rPr>
      </w:pPr>
      <w:r>
        <w:rPr>
          <w:rStyle w:val="FootnoteReference"/>
        </w:rPr>
        <w:footnoteRef/>
      </w:r>
      <w:r>
        <w:t xml:space="preserve"> ASHRAE Approve refrigerants and assign </w:t>
      </w:r>
      <w:r w:rsidRPr="00835EFF">
        <w:t xml:space="preserve">refrigerant numbers </w:t>
      </w:r>
      <w:r>
        <w:t xml:space="preserve">in accordance with </w:t>
      </w:r>
      <w:r w:rsidRPr="00835EFF">
        <w:t>ANSI/ASHRAE 34-2016, Designation and Safety Classification of Refrigerants</w:t>
      </w:r>
      <w:r>
        <w:t>.</w:t>
      </w:r>
    </w:p>
  </w:footnote>
  <w:footnote w:id="27">
    <w:p w14:paraId="22A4F00F" w14:textId="291C7BA5" w:rsidR="000F5291" w:rsidRPr="00D26A21" w:rsidRDefault="000F5291">
      <w:pPr>
        <w:pStyle w:val="FootnoteText"/>
        <w:rPr>
          <w:lang w:val="en-AU"/>
        </w:rPr>
      </w:pPr>
      <w:r>
        <w:rPr>
          <w:rStyle w:val="FootnoteReference"/>
        </w:rPr>
        <w:footnoteRef/>
      </w:r>
      <w:r>
        <w:t xml:space="preserve"> </w:t>
      </w:r>
      <w:r>
        <w:rPr>
          <w:lang w:val="en-AU"/>
        </w:rPr>
        <w:t>The AR4 GWP-100 value for blends such as HFC-448A and HFC-449A uses a GWP of 5 for HFO-1234yf and HFO-1234ze whereas the AR5 calculation uses a GWP value of 1.</w:t>
      </w:r>
    </w:p>
  </w:footnote>
  <w:footnote w:id="28">
    <w:p w14:paraId="392BE839" w14:textId="77777777" w:rsidR="000F5291" w:rsidRPr="00C8615F" w:rsidRDefault="000F5291" w:rsidP="00E94279">
      <w:pPr>
        <w:pStyle w:val="FootnoteText"/>
        <w:rPr>
          <w:i w:val="0"/>
          <w:lang w:val="en-AU"/>
        </w:rPr>
      </w:pPr>
      <w:r>
        <w:rPr>
          <w:rStyle w:val="FootnoteReference"/>
        </w:rPr>
        <w:footnoteRef/>
      </w:r>
      <w:r>
        <w:t xml:space="preserve"> </w:t>
      </w:r>
      <w:r w:rsidRPr="00C8615F">
        <w:t>AIRAH Refrigeration Conference 2018: Energy performance benchmarking of an Australian trans critical CO</w:t>
      </w:r>
      <w:r w:rsidRPr="004619E6">
        <w:rPr>
          <w:vertAlign w:val="subscript"/>
        </w:rPr>
        <w:t>2</w:t>
      </w:r>
      <w:r w:rsidRPr="00C8615F">
        <w:t xml:space="preserve"> supermarket, Dario Ferlin, Woolworths Ltd.</w:t>
      </w:r>
    </w:p>
  </w:footnote>
  <w:footnote w:id="29">
    <w:p w14:paraId="64789EAF" w14:textId="77777777" w:rsidR="000F5291" w:rsidRPr="0075752C" w:rsidRDefault="000F5291" w:rsidP="00E94279">
      <w:pPr>
        <w:pStyle w:val="FootnoteText"/>
        <w:rPr>
          <w:lang w:val="en-AU"/>
        </w:rPr>
      </w:pPr>
      <w:r>
        <w:rPr>
          <w:rStyle w:val="FootnoteReference"/>
        </w:rPr>
        <w:footnoteRef/>
      </w:r>
      <w:r>
        <w:t xml:space="preserve"> </w:t>
      </w:r>
      <w:r w:rsidRPr="0075752C">
        <w:t>AIRAH Refrigeration Conference 2018: Trans critical CO</w:t>
      </w:r>
      <w:r w:rsidRPr="0075752C">
        <w:rPr>
          <w:vertAlign w:val="subscript"/>
        </w:rPr>
        <w:t>2</w:t>
      </w:r>
      <w:r w:rsidRPr="0075752C">
        <w:t xml:space="preserve"> in Australian supermarkets – continued success, Mike Baker, AJ Baker &amp; Sons Pty Ltd.</w:t>
      </w:r>
    </w:p>
  </w:footnote>
  <w:footnote w:id="30">
    <w:p w14:paraId="2CF31171" w14:textId="77777777" w:rsidR="000F5291" w:rsidRPr="00696E46" w:rsidRDefault="000F5291" w:rsidP="002B6D25">
      <w:pPr>
        <w:pStyle w:val="FootnoteText"/>
        <w:rPr>
          <w:lang w:val="en-AU"/>
        </w:rPr>
      </w:pPr>
      <w:r>
        <w:rPr>
          <w:rStyle w:val="FootnoteReference"/>
        </w:rPr>
        <w:footnoteRef/>
      </w:r>
      <w:r>
        <w:t xml:space="preserve"> </w:t>
      </w:r>
      <w:r w:rsidRPr="00696E46">
        <w:t>http://www.cityholdings.com.au/about-city-services.html</w:t>
      </w:r>
    </w:p>
  </w:footnote>
  <w:footnote w:id="31">
    <w:p w14:paraId="3458ECEB" w14:textId="77777777" w:rsidR="000F5291" w:rsidRPr="00625900" w:rsidRDefault="000F5291" w:rsidP="00775DC1">
      <w:pPr>
        <w:pStyle w:val="FootnoteText"/>
        <w:rPr>
          <w:lang w:val="en-US"/>
        </w:rPr>
      </w:pPr>
      <w:r>
        <w:rPr>
          <w:rStyle w:val="FootnoteReference"/>
        </w:rPr>
        <w:footnoteRef/>
      </w:r>
      <w:r>
        <w:t xml:space="preserve"> </w:t>
      </w:r>
      <w:r>
        <w:rPr>
          <w:lang w:val="en-US"/>
        </w:rPr>
        <w:t>Industry source: Austral Fisheries, leak rates greater than 30% per annum can be experienced on old open drive equipment.</w:t>
      </w:r>
    </w:p>
  </w:footnote>
  <w:footnote w:id="32">
    <w:p w14:paraId="49F70CF6" w14:textId="7A7C9A0E" w:rsidR="000F5291" w:rsidRPr="009B2352" w:rsidRDefault="000F5291" w:rsidP="002B6D25">
      <w:pPr>
        <w:pStyle w:val="FootnoteText"/>
        <w:rPr>
          <w:lang w:val="en-US"/>
        </w:rPr>
      </w:pPr>
      <w:r>
        <w:rPr>
          <w:rStyle w:val="FootnoteReference"/>
        </w:rPr>
        <w:footnoteRef/>
      </w:r>
      <w:r>
        <w:t>Ammonia used in refrigeration systems is anhydrous ammonia meaning it does not contain water, the chemical symbol is NH</w:t>
      </w:r>
      <w:r w:rsidRPr="009B2352">
        <w:rPr>
          <w:vertAlign w:val="subscript"/>
        </w:rPr>
        <w:t>3</w:t>
      </w:r>
      <w:r>
        <w:t xml:space="preserve"> and the ASHRAE refrigerant number is R717.</w:t>
      </w:r>
    </w:p>
  </w:footnote>
  <w:footnote w:id="33">
    <w:p w14:paraId="25B92305" w14:textId="77777777" w:rsidR="000F5291" w:rsidRPr="002B297A" w:rsidRDefault="000F5291" w:rsidP="002B6D25">
      <w:pPr>
        <w:pStyle w:val="FootnoteText"/>
      </w:pPr>
      <w:r>
        <w:rPr>
          <w:rStyle w:val="FootnoteReference"/>
        </w:rPr>
        <w:footnoteRef/>
      </w:r>
      <w:r>
        <w:t xml:space="preserve"> Industry sources: </w:t>
      </w:r>
      <w:r w:rsidRPr="002B297A">
        <w:t>Gabor Hilton</w:t>
      </w:r>
      <w:r>
        <w:t xml:space="preserve"> and Michael Nolan</w:t>
      </w:r>
      <w:r w:rsidRPr="002B297A">
        <w:t>, Refrigerated Warehouse and Transport Association.</w:t>
      </w:r>
    </w:p>
  </w:footnote>
  <w:footnote w:id="34">
    <w:p w14:paraId="61E00135" w14:textId="06E5B6B6" w:rsidR="000F5291" w:rsidRPr="005410EB" w:rsidRDefault="000F5291">
      <w:pPr>
        <w:pStyle w:val="FootnoteText"/>
        <w:rPr>
          <w:lang w:val="en-AU"/>
        </w:rPr>
      </w:pPr>
      <w:r>
        <w:rPr>
          <w:rStyle w:val="FootnoteReference"/>
        </w:rPr>
        <w:footnoteRef/>
      </w:r>
      <w:r>
        <w:t xml:space="preserve"> ABS </w:t>
      </w:r>
      <w:r w:rsidRPr="005410EB">
        <w:t>8165.0 Counts of Australian Businesses</w:t>
      </w:r>
      <w:r>
        <w:t xml:space="preserve">, as of June 2017 and includes codes 1111 Meat Processing and 1112 Poultry Processing. There were 62 business with more than 200 employees and 137 businesses with more than 20 and less than 200 employees. There were a further 1,057 businesses that were classified as non-employing or with less than 20 employees that are unlikely to have sufficient scale for an ammonia plant. </w:t>
      </w:r>
    </w:p>
  </w:footnote>
  <w:footnote w:id="35">
    <w:p w14:paraId="7F80BBFB" w14:textId="146C09A7" w:rsidR="000F5291" w:rsidRPr="00A95D35" w:rsidRDefault="000F5291">
      <w:pPr>
        <w:pStyle w:val="FootnoteText"/>
        <w:rPr>
          <w:lang w:val="en-AU"/>
        </w:rPr>
      </w:pPr>
      <w:r>
        <w:rPr>
          <w:rStyle w:val="FootnoteReference"/>
        </w:rPr>
        <w:footnoteRef/>
      </w:r>
      <w:r>
        <w:t xml:space="preserve"> ABARES, </w:t>
      </w:r>
      <w:r w:rsidRPr="00A95D35">
        <w:t>Agricultural commodity statistics</w:t>
      </w:r>
      <w:r>
        <w:t xml:space="preserve"> 2017 provides for production from 2010 to 2016. The comparison values are three year averages from 2010, 2011 and 2012 versus 2014, 2015 and 2016. Actual production in 2016 was 3.2 million tonnes comprising beef and veal 2,125 million tonnes, pig and chicken meat 386 million tonnes and lamb and mutton 686 million tonnes. These production values exclude live exports.</w:t>
      </w:r>
    </w:p>
  </w:footnote>
  <w:footnote w:id="36">
    <w:p w14:paraId="4A6296C5" w14:textId="5A5B3F6F" w:rsidR="000F5291" w:rsidRPr="008F4393" w:rsidRDefault="000F5291">
      <w:pPr>
        <w:pStyle w:val="FootnoteText"/>
        <w:rPr>
          <w:lang w:val="en-AU"/>
        </w:rPr>
      </w:pPr>
      <w:r>
        <w:rPr>
          <w:rStyle w:val="FootnoteReference"/>
        </w:rPr>
        <w:footnoteRef/>
      </w:r>
      <w:r>
        <w:t xml:space="preserve"> </w:t>
      </w:r>
      <w:r>
        <w:rPr>
          <w:lang w:val="en-AU"/>
        </w:rPr>
        <w:t>The average charge of a domestic refrigerator is 140 grams of HFC-134a and 55 grams of HC.</w:t>
      </w:r>
    </w:p>
  </w:footnote>
  <w:footnote w:id="37">
    <w:p w14:paraId="19A518C0" w14:textId="39FC0D78" w:rsidR="000F5291" w:rsidRPr="00406FCD" w:rsidRDefault="000F5291" w:rsidP="00014D67">
      <w:pPr>
        <w:pStyle w:val="FootnoteText"/>
        <w:rPr>
          <w:lang w:val="en-US"/>
        </w:rPr>
      </w:pPr>
      <w:r>
        <w:rPr>
          <w:rStyle w:val="FootnoteReference"/>
        </w:rPr>
        <w:footnoteRef/>
      </w:r>
      <w:r>
        <w:t xml:space="preserve"> </w:t>
      </w:r>
      <w:r>
        <w:rPr>
          <w:lang w:val="en-US"/>
        </w:rPr>
        <w:t>Deducting from this population of 19.2 million devices an estimated 888,000 portable and vehicle refrigerators, and an estimated 5% of devices that the CHF3 Model includes, but that are assumed to be used in business premises, such as restaurants and takeaway shops, and in office kitchens. The CHF3 RAC Stock model predicts an installed base of 17.41 million domestic refrigerators and freezers in residential buildings in Australia a value that aligns very well with the results of the Residential Baseline Study 2015 that estimated an installed base of 17.68 million refrigerators and freezers in Australian homes in 2016.</w:t>
      </w:r>
    </w:p>
  </w:footnote>
  <w:footnote w:id="38">
    <w:p w14:paraId="6DB32BD4" w14:textId="4BEB2272" w:rsidR="000F5291" w:rsidRPr="007F380B" w:rsidRDefault="000F5291" w:rsidP="00014D67">
      <w:pPr>
        <w:pStyle w:val="FootnoteText"/>
        <w:rPr>
          <w:lang w:val="en-US"/>
        </w:rPr>
      </w:pPr>
      <w:r>
        <w:rPr>
          <w:rStyle w:val="FootnoteReference"/>
        </w:rPr>
        <w:footnoteRef/>
      </w:r>
      <w:r>
        <w:t xml:space="preserve"> </w:t>
      </w:r>
      <w:r w:rsidRPr="007F380B">
        <w:t xml:space="preserve">This older stock of equipment is just one of the sources of the 30 to 40 tonnes of CFCs still being returned every year to the RRA destruction program, the </w:t>
      </w:r>
      <w:r>
        <w:t>refrigerant</w:t>
      </w:r>
      <w:r w:rsidRPr="007F380B">
        <w:t xml:space="preserve"> most likely being recovered from fridges being repaired by dealers of second hand white goods.</w:t>
      </w:r>
    </w:p>
  </w:footnote>
  <w:footnote w:id="39">
    <w:p w14:paraId="4AB1C805" w14:textId="42BE1AAD" w:rsidR="000F5291" w:rsidRPr="00193B05" w:rsidRDefault="000F5291" w:rsidP="00573A8B">
      <w:pPr>
        <w:pStyle w:val="FootnoteText"/>
        <w:rPr>
          <w:rFonts w:asciiTheme="minorHAnsi" w:hAnsiTheme="minorHAnsi" w:cstheme="minorHAnsi"/>
          <w:szCs w:val="18"/>
        </w:rPr>
      </w:pPr>
      <w:r w:rsidRPr="00193B05">
        <w:rPr>
          <w:rStyle w:val="FootnoteReference"/>
          <w:rFonts w:asciiTheme="minorHAnsi" w:hAnsiTheme="minorHAnsi" w:cstheme="minorHAnsi"/>
          <w:sz w:val="18"/>
          <w:szCs w:val="18"/>
        </w:rPr>
        <w:footnoteRef/>
      </w:r>
      <w:r w:rsidRPr="00193B05">
        <w:rPr>
          <w:rFonts w:asciiTheme="minorHAnsi" w:hAnsiTheme="minorHAnsi" w:cstheme="minorHAnsi"/>
          <w:szCs w:val="18"/>
        </w:rPr>
        <w:t xml:space="preserve"> For further clarification on refrigerant properties, classifications and potential for replacement refer to ‘AS/NZS ISO 817:</w:t>
      </w:r>
      <w:r>
        <w:rPr>
          <w:rFonts w:asciiTheme="minorHAnsi" w:hAnsiTheme="minorHAnsi" w:cstheme="minorHAnsi"/>
          <w:szCs w:val="18"/>
        </w:rPr>
        <w:t xml:space="preserve"> </w:t>
      </w:r>
      <w:r w:rsidRPr="00193B05">
        <w:rPr>
          <w:rFonts w:asciiTheme="minorHAnsi" w:hAnsiTheme="minorHAnsi" w:cstheme="minorHAnsi"/>
          <w:szCs w:val="18"/>
        </w:rPr>
        <w:t>2016 Refrigerants - Designation and safety classification’; ‘AS/NZS: 2016 (ISO 5149-1:2014, MOD) Refrigerating systems and heat pumps - Safety and environmental requirements’; and ‘IEC 60335-2-89, Household and similar electrical appliances – Safety’.</w:t>
      </w:r>
    </w:p>
  </w:footnote>
  <w:footnote w:id="40">
    <w:p w14:paraId="215354FD" w14:textId="30E9176D" w:rsidR="000F5291" w:rsidRPr="00193B05" w:rsidRDefault="000F5291" w:rsidP="00573A8B">
      <w:pPr>
        <w:pStyle w:val="ListBullet"/>
        <w:numPr>
          <w:ilvl w:val="0"/>
          <w:numId w:val="0"/>
        </w:numPr>
        <w:contextualSpacing w:val="0"/>
        <w:rPr>
          <w:rFonts w:asciiTheme="minorHAnsi" w:hAnsiTheme="minorHAnsi" w:cstheme="minorHAnsi"/>
          <w:i/>
          <w:sz w:val="18"/>
        </w:rPr>
      </w:pPr>
      <w:r>
        <w:rPr>
          <w:rStyle w:val="FootnoteReference"/>
        </w:rPr>
        <w:footnoteRef/>
      </w:r>
      <w:r>
        <w:t xml:space="preserve"> </w:t>
      </w:r>
      <w:r w:rsidRPr="00193B05">
        <w:rPr>
          <w:rFonts w:asciiTheme="minorHAnsi" w:hAnsiTheme="minorHAnsi" w:cstheme="minorHAnsi"/>
          <w:i/>
          <w:sz w:val="18"/>
        </w:rPr>
        <w:t xml:space="preserve">HFOs are not </w:t>
      </w:r>
      <w:r>
        <w:rPr>
          <w:rFonts w:asciiTheme="minorHAnsi" w:hAnsiTheme="minorHAnsi" w:cstheme="minorHAnsi"/>
          <w:i/>
          <w:sz w:val="18"/>
        </w:rPr>
        <w:t xml:space="preserve">defined as controlled substances under the </w:t>
      </w:r>
      <w:r w:rsidRPr="00193B05">
        <w:rPr>
          <w:rFonts w:asciiTheme="minorHAnsi" w:hAnsiTheme="minorHAnsi" w:cstheme="minorHAnsi"/>
          <w:i/>
          <w:sz w:val="18"/>
        </w:rPr>
        <w:t>Ozone Protection and Synthetic Greenhouse Gas Management Act 1989</w:t>
      </w:r>
      <w:r>
        <w:rPr>
          <w:rFonts w:asciiTheme="minorHAnsi" w:hAnsiTheme="minorHAnsi" w:cstheme="minorHAnsi"/>
          <w:i/>
          <w:sz w:val="18"/>
        </w:rPr>
        <w:t>,</w:t>
      </w:r>
      <w:r w:rsidRPr="00193B05">
        <w:rPr>
          <w:rFonts w:asciiTheme="minorHAnsi" w:hAnsiTheme="minorHAnsi" w:cstheme="minorHAnsi"/>
          <w:i/>
          <w:sz w:val="18"/>
        </w:rPr>
        <w:t xml:space="preserve"> </w:t>
      </w:r>
      <w:r>
        <w:rPr>
          <w:rFonts w:asciiTheme="minorHAnsi" w:hAnsiTheme="minorHAnsi" w:cstheme="minorHAnsi"/>
          <w:i/>
          <w:sz w:val="18"/>
        </w:rPr>
        <w:t xml:space="preserve">and therefore are not </w:t>
      </w:r>
      <w:r w:rsidRPr="00193B05">
        <w:rPr>
          <w:rFonts w:asciiTheme="minorHAnsi" w:hAnsiTheme="minorHAnsi" w:cstheme="minorHAnsi"/>
          <w:i/>
          <w:sz w:val="18"/>
        </w:rPr>
        <w:t>reportable in the same way that HFCs and HCFCs are required to be reported at the point of importation</w:t>
      </w:r>
      <w:r>
        <w:rPr>
          <w:rFonts w:asciiTheme="minorHAnsi" w:hAnsiTheme="minorHAnsi" w:cstheme="minorHAnsi"/>
          <w:i/>
          <w:sz w:val="18"/>
        </w:rPr>
        <w:t>. Fu</w:t>
      </w:r>
      <w:r w:rsidRPr="00193B05">
        <w:rPr>
          <w:rFonts w:asciiTheme="minorHAnsi" w:hAnsiTheme="minorHAnsi" w:cstheme="minorHAnsi"/>
          <w:i/>
          <w:sz w:val="18"/>
        </w:rPr>
        <w:t xml:space="preserve">ture data on HFOs in the bank may not be available with the same accuracy that the Customs data on imports of HFCs and HCFCs </w:t>
      </w:r>
      <w:r>
        <w:rPr>
          <w:rFonts w:asciiTheme="minorHAnsi" w:hAnsiTheme="minorHAnsi" w:cstheme="minorHAnsi"/>
          <w:i/>
          <w:sz w:val="18"/>
        </w:rPr>
        <w:t xml:space="preserve">currently </w:t>
      </w:r>
      <w:r w:rsidRPr="00193B05">
        <w:rPr>
          <w:rFonts w:asciiTheme="minorHAnsi" w:hAnsiTheme="minorHAnsi" w:cstheme="minorHAnsi"/>
          <w:i/>
          <w:sz w:val="18"/>
        </w:rPr>
        <w:t>allows</w:t>
      </w:r>
      <w:r>
        <w:rPr>
          <w:rFonts w:asciiTheme="minorHAnsi" w:hAnsiTheme="minorHAnsi" w:cstheme="minorHAnsi"/>
          <w:i/>
          <w:sz w:val="18"/>
        </w:rPr>
        <w:t xml:space="preserve"> (i.e. pre-charged equipment data)</w:t>
      </w:r>
      <w:r w:rsidRPr="00193B05">
        <w:rPr>
          <w:rFonts w:asciiTheme="minorHAnsi" w:hAnsiTheme="minorHAnsi" w:cstheme="minorHAnsi"/>
          <w:i/>
          <w:sz w:val="18"/>
        </w:rPr>
        <w:t>.</w:t>
      </w:r>
    </w:p>
  </w:footnote>
  <w:footnote w:id="41">
    <w:p w14:paraId="0C853C10" w14:textId="226E2899" w:rsidR="000F5291" w:rsidRPr="00240A0E" w:rsidRDefault="000F5291">
      <w:pPr>
        <w:pStyle w:val="FootnoteText"/>
        <w:rPr>
          <w:lang w:val="en-AU"/>
        </w:rPr>
      </w:pPr>
      <w:r>
        <w:rPr>
          <w:rStyle w:val="FootnoteReference"/>
        </w:rPr>
        <w:footnoteRef/>
      </w:r>
      <w:r>
        <w:t xml:space="preserve"> Reduced GWP refrigerant is a </w:t>
      </w:r>
      <w:r w:rsidRPr="00240A0E">
        <w:t xml:space="preserve">term </w:t>
      </w:r>
      <w:r>
        <w:t xml:space="preserve">that </w:t>
      </w:r>
      <w:r w:rsidRPr="00240A0E">
        <w:t xml:space="preserve">has been used for the purpose of this report. A number of recently developed or used HFC substances or refrigerants have significantly reduced GWP relative to those commonly used high GWP refrigerants they are designed to replace. HFC-32 (GWP </w:t>
      </w:r>
      <w:r>
        <w:t xml:space="preserve">of </w:t>
      </w:r>
      <w:r w:rsidRPr="00240A0E">
        <w:t>675) and blends with GWPs less than 1400 and greater than 10, are referred to as reduced GWP refrigerants. For example, N40 (R-448A) with a GWP of 1387 is a zeotropic blend designed to serve as a replacement for HCFC-22 (GWP of 1810) and HFC-404A (GWP of 3922) in supermarket refrigeration retrofits, or in new systems. Refer to definition of High GWP Refrigerants and Low GWP Refrigerants.</w:t>
      </w:r>
    </w:p>
  </w:footnote>
  <w:footnote w:id="42">
    <w:p w14:paraId="6FBBB70D" w14:textId="7CBA2A70" w:rsidR="000F5291" w:rsidRPr="00045F0E" w:rsidRDefault="000F5291">
      <w:pPr>
        <w:pStyle w:val="FootnoteText"/>
        <w:rPr>
          <w:lang w:val="en-AU"/>
        </w:rPr>
      </w:pPr>
      <w:r>
        <w:rPr>
          <w:rStyle w:val="FootnoteReference"/>
        </w:rPr>
        <w:footnoteRef/>
      </w:r>
      <w:r>
        <w:t xml:space="preserve"> </w:t>
      </w:r>
      <w:r>
        <w:rPr>
          <w:lang w:val="en-AU"/>
        </w:rPr>
        <w:t>RRA sent 7.1 tonnes of CFCs, 26.7 tonnes of HCFCs and 316.3 tonnes of HFCs for destruction in the 2016 calendar year.</w:t>
      </w:r>
    </w:p>
  </w:footnote>
  <w:footnote w:id="43">
    <w:p w14:paraId="252C6B37" w14:textId="301FBAA5" w:rsidR="000F5291" w:rsidRPr="00C46EC7" w:rsidRDefault="000F5291">
      <w:pPr>
        <w:pStyle w:val="FootnoteText"/>
        <w:rPr>
          <w:lang w:val="en-AU"/>
        </w:rPr>
      </w:pPr>
      <w:r>
        <w:rPr>
          <w:rStyle w:val="FootnoteReference"/>
        </w:rPr>
        <w:footnoteRef/>
      </w:r>
      <w:r>
        <w:t xml:space="preserve"> </w:t>
      </w:r>
      <w:r>
        <w:rPr>
          <w:lang w:val="en-AU"/>
        </w:rPr>
        <w:t>ABS 9309.0, Motor Vehicle Census, Estimated attrition rates in Australia were 717,000 (2012-3); 716,000 (2013-4); 766,000 (2014-5); 800,000 (2015-16); and 784,000 (2016-17), published January 2017.</w:t>
      </w:r>
    </w:p>
  </w:footnote>
  <w:footnote w:id="44">
    <w:p w14:paraId="5D8E88B0" w14:textId="5E3CDA4F" w:rsidR="000F5291" w:rsidRPr="009B689E" w:rsidRDefault="000F5291">
      <w:pPr>
        <w:pStyle w:val="FootnoteText"/>
        <w:rPr>
          <w:lang w:val="en-AU"/>
        </w:rPr>
      </w:pPr>
      <w:r>
        <w:rPr>
          <w:rStyle w:val="FootnoteReference"/>
        </w:rPr>
        <w:footnoteRef/>
      </w:r>
      <w:r>
        <w:t xml:space="preserve"> Pre-charged a</w:t>
      </w:r>
      <w:r>
        <w:rPr>
          <w:lang w:val="en-AU"/>
        </w:rPr>
        <w:t>ir conditioning equipment is typically charged to allow for 10 to 15 meters of pipework between the evaporator and the condenser, depending on the brand and type of equipment. If the pipe length is longer than the specified length, additional refrigerant is required to achieve the critical charge for the system.</w:t>
      </w:r>
    </w:p>
  </w:footnote>
  <w:footnote w:id="45">
    <w:p w14:paraId="59FC9FF5" w14:textId="77777777" w:rsidR="000F5291" w:rsidRPr="00CB3BC3" w:rsidRDefault="000F5291" w:rsidP="00650D66">
      <w:pPr>
        <w:pStyle w:val="FootnoteText"/>
        <w:rPr>
          <w:lang w:val="en-US"/>
        </w:rPr>
      </w:pPr>
      <w:r>
        <w:rPr>
          <w:rStyle w:val="FootnoteReference"/>
        </w:rPr>
        <w:footnoteRef/>
      </w:r>
      <w:r>
        <w:t xml:space="preserve"> </w:t>
      </w:r>
      <w:r w:rsidRPr="00CB3BC3">
        <w:t>A ban on imports of equipment containing HCFCs was implemented in July 2010.</w:t>
      </w:r>
    </w:p>
  </w:footnote>
  <w:footnote w:id="46">
    <w:p w14:paraId="4B91532B" w14:textId="77777777" w:rsidR="000F5291" w:rsidRPr="007F3EA8" w:rsidRDefault="000F5291" w:rsidP="00650D66">
      <w:pPr>
        <w:pStyle w:val="FootnoteText"/>
        <w:rPr>
          <w:lang w:val="en-US"/>
        </w:rPr>
      </w:pPr>
      <w:r>
        <w:rPr>
          <w:rStyle w:val="FootnoteReference"/>
        </w:rPr>
        <w:footnoteRef/>
      </w:r>
      <w:r>
        <w:t xml:space="preserve"> </w:t>
      </w:r>
      <w:r w:rsidRPr="007F3EA8">
        <w:t>List of licenses and exemptions granted under the Ozone Protection and Synthetic Greenhouse Gas Management Act 1989, issued February 2012</w:t>
      </w:r>
      <w:r>
        <w:t xml:space="preserve"> and October 2017</w:t>
      </w:r>
      <w:r w:rsidRPr="007F3EA8">
        <w:t>.</w:t>
      </w:r>
    </w:p>
  </w:footnote>
  <w:footnote w:id="47">
    <w:p w14:paraId="6495C892" w14:textId="6EAE1A23" w:rsidR="000F5291" w:rsidRPr="001A12FD" w:rsidRDefault="000F5291">
      <w:pPr>
        <w:pStyle w:val="FootnoteText"/>
        <w:rPr>
          <w:lang w:val="en-AU"/>
        </w:rPr>
      </w:pPr>
      <w:r>
        <w:rPr>
          <w:rStyle w:val="FootnoteReference"/>
        </w:rPr>
        <w:footnoteRef/>
      </w:r>
      <w:r>
        <w:t xml:space="preserve"> </w:t>
      </w:r>
      <w:r>
        <w:rPr>
          <w:lang w:val="en-AU"/>
        </w:rPr>
        <w:t>This includes all the species of HCFC imported, not just HCFC-22.</w:t>
      </w:r>
    </w:p>
  </w:footnote>
  <w:footnote w:id="48">
    <w:p w14:paraId="2130784F" w14:textId="77777777" w:rsidR="000F5291" w:rsidRPr="00056ABF" w:rsidRDefault="000F5291" w:rsidP="00650D66">
      <w:pPr>
        <w:pStyle w:val="FootnoteText"/>
      </w:pPr>
      <w:r>
        <w:rPr>
          <w:rStyle w:val="FootnoteReference"/>
        </w:rPr>
        <w:footnoteRef/>
      </w:r>
      <w:r>
        <w:t xml:space="preserve"> </w:t>
      </w:r>
      <w:r w:rsidRPr="00056ABF">
        <w:t xml:space="preserve">The import data quoted in this report will vary slightly from Senate estimates </w:t>
      </w:r>
      <w:r>
        <w:t>as some O</w:t>
      </w:r>
      <w:r w:rsidRPr="00056ABF">
        <w:t xml:space="preserve">zone </w:t>
      </w:r>
      <w:r>
        <w:t>D</w:t>
      </w:r>
      <w:r w:rsidRPr="00056ABF">
        <w:t xml:space="preserve">epleting </w:t>
      </w:r>
      <w:r>
        <w:t>S</w:t>
      </w:r>
      <w:r w:rsidRPr="00056ABF">
        <w:t xml:space="preserve">ubstances </w:t>
      </w:r>
      <w:r>
        <w:t xml:space="preserve">(i.e. </w:t>
      </w:r>
      <w:r w:rsidRPr="00056ABF">
        <w:t xml:space="preserve">Halons, Carbon </w:t>
      </w:r>
      <w:r w:rsidRPr="00916B29">
        <w:t>Tetrachloride</w:t>
      </w:r>
      <w:r>
        <w:t xml:space="preserve"> and </w:t>
      </w:r>
      <w:r w:rsidRPr="00056ABF">
        <w:t>Methyl Chloroform</w:t>
      </w:r>
      <w:r>
        <w:t>, and</w:t>
      </w:r>
      <w:r w:rsidRPr="00056ABF">
        <w:t xml:space="preserve"> CFCs used for medical applications</w:t>
      </w:r>
      <w:r>
        <w:t xml:space="preserve">) and </w:t>
      </w:r>
      <w:r w:rsidRPr="00056ABF">
        <w:t xml:space="preserve">Synthetic Greenhouse Gasses </w:t>
      </w:r>
      <w:r>
        <w:t xml:space="preserve">(i.e. </w:t>
      </w:r>
      <w:r w:rsidRPr="00056ABF">
        <w:t>SF</w:t>
      </w:r>
      <w:r w:rsidRPr="00056ABF">
        <w:rPr>
          <w:vertAlign w:val="subscript"/>
        </w:rPr>
        <w:t>6</w:t>
      </w:r>
      <w:r w:rsidRPr="00056ABF">
        <w:t xml:space="preserve"> and PFCs</w:t>
      </w:r>
      <w:r>
        <w:t>)</w:t>
      </w:r>
      <w:r w:rsidRPr="00056ABF">
        <w:t xml:space="preserve"> </w:t>
      </w:r>
      <w:r>
        <w:t>are not used in RAC applications.</w:t>
      </w:r>
    </w:p>
  </w:footnote>
  <w:footnote w:id="49">
    <w:p w14:paraId="292D2D62" w14:textId="630ACD6E" w:rsidR="000F5291" w:rsidRPr="00EB0E9C" w:rsidRDefault="000F5291">
      <w:pPr>
        <w:pStyle w:val="FootnoteText"/>
        <w:rPr>
          <w:lang w:val="en-AU"/>
        </w:rPr>
      </w:pPr>
      <w:r>
        <w:rPr>
          <w:rStyle w:val="FootnoteReference"/>
        </w:rPr>
        <w:footnoteRef/>
      </w:r>
      <w:r>
        <w:t xml:space="preserve"> </w:t>
      </w:r>
      <w:r>
        <w:rPr>
          <w:lang w:val="en-AU"/>
        </w:rPr>
        <w:t>In 2016 the ODP cap was 2.5 tonnes, equivalent to 45.5 metric tonnes of HCFC-22. Therefore usage in 2016 is estimated at 210 tonnes plus 45.5 tonnes equating to 255.5 tonnes of HCFC-22 to virgin refrigerant specification as per AHRI 700. There was other refrigerant reuse by contractors where refrigerant is not recycled to AHRI 700 specification.</w:t>
      </w:r>
    </w:p>
  </w:footnote>
  <w:footnote w:id="50">
    <w:p w14:paraId="4C565504" w14:textId="18877630" w:rsidR="000F5291" w:rsidRPr="00821034" w:rsidRDefault="000F5291">
      <w:pPr>
        <w:pStyle w:val="FootnoteText"/>
        <w:rPr>
          <w:lang w:val="en-AU"/>
        </w:rPr>
      </w:pPr>
      <w:r>
        <w:rPr>
          <w:rStyle w:val="FootnoteReference"/>
        </w:rPr>
        <w:footnoteRef/>
      </w:r>
      <w:r>
        <w:t xml:space="preserve"> The AR4 </w:t>
      </w:r>
      <w:r w:rsidRPr="00821034">
        <w:t>GWP</w:t>
      </w:r>
      <w:r>
        <w:t xml:space="preserve">-100 value for </w:t>
      </w:r>
      <w:r w:rsidRPr="00821034">
        <w:t xml:space="preserve">HFO-1234yf and HFO-1234ze </w:t>
      </w:r>
      <w:r>
        <w:t xml:space="preserve">was 5, </w:t>
      </w:r>
      <w:r w:rsidRPr="00821034">
        <w:t xml:space="preserve">whereas the AR5 calculation uses a GWP value </w:t>
      </w:r>
      <w:r>
        <w:t>of</w:t>
      </w:r>
      <w:r w:rsidRPr="00821034">
        <w:t xml:space="preserve"> 1.</w:t>
      </w:r>
    </w:p>
  </w:footnote>
  <w:footnote w:id="51">
    <w:p w14:paraId="6A78548B" w14:textId="77777777" w:rsidR="000F5291" w:rsidRPr="00E57E73" w:rsidRDefault="000F5291" w:rsidP="00494690">
      <w:pPr>
        <w:pStyle w:val="FootnoteText"/>
        <w:rPr>
          <w:rFonts w:asciiTheme="minorHAnsi" w:hAnsiTheme="minorHAnsi" w:cstheme="minorHAnsi"/>
          <w:lang w:val="en-US"/>
        </w:rPr>
      </w:pPr>
      <w:r>
        <w:rPr>
          <w:rStyle w:val="FootnoteReference"/>
        </w:rPr>
        <w:footnoteRef/>
      </w:r>
      <w:r w:rsidRPr="00E57E73">
        <w:rPr>
          <w:rFonts w:asciiTheme="minorHAnsi" w:hAnsiTheme="minorHAnsi" w:cstheme="minorHAnsi"/>
        </w:rPr>
        <w:t>Ammonia used in refrigeration systems is anhydrous Ammonia meaning it does not contain water, the chemical symbol is NH</w:t>
      </w:r>
      <w:r w:rsidRPr="00E57E73">
        <w:rPr>
          <w:rFonts w:asciiTheme="minorHAnsi" w:hAnsiTheme="minorHAnsi" w:cstheme="minorHAnsi"/>
          <w:vertAlign w:val="subscript"/>
        </w:rPr>
        <w:t>3</w:t>
      </w:r>
      <w:r w:rsidRPr="00E57E73">
        <w:rPr>
          <w:rFonts w:asciiTheme="minorHAnsi" w:hAnsiTheme="minorHAnsi" w:cstheme="minorHAnsi"/>
        </w:rPr>
        <w:t xml:space="preserve"> and the ASHRAE refrigerant number is R717.</w:t>
      </w:r>
    </w:p>
  </w:footnote>
  <w:footnote w:id="52">
    <w:p w14:paraId="2550510F" w14:textId="77777777" w:rsidR="000F5291" w:rsidRPr="00E57E73" w:rsidRDefault="000F5291" w:rsidP="00494690">
      <w:pPr>
        <w:pStyle w:val="FootnoteText"/>
        <w:rPr>
          <w:rFonts w:asciiTheme="minorHAnsi" w:hAnsiTheme="minorHAnsi" w:cstheme="minorHAnsi"/>
        </w:rPr>
      </w:pPr>
      <w:r>
        <w:rPr>
          <w:rStyle w:val="FootnoteReference"/>
        </w:rPr>
        <w:footnoteRef/>
      </w:r>
      <w:r>
        <w:t xml:space="preserve"> </w:t>
      </w:r>
      <w:r w:rsidRPr="00E57E73">
        <w:rPr>
          <w:rFonts w:asciiTheme="minorHAnsi" w:hAnsiTheme="minorHAnsi" w:cstheme="minorHAnsi"/>
        </w:rPr>
        <w:t>Industry source: Refrigerated Warehouse and Transport Association.</w:t>
      </w:r>
    </w:p>
  </w:footnote>
  <w:footnote w:id="53">
    <w:p w14:paraId="154269E5" w14:textId="02576DA5" w:rsidR="000F5291" w:rsidRPr="00E57E73" w:rsidRDefault="000F5291" w:rsidP="00494690">
      <w:pPr>
        <w:pStyle w:val="FootnoteText"/>
        <w:rPr>
          <w:rFonts w:asciiTheme="minorHAnsi" w:hAnsiTheme="minorHAnsi" w:cstheme="minorHAnsi"/>
          <w:lang w:val="en-AU"/>
        </w:rPr>
      </w:pPr>
      <w:r>
        <w:rPr>
          <w:rStyle w:val="FootnoteReference"/>
        </w:rPr>
        <w:footnoteRef/>
      </w:r>
      <w:r>
        <w:t xml:space="preserve"> </w:t>
      </w:r>
      <w:r w:rsidRPr="00E57E73">
        <w:rPr>
          <w:rFonts w:asciiTheme="minorHAnsi" w:hAnsiTheme="minorHAnsi" w:cstheme="minorHAnsi"/>
        </w:rPr>
        <w:t xml:space="preserve">JBS Australia, one of Australia's largest meat processors and exporters has a large plant in Dinmore, </w:t>
      </w:r>
      <w:r>
        <w:rPr>
          <w:rFonts w:asciiTheme="minorHAnsi" w:hAnsiTheme="minorHAnsi" w:cstheme="minorHAnsi"/>
        </w:rPr>
        <w:t>Q</w:t>
      </w:r>
      <w:r w:rsidRPr="00E57E73">
        <w:rPr>
          <w:rFonts w:asciiTheme="minorHAnsi" w:hAnsiTheme="minorHAnsi" w:cstheme="minorHAnsi"/>
        </w:rPr>
        <w:t>ld contains as much as 150 tonnes of ammonia.</w:t>
      </w:r>
    </w:p>
  </w:footnote>
  <w:footnote w:id="54">
    <w:p w14:paraId="2FE52792" w14:textId="77777777" w:rsidR="000F5291" w:rsidRPr="00E250CA" w:rsidRDefault="000F5291" w:rsidP="00494690">
      <w:pPr>
        <w:pStyle w:val="FootnoteText"/>
        <w:rPr>
          <w:rFonts w:asciiTheme="minorHAnsi" w:hAnsiTheme="minorHAnsi" w:cstheme="minorHAnsi"/>
          <w:lang w:val="en-AU"/>
        </w:rPr>
      </w:pPr>
      <w:r>
        <w:rPr>
          <w:rStyle w:val="FootnoteReference"/>
        </w:rPr>
        <w:footnoteRef/>
      </w:r>
      <w:r>
        <w:t xml:space="preserve"> </w:t>
      </w:r>
      <w:r w:rsidRPr="00E250CA">
        <w:rPr>
          <w:rFonts w:asciiTheme="minorHAnsi" w:hAnsiTheme="minorHAnsi" w:cstheme="minorHAnsi"/>
        </w:rPr>
        <w:t>Refer</w:t>
      </w:r>
      <w:r w:rsidRPr="00E250CA">
        <w:rPr>
          <w:rFonts w:asciiTheme="minorHAnsi" w:hAnsiTheme="minorHAnsi" w:cstheme="minorHAnsi"/>
          <w:lang w:val="en-AU"/>
        </w:rPr>
        <w:t xml:space="preserve"> Scantech Refrigeration Technologies plug and play solution discussed </w:t>
      </w:r>
      <w:r>
        <w:rPr>
          <w:rFonts w:asciiTheme="minorHAnsi" w:hAnsiTheme="minorHAnsi" w:cstheme="minorHAnsi"/>
          <w:lang w:val="en-AU"/>
        </w:rPr>
        <w:t xml:space="preserve">in </w:t>
      </w:r>
      <w:r w:rsidRPr="00E250CA">
        <w:rPr>
          <w:rFonts w:asciiTheme="minorHAnsi" w:hAnsiTheme="minorHAnsi" w:cstheme="minorHAnsi"/>
          <w:lang w:val="en-AU"/>
        </w:rPr>
        <w:t xml:space="preserve">Accelerate Australia &amp; NZ, Autumn 2017. </w:t>
      </w:r>
    </w:p>
  </w:footnote>
  <w:footnote w:id="55">
    <w:p w14:paraId="052BDA6B" w14:textId="77777777" w:rsidR="000F5291" w:rsidRPr="00B83F8A" w:rsidRDefault="000F5291" w:rsidP="00494690">
      <w:pPr>
        <w:pStyle w:val="FootnoteText"/>
        <w:rPr>
          <w:rFonts w:asciiTheme="minorHAnsi" w:hAnsiTheme="minorHAnsi" w:cstheme="minorHAnsi"/>
          <w:lang w:val="en-US"/>
        </w:rPr>
      </w:pPr>
      <w:r>
        <w:rPr>
          <w:rStyle w:val="FootnoteReference"/>
        </w:rPr>
        <w:footnoteRef/>
      </w:r>
      <w:r>
        <w:t xml:space="preserve"> </w:t>
      </w:r>
      <w:r w:rsidRPr="00B83F8A">
        <w:rPr>
          <w:rFonts w:asciiTheme="minorHAnsi" w:hAnsiTheme="minorHAnsi" w:cstheme="minorHAnsi"/>
        </w:rPr>
        <w:t>Sanden Eco Hot water heat pump system achieves coefficients of performance of around 4.5.</w:t>
      </w:r>
    </w:p>
  </w:footnote>
  <w:footnote w:id="56">
    <w:p w14:paraId="7E66EE32" w14:textId="77777777" w:rsidR="000F5291" w:rsidRPr="00B83F8A" w:rsidRDefault="000F5291" w:rsidP="00494690">
      <w:pPr>
        <w:pStyle w:val="FootnoteText"/>
        <w:rPr>
          <w:rFonts w:asciiTheme="minorHAnsi" w:hAnsiTheme="minorHAnsi" w:cstheme="minorHAnsi"/>
          <w:lang w:val="en-AU"/>
        </w:rPr>
      </w:pPr>
      <w:r>
        <w:rPr>
          <w:rStyle w:val="FootnoteReference"/>
        </w:rPr>
        <w:footnoteRef/>
      </w:r>
      <w:r>
        <w:t xml:space="preserve"> </w:t>
      </w:r>
      <w:r w:rsidRPr="00B83F8A">
        <w:rPr>
          <w:rFonts w:asciiTheme="minorHAnsi" w:hAnsiTheme="minorHAnsi" w:cstheme="minorHAnsi"/>
        </w:rPr>
        <w:t>Ammonia 21 publication by Shecco, Media, January 2018.</w:t>
      </w:r>
    </w:p>
  </w:footnote>
  <w:footnote w:id="57">
    <w:p w14:paraId="4DCCDE43" w14:textId="77777777" w:rsidR="000F5291" w:rsidRPr="00592505" w:rsidRDefault="000F5291" w:rsidP="00494690">
      <w:pPr>
        <w:pStyle w:val="FootnoteText"/>
        <w:rPr>
          <w:rFonts w:asciiTheme="minorHAnsi" w:hAnsiTheme="minorHAnsi" w:cstheme="minorHAnsi"/>
          <w:lang w:val="en-AU"/>
        </w:rPr>
      </w:pPr>
      <w:r>
        <w:rPr>
          <w:rStyle w:val="FootnoteReference"/>
        </w:rPr>
        <w:footnoteRef/>
      </w:r>
      <w:r>
        <w:t xml:space="preserve"> </w:t>
      </w:r>
      <w:r w:rsidRPr="00592505">
        <w:rPr>
          <w:rFonts w:asciiTheme="minorHAnsi" w:hAnsiTheme="minorHAnsi" w:cstheme="minorHAnsi"/>
        </w:rPr>
        <w:t>Aldi had 482 stores in August 2017.</w:t>
      </w:r>
    </w:p>
  </w:footnote>
  <w:footnote w:id="58">
    <w:p w14:paraId="31DACEEC" w14:textId="6738DB2E" w:rsidR="000F5291" w:rsidRPr="00290841" w:rsidRDefault="000F5291">
      <w:pPr>
        <w:pStyle w:val="FootnoteText"/>
        <w:rPr>
          <w:lang w:val="en-AU"/>
        </w:rPr>
      </w:pPr>
      <w:r>
        <w:rPr>
          <w:rStyle w:val="FootnoteReference"/>
        </w:rPr>
        <w:footnoteRef/>
      </w:r>
      <w:r>
        <w:t xml:space="preserve"> </w:t>
      </w:r>
      <w:r>
        <w:rPr>
          <w:lang w:val="en-AU"/>
        </w:rPr>
        <w:t>There is a further 6,800 tonnes of low GWP HFOs, and this less GWP&lt;10 does not include the industrial refrigeration ammonia bank.</w:t>
      </w:r>
    </w:p>
  </w:footnote>
  <w:footnote w:id="59">
    <w:p w14:paraId="6F999054" w14:textId="77777777" w:rsidR="000F5291" w:rsidRPr="00014D84" w:rsidRDefault="000F5291" w:rsidP="00962996">
      <w:pPr>
        <w:pStyle w:val="FootnoteText"/>
        <w:rPr>
          <w:rFonts w:asciiTheme="minorHAnsi" w:hAnsiTheme="minorHAnsi" w:cstheme="minorHAnsi"/>
          <w:szCs w:val="18"/>
          <w:lang w:val="en-AU"/>
        </w:rPr>
      </w:pPr>
      <w:r>
        <w:rPr>
          <w:rStyle w:val="FootnoteReference"/>
        </w:rPr>
        <w:footnoteRef/>
      </w:r>
      <w:r>
        <w:t xml:space="preserve"> </w:t>
      </w:r>
      <w:r w:rsidRPr="00014D84">
        <w:rPr>
          <w:rFonts w:asciiTheme="minorHAnsi" w:hAnsiTheme="minorHAnsi" w:cstheme="minorHAnsi"/>
          <w:szCs w:val="18"/>
          <w:lang w:val="en-AU"/>
        </w:rPr>
        <w:t>HCFC-22/CFC retrofits replacements include HFC-422D, HFC-437A, HFC-417A, HFC-422A, HFC-438A, HFC-426A, HFC-424A, HFC-428A, HCFC-508A, HCFC-508B, HCFC-408A and HCFC-409A.</w:t>
      </w:r>
    </w:p>
  </w:footnote>
  <w:footnote w:id="60">
    <w:p w14:paraId="0929EFA6" w14:textId="596C9963" w:rsidR="000F5291" w:rsidRPr="0013036A" w:rsidRDefault="000F5291">
      <w:pPr>
        <w:pStyle w:val="FootnoteText"/>
        <w:rPr>
          <w:lang w:val="en-AU"/>
        </w:rPr>
      </w:pPr>
      <w:r>
        <w:rPr>
          <w:rStyle w:val="FootnoteReference"/>
        </w:rPr>
        <w:footnoteRef/>
      </w:r>
      <w:r>
        <w:t xml:space="preserve"> </w:t>
      </w:r>
      <w:r>
        <w:rPr>
          <w:lang w:val="en-AU"/>
        </w:rPr>
        <w:t xml:space="preserve">Pre-charged equipment imports of HFC-410A from 2006 to 2016 were </w:t>
      </w:r>
      <w:r w:rsidRPr="0013036A">
        <w:rPr>
          <w:lang w:val="en-AU"/>
        </w:rPr>
        <w:t>845; 1,182; 1,375; 1,348; 1,964; 1,687; 1,656; 1,718; 1,723; 1,821; and, 1,805 tonnes (DoEE 2017a).</w:t>
      </w:r>
    </w:p>
  </w:footnote>
  <w:footnote w:id="61">
    <w:p w14:paraId="32B95930" w14:textId="24761D1A" w:rsidR="000F5291" w:rsidRPr="004E6A06" w:rsidRDefault="000F5291">
      <w:pPr>
        <w:pStyle w:val="FootnoteText"/>
        <w:rPr>
          <w:lang w:val="en-AU"/>
        </w:rPr>
      </w:pPr>
      <w:r>
        <w:rPr>
          <w:rStyle w:val="FootnoteReference"/>
        </w:rPr>
        <w:footnoteRef/>
      </w:r>
      <w:r>
        <w:t xml:space="preserve"> </w:t>
      </w:r>
      <w:r w:rsidRPr="004E6A06">
        <w:t>Australian term, often used by the media, to describe the collective opinion of everyday Australians</w:t>
      </w:r>
      <w:r>
        <w:t>.</w:t>
      </w:r>
    </w:p>
  </w:footnote>
  <w:footnote w:id="62">
    <w:p w14:paraId="46308B84" w14:textId="784BF5F7" w:rsidR="000F5291" w:rsidRPr="00F308C0" w:rsidRDefault="000F5291" w:rsidP="00B861D9">
      <w:pPr>
        <w:pStyle w:val="FootnoteText"/>
        <w:rPr>
          <w:i w:val="0"/>
          <w:lang w:val="en-US"/>
        </w:rPr>
      </w:pPr>
      <w:r>
        <w:rPr>
          <w:rStyle w:val="FootnoteReference"/>
        </w:rPr>
        <w:footnoteRef/>
      </w:r>
      <w:r>
        <w:t xml:space="preserve"> </w:t>
      </w:r>
      <w:r w:rsidRPr="00945A29">
        <w:rPr>
          <w:rFonts w:asciiTheme="minorHAnsi" w:hAnsiTheme="minorHAnsi" w:cstheme="minorHAnsi"/>
          <w:lang w:val="en-US"/>
        </w:rPr>
        <w:t>CHF2 calculated that electricity production, or ‘sent-out’ electricity in Australia in 2012 was 265,000 GWh, and that total electricity consumed by RAC in that year was equivalent to 22% of all electricity produced. Subsequently Australian energy statistics produced by the Department of Industry for the 2011-12 and 2012-13 financial years indicate that electricity production in calendar year 2012 was around 251,000 GWh, and thus total electricity consumed by RAC in 2012, at 23.5% of all electricity produced, was almost identical to the proportion of national electricity consumption by RAC in 2016 at 23.6%.</w:t>
      </w:r>
    </w:p>
  </w:footnote>
  <w:footnote w:id="63">
    <w:p w14:paraId="29AABA05" w14:textId="54868524" w:rsidR="000F5291" w:rsidRPr="00783EC3" w:rsidRDefault="000F5291" w:rsidP="003209EE">
      <w:pPr>
        <w:pStyle w:val="FootnoteText"/>
        <w:rPr>
          <w:lang w:val="en-AU"/>
        </w:rPr>
      </w:pPr>
      <w:r>
        <w:rPr>
          <w:rStyle w:val="FootnoteReference"/>
        </w:rPr>
        <w:footnoteRef/>
      </w:r>
      <w:r>
        <w:t xml:space="preserve"> </w:t>
      </w:r>
      <w:r w:rsidRPr="00783EC3">
        <w:t xml:space="preserve">Refrigerant prices are calculated from average sell prices to contractors </w:t>
      </w:r>
      <w:r>
        <w:t xml:space="preserve">in 2016 </w:t>
      </w:r>
      <w:r w:rsidRPr="00783EC3">
        <w:t>plus a mark-up to end users. All refrigerants had a 50% mark up from average contractor sales price to end users, except hydrocarbon had an 80% mark up as it is primarily sold into the automotive aftermarket sector.</w:t>
      </w:r>
    </w:p>
  </w:footnote>
  <w:footnote w:id="64">
    <w:p w14:paraId="5C403BDA" w14:textId="754CB345" w:rsidR="000F5291" w:rsidRPr="000A6D25" w:rsidRDefault="000F5291">
      <w:pPr>
        <w:pStyle w:val="FootnoteText"/>
        <w:rPr>
          <w:lang w:val="en-US"/>
        </w:rPr>
      </w:pPr>
      <w:r>
        <w:rPr>
          <w:rStyle w:val="FootnoteReference"/>
        </w:rPr>
        <w:footnoteRef/>
      </w:r>
      <w:r>
        <w:t xml:space="preserve"> The </w:t>
      </w:r>
      <w:r>
        <w:rPr>
          <w:lang w:val="en-US"/>
        </w:rPr>
        <w:t xml:space="preserve">multipliers used to calculate employment by type of RHL in 2012 used a multiplier of 1.0 for MAC as opposed to 2.4 used in CHF3 2016. The revision of this multiplier was based on a </w:t>
      </w:r>
      <w:r w:rsidRPr="00E01B31">
        <w:t>survey undertaken by the air conditioning and refrigeration equipment manufacturers of Australia (AREMA) sent to approximately 1,300 people who participated in Future</w:t>
      </w:r>
      <w:r>
        <w:t xml:space="preserve"> </w:t>
      </w:r>
      <w:r w:rsidRPr="00E01B31">
        <w:t>Air M</w:t>
      </w:r>
      <w:r>
        <w:t>AC</w:t>
      </w:r>
      <w:r w:rsidRPr="00E01B31">
        <w:t xml:space="preserve"> in 2016.  There were 80 responses </w:t>
      </w:r>
      <w:r>
        <w:t xml:space="preserve">to the survey </w:t>
      </w:r>
      <w:r w:rsidRPr="00E01B31">
        <w:t>which equates to a response rate of around 6.2%. The main finding of the survey was the ratio between licensed tradesperson</w:t>
      </w:r>
      <w:r>
        <w:t>s</w:t>
      </w:r>
      <w:r w:rsidRPr="00E01B31">
        <w:t xml:space="preserve"> and total employment is 2.4 based on a total employment of 423 number from a licen</w:t>
      </w:r>
      <w:r>
        <w:t>ce</w:t>
      </w:r>
      <w:r w:rsidRPr="00E01B31">
        <w:t xml:space="preserve"> pool of 176. At the same time </w:t>
      </w:r>
      <w:r>
        <w:t xml:space="preserve">multipliers </w:t>
      </w:r>
      <w:r w:rsidRPr="00E01B31">
        <w:t>for commercial AC and commercial refrigeration were revised up to 5.0.</w:t>
      </w:r>
      <w:r>
        <w:rPr>
          <w:lang w:val="en-US"/>
        </w:rPr>
        <w:t xml:space="preserve"> If the CHF3 multipliers were used in 2012 then total estimated employment in the RAC industry in 2012 would have around 244,000. </w:t>
      </w:r>
    </w:p>
  </w:footnote>
  <w:footnote w:id="65">
    <w:p w14:paraId="1BE1E309" w14:textId="4FBE677C" w:rsidR="000F5291" w:rsidRPr="00CE7FB3" w:rsidRDefault="000F5291">
      <w:pPr>
        <w:pStyle w:val="FootnoteText"/>
        <w:rPr>
          <w:lang w:val="en-AU"/>
        </w:rPr>
      </w:pPr>
      <w:r>
        <w:rPr>
          <w:rStyle w:val="FootnoteReference"/>
        </w:rPr>
        <w:footnoteRef/>
      </w:r>
      <w:r>
        <w:t xml:space="preserve"> </w:t>
      </w:r>
      <w:r w:rsidRPr="00CE7FB3">
        <w:t xml:space="preserve">Australian Bureau of Statistics, catalogue 5206.0, Australian National Accounts: National Income, Expenditure and Product, Dec 2017 released on 7 March 2018. </w:t>
      </w:r>
      <w:r>
        <w:t>R</w:t>
      </w:r>
      <w:r w:rsidRPr="00CE7FB3">
        <w:t>efer to Table 1, Key National Accounts Aggregates, Gross domestic product: Chain volume measure seasonally adjusted (in Australian dollars).</w:t>
      </w:r>
    </w:p>
  </w:footnote>
  <w:footnote w:id="66">
    <w:p w14:paraId="7CD5906F" w14:textId="3EBDE5E0" w:rsidR="000F5291" w:rsidRPr="004B2E7E" w:rsidRDefault="000F5291" w:rsidP="00FF4A30">
      <w:pPr>
        <w:pStyle w:val="FootnoteText"/>
        <w:rPr>
          <w:szCs w:val="18"/>
        </w:rPr>
      </w:pPr>
      <w:r w:rsidRPr="00A30CFC">
        <w:rPr>
          <w:rStyle w:val="FootnoteReference"/>
          <w:sz w:val="20"/>
          <w:szCs w:val="20"/>
        </w:rPr>
        <w:footnoteRef/>
      </w:r>
      <w:r w:rsidRPr="00A30CFC">
        <w:rPr>
          <w:sz w:val="20"/>
          <w:szCs w:val="20"/>
        </w:rPr>
        <w:t xml:space="preserve"> </w:t>
      </w:r>
      <w:r w:rsidRPr="004B2E7E">
        <w:rPr>
          <w:szCs w:val="18"/>
        </w:rPr>
        <w:t xml:space="preserve">Not all refrigerants </w:t>
      </w:r>
      <w:r>
        <w:rPr>
          <w:szCs w:val="18"/>
        </w:rPr>
        <w:t xml:space="preserve">are defined as controlled substances under the </w:t>
      </w:r>
      <w:r w:rsidRPr="00467DEE">
        <w:rPr>
          <w:szCs w:val="18"/>
        </w:rPr>
        <w:t>Ozone Protection and Synthetic Greenhouse Gas Management Act</w:t>
      </w:r>
      <w:r>
        <w:rPr>
          <w:szCs w:val="18"/>
        </w:rPr>
        <w:t>. A</w:t>
      </w:r>
      <w:r w:rsidRPr="004B2E7E">
        <w:rPr>
          <w:szCs w:val="18"/>
        </w:rPr>
        <w:t>ll of the major classes of HCFCs and HFCs must be reported.</w:t>
      </w:r>
    </w:p>
  </w:footnote>
  <w:footnote w:id="67">
    <w:p w14:paraId="316E4049" w14:textId="77777777" w:rsidR="000F5291" w:rsidRPr="00195784" w:rsidRDefault="000F5291" w:rsidP="005633B3">
      <w:pPr>
        <w:pStyle w:val="FootnoteText"/>
        <w:rPr>
          <w:lang w:val="en-US"/>
        </w:rPr>
      </w:pPr>
      <w:r>
        <w:rPr>
          <w:rStyle w:val="FootnoteReference"/>
        </w:rPr>
        <w:footnoteRef/>
      </w:r>
      <w:r>
        <w:t xml:space="preserve"> </w:t>
      </w:r>
      <w:r>
        <w:rPr>
          <w:lang w:val="en-US"/>
        </w:rPr>
        <w:t xml:space="preserve">The EOL factor is used to calculate the residual EOL charge at end-of-life. </w:t>
      </w:r>
      <w:r w:rsidRPr="00705CFC">
        <w:rPr>
          <w:lang w:val="en-US"/>
        </w:rPr>
        <w:t>The end-of-life factors are generally consistent with others cited internationally (e.g. ICF 2010) and in good practice guides by the IPCC.</w:t>
      </w:r>
    </w:p>
  </w:footnote>
  <w:footnote w:id="68">
    <w:p w14:paraId="6DA50842" w14:textId="77777777" w:rsidR="000F5291" w:rsidRPr="00D015CD" w:rsidRDefault="000F5291" w:rsidP="005633B3">
      <w:pPr>
        <w:pStyle w:val="FootnoteText"/>
        <w:rPr>
          <w:lang w:val="en-US"/>
        </w:rPr>
      </w:pPr>
      <w:r>
        <w:rPr>
          <w:rStyle w:val="FootnoteReference"/>
        </w:rPr>
        <w:footnoteRef/>
      </w:r>
      <w:r>
        <w:t xml:space="preserve"> </w:t>
      </w:r>
      <w:r w:rsidRPr="00D015CD">
        <w:t>The calculated EOL charge in each segment has a maximum technical recovery factor that is uniformly set at 90%, except for air conditioning chillers, supermarket systems and commercial refrigeration with remote condensing units where the technical recovery rates are set to 95%</w:t>
      </w:r>
      <w:r>
        <w:t>.</w:t>
      </w:r>
    </w:p>
  </w:footnote>
  <w:footnote w:id="69">
    <w:p w14:paraId="16F6B642" w14:textId="77777777" w:rsidR="000F5291" w:rsidRPr="00E10355" w:rsidRDefault="000F5291" w:rsidP="00B861D9">
      <w:pPr>
        <w:pStyle w:val="FootnoteText"/>
        <w:rPr>
          <w:lang w:val="en-AU"/>
        </w:rPr>
      </w:pPr>
      <w:r>
        <w:rPr>
          <w:rStyle w:val="FootnoteReference"/>
        </w:rPr>
        <w:footnoteRef/>
      </w:r>
      <w:r w:rsidRPr="00E10355">
        <w:t>http://www.cleanenergyregulator.gov.au/RET/Forms-and-resources/Postcode-data-for-small-scale-installations#Solar-water-heater-SWH-installations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372EB" w14:textId="77777777" w:rsidR="000E6A93" w:rsidRDefault="000E6A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B38E1" w14:textId="77777777" w:rsidR="000E6A93" w:rsidRDefault="000E6A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9C513" w14:textId="77777777" w:rsidR="000F5291" w:rsidRDefault="000F5291" w:rsidP="008352D3">
    <w:pPr>
      <w:pStyle w:val="Header"/>
      <w:shd w:val="clear" w:color="auto" w:fill="D9D9D9"/>
    </w:pPr>
  </w:p>
  <w:p w14:paraId="5F8A5892" w14:textId="77777777" w:rsidR="000F5291" w:rsidRDefault="000F52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DC7DD" w14:textId="77777777" w:rsidR="000F5291" w:rsidRDefault="000F52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C633A" w14:textId="77777777" w:rsidR="000F5291" w:rsidRDefault="000F5291" w:rsidP="00B61B6F">
    <w:pPr>
      <w:pStyle w:val="Header"/>
      <w:shd w:val="clear" w:color="auto" w:fill="D9D9D9"/>
    </w:pPr>
  </w:p>
  <w:p w14:paraId="48677AB7" w14:textId="77777777" w:rsidR="000F5291" w:rsidRDefault="000F529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B726" w14:textId="77777777" w:rsidR="000F5291" w:rsidRDefault="000F52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401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73222"/>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B55CE3"/>
    <w:multiLevelType w:val="hybridMultilevel"/>
    <w:tmpl w:val="A1A495F6"/>
    <w:lvl w:ilvl="0" w:tplc="7C7E7C9A">
      <w:start w:val="1"/>
      <w:numFmt w:val="decimal"/>
      <w:lvlText w:val="%1."/>
      <w:lvlJc w:val="left"/>
      <w:pPr>
        <w:ind w:left="717" w:hanging="360"/>
      </w:pPr>
      <w:rPr>
        <w:rFonts w:hint="default"/>
      </w:rPr>
    </w:lvl>
    <w:lvl w:ilvl="1" w:tplc="04090019">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15:restartNumberingAfterBreak="0">
    <w:nsid w:val="06EF1F67"/>
    <w:multiLevelType w:val="multilevel"/>
    <w:tmpl w:val="F59854E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C5A79E8"/>
    <w:multiLevelType w:val="hybridMultilevel"/>
    <w:tmpl w:val="FD845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844412"/>
    <w:multiLevelType w:val="hybridMultilevel"/>
    <w:tmpl w:val="3D7E9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A11B91"/>
    <w:multiLevelType w:val="multilevel"/>
    <w:tmpl w:val="CAA833B8"/>
    <w:numStyleLink w:val="111111"/>
  </w:abstractNum>
  <w:abstractNum w:abstractNumId="7" w15:restartNumberingAfterBreak="0">
    <w:nsid w:val="16B13FD5"/>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E21D1A"/>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444E92"/>
    <w:multiLevelType w:val="hybridMultilevel"/>
    <w:tmpl w:val="FF7CC64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B83A03"/>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A35143"/>
    <w:multiLevelType w:val="hybridMultilevel"/>
    <w:tmpl w:val="C6BEE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8E35A8"/>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A0B157F"/>
    <w:multiLevelType w:val="hybridMultilevel"/>
    <w:tmpl w:val="F3C6A782"/>
    <w:lvl w:ilvl="0" w:tplc="9C969862">
      <w:start w:val="1"/>
      <w:numFmt w:val="decimal"/>
      <w:lvlText w:val="%1."/>
      <w:lvlJc w:val="left"/>
      <w:pPr>
        <w:ind w:left="360" w:hanging="360"/>
      </w:pPr>
      <w:rPr>
        <w:rFonts w:ascii="Times New Roman" w:hAnsi="Times New Roman"/>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E37F3D"/>
    <w:multiLevelType w:val="hybridMultilevel"/>
    <w:tmpl w:val="445623F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5D3397"/>
    <w:multiLevelType w:val="hybridMultilevel"/>
    <w:tmpl w:val="C1AECB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5B6150"/>
    <w:multiLevelType w:val="hybridMultilevel"/>
    <w:tmpl w:val="1D7A44B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4C731D"/>
    <w:multiLevelType w:val="hybridMultilevel"/>
    <w:tmpl w:val="F1EA6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421405"/>
    <w:multiLevelType w:val="hybridMultilevel"/>
    <w:tmpl w:val="A1A495F6"/>
    <w:lvl w:ilvl="0" w:tplc="7C7E7C9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925246"/>
    <w:multiLevelType w:val="hybridMultilevel"/>
    <w:tmpl w:val="37B47F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C716D52"/>
    <w:multiLevelType w:val="hybridMultilevel"/>
    <w:tmpl w:val="78FCF34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2A37F1"/>
    <w:multiLevelType w:val="hybridMultilevel"/>
    <w:tmpl w:val="9566143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BF579F"/>
    <w:multiLevelType w:val="hybridMultilevel"/>
    <w:tmpl w:val="6ABC39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0336F5"/>
    <w:multiLevelType w:val="hybridMultilevel"/>
    <w:tmpl w:val="35F43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52025EA"/>
    <w:multiLevelType w:val="hybridMultilevel"/>
    <w:tmpl w:val="7B724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5632C68"/>
    <w:multiLevelType w:val="hybridMultilevel"/>
    <w:tmpl w:val="9A703F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5D40A5A"/>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7722653"/>
    <w:multiLevelType w:val="hybridMultilevel"/>
    <w:tmpl w:val="F1EA6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98E239E"/>
    <w:multiLevelType w:val="hybridMultilevel"/>
    <w:tmpl w:val="DAD83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B320354"/>
    <w:multiLevelType w:val="hybridMultilevel"/>
    <w:tmpl w:val="DAD83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C952941"/>
    <w:multiLevelType w:val="hybridMultilevel"/>
    <w:tmpl w:val="880CD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7E22F1"/>
    <w:multiLevelType w:val="hybridMultilevel"/>
    <w:tmpl w:val="50F64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636101"/>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EAF541E"/>
    <w:multiLevelType w:val="hybridMultilevel"/>
    <w:tmpl w:val="B7163BF4"/>
    <w:lvl w:ilvl="0" w:tplc="7A72EA0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2513F3"/>
    <w:multiLevelType w:val="hybridMultilevel"/>
    <w:tmpl w:val="FBB4E0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4A179B6"/>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7C20039"/>
    <w:multiLevelType w:val="hybridMultilevel"/>
    <w:tmpl w:val="52A6208C"/>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7D42DE2"/>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96374D2"/>
    <w:multiLevelType w:val="hybridMultilevel"/>
    <w:tmpl w:val="FBB4E0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C8A6F0E"/>
    <w:multiLevelType w:val="hybridMultilevel"/>
    <w:tmpl w:val="F3C6A782"/>
    <w:lvl w:ilvl="0" w:tplc="9C969862">
      <w:start w:val="1"/>
      <w:numFmt w:val="decimal"/>
      <w:lvlText w:val="%1."/>
      <w:lvlJc w:val="left"/>
      <w:pPr>
        <w:ind w:left="360" w:hanging="360"/>
      </w:pPr>
      <w:rPr>
        <w:rFonts w:ascii="Times New Roman" w:hAnsi="Times New Roman"/>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E2C0DF8"/>
    <w:multiLevelType w:val="multilevel"/>
    <w:tmpl w:val="CAA833B8"/>
    <w:styleLink w:val="111111"/>
    <w:lvl w:ilvl="0">
      <w:start w:val="1"/>
      <w:numFmt w:val="decimal"/>
      <w:pStyle w:val="RFQPartA-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E96721D"/>
    <w:multiLevelType w:val="hybridMultilevel"/>
    <w:tmpl w:val="F1EA6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EC57AC2"/>
    <w:multiLevelType w:val="hybridMultilevel"/>
    <w:tmpl w:val="63982F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F69082D"/>
    <w:multiLevelType w:val="hybridMultilevel"/>
    <w:tmpl w:val="CD9C95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0B135AE"/>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1A832FE"/>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4F027EB"/>
    <w:multiLevelType w:val="hybridMultilevel"/>
    <w:tmpl w:val="37B47F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67618DB"/>
    <w:multiLevelType w:val="hybridMultilevel"/>
    <w:tmpl w:val="35F43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7905206"/>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8CE75DF"/>
    <w:multiLevelType w:val="hybridMultilevel"/>
    <w:tmpl w:val="5B320CC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9216396"/>
    <w:multiLevelType w:val="hybridMultilevel"/>
    <w:tmpl w:val="89D42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DC26A5F"/>
    <w:multiLevelType w:val="hybridMultilevel"/>
    <w:tmpl w:val="C6BEE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DC328BB"/>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F031955"/>
    <w:multiLevelType w:val="hybridMultilevel"/>
    <w:tmpl w:val="DAD83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FA37FB7"/>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12D1BB3"/>
    <w:multiLevelType w:val="hybridMultilevel"/>
    <w:tmpl w:val="A2FE928E"/>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42C18FB"/>
    <w:multiLevelType w:val="hybridMultilevel"/>
    <w:tmpl w:val="F1EA6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6BC6453"/>
    <w:multiLevelType w:val="hybridMultilevel"/>
    <w:tmpl w:val="04A68D34"/>
    <w:lvl w:ilvl="0" w:tplc="08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9016470"/>
    <w:multiLevelType w:val="hybridMultilevel"/>
    <w:tmpl w:val="E3C8F7D6"/>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B786B53"/>
    <w:multiLevelType w:val="hybridMultilevel"/>
    <w:tmpl w:val="3FF066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C6B6D51"/>
    <w:multiLevelType w:val="hybridMultilevel"/>
    <w:tmpl w:val="1554AE3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8B0137"/>
    <w:multiLevelType w:val="hybridMultilevel"/>
    <w:tmpl w:val="3D7E9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E6C3C6D"/>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59"/>
  </w:num>
  <w:num w:numId="3">
    <w:abstractNumId w:val="0"/>
  </w:num>
  <w:num w:numId="4">
    <w:abstractNumId w:val="20"/>
  </w:num>
  <w:num w:numId="5">
    <w:abstractNumId w:val="51"/>
  </w:num>
  <w:num w:numId="6">
    <w:abstractNumId w:val="11"/>
  </w:num>
  <w:num w:numId="7">
    <w:abstractNumId w:val="40"/>
  </w:num>
  <w:num w:numId="8">
    <w:abstractNumId w:val="6"/>
    <w:lvlOverride w:ilvl="0">
      <w:lvl w:ilvl="0">
        <w:start w:val="1"/>
        <w:numFmt w:val="decimal"/>
        <w:pStyle w:val="RFQPartA-Level1"/>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sz w:val="20"/>
          <w:szCs w:val="2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49"/>
  </w:num>
  <w:num w:numId="10">
    <w:abstractNumId w:val="30"/>
  </w:num>
  <w:num w:numId="11">
    <w:abstractNumId w:val="39"/>
  </w:num>
  <w:num w:numId="12">
    <w:abstractNumId w:val="43"/>
  </w:num>
  <w:num w:numId="13">
    <w:abstractNumId w:val="9"/>
  </w:num>
  <w:num w:numId="14">
    <w:abstractNumId w:val="57"/>
  </w:num>
  <w:num w:numId="15">
    <w:abstractNumId w:val="22"/>
  </w:num>
  <w:num w:numId="16">
    <w:abstractNumId w:val="10"/>
  </w:num>
  <w:num w:numId="17">
    <w:abstractNumId w:val="14"/>
  </w:num>
  <w:num w:numId="18">
    <w:abstractNumId w:val="23"/>
  </w:num>
  <w:num w:numId="19">
    <w:abstractNumId w:val="47"/>
  </w:num>
  <w:num w:numId="20">
    <w:abstractNumId w:val="58"/>
  </w:num>
  <w:num w:numId="21">
    <w:abstractNumId w:val="42"/>
  </w:num>
  <w:num w:numId="22">
    <w:abstractNumId w:val="24"/>
  </w:num>
  <w:num w:numId="23">
    <w:abstractNumId w:val="50"/>
  </w:num>
  <w:num w:numId="24">
    <w:abstractNumId w:val="21"/>
  </w:num>
  <w:num w:numId="25">
    <w:abstractNumId w:val="48"/>
  </w:num>
  <w:num w:numId="26">
    <w:abstractNumId w:val="35"/>
  </w:num>
  <w:num w:numId="27">
    <w:abstractNumId w:val="4"/>
  </w:num>
  <w:num w:numId="28">
    <w:abstractNumId w:val="5"/>
  </w:num>
  <w:num w:numId="29">
    <w:abstractNumId w:val="61"/>
  </w:num>
  <w:num w:numId="30">
    <w:abstractNumId w:val="15"/>
  </w:num>
  <w:num w:numId="31">
    <w:abstractNumId w:val="55"/>
  </w:num>
  <w:num w:numId="32">
    <w:abstractNumId w:val="36"/>
  </w:num>
  <w:num w:numId="33">
    <w:abstractNumId w:val="31"/>
  </w:num>
  <w:num w:numId="34">
    <w:abstractNumId w:val="32"/>
  </w:num>
  <w:num w:numId="35">
    <w:abstractNumId w:val="16"/>
  </w:num>
  <w:num w:numId="36">
    <w:abstractNumId w:val="60"/>
  </w:num>
  <w:num w:numId="37">
    <w:abstractNumId w:val="27"/>
  </w:num>
  <w:num w:numId="38">
    <w:abstractNumId w:val="7"/>
  </w:num>
  <w:num w:numId="39">
    <w:abstractNumId w:val="26"/>
  </w:num>
  <w:num w:numId="40">
    <w:abstractNumId w:val="8"/>
  </w:num>
  <w:num w:numId="41">
    <w:abstractNumId w:val="1"/>
  </w:num>
  <w:num w:numId="42">
    <w:abstractNumId w:val="54"/>
  </w:num>
  <w:num w:numId="43">
    <w:abstractNumId w:val="38"/>
  </w:num>
  <w:num w:numId="44">
    <w:abstractNumId w:val="28"/>
  </w:num>
  <w:num w:numId="45">
    <w:abstractNumId w:val="34"/>
  </w:num>
  <w:num w:numId="46">
    <w:abstractNumId w:val="53"/>
  </w:num>
  <w:num w:numId="47">
    <w:abstractNumId w:val="25"/>
  </w:num>
  <w:num w:numId="48">
    <w:abstractNumId w:val="17"/>
  </w:num>
  <w:num w:numId="49">
    <w:abstractNumId w:val="56"/>
  </w:num>
  <w:num w:numId="50">
    <w:abstractNumId w:val="41"/>
  </w:num>
  <w:num w:numId="51">
    <w:abstractNumId w:val="46"/>
  </w:num>
  <w:num w:numId="52">
    <w:abstractNumId w:val="18"/>
  </w:num>
  <w:num w:numId="53">
    <w:abstractNumId w:val="2"/>
  </w:num>
  <w:num w:numId="54">
    <w:abstractNumId w:val="19"/>
  </w:num>
  <w:num w:numId="55">
    <w:abstractNumId w:val="52"/>
  </w:num>
  <w:num w:numId="56">
    <w:abstractNumId w:val="45"/>
  </w:num>
  <w:num w:numId="57">
    <w:abstractNumId w:val="62"/>
  </w:num>
  <w:num w:numId="58">
    <w:abstractNumId w:val="13"/>
  </w:num>
  <w:num w:numId="59">
    <w:abstractNumId w:val="12"/>
  </w:num>
  <w:num w:numId="60">
    <w:abstractNumId w:val="29"/>
  </w:num>
  <w:num w:numId="61">
    <w:abstractNumId w:val="33"/>
  </w:num>
  <w:num w:numId="62">
    <w:abstractNumId w:val="44"/>
  </w:num>
  <w:num w:numId="63">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099"/>
    <w:rsid w:val="00000874"/>
    <w:rsid w:val="000009C1"/>
    <w:rsid w:val="00001AAC"/>
    <w:rsid w:val="00001FEC"/>
    <w:rsid w:val="00003600"/>
    <w:rsid w:val="00003790"/>
    <w:rsid w:val="000045FC"/>
    <w:rsid w:val="000047CA"/>
    <w:rsid w:val="0000485D"/>
    <w:rsid w:val="00004D81"/>
    <w:rsid w:val="000052E6"/>
    <w:rsid w:val="00005756"/>
    <w:rsid w:val="000057CF"/>
    <w:rsid w:val="0000582A"/>
    <w:rsid w:val="00005F1B"/>
    <w:rsid w:val="00006891"/>
    <w:rsid w:val="0000702D"/>
    <w:rsid w:val="000073EB"/>
    <w:rsid w:val="00007B55"/>
    <w:rsid w:val="00010031"/>
    <w:rsid w:val="000103BC"/>
    <w:rsid w:val="00010F6D"/>
    <w:rsid w:val="0001184F"/>
    <w:rsid w:val="00011BE5"/>
    <w:rsid w:val="00012BE6"/>
    <w:rsid w:val="00012C3F"/>
    <w:rsid w:val="00012CDA"/>
    <w:rsid w:val="00012EB2"/>
    <w:rsid w:val="00013C38"/>
    <w:rsid w:val="00013DF4"/>
    <w:rsid w:val="00013FF3"/>
    <w:rsid w:val="00014231"/>
    <w:rsid w:val="00014C14"/>
    <w:rsid w:val="00014D67"/>
    <w:rsid w:val="00014D84"/>
    <w:rsid w:val="00014DE0"/>
    <w:rsid w:val="00015C04"/>
    <w:rsid w:val="00015E06"/>
    <w:rsid w:val="00016F48"/>
    <w:rsid w:val="000171ED"/>
    <w:rsid w:val="00017310"/>
    <w:rsid w:val="00017396"/>
    <w:rsid w:val="000177C7"/>
    <w:rsid w:val="00017BD7"/>
    <w:rsid w:val="00020DC3"/>
    <w:rsid w:val="0002173B"/>
    <w:rsid w:val="000224DB"/>
    <w:rsid w:val="0002268F"/>
    <w:rsid w:val="000226CB"/>
    <w:rsid w:val="00022721"/>
    <w:rsid w:val="000228ED"/>
    <w:rsid w:val="0002490E"/>
    <w:rsid w:val="00024B57"/>
    <w:rsid w:val="00024CF0"/>
    <w:rsid w:val="00024F0C"/>
    <w:rsid w:val="00024FAA"/>
    <w:rsid w:val="000252CD"/>
    <w:rsid w:val="0002575C"/>
    <w:rsid w:val="0002672B"/>
    <w:rsid w:val="00027A98"/>
    <w:rsid w:val="000300D8"/>
    <w:rsid w:val="0003053B"/>
    <w:rsid w:val="00030841"/>
    <w:rsid w:val="000310F6"/>
    <w:rsid w:val="000313A4"/>
    <w:rsid w:val="00032313"/>
    <w:rsid w:val="00032A83"/>
    <w:rsid w:val="00032F0E"/>
    <w:rsid w:val="000331C1"/>
    <w:rsid w:val="0003395D"/>
    <w:rsid w:val="000339E3"/>
    <w:rsid w:val="00033BDF"/>
    <w:rsid w:val="00033C12"/>
    <w:rsid w:val="00033D4C"/>
    <w:rsid w:val="000340C1"/>
    <w:rsid w:val="000341A2"/>
    <w:rsid w:val="000342FA"/>
    <w:rsid w:val="00034CC6"/>
    <w:rsid w:val="00034FD9"/>
    <w:rsid w:val="00035865"/>
    <w:rsid w:val="00035A13"/>
    <w:rsid w:val="00036829"/>
    <w:rsid w:val="00036F8F"/>
    <w:rsid w:val="00037311"/>
    <w:rsid w:val="0003781F"/>
    <w:rsid w:val="00037CD6"/>
    <w:rsid w:val="000407D6"/>
    <w:rsid w:val="000408AF"/>
    <w:rsid w:val="00040FC9"/>
    <w:rsid w:val="00041327"/>
    <w:rsid w:val="00041A97"/>
    <w:rsid w:val="00041B83"/>
    <w:rsid w:val="00041BDB"/>
    <w:rsid w:val="00041EF4"/>
    <w:rsid w:val="0004239D"/>
    <w:rsid w:val="00042443"/>
    <w:rsid w:val="00042727"/>
    <w:rsid w:val="00042FA8"/>
    <w:rsid w:val="000437B2"/>
    <w:rsid w:val="00043978"/>
    <w:rsid w:val="00043C8C"/>
    <w:rsid w:val="00043F26"/>
    <w:rsid w:val="000441EC"/>
    <w:rsid w:val="00044211"/>
    <w:rsid w:val="00044309"/>
    <w:rsid w:val="000443BD"/>
    <w:rsid w:val="0004465B"/>
    <w:rsid w:val="00044776"/>
    <w:rsid w:val="00044D67"/>
    <w:rsid w:val="00044DC5"/>
    <w:rsid w:val="00044E17"/>
    <w:rsid w:val="0004506D"/>
    <w:rsid w:val="00045263"/>
    <w:rsid w:val="00045488"/>
    <w:rsid w:val="0004554F"/>
    <w:rsid w:val="000456C5"/>
    <w:rsid w:val="00045B67"/>
    <w:rsid w:val="00045F0E"/>
    <w:rsid w:val="000461E2"/>
    <w:rsid w:val="00046887"/>
    <w:rsid w:val="00047359"/>
    <w:rsid w:val="00047821"/>
    <w:rsid w:val="00047DC3"/>
    <w:rsid w:val="0005033E"/>
    <w:rsid w:val="00050452"/>
    <w:rsid w:val="000508BB"/>
    <w:rsid w:val="00051199"/>
    <w:rsid w:val="00051510"/>
    <w:rsid w:val="000523D4"/>
    <w:rsid w:val="00052486"/>
    <w:rsid w:val="00052FAC"/>
    <w:rsid w:val="000532B3"/>
    <w:rsid w:val="00053AC7"/>
    <w:rsid w:val="00053B8F"/>
    <w:rsid w:val="000552B4"/>
    <w:rsid w:val="00055424"/>
    <w:rsid w:val="0005583C"/>
    <w:rsid w:val="000559ED"/>
    <w:rsid w:val="00055EAF"/>
    <w:rsid w:val="0005675F"/>
    <w:rsid w:val="000569E7"/>
    <w:rsid w:val="00056ABF"/>
    <w:rsid w:val="00056B1E"/>
    <w:rsid w:val="00060792"/>
    <w:rsid w:val="000609F9"/>
    <w:rsid w:val="000610C5"/>
    <w:rsid w:val="00061116"/>
    <w:rsid w:val="0006197A"/>
    <w:rsid w:val="000628FF"/>
    <w:rsid w:val="000629A0"/>
    <w:rsid w:val="00062B56"/>
    <w:rsid w:val="0006309A"/>
    <w:rsid w:val="0006334F"/>
    <w:rsid w:val="000638FC"/>
    <w:rsid w:val="00063CC6"/>
    <w:rsid w:val="00063F12"/>
    <w:rsid w:val="00063F46"/>
    <w:rsid w:val="00064943"/>
    <w:rsid w:val="00064A86"/>
    <w:rsid w:val="000657BB"/>
    <w:rsid w:val="000665BF"/>
    <w:rsid w:val="000665E1"/>
    <w:rsid w:val="0006668C"/>
    <w:rsid w:val="00066997"/>
    <w:rsid w:val="00066BB7"/>
    <w:rsid w:val="00066CDA"/>
    <w:rsid w:val="00066E49"/>
    <w:rsid w:val="0006760D"/>
    <w:rsid w:val="000707EA"/>
    <w:rsid w:val="00070B76"/>
    <w:rsid w:val="00071098"/>
    <w:rsid w:val="000713EC"/>
    <w:rsid w:val="000714CD"/>
    <w:rsid w:val="000716A4"/>
    <w:rsid w:val="000716D6"/>
    <w:rsid w:val="00071A33"/>
    <w:rsid w:val="00071AA2"/>
    <w:rsid w:val="00072166"/>
    <w:rsid w:val="00072AE8"/>
    <w:rsid w:val="0007306E"/>
    <w:rsid w:val="00073691"/>
    <w:rsid w:val="00074002"/>
    <w:rsid w:val="00074645"/>
    <w:rsid w:val="00075036"/>
    <w:rsid w:val="000750E6"/>
    <w:rsid w:val="000763BA"/>
    <w:rsid w:val="000763CF"/>
    <w:rsid w:val="0007691F"/>
    <w:rsid w:val="00076DAF"/>
    <w:rsid w:val="00077097"/>
    <w:rsid w:val="000770E1"/>
    <w:rsid w:val="000771FD"/>
    <w:rsid w:val="00077B65"/>
    <w:rsid w:val="0008071F"/>
    <w:rsid w:val="00080783"/>
    <w:rsid w:val="000817D6"/>
    <w:rsid w:val="00081A67"/>
    <w:rsid w:val="00081B34"/>
    <w:rsid w:val="00082519"/>
    <w:rsid w:val="0008278E"/>
    <w:rsid w:val="00082C2C"/>
    <w:rsid w:val="00082CAF"/>
    <w:rsid w:val="000830D7"/>
    <w:rsid w:val="00083B82"/>
    <w:rsid w:val="0008419D"/>
    <w:rsid w:val="0008469F"/>
    <w:rsid w:val="00084858"/>
    <w:rsid w:val="00084AAB"/>
    <w:rsid w:val="00086E08"/>
    <w:rsid w:val="00086E95"/>
    <w:rsid w:val="00087352"/>
    <w:rsid w:val="000879C9"/>
    <w:rsid w:val="00087BAB"/>
    <w:rsid w:val="000900C0"/>
    <w:rsid w:val="00090303"/>
    <w:rsid w:val="00090B50"/>
    <w:rsid w:val="0009148C"/>
    <w:rsid w:val="00091594"/>
    <w:rsid w:val="00091697"/>
    <w:rsid w:val="00091F50"/>
    <w:rsid w:val="0009230F"/>
    <w:rsid w:val="00092C0F"/>
    <w:rsid w:val="00093992"/>
    <w:rsid w:val="000942C8"/>
    <w:rsid w:val="00094FE8"/>
    <w:rsid w:val="000951E5"/>
    <w:rsid w:val="00095382"/>
    <w:rsid w:val="00095E91"/>
    <w:rsid w:val="000964C0"/>
    <w:rsid w:val="000968D5"/>
    <w:rsid w:val="00096B49"/>
    <w:rsid w:val="00096FA1"/>
    <w:rsid w:val="000972C0"/>
    <w:rsid w:val="000974DA"/>
    <w:rsid w:val="00097E38"/>
    <w:rsid w:val="000A030F"/>
    <w:rsid w:val="000A076A"/>
    <w:rsid w:val="000A08F0"/>
    <w:rsid w:val="000A0B6F"/>
    <w:rsid w:val="000A1186"/>
    <w:rsid w:val="000A141F"/>
    <w:rsid w:val="000A1B37"/>
    <w:rsid w:val="000A21D3"/>
    <w:rsid w:val="000A234C"/>
    <w:rsid w:val="000A34F7"/>
    <w:rsid w:val="000A35B4"/>
    <w:rsid w:val="000A41ED"/>
    <w:rsid w:val="000A4B55"/>
    <w:rsid w:val="000A533E"/>
    <w:rsid w:val="000A5DF7"/>
    <w:rsid w:val="000A62D9"/>
    <w:rsid w:val="000A63B2"/>
    <w:rsid w:val="000A6D25"/>
    <w:rsid w:val="000A6F18"/>
    <w:rsid w:val="000A6FDD"/>
    <w:rsid w:val="000A70C4"/>
    <w:rsid w:val="000A70D0"/>
    <w:rsid w:val="000A7B72"/>
    <w:rsid w:val="000B0456"/>
    <w:rsid w:val="000B0924"/>
    <w:rsid w:val="000B09BB"/>
    <w:rsid w:val="000B0DBC"/>
    <w:rsid w:val="000B0F96"/>
    <w:rsid w:val="000B1B6D"/>
    <w:rsid w:val="000B2361"/>
    <w:rsid w:val="000B24C6"/>
    <w:rsid w:val="000B268D"/>
    <w:rsid w:val="000B319E"/>
    <w:rsid w:val="000B3E52"/>
    <w:rsid w:val="000B4385"/>
    <w:rsid w:val="000B4DE9"/>
    <w:rsid w:val="000B51E8"/>
    <w:rsid w:val="000B5588"/>
    <w:rsid w:val="000B5B4E"/>
    <w:rsid w:val="000B5D38"/>
    <w:rsid w:val="000B6359"/>
    <w:rsid w:val="000B6423"/>
    <w:rsid w:val="000B6598"/>
    <w:rsid w:val="000B6E58"/>
    <w:rsid w:val="000B6E5B"/>
    <w:rsid w:val="000B70A5"/>
    <w:rsid w:val="000B7377"/>
    <w:rsid w:val="000B76E6"/>
    <w:rsid w:val="000B7B65"/>
    <w:rsid w:val="000B7E5E"/>
    <w:rsid w:val="000C04D6"/>
    <w:rsid w:val="000C0D65"/>
    <w:rsid w:val="000C126F"/>
    <w:rsid w:val="000C141D"/>
    <w:rsid w:val="000C1487"/>
    <w:rsid w:val="000C1E5E"/>
    <w:rsid w:val="000C24C3"/>
    <w:rsid w:val="000C2D34"/>
    <w:rsid w:val="000C2D59"/>
    <w:rsid w:val="000C325A"/>
    <w:rsid w:val="000C32FF"/>
    <w:rsid w:val="000C33AD"/>
    <w:rsid w:val="000C35EE"/>
    <w:rsid w:val="000C3A0B"/>
    <w:rsid w:val="000C4A16"/>
    <w:rsid w:val="000C51CF"/>
    <w:rsid w:val="000C5531"/>
    <w:rsid w:val="000C5568"/>
    <w:rsid w:val="000C5965"/>
    <w:rsid w:val="000C62AA"/>
    <w:rsid w:val="000C68E3"/>
    <w:rsid w:val="000C72D8"/>
    <w:rsid w:val="000C7E34"/>
    <w:rsid w:val="000D01C4"/>
    <w:rsid w:val="000D0721"/>
    <w:rsid w:val="000D0928"/>
    <w:rsid w:val="000D1321"/>
    <w:rsid w:val="000D1420"/>
    <w:rsid w:val="000D1C76"/>
    <w:rsid w:val="000D1CDB"/>
    <w:rsid w:val="000D1FF7"/>
    <w:rsid w:val="000D38F4"/>
    <w:rsid w:val="000D3FC9"/>
    <w:rsid w:val="000D4941"/>
    <w:rsid w:val="000D49A9"/>
    <w:rsid w:val="000D4B44"/>
    <w:rsid w:val="000D52D5"/>
    <w:rsid w:val="000D5AB0"/>
    <w:rsid w:val="000D5BA7"/>
    <w:rsid w:val="000D5DFB"/>
    <w:rsid w:val="000D5FE2"/>
    <w:rsid w:val="000D6254"/>
    <w:rsid w:val="000D63C3"/>
    <w:rsid w:val="000D6A26"/>
    <w:rsid w:val="000D7398"/>
    <w:rsid w:val="000D75BE"/>
    <w:rsid w:val="000D77E4"/>
    <w:rsid w:val="000D7BA0"/>
    <w:rsid w:val="000D7D0D"/>
    <w:rsid w:val="000E0294"/>
    <w:rsid w:val="000E033B"/>
    <w:rsid w:val="000E0404"/>
    <w:rsid w:val="000E0408"/>
    <w:rsid w:val="000E0AEC"/>
    <w:rsid w:val="000E1286"/>
    <w:rsid w:val="000E218F"/>
    <w:rsid w:val="000E3673"/>
    <w:rsid w:val="000E41C8"/>
    <w:rsid w:val="000E48AD"/>
    <w:rsid w:val="000E4C6A"/>
    <w:rsid w:val="000E5148"/>
    <w:rsid w:val="000E5451"/>
    <w:rsid w:val="000E577B"/>
    <w:rsid w:val="000E6077"/>
    <w:rsid w:val="000E61CD"/>
    <w:rsid w:val="000E6628"/>
    <w:rsid w:val="000E6707"/>
    <w:rsid w:val="000E6A93"/>
    <w:rsid w:val="000E6AAF"/>
    <w:rsid w:val="000E71CA"/>
    <w:rsid w:val="000E7FA1"/>
    <w:rsid w:val="000F0A7B"/>
    <w:rsid w:val="000F1262"/>
    <w:rsid w:val="000F1511"/>
    <w:rsid w:val="000F1E05"/>
    <w:rsid w:val="000F24EB"/>
    <w:rsid w:val="000F2890"/>
    <w:rsid w:val="000F2BBC"/>
    <w:rsid w:val="000F2FBE"/>
    <w:rsid w:val="000F2FE9"/>
    <w:rsid w:val="000F3103"/>
    <w:rsid w:val="000F49AE"/>
    <w:rsid w:val="000F5291"/>
    <w:rsid w:val="000F56C0"/>
    <w:rsid w:val="000F59D5"/>
    <w:rsid w:val="000F5C49"/>
    <w:rsid w:val="000F6657"/>
    <w:rsid w:val="000F69E0"/>
    <w:rsid w:val="000F6CD8"/>
    <w:rsid w:val="000F7373"/>
    <w:rsid w:val="000F7A90"/>
    <w:rsid w:val="000F7E3E"/>
    <w:rsid w:val="000F7EFB"/>
    <w:rsid w:val="000F7FAE"/>
    <w:rsid w:val="001005DB"/>
    <w:rsid w:val="001008A0"/>
    <w:rsid w:val="00100988"/>
    <w:rsid w:val="00100CBD"/>
    <w:rsid w:val="00100D3A"/>
    <w:rsid w:val="00100E4D"/>
    <w:rsid w:val="00100FA9"/>
    <w:rsid w:val="00101777"/>
    <w:rsid w:val="00102651"/>
    <w:rsid w:val="00102AB2"/>
    <w:rsid w:val="001034AB"/>
    <w:rsid w:val="001039E2"/>
    <w:rsid w:val="00103A4A"/>
    <w:rsid w:val="0010457D"/>
    <w:rsid w:val="001045AC"/>
    <w:rsid w:val="00104C69"/>
    <w:rsid w:val="0010504F"/>
    <w:rsid w:val="00105361"/>
    <w:rsid w:val="00105702"/>
    <w:rsid w:val="001064B4"/>
    <w:rsid w:val="0010757B"/>
    <w:rsid w:val="001079AD"/>
    <w:rsid w:val="00107A47"/>
    <w:rsid w:val="00107B8B"/>
    <w:rsid w:val="00110088"/>
    <w:rsid w:val="00110111"/>
    <w:rsid w:val="001102A7"/>
    <w:rsid w:val="00110769"/>
    <w:rsid w:val="001107EE"/>
    <w:rsid w:val="00110F07"/>
    <w:rsid w:val="00111AD6"/>
    <w:rsid w:val="00112AE0"/>
    <w:rsid w:val="00112F63"/>
    <w:rsid w:val="00113B48"/>
    <w:rsid w:val="00114144"/>
    <w:rsid w:val="00114173"/>
    <w:rsid w:val="00114447"/>
    <w:rsid w:val="00114831"/>
    <w:rsid w:val="001149C1"/>
    <w:rsid w:val="00114CA6"/>
    <w:rsid w:val="00116557"/>
    <w:rsid w:val="0011693C"/>
    <w:rsid w:val="00116C44"/>
    <w:rsid w:val="0011784B"/>
    <w:rsid w:val="00120F05"/>
    <w:rsid w:val="00121D49"/>
    <w:rsid w:val="00122CE2"/>
    <w:rsid w:val="001230F9"/>
    <w:rsid w:val="00123484"/>
    <w:rsid w:val="001238E1"/>
    <w:rsid w:val="001247DC"/>
    <w:rsid w:val="001248B9"/>
    <w:rsid w:val="001250DA"/>
    <w:rsid w:val="001254AB"/>
    <w:rsid w:val="00125BFF"/>
    <w:rsid w:val="00125D51"/>
    <w:rsid w:val="0012620B"/>
    <w:rsid w:val="00126227"/>
    <w:rsid w:val="0012737E"/>
    <w:rsid w:val="00127ECE"/>
    <w:rsid w:val="0013036A"/>
    <w:rsid w:val="00130702"/>
    <w:rsid w:val="001314F8"/>
    <w:rsid w:val="001314FB"/>
    <w:rsid w:val="001321C2"/>
    <w:rsid w:val="00132B79"/>
    <w:rsid w:val="00133D12"/>
    <w:rsid w:val="001343DE"/>
    <w:rsid w:val="001347B8"/>
    <w:rsid w:val="00134890"/>
    <w:rsid w:val="00135E24"/>
    <w:rsid w:val="001361E8"/>
    <w:rsid w:val="00136426"/>
    <w:rsid w:val="0013680B"/>
    <w:rsid w:val="00136ECF"/>
    <w:rsid w:val="00137013"/>
    <w:rsid w:val="00137AE8"/>
    <w:rsid w:val="00137D1A"/>
    <w:rsid w:val="00137F3D"/>
    <w:rsid w:val="00137FEE"/>
    <w:rsid w:val="001402F6"/>
    <w:rsid w:val="00140F2C"/>
    <w:rsid w:val="0014118A"/>
    <w:rsid w:val="00141C4A"/>
    <w:rsid w:val="00141CE1"/>
    <w:rsid w:val="001429A9"/>
    <w:rsid w:val="0014367F"/>
    <w:rsid w:val="00143A01"/>
    <w:rsid w:val="00144050"/>
    <w:rsid w:val="0014496E"/>
    <w:rsid w:val="00144ADA"/>
    <w:rsid w:val="00144BD6"/>
    <w:rsid w:val="0014510E"/>
    <w:rsid w:val="001459B6"/>
    <w:rsid w:val="00145E68"/>
    <w:rsid w:val="001460E8"/>
    <w:rsid w:val="00146954"/>
    <w:rsid w:val="00146E93"/>
    <w:rsid w:val="001470CB"/>
    <w:rsid w:val="0014717B"/>
    <w:rsid w:val="00147DED"/>
    <w:rsid w:val="001502DB"/>
    <w:rsid w:val="0015116A"/>
    <w:rsid w:val="001515E6"/>
    <w:rsid w:val="00151738"/>
    <w:rsid w:val="00151F6F"/>
    <w:rsid w:val="00152907"/>
    <w:rsid w:val="00152D37"/>
    <w:rsid w:val="00152F88"/>
    <w:rsid w:val="0015317E"/>
    <w:rsid w:val="0015321D"/>
    <w:rsid w:val="001535E1"/>
    <w:rsid w:val="001542C6"/>
    <w:rsid w:val="00154992"/>
    <w:rsid w:val="00155127"/>
    <w:rsid w:val="00155270"/>
    <w:rsid w:val="00155636"/>
    <w:rsid w:val="00155B77"/>
    <w:rsid w:val="0015658F"/>
    <w:rsid w:val="001568EF"/>
    <w:rsid w:val="001569C9"/>
    <w:rsid w:val="00156E8D"/>
    <w:rsid w:val="00156F16"/>
    <w:rsid w:val="0015708A"/>
    <w:rsid w:val="001570A5"/>
    <w:rsid w:val="00157263"/>
    <w:rsid w:val="001573D9"/>
    <w:rsid w:val="00157886"/>
    <w:rsid w:val="00157D55"/>
    <w:rsid w:val="00157DFD"/>
    <w:rsid w:val="001601C5"/>
    <w:rsid w:val="001602F7"/>
    <w:rsid w:val="001607C3"/>
    <w:rsid w:val="00160D68"/>
    <w:rsid w:val="00161A3C"/>
    <w:rsid w:val="00161C43"/>
    <w:rsid w:val="00162A3F"/>
    <w:rsid w:val="00162DF2"/>
    <w:rsid w:val="00163AEC"/>
    <w:rsid w:val="00163FAB"/>
    <w:rsid w:val="00163FF9"/>
    <w:rsid w:val="0016411D"/>
    <w:rsid w:val="00164672"/>
    <w:rsid w:val="00164739"/>
    <w:rsid w:val="00164992"/>
    <w:rsid w:val="00164A15"/>
    <w:rsid w:val="00164DBA"/>
    <w:rsid w:val="00165034"/>
    <w:rsid w:val="00165C0A"/>
    <w:rsid w:val="00166698"/>
    <w:rsid w:val="0016721C"/>
    <w:rsid w:val="001672F5"/>
    <w:rsid w:val="0016778B"/>
    <w:rsid w:val="0016779B"/>
    <w:rsid w:val="0017032F"/>
    <w:rsid w:val="001708BC"/>
    <w:rsid w:val="00171878"/>
    <w:rsid w:val="00171B14"/>
    <w:rsid w:val="001729AF"/>
    <w:rsid w:val="00172CC7"/>
    <w:rsid w:val="00172EEA"/>
    <w:rsid w:val="00172FD1"/>
    <w:rsid w:val="0017318A"/>
    <w:rsid w:val="00173947"/>
    <w:rsid w:val="00173E25"/>
    <w:rsid w:val="001744ED"/>
    <w:rsid w:val="0017594D"/>
    <w:rsid w:val="00175A3A"/>
    <w:rsid w:val="0017603E"/>
    <w:rsid w:val="001760A4"/>
    <w:rsid w:val="001761A1"/>
    <w:rsid w:val="0017629F"/>
    <w:rsid w:val="00176B29"/>
    <w:rsid w:val="00176FD3"/>
    <w:rsid w:val="00177234"/>
    <w:rsid w:val="0017735B"/>
    <w:rsid w:val="00177560"/>
    <w:rsid w:val="00177606"/>
    <w:rsid w:val="00180A02"/>
    <w:rsid w:val="0018279A"/>
    <w:rsid w:val="001828C0"/>
    <w:rsid w:val="00182B5D"/>
    <w:rsid w:val="00182E46"/>
    <w:rsid w:val="00183AE9"/>
    <w:rsid w:val="00184603"/>
    <w:rsid w:val="001853DE"/>
    <w:rsid w:val="001857B2"/>
    <w:rsid w:val="00185B73"/>
    <w:rsid w:val="001865A3"/>
    <w:rsid w:val="00186844"/>
    <w:rsid w:val="0018688F"/>
    <w:rsid w:val="00186F78"/>
    <w:rsid w:val="0018719D"/>
    <w:rsid w:val="001871CE"/>
    <w:rsid w:val="0019019F"/>
    <w:rsid w:val="0019063E"/>
    <w:rsid w:val="00190720"/>
    <w:rsid w:val="0019092A"/>
    <w:rsid w:val="00191965"/>
    <w:rsid w:val="00191D19"/>
    <w:rsid w:val="00191E13"/>
    <w:rsid w:val="00192108"/>
    <w:rsid w:val="001934CD"/>
    <w:rsid w:val="00193BD0"/>
    <w:rsid w:val="00193D1E"/>
    <w:rsid w:val="00193D9B"/>
    <w:rsid w:val="00193DB7"/>
    <w:rsid w:val="00194C08"/>
    <w:rsid w:val="00195217"/>
    <w:rsid w:val="00195455"/>
    <w:rsid w:val="00195784"/>
    <w:rsid w:val="00195886"/>
    <w:rsid w:val="00195F1C"/>
    <w:rsid w:val="00196929"/>
    <w:rsid w:val="00196A48"/>
    <w:rsid w:val="001A02C4"/>
    <w:rsid w:val="001A10A9"/>
    <w:rsid w:val="001A10E2"/>
    <w:rsid w:val="001A1192"/>
    <w:rsid w:val="001A11A1"/>
    <w:rsid w:val="001A12FD"/>
    <w:rsid w:val="001A237C"/>
    <w:rsid w:val="001A2405"/>
    <w:rsid w:val="001A3258"/>
    <w:rsid w:val="001A3F64"/>
    <w:rsid w:val="001A3FDE"/>
    <w:rsid w:val="001A4814"/>
    <w:rsid w:val="001A4DA2"/>
    <w:rsid w:val="001A53DC"/>
    <w:rsid w:val="001A5550"/>
    <w:rsid w:val="001A5814"/>
    <w:rsid w:val="001A5DDE"/>
    <w:rsid w:val="001A5F15"/>
    <w:rsid w:val="001A62F0"/>
    <w:rsid w:val="001A64A9"/>
    <w:rsid w:val="001A6737"/>
    <w:rsid w:val="001A68A7"/>
    <w:rsid w:val="001A6FC2"/>
    <w:rsid w:val="001A7896"/>
    <w:rsid w:val="001A7965"/>
    <w:rsid w:val="001A7FD4"/>
    <w:rsid w:val="001B0A95"/>
    <w:rsid w:val="001B0EF1"/>
    <w:rsid w:val="001B112A"/>
    <w:rsid w:val="001B1547"/>
    <w:rsid w:val="001B1563"/>
    <w:rsid w:val="001B1A4A"/>
    <w:rsid w:val="001B1D7C"/>
    <w:rsid w:val="001B21B9"/>
    <w:rsid w:val="001B2302"/>
    <w:rsid w:val="001B2762"/>
    <w:rsid w:val="001B2D63"/>
    <w:rsid w:val="001B300E"/>
    <w:rsid w:val="001B3362"/>
    <w:rsid w:val="001B3B5C"/>
    <w:rsid w:val="001B3CDF"/>
    <w:rsid w:val="001B3CFA"/>
    <w:rsid w:val="001B41E1"/>
    <w:rsid w:val="001B4619"/>
    <w:rsid w:val="001B4F59"/>
    <w:rsid w:val="001B501F"/>
    <w:rsid w:val="001B544A"/>
    <w:rsid w:val="001B55BB"/>
    <w:rsid w:val="001B5CE0"/>
    <w:rsid w:val="001B7687"/>
    <w:rsid w:val="001B78C4"/>
    <w:rsid w:val="001B7CB6"/>
    <w:rsid w:val="001C0124"/>
    <w:rsid w:val="001C03E6"/>
    <w:rsid w:val="001C066C"/>
    <w:rsid w:val="001C0FCC"/>
    <w:rsid w:val="001C13A2"/>
    <w:rsid w:val="001C1679"/>
    <w:rsid w:val="001C1CF2"/>
    <w:rsid w:val="001C2086"/>
    <w:rsid w:val="001C331C"/>
    <w:rsid w:val="001C3335"/>
    <w:rsid w:val="001C37B7"/>
    <w:rsid w:val="001C3823"/>
    <w:rsid w:val="001C391C"/>
    <w:rsid w:val="001C3D3F"/>
    <w:rsid w:val="001C3D4D"/>
    <w:rsid w:val="001C40C8"/>
    <w:rsid w:val="001C4288"/>
    <w:rsid w:val="001C4347"/>
    <w:rsid w:val="001C44B0"/>
    <w:rsid w:val="001C4E28"/>
    <w:rsid w:val="001C52C3"/>
    <w:rsid w:val="001C52E7"/>
    <w:rsid w:val="001C5B35"/>
    <w:rsid w:val="001C6134"/>
    <w:rsid w:val="001C6255"/>
    <w:rsid w:val="001C6364"/>
    <w:rsid w:val="001C6486"/>
    <w:rsid w:val="001C6BA9"/>
    <w:rsid w:val="001C6DD0"/>
    <w:rsid w:val="001C6DDD"/>
    <w:rsid w:val="001C7650"/>
    <w:rsid w:val="001C7867"/>
    <w:rsid w:val="001C7B87"/>
    <w:rsid w:val="001D027C"/>
    <w:rsid w:val="001D0BAE"/>
    <w:rsid w:val="001D0F15"/>
    <w:rsid w:val="001D118D"/>
    <w:rsid w:val="001D1518"/>
    <w:rsid w:val="001D1562"/>
    <w:rsid w:val="001D1740"/>
    <w:rsid w:val="001D1768"/>
    <w:rsid w:val="001D1AEF"/>
    <w:rsid w:val="001D21D8"/>
    <w:rsid w:val="001D255E"/>
    <w:rsid w:val="001D3150"/>
    <w:rsid w:val="001D33D8"/>
    <w:rsid w:val="001D3DD5"/>
    <w:rsid w:val="001D4398"/>
    <w:rsid w:val="001D447D"/>
    <w:rsid w:val="001D4D37"/>
    <w:rsid w:val="001D55DC"/>
    <w:rsid w:val="001D668E"/>
    <w:rsid w:val="001D6A05"/>
    <w:rsid w:val="001D6D59"/>
    <w:rsid w:val="001D7052"/>
    <w:rsid w:val="001D70F4"/>
    <w:rsid w:val="001D76FC"/>
    <w:rsid w:val="001D79BB"/>
    <w:rsid w:val="001D7F27"/>
    <w:rsid w:val="001D7F45"/>
    <w:rsid w:val="001E0218"/>
    <w:rsid w:val="001E08B9"/>
    <w:rsid w:val="001E0FEE"/>
    <w:rsid w:val="001E126D"/>
    <w:rsid w:val="001E15FA"/>
    <w:rsid w:val="001E198A"/>
    <w:rsid w:val="001E1D9F"/>
    <w:rsid w:val="001E25DC"/>
    <w:rsid w:val="001E26C7"/>
    <w:rsid w:val="001E2E14"/>
    <w:rsid w:val="001E34D3"/>
    <w:rsid w:val="001E36B8"/>
    <w:rsid w:val="001E386D"/>
    <w:rsid w:val="001E3B3D"/>
    <w:rsid w:val="001E489E"/>
    <w:rsid w:val="001E4C31"/>
    <w:rsid w:val="001E4DE1"/>
    <w:rsid w:val="001E4EF6"/>
    <w:rsid w:val="001E4F19"/>
    <w:rsid w:val="001E528D"/>
    <w:rsid w:val="001E5628"/>
    <w:rsid w:val="001E6117"/>
    <w:rsid w:val="001E68A3"/>
    <w:rsid w:val="001E6A8B"/>
    <w:rsid w:val="001E6BB5"/>
    <w:rsid w:val="001E72EB"/>
    <w:rsid w:val="001E7601"/>
    <w:rsid w:val="001E7654"/>
    <w:rsid w:val="001E7885"/>
    <w:rsid w:val="001E7D47"/>
    <w:rsid w:val="001E7E4A"/>
    <w:rsid w:val="001F0635"/>
    <w:rsid w:val="001F0716"/>
    <w:rsid w:val="001F0838"/>
    <w:rsid w:val="001F0BB2"/>
    <w:rsid w:val="001F1144"/>
    <w:rsid w:val="001F13A0"/>
    <w:rsid w:val="001F2CBC"/>
    <w:rsid w:val="001F2D12"/>
    <w:rsid w:val="001F36AE"/>
    <w:rsid w:val="001F37A2"/>
    <w:rsid w:val="001F3C11"/>
    <w:rsid w:val="001F4A68"/>
    <w:rsid w:val="001F56A1"/>
    <w:rsid w:val="001F56BA"/>
    <w:rsid w:val="001F5E4C"/>
    <w:rsid w:val="001F5FAE"/>
    <w:rsid w:val="001F64CE"/>
    <w:rsid w:val="001F6E8C"/>
    <w:rsid w:val="00200416"/>
    <w:rsid w:val="002013B1"/>
    <w:rsid w:val="002016BF"/>
    <w:rsid w:val="002019A0"/>
    <w:rsid w:val="00201AEA"/>
    <w:rsid w:val="00201C55"/>
    <w:rsid w:val="00201C97"/>
    <w:rsid w:val="002024C7"/>
    <w:rsid w:val="00203828"/>
    <w:rsid w:val="0020393F"/>
    <w:rsid w:val="00203A75"/>
    <w:rsid w:val="0020499C"/>
    <w:rsid w:val="00205A97"/>
    <w:rsid w:val="00206C47"/>
    <w:rsid w:val="00206CD4"/>
    <w:rsid w:val="00206E8C"/>
    <w:rsid w:val="00207145"/>
    <w:rsid w:val="00207559"/>
    <w:rsid w:val="00210124"/>
    <w:rsid w:val="002103FB"/>
    <w:rsid w:val="00210686"/>
    <w:rsid w:val="00210C65"/>
    <w:rsid w:val="00210FF3"/>
    <w:rsid w:val="0021115A"/>
    <w:rsid w:val="00211C68"/>
    <w:rsid w:val="00211E5C"/>
    <w:rsid w:val="002123EB"/>
    <w:rsid w:val="0021248D"/>
    <w:rsid w:val="002127E9"/>
    <w:rsid w:val="002127F1"/>
    <w:rsid w:val="00212886"/>
    <w:rsid w:val="00212D00"/>
    <w:rsid w:val="0021357D"/>
    <w:rsid w:val="0021378A"/>
    <w:rsid w:val="002137E7"/>
    <w:rsid w:val="00213D35"/>
    <w:rsid w:val="0021420A"/>
    <w:rsid w:val="0021435F"/>
    <w:rsid w:val="002149BE"/>
    <w:rsid w:val="00214A6A"/>
    <w:rsid w:val="00214D2D"/>
    <w:rsid w:val="0021575F"/>
    <w:rsid w:val="002157D3"/>
    <w:rsid w:val="00215A1A"/>
    <w:rsid w:val="00215A98"/>
    <w:rsid w:val="0021609C"/>
    <w:rsid w:val="00217142"/>
    <w:rsid w:val="002179D2"/>
    <w:rsid w:val="00217A98"/>
    <w:rsid w:val="00217DDB"/>
    <w:rsid w:val="00220888"/>
    <w:rsid w:val="0022088E"/>
    <w:rsid w:val="00220AB1"/>
    <w:rsid w:val="0022100E"/>
    <w:rsid w:val="002211B4"/>
    <w:rsid w:val="0022162B"/>
    <w:rsid w:val="0022259D"/>
    <w:rsid w:val="0022263B"/>
    <w:rsid w:val="00222D4D"/>
    <w:rsid w:val="0022359E"/>
    <w:rsid w:val="00223FDA"/>
    <w:rsid w:val="002243BC"/>
    <w:rsid w:val="002250D4"/>
    <w:rsid w:val="002254D5"/>
    <w:rsid w:val="002256B8"/>
    <w:rsid w:val="00225AD8"/>
    <w:rsid w:val="00225E01"/>
    <w:rsid w:val="0023000D"/>
    <w:rsid w:val="00230073"/>
    <w:rsid w:val="0023014D"/>
    <w:rsid w:val="002303D6"/>
    <w:rsid w:val="00230E2E"/>
    <w:rsid w:val="00230F5C"/>
    <w:rsid w:val="002319F7"/>
    <w:rsid w:val="00231F17"/>
    <w:rsid w:val="00232983"/>
    <w:rsid w:val="00232AE8"/>
    <w:rsid w:val="00232AED"/>
    <w:rsid w:val="00232E83"/>
    <w:rsid w:val="002339D9"/>
    <w:rsid w:val="00233A42"/>
    <w:rsid w:val="00234081"/>
    <w:rsid w:val="00234DDB"/>
    <w:rsid w:val="00234F03"/>
    <w:rsid w:val="002350DC"/>
    <w:rsid w:val="002352D9"/>
    <w:rsid w:val="00235793"/>
    <w:rsid w:val="0023594B"/>
    <w:rsid w:val="00235C7B"/>
    <w:rsid w:val="00235ED9"/>
    <w:rsid w:val="00235FA2"/>
    <w:rsid w:val="0023612A"/>
    <w:rsid w:val="00236229"/>
    <w:rsid w:val="00236A2B"/>
    <w:rsid w:val="0023799B"/>
    <w:rsid w:val="00237BF5"/>
    <w:rsid w:val="00237D63"/>
    <w:rsid w:val="002402B4"/>
    <w:rsid w:val="00240361"/>
    <w:rsid w:val="002409D0"/>
    <w:rsid w:val="00240A0E"/>
    <w:rsid w:val="00240AA8"/>
    <w:rsid w:val="00240FB3"/>
    <w:rsid w:val="002413CC"/>
    <w:rsid w:val="002413D9"/>
    <w:rsid w:val="00241A71"/>
    <w:rsid w:val="00241A9B"/>
    <w:rsid w:val="00242098"/>
    <w:rsid w:val="002420DF"/>
    <w:rsid w:val="00243012"/>
    <w:rsid w:val="00243784"/>
    <w:rsid w:val="00244668"/>
    <w:rsid w:val="00244B21"/>
    <w:rsid w:val="00244F2A"/>
    <w:rsid w:val="0024531D"/>
    <w:rsid w:val="00245A2C"/>
    <w:rsid w:val="00245A2F"/>
    <w:rsid w:val="00245DB5"/>
    <w:rsid w:val="0024605B"/>
    <w:rsid w:val="002473B9"/>
    <w:rsid w:val="00247770"/>
    <w:rsid w:val="002502D8"/>
    <w:rsid w:val="0025089B"/>
    <w:rsid w:val="00250CE9"/>
    <w:rsid w:val="00250D23"/>
    <w:rsid w:val="0025177D"/>
    <w:rsid w:val="00251BAE"/>
    <w:rsid w:val="0025215E"/>
    <w:rsid w:val="00252A3E"/>
    <w:rsid w:val="00252E8E"/>
    <w:rsid w:val="00253828"/>
    <w:rsid w:val="00253986"/>
    <w:rsid w:val="00253FFD"/>
    <w:rsid w:val="00254556"/>
    <w:rsid w:val="00254785"/>
    <w:rsid w:val="002552E6"/>
    <w:rsid w:val="002558A7"/>
    <w:rsid w:val="00255F5A"/>
    <w:rsid w:val="0025650B"/>
    <w:rsid w:val="00256516"/>
    <w:rsid w:val="002567BE"/>
    <w:rsid w:val="00256B93"/>
    <w:rsid w:val="002577C6"/>
    <w:rsid w:val="0026022C"/>
    <w:rsid w:val="0026041C"/>
    <w:rsid w:val="002612D0"/>
    <w:rsid w:val="00261401"/>
    <w:rsid w:val="002617D5"/>
    <w:rsid w:val="00261BD7"/>
    <w:rsid w:val="00261CF7"/>
    <w:rsid w:val="00261EB1"/>
    <w:rsid w:val="0026204D"/>
    <w:rsid w:val="0026219C"/>
    <w:rsid w:val="00262780"/>
    <w:rsid w:val="00262A66"/>
    <w:rsid w:val="00262D4C"/>
    <w:rsid w:val="002633CA"/>
    <w:rsid w:val="002640F9"/>
    <w:rsid w:val="002648C0"/>
    <w:rsid w:val="0026556C"/>
    <w:rsid w:val="0026592D"/>
    <w:rsid w:val="00265A2C"/>
    <w:rsid w:val="00265A85"/>
    <w:rsid w:val="00266AAA"/>
    <w:rsid w:val="00266EEB"/>
    <w:rsid w:val="00270510"/>
    <w:rsid w:val="00270B15"/>
    <w:rsid w:val="00270CB4"/>
    <w:rsid w:val="00270ED7"/>
    <w:rsid w:val="0027102C"/>
    <w:rsid w:val="002713D0"/>
    <w:rsid w:val="00272167"/>
    <w:rsid w:val="00272457"/>
    <w:rsid w:val="002725E1"/>
    <w:rsid w:val="00272E7C"/>
    <w:rsid w:val="0027416A"/>
    <w:rsid w:val="002741E0"/>
    <w:rsid w:val="0027449B"/>
    <w:rsid w:val="002744A2"/>
    <w:rsid w:val="002744BA"/>
    <w:rsid w:val="00274A89"/>
    <w:rsid w:val="00275269"/>
    <w:rsid w:val="00276058"/>
    <w:rsid w:val="002764B9"/>
    <w:rsid w:val="0027674A"/>
    <w:rsid w:val="0027679B"/>
    <w:rsid w:val="00276B2B"/>
    <w:rsid w:val="002770F1"/>
    <w:rsid w:val="0027756B"/>
    <w:rsid w:val="00277B70"/>
    <w:rsid w:val="00277CA0"/>
    <w:rsid w:val="00280CBF"/>
    <w:rsid w:val="00281452"/>
    <w:rsid w:val="0028213D"/>
    <w:rsid w:val="00282DA7"/>
    <w:rsid w:val="002837D8"/>
    <w:rsid w:val="00283C04"/>
    <w:rsid w:val="002842FC"/>
    <w:rsid w:val="00284989"/>
    <w:rsid w:val="00284B16"/>
    <w:rsid w:val="002850A6"/>
    <w:rsid w:val="00285558"/>
    <w:rsid w:val="00285EDA"/>
    <w:rsid w:val="00285FF8"/>
    <w:rsid w:val="00287747"/>
    <w:rsid w:val="00287E7E"/>
    <w:rsid w:val="0029039F"/>
    <w:rsid w:val="002907AC"/>
    <w:rsid w:val="00290841"/>
    <w:rsid w:val="00290A9E"/>
    <w:rsid w:val="00290B13"/>
    <w:rsid w:val="00290D90"/>
    <w:rsid w:val="00290E0E"/>
    <w:rsid w:val="002912EC"/>
    <w:rsid w:val="0029179E"/>
    <w:rsid w:val="00291F2D"/>
    <w:rsid w:val="00292682"/>
    <w:rsid w:val="002938D6"/>
    <w:rsid w:val="00293948"/>
    <w:rsid w:val="00293C73"/>
    <w:rsid w:val="00293E60"/>
    <w:rsid w:val="00294104"/>
    <w:rsid w:val="00294361"/>
    <w:rsid w:val="00294B13"/>
    <w:rsid w:val="00294D2C"/>
    <w:rsid w:val="00295078"/>
    <w:rsid w:val="002951A5"/>
    <w:rsid w:val="00295A29"/>
    <w:rsid w:val="00295B44"/>
    <w:rsid w:val="00295E1A"/>
    <w:rsid w:val="00295ECC"/>
    <w:rsid w:val="002965C7"/>
    <w:rsid w:val="0029682C"/>
    <w:rsid w:val="002968F3"/>
    <w:rsid w:val="00296A82"/>
    <w:rsid w:val="0029727E"/>
    <w:rsid w:val="00297430"/>
    <w:rsid w:val="002975C4"/>
    <w:rsid w:val="00297632"/>
    <w:rsid w:val="002977F6"/>
    <w:rsid w:val="00297C63"/>
    <w:rsid w:val="002A04A3"/>
    <w:rsid w:val="002A06F4"/>
    <w:rsid w:val="002A08A8"/>
    <w:rsid w:val="002A09FC"/>
    <w:rsid w:val="002A0DD1"/>
    <w:rsid w:val="002A101C"/>
    <w:rsid w:val="002A1114"/>
    <w:rsid w:val="002A11E1"/>
    <w:rsid w:val="002A17ED"/>
    <w:rsid w:val="002A19F1"/>
    <w:rsid w:val="002A2420"/>
    <w:rsid w:val="002A2444"/>
    <w:rsid w:val="002A2899"/>
    <w:rsid w:val="002A2B56"/>
    <w:rsid w:val="002A2D08"/>
    <w:rsid w:val="002A30C0"/>
    <w:rsid w:val="002A3697"/>
    <w:rsid w:val="002A37C2"/>
    <w:rsid w:val="002A3C66"/>
    <w:rsid w:val="002A4277"/>
    <w:rsid w:val="002A4337"/>
    <w:rsid w:val="002A4405"/>
    <w:rsid w:val="002A4B87"/>
    <w:rsid w:val="002A5904"/>
    <w:rsid w:val="002A5B58"/>
    <w:rsid w:val="002A6035"/>
    <w:rsid w:val="002A76BC"/>
    <w:rsid w:val="002A76BE"/>
    <w:rsid w:val="002A7795"/>
    <w:rsid w:val="002A7FDF"/>
    <w:rsid w:val="002B0425"/>
    <w:rsid w:val="002B20B5"/>
    <w:rsid w:val="002B2235"/>
    <w:rsid w:val="002B27CA"/>
    <w:rsid w:val="002B2870"/>
    <w:rsid w:val="002B297A"/>
    <w:rsid w:val="002B31DF"/>
    <w:rsid w:val="002B475B"/>
    <w:rsid w:val="002B4EBE"/>
    <w:rsid w:val="002B4EC0"/>
    <w:rsid w:val="002B57CE"/>
    <w:rsid w:val="002B59AF"/>
    <w:rsid w:val="002B695E"/>
    <w:rsid w:val="002B6D25"/>
    <w:rsid w:val="002B6DF1"/>
    <w:rsid w:val="002B7286"/>
    <w:rsid w:val="002B7915"/>
    <w:rsid w:val="002C004A"/>
    <w:rsid w:val="002C0587"/>
    <w:rsid w:val="002C099A"/>
    <w:rsid w:val="002C0D76"/>
    <w:rsid w:val="002C115B"/>
    <w:rsid w:val="002C1E0D"/>
    <w:rsid w:val="002C2A4B"/>
    <w:rsid w:val="002C345C"/>
    <w:rsid w:val="002C44B8"/>
    <w:rsid w:val="002C4831"/>
    <w:rsid w:val="002C4E58"/>
    <w:rsid w:val="002C4E74"/>
    <w:rsid w:val="002C4F3D"/>
    <w:rsid w:val="002C5680"/>
    <w:rsid w:val="002C56EC"/>
    <w:rsid w:val="002C5D69"/>
    <w:rsid w:val="002C5D85"/>
    <w:rsid w:val="002C6456"/>
    <w:rsid w:val="002C70DA"/>
    <w:rsid w:val="002C7AF3"/>
    <w:rsid w:val="002C7BF0"/>
    <w:rsid w:val="002D028B"/>
    <w:rsid w:val="002D06C8"/>
    <w:rsid w:val="002D27F5"/>
    <w:rsid w:val="002D2AE2"/>
    <w:rsid w:val="002D331B"/>
    <w:rsid w:val="002D3638"/>
    <w:rsid w:val="002D4C74"/>
    <w:rsid w:val="002D4F3C"/>
    <w:rsid w:val="002D5961"/>
    <w:rsid w:val="002D5D7A"/>
    <w:rsid w:val="002D62EB"/>
    <w:rsid w:val="002D6732"/>
    <w:rsid w:val="002D6905"/>
    <w:rsid w:val="002D69B6"/>
    <w:rsid w:val="002D710B"/>
    <w:rsid w:val="002D7154"/>
    <w:rsid w:val="002D74D2"/>
    <w:rsid w:val="002D7DD7"/>
    <w:rsid w:val="002E0504"/>
    <w:rsid w:val="002E088B"/>
    <w:rsid w:val="002E0A1C"/>
    <w:rsid w:val="002E1194"/>
    <w:rsid w:val="002E123D"/>
    <w:rsid w:val="002E1422"/>
    <w:rsid w:val="002E1A54"/>
    <w:rsid w:val="002E1E3C"/>
    <w:rsid w:val="002E24D6"/>
    <w:rsid w:val="002E2FCB"/>
    <w:rsid w:val="002E34B1"/>
    <w:rsid w:val="002E3E9A"/>
    <w:rsid w:val="002E3EAF"/>
    <w:rsid w:val="002E443D"/>
    <w:rsid w:val="002E44F7"/>
    <w:rsid w:val="002E5035"/>
    <w:rsid w:val="002E5514"/>
    <w:rsid w:val="002E55C8"/>
    <w:rsid w:val="002E55C9"/>
    <w:rsid w:val="002E5B1D"/>
    <w:rsid w:val="002E5BCD"/>
    <w:rsid w:val="002E6AC8"/>
    <w:rsid w:val="002E6F59"/>
    <w:rsid w:val="002E7DA3"/>
    <w:rsid w:val="002F0B13"/>
    <w:rsid w:val="002F0DA0"/>
    <w:rsid w:val="002F2168"/>
    <w:rsid w:val="002F2316"/>
    <w:rsid w:val="002F2533"/>
    <w:rsid w:val="002F2889"/>
    <w:rsid w:val="002F2966"/>
    <w:rsid w:val="002F2C3E"/>
    <w:rsid w:val="002F2CE3"/>
    <w:rsid w:val="002F32C4"/>
    <w:rsid w:val="002F42EF"/>
    <w:rsid w:val="002F4981"/>
    <w:rsid w:val="002F4A0A"/>
    <w:rsid w:val="002F5140"/>
    <w:rsid w:val="002F651F"/>
    <w:rsid w:val="002F67F0"/>
    <w:rsid w:val="002F68E5"/>
    <w:rsid w:val="002F744A"/>
    <w:rsid w:val="002F77B5"/>
    <w:rsid w:val="002F7974"/>
    <w:rsid w:val="002F7AED"/>
    <w:rsid w:val="002F7B7D"/>
    <w:rsid w:val="002F7CE7"/>
    <w:rsid w:val="002F7FDE"/>
    <w:rsid w:val="00300C2D"/>
    <w:rsid w:val="00300C77"/>
    <w:rsid w:val="00301120"/>
    <w:rsid w:val="00301166"/>
    <w:rsid w:val="003018C6"/>
    <w:rsid w:val="00301B11"/>
    <w:rsid w:val="00301CC6"/>
    <w:rsid w:val="00301D49"/>
    <w:rsid w:val="00301FD5"/>
    <w:rsid w:val="00302112"/>
    <w:rsid w:val="00302455"/>
    <w:rsid w:val="003024FB"/>
    <w:rsid w:val="00302552"/>
    <w:rsid w:val="003046D2"/>
    <w:rsid w:val="00304B85"/>
    <w:rsid w:val="00304C10"/>
    <w:rsid w:val="00306A29"/>
    <w:rsid w:val="00306BB8"/>
    <w:rsid w:val="00306BD3"/>
    <w:rsid w:val="0030784C"/>
    <w:rsid w:val="00307938"/>
    <w:rsid w:val="00307B28"/>
    <w:rsid w:val="00307E5A"/>
    <w:rsid w:val="0031030D"/>
    <w:rsid w:val="00310665"/>
    <w:rsid w:val="0031133F"/>
    <w:rsid w:val="003114A5"/>
    <w:rsid w:val="00311794"/>
    <w:rsid w:val="00311813"/>
    <w:rsid w:val="00311821"/>
    <w:rsid w:val="00311D78"/>
    <w:rsid w:val="00311F1B"/>
    <w:rsid w:val="003124C2"/>
    <w:rsid w:val="003129F3"/>
    <w:rsid w:val="003137F8"/>
    <w:rsid w:val="00313889"/>
    <w:rsid w:val="00313B1E"/>
    <w:rsid w:val="00313EFE"/>
    <w:rsid w:val="00314033"/>
    <w:rsid w:val="00314B55"/>
    <w:rsid w:val="00315322"/>
    <w:rsid w:val="0031533D"/>
    <w:rsid w:val="00315B87"/>
    <w:rsid w:val="00316B3A"/>
    <w:rsid w:val="00317144"/>
    <w:rsid w:val="003174D2"/>
    <w:rsid w:val="003175B0"/>
    <w:rsid w:val="003179A1"/>
    <w:rsid w:val="003206BC"/>
    <w:rsid w:val="003206C8"/>
    <w:rsid w:val="00320758"/>
    <w:rsid w:val="003209EE"/>
    <w:rsid w:val="00321D4C"/>
    <w:rsid w:val="00321FDA"/>
    <w:rsid w:val="003220F2"/>
    <w:rsid w:val="00322B4F"/>
    <w:rsid w:val="00322B70"/>
    <w:rsid w:val="003230A4"/>
    <w:rsid w:val="00323540"/>
    <w:rsid w:val="00323FAB"/>
    <w:rsid w:val="00324002"/>
    <w:rsid w:val="0032482F"/>
    <w:rsid w:val="003251AD"/>
    <w:rsid w:val="0032559E"/>
    <w:rsid w:val="00325721"/>
    <w:rsid w:val="00325DFE"/>
    <w:rsid w:val="003260FA"/>
    <w:rsid w:val="0032645B"/>
    <w:rsid w:val="003266B3"/>
    <w:rsid w:val="003270E5"/>
    <w:rsid w:val="0032728A"/>
    <w:rsid w:val="00327719"/>
    <w:rsid w:val="00327C26"/>
    <w:rsid w:val="00330065"/>
    <w:rsid w:val="0033123E"/>
    <w:rsid w:val="0033139B"/>
    <w:rsid w:val="0033167F"/>
    <w:rsid w:val="003317F0"/>
    <w:rsid w:val="00331FCF"/>
    <w:rsid w:val="003320B8"/>
    <w:rsid w:val="00332510"/>
    <w:rsid w:val="00332813"/>
    <w:rsid w:val="00332F83"/>
    <w:rsid w:val="00333270"/>
    <w:rsid w:val="00333882"/>
    <w:rsid w:val="003338CF"/>
    <w:rsid w:val="00333967"/>
    <w:rsid w:val="00333E46"/>
    <w:rsid w:val="00334060"/>
    <w:rsid w:val="0033504C"/>
    <w:rsid w:val="0033539F"/>
    <w:rsid w:val="003353BD"/>
    <w:rsid w:val="003356A0"/>
    <w:rsid w:val="0033573A"/>
    <w:rsid w:val="00335D15"/>
    <w:rsid w:val="00336A0E"/>
    <w:rsid w:val="00336A56"/>
    <w:rsid w:val="00337BC3"/>
    <w:rsid w:val="00337CA1"/>
    <w:rsid w:val="00337D9D"/>
    <w:rsid w:val="00340174"/>
    <w:rsid w:val="003404B7"/>
    <w:rsid w:val="00340666"/>
    <w:rsid w:val="00341134"/>
    <w:rsid w:val="00341219"/>
    <w:rsid w:val="0034186A"/>
    <w:rsid w:val="0034191A"/>
    <w:rsid w:val="00341B3C"/>
    <w:rsid w:val="00341BB7"/>
    <w:rsid w:val="00341E2D"/>
    <w:rsid w:val="0034201A"/>
    <w:rsid w:val="00342406"/>
    <w:rsid w:val="00343BEE"/>
    <w:rsid w:val="00343E9A"/>
    <w:rsid w:val="003440C8"/>
    <w:rsid w:val="00344AC4"/>
    <w:rsid w:val="00344E94"/>
    <w:rsid w:val="003451BB"/>
    <w:rsid w:val="003451C0"/>
    <w:rsid w:val="0034694D"/>
    <w:rsid w:val="00347061"/>
    <w:rsid w:val="00347893"/>
    <w:rsid w:val="003478A5"/>
    <w:rsid w:val="00347D0F"/>
    <w:rsid w:val="0035050B"/>
    <w:rsid w:val="00350659"/>
    <w:rsid w:val="00350817"/>
    <w:rsid w:val="00350B75"/>
    <w:rsid w:val="0035179A"/>
    <w:rsid w:val="0035211C"/>
    <w:rsid w:val="003527CA"/>
    <w:rsid w:val="00352F5E"/>
    <w:rsid w:val="00353232"/>
    <w:rsid w:val="00353646"/>
    <w:rsid w:val="003536E9"/>
    <w:rsid w:val="00353734"/>
    <w:rsid w:val="00353CF7"/>
    <w:rsid w:val="00353D98"/>
    <w:rsid w:val="00353DC3"/>
    <w:rsid w:val="00354449"/>
    <w:rsid w:val="0035448C"/>
    <w:rsid w:val="003549B3"/>
    <w:rsid w:val="003549C8"/>
    <w:rsid w:val="00354C3C"/>
    <w:rsid w:val="00354FD8"/>
    <w:rsid w:val="0035509E"/>
    <w:rsid w:val="003554B7"/>
    <w:rsid w:val="003557C7"/>
    <w:rsid w:val="003558D4"/>
    <w:rsid w:val="00355EF6"/>
    <w:rsid w:val="0035613F"/>
    <w:rsid w:val="00356682"/>
    <w:rsid w:val="0035684B"/>
    <w:rsid w:val="00356DBC"/>
    <w:rsid w:val="003572C5"/>
    <w:rsid w:val="00360460"/>
    <w:rsid w:val="00360E14"/>
    <w:rsid w:val="00360F46"/>
    <w:rsid w:val="003613E2"/>
    <w:rsid w:val="00361A82"/>
    <w:rsid w:val="003621A3"/>
    <w:rsid w:val="003622A9"/>
    <w:rsid w:val="00362302"/>
    <w:rsid w:val="003628CA"/>
    <w:rsid w:val="00362AE7"/>
    <w:rsid w:val="00362AF1"/>
    <w:rsid w:val="0036355B"/>
    <w:rsid w:val="003637B0"/>
    <w:rsid w:val="003638F5"/>
    <w:rsid w:val="00363D2E"/>
    <w:rsid w:val="00363D72"/>
    <w:rsid w:val="003650AD"/>
    <w:rsid w:val="00365342"/>
    <w:rsid w:val="00366DCB"/>
    <w:rsid w:val="0036712B"/>
    <w:rsid w:val="00367541"/>
    <w:rsid w:val="00367D5E"/>
    <w:rsid w:val="00367DAC"/>
    <w:rsid w:val="00367E2A"/>
    <w:rsid w:val="00367E7C"/>
    <w:rsid w:val="00367F59"/>
    <w:rsid w:val="00370228"/>
    <w:rsid w:val="0037090F"/>
    <w:rsid w:val="00370DA5"/>
    <w:rsid w:val="0037108D"/>
    <w:rsid w:val="0037195F"/>
    <w:rsid w:val="003719E6"/>
    <w:rsid w:val="00371F93"/>
    <w:rsid w:val="00372156"/>
    <w:rsid w:val="00372A39"/>
    <w:rsid w:val="00373284"/>
    <w:rsid w:val="00373889"/>
    <w:rsid w:val="00373E19"/>
    <w:rsid w:val="003745B7"/>
    <w:rsid w:val="0037474F"/>
    <w:rsid w:val="00374882"/>
    <w:rsid w:val="00374D54"/>
    <w:rsid w:val="003755A8"/>
    <w:rsid w:val="003756FD"/>
    <w:rsid w:val="0037591E"/>
    <w:rsid w:val="00376A67"/>
    <w:rsid w:val="00376EC1"/>
    <w:rsid w:val="00377530"/>
    <w:rsid w:val="00377CDE"/>
    <w:rsid w:val="00380870"/>
    <w:rsid w:val="003808B3"/>
    <w:rsid w:val="00380B85"/>
    <w:rsid w:val="00380E53"/>
    <w:rsid w:val="00380EBF"/>
    <w:rsid w:val="00380FBA"/>
    <w:rsid w:val="00381260"/>
    <w:rsid w:val="0038181B"/>
    <w:rsid w:val="00381AFC"/>
    <w:rsid w:val="00381DDC"/>
    <w:rsid w:val="00381E08"/>
    <w:rsid w:val="0038225B"/>
    <w:rsid w:val="00382A1D"/>
    <w:rsid w:val="00382A79"/>
    <w:rsid w:val="00383C10"/>
    <w:rsid w:val="00384D78"/>
    <w:rsid w:val="00384F36"/>
    <w:rsid w:val="00385A15"/>
    <w:rsid w:val="0038618D"/>
    <w:rsid w:val="003861AB"/>
    <w:rsid w:val="0038724E"/>
    <w:rsid w:val="0038734B"/>
    <w:rsid w:val="00387CE5"/>
    <w:rsid w:val="00390656"/>
    <w:rsid w:val="00390837"/>
    <w:rsid w:val="003908AE"/>
    <w:rsid w:val="00390AC1"/>
    <w:rsid w:val="00391135"/>
    <w:rsid w:val="00391C3B"/>
    <w:rsid w:val="0039205F"/>
    <w:rsid w:val="00392E5A"/>
    <w:rsid w:val="0039303E"/>
    <w:rsid w:val="0039332E"/>
    <w:rsid w:val="0039375B"/>
    <w:rsid w:val="003937A5"/>
    <w:rsid w:val="003939E2"/>
    <w:rsid w:val="00393EE8"/>
    <w:rsid w:val="003949E5"/>
    <w:rsid w:val="003955F1"/>
    <w:rsid w:val="00395868"/>
    <w:rsid w:val="00395917"/>
    <w:rsid w:val="00395CB8"/>
    <w:rsid w:val="003961CE"/>
    <w:rsid w:val="0039662C"/>
    <w:rsid w:val="00396E29"/>
    <w:rsid w:val="00396F09"/>
    <w:rsid w:val="00396FA8"/>
    <w:rsid w:val="003A0D1B"/>
    <w:rsid w:val="003A0FEF"/>
    <w:rsid w:val="003A173D"/>
    <w:rsid w:val="003A2649"/>
    <w:rsid w:val="003A2A91"/>
    <w:rsid w:val="003A3251"/>
    <w:rsid w:val="003A39AA"/>
    <w:rsid w:val="003A4279"/>
    <w:rsid w:val="003A454A"/>
    <w:rsid w:val="003A4C9F"/>
    <w:rsid w:val="003A4F60"/>
    <w:rsid w:val="003A5B1F"/>
    <w:rsid w:val="003A5DF6"/>
    <w:rsid w:val="003A6108"/>
    <w:rsid w:val="003A617E"/>
    <w:rsid w:val="003A630B"/>
    <w:rsid w:val="003A6372"/>
    <w:rsid w:val="003A6590"/>
    <w:rsid w:val="003A6839"/>
    <w:rsid w:val="003A7908"/>
    <w:rsid w:val="003A7BA9"/>
    <w:rsid w:val="003B000C"/>
    <w:rsid w:val="003B05E7"/>
    <w:rsid w:val="003B0686"/>
    <w:rsid w:val="003B0A5E"/>
    <w:rsid w:val="003B0CFD"/>
    <w:rsid w:val="003B0E3E"/>
    <w:rsid w:val="003B13FC"/>
    <w:rsid w:val="003B1471"/>
    <w:rsid w:val="003B1718"/>
    <w:rsid w:val="003B1944"/>
    <w:rsid w:val="003B1ADB"/>
    <w:rsid w:val="003B25BC"/>
    <w:rsid w:val="003B28F3"/>
    <w:rsid w:val="003B2D38"/>
    <w:rsid w:val="003B2DCF"/>
    <w:rsid w:val="003B2F53"/>
    <w:rsid w:val="003B5525"/>
    <w:rsid w:val="003B5A37"/>
    <w:rsid w:val="003B673D"/>
    <w:rsid w:val="003B6CEE"/>
    <w:rsid w:val="003B6E42"/>
    <w:rsid w:val="003B6F66"/>
    <w:rsid w:val="003B7307"/>
    <w:rsid w:val="003B7367"/>
    <w:rsid w:val="003B74AD"/>
    <w:rsid w:val="003B7666"/>
    <w:rsid w:val="003B7684"/>
    <w:rsid w:val="003B7836"/>
    <w:rsid w:val="003B795E"/>
    <w:rsid w:val="003B7A8C"/>
    <w:rsid w:val="003C0156"/>
    <w:rsid w:val="003C022F"/>
    <w:rsid w:val="003C023B"/>
    <w:rsid w:val="003C0683"/>
    <w:rsid w:val="003C099D"/>
    <w:rsid w:val="003C09E3"/>
    <w:rsid w:val="003C0DD3"/>
    <w:rsid w:val="003C209B"/>
    <w:rsid w:val="003C2A2C"/>
    <w:rsid w:val="003C3511"/>
    <w:rsid w:val="003C3B8B"/>
    <w:rsid w:val="003C3E9C"/>
    <w:rsid w:val="003C41D6"/>
    <w:rsid w:val="003C42F0"/>
    <w:rsid w:val="003C504F"/>
    <w:rsid w:val="003C5F7F"/>
    <w:rsid w:val="003C6465"/>
    <w:rsid w:val="003C67E6"/>
    <w:rsid w:val="003C6CAB"/>
    <w:rsid w:val="003C6EBE"/>
    <w:rsid w:val="003C790F"/>
    <w:rsid w:val="003D0843"/>
    <w:rsid w:val="003D10FF"/>
    <w:rsid w:val="003D11DB"/>
    <w:rsid w:val="003D1D0F"/>
    <w:rsid w:val="003D1E16"/>
    <w:rsid w:val="003D1F51"/>
    <w:rsid w:val="003D290E"/>
    <w:rsid w:val="003D2ED3"/>
    <w:rsid w:val="003D3336"/>
    <w:rsid w:val="003D340C"/>
    <w:rsid w:val="003D386B"/>
    <w:rsid w:val="003D3CF5"/>
    <w:rsid w:val="003D3EA7"/>
    <w:rsid w:val="003D46D0"/>
    <w:rsid w:val="003D4A8D"/>
    <w:rsid w:val="003D5419"/>
    <w:rsid w:val="003D5856"/>
    <w:rsid w:val="003D5ECE"/>
    <w:rsid w:val="003D6C9C"/>
    <w:rsid w:val="003D72AA"/>
    <w:rsid w:val="003D7702"/>
    <w:rsid w:val="003D77DB"/>
    <w:rsid w:val="003E073F"/>
    <w:rsid w:val="003E074C"/>
    <w:rsid w:val="003E13F6"/>
    <w:rsid w:val="003E169A"/>
    <w:rsid w:val="003E19E1"/>
    <w:rsid w:val="003E2230"/>
    <w:rsid w:val="003E2540"/>
    <w:rsid w:val="003E2AC2"/>
    <w:rsid w:val="003E3201"/>
    <w:rsid w:val="003E32D8"/>
    <w:rsid w:val="003E445E"/>
    <w:rsid w:val="003E4727"/>
    <w:rsid w:val="003E47FD"/>
    <w:rsid w:val="003E4D8F"/>
    <w:rsid w:val="003E4DD4"/>
    <w:rsid w:val="003E4FC1"/>
    <w:rsid w:val="003E590A"/>
    <w:rsid w:val="003E5FF4"/>
    <w:rsid w:val="003E62D3"/>
    <w:rsid w:val="003E658C"/>
    <w:rsid w:val="003E6CEC"/>
    <w:rsid w:val="003E76DA"/>
    <w:rsid w:val="003E7764"/>
    <w:rsid w:val="003E77F1"/>
    <w:rsid w:val="003E79B9"/>
    <w:rsid w:val="003E7CF6"/>
    <w:rsid w:val="003F0437"/>
    <w:rsid w:val="003F09F1"/>
    <w:rsid w:val="003F0EF1"/>
    <w:rsid w:val="003F0F27"/>
    <w:rsid w:val="003F0F3E"/>
    <w:rsid w:val="003F119E"/>
    <w:rsid w:val="003F12EA"/>
    <w:rsid w:val="003F14FA"/>
    <w:rsid w:val="003F1AA2"/>
    <w:rsid w:val="003F1B6B"/>
    <w:rsid w:val="003F1EDA"/>
    <w:rsid w:val="003F2222"/>
    <w:rsid w:val="003F2D72"/>
    <w:rsid w:val="003F3045"/>
    <w:rsid w:val="003F3460"/>
    <w:rsid w:val="003F3B5E"/>
    <w:rsid w:val="003F4567"/>
    <w:rsid w:val="003F493B"/>
    <w:rsid w:val="003F53B8"/>
    <w:rsid w:val="003F5FBD"/>
    <w:rsid w:val="003F6018"/>
    <w:rsid w:val="003F628A"/>
    <w:rsid w:val="003F6468"/>
    <w:rsid w:val="003F6A24"/>
    <w:rsid w:val="003F6FAA"/>
    <w:rsid w:val="003F736A"/>
    <w:rsid w:val="003F776D"/>
    <w:rsid w:val="004005E9"/>
    <w:rsid w:val="004006CE"/>
    <w:rsid w:val="0040150F"/>
    <w:rsid w:val="00401766"/>
    <w:rsid w:val="00401C62"/>
    <w:rsid w:val="00401C73"/>
    <w:rsid w:val="00401D93"/>
    <w:rsid w:val="00402148"/>
    <w:rsid w:val="0040239A"/>
    <w:rsid w:val="00402ADB"/>
    <w:rsid w:val="00402BF5"/>
    <w:rsid w:val="00403616"/>
    <w:rsid w:val="004036A5"/>
    <w:rsid w:val="004037C0"/>
    <w:rsid w:val="00403FC8"/>
    <w:rsid w:val="0040456A"/>
    <w:rsid w:val="004049A3"/>
    <w:rsid w:val="00404BA9"/>
    <w:rsid w:val="00404BD9"/>
    <w:rsid w:val="00404CC1"/>
    <w:rsid w:val="00404E8D"/>
    <w:rsid w:val="004051E7"/>
    <w:rsid w:val="00405A71"/>
    <w:rsid w:val="00405DE1"/>
    <w:rsid w:val="004060C9"/>
    <w:rsid w:val="0040682E"/>
    <w:rsid w:val="00406B47"/>
    <w:rsid w:val="0040712D"/>
    <w:rsid w:val="0040757F"/>
    <w:rsid w:val="00407783"/>
    <w:rsid w:val="00407C33"/>
    <w:rsid w:val="0041035B"/>
    <w:rsid w:val="004103AA"/>
    <w:rsid w:val="004104CF"/>
    <w:rsid w:val="00410DFA"/>
    <w:rsid w:val="00410EB9"/>
    <w:rsid w:val="00410EF4"/>
    <w:rsid w:val="00411351"/>
    <w:rsid w:val="00411643"/>
    <w:rsid w:val="00412423"/>
    <w:rsid w:val="00412678"/>
    <w:rsid w:val="00412BDC"/>
    <w:rsid w:val="00413320"/>
    <w:rsid w:val="0041427A"/>
    <w:rsid w:val="00414521"/>
    <w:rsid w:val="004148E5"/>
    <w:rsid w:val="00414AA9"/>
    <w:rsid w:val="00415499"/>
    <w:rsid w:val="004159D8"/>
    <w:rsid w:val="00415BDC"/>
    <w:rsid w:val="00415E88"/>
    <w:rsid w:val="00415F3C"/>
    <w:rsid w:val="004161C9"/>
    <w:rsid w:val="004164EB"/>
    <w:rsid w:val="0041692C"/>
    <w:rsid w:val="00417595"/>
    <w:rsid w:val="00417CEE"/>
    <w:rsid w:val="00417D6E"/>
    <w:rsid w:val="00420550"/>
    <w:rsid w:val="00420587"/>
    <w:rsid w:val="0042084E"/>
    <w:rsid w:val="00420CE9"/>
    <w:rsid w:val="0042139D"/>
    <w:rsid w:val="00421775"/>
    <w:rsid w:val="00421852"/>
    <w:rsid w:val="00422041"/>
    <w:rsid w:val="00422A75"/>
    <w:rsid w:val="00422EA8"/>
    <w:rsid w:val="00423173"/>
    <w:rsid w:val="00423626"/>
    <w:rsid w:val="00423CD4"/>
    <w:rsid w:val="0042423E"/>
    <w:rsid w:val="0042439C"/>
    <w:rsid w:val="004243A5"/>
    <w:rsid w:val="004247B1"/>
    <w:rsid w:val="00424CEC"/>
    <w:rsid w:val="004258D2"/>
    <w:rsid w:val="00425BFD"/>
    <w:rsid w:val="0042615E"/>
    <w:rsid w:val="00426F9E"/>
    <w:rsid w:val="0042756B"/>
    <w:rsid w:val="004277AD"/>
    <w:rsid w:val="004277C7"/>
    <w:rsid w:val="00427A46"/>
    <w:rsid w:val="00427C33"/>
    <w:rsid w:val="0043039A"/>
    <w:rsid w:val="00431107"/>
    <w:rsid w:val="00431595"/>
    <w:rsid w:val="0043161C"/>
    <w:rsid w:val="0043194D"/>
    <w:rsid w:val="004321C9"/>
    <w:rsid w:val="00432B56"/>
    <w:rsid w:val="00432EB2"/>
    <w:rsid w:val="004341A7"/>
    <w:rsid w:val="0043456E"/>
    <w:rsid w:val="0043476C"/>
    <w:rsid w:val="00434CB5"/>
    <w:rsid w:val="00434EB2"/>
    <w:rsid w:val="004351DB"/>
    <w:rsid w:val="00436039"/>
    <w:rsid w:val="00436438"/>
    <w:rsid w:val="00436656"/>
    <w:rsid w:val="00436674"/>
    <w:rsid w:val="00436A8E"/>
    <w:rsid w:val="00436D19"/>
    <w:rsid w:val="00436D53"/>
    <w:rsid w:val="00436D8B"/>
    <w:rsid w:val="0043729C"/>
    <w:rsid w:val="00440019"/>
    <w:rsid w:val="00440437"/>
    <w:rsid w:val="004407C6"/>
    <w:rsid w:val="00440863"/>
    <w:rsid w:val="0044090B"/>
    <w:rsid w:val="00440AF3"/>
    <w:rsid w:val="004414A9"/>
    <w:rsid w:val="004415E3"/>
    <w:rsid w:val="00441A11"/>
    <w:rsid w:val="00441B4C"/>
    <w:rsid w:val="00441F67"/>
    <w:rsid w:val="004422FA"/>
    <w:rsid w:val="004425EA"/>
    <w:rsid w:val="00442990"/>
    <w:rsid w:val="00442DFE"/>
    <w:rsid w:val="00442FD9"/>
    <w:rsid w:val="0044312D"/>
    <w:rsid w:val="00443921"/>
    <w:rsid w:val="00443F81"/>
    <w:rsid w:val="004442BB"/>
    <w:rsid w:val="004442C1"/>
    <w:rsid w:val="00444564"/>
    <w:rsid w:val="00444CB4"/>
    <w:rsid w:val="00444F1C"/>
    <w:rsid w:val="00444F81"/>
    <w:rsid w:val="0044528D"/>
    <w:rsid w:val="004453C3"/>
    <w:rsid w:val="0044565A"/>
    <w:rsid w:val="00445EBA"/>
    <w:rsid w:val="00446371"/>
    <w:rsid w:val="004463B9"/>
    <w:rsid w:val="00446D5E"/>
    <w:rsid w:val="00447533"/>
    <w:rsid w:val="00450035"/>
    <w:rsid w:val="004504F9"/>
    <w:rsid w:val="00450544"/>
    <w:rsid w:val="0045057A"/>
    <w:rsid w:val="0045088E"/>
    <w:rsid w:val="00450F96"/>
    <w:rsid w:val="00451437"/>
    <w:rsid w:val="00451C08"/>
    <w:rsid w:val="00451ED2"/>
    <w:rsid w:val="004520E0"/>
    <w:rsid w:val="004528C3"/>
    <w:rsid w:val="00452C58"/>
    <w:rsid w:val="00453245"/>
    <w:rsid w:val="0045332F"/>
    <w:rsid w:val="00453427"/>
    <w:rsid w:val="00453BB7"/>
    <w:rsid w:val="004541D3"/>
    <w:rsid w:val="004542E7"/>
    <w:rsid w:val="00454431"/>
    <w:rsid w:val="0045455D"/>
    <w:rsid w:val="00454736"/>
    <w:rsid w:val="00455D29"/>
    <w:rsid w:val="00456071"/>
    <w:rsid w:val="00457E12"/>
    <w:rsid w:val="00460051"/>
    <w:rsid w:val="00460724"/>
    <w:rsid w:val="00460B1E"/>
    <w:rsid w:val="00460EBE"/>
    <w:rsid w:val="0046131C"/>
    <w:rsid w:val="00461990"/>
    <w:rsid w:val="0046213B"/>
    <w:rsid w:val="004633BE"/>
    <w:rsid w:val="00463951"/>
    <w:rsid w:val="00463A53"/>
    <w:rsid w:val="00463FCF"/>
    <w:rsid w:val="00464431"/>
    <w:rsid w:val="00464568"/>
    <w:rsid w:val="00464BA0"/>
    <w:rsid w:val="00464D3E"/>
    <w:rsid w:val="00464E9B"/>
    <w:rsid w:val="00464EDC"/>
    <w:rsid w:val="004652F0"/>
    <w:rsid w:val="00465969"/>
    <w:rsid w:val="00465CCF"/>
    <w:rsid w:val="0046618F"/>
    <w:rsid w:val="00466FD6"/>
    <w:rsid w:val="00467234"/>
    <w:rsid w:val="00467371"/>
    <w:rsid w:val="0046751C"/>
    <w:rsid w:val="00467BC5"/>
    <w:rsid w:val="00467DEE"/>
    <w:rsid w:val="00470564"/>
    <w:rsid w:val="00470C8A"/>
    <w:rsid w:val="00470D51"/>
    <w:rsid w:val="00470E87"/>
    <w:rsid w:val="004711B1"/>
    <w:rsid w:val="00471445"/>
    <w:rsid w:val="00471E48"/>
    <w:rsid w:val="00472285"/>
    <w:rsid w:val="00472368"/>
    <w:rsid w:val="0047253B"/>
    <w:rsid w:val="004728E2"/>
    <w:rsid w:val="00472A27"/>
    <w:rsid w:val="004735E1"/>
    <w:rsid w:val="00473CBE"/>
    <w:rsid w:val="004740F7"/>
    <w:rsid w:val="0047465A"/>
    <w:rsid w:val="00474B83"/>
    <w:rsid w:val="00474BD3"/>
    <w:rsid w:val="00475235"/>
    <w:rsid w:val="00475332"/>
    <w:rsid w:val="0047551A"/>
    <w:rsid w:val="004755E9"/>
    <w:rsid w:val="00475E60"/>
    <w:rsid w:val="00476D50"/>
    <w:rsid w:val="0047724F"/>
    <w:rsid w:val="00477C2A"/>
    <w:rsid w:val="00480388"/>
    <w:rsid w:val="00480500"/>
    <w:rsid w:val="004808F3"/>
    <w:rsid w:val="00481199"/>
    <w:rsid w:val="00481DAB"/>
    <w:rsid w:val="0048227F"/>
    <w:rsid w:val="00482409"/>
    <w:rsid w:val="00482A8A"/>
    <w:rsid w:val="00482AFC"/>
    <w:rsid w:val="00482FCD"/>
    <w:rsid w:val="004831D9"/>
    <w:rsid w:val="00484352"/>
    <w:rsid w:val="00484748"/>
    <w:rsid w:val="0048514B"/>
    <w:rsid w:val="00485A56"/>
    <w:rsid w:val="004863FE"/>
    <w:rsid w:val="004874F6"/>
    <w:rsid w:val="0049008B"/>
    <w:rsid w:val="004906B5"/>
    <w:rsid w:val="00490B92"/>
    <w:rsid w:val="00491313"/>
    <w:rsid w:val="00491EAC"/>
    <w:rsid w:val="0049214B"/>
    <w:rsid w:val="0049341E"/>
    <w:rsid w:val="00493660"/>
    <w:rsid w:val="00493AC5"/>
    <w:rsid w:val="00494690"/>
    <w:rsid w:val="00494833"/>
    <w:rsid w:val="00494DE8"/>
    <w:rsid w:val="0049507D"/>
    <w:rsid w:val="004955CA"/>
    <w:rsid w:val="00495ADF"/>
    <w:rsid w:val="004963EE"/>
    <w:rsid w:val="00496B73"/>
    <w:rsid w:val="00497684"/>
    <w:rsid w:val="00497CFD"/>
    <w:rsid w:val="004A0306"/>
    <w:rsid w:val="004A03C3"/>
    <w:rsid w:val="004A0531"/>
    <w:rsid w:val="004A0DD4"/>
    <w:rsid w:val="004A0E4B"/>
    <w:rsid w:val="004A109D"/>
    <w:rsid w:val="004A125F"/>
    <w:rsid w:val="004A1E1A"/>
    <w:rsid w:val="004A36D7"/>
    <w:rsid w:val="004A3768"/>
    <w:rsid w:val="004A3C90"/>
    <w:rsid w:val="004A4706"/>
    <w:rsid w:val="004A4C6F"/>
    <w:rsid w:val="004A5B08"/>
    <w:rsid w:val="004A6857"/>
    <w:rsid w:val="004A69AE"/>
    <w:rsid w:val="004A7211"/>
    <w:rsid w:val="004A7404"/>
    <w:rsid w:val="004A76F0"/>
    <w:rsid w:val="004A7F94"/>
    <w:rsid w:val="004B03DD"/>
    <w:rsid w:val="004B0648"/>
    <w:rsid w:val="004B0AF8"/>
    <w:rsid w:val="004B0DFA"/>
    <w:rsid w:val="004B0FB5"/>
    <w:rsid w:val="004B103D"/>
    <w:rsid w:val="004B1619"/>
    <w:rsid w:val="004B16BC"/>
    <w:rsid w:val="004B1735"/>
    <w:rsid w:val="004B201C"/>
    <w:rsid w:val="004B22D8"/>
    <w:rsid w:val="004B2E7E"/>
    <w:rsid w:val="004B359A"/>
    <w:rsid w:val="004B3881"/>
    <w:rsid w:val="004B38C9"/>
    <w:rsid w:val="004B3E2F"/>
    <w:rsid w:val="004B4210"/>
    <w:rsid w:val="004B441C"/>
    <w:rsid w:val="004B4479"/>
    <w:rsid w:val="004B52EE"/>
    <w:rsid w:val="004B5955"/>
    <w:rsid w:val="004B59E0"/>
    <w:rsid w:val="004B5B5F"/>
    <w:rsid w:val="004B5E5D"/>
    <w:rsid w:val="004B63D9"/>
    <w:rsid w:val="004B6B4A"/>
    <w:rsid w:val="004B782C"/>
    <w:rsid w:val="004B7CAE"/>
    <w:rsid w:val="004C0154"/>
    <w:rsid w:val="004C0184"/>
    <w:rsid w:val="004C1A29"/>
    <w:rsid w:val="004C1DCD"/>
    <w:rsid w:val="004C1EF8"/>
    <w:rsid w:val="004C2006"/>
    <w:rsid w:val="004C26B9"/>
    <w:rsid w:val="004C2A0A"/>
    <w:rsid w:val="004C3A68"/>
    <w:rsid w:val="004C45A7"/>
    <w:rsid w:val="004C648E"/>
    <w:rsid w:val="004C67D5"/>
    <w:rsid w:val="004C6805"/>
    <w:rsid w:val="004C702B"/>
    <w:rsid w:val="004C785E"/>
    <w:rsid w:val="004C7EB9"/>
    <w:rsid w:val="004D009C"/>
    <w:rsid w:val="004D0604"/>
    <w:rsid w:val="004D09F6"/>
    <w:rsid w:val="004D0A8C"/>
    <w:rsid w:val="004D19DE"/>
    <w:rsid w:val="004D1CF8"/>
    <w:rsid w:val="004D1E03"/>
    <w:rsid w:val="004D2049"/>
    <w:rsid w:val="004D2135"/>
    <w:rsid w:val="004D2792"/>
    <w:rsid w:val="004D2D7E"/>
    <w:rsid w:val="004D352C"/>
    <w:rsid w:val="004D3900"/>
    <w:rsid w:val="004D3A80"/>
    <w:rsid w:val="004D3AD0"/>
    <w:rsid w:val="004D3C64"/>
    <w:rsid w:val="004D3DE4"/>
    <w:rsid w:val="004D4482"/>
    <w:rsid w:val="004D4D52"/>
    <w:rsid w:val="004D56B6"/>
    <w:rsid w:val="004D69F3"/>
    <w:rsid w:val="004D6E74"/>
    <w:rsid w:val="004D6ED8"/>
    <w:rsid w:val="004D7134"/>
    <w:rsid w:val="004D7512"/>
    <w:rsid w:val="004D766E"/>
    <w:rsid w:val="004E038D"/>
    <w:rsid w:val="004E04A9"/>
    <w:rsid w:val="004E0F4D"/>
    <w:rsid w:val="004E10D3"/>
    <w:rsid w:val="004E1514"/>
    <w:rsid w:val="004E2B86"/>
    <w:rsid w:val="004E32EB"/>
    <w:rsid w:val="004E3300"/>
    <w:rsid w:val="004E33CD"/>
    <w:rsid w:val="004E3588"/>
    <w:rsid w:val="004E3E2D"/>
    <w:rsid w:val="004E3ED3"/>
    <w:rsid w:val="004E4032"/>
    <w:rsid w:val="004E41B6"/>
    <w:rsid w:val="004E43D6"/>
    <w:rsid w:val="004E44C1"/>
    <w:rsid w:val="004E45E8"/>
    <w:rsid w:val="004E4BEF"/>
    <w:rsid w:val="004E5550"/>
    <w:rsid w:val="004E56D1"/>
    <w:rsid w:val="004E5B78"/>
    <w:rsid w:val="004E5C1A"/>
    <w:rsid w:val="004E6A06"/>
    <w:rsid w:val="004E6A89"/>
    <w:rsid w:val="004E7435"/>
    <w:rsid w:val="004F0016"/>
    <w:rsid w:val="004F0762"/>
    <w:rsid w:val="004F175A"/>
    <w:rsid w:val="004F1D6B"/>
    <w:rsid w:val="004F2410"/>
    <w:rsid w:val="004F3996"/>
    <w:rsid w:val="004F3E07"/>
    <w:rsid w:val="004F4584"/>
    <w:rsid w:val="004F458E"/>
    <w:rsid w:val="004F4C6D"/>
    <w:rsid w:val="004F4D00"/>
    <w:rsid w:val="004F4DC3"/>
    <w:rsid w:val="004F4F4D"/>
    <w:rsid w:val="004F5F5E"/>
    <w:rsid w:val="004F61F0"/>
    <w:rsid w:val="004F6AA6"/>
    <w:rsid w:val="004F768B"/>
    <w:rsid w:val="00500D32"/>
    <w:rsid w:val="00500DF0"/>
    <w:rsid w:val="005016C9"/>
    <w:rsid w:val="00501951"/>
    <w:rsid w:val="00501AE7"/>
    <w:rsid w:val="00502144"/>
    <w:rsid w:val="0050228E"/>
    <w:rsid w:val="00502E04"/>
    <w:rsid w:val="00502EF5"/>
    <w:rsid w:val="005031CB"/>
    <w:rsid w:val="0050385D"/>
    <w:rsid w:val="005043CB"/>
    <w:rsid w:val="0050460C"/>
    <w:rsid w:val="0050469B"/>
    <w:rsid w:val="00504954"/>
    <w:rsid w:val="00504BCC"/>
    <w:rsid w:val="005055F3"/>
    <w:rsid w:val="00506495"/>
    <w:rsid w:val="005065CE"/>
    <w:rsid w:val="00506617"/>
    <w:rsid w:val="005070C1"/>
    <w:rsid w:val="005078E7"/>
    <w:rsid w:val="0051018C"/>
    <w:rsid w:val="00511269"/>
    <w:rsid w:val="00511637"/>
    <w:rsid w:val="00511B9D"/>
    <w:rsid w:val="00511C5F"/>
    <w:rsid w:val="00511D18"/>
    <w:rsid w:val="005120A8"/>
    <w:rsid w:val="005120BE"/>
    <w:rsid w:val="005122F7"/>
    <w:rsid w:val="00512E93"/>
    <w:rsid w:val="00513F57"/>
    <w:rsid w:val="00513FF4"/>
    <w:rsid w:val="0051410C"/>
    <w:rsid w:val="005141D6"/>
    <w:rsid w:val="005143F5"/>
    <w:rsid w:val="00514672"/>
    <w:rsid w:val="00514A16"/>
    <w:rsid w:val="00514D51"/>
    <w:rsid w:val="00514F05"/>
    <w:rsid w:val="005157CC"/>
    <w:rsid w:val="00515F28"/>
    <w:rsid w:val="005169C2"/>
    <w:rsid w:val="005177B1"/>
    <w:rsid w:val="0051781A"/>
    <w:rsid w:val="00517CBC"/>
    <w:rsid w:val="00517FB4"/>
    <w:rsid w:val="005206A3"/>
    <w:rsid w:val="00520952"/>
    <w:rsid w:val="00521064"/>
    <w:rsid w:val="00521165"/>
    <w:rsid w:val="0052140E"/>
    <w:rsid w:val="00521910"/>
    <w:rsid w:val="005219F5"/>
    <w:rsid w:val="00521ECD"/>
    <w:rsid w:val="00521F58"/>
    <w:rsid w:val="00521F81"/>
    <w:rsid w:val="0052211E"/>
    <w:rsid w:val="00522438"/>
    <w:rsid w:val="0052299E"/>
    <w:rsid w:val="00522F8F"/>
    <w:rsid w:val="00524301"/>
    <w:rsid w:val="005247EE"/>
    <w:rsid w:val="00524A39"/>
    <w:rsid w:val="00524D15"/>
    <w:rsid w:val="00525B19"/>
    <w:rsid w:val="00525F2C"/>
    <w:rsid w:val="005261F0"/>
    <w:rsid w:val="005263E6"/>
    <w:rsid w:val="00526939"/>
    <w:rsid w:val="00526B4C"/>
    <w:rsid w:val="0052701D"/>
    <w:rsid w:val="00527087"/>
    <w:rsid w:val="005271BB"/>
    <w:rsid w:val="0053017A"/>
    <w:rsid w:val="005301C9"/>
    <w:rsid w:val="005306D7"/>
    <w:rsid w:val="00530DD8"/>
    <w:rsid w:val="00530FC1"/>
    <w:rsid w:val="00531FF4"/>
    <w:rsid w:val="00532907"/>
    <w:rsid w:val="0053290D"/>
    <w:rsid w:val="00532C8F"/>
    <w:rsid w:val="0053361E"/>
    <w:rsid w:val="00533731"/>
    <w:rsid w:val="00533A0B"/>
    <w:rsid w:val="00533BA7"/>
    <w:rsid w:val="00534300"/>
    <w:rsid w:val="00534778"/>
    <w:rsid w:val="00534C1F"/>
    <w:rsid w:val="00536297"/>
    <w:rsid w:val="00536DA7"/>
    <w:rsid w:val="00536FFE"/>
    <w:rsid w:val="0053770F"/>
    <w:rsid w:val="0053785D"/>
    <w:rsid w:val="00537BDB"/>
    <w:rsid w:val="005403D2"/>
    <w:rsid w:val="00540740"/>
    <w:rsid w:val="00540BA2"/>
    <w:rsid w:val="00540E05"/>
    <w:rsid w:val="005410EB"/>
    <w:rsid w:val="00541305"/>
    <w:rsid w:val="00541542"/>
    <w:rsid w:val="00541FEE"/>
    <w:rsid w:val="0054235D"/>
    <w:rsid w:val="005427B1"/>
    <w:rsid w:val="00542C7C"/>
    <w:rsid w:val="00542FFB"/>
    <w:rsid w:val="00543C27"/>
    <w:rsid w:val="00543C60"/>
    <w:rsid w:val="00543E91"/>
    <w:rsid w:val="005441AE"/>
    <w:rsid w:val="0054431E"/>
    <w:rsid w:val="0054445B"/>
    <w:rsid w:val="00544EC8"/>
    <w:rsid w:val="00545358"/>
    <w:rsid w:val="00545A97"/>
    <w:rsid w:val="00545E98"/>
    <w:rsid w:val="00546B0D"/>
    <w:rsid w:val="00547107"/>
    <w:rsid w:val="005478F9"/>
    <w:rsid w:val="005500C5"/>
    <w:rsid w:val="005502D6"/>
    <w:rsid w:val="0055230B"/>
    <w:rsid w:val="00552421"/>
    <w:rsid w:val="00552636"/>
    <w:rsid w:val="00552B60"/>
    <w:rsid w:val="00554170"/>
    <w:rsid w:val="00554616"/>
    <w:rsid w:val="00554A7B"/>
    <w:rsid w:val="0055519E"/>
    <w:rsid w:val="00555D17"/>
    <w:rsid w:val="0055633E"/>
    <w:rsid w:val="0055733C"/>
    <w:rsid w:val="005575A8"/>
    <w:rsid w:val="00557B48"/>
    <w:rsid w:val="00557F16"/>
    <w:rsid w:val="005608EA"/>
    <w:rsid w:val="00560CAE"/>
    <w:rsid w:val="00560EFE"/>
    <w:rsid w:val="005615D9"/>
    <w:rsid w:val="00561D00"/>
    <w:rsid w:val="00562DF8"/>
    <w:rsid w:val="005631FA"/>
    <w:rsid w:val="005633B3"/>
    <w:rsid w:val="00563E73"/>
    <w:rsid w:val="005646D1"/>
    <w:rsid w:val="0056477D"/>
    <w:rsid w:val="00564EE6"/>
    <w:rsid w:val="0056567F"/>
    <w:rsid w:val="005659B7"/>
    <w:rsid w:val="00565AE0"/>
    <w:rsid w:val="0056640B"/>
    <w:rsid w:val="0056645E"/>
    <w:rsid w:val="0056680F"/>
    <w:rsid w:val="00566A14"/>
    <w:rsid w:val="00567A16"/>
    <w:rsid w:val="00567B0F"/>
    <w:rsid w:val="00570810"/>
    <w:rsid w:val="005715DE"/>
    <w:rsid w:val="00571670"/>
    <w:rsid w:val="00571F94"/>
    <w:rsid w:val="00572B70"/>
    <w:rsid w:val="00572CF0"/>
    <w:rsid w:val="00572D8F"/>
    <w:rsid w:val="00572EE2"/>
    <w:rsid w:val="005730BE"/>
    <w:rsid w:val="005735A5"/>
    <w:rsid w:val="00573A03"/>
    <w:rsid w:val="00573A8B"/>
    <w:rsid w:val="00573DA1"/>
    <w:rsid w:val="00574B1B"/>
    <w:rsid w:val="00574E1E"/>
    <w:rsid w:val="00574F70"/>
    <w:rsid w:val="00575037"/>
    <w:rsid w:val="005755C3"/>
    <w:rsid w:val="005759B7"/>
    <w:rsid w:val="00576B16"/>
    <w:rsid w:val="005770CF"/>
    <w:rsid w:val="0057797B"/>
    <w:rsid w:val="00577CEF"/>
    <w:rsid w:val="00577ED9"/>
    <w:rsid w:val="005803F9"/>
    <w:rsid w:val="00580579"/>
    <w:rsid w:val="00580882"/>
    <w:rsid w:val="00580A16"/>
    <w:rsid w:val="00581303"/>
    <w:rsid w:val="00582070"/>
    <w:rsid w:val="00582497"/>
    <w:rsid w:val="00582B65"/>
    <w:rsid w:val="00582CDC"/>
    <w:rsid w:val="00583005"/>
    <w:rsid w:val="005832AC"/>
    <w:rsid w:val="00584F16"/>
    <w:rsid w:val="005856BA"/>
    <w:rsid w:val="00585D34"/>
    <w:rsid w:val="005861F1"/>
    <w:rsid w:val="00586265"/>
    <w:rsid w:val="00586FDA"/>
    <w:rsid w:val="00587ACB"/>
    <w:rsid w:val="005903C1"/>
    <w:rsid w:val="005906DB"/>
    <w:rsid w:val="0059178D"/>
    <w:rsid w:val="0059200F"/>
    <w:rsid w:val="00592712"/>
    <w:rsid w:val="0059285D"/>
    <w:rsid w:val="00592A51"/>
    <w:rsid w:val="00592DC5"/>
    <w:rsid w:val="0059369F"/>
    <w:rsid w:val="005938DE"/>
    <w:rsid w:val="00593D9E"/>
    <w:rsid w:val="00595347"/>
    <w:rsid w:val="0059556D"/>
    <w:rsid w:val="00595DEE"/>
    <w:rsid w:val="005960AF"/>
    <w:rsid w:val="005A077A"/>
    <w:rsid w:val="005A07E8"/>
    <w:rsid w:val="005A0ADE"/>
    <w:rsid w:val="005A0B3B"/>
    <w:rsid w:val="005A11B9"/>
    <w:rsid w:val="005A120D"/>
    <w:rsid w:val="005A1422"/>
    <w:rsid w:val="005A1640"/>
    <w:rsid w:val="005A1A8A"/>
    <w:rsid w:val="005A1FD2"/>
    <w:rsid w:val="005A2A05"/>
    <w:rsid w:val="005A3452"/>
    <w:rsid w:val="005A3FAF"/>
    <w:rsid w:val="005A40E4"/>
    <w:rsid w:val="005A40EE"/>
    <w:rsid w:val="005A572D"/>
    <w:rsid w:val="005A5BC7"/>
    <w:rsid w:val="005A5D61"/>
    <w:rsid w:val="005A62C0"/>
    <w:rsid w:val="005A67D5"/>
    <w:rsid w:val="005A6921"/>
    <w:rsid w:val="005A6A77"/>
    <w:rsid w:val="005A6CC0"/>
    <w:rsid w:val="005A6EEC"/>
    <w:rsid w:val="005A7687"/>
    <w:rsid w:val="005A7E57"/>
    <w:rsid w:val="005B0278"/>
    <w:rsid w:val="005B0601"/>
    <w:rsid w:val="005B15BB"/>
    <w:rsid w:val="005B25A4"/>
    <w:rsid w:val="005B27AA"/>
    <w:rsid w:val="005B2BAE"/>
    <w:rsid w:val="005B318E"/>
    <w:rsid w:val="005B322C"/>
    <w:rsid w:val="005B38F1"/>
    <w:rsid w:val="005B4358"/>
    <w:rsid w:val="005B47AF"/>
    <w:rsid w:val="005B4C0A"/>
    <w:rsid w:val="005B4C6C"/>
    <w:rsid w:val="005B4C7E"/>
    <w:rsid w:val="005B4F3D"/>
    <w:rsid w:val="005B52F7"/>
    <w:rsid w:val="005B548B"/>
    <w:rsid w:val="005B611F"/>
    <w:rsid w:val="005B66A4"/>
    <w:rsid w:val="005B6858"/>
    <w:rsid w:val="005B797F"/>
    <w:rsid w:val="005B7BFF"/>
    <w:rsid w:val="005C05BB"/>
    <w:rsid w:val="005C089B"/>
    <w:rsid w:val="005C09D9"/>
    <w:rsid w:val="005C0B51"/>
    <w:rsid w:val="005C1EB0"/>
    <w:rsid w:val="005C3266"/>
    <w:rsid w:val="005C342E"/>
    <w:rsid w:val="005C3586"/>
    <w:rsid w:val="005C3858"/>
    <w:rsid w:val="005C3A38"/>
    <w:rsid w:val="005C3F5E"/>
    <w:rsid w:val="005C41A2"/>
    <w:rsid w:val="005C44AC"/>
    <w:rsid w:val="005C4931"/>
    <w:rsid w:val="005C4F96"/>
    <w:rsid w:val="005C51AD"/>
    <w:rsid w:val="005C5275"/>
    <w:rsid w:val="005C5436"/>
    <w:rsid w:val="005C6950"/>
    <w:rsid w:val="005C6A85"/>
    <w:rsid w:val="005C6F3D"/>
    <w:rsid w:val="005C7185"/>
    <w:rsid w:val="005C7647"/>
    <w:rsid w:val="005C79D9"/>
    <w:rsid w:val="005C7A5E"/>
    <w:rsid w:val="005D1508"/>
    <w:rsid w:val="005D159D"/>
    <w:rsid w:val="005D17E6"/>
    <w:rsid w:val="005D194F"/>
    <w:rsid w:val="005D1B7B"/>
    <w:rsid w:val="005D210B"/>
    <w:rsid w:val="005D263F"/>
    <w:rsid w:val="005D28CB"/>
    <w:rsid w:val="005D2ACB"/>
    <w:rsid w:val="005D2E12"/>
    <w:rsid w:val="005D30C8"/>
    <w:rsid w:val="005D3522"/>
    <w:rsid w:val="005D366D"/>
    <w:rsid w:val="005D3A80"/>
    <w:rsid w:val="005D3BE5"/>
    <w:rsid w:val="005D4082"/>
    <w:rsid w:val="005D4997"/>
    <w:rsid w:val="005D4B7C"/>
    <w:rsid w:val="005D5E83"/>
    <w:rsid w:val="005D62E2"/>
    <w:rsid w:val="005D64D8"/>
    <w:rsid w:val="005D6A53"/>
    <w:rsid w:val="005D7351"/>
    <w:rsid w:val="005D7BD8"/>
    <w:rsid w:val="005E01C3"/>
    <w:rsid w:val="005E0833"/>
    <w:rsid w:val="005E112C"/>
    <w:rsid w:val="005E1951"/>
    <w:rsid w:val="005E2065"/>
    <w:rsid w:val="005E24D7"/>
    <w:rsid w:val="005E27C5"/>
    <w:rsid w:val="005E2B83"/>
    <w:rsid w:val="005E3024"/>
    <w:rsid w:val="005E322E"/>
    <w:rsid w:val="005E3891"/>
    <w:rsid w:val="005E3929"/>
    <w:rsid w:val="005E39D1"/>
    <w:rsid w:val="005E3ADF"/>
    <w:rsid w:val="005E3F00"/>
    <w:rsid w:val="005E42B0"/>
    <w:rsid w:val="005E4558"/>
    <w:rsid w:val="005E4A63"/>
    <w:rsid w:val="005E4E61"/>
    <w:rsid w:val="005E5455"/>
    <w:rsid w:val="005E5687"/>
    <w:rsid w:val="005E5BAD"/>
    <w:rsid w:val="005E5FD0"/>
    <w:rsid w:val="005E6C8D"/>
    <w:rsid w:val="005E6CCA"/>
    <w:rsid w:val="005E6DF4"/>
    <w:rsid w:val="005E7172"/>
    <w:rsid w:val="005F0446"/>
    <w:rsid w:val="005F073D"/>
    <w:rsid w:val="005F0A17"/>
    <w:rsid w:val="005F0B8C"/>
    <w:rsid w:val="005F0CC1"/>
    <w:rsid w:val="005F0EB5"/>
    <w:rsid w:val="005F0FCF"/>
    <w:rsid w:val="005F1352"/>
    <w:rsid w:val="005F1637"/>
    <w:rsid w:val="005F1DC6"/>
    <w:rsid w:val="005F20DB"/>
    <w:rsid w:val="005F2CFD"/>
    <w:rsid w:val="005F35DA"/>
    <w:rsid w:val="005F38DF"/>
    <w:rsid w:val="005F3947"/>
    <w:rsid w:val="005F3E57"/>
    <w:rsid w:val="005F421E"/>
    <w:rsid w:val="005F44B6"/>
    <w:rsid w:val="005F464D"/>
    <w:rsid w:val="005F4673"/>
    <w:rsid w:val="005F47C4"/>
    <w:rsid w:val="005F4840"/>
    <w:rsid w:val="005F4CF7"/>
    <w:rsid w:val="005F4E72"/>
    <w:rsid w:val="005F4E7E"/>
    <w:rsid w:val="005F51BB"/>
    <w:rsid w:val="005F55F8"/>
    <w:rsid w:val="005F5B5D"/>
    <w:rsid w:val="005F6380"/>
    <w:rsid w:val="005F64D0"/>
    <w:rsid w:val="005F65BF"/>
    <w:rsid w:val="005F68C1"/>
    <w:rsid w:val="005F6A7D"/>
    <w:rsid w:val="005F6FE7"/>
    <w:rsid w:val="005F7220"/>
    <w:rsid w:val="00600295"/>
    <w:rsid w:val="006002E4"/>
    <w:rsid w:val="0060154D"/>
    <w:rsid w:val="00601E81"/>
    <w:rsid w:val="00601F8A"/>
    <w:rsid w:val="00602255"/>
    <w:rsid w:val="006035EC"/>
    <w:rsid w:val="00603850"/>
    <w:rsid w:val="0060449E"/>
    <w:rsid w:val="00604C40"/>
    <w:rsid w:val="00604E57"/>
    <w:rsid w:val="006050A4"/>
    <w:rsid w:val="0060544B"/>
    <w:rsid w:val="00605A63"/>
    <w:rsid w:val="006062D2"/>
    <w:rsid w:val="00606BCB"/>
    <w:rsid w:val="00606F2C"/>
    <w:rsid w:val="00606F78"/>
    <w:rsid w:val="0060717D"/>
    <w:rsid w:val="00607679"/>
    <w:rsid w:val="006106CB"/>
    <w:rsid w:val="00610E6B"/>
    <w:rsid w:val="00611791"/>
    <w:rsid w:val="00611B00"/>
    <w:rsid w:val="00611BD2"/>
    <w:rsid w:val="00611F88"/>
    <w:rsid w:val="00612055"/>
    <w:rsid w:val="00612476"/>
    <w:rsid w:val="00612570"/>
    <w:rsid w:val="00612C0A"/>
    <w:rsid w:val="00612E95"/>
    <w:rsid w:val="0061313E"/>
    <w:rsid w:val="0061370D"/>
    <w:rsid w:val="00613B21"/>
    <w:rsid w:val="00613F5E"/>
    <w:rsid w:val="00614862"/>
    <w:rsid w:val="006149A6"/>
    <w:rsid w:val="00614D4B"/>
    <w:rsid w:val="00615D42"/>
    <w:rsid w:val="006168D8"/>
    <w:rsid w:val="00616CDE"/>
    <w:rsid w:val="006175F1"/>
    <w:rsid w:val="00620A2F"/>
    <w:rsid w:val="00620A9C"/>
    <w:rsid w:val="00620AEB"/>
    <w:rsid w:val="0062107B"/>
    <w:rsid w:val="00621343"/>
    <w:rsid w:val="00621489"/>
    <w:rsid w:val="00621B10"/>
    <w:rsid w:val="00621DA9"/>
    <w:rsid w:val="00621F53"/>
    <w:rsid w:val="0062241D"/>
    <w:rsid w:val="006224A9"/>
    <w:rsid w:val="006229BD"/>
    <w:rsid w:val="0062393C"/>
    <w:rsid w:val="00624526"/>
    <w:rsid w:val="006249B2"/>
    <w:rsid w:val="00624CB7"/>
    <w:rsid w:val="006253B6"/>
    <w:rsid w:val="0062578B"/>
    <w:rsid w:val="00625793"/>
    <w:rsid w:val="00625900"/>
    <w:rsid w:val="00625E9A"/>
    <w:rsid w:val="006261EC"/>
    <w:rsid w:val="00626978"/>
    <w:rsid w:val="006269FF"/>
    <w:rsid w:val="006276D1"/>
    <w:rsid w:val="00627832"/>
    <w:rsid w:val="00627A06"/>
    <w:rsid w:val="006303E0"/>
    <w:rsid w:val="006317E5"/>
    <w:rsid w:val="00631934"/>
    <w:rsid w:val="0063196F"/>
    <w:rsid w:val="00631D4A"/>
    <w:rsid w:val="00631DB1"/>
    <w:rsid w:val="00632414"/>
    <w:rsid w:val="00632436"/>
    <w:rsid w:val="00632AB1"/>
    <w:rsid w:val="00632B22"/>
    <w:rsid w:val="006332AF"/>
    <w:rsid w:val="006333AB"/>
    <w:rsid w:val="006338AA"/>
    <w:rsid w:val="006338C2"/>
    <w:rsid w:val="006342E7"/>
    <w:rsid w:val="0063444C"/>
    <w:rsid w:val="00634941"/>
    <w:rsid w:val="00635328"/>
    <w:rsid w:val="006354A2"/>
    <w:rsid w:val="0063578D"/>
    <w:rsid w:val="006361A5"/>
    <w:rsid w:val="006370BC"/>
    <w:rsid w:val="00637841"/>
    <w:rsid w:val="0063796E"/>
    <w:rsid w:val="00641CB9"/>
    <w:rsid w:val="00641EF2"/>
    <w:rsid w:val="00642E98"/>
    <w:rsid w:val="00642EF3"/>
    <w:rsid w:val="006437AA"/>
    <w:rsid w:val="00644254"/>
    <w:rsid w:val="00644422"/>
    <w:rsid w:val="00644840"/>
    <w:rsid w:val="0064569F"/>
    <w:rsid w:val="006456C3"/>
    <w:rsid w:val="00646C49"/>
    <w:rsid w:val="006471B9"/>
    <w:rsid w:val="006479AA"/>
    <w:rsid w:val="00650391"/>
    <w:rsid w:val="00650D66"/>
    <w:rsid w:val="006510C2"/>
    <w:rsid w:val="006514C3"/>
    <w:rsid w:val="00651751"/>
    <w:rsid w:val="00651C55"/>
    <w:rsid w:val="00652E7D"/>
    <w:rsid w:val="00653684"/>
    <w:rsid w:val="00653757"/>
    <w:rsid w:val="006537AD"/>
    <w:rsid w:val="00653AED"/>
    <w:rsid w:val="006542B3"/>
    <w:rsid w:val="00654AC6"/>
    <w:rsid w:val="00654C11"/>
    <w:rsid w:val="00654DD4"/>
    <w:rsid w:val="00654DDB"/>
    <w:rsid w:val="006553C6"/>
    <w:rsid w:val="00655B22"/>
    <w:rsid w:val="0065622F"/>
    <w:rsid w:val="00656285"/>
    <w:rsid w:val="00656883"/>
    <w:rsid w:val="00656E68"/>
    <w:rsid w:val="006573C7"/>
    <w:rsid w:val="006576E9"/>
    <w:rsid w:val="00660EAC"/>
    <w:rsid w:val="00660F94"/>
    <w:rsid w:val="006614BA"/>
    <w:rsid w:val="006616D5"/>
    <w:rsid w:val="00661BEC"/>
    <w:rsid w:val="00661F00"/>
    <w:rsid w:val="00662022"/>
    <w:rsid w:val="0066216C"/>
    <w:rsid w:val="00662D1C"/>
    <w:rsid w:val="006633A6"/>
    <w:rsid w:val="0066343E"/>
    <w:rsid w:val="006639FE"/>
    <w:rsid w:val="00663A41"/>
    <w:rsid w:val="00663B1F"/>
    <w:rsid w:val="00663E9B"/>
    <w:rsid w:val="0066458E"/>
    <w:rsid w:val="00664C8A"/>
    <w:rsid w:val="00665DD4"/>
    <w:rsid w:val="00666018"/>
    <w:rsid w:val="00666080"/>
    <w:rsid w:val="00666350"/>
    <w:rsid w:val="00666819"/>
    <w:rsid w:val="00666FB8"/>
    <w:rsid w:val="006671F3"/>
    <w:rsid w:val="0067084D"/>
    <w:rsid w:val="0067096F"/>
    <w:rsid w:val="00670A4E"/>
    <w:rsid w:val="00670D4B"/>
    <w:rsid w:val="006728FD"/>
    <w:rsid w:val="00673267"/>
    <w:rsid w:val="00673288"/>
    <w:rsid w:val="0067336A"/>
    <w:rsid w:val="00673721"/>
    <w:rsid w:val="00674BB0"/>
    <w:rsid w:val="00674E1C"/>
    <w:rsid w:val="0067556F"/>
    <w:rsid w:val="0067557C"/>
    <w:rsid w:val="00675DBF"/>
    <w:rsid w:val="0067683B"/>
    <w:rsid w:val="00676D10"/>
    <w:rsid w:val="0067746E"/>
    <w:rsid w:val="00677F86"/>
    <w:rsid w:val="00677FC8"/>
    <w:rsid w:val="00680DC8"/>
    <w:rsid w:val="006815E8"/>
    <w:rsid w:val="006818AD"/>
    <w:rsid w:val="006821DD"/>
    <w:rsid w:val="0068225F"/>
    <w:rsid w:val="0068265E"/>
    <w:rsid w:val="00682AA7"/>
    <w:rsid w:val="0068391F"/>
    <w:rsid w:val="006839E9"/>
    <w:rsid w:val="00683CA1"/>
    <w:rsid w:val="00684A81"/>
    <w:rsid w:val="006853B6"/>
    <w:rsid w:val="006855EB"/>
    <w:rsid w:val="00685944"/>
    <w:rsid w:val="00685B96"/>
    <w:rsid w:val="00685F4D"/>
    <w:rsid w:val="00687450"/>
    <w:rsid w:val="00690A68"/>
    <w:rsid w:val="00690B41"/>
    <w:rsid w:val="00690C7D"/>
    <w:rsid w:val="0069138E"/>
    <w:rsid w:val="00691742"/>
    <w:rsid w:val="00691D4F"/>
    <w:rsid w:val="006928E9"/>
    <w:rsid w:val="006934EE"/>
    <w:rsid w:val="00693BC7"/>
    <w:rsid w:val="00693DB4"/>
    <w:rsid w:val="006944E2"/>
    <w:rsid w:val="0069475E"/>
    <w:rsid w:val="00694BF9"/>
    <w:rsid w:val="00694D28"/>
    <w:rsid w:val="006950D2"/>
    <w:rsid w:val="00695787"/>
    <w:rsid w:val="00695864"/>
    <w:rsid w:val="00695F8B"/>
    <w:rsid w:val="00696493"/>
    <w:rsid w:val="00696691"/>
    <w:rsid w:val="00696826"/>
    <w:rsid w:val="00696E7A"/>
    <w:rsid w:val="006974AA"/>
    <w:rsid w:val="0069760D"/>
    <w:rsid w:val="0069765B"/>
    <w:rsid w:val="00697804"/>
    <w:rsid w:val="00697A0C"/>
    <w:rsid w:val="00697F52"/>
    <w:rsid w:val="006A027F"/>
    <w:rsid w:val="006A0D0B"/>
    <w:rsid w:val="006A0EF0"/>
    <w:rsid w:val="006A1266"/>
    <w:rsid w:val="006A141F"/>
    <w:rsid w:val="006A1A92"/>
    <w:rsid w:val="006A1B65"/>
    <w:rsid w:val="006A2570"/>
    <w:rsid w:val="006A2C7C"/>
    <w:rsid w:val="006A3437"/>
    <w:rsid w:val="006A34BA"/>
    <w:rsid w:val="006A3762"/>
    <w:rsid w:val="006A409C"/>
    <w:rsid w:val="006A453A"/>
    <w:rsid w:val="006A572B"/>
    <w:rsid w:val="006A58AC"/>
    <w:rsid w:val="006A5E3C"/>
    <w:rsid w:val="006A5F6D"/>
    <w:rsid w:val="006A610E"/>
    <w:rsid w:val="006A6252"/>
    <w:rsid w:val="006A6666"/>
    <w:rsid w:val="006A6BA7"/>
    <w:rsid w:val="006A718A"/>
    <w:rsid w:val="006A7955"/>
    <w:rsid w:val="006A7BE6"/>
    <w:rsid w:val="006A7DBB"/>
    <w:rsid w:val="006A7F34"/>
    <w:rsid w:val="006B0426"/>
    <w:rsid w:val="006B04F0"/>
    <w:rsid w:val="006B058A"/>
    <w:rsid w:val="006B067F"/>
    <w:rsid w:val="006B1097"/>
    <w:rsid w:val="006B1747"/>
    <w:rsid w:val="006B1F35"/>
    <w:rsid w:val="006B2B8B"/>
    <w:rsid w:val="006B330E"/>
    <w:rsid w:val="006B3710"/>
    <w:rsid w:val="006B3C80"/>
    <w:rsid w:val="006B4DC1"/>
    <w:rsid w:val="006B4FEF"/>
    <w:rsid w:val="006B54A4"/>
    <w:rsid w:val="006B5BDC"/>
    <w:rsid w:val="006B5E98"/>
    <w:rsid w:val="006B6799"/>
    <w:rsid w:val="006B6C77"/>
    <w:rsid w:val="006B6DD1"/>
    <w:rsid w:val="006B7596"/>
    <w:rsid w:val="006C07F5"/>
    <w:rsid w:val="006C0926"/>
    <w:rsid w:val="006C0DB1"/>
    <w:rsid w:val="006C1471"/>
    <w:rsid w:val="006C14F7"/>
    <w:rsid w:val="006C1A6E"/>
    <w:rsid w:val="006C233A"/>
    <w:rsid w:val="006C2364"/>
    <w:rsid w:val="006C26ED"/>
    <w:rsid w:val="006C29F6"/>
    <w:rsid w:val="006C307F"/>
    <w:rsid w:val="006C3088"/>
    <w:rsid w:val="006C3195"/>
    <w:rsid w:val="006C351F"/>
    <w:rsid w:val="006C4256"/>
    <w:rsid w:val="006C45B7"/>
    <w:rsid w:val="006C4746"/>
    <w:rsid w:val="006C491B"/>
    <w:rsid w:val="006C4B4F"/>
    <w:rsid w:val="006C5B02"/>
    <w:rsid w:val="006C5B2C"/>
    <w:rsid w:val="006C5DD4"/>
    <w:rsid w:val="006C61FF"/>
    <w:rsid w:val="006C6398"/>
    <w:rsid w:val="006C6667"/>
    <w:rsid w:val="006C6675"/>
    <w:rsid w:val="006C69F6"/>
    <w:rsid w:val="006C6A60"/>
    <w:rsid w:val="006C79D3"/>
    <w:rsid w:val="006C7E03"/>
    <w:rsid w:val="006D0B15"/>
    <w:rsid w:val="006D0D5C"/>
    <w:rsid w:val="006D0FF1"/>
    <w:rsid w:val="006D240A"/>
    <w:rsid w:val="006D2712"/>
    <w:rsid w:val="006D3088"/>
    <w:rsid w:val="006D3424"/>
    <w:rsid w:val="006D3E85"/>
    <w:rsid w:val="006D48B9"/>
    <w:rsid w:val="006D51CF"/>
    <w:rsid w:val="006D5805"/>
    <w:rsid w:val="006D5A9D"/>
    <w:rsid w:val="006D621D"/>
    <w:rsid w:val="006D6509"/>
    <w:rsid w:val="006D6F09"/>
    <w:rsid w:val="006D7E2C"/>
    <w:rsid w:val="006E00DA"/>
    <w:rsid w:val="006E05BC"/>
    <w:rsid w:val="006E10A0"/>
    <w:rsid w:val="006E1935"/>
    <w:rsid w:val="006E1D59"/>
    <w:rsid w:val="006E228B"/>
    <w:rsid w:val="006E2BEC"/>
    <w:rsid w:val="006E2DED"/>
    <w:rsid w:val="006E2EDD"/>
    <w:rsid w:val="006E2FC0"/>
    <w:rsid w:val="006E3439"/>
    <w:rsid w:val="006E366A"/>
    <w:rsid w:val="006E38D5"/>
    <w:rsid w:val="006E3CDD"/>
    <w:rsid w:val="006E461B"/>
    <w:rsid w:val="006E5E47"/>
    <w:rsid w:val="006E6723"/>
    <w:rsid w:val="006E677F"/>
    <w:rsid w:val="006E6C6A"/>
    <w:rsid w:val="006E6D54"/>
    <w:rsid w:val="006E709D"/>
    <w:rsid w:val="006E719A"/>
    <w:rsid w:val="006E74B5"/>
    <w:rsid w:val="006E7A71"/>
    <w:rsid w:val="006E7EB6"/>
    <w:rsid w:val="006F0891"/>
    <w:rsid w:val="006F0C7A"/>
    <w:rsid w:val="006F10CC"/>
    <w:rsid w:val="006F10F0"/>
    <w:rsid w:val="006F12F7"/>
    <w:rsid w:val="006F1A00"/>
    <w:rsid w:val="006F1C73"/>
    <w:rsid w:val="006F2085"/>
    <w:rsid w:val="006F2220"/>
    <w:rsid w:val="006F22DC"/>
    <w:rsid w:val="006F2364"/>
    <w:rsid w:val="006F263E"/>
    <w:rsid w:val="006F31E1"/>
    <w:rsid w:val="006F3323"/>
    <w:rsid w:val="006F3A04"/>
    <w:rsid w:val="006F3BDA"/>
    <w:rsid w:val="006F3DD8"/>
    <w:rsid w:val="006F4866"/>
    <w:rsid w:val="006F53E6"/>
    <w:rsid w:val="006F56B9"/>
    <w:rsid w:val="006F56F3"/>
    <w:rsid w:val="006F57A6"/>
    <w:rsid w:val="006F5898"/>
    <w:rsid w:val="006F6DC5"/>
    <w:rsid w:val="006F73AB"/>
    <w:rsid w:val="006F7C78"/>
    <w:rsid w:val="007000C0"/>
    <w:rsid w:val="00700720"/>
    <w:rsid w:val="00701343"/>
    <w:rsid w:val="00701949"/>
    <w:rsid w:val="00701F14"/>
    <w:rsid w:val="0070240A"/>
    <w:rsid w:val="00702E06"/>
    <w:rsid w:val="00702EED"/>
    <w:rsid w:val="00702FED"/>
    <w:rsid w:val="00703419"/>
    <w:rsid w:val="00703A81"/>
    <w:rsid w:val="00704267"/>
    <w:rsid w:val="007044E7"/>
    <w:rsid w:val="00704889"/>
    <w:rsid w:val="007051AF"/>
    <w:rsid w:val="00705642"/>
    <w:rsid w:val="0070596E"/>
    <w:rsid w:val="00705A93"/>
    <w:rsid w:val="00705B36"/>
    <w:rsid w:val="00705CFC"/>
    <w:rsid w:val="00706523"/>
    <w:rsid w:val="007068E2"/>
    <w:rsid w:val="00706C1A"/>
    <w:rsid w:val="007073E9"/>
    <w:rsid w:val="00707FD8"/>
    <w:rsid w:val="00710E34"/>
    <w:rsid w:val="00711088"/>
    <w:rsid w:val="007114CA"/>
    <w:rsid w:val="00711791"/>
    <w:rsid w:val="00711A6C"/>
    <w:rsid w:val="007128F2"/>
    <w:rsid w:val="007137FA"/>
    <w:rsid w:val="00713C7F"/>
    <w:rsid w:val="00713E81"/>
    <w:rsid w:val="00713F2C"/>
    <w:rsid w:val="007153D8"/>
    <w:rsid w:val="00715E05"/>
    <w:rsid w:val="00716474"/>
    <w:rsid w:val="007165E8"/>
    <w:rsid w:val="00716638"/>
    <w:rsid w:val="00716760"/>
    <w:rsid w:val="007173FA"/>
    <w:rsid w:val="0071756C"/>
    <w:rsid w:val="007209FE"/>
    <w:rsid w:val="00720E46"/>
    <w:rsid w:val="007215EE"/>
    <w:rsid w:val="007216A3"/>
    <w:rsid w:val="00721862"/>
    <w:rsid w:val="00722396"/>
    <w:rsid w:val="00723550"/>
    <w:rsid w:val="00723982"/>
    <w:rsid w:val="00723F40"/>
    <w:rsid w:val="007249E8"/>
    <w:rsid w:val="00724AA2"/>
    <w:rsid w:val="00725D12"/>
    <w:rsid w:val="00726538"/>
    <w:rsid w:val="00726632"/>
    <w:rsid w:val="00726637"/>
    <w:rsid w:val="00726744"/>
    <w:rsid w:val="007268F1"/>
    <w:rsid w:val="00727261"/>
    <w:rsid w:val="00730E93"/>
    <w:rsid w:val="00730F97"/>
    <w:rsid w:val="007312D6"/>
    <w:rsid w:val="00731B7E"/>
    <w:rsid w:val="00732378"/>
    <w:rsid w:val="007326CD"/>
    <w:rsid w:val="007328B1"/>
    <w:rsid w:val="007335E0"/>
    <w:rsid w:val="00733627"/>
    <w:rsid w:val="00733ED4"/>
    <w:rsid w:val="0073427C"/>
    <w:rsid w:val="00734314"/>
    <w:rsid w:val="007351CF"/>
    <w:rsid w:val="0073541B"/>
    <w:rsid w:val="007355A8"/>
    <w:rsid w:val="00735D84"/>
    <w:rsid w:val="00736A62"/>
    <w:rsid w:val="00736DDE"/>
    <w:rsid w:val="007373E0"/>
    <w:rsid w:val="00737E96"/>
    <w:rsid w:val="00740A9E"/>
    <w:rsid w:val="00740AB9"/>
    <w:rsid w:val="00740CB1"/>
    <w:rsid w:val="00741484"/>
    <w:rsid w:val="00741687"/>
    <w:rsid w:val="0074170E"/>
    <w:rsid w:val="0074185D"/>
    <w:rsid w:val="00741D90"/>
    <w:rsid w:val="00742399"/>
    <w:rsid w:val="0074260D"/>
    <w:rsid w:val="00742BFB"/>
    <w:rsid w:val="00743DA3"/>
    <w:rsid w:val="00744171"/>
    <w:rsid w:val="007448A4"/>
    <w:rsid w:val="00744F34"/>
    <w:rsid w:val="007450BE"/>
    <w:rsid w:val="00745891"/>
    <w:rsid w:val="0074598F"/>
    <w:rsid w:val="00745FA8"/>
    <w:rsid w:val="0074630D"/>
    <w:rsid w:val="00746622"/>
    <w:rsid w:val="00746972"/>
    <w:rsid w:val="00746A47"/>
    <w:rsid w:val="00750012"/>
    <w:rsid w:val="00750182"/>
    <w:rsid w:val="007506DD"/>
    <w:rsid w:val="0075166D"/>
    <w:rsid w:val="00751D16"/>
    <w:rsid w:val="007527D5"/>
    <w:rsid w:val="00752F2C"/>
    <w:rsid w:val="00753943"/>
    <w:rsid w:val="00754A6A"/>
    <w:rsid w:val="00754A8D"/>
    <w:rsid w:val="00754F2F"/>
    <w:rsid w:val="007552F7"/>
    <w:rsid w:val="007557F1"/>
    <w:rsid w:val="00755B02"/>
    <w:rsid w:val="00756AD4"/>
    <w:rsid w:val="00756F93"/>
    <w:rsid w:val="007576BC"/>
    <w:rsid w:val="00757735"/>
    <w:rsid w:val="00757B89"/>
    <w:rsid w:val="00757CA8"/>
    <w:rsid w:val="00757D4E"/>
    <w:rsid w:val="00757E6E"/>
    <w:rsid w:val="00760610"/>
    <w:rsid w:val="00760C0D"/>
    <w:rsid w:val="00760FDC"/>
    <w:rsid w:val="007611CA"/>
    <w:rsid w:val="00761349"/>
    <w:rsid w:val="00761685"/>
    <w:rsid w:val="007616C9"/>
    <w:rsid w:val="00761D42"/>
    <w:rsid w:val="00761F8A"/>
    <w:rsid w:val="0076206D"/>
    <w:rsid w:val="0076243A"/>
    <w:rsid w:val="00762C3B"/>
    <w:rsid w:val="00763010"/>
    <w:rsid w:val="00763B34"/>
    <w:rsid w:val="0076403F"/>
    <w:rsid w:val="00764319"/>
    <w:rsid w:val="007646C1"/>
    <w:rsid w:val="00764BE6"/>
    <w:rsid w:val="00764FF9"/>
    <w:rsid w:val="00765C1A"/>
    <w:rsid w:val="00765EAD"/>
    <w:rsid w:val="007664AB"/>
    <w:rsid w:val="00766662"/>
    <w:rsid w:val="00766791"/>
    <w:rsid w:val="00770139"/>
    <w:rsid w:val="007706B0"/>
    <w:rsid w:val="00770900"/>
    <w:rsid w:val="00771220"/>
    <w:rsid w:val="007713AA"/>
    <w:rsid w:val="007715F1"/>
    <w:rsid w:val="007718CC"/>
    <w:rsid w:val="00771933"/>
    <w:rsid w:val="007723C4"/>
    <w:rsid w:val="007729DA"/>
    <w:rsid w:val="0077344D"/>
    <w:rsid w:val="00773F12"/>
    <w:rsid w:val="00773FBC"/>
    <w:rsid w:val="007745D4"/>
    <w:rsid w:val="0077490E"/>
    <w:rsid w:val="00774A7C"/>
    <w:rsid w:val="00774C01"/>
    <w:rsid w:val="00774C96"/>
    <w:rsid w:val="007755AF"/>
    <w:rsid w:val="007758A9"/>
    <w:rsid w:val="00775DC1"/>
    <w:rsid w:val="00775F23"/>
    <w:rsid w:val="007762BE"/>
    <w:rsid w:val="00776748"/>
    <w:rsid w:val="0077751F"/>
    <w:rsid w:val="00777991"/>
    <w:rsid w:val="00780226"/>
    <w:rsid w:val="0078102A"/>
    <w:rsid w:val="0078156B"/>
    <w:rsid w:val="0078159F"/>
    <w:rsid w:val="00781B3F"/>
    <w:rsid w:val="00781C2A"/>
    <w:rsid w:val="00781C3C"/>
    <w:rsid w:val="00781CC7"/>
    <w:rsid w:val="00781E0A"/>
    <w:rsid w:val="00782924"/>
    <w:rsid w:val="007829D8"/>
    <w:rsid w:val="00783A3D"/>
    <w:rsid w:val="00784611"/>
    <w:rsid w:val="00784657"/>
    <w:rsid w:val="007847A4"/>
    <w:rsid w:val="00784879"/>
    <w:rsid w:val="00784964"/>
    <w:rsid w:val="00784A3F"/>
    <w:rsid w:val="00784D8B"/>
    <w:rsid w:val="00784F17"/>
    <w:rsid w:val="00785D86"/>
    <w:rsid w:val="0078619C"/>
    <w:rsid w:val="00786419"/>
    <w:rsid w:val="0078645C"/>
    <w:rsid w:val="00787A03"/>
    <w:rsid w:val="00787A9A"/>
    <w:rsid w:val="00787D7A"/>
    <w:rsid w:val="00790158"/>
    <w:rsid w:val="007904C0"/>
    <w:rsid w:val="0079065C"/>
    <w:rsid w:val="00790959"/>
    <w:rsid w:val="00790BAD"/>
    <w:rsid w:val="0079115B"/>
    <w:rsid w:val="0079172D"/>
    <w:rsid w:val="007920F1"/>
    <w:rsid w:val="00792CD2"/>
    <w:rsid w:val="00794A2E"/>
    <w:rsid w:val="0079524E"/>
    <w:rsid w:val="00795C2B"/>
    <w:rsid w:val="00796716"/>
    <w:rsid w:val="007967E2"/>
    <w:rsid w:val="007A021F"/>
    <w:rsid w:val="007A078B"/>
    <w:rsid w:val="007A0848"/>
    <w:rsid w:val="007A08A5"/>
    <w:rsid w:val="007A1095"/>
    <w:rsid w:val="007A10C0"/>
    <w:rsid w:val="007A1335"/>
    <w:rsid w:val="007A19F0"/>
    <w:rsid w:val="007A1FEB"/>
    <w:rsid w:val="007A2CD6"/>
    <w:rsid w:val="007A3651"/>
    <w:rsid w:val="007A3837"/>
    <w:rsid w:val="007A3A21"/>
    <w:rsid w:val="007A3DB9"/>
    <w:rsid w:val="007A4A68"/>
    <w:rsid w:val="007A4CA0"/>
    <w:rsid w:val="007A4E6A"/>
    <w:rsid w:val="007A5335"/>
    <w:rsid w:val="007A53FE"/>
    <w:rsid w:val="007A5540"/>
    <w:rsid w:val="007A5558"/>
    <w:rsid w:val="007A5A65"/>
    <w:rsid w:val="007A5FD5"/>
    <w:rsid w:val="007A640A"/>
    <w:rsid w:val="007A6D80"/>
    <w:rsid w:val="007A7735"/>
    <w:rsid w:val="007B03CF"/>
    <w:rsid w:val="007B07DD"/>
    <w:rsid w:val="007B0A43"/>
    <w:rsid w:val="007B0C64"/>
    <w:rsid w:val="007B1373"/>
    <w:rsid w:val="007B1738"/>
    <w:rsid w:val="007B1FD8"/>
    <w:rsid w:val="007B2495"/>
    <w:rsid w:val="007B2527"/>
    <w:rsid w:val="007B2A74"/>
    <w:rsid w:val="007B3F0D"/>
    <w:rsid w:val="007B42E7"/>
    <w:rsid w:val="007B4471"/>
    <w:rsid w:val="007B48FC"/>
    <w:rsid w:val="007B4D7D"/>
    <w:rsid w:val="007B500D"/>
    <w:rsid w:val="007B5040"/>
    <w:rsid w:val="007B54A2"/>
    <w:rsid w:val="007B573E"/>
    <w:rsid w:val="007B61A5"/>
    <w:rsid w:val="007B64AA"/>
    <w:rsid w:val="007B6646"/>
    <w:rsid w:val="007B69BA"/>
    <w:rsid w:val="007B6A8F"/>
    <w:rsid w:val="007B711D"/>
    <w:rsid w:val="007B79D5"/>
    <w:rsid w:val="007B7A2C"/>
    <w:rsid w:val="007C034A"/>
    <w:rsid w:val="007C0B21"/>
    <w:rsid w:val="007C0F28"/>
    <w:rsid w:val="007C1A60"/>
    <w:rsid w:val="007C2626"/>
    <w:rsid w:val="007C2664"/>
    <w:rsid w:val="007C2826"/>
    <w:rsid w:val="007C2D36"/>
    <w:rsid w:val="007C4376"/>
    <w:rsid w:val="007C4568"/>
    <w:rsid w:val="007C4C97"/>
    <w:rsid w:val="007C4F53"/>
    <w:rsid w:val="007C4F86"/>
    <w:rsid w:val="007C5C52"/>
    <w:rsid w:val="007C614C"/>
    <w:rsid w:val="007C678B"/>
    <w:rsid w:val="007C6BEF"/>
    <w:rsid w:val="007C6DE8"/>
    <w:rsid w:val="007D0C95"/>
    <w:rsid w:val="007D17EC"/>
    <w:rsid w:val="007D1918"/>
    <w:rsid w:val="007D1DDD"/>
    <w:rsid w:val="007D210D"/>
    <w:rsid w:val="007D2403"/>
    <w:rsid w:val="007D2638"/>
    <w:rsid w:val="007D292A"/>
    <w:rsid w:val="007D2A27"/>
    <w:rsid w:val="007D2A4C"/>
    <w:rsid w:val="007D2BD9"/>
    <w:rsid w:val="007D2E21"/>
    <w:rsid w:val="007D32A6"/>
    <w:rsid w:val="007D3896"/>
    <w:rsid w:val="007D3C2B"/>
    <w:rsid w:val="007D4089"/>
    <w:rsid w:val="007D491A"/>
    <w:rsid w:val="007D4B9A"/>
    <w:rsid w:val="007D4CD8"/>
    <w:rsid w:val="007D4EB4"/>
    <w:rsid w:val="007D4ED6"/>
    <w:rsid w:val="007D559F"/>
    <w:rsid w:val="007D60CF"/>
    <w:rsid w:val="007D610A"/>
    <w:rsid w:val="007D6211"/>
    <w:rsid w:val="007D651B"/>
    <w:rsid w:val="007D7BE9"/>
    <w:rsid w:val="007D7EE9"/>
    <w:rsid w:val="007D7F0F"/>
    <w:rsid w:val="007E053F"/>
    <w:rsid w:val="007E0901"/>
    <w:rsid w:val="007E0A92"/>
    <w:rsid w:val="007E0EA2"/>
    <w:rsid w:val="007E162B"/>
    <w:rsid w:val="007E168A"/>
    <w:rsid w:val="007E186B"/>
    <w:rsid w:val="007E2F49"/>
    <w:rsid w:val="007E3BAC"/>
    <w:rsid w:val="007E3F08"/>
    <w:rsid w:val="007E4C24"/>
    <w:rsid w:val="007E63C7"/>
    <w:rsid w:val="007E6657"/>
    <w:rsid w:val="007E6FD6"/>
    <w:rsid w:val="007E7050"/>
    <w:rsid w:val="007F05BE"/>
    <w:rsid w:val="007F05D8"/>
    <w:rsid w:val="007F13D4"/>
    <w:rsid w:val="007F162F"/>
    <w:rsid w:val="007F176C"/>
    <w:rsid w:val="007F19EB"/>
    <w:rsid w:val="007F3414"/>
    <w:rsid w:val="007F380B"/>
    <w:rsid w:val="007F38D8"/>
    <w:rsid w:val="007F3B4D"/>
    <w:rsid w:val="007F3EA8"/>
    <w:rsid w:val="007F406D"/>
    <w:rsid w:val="007F40AB"/>
    <w:rsid w:val="007F4BFB"/>
    <w:rsid w:val="007F4D1A"/>
    <w:rsid w:val="007F5265"/>
    <w:rsid w:val="007F59EB"/>
    <w:rsid w:val="007F66B1"/>
    <w:rsid w:val="007F689E"/>
    <w:rsid w:val="007F7722"/>
    <w:rsid w:val="007F7AB4"/>
    <w:rsid w:val="0080059B"/>
    <w:rsid w:val="008005E5"/>
    <w:rsid w:val="008008C4"/>
    <w:rsid w:val="00800F06"/>
    <w:rsid w:val="00801AFA"/>
    <w:rsid w:val="00801EA4"/>
    <w:rsid w:val="00802173"/>
    <w:rsid w:val="008023A5"/>
    <w:rsid w:val="0080288D"/>
    <w:rsid w:val="00803DF0"/>
    <w:rsid w:val="008040B0"/>
    <w:rsid w:val="0080418F"/>
    <w:rsid w:val="0080451D"/>
    <w:rsid w:val="008047D5"/>
    <w:rsid w:val="00804B41"/>
    <w:rsid w:val="008054ED"/>
    <w:rsid w:val="00805727"/>
    <w:rsid w:val="008059DB"/>
    <w:rsid w:val="00806CFE"/>
    <w:rsid w:val="00807C60"/>
    <w:rsid w:val="00807CA8"/>
    <w:rsid w:val="00807CE1"/>
    <w:rsid w:val="00807F50"/>
    <w:rsid w:val="00807FC9"/>
    <w:rsid w:val="00810532"/>
    <w:rsid w:val="00810865"/>
    <w:rsid w:val="008109F3"/>
    <w:rsid w:val="00811B92"/>
    <w:rsid w:val="00811C28"/>
    <w:rsid w:val="00812647"/>
    <w:rsid w:val="008129A7"/>
    <w:rsid w:val="00812AF9"/>
    <w:rsid w:val="00813441"/>
    <w:rsid w:val="008144EC"/>
    <w:rsid w:val="00814FFE"/>
    <w:rsid w:val="008154E0"/>
    <w:rsid w:val="00815BDF"/>
    <w:rsid w:val="0081635B"/>
    <w:rsid w:val="008164A8"/>
    <w:rsid w:val="008164B2"/>
    <w:rsid w:val="00816601"/>
    <w:rsid w:val="008168F0"/>
    <w:rsid w:val="00816A58"/>
    <w:rsid w:val="008170B2"/>
    <w:rsid w:val="00817175"/>
    <w:rsid w:val="00817C04"/>
    <w:rsid w:val="00820398"/>
    <w:rsid w:val="008203F1"/>
    <w:rsid w:val="00820460"/>
    <w:rsid w:val="008207C1"/>
    <w:rsid w:val="00821034"/>
    <w:rsid w:val="0082124E"/>
    <w:rsid w:val="00821250"/>
    <w:rsid w:val="008214B1"/>
    <w:rsid w:val="00821725"/>
    <w:rsid w:val="00821A4E"/>
    <w:rsid w:val="00821BA8"/>
    <w:rsid w:val="00821F8D"/>
    <w:rsid w:val="008222E3"/>
    <w:rsid w:val="00822BCE"/>
    <w:rsid w:val="0082314B"/>
    <w:rsid w:val="00823426"/>
    <w:rsid w:val="00824716"/>
    <w:rsid w:val="00824AE8"/>
    <w:rsid w:val="00825C93"/>
    <w:rsid w:val="00825FE1"/>
    <w:rsid w:val="008263E9"/>
    <w:rsid w:val="00826A09"/>
    <w:rsid w:val="00826F20"/>
    <w:rsid w:val="008271CB"/>
    <w:rsid w:val="008302B3"/>
    <w:rsid w:val="00830B40"/>
    <w:rsid w:val="008310D8"/>
    <w:rsid w:val="00831199"/>
    <w:rsid w:val="00831788"/>
    <w:rsid w:val="008317A1"/>
    <w:rsid w:val="00831E10"/>
    <w:rsid w:val="00831E8E"/>
    <w:rsid w:val="00832584"/>
    <w:rsid w:val="00832F57"/>
    <w:rsid w:val="00833483"/>
    <w:rsid w:val="00833856"/>
    <w:rsid w:val="0083397C"/>
    <w:rsid w:val="00834C8F"/>
    <w:rsid w:val="008352D3"/>
    <w:rsid w:val="00835529"/>
    <w:rsid w:val="00835712"/>
    <w:rsid w:val="00835A3D"/>
    <w:rsid w:val="00835EFF"/>
    <w:rsid w:val="008360E8"/>
    <w:rsid w:val="00836C5B"/>
    <w:rsid w:val="00836E33"/>
    <w:rsid w:val="008373D1"/>
    <w:rsid w:val="00837924"/>
    <w:rsid w:val="00840061"/>
    <w:rsid w:val="0084014D"/>
    <w:rsid w:val="00840A52"/>
    <w:rsid w:val="00840B92"/>
    <w:rsid w:val="00840BAF"/>
    <w:rsid w:val="008412EF"/>
    <w:rsid w:val="00841B31"/>
    <w:rsid w:val="0084216D"/>
    <w:rsid w:val="008426A4"/>
    <w:rsid w:val="008426FE"/>
    <w:rsid w:val="00843CB5"/>
    <w:rsid w:val="008445DA"/>
    <w:rsid w:val="00844A5D"/>
    <w:rsid w:val="00844AB9"/>
    <w:rsid w:val="00844BC3"/>
    <w:rsid w:val="00844E17"/>
    <w:rsid w:val="00845EBD"/>
    <w:rsid w:val="00845FAB"/>
    <w:rsid w:val="00845FE0"/>
    <w:rsid w:val="00846681"/>
    <w:rsid w:val="008467C2"/>
    <w:rsid w:val="008472B5"/>
    <w:rsid w:val="008476C3"/>
    <w:rsid w:val="00847B12"/>
    <w:rsid w:val="008500EA"/>
    <w:rsid w:val="00850809"/>
    <w:rsid w:val="00850CFE"/>
    <w:rsid w:val="00850D50"/>
    <w:rsid w:val="0085160E"/>
    <w:rsid w:val="00851864"/>
    <w:rsid w:val="00851A1C"/>
    <w:rsid w:val="00851AF5"/>
    <w:rsid w:val="00851D30"/>
    <w:rsid w:val="008522F4"/>
    <w:rsid w:val="0085239F"/>
    <w:rsid w:val="0085278C"/>
    <w:rsid w:val="00852F5D"/>
    <w:rsid w:val="00853409"/>
    <w:rsid w:val="00853467"/>
    <w:rsid w:val="008534BB"/>
    <w:rsid w:val="0085499D"/>
    <w:rsid w:val="00854DF3"/>
    <w:rsid w:val="00854E19"/>
    <w:rsid w:val="008552F8"/>
    <w:rsid w:val="00855A7A"/>
    <w:rsid w:val="0085603B"/>
    <w:rsid w:val="0085695F"/>
    <w:rsid w:val="00856FDF"/>
    <w:rsid w:val="00857088"/>
    <w:rsid w:val="00857EDA"/>
    <w:rsid w:val="0086092D"/>
    <w:rsid w:val="00860D56"/>
    <w:rsid w:val="00860F03"/>
    <w:rsid w:val="008614DC"/>
    <w:rsid w:val="0086173C"/>
    <w:rsid w:val="00861817"/>
    <w:rsid w:val="00861EE6"/>
    <w:rsid w:val="00862EC4"/>
    <w:rsid w:val="0086335C"/>
    <w:rsid w:val="008637A3"/>
    <w:rsid w:val="008637D3"/>
    <w:rsid w:val="00863F1D"/>
    <w:rsid w:val="0086423D"/>
    <w:rsid w:val="00864B42"/>
    <w:rsid w:val="00864F12"/>
    <w:rsid w:val="008650A4"/>
    <w:rsid w:val="00865176"/>
    <w:rsid w:val="00865859"/>
    <w:rsid w:val="00865893"/>
    <w:rsid w:val="0086637C"/>
    <w:rsid w:val="00866793"/>
    <w:rsid w:val="00866799"/>
    <w:rsid w:val="00866E5A"/>
    <w:rsid w:val="00867C33"/>
    <w:rsid w:val="00867F60"/>
    <w:rsid w:val="00870552"/>
    <w:rsid w:val="00870C66"/>
    <w:rsid w:val="00870CF9"/>
    <w:rsid w:val="00870F76"/>
    <w:rsid w:val="008713D6"/>
    <w:rsid w:val="00872451"/>
    <w:rsid w:val="008726DD"/>
    <w:rsid w:val="008738FD"/>
    <w:rsid w:val="0087407F"/>
    <w:rsid w:val="008744A5"/>
    <w:rsid w:val="00874679"/>
    <w:rsid w:val="00874D41"/>
    <w:rsid w:val="00875CAB"/>
    <w:rsid w:val="00875E50"/>
    <w:rsid w:val="00876382"/>
    <w:rsid w:val="008763B4"/>
    <w:rsid w:val="0087686E"/>
    <w:rsid w:val="0087796F"/>
    <w:rsid w:val="00877C77"/>
    <w:rsid w:val="00877E26"/>
    <w:rsid w:val="00880C08"/>
    <w:rsid w:val="00880F7F"/>
    <w:rsid w:val="008814D5"/>
    <w:rsid w:val="008819B6"/>
    <w:rsid w:val="00881B34"/>
    <w:rsid w:val="00881B85"/>
    <w:rsid w:val="00882606"/>
    <w:rsid w:val="00882D53"/>
    <w:rsid w:val="00882F05"/>
    <w:rsid w:val="0088336E"/>
    <w:rsid w:val="0088381A"/>
    <w:rsid w:val="008839E1"/>
    <w:rsid w:val="00883E28"/>
    <w:rsid w:val="008840C5"/>
    <w:rsid w:val="008856B2"/>
    <w:rsid w:val="00886333"/>
    <w:rsid w:val="008869A8"/>
    <w:rsid w:val="008875A1"/>
    <w:rsid w:val="00887E75"/>
    <w:rsid w:val="0089013F"/>
    <w:rsid w:val="008913BA"/>
    <w:rsid w:val="0089174F"/>
    <w:rsid w:val="00891EC7"/>
    <w:rsid w:val="008921F7"/>
    <w:rsid w:val="008924C0"/>
    <w:rsid w:val="00892F4C"/>
    <w:rsid w:val="00893202"/>
    <w:rsid w:val="00893E09"/>
    <w:rsid w:val="008949AF"/>
    <w:rsid w:val="00894EFD"/>
    <w:rsid w:val="008950C0"/>
    <w:rsid w:val="008959D7"/>
    <w:rsid w:val="00895B22"/>
    <w:rsid w:val="00895F18"/>
    <w:rsid w:val="00896796"/>
    <w:rsid w:val="00896EB9"/>
    <w:rsid w:val="008977BE"/>
    <w:rsid w:val="008977F7"/>
    <w:rsid w:val="00897835"/>
    <w:rsid w:val="00897E0E"/>
    <w:rsid w:val="008A0F55"/>
    <w:rsid w:val="008A123E"/>
    <w:rsid w:val="008A19E8"/>
    <w:rsid w:val="008A29A5"/>
    <w:rsid w:val="008A2F0D"/>
    <w:rsid w:val="008A3022"/>
    <w:rsid w:val="008A3520"/>
    <w:rsid w:val="008A3539"/>
    <w:rsid w:val="008A3750"/>
    <w:rsid w:val="008A4079"/>
    <w:rsid w:val="008A41AC"/>
    <w:rsid w:val="008A423A"/>
    <w:rsid w:val="008A52C8"/>
    <w:rsid w:val="008A5501"/>
    <w:rsid w:val="008A6078"/>
    <w:rsid w:val="008A65EC"/>
    <w:rsid w:val="008A6DE3"/>
    <w:rsid w:val="008A6F99"/>
    <w:rsid w:val="008A7DB5"/>
    <w:rsid w:val="008A7F07"/>
    <w:rsid w:val="008A7F34"/>
    <w:rsid w:val="008B096C"/>
    <w:rsid w:val="008B19EE"/>
    <w:rsid w:val="008B1A41"/>
    <w:rsid w:val="008B1A46"/>
    <w:rsid w:val="008B1C50"/>
    <w:rsid w:val="008B1C6E"/>
    <w:rsid w:val="008B32BA"/>
    <w:rsid w:val="008B36A6"/>
    <w:rsid w:val="008B4787"/>
    <w:rsid w:val="008B4A26"/>
    <w:rsid w:val="008B50AA"/>
    <w:rsid w:val="008B5B07"/>
    <w:rsid w:val="008B5BBD"/>
    <w:rsid w:val="008B6867"/>
    <w:rsid w:val="008B714D"/>
    <w:rsid w:val="008B78F4"/>
    <w:rsid w:val="008B7D1A"/>
    <w:rsid w:val="008C01B0"/>
    <w:rsid w:val="008C114F"/>
    <w:rsid w:val="008C1339"/>
    <w:rsid w:val="008C2553"/>
    <w:rsid w:val="008C27EE"/>
    <w:rsid w:val="008C3B4F"/>
    <w:rsid w:val="008C3B88"/>
    <w:rsid w:val="008C4239"/>
    <w:rsid w:val="008C4425"/>
    <w:rsid w:val="008C44D0"/>
    <w:rsid w:val="008C49D6"/>
    <w:rsid w:val="008C5077"/>
    <w:rsid w:val="008C50FD"/>
    <w:rsid w:val="008C5BBF"/>
    <w:rsid w:val="008C5E3F"/>
    <w:rsid w:val="008C5E8C"/>
    <w:rsid w:val="008C61E7"/>
    <w:rsid w:val="008C62A4"/>
    <w:rsid w:val="008C677B"/>
    <w:rsid w:val="008C6B1C"/>
    <w:rsid w:val="008C6E0F"/>
    <w:rsid w:val="008C6F9E"/>
    <w:rsid w:val="008C7068"/>
    <w:rsid w:val="008C72BC"/>
    <w:rsid w:val="008C7388"/>
    <w:rsid w:val="008C771D"/>
    <w:rsid w:val="008D07FB"/>
    <w:rsid w:val="008D089B"/>
    <w:rsid w:val="008D08E2"/>
    <w:rsid w:val="008D097B"/>
    <w:rsid w:val="008D0A5B"/>
    <w:rsid w:val="008D0C7E"/>
    <w:rsid w:val="008D10C5"/>
    <w:rsid w:val="008D1119"/>
    <w:rsid w:val="008D11E0"/>
    <w:rsid w:val="008D1386"/>
    <w:rsid w:val="008D145B"/>
    <w:rsid w:val="008D20C9"/>
    <w:rsid w:val="008D28B9"/>
    <w:rsid w:val="008D3146"/>
    <w:rsid w:val="008D3172"/>
    <w:rsid w:val="008D3358"/>
    <w:rsid w:val="008D33E8"/>
    <w:rsid w:val="008D3AE7"/>
    <w:rsid w:val="008D4178"/>
    <w:rsid w:val="008D4263"/>
    <w:rsid w:val="008D43CB"/>
    <w:rsid w:val="008D4545"/>
    <w:rsid w:val="008D49BB"/>
    <w:rsid w:val="008D4FBA"/>
    <w:rsid w:val="008D5223"/>
    <w:rsid w:val="008D5783"/>
    <w:rsid w:val="008D5A0E"/>
    <w:rsid w:val="008D61C4"/>
    <w:rsid w:val="008D61F7"/>
    <w:rsid w:val="008D649F"/>
    <w:rsid w:val="008D6B50"/>
    <w:rsid w:val="008D6C0B"/>
    <w:rsid w:val="008D6DF7"/>
    <w:rsid w:val="008D70D1"/>
    <w:rsid w:val="008D775F"/>
    <w:rsid w:val="008E0071"/>
    <w:rsid w:val="008E07AA"/>
    <w:rsid w:val="008E0983"/>
    <w:rsid w:val="008E1312"/>
    <w:rsid w:val="008E14E1"/>
    <w:rsid w:val="008E17AA"/>
    <w:rsid w:val="008E192F"/>
    <w:rsid w:val="008E1DB4"/>
    <w:rsid w:val="008E2954"/>
    <w:rsid w:val="008E2AD9"/>
    <w:rsid w:val="008E31E5"/>
    <w:rsid w:val="008E3576"/>
    <w:rsid w:val="008E37C3"/>
    <w:rsid w:val="008E413B"/>
    <w:rsid w:val="008E41CF"/>
    <w:rsid w:val="008E48D2"/>
    <w:rsid w:val="008E4A26"/>
    <w:rsid w:val="008E4A28"/>
    <w:rsid w:val="008E4DC1"/>
    <w:rsid w:val="008E524B"/>
    <w:rsid w:val="008E5DD6"/>
    <w:rsid w:val="008E5EFC"/>
    <w:rsid w:val="008E638B"/>
    <w:rsid w:val="008E654D"/>
    <w:rsid w:val="008E669D"/>
    <w:rsid w:val="008E66AD"/>
    <w:rsid w:val="008E68A7"/>
    <w:rsid w:val="008E77B3"/>
    <w:rsid w:val="008E7A19"/>
    <w:rsid w:val="008F0AB1"/>
    <w:rsid w:val="008F1349"/>
    <w:rsid w:val="008F1694"/>
    <w:rsid w:val="008F20F9"/>
    <w:rsid w:val="008F2611"/>
    <w:rsid w:val="008F26FC"/>
    <w:rsid w:val="008F2CD7"/>
    <w:rsid w:val="008F331C"/>
    <w:rsid w:val="008F3538"/>
    <w:rsid w:val="008F3B74"/>
    <w:rsid w:val="008F3C6F"/>
    <w:rsid w:val="008F4393"/>
    <w:rsid w:val="008F4551"/>
    <w:rsid w:val="008F4BC0"/>
    <w:rsid w:val="008F5059"/>
    <w:rsid w:val="008F5965"/>
    <w:rsid w:val="008F5B7E"/>
    <w:rsid w:val="008F63AF"/>
    <w:rsid w:val="008F6AF2"/>
    <w:rsid w:val="008F6E86"/>
    <w:rsid w:val="008F6FF1"/>
    <w:rsid w:val="008F7012"/>
    <w:rsid w:val="008F774B"/>
    <w:rsid w:val="008F7D76"/>
    <w:rsid w:val="00900892"/>
    <w:rsid w:val="009008E5"/>
    <w:rsid w:val="00900966"/>
    <w:rsid w:val="0090132C"/>
    <w:rsid w:val="009016E5"/>
    <w:rsid w:val="00901CDC"/>
    <w:rsid w:val="0090224B"/>
    <w:rsid w:val="009026D9"/>
    <w:rsid w:val="0090281E"/>
    <w:rsid w:val="009028B4"/>
    <w:rsid w:val="00902BFE"/>
    <w:rsid w:val="00904CB4"/>
    <w:rsid w:val="00905F5E"/>
    <w:rsid w:val="00906893"/>
    <w:rsid w:val="00906C42"/>
    <w:rsid w:val="0090770E"/>
    <w:rsid w:val="00907B20"/>
    <w:rsid w:val="0091033E"/>
    <w:rsid w:val="00911205"/>
    <w:rsid w:val="00911293"/>
    <w:rsid w:val="00911E8A"/>
    <w:rsid w:val="0091268C"/>
    <w:rsid w:val="00912691"/>
    <w:rsid w:val="009128D6"/>
    <w:rsid w:val="00913369"/>
    <w:rsid w:val="00913426"/>
    <w:rsid w:val="009146CB"/>
    <w:rsid w:val="0091479D"/>
    <w:rsid w:val="00915574"/>
    <w:rsid w:val="0091580F"/>
    <w:rsid w:val="00915C34"/>
    <w:rsid w:val="00915F68"/>
    <w:rsid w:val="00915F7D"/>
    <w:rsid w:val="009166A1"/>
    <w:rsid w:val="009167E6"/>
    <w:rsid w:val="00916866"/>
    <w:rsid w:val="0091686D"/>
    <w:rsid w:val="00916B29"/>
    <w:rsid w:val="00916BF8"/>
    <w:rsid w:val="00916C94"/>
    <w:rsid w:val="00916E12"/>
    <w:rsid w:val="00917AC2"/>
    <w:rsid w:val="00917D13"/>
    <w:rsid w:val="00917F0D"/>
    <w:rsid w:val="00917F46"/>
    <w:rsid w:val="00920EF8"/>
    <w:rsid w:val="00921510"/>
    <w:rsid w:val="00922054"/>
    <w:rsid w:val="00922193"/>
    <w:rsid w:val="009228B2"/>
    <w:rsid w:val="009230EA"/>
    <w:rsid w:val="00923102"/>
    <w:rsid w:val="00923182"/>
    <w:rsid w:val="009231F3"/>
    <w:rsid w:val="00923471"/>
    <w:rsid w:val="0092361B"/>
    <w:rsid w:val="00923829"/>
    <w:rsid w:val="0092393E"/>
    <w:rsid w:val="00923BD8"/>
    <w:rsid w:val="0092459A"/>
    <w:rsid w:val="00924C7B"/>
    <w:rsid w:val="009257C0"/>
    <w:rsid w:val="009257EE"/>
    <w:rsid w:val="00925BB2"/>
    <w:rsid w:val="00925DF3"/>
    <w:rsid w:val="00926373"/>
    <w:rsid w:val="00930D9B"/>
    <w:rsid w:val="00930EA4"/>
    <w:rsid w:val="009310D7"/>
    <w:rsid w:val="0093155B"/>
    <w:rsid w:val="00931A1A"/>
    <w:rsid w:val="00931B72"/>
    <w:rsid w:val="00932039"/>
    <w:rsid w:val="0093219B"/>
    <w:rsid w:val="009321DA"/>
    <w:rsid w:val="00932222"/>
    <w:rsid w:val="00932C1C"/>
    <w:rsid w:val="0093365C"/>
    <w:rsid w:val="0093379E"/>
    <w:rsid w:val="00933D3C"/>
    <w:rsid w:val="00934A3C"/>
    <w:rsid w:val="00934E8A"/>
    <w:rsid w:val="0093565D"/>
    <w:rsid w:val="00936029"/>
    <w:rsid w:val="0093613B"/>
    <w:rsid w:val="00936C99"/>
    <w:rsid w:val="0093777E"/>
    <w:rsid w:val="00940703"/>
    <w:rsid w:val="0094116D"/>
    <w:rsid w:val="00941642"/>
    <w:rsid w:val="00941BA9"/>
    <w:rsid w:val="00941CAD"/>
    <w:rsid w:val="00941E84"/>
    <w:rsid w:val="00941F11"/>
    <w:rsid w:val="009428B1"/>
    <w:rsid w:val="00942977"/>
    <w:rsid w:val="00942E83"/>
    <w:rsid w:val="0094323D"/>
    <w:rsid w:val="0094369C"/>
    <w:rsid w:val="009439DF"/>
    <w:rsid w:val="00943FE1"/>
    <w:rsid w:val="00944112"/>
    <w:rsid w:val="00944674"/>
    <w:rsid w:val="00944C5E"/>
    <w:rsid w:val="00944DAF"/>
    <w:rsid w:val="00944EFB"/>
    <w:rsid w:val="009452F4"/>
    <w:rsid w:val="009467F3"/>
    <w:rsid w:val="009469C9"/>
    <w:rsid w:val="00947E65"/>
    <w:rsid w:val="009503E6"/>
    <w:rsid w:val="0095043C"/>
    <w:rsid w:val="00950525"/>
    <w:rsid w:val="009510C8"/>
    <w:rsid w:val="0095126B"/>
    <w:rsid w:val="009519E2"/>
    <w:rsid w:val="00951A8C"/>
    <w:rsid w:val="00951E8A"/>
    <w:rsid w:val="00952379"/>
    <w:rsid w:val="009525E2"/>
    <w:rsid w:val="0095280C"/>
    <w:rsid w:val="00952C41"/>
    <w:rsid w:val="00952F17"/>
    <w:rsid w:val="00952FE7"/>
    <w:rsid w:val="0095322E"/>
    <w:rsid w:val="009546FA"/>
    <w:rsid w:val="00955057"/>
    <w:rsid w:val="0095607D"/>
    <w:rsid w:val="0095632E"/>
    <w:rsid w:val="00956D5A"/>
    <w:rsid w:val="009575E9"/>
    <w:rsid w:val="009578A9"/>
    <w:rsid w:val="009601AA"/>
    <w:rsid w:val="00960802"/>
    <w:rsid w:val="00960C86"/>
    <w:rsid w:val="00961919"/>
    <w:rsid w:val="00961A43"/>
    <w:rsid w:val="00961F75"/>
    <w:rsid w:val="00962007"/>
    <w:rsid w:val="009621BE"/>
    <w:rsid w:val="00962996"/>
    <w:rsid w:val="009636EB"/>
    <w:rsid w:val="009651F5"/>
    <w:rsid w:val="00965981"/>
    <w:rsid w:val="00965E34"/>
    <w:rsid w:val="00966005"/>
    <w:rsid w:val="009665BC"/>
    <w:rsid w:val="00966666"/>
    <w:rsid w:val="00966AC4"/>
    <w:rsid w:val="00967743"/>
    <w:rsid w:val="00967807"/>
    <w:rsid w:val="00967C95"/>
    <w:rsid w:val="0097021A"/>
    <w:rsid w:val="009702EF"/>
    <w:rsid w:val="0097035C"/>
    <w:rsid w:val="009705D0"/>
    <w:rsid w:val="00970674"/>
    <w:rsid w:val="0097083E"/>
    <w:rsid w:val="00970C40"/>
    <w:rsid w:val="00971069"/>
    <w:rsid w:val="009712DE"/>
    <w:rsid w:val="009715A8"/>
    <w:rsid w:val="0097189F"/>
    <w:rsid w:val="00971B22"/>
    <w:rsid w:val="00971EEF"/>
    <w:rsid w:val="009720C1"/>
    <w:rsid w:val="00972A80"/>
    <w:rsid w:val="00972BC7"/>
    <w:rsid w:val="00972ED7"/>
    <w:rsid w:val="00973517"/>
    <w:rsid w:val="009736EF"/>
    <w:rsid w:val="00973B1C"/>
    <w:rsid w:val="00973D2C"/>
    <w:rsid w:val="00974123"/>
    <w:rsid w:val="00974161"/>
    <w:rsid w:val="00974632"/>
    <w:rsid w:val="00974E2D"/>
    <w:rsid w:val="00974F9A"/>
    <w:rsid w:val="00974FBA"/>
    <w:rsid w:val="00975F99"/>
    <w:rsid w:val="009768D7"/>
    <w:rsid w:val="009771E9"/>
    <w:rsid w:val="009773A9"/>
    <w:rsid w:val="00977C4A"/>
    <w:rsid w:val="00977DEF"/>
    <w:rsid w:val="00977EEB"/>
    <w:rsid w:val="00980E6A"/>
    <w:rsid w:val="00980EBF"/>
    <w:rsid w:val="00981252"/>
    <w:rsid w:val="00981CCD"/>
    <w:rsid w:val="0098254F"/>
    <w:rsid w:val="00982721"/>
    <w:rsid w:val="00982EF0"/>
    <w:rsid w:val="00984838"/>
    <w:rsid w:val="00984987"/>
    <w:rsid w:val="00984E06"/>
    <w:rsid w:val="00985CF4"/>
    <w:rsid w:val="0098658B"/>
    <w:rsid w:val="009867A1"/>
    <w:rsid w:val="00986D65"/>
    <w:rsid w:val="009878CA"/>
    <w:rsid w:val="00987AE2"/>
    <w:rsid w:val="00987B4D"/>
    <w:rsid w:val="00987BD7"/>
    <w:rsid w:val="00990924"/>
    <w:rsid w:val="00990DCD"/>
    <w:rsid w:val="00990EA1"/>
    <w:rsid w:val="009912C4"/>
    <w:rsid w:val="00991475"/>
    <w:rsid w:val="00993B4F"/>
    <w:rsid w:val="00993BD1"/>
    <w:rsid w:val="00993CA4"/>
    <w:rsid w:val="009942A9"/>
    <w:rsid w:val="009944BF"/>
    <w:rsid w:val="00994EBD"/>
    <w:rsid w:val="009954E7"/>
    <w:rsid w:val="00995708"/>
    <w:rsid w:val="00995A9C"/>
    <w:rsid w:val="0099657B"/>
    <w:rsid w:val="009966DB"/>
    <w:rsid w:val="009971E0"/>
    <w:rsid w:val="00997C94"/>
    <w:rsid w:val="009A02F2"/>
    <w:rsid w:val="009A041E"/>
    <w:rsid w:val="009A0579"/>
    <w:rsid w:val="009A05ED"/>
    <w:rsid w:val="009A095F"/>
    <w:rsid w:val="009A11F6"/>
    <w:rsid w:val="009A1408"/>
    <w:rsid w:val="009A20BD"/>
    <w:rsid w:val="009A27B7"/>
    <w:rsid w:val="009A294A"/>
    <w:rsid w:val="009A2A38"/>
    <w:rsid w:val="009A2D49"/>
    <w:rsid w:val="009A307C"/>
    <w:rsid w:val="009A36A3"/>
    <w:rsid w:val="009A385C"/>
    <w:rsid w:val="009A3D7C"/>
    <w:rsid w:val="009A42D2"/>
    <w:rsid w:val="009A437A"/>
    <w:rsid w:val="009A43A3"/>
    <w:rsid w:val="009A4A57"/>
    <w:rsid w:val="009A59D5"/>
    <w:rsid w:val="009A60EF"/>
    <w:rsid w:val="009A68AE"/>
    <w:rsid w:val="009A68DD"/>
    <w:rsid w:val="009A6ACD"/>
    <w:rsid w:val="009A6BBA"/>
    <w:rsid w:val="009A6E0C"/>
    <w:rsid w:val="009A7473"/>
    <w:rsid w:val="009A79F8"/>
    <w:rsid w:val="009A7A86"/>
    <w:rsid w:val="009A7B0B"/>
    <w:rsid w:val="009B0DB5"/>
    <w:rsid w:val="009B10B6"/>
    <w:rsid w:val="009B15DE"/>
    <w:rsid w:val="009B1861"/>
    <w:rsid w:val="009B19A2"/>
    <w:rsid w:val="009B1BB1"/>
    <w:rsid w:val="009B2352"/>
    <w:rsid w:val="009B273F"/>
    <w:rsid w:val="009B28CD"/>
    <w:rsid w:val="009B33A0"/>
    <w:rsid w:val="009B3B06"/>
    <w:rsid w:val="009B3E99"/>
    <w:rsid w:val="009B4376"/>
    <w:rsid w:val="009B48B2"/>
    <w:rsid w:val="009B53F3"/>
    <w:rsid w:val="009B5B13"/>
    <w:rsid w:val="009B5CD9"/>
    <w:rsid w:val="009B5EC7"/>
    <w:rsid w:val="009B64EE"/>
    <w:rsid w:val="009B689E"/>
    <w:rsid w:val="009B6B84"/>
    <w:rsid w:val="009B7427"/>
    <w:rsid w:val="009B78CE"/>
    <w:rsid w:val="009B7B9F"/>
    <w:rsid w:val="009B7F34"/>
    <w:rsid w:val="009C0BC1"/>
    <w:rsid w:val="009C0C40"/>
    <w:rsid w:val="009C0D66"/>
    <w:rsid w:val="009C2781"/>
    <w:rsid w:val="009C2EB1"/>
    <w:rsid w:val="009C2F53"/>
    <w:rsid w:val="009C30F1"/>
    <w:rsid w:val="009C31C0"/>
    <w:rsid w:val="009C37A8"/>
    <w:rsid w:val="009C3D86"/>
    <w:rsid w:val="009C3F90"/>
    <w:rsid w:val="009C42C6"/>
    <w:rsid w:val="009C4353"/>
    <w:rsid w:val="009C45F1"/>
    <w:rsid w:val="009C48DA"/>
    <w:rsid w:val="009C4BD0"/>
    <w:rsid w:val="009C4D62"/>
    <w:rsid w:val="009C5740"/>
    <w:rsid w:val="009C5802"/>
    <w:rsid w:val="009C5C01"/>
    <w:rsid w:val="009C5D4F"/>
    <w:rsid w:val="009C5DF0"/>
    <w:rsid w:val="009C5DF5"/>
    <w:rsid w:val="009C6728"/>
    <w:rsid w:val="009C6760"/>
    <w:rsid w:val="009C7616"/>
    <w:rsid w:val="009C78A3"/>
    <w:rsid w:val="009C7C7D"/>
    <w:rsid w:val="009C7CD2"/>
    <w:rsid w:val="009D0727"/>
    <w:rsid w:val="009D0752"/>
    <w:rsid w:val="009D0B43"/>
    <w:rsid w:val="009D0F1D"/>
    <w:rsid w:val="009D10DB"/>
    <w:rsid w:val="009D1256"/>
    <w:rsid w:val="009D256A"/>
    <w:rsid w:val="009D2649"/>
    <w:rsid w:val="009D33B5"/>
    <w:rsid w:val="009D36B6"/>
    <w:rsid w:val="009D3A72"/>
    <w:rsid w:val="009D3D57"/>
    <w:rsid w:val="009D41B9"/>
    <w:rsid w:val="009D423A"/>
    <w:rsid w:val="009D4516"/>
    <w:rsid w:val="009D50F5"/>
    <w:rsid w:val="009D5380"/>
    <w:rsid w:val="009D6843"/>
    <w:rsid w:val="009D7074"/>
    <w:rsid w:val="009D708F"/>
    <w:rsid w:val="009D7391"/>
    <w:rsid w:val="009E081E"/>
    <w:rsid w:val="009E157A"/>
    <w:rsid w:val="009E18B5"/>
    <w:rsid w:val="009E1AA6"/>
    <w:rsid w:val="009E1EF8"/>
    <w:rsid w:val="009E259D"/>
    <w:rsid w:val="009E2642"/>
    <w:rsid w:val="009E2EA5"/>
    <w:rsid w:val="009E2FF2"/>
    <w:rsid w:val="009E3930"/>
    <w:rsid w:val="009E3DCA"/>
    <w:rsid w:val="009E4011"/>
    <w:rsid w:val="009E51E4"/>
    <w:rsid w:val="009E5BE4"/>
    <w:rsid w:val="009E64BB"/>
    <w:rsid w:val="009E69CD"/>
    <w:rsid w:val="009E6F5F"/>
    <w:rsid w:val="009E6F76"/>
    <w:rsid w:val="009E715C"/>
    <w:rsid w:val="009E7689"/>
    <w:rsid w:val="009E7E5E"/>
    <w:rsid w:val="009E7E93"/>
    <w:rsid w:val="009F0103"/>
    <w:rsid w:val="009F0DB7"/>
    <w:rsid w:val="009F1885"/>
    <w:rsid w:val="009F2097"/>
    <w:rsid w:val="009F2670"/>
    <w:rsid w:val="009F2F54"/>
    <w:rsid w:val="009F3EF5"/>
    <w:rsid w:val="009F442D"/>
    <w:rsid w:val="009F48AE"/>
    <w:rsid w:val="009F4CB3"/>
    <w:rsid w:val="009F4D47"/>
    <w:rsid w:val="009F51EE"/>
    <w:rsid w:val="009F5305"/>
    <w:rsid w:val="009F5952"/>
    <w:rsid w:val="009F5A15"/>
    <w:rsid w:val="009F5BD8"/>
    <w:rsid w:val="009F5EAE"/>
    <w:rsid w:val="009F6156"/>
    <w:rsid w:val="009F6B38"/>
    <w:rsid w:val="009F6EA8"/>
    <w:rsid w:val="009F7800"/>
    <w:rsid w:val="009F7C3C"/>
    <w:rsid w:val="00A004A8"/>
    <w:rsid w:val="00A004B7"/>
    <w:rsid w:val="00A00A4A"/>
    <w:rsid w:val="00A00B43"/>
    <w:rsid w:val="00A0109B"/>
    <w:rsid w:val="00A01220"/>
    <w:rsid w:val="00A02742"/>
    <w:rsid w:val="00A028EC"/>
    <w:rsid w:val="00A02C8F"/>
    <w:rsid w:val="00A035DE"/>
    <w:rsid w:val="00A037FF"/>
    <w:rsid w:val="00A0385D"/>
    <w:rsid w:val="00A076A2"/>
    <w:rsid w:val="00A078CC"/>
    <w:rsid w:val="00A07955"/>
    <w:rsid w:val="00A07A80"/>
    <w:rsid w:val="00A1007E"/>
    <w:rsid w:val="00A1062E"/>
    <w:rsid w:val="00A106BE"/>
    <w:rsid w:val="00A10A63"/>
    <w:rsid w:val="00A10C40"/>
    <w:rsid w:val="00A11767"/>
    <w:rsid w:val="00A11ABE"/>
    <w:rsid w:val="00A123FC"/>
    <w:rsid w:val="00A131A7"/>
    <w:rsid w:val="00A13C49"/>
    <w:rsid w:val="00A145CF"/>
    <w:rsid w:val="00A1466E"/>
    <w:rsid w:val="00A14795"/>
    <w:rsid w:val="00A14DF7"/>
    <w:rsid w:val="00A14EAE"/>
    <w:rsid w:val="00A14F96"/>
    <w:rsid w:val="00A1511B"/>
    <w:rsid w:val="00A157E5"/>
    <w:rsid w:val="00A15B94"/>
    <w:rsid w:val="00A15CC5"/>
    <w:rsid w:val="00A16874"/>
    <w:rsid w:val="00A169F6"/>
    <w:rsid w:val="00A16E6E"/>
    <w:rsid w:val="00A1779A"/>
    <w:rsid w:val="00A1793A"/>
    <w:rsid w:val="00A20240"/>
    <w:rsid w:val="00A210BC"/>
    <w:rsid w:val="00A211A1"/>
    <w:rsid w:val="00A21209"/>
    <w:rsid w:val="00A21304"/>
    <w:rsid w:val="00A223DC"/>
    <w:rsid w:val="00A2283B"/>
    <w:rsid w:val="00A22E7C"/>
    <w:rsid w:val="00A23927"/>
    <w:rsid w:val="00A23A14"/>
    <w:rsid w:val="00A23FF3"/>
    <w:rsid w:val="00A2416C"/>
    <w:rsid w:val="00A24A5D"/>
    <w:rsid w:val="00A256BB"/>
    <w:rsid w:val="00A260B4"/>
    <w:rsid w:val="00A260D1"/>
    <w:rsid w:val="00A2695A"/>
    <w:rsid w:val="00A26E83"/>
    <w:rsid w:val="00A2756C"/>
    <w:rsid w:val="00A27581"/>
    <w:rsid w:val="00A27686"/>
    <w:rsid w:val="00A27810"/>
    <w:rsid w:val="00A27888"/>
    <w:rsid w:val="00A27E31"/>
    <w:rsid w:val="00A27F3A"/>
    <w:rsid w:val="00A3036C"/>
    <w:rsid w:val="00A31052"/>
    <w:rsid w:val="00A319AB"/>
    <w:rsid w:val="00A31A0D"/>
    <w:rsid w:val="00A32739"/>
    <w:rsid w:val="00A33C16"/>
    <w:rsid w:val="00A35229"/>
    <w:rsid w:val="00A3523C"/>
    <w:rsid w:val="00A354FB"/>
    <w:rsid w:val="00A3570C"/>
    <w:rsid w:val="00A36BDE"/>
    <w:rsid w:val="00A36D3C"/>
    <w:rsid w:val="00A37394"/>
    <w:rsid w:val="00A37983"/>
    <w:rsid w:val="00A379C3"/>
    <w:rsid w:val="00A37C5B"/>
    <w:rsid w:val="00A37D85"/>
    <w:rsid w:val="00A409E3"/>
    <w:rsid w:val="00A40DD8"/>
    <w:rsid w:val="00A412A4"/>
    <w:rsid w:val="00A41368"/>
    <w:rsid w:val="00A417D0"/>
    <w:rsid w:val="00A41D39"/>
    <w:rsid w:val="00A4202C"/>
    <w:rsid w:val="00A420C1"/>
    <w:rsid w:val="00A43A03"/>
    <w:rsid w:val="00A4426A"/>
    <w:rsid w:val="00A4458E"/>
    <w:rsid w:val="00A4484C"/>
    <w:rsid w:val="00A44937"/>
    <w:rsid w:val="00A44AB7"/>
    <w:rsid w:val="00A45241"/>
    <w:rsid w:val="00A45590"/>
    <w:rsid w:val="00A45AB6"/>
    <w:rsid w:val="00A45C98"/>
    <w:rsid w:val="00A468AF"/>
    <w:rsid w:val="00A46950"/>
    <w:rsid w:val="00A46A45"/>
    <w:rsid w:val="00A46F4C"/>
    <w:rsid w:val="00A50119"/>
    <w:rsid w:val="00A50429"/>
    <w:rsid w:val="00A5070D"/>
    <w:rsid w:val="00A50BDE"/>
    <w:rsid w:val="00A517C6"/>
    <w:rsid w:val="00A51A83"/>
    <w:rsid w:val="00A51BA1"/>
    <w:rsid w:val="00A521EC"/>
    <w:rsid w:val="00A5223B"/>
    <w:rsid w:val="00A52314"/>
    <w:rsid w:val="00A52379"/>
    <w:rsid w:val="00A52787"/>
    <w:rsid w:val="00A528D9"/>
    <w:rsid w:val="00A532C8"/>
    <w:rsid w:val="00A5330A"/>
    <w:rsid w:val="00A538E1"/>
    <w:rsid w:val="00A53D60"/>
    <w:rsid w:val="00A54880"/>
    <w:rsid w:val="00A54AB3"/>
    <w:rsid w:val="00A5542A"/>
    <w:rsid w:val="00A55E0B"/>
    <w:rsid w:val="00A55FE7"/>
    <w:rsid w:val="00A56117"/>
    <w:rsid w:val="00A561F7"/>
    <w:rsid w:val="00A562BD"/>
    <w:rsid w:val="00A563D7"/>
    <w:rsid w:val="00A5674D"/>
    <w:rsid w:val="00A56BE3"/>
    <w:rsid w:val="00A56C99"/>
    <w:rsid w:val="00A56F25"/>
    <w:rsid w:val="00A56F6E"/>
    <w:rsid w:val="00A57800"/>
    <w:rsid w:val="00A579C3"/>
    <w:rsid w:val="00A6066A"/>
    <w:rsid w:val="00A60B2D"/>
    <w:rsid w:val="00A6185D"/>
    <w:rsid w:val="00A61CF0"/>
    <w:rsid w:val="00A62170"/>
    <w:rsid w:val="00A625B4"/>
    <w:rsid w:val="00A628C1"/>
    <w:rsid w:val="00A62A44"/>
    <w:rsid w:val="00A62E60"/>
    <w:rsid w:val="00A631ED"/>
    <w:rsid w:val="00A63433"/>
    <w:rsid w:val="00A64C9C"/>
    <w:rsid w:val="00A64F40"/>
    <w:rsid w:val="00A64FA2"/>
    <w:rsid w:val="00A64FBF"/>
    <w:rsid w:val="00A6571B"/>
    <w:rsid w:val="00A65F9F"/>
    <w:rsid w:val="00A668EB"/>
    <w:rsid w:val="00A66925"/>
    <w:rsid w:val="00A66C4E"/>
    <w:rsid w:val="00A66F78"/>
    <w:rsid w:val="00A67FC1"/>
    <w:rsid w:val="00A7009B"/>
    <w:rsid w:val="00A70932"/>
    <w:rsid w:val="00A70BCC"/>
    <w:rsid w:val="00A71048"/>
    <w:rsid w:val="00A7211F"/>
    <w:rsid w:val="00A72DB4"/>
    <w:rsid w:val="00A72F36"/>
    <w:rsid w:val="00A72F99"/>
    <w:rsid w:val="00A73D83"/>
    <w:rsid w:val="00A74230"/>
    <w:rsid w:val="00A74AAB"/>
    <w:rsid w:val="00A74E5F"/>
    <w:rsid w:val="00A752B2"/>
    <w:rsid w:val="00A75A86"/>
    <w:rsid w:val="00A75E9D"/>
    <w:rsid w:val="00A76A76"/>
    <w:rsid w:val="00A76B07"/>
    <w:rsid w:val="00A76D22"/>
    <w:rsid w:val="00A76DBC"/>
    <w:rsid w:val="00A76DC2"/>
    <w:rsid w:val="00A773D0"/>
    <w:rsid w:val="00A8054D"/>
    <w:rsid w:val="00A80A59"/>
    <w:rsid w:val="00A80E27"/>
    <w:rsid w:val="00A811C4"/>
    <w:rsid w:val="00A8121C"/>
    <w:rsid w:val="00A813CB"/>
    <w:rsid w:val="00A813E5"/>
    <w:rsid w:val="00A816E6"/>
    <w:rsid w:val="00A81E96"/>
    <w:rsid w:val="00A81FC2"/>
    <w:rsid w:val="00A8207B"/>
    <w:rsid w:val="00A82942"/>
    <w:rsid w:val="00A8331B"/>
    <w:rsid w:val="00A834E8"/>
    <w:rsid w:val="00A83E2E"/>
    <w:rsid w:val="00A842ED"/>
    <w:rsid w:val="00A84527"/>
    <w:rsid w:val="00A85138"/>
    <w:rsid w:val="00A85177"/>
    <w:rsid w:val="00A85411"/>
    <w:rsid w:val="00A861CE"/>
    <w:rsid w:val="00A86471"/>
    <w:rsid w:val="00A867F2"/>
    <w:rsid w:val="00A8688A"/>
    <w:rsid w:val="00A868FC"/>
    <w:rsid w:val="00A86AFD"/>
    <w:rsid w:val="00A86BE1"/>
    <w:rsid w:val="00A86BE3"/>
    <w:rsid w:val="00A86CF5"/>
    <w:rsid w:val="00A86FE4"/>
    <w:rsid w:val="00A876DC"/>
    <w:rsid w:val="00A87735"/>
    <w:rsid w:val="00A879F8"/>
    <w:rsid w:val="00A87C08"/>
    <w:rsid w:val="00A900BD"/>
    <w:rsid w:val="00A90441"/>
    <w:rsid w:val="00A90FB1"/>
    <w:rsid w:val="00A9105F"/>
    <w:rsid w:val="00A91206"/>
    <w:rsid w:val="00A9129A"/>
    <w:rsid w:val="00A91985"/>
    <w:rsid w:val="00A91B3E"/>
    <w:rsid w:val="00A91C33"/>
    <w:rsid w:val="00A92324"/>
    <w:rsid w:val="00A929F3"/>
    <w:rsid w:val="00A92A3B"/>
    <w:rsid w:val="00A92CE9"/>
    <w:rsid w:val="00A9321C"/>
    <w:rsid w:val="00A937D9"/>
    <w:rsid w:val="00A93BEF"/>
    <w:rsid w:val="00A93D14"/>
    <w:rsid w:val="00A93ED9"/>
    <w:rsid w:val="00A93F01"/>
    <w:rsid w:val="00A9412C"/>
    <w:rsid w:val="00A94222"/>
    <w:rsid w:val="00A949FA"/>
    <w:rsid w:val="00A94AB6"/>
    <w:rsid w:val="00A94AC7"/>
    <w:rsid w:val="00A9515A"/>
    <w:rsid w:val="00A95271"/>
    <w:rsid w:val="00A95762"/>
    <w:rsid w:val="00A95D35"/>
    <w:rsid w:val="00A9625F"/>
    <w:rsid w:val="00A965D0"/>
    <w:rsid w:val="00A96C7C"/>
    <w:rsid w:val="00A97266"/>
    <w:rsid w:val="00AA03A0"/>
    <w:rsid w:val="00AA0FF7"/>
    <w:rsid w:val="00AA11CD"/>
    <w:rsid w:val="00AA21BD"/>
    <w:rsid w:val="00AA25C0"/>
    <w:rsid w:val="00AA27BA"/>
    <w:rsid w:val="00AA2AF1"/>
    <w:rsid w:val="00AA2B87"/>
    <w:rsid w:val="00AA3618"/>
    <w:rsid w:val="00AA4016"/>
    <w:rsid w:val="00AA45F7"/>
    <w:rsid w:val="00AA5820"/>
    <w:rsid w:val="00AA5BAF"/>
    <w:rsid w:val="00AA5DA0"/>
    <w:rsid w:val="00AA7981"/>
    <w:rsid w:val="00AA7B32"/>
    <w:rsid w:val="00AB04D0"/>
    <w:rsid w:val="00AB0757"/>
    <w:rsid w:val="00AB0F76"/>
    <w:rsid w:val="00AB198F"/>
    <w:rsid w:val="00AB1A59"/>
    <w:rsid w:val="00AB2134"/>
    <w:rsid w:val="00AB37AC"/>
    <w:rsid w:val="00AB4528"/>
    <w:rsid w:val="00AB4FD6"/>
    <w:rsid w:val="00AB51B8"/>
    <w:rsid w:val="00AB541F"/>
    <w:rsid w:val="00AB6CE7"/>
    <w:rsid w:val="00AB6E23"/>
    <w:rsid w:val="00AB7B77"/>
    <w:rsid w:val="00AC06EA"/>
    <w:rsid w:val="00AC0CE4"/>
    <w:rsid w:val="00AC0DDF"/>
    <w:rsid w:val="00AC0F6F"/>
    <w:rsid w:val="00AC10A1"/>
    <w:rsid w:val="00AC136E"/>
    <w:rsid w:val="00AC1A42"/>
    <w:rsid w:val="00AC1EE6"/>
    <w:rsid w:val="00AC2518"/>
    <w:rsid w:val="00AC2881"/>
    <w:rsid w:val="00AC2DEA"/>
    <w:rsid w:val="00AC31AC"/>
    <w:rsid w:val="00AC31C0"/>
    <w:rsid w:val="00AC3533"/>
    <w:rsid w:val="00AC396D"/>
    <w:rsid w:val="00AC40DB"/>
    <w:rsid w:val="00AC4121"/>
    <w:rsid w:val="00AC433A"/>
    <w:rsid w:val="00AC46F9"/>
    <w:rsid w:val="00AC486E"/>
    <w:rsid w:val="00AC51AD"/>
    <w:rsid w:val="00AC54E6"/>
    <w:rsid w:val="00AC7035"/>
    <w:rsid w:val="00AC7177"/>
    <w:rsid w:val="00AC72F8"/>
    <w:rsid w:val="00AD07ED"/>
    <w:rsid w:val="00AD08A0"/>
    <w:rsid w:val="00AD0E63"/>
    <w:rsid w:val="00AD104D"/>
    <w:rsid w:val="00AD13B6"/>
    <w:rsid w:val="00AD1670"/>
    <w:rsid w:val="00AD1EB8"/>
    <w:rsid w:val="00AD2783"/>
    <w:rsid w:val="00AD3254"/>
    <w:rsid w:val="00AD3E60"/>
    <w:rsid w:val="00AD44DF"/>
    <w:rsid w:val="00AD48D0"/>
    <w:rsid w:val="00AD49EA"/>
    <w:rsid w:val="00AD501D"/>
    <w:rsid w:val="00AD50B1"/>
    <w:rsid w:val="00AD548B"/>
    <w:rsid w:val="00AD554E"/>
    <w:rsid w:val="00AD5DCC"/>
    <w:rsid w:val="00AD62C8"/>
    <w:rsid w:val="00AD67A3"/>
    <w:rsid w:val="00AD7823"/>
    <w:rsid w:val="00AE0146"/>
    <w:rsid w:val="00AE0B08"/>
    <w:rsid w:val="00AE0B26"/>
    <w:rsid w:val="00AE17ED"/>
    <w:rsid w:val="00AE183B"/>
    <w:rsid w:val="00AE2032"/>
    <w:rsid w:val="00AE218E"/>
    <w:rsid w:val="00AE2B5A"/>
    <w:rsid w:val="00AE2DD7"/>
    <w:rsid w:val="00AE2EDB"/>
    <w:rsid w:val="00AE32DA"/>
    <w:rsid w:val="00AE4967"/>
    <w:rsid w:val="00AE50FB"/>
    <w:rsid w:val="00AE6AA9"/>
    <w:rsid w:val="00AE774A"/>
    <w:rsid w:val="00AE7758"/>
    <w:rsid w:val="00AE7DD3"/>
    <w:rsid w:val="00AE7E10"/>
    <w:rsid w:val="00AE7EAA"/>
    <w:rsid w:val="00AF0148"/>
    <w:rsid w:val="00AF06BE"/>
    <w:rsid w:val="00AF0EAB"/>
    <w:rsid w:val="00AF10E8"/>
    <w:rsid w:val="00AF1136"/>
    <w:rsid w:val="00AF1285"/>
    <w:rsid w:val="00AF1D46"/>
    <w:rsid w:val="00AF1EE1"/>
    <w:rsid w:val="00AF25A2"/>
    <w:rsid w:val="00AF2AC7"/>
    <w:rsid w:val="00AF2C1E"/>
    <w:rsid w:val="00AF2CBE"/>
    <w:rsid w:val="00AF2D35"/>
    <w:rsid w:val="00AF3794"/>
    <w:rsid w:val="00AF37A1"/>
    <w:rsid w:val="00AF383F"/>
    <w:rsid w:val="00AF3C31"/>
    <w:rsid w:val="00AF3F53"/>
    <w:rsid w:val="00AF4DC9"/>
    <w:rsid w:val="00AF5A9B"/>
    <w:rsid w:val="00AF6238"/>
    <w:rsid w:val="00AF6C28"/>
    <w:rsid w:val="00AF6D1F"/>
    <w:rsid w:val="00AF6D55"/>
    <w:rsid w:val="00AF7054"/>
    <w:rsid w:val="00AF7FAA"/>
    <w:rsid w:val="00B00050"/>
    <w:rsid w:val="00B00132"/>
    <w:rsid w:val="00B0092C"/>
    <w:rsid w:val="00B00AB4"/>
    <w:rsid w:val="00B00B6A"/>
    <w:rsid w:val="00B00DEB"/>
    <w:rsid w:val="00B01081"/>
    <w:rsid w:val="00B01568"/>
    <w:rsid w:val="00B01D85"/>
    <w:rsid w:val="00B028BE"/>
    <w:rsid w:val="00B02949"/>
    <w:rsid w:val="00B02CED"/>
    <w:rsid w:val="00B02E46"/>
    <w:rsid w:val="00B03574"/>
    <w:rsid w:val="00B03A19"/>
    <w:rsid w:val="00B03D2E"/>
    <w:rsid w:val="00B043D6"/>
    <w:rsid w:val="00B04690"/>
    <w:rsid w:val="00B04B0A"/>
    <w:rsid w:val="00B0541E"/>
    <w:rsid w:val="00B0575B"/>
    <w:rsid w:val="00B05938"/>
    <w:rsid w:val="00B05C4D"/>
    <w:rsid w:val="00B05E2E"/>
    <w:rsid w:val="00B06341"/>
    <w:rsid w:val="00B06B4B"/>
    <w:rsid w:val="00B06C2E"/>
    <w:rsid w:val="00B06D76"/>
    <w:rsid w:val="00B07270"/>
    <w:rsid w:val="00B079FB"/>
    <w:rsid w:val="00B11070"/>
    <w:rsid w:val="00B11649"/>
    <w:rsid w:val="00B11A5B"/>
    <w:rsid w:val="00B11DB0"/>
    <w:rsid w:val="00B12E4C"/>
    <w:rsid w:val="00B13393"/>
    <w:rsid w:val="00B13807"/>
    <w:rsid w:val="00B13857"/>
    <w:rsid w:val="00B138DA"/>
    <w:rsid w:val="00B13905"/>
    <w:rsid w:val="00B13A31"/>
    <w:rsid w:val="00B147A0"/>
    <w:rsid w:val="00B14AE4"/>
    <w:rsid w:val="00B14C07"/>
    <w:rsid w:val="00B154FE"/>
    <w:rsid w:val="00B173F7"/>
    <w:rsid w:val="00B1767D"/>
    <w:rsid w:val="00B1786C"/>
    <w:rsid w:val="00B179C3"/>
    <w:rsid w:val="00B17DCE"/>
    <w:rsid w:val="00B20015"/>
    <w:rsid w:val="00B201B3"/>
    <w:rsid w:val="00B202FF"/>
    <w:rsid w:val="00B20B7F"/>
    <w:rsid w:val="00B216CD"/>
    <w:rsid w:val="00B222B0"/>
    <w:rsid w:val="00B22422"/>
    <w:rsid w:val="00B22B17"/>
    <w:rsid w:val="00B2305A"/>
    <w:rsid w:val="00B2337F"/>
    <w:rsid w:val="00B23FA4"/>
    <w:rsid w:val="00B241E6"/>
    <w:rsid w:val="00B24208"/>
    <w:rsid w:val="00B2434E"/>
    <w:rsid w:val="00B243A3"/>
    <w:rsid w:val="00B252F2"/>
    <w:rsid w:val="00B25C86"/>
    <w:rsid w:val="00B25DCE"/>
    <w:rsid w:val="00B25EF4"/>
    <w:rsid w:val="00B25F4D"/>
    <w:rsid w:val="00B2659C"/>
    <w:rsid w:val="00B26A45"/>
    <w:rsid w:val="00B27562"/>
    <w:rsid w:val="00B275D4"/>
    <w:rsid w:val="00B27F9C"/>
    <w:rsid w:val="00B3008C"/>
    <w:rsid w:val="00B309EE"/>
    <w:rsid w:val="00B30F64"/>
    <w:rsid w:val="00B3118E"/>
    <w:rsid w:val="00B3119A"/>
    <w:rsid w:val="00B314CA"/>
    <w:rsid w:val="00B31CDE"/>
    <w:rsid w:val="00B32391"/>
    <w:rsid w:val="00B329BB"/>
    <w:rsid w:val="00B33486"/>
    <w:rsid w:val="00B33926"/>
    <w:rsid w:val="00B33DE3"/>
    <w:rsid w:val="00B34530"/>
    <w:rsid w:val="00B3459B"/>
    <w:rsid w:val="00B3467F"/>
    <w:rsid w:val="00B346EF"/>
    <w:rsid w:val="00B34A6C"/>
    <w:rsid w:val="00B34C14"/>
    <w:rsid w:val="00B34D35"/>
    <w:rsid w:val="00B35303"/>
    <w:rsid w:val="00B359B5"/>
    <w:rsid w:val="00B35C6E"/>
    <w:rsid w:val="00B35CB5"/>
    <w:rsid w:val="00B36359"/>
    <w:rsid w:val="00B36F7C"/>
    <w:rsid w:val="00B37302"/>
    <w:rsid w:val="00B374AA"/>
    <w:rsid w:val="00B37CFE"/>
    <w:rsid w:val="00B37F8A"/>
    <w:rsid w:val="00B400F9"/>
    <w:rsid w:val="00B40ABD"/>
    <w:rsid w:val="00B41630"/>
    <w:rsid w:val="00B41707"/>
    <w:rsid w:val="00B41B18"/>
    <w:rsid w:val="00B41D95"/>
    <w:rsid w:val="00B420C9"/>
    <w:rsid w:val="00B42686"/>
    <w:rsid w:val="00B43EE8"/>
    <w:rsid w:val="00B44793"/>
    <w:rsid w:val="00B448EF"/>
    <w:rsid w:val="00B44914"/>
    <w:rsid w:val="00B44D5D"/>
    <w:rsid w:val="00B450D5"/>
    <w:rsid w:val="00B457AA"/>
    <w:rsid w:val="00B45972"/>
    <w:rsid w:val="00B46012"/>
    <w:rsid w:val="00B464ED"/>
    <w:rsid w:val="00B46519"/>
    <w:rsid w:val="00B46E11"/>
    <w:rsid w:val="00B475E1"/>
    <w:rsid w:val="00B4772A"/>
    <w:rsid w:val="00B47CF0"/>
    <w:rsid w:val="00B47F6C"/>
    <w:rsid w:val="00B50040"/>
    <w:rsid w:val="00B50218"/>
    <w:rsid w:val="00B50FED"/>
    <w:rsid w:val="00B514B4"/>
    <w:rsid w:val="00B517E2"/>
    <w:rsid w:val="00B51862"/>
    <w:rsid w:val="00B51964"/>
    <w:rsid w:val="00B5198F"/>
    <w:rsid w:val="00B51ADE"/>
    <w:rsid w:val="00B526FB"/>
    <w:rsid w:val="00B52906"/>
    <w:rsid w:val="00B52D58"/>
    <w:rsid w:val="00B532F8"/>
    <w:rsid w:val="00B5351F"/>
    <w:rsid w:val="00B53C5B"/>
    <w:rsid w:val="00B54678"/>
    <w:rsid w:val="00B554F4"/>
    <w:rsid w:val="00B56280"/>
    <w:rsid w:val="00B56AB3"/>
    <w:rsid w:val="00B57042"/>
    <w:rsid w:val="00B57790"/>
    <w:rsid w:val="00B57970"/>
    <w:rsid w:val="00B57FD7"/>
    <w:rsid w:val="00B600B6"/>
    <w:rsid w:val="00B6061A"/>
    <w:rsid w:val="00B606F4"/>
    <w:rsid w:val="00B60B26"/>
    <w:rsid w:val="00B61B6F"/>
    <w:rsid w:val="00B61E3E"/>
    <w:rsid w:val="00B62063"/>
    <w:rsid w:val="00B623A1"/>
    <w:rsid w:val="00B625A6"/>
    <w:rsid w:val="00B629FF"/>
    <w:rsid w:val="00B62A2D"/>
    <w:rsid w:val="00B63E59"/>
    <w:rsid w:val="00B6470E"/>
    <w:rsid w:val="00B64A6D"/>
    <w:rsid w:val="00B64B1F"/>
    <w:rsid w:val="00B64D09"/>
    <w:rsid w:val="00B64D2C"/>
    <w:rsid w:val="00B65371"/>
    <w:rsid w:val="00B65471"/>
    <w:rsid w:val="00B65AFF"/>
    <w:rsid w:val="00B65D8D"/>
    <w:rsid w:val="00B6612C"/>
    <w:rsid w:val="00B66A12"/>
    <w:rsid w:val="00B66ECA"/>
    <w:rsid w:val="00B66F13"/>
    <w:rsid w:val="00B67D96"/>
    <w:rsid w:val="00B700D3"/>
    <w:rsid w:val="00B70620"/>
    <w:rsid w:val="00B70BF6"/>
    <w:rsid w:val="00B70C17"/>
    <w:rsid w:val="00B71453"/>
    <w:rsid w:val="00B7150C"/>
    <w:rsid w:val="00B728DB"/>
    <w:rsid w:val="00B72E7F"/>
    <w:rsid w:val="00B731FE"/>
    <w:rsid w:val="00B735A1"/>
    <w:rsid w:val="00B73823"/>
    <w:rsid w:val="00B73C33"/>
    <w:rsid w:val="00B73C84"/>
    <w:rsid w:val="00B740F5"/>
    <w:rsid w:val="00B7437D"/>
    <w:rsid w:val="00B748A8"/>
    <w:rsid w:val="00B74959"/>
    <w:rsid w:val="00B7497C"/>
    <w:rsid w:val="00B751AA"/>
    <w:rsid w:val="00B7543B"/>
    <w:rsid w:val="00B759A2"/>
    <w:rsid w:val="00B76885"/>
    <w:rsid w:val="00B7698E"/>
    <w:rsid w:val="00B76A63"/>
    <w:rsid w:val="00B77474"/>
    <w:rsid w:val="00B77805"/>
    <w:rsid w:val="00B77D1F"/>
    <w:rsid w:val="00B80CB1"/>
    <w:rsid w:val="00B80F52"/>
    <w:rsid w:val="00B81515"/>
    <w:rsid w:val="00B8158B"/>
    <w:rsid w:val="00B81EF8"/>
    <w:rsid w:val="00B82869"/>
    <w:rsid w:val="00B8298D"/>
    <w:rsid w:val="00B82BF5"/>
    <w:rsid w:val="00B83495"/>
    <w:rsid w:val="00B83873"/>
    <w:rsid w:val="00B848A6"/>
    <w:rsid w:val="00B84A9E"/>
    <w:rsid w:val="00B85D06"/>
    <w:rsid w:val="00B86124"/>
    <w:rsid w:val="00B861D9"/>
    <w:rsid w:val="00B86853"/>
    <w:rsid w:val="00B86B5B"/>
    <w:rsid w:val="00B87384"/>
    <w:rsid w:val="00B87B87"/>
    <w:rsid w:val="00B90463"/>
    <w:rsid w:val="00B905D6"/>
    <w:rsid w:val="00B918A6"/>
    <w:rsid w:val="00B91AEA"/>
    <w:rsid w:val="00B92185"/>
    <w:rsid w:val="00B92E16"/>
    <w:rsid w:val="00B92E65"/>
    <w:rsid w:val="00B93039"/>
    <w:rsid w:val="00B931FC"/>
    <w:rsid w:val="00B93751"/>
    <w:rsid w:val="00B9397D"/>
    <w:rsid w:val="00B9449A"/>
    <w:rsid w:val="00B944E8"/>
    <w:rsid w:val="00B948FC"/>
    <w:rsid w:val="00B94AB0"/>
    <w:rsid w:val="00B9597F"/>
    <w:rsid w:val="00B95C84"/>
    <w:rsid w:val="00B96444"/>
    <w:rsid w:val="00B96FD3"/>
    <w:rsid w:val="00B9700F"/>
    <w:rsid w:val="00B975C5"/>
    <w:rsid w:val="00B97938"/>
    <w:rsid w:val="00BA01E1"/>
    <w:rsid w:val="00BA214F"/>
    <w:rsid w:val="00BA2EC1"/>
    <w:rsid w:val="00BA318B"/>
    <w:rsid w:val="00BA34AB"/>
    <w:rsid w:val="00BA3907"/>
    <w:rsid w:val="00BA3C42"/>
    <w:rsid w:val="00BA3CD5"/>
    <w:rsid w:val="00BA3DC3"/>
    <w:rsid w:val="00BA3F6C"/>
    <w:rsid w:val="00BA4837"/>
    <w:rsid w:val="00BA4856"/>
    <w:rsid w:val="00BA5E9E"/>
    <w:rsid w:val="00BA612E"/>
    <w:rsid w:val="00BA67B7"/>
    <w:rsid w:val="00BA745C"/>
    <w:rsid w:val="00BB020F"/>
    <w:rsid w:val="00BB03AC"/>
    <w:rsid w:val="00BB16C6"/>
    <w:rsid w:val="00BB1775"/>
    <w:rsid w:val="00BB1DBD"/>
    <w:rsid w:val="00BB1FFD"/>
    <w:rsid w:val="00BB201E"/>
    <w:rsid w:val="00BB2E17"/>
    <w:rsid w:val="00BB30D3"/>
    <w:rsid w:val="00BB33B7"/>
    <w:rsid w:val="00BB426B"/>
    <w:rsid w:val="00BB444B"/>
    <w:rsid w:val="00BB547F"/>
    <w:rsid w:val="00BB5C1D"/>
    <w:rsid w:val="00BB5E17"/>
    <w:rsid w:val="00BB61E4"/>
    <w:rsid w:val="00BB6AF5"/>
    <w:rsid w:val="00BB6FF8"/>
    <w:rsid w:val="00BB75CC"/>
    <w:rsid w:val="00BC0934"/>
    <w:rsid w:val="00BC0C6C"/>
    <w:rsid w:val="00BC1160"/>
    <w:rsid w:val="00BC1A8F"/>
    <w:rsid w:val="00BC1EA9"/>
    <w:rsid w:val="00BC1FF5"/>
    <w:rsid w:val="00BC2030"/>
    <w:rsid w:val="00BC2272"/>
    <w:rsid w:val="00BC23F3"/>
    <w:rsid w:val="00BC2537"/>
    <w:rsid w:val="00BC2A33"/>
    <w:rsid w:val="00BC2CC2"/>
    <w:rsid w:val="00BC3D0F"/>
    <w:rsid w:val="00BC3EF3"/>
    <w:rsid w:val="00BC4C09"/>
    <w:rsid w:val="00BC506A"/>
    <w:rsid w:val="00BC506B"/>
    <w:rsid w:val="00BC52AB"/>
    <w:rsid w:val="00BC58AD"/>
    <w:rsid w:val="00BC5E7C"/>
    <w:rsid w:val="00BC6277"/>
    <w:rsid w:val="00BC6879"/>
    <w:rsid w:val="00BC6BB3"/>
    <w:rsid w:val="00BC72D4"/>
    <w:rsid w:val="00BC73A6"/>
    <w:rsid w:val="00BC7FF8"/>
    <w:rsid w:val="00BD0171"/>
    <w:rsid w:val="00BD1365"/>
    <w:rsid w:val="00BD166E"/>
    <w:rsid w:val="00BD1749"/>
    <w:rsid w:val="00BD1A11"/>
    <w:rsid w:val="00BD1A67"/>
    <w:rsid w:val="00BD1BC7"/>
    <w:rsid w:val="00BD1EBA"/>
    <w:rsid w:val="00BD20D3"/>
    <w:rsid w:val="00BD28CA"/>
    <w:rsid w:val="00BD341D"/>
    <w:rsid w:val="00BD3CDA"/>
    <w:rsid w:val="00BD3D73"/>
    <w:rsid w:val="00BD426E"/>
    <w:rsid w:val="00BD4426"/>
    <w:rsid w:val="00BD4927"/>
    <w:rsid w:val="00BD4AE4"/>
    <w:rsid w:val="00BD526B"/>
    <w:rsid w:val="00BD5299"/>
    <w:rsid w:val="00BD5506"/>
    <w:rsid w:val="00BD58EA"/>
    <w:rsid w:val="00BD5B6C"/>
    <w:rsid w:val="00BD6C58"/>
    <w:rsid w:val="00BD6D05"/>
    <w:rsid w:val="00BD6F0F"/>
    <w:rsid w:val="00BD7030"/>
    <w:rsid w:val="00BD76D5"/>
    <w:rsid w:val="00BD79A6"/>
    <w:rsid w:val="00BD7F44"/>
    <w:rsid w:val="00BE01D9"/>
    <w:rsid w:val="00BE02AD"/>
    <w:rsid w:val="00BE056F"/>
    <w:rsid w:val="00BE1D41"/>
    <w:rsid w:val="00BE2920"/>
    <w:rsid w:val="00BE2B98"/>
    <w:rsid w:val="00BE2BC7"/>
    <w:rsid w:val="00BE2D22"/>
    <w:rsid w:val="00BE2F56"/>
    <w:rsid w:val="00BE3542"/>
    <w:rsid w:val="00BE355E"/>
    <w:rsid w:val="00BE3B27"/>
    <w:rsid w:val="00BE417E"/>
    <w:rsid w:val="00BE458D"/>
    <w:rsid w:val="00BE4A02"/>
    <w:rsid w:val="00BE4B87"/>
    <w:rsid w:val="00BE5804"/>
    <w:rsid w:val="00BE5D49"/>
    <w:rsid w:val="00BE667F"/>
    <w:rsid w:val="00BE6979"/>
    <w:rsid w:val="00BE6D5E"/>
    <w:rsid w:val="00BE6E91"/>
    <w:rsid w:val="00BE78D9"/>
    <w:rsid w:val="00BE7FB6"/>
    <w:rsid w:val="00BF02BC"/>
    <w:rsid w:val="00BF0561"/>
    <w:rsid w:val="00BF12C1"/>
    <w:rsid w:val="00BF14F6"/>
    <w:rsid w:val="00BF181B"/>
    <w:rsid w:val="00BF1AD5"/>
    <w:rsid w:val="00BF1B86"/>
    <w:rsid w:val="00BF2AA4"/>
    <w:rsid w:val="00BF3142"/>
    <w:rsid w:val="00BF3615"/>
    <w:rsid w:val="00BF3750"/>
    <w:rsid w:val="00BF3AC7"/>
    <w:rsid w:val="00BF4958"/>
    <w:rsid w:val="00BF4B3D"/>
    <w:rsid w:val="00BF50FB"/>
    <w:rsid w:val="00BF52C0"/>
    <w:rsid w:val="00BF54D4"/>
    <w:rsid w:val="00BF58C6"/>
    <w:rsid w:val="00BF59CE"/>
    <w:rsid w:val="00BF5AE7"/>
    <w:rsid w:val="00BF5E8F"/>
    <w:rsid w:val="00BF6679"/>
    <w:rsid w:val="00BF6BE3"/>
    <w:rsid w:val="00BF7442"/>
    <w:rsid w:val="00BF7474"/>
    <w:rsid w:val="00BF797B"/>
    <w:rsid w:val="00BF7D57"/>
    <w:rsid w:val="00C004D4"/>
    <w:rsid w:val="00C00B68"/>
    <w:rsid w:val="00C00FD5"/>
    <w:rsid w:val="00C011C4"/>
    <w:rsid w:val="00C018EB"/>
    <w:rsid w:val="00C019D6"/>
    <w:rsid w:val="00C0215F"/>
    <w:rsid w:val="00C029D0"/>
    <w:rsid w:val="00C02F5E"/>
    <w:rsid w:val="00C03A7A"/>
    <w:rsid w:val="00C03D98"/>
    <w:rsid w:val="00C045F8"/>
    <w:rsid w:val="00C04912"/>
    <w:rsid w:val="00C04FB7"/>
    <w:rsid w:val="00C052E4"/>
    <w:rsid w:val="00C05BB3"/>
    <w:rsid w:val="00C05D9F"/>
    <w:rsid w:val="00C06F12"/>
    <w:rsid w:val="00C07AEC"/>
    <w:rsid w:val="00C1021A"/>
    <w:rsid w:val="00C10940"/>
    <w:rsid w:val="00C10B81"/>
    <w:rsid w:val="00C11025"/>
    <w:rsid w:val="00C1116A"/>
    <w:rsid w:val="00C11355"/>
    <w:rsid w:val="00C12BE0"/>
    <w:rsid w:val="00C132C5"/>
    <w:rsid w:val="00C1334F"/>
    <w:rsid w:val="00C13671"/>
    <w:rsid w:val="00C14CBA"/>
    <w:rsid w:val="00C14F18"/>
    <w:rsid w:val="00C15469"/>
    <w:rsid w:val="00C154F5"/>
    <w:rsid w:val="00C15D03"/>
    <w:rsid w:val="00C15ED2"/>
    <w:rsid w:val="00C16249"/>
    <w:rsid w:val="00C16997"/>
    <w:rsid w:val="00C16A46"/>
    <w:rsid w:val="00C16BDF"/>
    <w:rsid w:val="00C1739B"/>
    <w:rsid w:val="00C17508"/>
    <w:rsid w:val="00C17FD0"/>
    <w:rsid w:val="00C20618"/>
    <w:rsid w:val="00C206B5"/>
    <w:rsid w:val="00C20BC2"/>
    <w:rsid w:val="00C20DA7"/>
    <w:rsid w:val="00C21235"/>
    <w:rsid w:val="00C2145A"/>
    <w:rsid w:val="00C21E10"/>
    <w:rsid w:val="00C22181"/>
    <w:rsid w:val="00C221BB"/>
    <w:rsid w:val="00C2253E"/>
    <w:rsid w:val="00C225C5"/>
    <w:rsid w:val="00C2286C"/>
    <w:rsid w:val="00C22C37"/>
    <w:rsid w:val="00C22C82"/>
    <w:rsid w:val="00C22CBA"/>
    <w:rsid w:val="00C22DCB"/>
    <w:rsid w:val="00C23005"/>
    <w:rsid w:val="00C2387C"/>
    <w:rsid w:val="00C243EF"/>
    <w:rsid w:val="00C245D8"/>
    <w:rsid w:val="00C24A86"/>
    <w:rsid w:val="00C257F0"/>
    <w:rsid w:val="00C258FF"/>
    <w:rsid w:val="00C25A70"/>
    <w:rsid w:val="00C25A7B"/>
    <w:rsid w:val="00C25E06"/>
    <w:rsid w:val="00C26112"/>
    <w:rsid w:val="00C265E8"/>
    <w:rsid w:val="00C26629"/>
    <w:rsid w:val="00C268DE"/>
    <w:rsid w:val="00C26A0F"/>
    <w:rsid w:val="00C26A92"/>
    <w:rsid w:val="00C26E89"/>
    <w:rsid w:val="00C27013"/>
    <w:rsid w:val="00C2771F"/>
    <w:rsid w:val="00C27776"/>
    <w:rsid w:val="00C3097B"/>
    <w:rsid w:val="00C30B94"/>
    <w:rsid w:val="00C30CC3"/>
    <w:rsid w:val="00C31463"/>
    <w:rsid w:val="00C314E5"/>
    <w:rsid w:val="00C314F0"/>
    <w:rsid w:val="00C31646"/>
    <w:rsid w:val="00C31982"/>
    <w:rsid w:val="00C319D5"/>
    <w:rsid w:val="00C31A15"/>
    <w:rsid w:val="00C31CA7"/>
    <w:rsid w:val="00C31CE7"/>
    <w:rsid w:val="00C31DDB"/>
    <w:rsid w:val="00C3211A"/>
    <w:rsid w:val="00C321DD"/>
    <w:rsid w:val="00C3226F"/>
    <w:rsid w:val="00C323F3"/>
    <w:rsid w:val="00C32EAF"/>
    <w:rsid w:val="00C33597"/>
    <w:rsid w:val="00C338D6"/>
    <w:rsid w:val="00C3395E"/>
    <w:rsid w:val="00C33C91"/>
    <w:rsid w:val="00C34004"/>
    <w:rsid w:val="00C342C8"/>
    <w:rsid w:val="00C34F01"/>
    <w:rsid w:val="00C3525D"/>
    <w:rsid w:val="00C357E9"/>
    <w:rsid w:val="00C364C9"/>
    <w:rsid w:val="00C36552"/>
    <w:rsid w:val="00C37085"/>
    <w:rsid w:val="00C37DCD"/>
    <w:rsid w:val="00C4046E"/>
    <w:rsid w:val="00C40690"/>
    <w:rsid w:val="00C408C0"/>
    <w:rsid w:val="00C409F7"/>
    <w:rsid w:val="00C40E17"/>
    <w:rsid w:val="00C4192D"/>
    <w:rsid w:val="00C42604"/>
    <w:rsid w:val="00C42C04"/>
    <w:rsid w:val="00C42ECC"/>
    <w:rsid w:val="00C43087"/>
    <w:rsid w:val="00C4388F"/>
    <w:rsid w:val="00C438B6"/>
    <w:rsid w:val="00C44178"/>
    <w:rsid w:val="00C441EA"/>
    <w:rsid w:val="00C45179"/>
    <w:rsid w:val="00C45435"/>
    <w:rsid w:val="00C45BA1"/>
    <w:rsid w:val="00C45C37"/>
    <w:rsid w:val="00C45FEE"/>
    <w:rsid w:val="00C46110"/>
    <w:rsid w:val="00C46610"/>
    <w:rsid w:val="00C46659"/>
    <w:rsid w:val="00C467A5"/>
    <w:rsid w:val="00C46EC7"/>
    <w:rsid w:val="00C47165"/>
    <w:rsid w:val="00C472F1"/>
    <w:rsid w:val="00C477D4"/>
    <w:rsid w:val="00C4782B"/>
    <w:rsid w:val="00C47FD1"/>
    <w:rsid w:val="00C511DE"/>
    <w:rsid w:val="00C51A72"/>
    <w:rsid w:val="00C524A9"/>
    <w:rsid w:val="00C52907"/>
    <w:rsid w:val="00C52CDF"/>
    <w:rsid w:val="00C52E8E"/>
    <w:rsid w:val="00C54252"/>
    <w:rsid w:val="00C5432A"/>
    <w:rsid w:val="00C5626B"/>
    <w:rsid w:val="00C563EC"/>
    <w:rsid w:val="00C5651E"/>
    <w:rsid w:val="00C5682A"/>
    <w:rsid w:val="00C56ED8"/>
    <w:rsid w:val="00C56F79"/>
    <w:rsid w:val="00C57FDE"/>
    <w:rsid w:val="00C601D0"/>
    <w:rsid w:val="00C6022F"/>
    <w:rsid w:val="00C60424"/>
    <w:rsid w:val="00C6078E"/>
    <w:rsid w:val="00C60A82"/>
    <w:rsid w:val="00C612E4"/>
    <w:rsid w:val="00C613EB"/>
    <w:rsid w:val="00C613F0"/>
    <w:rsid w:val="00C61446"/>
    <w:rsid w:val="00C61FB3"/>
    <w:rsid w:val="00C620C7"/>
    <w:rsid w:val="00C623D8"/>
    <w:rsid w:val="00C6245C"/>
    <w:rsid w:val="00C634E0"/>
    <w:rsid w:val="00C635A0"/>
    <w:rsid w:val="00C635C0"/>
    <w:rsid w:val="00C63AF4"/>
    <w:rsid w:val="00C63B55"/>
    <w:rsid w:val="00C6410D"/>
    <w:rsid w:val="00C649CE"/>
    <w:rsid w:val="00C64F11"/>
    <w:rsid w:val="00C651E5"/>
    <w:rsid w:val="00C657E2"/>
    <w:rsid w:val="00C65FED"/>
    <w:rsid w:val="00C66568"/>
    <w:rsid w:val="00C66AAD"/>
    <w:rsid w:val="00C66DAF"/>
    <w:rsid w:val="00C66DD2"/>
    <w:rsid w:val="00C66E0C"/>
    <w:rsid w:val="00C6767D"/>
    <w:rsid w:val="00C67D78"/>
    <w:rsid w:val="00C67E4E"/>
    <w:rsid w:val="00C704CC"/>
    <w:rsid w:val="00C70708"/>
    <w:rsid w:val="00C717D4"/>
    <w:rsid w:val="00C71F1D"/>
    <w:rsid w:val="00C71F7D"/>
    <w:rsid w:val="00C72A0D"/>
    <w:rsid w:val="00C72A42"/>
    <w:rsid w:val="00C72B54"/>
    <w:rsid w:val="00C7373C"/>
    <w:rsid w:val="00C73758"/>
    <w:rsid w:val="00C73C6A"/>
    <w:rsid w:val="00C74351"/>
    <w:rsid w:val="00C74707"/>
    <w:rsid w:val="00C7533B"/>
    <w:rsid w:val="00C7565E"/>
    <w:rsid w:val="00C7585F"/>
    <w:rsid w:val="00C75997"/>
    <w:rsid w:val="00C75F54"/>
    <w:rsid w:val="00C76781"/>
    <w:rsid w:val="00C76D21"/>
    <w:rsid w:val="00C76DFA"/>
    <w:rsid w:val="00C77165"/>
    <w:rsid w:val="00C77192"/>
    <w:rsid w:val="00C774C6"/>
    <w:rsid w:val="00C7754C"/>
    <w:rsid w:val="00C779CF"/>
    <w:rsid w:val="00C77B5E"/>
    <w:rsid w:val="00C77C70"/>
    <w:rsid w:val="00C80284"/>
    <w:rsid w:val="00C8066B"/>
    <w:rsid w:val="00C8072B"/>
    <w:rsid w:val="00C80E0B"/>
    <w:rsid w:val="00C81143"/>
    <w:rsid w:val="00C81503"/>
    <w:rsid w:val="00C81639"/>
    <w:rsid w:val="00C81CA3"/>
    <w:rsid w:val="00C81D06"/>
    <w:rsid w:val="00C81DDA"/>
    <w:rsid w:val="00C8227A"/>
    <w:rsid w:val="00C8336D"/>
    <w:rsid w:val="00C8336F"/>
    <w:rsid w:val="00C83680"/>
    <w:rsid w:val="00C83890"/>
    <w:rsid w:val="00C83A03"/>
    <w:rsid w:val="00C83F1E"/>
    <w:rsid w:val="00C841D5"/>
    <w:rsid w:val="00C846B3"/>
    <w:rsid w:val="00C84973"/>
    <w:rsid w:val="00C849EB"/>
    <w:rsid w:val="00C84A8B"/>
    <w:rsid w:val="00C84E98"/>
    <w:rsid w:val="00C85284"/>
    <w:rsid w:val="00C8638D"/>
    <w:rsid w:val="00C86625"/>
    <w:rsid w:val="00C86BDC"/>
    <w:rsid w:val="00C87054"/>
    <w:rsid w:val="00C875BA"/>
    <w:rsid w:val="00C87AB0"/>
    <w:rsid w:val="00C87CA3"/>
    <w:rsid w:val="00C905F5"/>
    <w:rsid w:val="00C907F2"/>
    <w:rsid w:val="00C908F0"/>
    <w:rsid w:val="00C911D4"/>
    <w:rsid w:val="00C9123B"/>
    <w:rsid w:val="00C91D3D"/>
    <w:rsid w:val="00C92F98"/>
    <w:rsid w:val="00C9319D"/>
    <w:rsid w:val="00C93832"/>
    <w:rsid w:val="00C93EFB"/>
    <w:rsid w:val="00C94724"/>
    <w:rsid w:val="00C94C16"/>
    <w:rsid w:val="00C95081"/>
    <w:rsid w:val="00C951BC"/>
    <w:rsid w:val="00C95965"/>
    <w:rsid w:val="00C960E3"/>
    <w:rsid w:val="00C9668C"/>
    <w:rsid w:val="00C9698F"/>
    <w:rsid w:val="00C96BFF"/>
    <w:rsid w:val="00C96E35"/>
    <w:rsid w:val="00C97391"/>
    <w:rsid w:val="00C974D1"/>
    <w:rsid w:val="00CA0208"/>
    <w:rsid w:val="00CA0362"/>
    <w:rsid w:val="00CA07A1"/>
    <w:rsid w:val="00CA1571"/>
    <w:rsid w:val="00CA18BF"/>
    <w:rsid w:val="00CA1ACB"/>
    <w:rsid w:val="00CA1B0D"/>
    <w:rsid w:val="00CA2683"/>
    <w:rsid w:val="00CA28BE"/>
    <w:rsid w:val="00CA3FEC"/>
    <w:rsid w:val="00CA49FA"/>
    <w:rsid w:val="00CA5131"/>
    <w:rsid w:val="00CA55FB"/>
    <w:rsid w:val="00CA6A67"/>
    <w:rsid w:val="00CA72DB"/>
    <w:rsid w:val="00CA7310"/>
    <w:rsid w:val="00CA7454"/>
    <w:rsid w:val="00CA746D"/>
    <w:rsid w:val="00CA7C7C"/>
    <w:rsid w:val="00CB0097"/>
    <w:rsid w:val="00CB087B"/>
    <w:rsid w:val="00CB0A23"/>
    <w:rsid w:val="00CB1211"/>
    <w:rsid w:val="00CB133D"/>
    <w:rsid w:val="00CB1626"/>
    <w:rsid w:val="00CB1CBF"/>
    <w:rsid w:val="00CB2728"/>
    <w:rsid w:val="00CB2C24"/>
    <w:rsid w:val="00CB328E"/>
    <w:rsid w:val="00CB347E"/>
    <w:rsid w:val="00CB3BC3"/>
    <w:rsid w:val="00CB40B2"/>
    <w:rsid w:val="00CB4120"/>
    <w:rsid w:val="00CB4571"/>
    <w:rsid w:val="00CB4889"/>
    <w:rsid w:val="00CB4A1B"/>
    <w:rsid w:val="00CB4DA8"/>
    <w:rsid w:val="00CB512E"/>
    <w:rsid w:val="00CB5530"/>
    <w:rsid w:val="00CB5FE2"/>
    <w:rsid w:val="00CB640B"/>
    <w:rsid w:val="00CB66D7"/>
    <w:rsid w:val="00CB6C27"/>
    <w:rsid w:val="00CB7CCB"/>
    <w:rsid w:val="00CC04FB"/>
    <w:rsid w:val="00CC0915"/>
    <w:rsid w:val="00CC13DC"/>
    <w:rsid w:val="00CC1596"/>
    <w:rsid w:val="00CC15BB"/>
    <w:rsid w:val="00CC191B"/>
    <w:rsid w:val="00CC1D7A"/>
    <w:rsid w:val="00CC2CA6"/>
    <w:rsid w:val="00CC2DC0"/>
    <w:rsid w:val="00CC3384"/>
    <w:rsid w:val="00CC36B1"/>
    <w:rsid w:val="00CC3BC4"/>
    <w:rsid w:val="00CC3CEB"/>
    <w:rsid w:val="00CC3ED4"/>
    <w:rsid w:val="00CC42A5"/>
    <w:rsid w:val="00CC46A4"/>
    <w:rsid w:val="00CC5113"/>
    <w:rsid w:val="00CC56F1"/>
    <w:rsid w:val="00CC5847"/>
    <w:rsid w:val="00CC6307"/>
    <w:rsid w:val="00CC6351"/>
    <w:rsid w:val="00CC643C"/>
    <w:rsid w:val="00CC6712"/>
    <w:rsid w:val="00CC6F76"/>
    <w:rsid w:val="00CC7375"/>
    <w:rsid w:val="00CD039F"/>
    <w:rsid w:val="00CD05E5"/>
    <w:rsid w:val="00CD08A2"/>
    <w:rsid w:val="00CD1ACA"/>
    <w:rsid w:val="00CD1C60"/>
    <w:rsid w:val="00CD1CF1"/>
    <w:rsid w:val="00CD2444"/>
    <w:rsid w:val="00CD2D7B"/>
    <w:rsid w:val="00CD35E8"/>
    <w:rsid w:val="00CD3C57"/>
    <w:rsid w:val="00CD4807"/>
    <w:rsid w:val="00CD4BAA"/>
    <w:rsid w:val="00CD5013"/>
    <w:rsid w:val="00CD54B0"/>
    <w:rsid w:val="00CD5A5F"/>
    <w:rsid w:val="00CD5C81"/>
    <w:rsid w:val="00CD5F6A"/>
    <w:rsid w:val="00CD62DD"/>
    <w:rsid w:val="00CD64C2"/>
    <w:rsid w:val="00CD696F"/>
    <w:rsid w:val="00CD6B4A"/>
    <w:rsid w:val="00CD7090"/>
    <w:rsid w:val="00CD7112"/>
    <w:rsid w:val="00CD73A6"/>
    <w:rsid w:val="00CD76B1"/>
    <w:rsid w:val="00CD7B64"/>
    <w:rsid w:val="00CD7D96"/>
    <w:rsid w:val="00CE047B"/>
    <w:rsid w:val="00CE0C4C"/>
    <w:rsid w:val="00CE1EF2"/>
    <w:rsid w:val="00CE2022"/>
    <w:rsid w:val="00CE34CE"/>
    <w:rsid w:val="00CE3582"/>
    <w:rsid w:val="00CE3971"/>
    <w:rsid w:val="00CE39D9"/>
    <w:rsid w:val="00CE3CAD"/>
    <w:rsid w:val="00CE3D18"/>
    <w:rsid w:val="00CE3FBE"/>
    <w:rsid w:val="00CE407C"/>
    <w:rsid w:val="00CE428E"/>
    <w:rsid w:val="00CE4460"/>
    <w:rsid w:val="00CE476C"/>
    <w:rsid w:val="00CE4E0F"/>
    <w:rsid w:val="00CE517E"/>
    <w:rsid w:val="00CE62A7"/>
    <w:rsid w:val="00CE656C"/>
    <w:rsid w:val="00CE65CA"/>
    <w:rsid w:val="00CE6AB6"/>
    <w:rsid w:val="00CE6F99"/>
    <w:rsid w:val="00CE7066"/>
    <w:rsid w:val="00CE7FB3"/>
    <w:rsid w:val="00CF0027"/>
    <w:rsid w:val="00CF03F5"/>
    <w:rsid w:val="00CF154A"/>
    <w:rsid w:val="00CF19E5"/>
    <w:rsid w:val="00CF2987"/>
    <w:rsid w:val="00CF358B"/>
    <w:rsid w:val="00CF3697"/>
    <w:rsid w:val="00CF37BF"/>
    <w:rsid w:val="00CF45A3"/>
    <w:rsid w:val="00CF4BF9"/>
    <w:rsid w:val="00CF4EED"/>
    <w:rsid w:val="00CF5442"/>
    <w:rsid w:val="00CF6747"/>
    <w:rsid w:val="00CF6F93"/>
    <w:rsid w:val="00CF7C24"/>
    <w:rsid w:val="00CF7E35"/>
    <w:rsid w:val="00D003B7"/>
    <w:rsid w:val="00D00A84"/>
    <w:rsid w:val="00D00D60"/>
    <w:rsid w:val="00D00D92"/>
    <w:rsid w:val="00D0107F"/>
    <w:rsid w:val="00D015CD"/>
    <w:rsid w:val="00D01852"/>
    <w:rsid w:val="00D0186D"/>
    <w:rsid w:val="00D01B87"/>
    <w:rsid w:val="00D01E58"/>
    <w:rsid w:val="00D0213E"/>
    <w:rsid w:val="00D02254"/>
    <w:rsid w:val="00D026BF"/>
    <w:rsid w:val="00D02806"/>
    <w:rsid w:val="00D02EF9"/>
    <w:rsid w:val="00D03435"/>
    <w:rsid w:val="00D04839"/>
    <w:rsid w:val="00D0513B"/>
    <w:rsid w:val="00D05407"/>
    <w:rsid w:val="00D05A74"/>
    <w:rsid w:val="00D05BA5"/>
    <w:rsid w:val="00D05CB5"/>
    <w:rsid w:val="00D060B6"/>
    <w:rsid w:val="00D061C1"/>
    <w:rsid w:val="00D06B4D"/>
    <w:rsid w:val="00D071EF"/>
    <w:rsid w:val="00D073AD"/>
    <w:rsid w:val="00D078A3"/>
    <w:rsid w:val="00D07AA2"/>
    <w:rsid w:val="00D100E1"/>
    <w:rsid w:val="00D1097A"/>
    <w:rsid w:val="00D10AF8"/>
    <w:rsid w:val="00D10C2C"/>
    <w:rsid w:val="00D10E2C"/>
    <w:rsid w:val="00D10EE1"/>
    <w:rsid w:val="00D10FE8"/>
    <w:rsid w:val="00D11513"/>
    <w:rsid w:val="00D11BA2"/>
    <w:rsid w:val="00D12068"/>
    <w:rsid w:val="00D128CE"/>
    <w:rsid w:val="00D12A3D"/>
    <w:rsid w:val="00D131F1"/>
    <w:rsid w:val="00D133DC"/>
    <w:rsid w:val="00D136A3"/>
    <w:rsid w:val="00D144E4"/>
    <w:rsid w:val="00D1466E"/>
    <w:rsid w:val="00D14CF4"/>
    <w:rsid w:val="00D1559B"/>
    <w:rsid w:val="00D15F49"/>
    <w:rsid w:val="00D15F52"/>
    <w:rsid w:val="00D161F4"/>
    <w:rsid w:val="00D16568"/>
    <w:rsid w:val="00D1682E"/>
    <w:rsid w:val="00D1696E"/>
    <w:rsid w:val="00D16B26"/>
    <w:rsid w:val="00D170D1"/>
    <w:rsid w:val="00D2022E"/>
    <w:rsid w:val="00D20840"/>
    <w:rsid w:val="00D20B61"/>
    <w:rsid w:val="00D21118"/>
    <w:rsid w:val="00D216CC"/>
    <w:rsid w:val="00D21978"/>
    <w:rsid w:val="00D22FF1"/>
    <w:rsid w:val="00D23054"/>
    <w:rsid w:val="00D23262"/>
    <w:rsid w:val="00D24FE4"/>
    <w:rsid w:val="00D254A9"/>
    <w:rsid w:val="00D2583A"/>
    <w:rsid w:val="00D260D0"/>
    <w:rsid w:val="00D262CF"/>
    <w:rsid w:val="00D263FE"/>
    <w:rsid w:val="00D266F8"/>
    <w:rsid w:val="00D26A21"/>
    <w:rsid w:val="00D26B22"/>
    <w:rsid w:val="00D26FF4"/>
    <w:rsid w:val="00D2749A"/>
    <w:rsid w:val="00D274FE"/>
    <w:rsid w:val="00D2776C"/>
    <w:rsid w:val="00D278F9"/>
    <w:rsid w:val="00D27AE9"/>
    <w:rsid w:val="00D3062F"/>
    <w:rsid w:val="00D30706"/>
    <w:rsid w:val="00D30BD7"/>
    <w:rsid w:val="00D30C50"/>
    <w:rsid w:val="00D32D3D"/>
    <w:rsid w:val="00D32EFF"/>
    <w:rsid w:val="00D331F0"/>
    <w:rsid w:val="00D33338"/>
    <w:rsid w:val="00D3360F"/>
    <w:rsid w:val="00D33F7E"/>
    <w:rsid w:val="00D34319"/>
    <w:rsid w:val="00D3546D"/>
    <w:rsid w:val="00D355A7"/>
    <w:rsid w:val="00D3588A"/>
    <w:rsid w:val="00D36648"/>
    <w:rsid w:val="00D366D2"/>
    <w:rsid w:val="00D367D3"/>
    <w:rsid w:val="00D36EB6"/>
    <w:rsid w:val="00D37122"/>
    <w:rsid w:val="00D374E7"/>
    <w:rsid w:val="00D37A89"/>
    <w:rsid w:val="00D37CDD"/>
    <w:rsid w:val="00D4014E"/>
    <w:rsid w:val="00D40D87"/>
    <w:rsid w:val="00D40F7B"/>
    <w:rsid w:val="00D4120B"/>
    <w:rsid w:val="00D412CB"/>
    <w:rsid w:val="00D41DD5"/>
    <w:rsid w:val="00D4267B"/>
    <w:rsid w:val="00D42C7D"/>
    <w:rsid w:val="00D42D0B"/>
    <w:rsid w:val="00D42D95"/>
    <w:rsid w:val="00D4326E"/>
    <w:rsid w:val="00D43367"/>
    <w:rsid w:val="00D43B3C"/>
    <w:rsid w:val="00D43BAD"/>
    <w:rsid w:val="00D43E43"/>
    <w:rsid w:val="00D44295"/>
    <w:rsid w:val="00D444C8"/>
    <w:rsid w:val="00D4489A"/>
    <w:rsid w:val="00D448C5"/>
    <w:rsid w:val="00D452C9"/>
    <w:rsid w:val="00D45726"/>
    <w:rsid w:val="00D45918"/>
    <w:rsid w:val="00D45E81"/>
    <w:rsid w:val="00D462A4"/>
    <w:rsid w:val="00D462C5"/>
    <w:rsid w:val="00D46996"/>
    <w:rsid w:val="00D478CF"/>
    <w:rsid w:val="00D47C7A"/>
    <w:rsid w:val="00D47CC7"/>
    <w:rsid w:val="00D47E4A"/>
    <w:rsid w:val="00D47E7E"/>
    <w:rsid w:val="00D47F9E"/>
    <w:rsid w:val="00D501A9"/>
    <w:rsid w:val="00D509BE"/>
    <w:rsid w:val="00D50E14"/>
    <w:rsid w:val="00D5138D"/>
    <w:rsid w:val="00D516FB"/>
    <w:rsid w:val="00D51BBD"/>
    <w:rsid w:val="00D51E76"/>
    <w:rsid w:val="00D51F04"/>
    <w:rsid w:val="00D52821"/>
    <w:rsid w:val="00D53166"/>
    <w:rsid w:val="00D53723"/>
    <w:rsid w:val="00D5380B"/>
    <w:rsid w:val="00D53A86"/>
    <w:rsid w:val="00D53C3E"/>
    <w:rsid w:val="00D53E84"/>
    <w:rsid w:val="00D5489E"/>
    <w:rsid w:val="00D560FE"/>
    <w:rsid w:val="00D56219"/>
    <w:rsid w:val="00D564EF"/>
    <w:rsid w:val="00D56C05"/>
    <w:rsid w:val="00D5711A"/>
    <w:rsid w:val="00D6002F"/>
    <w:rsid w:val="00D601CC"/>
    <w:rsid w:val="00D60478"/>
    <w:rsid w:val="00D60BF5"/>
    <w:rsid w:val="00D60C05"/>
    <w:rsid w:val="00D61075"/>
    <w:rsid w:val="00D61DF6"/>
    <w:rsid w:val="00D62494"/>
    <w:rsid w:val="00D625D9"/>
    <w:rsid w:val="00D62725"/>
    <w:rsid w:val="00D63990"/>
    <w:rsid w:val="00D63C78"/>
    <w:rsid w:val="00D63E58"/>
    <w:rsid w:val="00D65088"/>
    <w:rsid w:val="00D65162"/>
    <w:rsid w:val="00D6529B"/>
    <w:rsid w:val="00D65E3B"/>
    <w:rsid w:val="00D66388"/>
    <w:rsid w:val="00D67535"/>
    <w:rsid w:val="00D67D1B"/>
    <w:rsid w:val="00D67F92"/>
    <w:rsid w:val="00D704EB"/>
    <w:rsid w:val="00D71524"/>
    <w:rsid w:val="00D715D5"/>
    <w:rsid w:val="00D71883"/>
    <w:rsid w:val="00D71B1A"/>
    <w:rsid w:val="00D71FD8"/>
    <w:rsid w:val="00D71FE7"/>
    <w:rsid w:val="00D7232E"/>
    <w:rsid w:val="00D7278C"/>
    <w:rsid w:val="00D72BD1"/>
    <w:rsid w:val="00D72BFF"/>
    <w:rsid w:val="00D7313A"/>
    <w:rsid w:val="00D734D4"/>
    <w:rsid w:val="00D73587"/>
    <w:rsid w:val="00D73F1F"/>
    <w:rsid w:val="00D7402E"/>
    <w:rsid w:val="00D74084"/>
    <w:rsid w:val="00D7552F"/>
    <w:rsid w:val="00D75A28"/>
    <w:rsid w:val="00D75C9D"/>
    <w:rsid w:val="00D76394"/>
    <w:rsid w:val="00D76464"/>
    <w:rsid w:val="00D76F4D"/>
    <w:rsid w:val="00D77709"/>
    <w:rsid w:val="00D77758"/>
    <w:rsid w:val="00D77A87"/>
    <w:rsid w:val="00D77B81"/>
    <w:rsid w:val="00D80044"/>
    <w:rsid w:val="00D8143E"/>
    <w:rsid w:val="00D81A42"/>
    <w:rsid w:val="00D82230"/>
    <w:rsid w:val="00D82F99"/>
    <w:rsid w:val="00D83332"/>
    <w:rsid w:val="00D833D2"/>
    <w:rsid w:val="00D836C0"/>
    <w:rsid w:val="00D84235"/>
    <w:rsid w:val="00D84277"/>
    <w:rsid w:val="00D8436C"/>
    <w:rsid w:val="00D84558"/>
    <w:rsid w:val="00D84B19"/>
    <w:rsid w:val="00D850B5"/>
    <w:rsid w:val="00D8549E"/>
    <w:rsid w:val="00D857FE"/>
    <w:rsid w:val="00D85913"/>
    <w:rsid w:val="00D85E3A"/>
    <w:rsid w:val="00D86A99"/>
    <w:rsid w:val="00D87424"/>
    <w:rsid w:val="00D879F2"/>
    <w:rsid w:val="00D901B1"/>
    <w:rsid w:val="00D9082D"/>
    <w:rsid w:val="00D91165"/>
    <w:rsid w:val="00D92147"/>
    <w:rsid w:val="00D92253"/>
    <w:rsid w:val="00D931E9"/>
    <w:rsid w:val="00D93486"/>
    <w:rsid w:val="00D93F9C"/>
    <w:rsid w:val="00D9457B"/>
    <w:rsid w:val="00D94647"/>
    <w:rsid w:val="00D94A72"/>
    <w:rsid w:val="00D95214"/>
    <w:rsid w:val="00D9523D"/>
    <w:rsid w:val="00D95839"/>
    <w:rsid w:val="00D95AF2"/>
    <w:rsid w:val="00D95B5B"/>
    <w:rsid w:val="00D96115"/>
    <w:rsid w:val="00D9630E"/>
    <w:rsid w:val="00DA03C3"/>
    <w:rsid w:val="00DA0D31"/>
    <w:rsid w:val="00DA11E1"/>
    <w:rsid w:val="00DA1796"/>
    <w:rsid w:val="00DA2553"/>
    <w:rsid w:val="00DA2AFB"/>
    <w:rsid w:val="00DA2E6F"/>
    <w:rsid w:val="00DA314C"/>
    <w:rsid w:val="00DA3408"/>
    <w:rsid w:val="00DA35AA"/>
    <w:rsid w:val="00DA39D0"/>
    <w:rsid w:val="00DA3E22"/>
    <w:rsid w:val="00DA41FE"/>
    <w:rsid w:val="00DA45F3"/>
    <w:rsid w:val="00DA4799"/>
    <w:rsid w:val="00DA4852"/>
    <w:rsid w:val="00DA497D"/>
    <w:rsid w:val="00DA4BD9"/>
    <w:rsid w:val="00DA4E3F"/>
    <w:rsid w:val="00DA53D2"/>
    <w:rsid w:val="00DA569B"/>
    <w:rsid w:val="00DA618D"/>
    <w:rsid w:val="00DA6201"/>
    <w:rsid w:val="00DA62BA"/>
    <w:rsid w:val="00DA684D"/>
    <w:rsid w:val="00DA6913"/>
    <w:rsid w:val="00DA6F9E"/>
    <w:rsid w:val="00DA7D1E"/>
    <w:rsid w:val="00DA7DBD"/>
    <w:rsid w:val="00DB047C"/>
    <w:rsid w:val="00DB05BA"/>
    <w:rsid w:val="00DB0993"/>
    <w:rsid w:val="00DB15F7"/>
    <w:rsid w:val="00DB1A16"/>
    <w:rsid w:val="00DB1BD1"/>
    <w:rsid w:val="00DB1D87"/>
    <w:rsid w:val="00DB1E21"/>
    <w:rsid w:val="00DB1F50"/>
    <w:rsid w:val="00DB2322"/>
    <w:rsid w:val="00DB2648"/>
    <w:rsid w:val="00DB2E81"/>
    <w:rsid w:val="00DB316E"/>
    <w:rsid w:val="00DB41FA"/>
    <w:rsid w:val="00DB4F03"/>
    <w:rsid w:val="00DB56A1"/>
    <w:rsid w:val="00DB591F"/>
    <w:rsid w:val="00DB5B9D"/>
    <w:rsid w:val="00DB5C79"/>
    <w:rsid w:val="00DB5EA9"/>
    <w:rsid w:val="00DB64F0"/>
    <w:rsid w:val="00DB6DA0"/>
    <w:rsid w:val="00DB6EE9"/>
    <w:rsid w:val="00DB7A5A"/>
    <w:rsid w:val="00DB7BD3"/>
    <w:rsid w:val="00DB7E5D"/>
    <w:rsid w:val="00DC0026"/>
    <w:rsid w:val="00DC14EF"/>
    <w:rsid w:val="00DC17FD"/>
    <w:rsid w:val="00DC182F"/>
    <w:rsid w:val="00DC2117"/>
    <w:rsid w:val="00DC293E"/>
    <w:rsid w:val="00DC3096"/>
    <w:rsid w:val="00DC315D"/>
    <w:rsid w:val="00DC31F3"/>
    <w:rsid w:val="00DC3970"/>
    <w:rsid w:val="00DC44B5"/>
    <w:rsid w:val="00DC4DC5"/>
    <w:rsid w:val="00DC5211"/>
    <w:rsid w:val="00DC543A"/>
    <w:rsid w:val="00DC54B3"/>
    <w:rsid w:val="00DC5D2B"/>
    <w:rsid w:val="00DC6F48"/>
    <w:rsid w:val="00DC710B"/>
    <w:rsid w:val="00DC7347"/>
    <w:rsid w:val="00DC7473"/>
    <w:rsid w:val="00DC7657"/>
    <w:rsid w:val="00DC78D0"/>
    <w:rsid w:val="00DC7F80"/>
    <w:rsid w:val="00DD0604"/>
    <w:rsid w:val="00DD0675"/>
    <w:rsid w:val="00DD1321"/>
    <w:rsid w:val="00DD1402"/>
    <w:rsid w:val="00DD15FF"/>
    <w:rsid w:val="00DD1E27"/>
    <w:rsid w:val="00DD25CC"/>
    <w:rsid w:val="00DD26A2"/>
    <w:rsid w:val="00DD2F90"/>
    <w:rsid w:val="00DD307B"/>
    <w:rsid w:val="00DD37E4"/>
    <w:rsid w:val="00DD41DF"/>
    <w:rsid w:val="00DD429B"/>
    <w:rsid w:val="00DD44DA"/>
    <w:rsid w:val="00DD45AF"/>
    <w:rsid w:val="00DD4603"/>
    <w:rsid w:val="00DD4BD5"/>
    <w:rsid w:val="00DD4C6D"/>
    <w:rsid w:val="00DD4D4D"/>
    <w:rsid w:val="00DD5EB3"/>
    <w:rsid w:val="00DD620A"/>
    <w:rsid w:val="00DD6C76"/>
    <w:rsid w:val="00DD6E45"/>
    <w:rsid w:val="00DD6F10"/>
    <w:rsid w:val="00DD7831"/>
    <w:rsid w:val="00DD7E0D"/>
    <w:rsid w:val="00DD7E74"/>
    <w:rsid w:val="00DE0813"/>
    <w:rsid w:val="00DE090D"/>
    <w:rsid w:val="00DE265A"/>
    <w:rsid w:val="00DE2C81"/>
    <w:rsid w:val="00DE2E99"/>
    <w:rsid w:val="00DE3101"/>
    <w:rsid w:val="00DE35E3"/>
    <w:rsid w:val="00DE3D37"/>
    <w:rsid w:val="00DE413D"/>
    <w:rsid w:val="00DE494D"/>
    <w:rsid w:val="00DE49E4"/>
    <w:rsid w:val="00DE4D60"/>
    <w:rsid w:val="00DE56EC"/>
    <w:rsid w:val="00DE57E3"/>
    <w:rsid w:val="00DE59CD"/>
    <w:rsid w:val="00DE60B6"/>
    <w:rsid w:val="00DE66B8"/>
    <w:rsid w:val="00DE66BA"/>
    <w:rsid w:val="00DE68A2"/>
    <w:rsid w:val="00DE6E15"/>
    <w:rsid w:val="00DE7230"/>
    <w:rsid w:val="00DE79E5"/>
    <w:rsid w:val="00DE7DD6"/>
    <w:rsid w:val="00DF0359"/>
    <w:rsid w:val="00DF0715"/>
    <w:rsid w:val="00DF0E86"/>
    <w:rsid w:val="00DF10E3"/>
    <w:rsid w:val="00DF197F"/>
    <w:rsid w:val="00DF1BCB"/>
    <w:rsid w:val="00DF224E"/>
    <w:rsid w:val="00DF24DB"/>
    <w:rsid w:val="00DF2AB1"/>
    <w:rsid w:val="00DF2F9A"/>
    <w:rsid w:val="00DF351B"/>
    <w:rsid w:val="00DF372F"/>
    <w:rsid w:val="00DF40DC"/>
    <w:rsid w:val="00DF42FC"/>
    <w:rsid w:val="00DF47EA"/>
    <w:rsid w:val="00DF4C15"/>
    <w:rsid w:val="00DF69BC"/>
    <w:rsid w:val="00DF6B91"/>
    <w:rsid w:val="00DF6FF3"/>
    <w:rsid w:val="00DF7038"/>
    <w:rsid w:val="00DF792A"/>
    <w:rsid w:val="00DF79C0"/>
    <w:rsid w:val="00DF7F84"/>
    <w:rsid w:val="00E00099"/>
    <w:rsid w:val="00E00882"/>
    <w:rsid w:val="00E0107F"/>
    <w:rsid w:val="00E01839"/>
    <w:rsid w:val="00E01B31"/>
    <w:rsid w:val="00E01B7D"/>
    <w:rsid w:val="00E01C60"/>
    <w:rsid w:val="00E02678"/>
    <w:rsid w:val="00E029F3"/>
    <w:rsid w:val="00E02A30"/>
    <w:rsid w:val="00E02C14"/>
    <w:rsid w:val="00E02F71"/>
    <w:rsid w:val="00E037BC"/>
    <w:rsid w:val="00E041BB"/>
    <w:rsid w:val="00E04554"/>
    <w:rsid w:val="00E045F0"/>
    <w:rsid w:val="00E046A1"/>
    <w:rsid w:val="00E04867"/>
    <w:rsid w:val="00E04AD0"/>
    <w:rsid w:val="00E04B64"/>
    <w:rsid w:val="00E0514E"/>
    <w:rsid w:val="00E0585B"/>
    <w:rsid w:val="00E0657F"/>
    <w:rsid w:val="00E06DC2"/>
    <w:rsid w:val="00E072AE"/>
    <w:rsid w:val="00E07748"/>
    <w:rsid w:val="00E07856"/>
    <w:rsid w:val="00E07D20"/>
    <w:rsid w:val="00E07D88"/>
    <w:rsid w:val="00E07E74"/>
    <w:rsid w:val="00E07F25"/>
    <w:rsid w:val="00E10145"/>
    <w:rsid w:val="00E1036D"/>
    <w:rsid w:val="00E1073E"/>
    <w:rsid w:val="00E1224B"/>
    <w:rsid w:val="00E1231C"/>
    <w:rsid w:val="00E12765"/>
    <w:rsid w:val="00E12A4F"/>
    <w:rsid w:val="00E12B09"/>
    <w:rsid w:val="00E12DD9"/>
    <w:rsid w:val="00E12E96"/>
    <w:rsid w:val="00E1328B"/>
    <w:rsid w:val="00E13391"/>
    <w:rsid w:val="00E1358E"/>
    <w:rsid w:val="00E13F35"/>
    <w:rsid w:val="00E1407B"/>
    <w:rsid w:val="00E141EE"/>
    <w:rsid w:val="00E14C8A"/>
    <w:rsid w:val="00E14D64"/>
    <w:rsid w:val="00E153E4"/>
    <w:rsid w:val="00E15518"/>
    <w:rsid w:val="00E15574"/>
    <w:rsid w:val="00E1589F"/>
    <w:rsid w:val="00E159AD"/>
    <w:rsid w:val="00E15AE6"/>
    <w:rsid w:val="00E160F7"/>
    <w:rsid w:val="00E163C2"/>
    <w:rsid w:val="00E16D5A"/>
    <w:rsid w:val="00E170A5"/>
    <w:rsid w:val="00E17973"/>
    <w:rsid w:val="00E17CBF"/>
    <w:rsid w:val="00E17FF7"/>
    <w:rsid w:val="00E202E8"/>
    <w:rsid w:val="00E203A2"/>
    <w:rsid w:val="00E208DA"/>
    <w:rsid w:val="00E2097B"/>
    <w:rsid w:val="00E20AFD"/>
    <w:rsid w:val="00E20B29"/>
    <w:rsid w:val="00E212AF"/>
    <w:rsid w:val="00E2172C"/>
    <w:rsid w:val="00E233FC"/>
    <w:rsid w:val="00E23B32"/>
    <w:rsid w:val="00E24BC9"/>
    <w:rsid w:val="00E24C02"/>
    <w:rsid w:val="00E257A7"/>
    <w:rsid w:val="00E25831"/>
    <w:rsid w:val="00E25ECB"/>
    <w:rsid w:val="00E26099"/>
    <w:rsid w:val="00E26F44"/>
    <w:rsid w:val="00E2706F"/>
    <w:rsid w:val="00E27224"/>
    <w:rsid w:val="00E275B7"/>
    <w:rsid w:val="00E27904"/>
    <w:rsid w:val="00E300C5"/>
    <w:rsid w:val="00E31659"/>
    <w:rsid w:val="00E3198C"/>
    <w:rsid w:val="00E31BF6"/>
    <w:rsid w:val="00E329ED"/>
    <w:rsid w:val="00E32B7E"/>
    <w:rsid w:val="00E32CEC"/>
    <w:rsid w:val="00E32F4A"/>
    <w:rsid w:val="00E333F2"/>
    <w:rsid w:val="00E34815"/>
    <w:rsid w:val="00E34E88"/>
    <w:rsid w:val="00E350E3"/>
    <w:rsid w:val="00E35B7F"/>
    <w:rsid w:val="00E35E04"/>
    <w:rsid w:val="00E36067"/>
    <w:rsid w:val="00E36860"/>
    <w:rsid w:val="00E36B6F"/>
    <w:rsid w:val="00E37861"/>
    <w:rsid w:val="00E405C6"/>
    <w:rsid w:val="00E4085D"/>
    <w:rsid w:val="00E40B67"/>
    <w:rsid w:val="00E413F6"/>
    <w:rsid w:val="00E413FE"/>
    <w:rsid w:val="00E418B7"/>
    <w:rsid w:val="00E42B39"/>
    <w:rsid w:val="00E43578"/>
    <w:rsid w:val="00E43721"/>
    <w:rsid w:val="00E439C5"/>
    <w:rsid w:val="00E43C64"/>
    <w:rsid w:val="00E44294"/>
    <w:rsid w:val="00E446E8"/>
    <w:rsid w:val="00E448A7"/>
    <w:rsid w:val="00E44FF4"/>
    <w:rsid w:val="00E451A1"/>
    <w:rsid w:val="00E45E77"/>
    <w:rsid w:val="00E4618B"/>
    <w:rsid w:val="00E4647D"/>
    <w:rsid w:val="00E46BF0"/>
    <w:rsid w:val="00E46C29"/>
    <w:rsid w:val="00E4738C"/>
    <w:rsid w:val="00E47667"/>
    <w:rsid w:val="00E476A8"/>
    <w:rsid w:val="00E47A3D"/>
    <w:rsid w:val="00E47AD7"/>
    <w:rsid w:val="00E47B54"/>
    <w:rsid w:val="00E47B65"/>
    <w:rsid w:val="00E5000A"/>
    <w:rsid w:val="00E50153"/>
    <w:rsid w:val="00E508E4"/>
    <w:rsid w:val="00E50AF6"/>
    <w:rsid w:val="00E50CDD"/>
    <w:rsid w:val="00E514EC"/>
    <w:rsid w:val="00E51DB1"/>
    <w:rsid w:val="00E52D0F"/>
    <w:rsid w:val="00E52F3E"/>
    <w:rsid w:val="00E53175"/>
    <w:rsid w:val="00E53A63"/>
    <w:rsid w:val="00E541F5"/>
    <w:rsid w:val="00E545FF"/>
    <w:rsid w:val="00E549A6"/>
    <w:rsid w:val="00E553D6"/>
    <w:rsid w:val="00E5590D"/>
    <w:rsid w:val="00E56DD7"/>
    <w:rsid w:val="00E5701B"/>
    <w:rsid w:val="00E60A9D"/>
    <w:rsid w:val="00E615B4"/>
    <w:rsid w:val="00E61D9C"/>
    <w:rsid w:val="00E61EC1"/>
    <w:rsid w:val="00E624FE"/>
    <w:rsid w:val="00E62E7F"/>
    <w:rsid w:val="00E62F8C"/>
    <w:rsid w:val="00E633DA"/>
    <w:rsid w:val="00E642D2"/>
    <w:rsid w:val="00E643E3"/>
    <w:rsid w:val="00E656D6"/>
    <w:rsid w:val="00E65793"/>
    <w:rsid w:val="00E65845"/>
    <w:rsid w:val="00E6586E"/>
    <w:rsid w:val="00E65CC1"/>
    <w:rsid w:val="00E6632E"/>
    <w:rsid w:val="00E66410"/>
    <w:rsid w:val="00E668CC"/>
    <w:rsid w:val="00E66B00"/>
    <w:rsid w:val="00E6742F"/>
    <w:rsid w:val="00E67865"/>
    <w:rsid w:val="00E67F96"/>
    <w:rsid w:val="00E702C6"/>
    <w:rsid w:val="00E703BB"/>
    <w:rsid w:val="00E705D7"/>
    <w:rsid w:val="00E70600"/>
    <w:rsid w:val="00E70BC2"/>
    <w:rsid w:val="00E713EC"/>
    <w:rsid w:val="00E716AF"/>
    <w:rsid w:val="00E71D55"/>
    <w:rsid w:val="00E7212B"/>
    <w:rsid w:val="00E7218A"/>
    <w:rsid w:val="00E72735"/>
    <w:rsid w:val="00E72ADE"/>
    <w:rsid w:val="00E72B22"/>
    <w:rsid w:val="00E72C03"/>
    <w:rsid w:val="00E72FA8"/>
    <w:rsid w:val="00E7336C"/>
    <w:rsid w:val="00E733E5"/>
    <w:rsid w:val="00E7357F"/>
    <w:rsid w:val="00E73CB7"/>
    <w:rsid w:val="00E73EBF"/>
    <w:rsid w:val="00E74005"/>
    <w:rsid w:val="00E746DE"/>
    <w:rsid w:val="00E74991"/>
    <w:rsid w:val="00E74C4B"/>
    <w:rsid w:val="00E750CF"/>
    <w:rsid w:val="00E7568C"/>
    <w:rsid w:val="00E76417"/>
    <w:rsid w:val="00E7680E"/>
    <w:rsid w:val="00E76B69"/>
    <w:rsid w:val="00E76D1D"/>
    <w:rsid w:val="00E76E60"/>
    <w:rsid w:val="00E77130"/>
    <w:rsid w:val="00E7738B"/>
    <w:rsid w:val="00E77A97"/>
    <w:rsid w:val="00E77ABC"/>
    <w:rsid w:val="00E80CDC"/>
    <w:rsid w:val="00E81F20"/>
    <w:rsid w:val="00E822AC"/>
    <w:rsid w:val="00E823CB"/>
    <w:rsid w:val="00E824E1"/>
    <w:rsid w:val="00E82532"/>
    <w:rsid w:val="00E82795"/>
    <w:rsid w:val="00E830D8"/>
    <w:rsid w:val="00E8362F"/>
    <w:rsid w:val="00E837D8"/>
    <w:rsid w:val="00E83913"/>
    <w:rsid w:val="00E83ED8"/>
    <w:rsid w:val="00E83F53"/>
    <w:rsid w:val="00E84C31"/>
    <w:rsid w:val="00E84C41"/>
    <w:rsid w:val="00E84D9C"/>
    <w:rsid w:val="00E84DB8"/>
    <w:rsid w:val="00E8642F"/>
    <w:rsid w:val="00E8666A"/>
    <w:rsid w:val="00E8704E"/>
    <w:rsid w:val="00E8789C"/>
    <w:rsid w:val="00E87D26"/>
    <w:rsid w:val="00E90290"/>
    <w:rsid w:val="00E90E2A"/>
    <w:rsid w:val="00E91596"/>
    <w:rsid w:val="00E916D0"/>
    <w:rsid w:val="00E91767"/>
    <w:rsid w:val="00E93355"/>
    <w:rsid w:val="00E94279"/>
    <w:rsid w:val="00E943DE"/>
    <w:rsid w:val="00E949A4"/>
    <w:rsid w:val="00E94A55"/>
    <w:rsid w:val="00E94C27"/>
    <w:rsid w:val="00E94EA5"/>
    <w:rsid w:val="00E957D0"/>
    <w:rsid w:val="00E95B0D"/>
    <w:rsid w:val="00E95B66"/>
    <w:rsid w:val="00E95D2E"/>
    <w:rsid w:val="00E95D9E"/>
    <w:rsid w:val="00E96CB4"/>
    <w:rsid w:val="00E96D15"/>
    <w:rsid w:val="00E97204"/>
    <w:rsid w:val="00E97935"/>
    <w:rsid w:val="00EA041A"/>
    <w:rsid w:val="00EA08CF"/>
    <w:rsid w:val="00EA0CF2"/>
    <w:rsid w:val="00EA1019"/>
    <w:rsid w:val="00EA17AA"/>
    <w:rsid w:val="00EA18BF"/>
    <w:rsid w:val="00EA258F"/>
    <w:rsid w:val="00EA2B25"/>
    <w:rsid w:val="00EA2C32"/>
    <w:rsid w:val="00EA2CBF"/>
    <w:rsid w:val="00EA3383"/>
    <w:rsid w:val="00EA3C7B"/>
    <w:rsid w:val="00EA4111"/>
    <w:rsid w:val="00EA5C8B"/>
    <w:rsid w:val="00EA6BBC"/>
    <w:rsid w:val="00EA6C13"/>
    <w:rsid w:val="00EA7137"/>
    <w:rsid w:val="00EA7D8C"/>
    <w:rsid w:val="00EB0E4B"/>
    <w:rsid w:val="00EB0E9C"/>
    <w:rsid w:val="00EB0FE5"/>
    <w:rsid w:val="00EB1127"/>
    <w:rsid w:val="00EB1366"/>
    <w:rsid w:val="00EB1593"/>
    <w:rsid w:val="00EB16FF"/>
    <w:rsid w:val="00EB1AD0"/>
    <w:rsid w:val="00EB1E1B"/>
    <w:rsid w:val="00EB1E71"/>
    <w:rsid w:val="00EB23BE"/>
    <w:rsid w:val="00EB26CD"/>
    <w:rsid w:val="00EB31E0"/>
    <w:rsid w:val="00EB3237"/>
    <w:rsid w:val="00EB4751"/>
    <w:rsid w:val="00EB5196"/>
    <w:rsid w:val="00EB59F1"/>
    <w:rsid w:val="00EB5AF0"/>
    <w:rsid w:val="00EB5FBD"/>
    <w:rsid w:val="00EB6312"/>
    <w:rsid w:val="00EB637A"/>
    <w:rsid w:val="00EB67A5"/>
    <w:rsid w:val="00EB6A32"/>
    <w:rsid w:val="00EB6E20"/>
    <w:rsid w:val="00EB7315"/>
    <w:rsid w:val="00EB7732"/>
    <w:rsid w:val="00EB7A0D"/>
    <w:rsid w:val="00EC016B"/>
    <w:rsid w:val="00EC02DB"/>
    <w:rsid w:val="00EC03EF"/>
    <w:rsid w:val="00EC0AF3"/>
    <w:rsid w:val="00EC0AF6"/>
    <w:rsid w:val="00EC0E17"/>
    <w:rsid w:val="00EC0FE7"/>
    <w:rsid w:val="00EC180E"/>
    <w:rsid w:val="00EC3BD0"/>
    <w:rsid w:val="00EC4197"/>
    <w:rsid w:val="00EC4377"/>
    <w:rsid w:val="00EC4B7F"/>
    <w:rsid w:val="00EC4E44"/>
    <w:rsid w:val="00EC5261"/>
    <w:rsid w:val="00EC53F8"/>
    <w:rsid w:val="00EC540A"/>
    <w:rsid w:val="00EC5443"/>
    <w:rsid w:val="00EC5914"/>
    <w:rsid w:val="00EC6852"/>
    <w:rsid w:val="00EC6925"/>
    <w:rsid w:val="00EC6ABB"/>
    <w:rsid w:val="00EC6D46"/>
    <w:rsid w:val="00EC6E68"/>
    <w:rsid w:val="00EC703F"/>
    <w:rsid w:val="00EC7124"/>
    <w:rsid w:val="00EC76EA"/>
    <w:rsid w:val="00EC7B4A"/>
    <w:rsid w:val="00EC7DBE"/>
    <w:rsid w:val="00ED0127"/>
    <w:rsid w:val="00ED04D3"/>
    <w:rsid w:val="00ED0FC1"/>
    <w:rsid w:val="00ED16C1"/>
    <w:rsid w:val="00ED1DBE"/>
    <w:rsid w:val="00ED33D0"/>
    <w:rsid w:val="00ED38AB"/>
    <w:rsid w:val="00ED3D96"/>
    <w:rsid w:val="00ED4541"/>
    <w:rsid w:val="00ED4602"/>
    <w:rsid w:val="00ED47B2"/>
    <w:rsid w:val="00ED499D"/>
    <w:rsid w:val="00ED4ACF"/>
    <w:rsid w:val="00ED4E51"/>
    <w:rsid w:val="00ED5599"/>
    <w:rsid w:val="00ED57BE"/>
    <w:rsid w:val="00ED5919"/>
    <w:rsid w:val="00ED5C73"/>
    <w:rsid w:val="00ED6370"/>
    <w:rsid w:val="00ED69E3"/>
    <w:rsid w:val="00ED6CC8"/>
    <w:rsid w:val="00ED6D86"/>
    <w:rsid w:val="00ED7588"/>
    <w:rsid w:val="00ED7EB0"/>
    <w:rsid w:val="00EE0C9A"/>
    <w:rsid w:val="00EE0CE9"/>
    <w:rsid w:val="00EE24C5"/>
    <w:rsid w:val="00EE2C67"/>
    <w:rsid w:val="00EE334A"/>
    <w:rsid w:val="00EE3B22"/>
    <w:rsid w:val="00EE4145"/>
    <w:rsid w:val="00EE4B99"/>
    <w:rsid w:val="00EE5217"/>
    <w:rsid w:val="00EE543C"/>
    <w:rsid w:val="00EE6168"/>
    <w:rsid w:val="00EE6EA2"/>
    <w:rsid w:val="00EE7113"/>
    <w:rsid w:val="00EE71FF"/>
    <w:rsid w:val="00EE744A"/>
    <w:rsid w:val="00EE7509"/>
    <w:rsid w:val="00EE7692"/>
    <w:rsid w:val="00EE7972"/>
    <w:rsid w:val="00EE7BA6"/>
    <w:rsid w:val="00EE7DB8"/>
    <w:rsid w:val="00EF051C"/>
    <w:rsid w:val="00EF06D4"/>
    <w:rsid w:val="00EF0702"/>
    <w:rsid w:val="00EF0A0C"/>
    <w:rsid w:val="00EF0A81"/>
    <w:rsid w:val="00EF1474"/>
    <w:rsid w:val="00EF1E7F"/>
    <w:rsid w:val="00EF1FD0"/>
    <w:rsid w:val="00EF234A"/>
    <w:rsid w:val="00EF293B"/>
    <w:rsid w:val="00EF2FC1"/>
    <w:rsid w:val="00EF3862"/>
    <w:rsid w:val="00EF4098"/>
    <w:rsid w:val="00EF441C"/>
    <w:rsid w:val="00EF51C9"/>
    <w:rsid w:val="00EF5731"/>
    <w:rsid w:val="00EF5AFB"/>
    <w:rsid w:val="00EF6517"/>
    <w:rsid w:val="00EF6812"/>
    <w:rsid w:val="00EF7A12"/>
    <w:rsid w:val="00EF7EDD"/>
    <w:rsid w:val="00EF7F4F"/>
    <w:rsid w:val="00F00266"/>
    <w:rsid w:val="00F00E40"/>
    <w:rsid w:val="00F0102B"/>
    <w:rsid w:val="00F01241"/>
    <w:rsid w:val="00F01799"/>
    <w:rsid w:val="00F01A9E"/>
    <w:rsid w:val="00F01F28"/>
    <w:rsid w:val="00F01FA8"/>
    <w:rsid w:val="00F02568"/>
    <w:rsid w:val="00F030DD"/>
    <w:rsid w:val="00F031F7"/>
    <w:rsid w:val="00F036B1"/>
    <w:rsid w:val="00F03C55"/>
    <w:rsid w:val="00F03C87"/>
    <w:rsid w:val="00F03FAB"/>
    <w:rsid w:val="00F043A2"/>
    <w:rsid w:val="00F07244"/>
    <w:rsid w:val="00F07648"/>
    <w:rsid w:val="00F07F90"/>
    <w:rsid w:val="00F10094"/>
    <w:rsid w:val="00F104B7"/>
    <w:rsid w:val="00F10584"/>
    <w:rsid w:val="00F1126D"/>
    <w:rsid w:val="00F115BA"/>
    <w:rsid w:val="00F11684"/>
    <w:rsid w:val="00F11A43"/>
    <w:rsid w:val="00F1235E"/>
    <w:rsid w:val="00F1297F"/>
    <w:rsid w:val="00F129EC"/>
    <w:rsid w:val="00F13552"/>
    <w:rsid w:val="00F13654"/>
    <w:rsid w:val="00F1372D"/>
    <w:rsid w:val="00F13F58"/>
    <w:rsid w:val="00F1400F"/>
    <w:rsid w:val="00F153C3"/>
    <w:rsid w:val="00F15DD0"/>
    <w:rsid w:val="00F162BD"/>
    <w:rsid w:val="00F16483"/>
    <w:rsid w:val="00F17406"/>
    <w:rsid w:val="00F20DE0"/>
    <w:rsid w:val="00F210FC"/>
    <w:rsid w:val="00F21B2A"/>
    <w:rsid w:val="00F2200D"/>
    <w:rsid w:val="00F2225B"/>
    <w:rsid w:val="00F22667"/>
    <w:rsid w:val="00F22869"/>
    <w:rsid w:val="00F228BC"/>
    <w:rsid w:val="00F22973"/>
    <w:rsid w:val="00F22D9D"/>
    <w:rsid w:val="00F23087"/>
    <w:rsid w:val="00F23978"/>
    <w:rsid w:val="00F240A9"/>
    <w:rsid w:val="00F24C63"/>
    <w:rsid w:val="00F25E5D"/>
    <w:rsid w:val="00F26C46"/>
    <w:rsid w:val="00F26D5C"/>
    <w:rsid w:val="00F26E74"/>
    <w:rsid w:val="00F26F94"/>
    <w:rsid w:val="00F2741C"/>
    <w:rsid w:val="00F27680"/>
    <w:rsid w:val="00F27CE6"/>
    <w:rsid w:val="00F30844"/>
    <w:rsid w:val="00F30BF7"/>
    <w:rsid w:val="00F311ED"/>
    <w:rsid w:val="00F3136A"/>
    <w:rsid w:val="00F3192E"/>
    <w:rsid w:val="00F32497"/>
    <w:rsid w:val="00F324A8"/>
    <w:rsid w:val="00F336B1"/>
    <w:rsid w:val="00F33CEA"/>
    <w:rsid w:val="00F33FBC"/>
    <w:rsid w:val="00F34624"/>
    <w:rsid w:val="00F349AE"/>
    <w:rsid w:val="00F34BB6"/>
    <w:rsid w:val="00F34DF3"/>
    <w:rsid w:val="00F3555C"/>
    <w:rsid w:val="00F358A1"/>
    <w:rsid w:val="00F35B2D"/>
    <w:rsid w:val="00F3606B"/>
    <w:rsid w:val="00F3620A"/>
    <w:rsid w:val="00F36566"/>
    <w:rsid w:val="00F368B3"/>
    <w:rsid w:val="00F37A62"/>
    <w:rsid w:val="00F37CA8"/>
    <w:rsid w:val="00F402C3"/>
    <w:rsid w:val="00F414F6"/>
    <w:rsid w:val="00F41858"/>
    <w:rsid w:val="00F418ED"/>
    <w:rsid w:val="00F41B8C"/>
    <w:rsid w:val="00F41DE1"/>
    <w:rsid w:val="00F4221A"/>
    <w:rsid w:val="00F42380"/>
    <w:rsid w:val="00F424A4"/>
    <w:rsid w:val="00F42773"/>
    <w:rsid w:val="00F428BF"/>
    <w:rsid w:val="00F42C7B"/>
    <w:rsid w:val="00F42E99"/>
    <w:rsid w:val="00F430FC"/>
    <w:rsid w:val="00F43119"/>
    <w:rsid w:val="00F438E4"/>
    <w:rsid w:val="00F439AE"/>
    <w:rsid w:val="00F440F7"/>
    <w:rsid w:val="00F4430F"/>
    <w:rsid w:val="00F45AE4"/>
    <w:rsid w:val="00F45F2D"/>
    <w:rsid w:val="00F46688"/>
    <w:rsid w:val="00F4690F"/>
    <w:rsid w:val="00F46A2C"/>
    <w:rsid w:val="00F46DC8"/>
    <w:rsid w:val="00F46DCC"/>
    <w:rsid w:val="00F4734E"/>
    <w:rsid w:val="00F47E8A"/>
    <w:rsid w:val="00F47F6A"/>
    <w:rsid w:val="00F5011D"/>
    <w:rsid w:val="00F501B6"/>
    <w:rsid w:val="00F5035A"/>
    <w:rsid w:val="00F503A7"/>
    <w:rsid w:val="00F505D6"/>
    <w:rsid w:val="00F50CD8"/>
    <w:rsid w:val="00F50E84"/>
    <w:rsid w:val="00F51003"/>
    <w:rsid w:val="00F5137A"/>
    <w:rsid w:val="00F51E53"/>
    <w:rsid w:val="00F52122"/>
    <w:rsid w:val="00F52A48"/>
    <w:rsid w:val="00F52DB5"/>
    <w:rsid w:val="00F53119"/>
    <w:rsid w:val="00F5314E"/>
    <w:rsid w:val="00F532C6"/>
    <w:rsid w:val="00F53D13"/>
    <w:rsid w:val="00F54D87"/>
    <w:rsid w:val="00F54FCD"/>
    <w:rsid w:val="00F550E1"/>
    <w:rsid w:val="00F55168"/>
    <w:rsid w:val="00F55818"/>
    <w:rsid w:val="00F56044"/>
    <w:rsid w:val="00F575C6"/>
    <w:rsid w:val="00F57C76"/>
    <w:rsid w:val="00F57D94"/>
    <w:rsid w:val="00F602B0"/>
    <w:rsid w:val="00F6036E"/>
    <w:rsid w:val="00F60758"/>
    <w:rsid w:val="00F608AB"/>
    <w:rsid w:val="00F60E5C"/>
    <w:rsid w:val="00F612EC"/>
    <w:rsid w:val="00F616A3"/>
    <w:rsid w:val="00F61B87"/>
    <w:rsid w:val="00F61FD3"/>
    <w:rsid w:val="00F62242"/>
    <w:rsid w:val="00F627F9"/>
    <w:rsid w:val="00F62B9B"/>
    <w:rsid w:val="00F62BB0"/>
    <w:rsid w:val="00F62ED1"/>
    <w:rsid w:val="00F6393E"/>
    <w:rsid w:val="00F6400F"/>
    <w:rsid w:val="00F642ED"/>
    <w:rsid w:val="00F645EB"/>
    <w:rsid w:val="00F649A3"/>
    <w:rsid w:val="00F6525C"/>
    <w:rsid w:val="00F65BDA"/>
    <w:rsid w:val="00F661F5"/>
    <w:rsid w:val="00F666F0"/>
    <w:rsid w:val="00F66E89"/>
    <w:rsid w:val="00F674C6"/>
    <w:rsid w:val="00F67505"/>
    <w:rsid w:val="00F675EB"/>
    <w:rsid w:val="00F677D9"/>
    <w:rsid w:val="00F707CA"/>
    <w:rsid w:val="00F70B91"/>
    <w:rsid w:val="00F71692"/>
    <w:rsid w:val="00F717DB"/>
    <w:rsid w:val="00F727EA"/>
    <w:rsid w:val="00F72EC3"/>
    <w:rsid w:val="00F731E3"/>
    <w:rsid w:val="00F7360E"/>
    <w:rsid w:val="00F73BCD"/>
    <w:rsid w:val="00F741DC"/>
    <w:rsid w:val="00F74591"/>
    <w:rsid w:val="00F747C4"/>
    <w:rsid w:val="00F74FC5"/>
    <w:rsid w:val="00F74FF3"/>
    <w:rsid w:val="00F7529F"/>
    <w:rsid w:val="00F7561C"/>
    <w:rsid w:val="00F75806"/>
    <w:rsid w:val="00F7635A"/>
    <w:rsid w:val="00F765DA"/>
    <w:rsid w:val="00F76B96"/>
    <w:rsid w:val="00F773EE"/>
    <w:rsid w:val="00F77495"/>
    <w:rsid w:val="00F774F1"/>
    <w:rsid w:val="00F80BE5"/>
    <w:rsid w:val="00F80C71"/>
    <w:rsid w:val="00F80E70"/>
    <w:rsid w:val="00F81A1A"/>
    <w:rsid w:val="00F82605"/>
    <w:rsid w:val="00F82A13"/>
    <w:rsid w:val="00F83136"/>
    <w:rsid w:val="00F831C4"/>
    <w:rsid w:val="00F83D3E"/>
    <w:rsid w:val="00F83E4F"/>
    <w:rsid w:val="00F8426F"/>
    <w:rsid w:val="00F84336"/>
    <w:rsid w:val="00F84370"/>
    <w:rsid w:val="00F8460C"/>
    <w:rsid w:val="00F84AC9"/>
    <w:rsid w:val="00F84D55"/>
    <w:rsid w:val="00F85ABE"/>
    <w:rsid w:val="00F85C28"/>
    <w:rsid w:val="00F85F6E"/>
    <w:rsid w:val="00F85F99"/>
    <w:rsid w:val="00F863A5"/>
    <w:rsid w:val="00F86D39"/>
    <w:rsid w:val="00F86FF0"/>
    <w:rsid w:val="00F87193"/>
    <w:rsid w:val="00F873DC"/>
    <w:rsid w:val="00F875D6"/>
    <w:rsid w:val="00F87E45"/>
    <w:rsid w:val="00F90433"/>
    <w:rsid w:val="00F90537"/>
    <w:rsid w:val="00F905B5"/>
    <w:rsid w:val="00F90ADB"/>
    <w:rsid w:val="00F90AEE"/>
    <w:rsid w:val="00F9200C"/>
    <w:rsid w:val="00F9253D"/>
    <w:rsid w:val="00F9285D"/>
    <w:rsid w:val="00F92D61"/>
    <w:rsid w:val="00F93FA5"/>
    <w:rsid w:val="00F944D8"/>
    <w:rsid w:val="00F94BC5"/>
    <w:rsid w:val="00F959CC"/>
    <w:rsid w:val="00F95C2B"/>
    <w:rsid w:val="00F96635"/>
    <w:rsid w:val="00F97155"/>
    <w:rsid w:val="00F97691"/>
    <w:rsid w:val="00FA07DC"/>
    <w:rsid w:val="00FA0FB0"/>
    <w:rsid w:val="00FA2444"/>
    <w:rsid w:val="00FA271B"/>
    <w:rsid w:val="00FA2807"/>
    <w:rsid w:val="00FA2B88"/>
    <w:rsid w:val="00FA3427"/>
    <w:rsid w:val="00FA37FE"/>
    <w:rsid w:val="00FA4429"/>
    <w:rsid w:val="00FA4A5B"/>
    <w:rsid w:val="00FA4E81"/>
    <w:rsid w:val="00FA5003"/>
    <w:rsid w:val="00FA5209"/>
    <w:rsid w:val="00FA5729"/>
    <w:rsid w:val="00FA5B51"/>
    <w:rsid w:val="00FA5B85"/>
    <w:rsid w:val="00FA5D32"/>
    <w:rsid w:val="00FA5DE5"/>
    <w:rsid w:val="00FA5FAB"/>
    <w:rsid w:val="00FA6661"/>
    <w:rsid w:val="00FA6823"/>
    <w:rsid w:val="00FA6866"/>
    <w:rsid w:val="00FA6D6C"/>
    <w:rsid w:val="00FA6F05"/>
    <w:rsid w:val="00FA707C"/>
    <w:rsid w:val="00FA795C"/>
    <w:rsid w:val="00FB0EF1"/>
    <w:rsid w:val="00FB0FAC"/>
    <w:rsid w:val="00FB1208"/>
    <w:rsid w:val="00FB14D3"/>
    <w:rsid w:val="00FB1693"/>
    <w:rsid w:val="00FB1723"/>
    <w:rsid w:val="00FB1B3B"/>
    <w:rsid w:val="00FB21BE"/>
    <w:rsid w:val="00FB30AA"/>
    <w:rsid w:val="00FB3974"/>
    <w:rsid w:val="00FB3D0B"/>
    <w:rsid w:val="00FB3EBA"/>
    <w:rsid w:val="00FB4CDC"/>
    <w:rsid w:val="00FB4DA6"/>
    <w:rsid w:val="00FB50C0"/>
    <w:rsid w:val="00FB513C"/>
    <w:rsid w:val="00FB52CB"/>
    <w:rsid w:val="00FB5483"/>
    <w:rsid w:val="00FB55D1"/>
    <w:rsid w:val="00FB55E9"/>
    <w:rsid w:val="00FB590C"/>
    <w:rsid w:val="00FB6C3A"/>
    <w:rsid w:val="00FB7BB2"/>
    <w:rsid w:val="00FC04A1"/>
    <w:rsid w:val="00FC0978"/>
    <w:rsid w:val="00FC0CED"/>
    <w:rsid w:val="00FC1222"/>
    <w:rsid w:val="00FC1FF3"/>
    <w:rsid w:val="00FC2E99"/>
    <w:rsid w:val="00FC307E"/>
    <w:rsid w:val="00FC3621"/>
    <w:rsid w:val="00FC3831"/>
    <w:rsid w:val="00FC3ECB"/>
    <w:rsid w:val="00FC4AC2"/>
    <w:rsid w:val="00FC54B2"/>
    <w:rsid w:val="00FC5A4E"/>
    <w:rsid w:val="00FC5DF9"/>
    <w:rsid w:val="00FC5FC6"/>
    <w:rsid w:val="00FC65F2"/>
    <w:rsid w:val="00FC6BD6"/>
    <w:rsid w:val="00FC6F65"/>
    <w:rsid w:val="00FC735C"/>
    <w:rsid w:val="00FC76EE"/>
    <w:rsid w:val="00FC78EE"/>
    <w:rsid w:val="00FC7A8F"/>
    <w:rsid w:val="00FC7FC4"/>
    <w:rsid w:val="00FD0371"/>
    <w:rsid w:val="00FD051B"/>
    <w:rsid w:val="00FD08D7"/>
    <w:rsid w:val="00FD0A42"/>
    <w:rsid w:val="00FD0C0E"/>
    <w:rsid w:val="00FD16F3"/>
    <w:rsid w:val="00FD19AE"/>
    <w:rsid w:val="00FD1D77"/>
    <w:rsid w:val="00FD28D5"/>
    <w:rsid w:val="00FD3086"/>
    <w:rsid w:val="00FD34EF"/>
    <w:rsid w:val="00FD3BBE"/>
    <w:rsid w:val="00FD3ECD"/>
    <w:rsid w:val="00FD42C9"/>
    <w:rsid w:val="00FD458B"/>
    <w:rsid w:val="00FD46A1"/>
    <w:rsid w:val="00FD47CA"/>
    <w:rsid w:val="00FD56A4"/>
    <w:rsid w:val="00FD58C2"/>
    <w:rsid w:val="00FD71FA"/>
    <w:rsid w:val="00FD767E"/>
    <w:rsid w:val="00FD7A4E"/>
    <w:rsid w:val="00FD7E54"/>
    <w:rsid w:val="00FD7F1D"/>
    <w:rsid w:val="00FE0131"/>
    <w:rsid w:val="00FE0D9F"/>
    <w:rsid w:val="00FE1A13"/>
    <w:rsid w:val="00FE1C57"/>
    <w:rsid w:val="00FE1D3E"/>
    <w:rsid w:val="00FE2F65"/>
    <w:rsid w:val="00FE2FBF"/>
    <w:rsid w:val="00FE3A48"/>
    <w:rsid w:val="00FE41C2"/>
    <w:rsid w:val="00FE43BD"/>
    <w:rsid w:val="00FE4555"/>
    <w:rsid w:val="00FE4B1F"/>
    <w:rsid w:val="00FE52B7"/>
    <w:rsid w:val="00FE52D6"/>
    <w:rsid w:val="00FE5E3A"/>
    <w:rsid w:val="00FE5F27"/>
    <w:rsid w:val="00FE68C5"/>
    <w:rsid w:val="00FE6BFF"/>
    <w:rsid w:val="00FE6C0D"/>
    <w:rsid w:val="00FE6C20"/>
    <w:rsid w:val="00FE6E85"/>
    <w:rsid w:val="00FE6FF4"/>
    <w:rsid w:val="00FE7030"/>
    <w:rsid w:val="00FE70B7"/>
    <w:rsid w:val="00FE74F2"/>
    <w:rsid w:val="00FE7737"/>
    <w:rsid w:val="00FE79C5"/>
    <w:rsid w:val="00FE7AA0"/>
    <w:rsid w:val="00FE7F54"/>
    <w:rsid w:val="00FF0991"/>
    <w:rsid w:val="00FF0D9E"/>
    <w:rsid w:val="00FF0E9F"/>
    <w:rsid w:val="00FF1158"/>
    <w:rsid w:val="00FF12CB"/>
    <w:rsid w:val="00FF1430"/>
    <w:rsid w:val="00FF18ED"/>
    <w:rsid w:val="00FF2289"/>
    <w:rsid w:val="00FF25B7"/>
    <w:rsid w:val="00FF2937"/>
    <w:rsid w:val="00FF2A07"/>
    <w:rsid w:val="00FF2AFD"/>
    <w:rsid w:val="00FF2B50"/>
    <w:rsid w:val="00FF2E8B"/>
    <w:rsid w:val="00FF3075"/>
    <w:rsid w:val="00FF3A50"/>
    <w:rsid w:val="00FF4A30"/>
    <w:rsid w:val="00FF5B07"/>
    <w:rsid w:val="00FF61C3"/>
    <w:rsid w:val="00FF716B"/>
    <w:rsid w:val="00FF75E7"/>
    <w:rsid w:val="00FF77FF"/>
    <w:rsid w:val="00FF7808"/>
    <w:rsid w:val="00FF7C0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358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4F2"/>
    <w:pPr>
      <w:spacing w:before="120"/>
      <w:jc w:val="both"/>
    </w:pPr>
    <w:rPr>
      <w:rFonts w:ascii="Times New Roman" w:hAnsi="Times New Roman"/>
      <w:sz w:val="22"/>
      <w:lang w:val="en-GB"/>
    </w:rPr>
  </w:style>
  <w:style w:type="paragraph" w:styleId="Heading1">
    <w:name w:val="heading 1"/>
    <w:basedOn w:val="Normal"/>
    <w:next w:val="Normal"/>
    <w:link w:val="Heading1Char"/>
    <w:qFormat/>
    <w:rsid w:val="003937A5"/>
    <w:pPr>
      <w:keepNext/>
      <w:numPr>
        <w:numId w:val="1"/>
      </w:numPr>
      <w:spacing w:before="240" w:after="60"/>
      <w:jc w:val="left"/>
      <w:outlineLvl w:val="0"/>
    </w:pPr>
    <w:rPr>
      <w:rFonts w:ascii="Calibri" w:eastAsia="Times New Roman" w:hAnsi="Calibri" w:cs="Times New Roman"/>
      <w:b/>
      <w:bCs/>
      <w:kern w:val="32"/>
      <w:sz w:val="32"/>
      <w:szCs w:val="32"/>
      <w:lang w:val="en-US"/>
    </w:rPr>
  </w:style>
  <w:style w:type="paragraph" w:styleId="Heading2">
    <w:name w:val="heading 2"/>
    <w:basedOn w:val="Normal"/>
    <w:next w:val="Normal"/>
    <w:link w:val="Heading2Char"/>
    <w:qFormat/>
    <w:rsid w:val="003937A5"/>
    <w:pPr>
      <w:keepNext/>
      <w:numPr>
        <w:ilvl w:val="1"/>
        <w:numId w:val="1"/>
      </w:numPr>
      <w:spacing w:before="240" w:after="60"/>
      <w:jc w:val="left"/>
      <w:outlineLvl w:val="1"/>
    </w:pPr>
    <w:rPr>
      <w:rFonts w:ascii="Calibri" w:eastAsia="Times New Roman" w:hAnsi="Calibri" w:cs="Times New Roman"/>
      <w:b/>
      <w:bCs/>
      <w:i/>
      <w:iCs/>
      <w:sz w:val="28"/>
      <w:szCs w:val="28"/>
      <w:lang w:val="en-US"/>
    </w:rPr>
  </w:style>
  <w:style w:type="paragraph" w:styleId="Heading3">
    <w:name w:val="heading 3"/>
    <w:basedOn w:val="Normal"/>
    <w:next w:val="Normal"/>
    <w:link w:val="Heading3Char"/>
    <w:qFormat/>
    <w:rsid w:val="00524A39"/>
    <w:pPr>
      <w:keepNext/>
      <w:numPr>
        <w:ilvl w:val="2"/>
        <w:numId w:val="1"/>
      </w:numPr>
      <w:spacing w:before="240" w:after="60"/>
      <w:jc w:val="left"/>
      <w:outlineLvl w:val="2"/>
    </w:pPr>
    <w:rPr>
      <w:rFonts w:ascii="Calibri" w:eastAsia="Times New Roman" w:hAnsi="Calibri" w:cs="Times New Roman"/>
      <w:b/>
      <w:bCs/>
      <w:sz w:val="26"/>
      <w:szCs w:val="26"/>
      <w:lang w:val="en-US"/>
    </w:rPr>
  </w:style>
  <w:style w:type="paragraph" w:styleId="Heading4">
    <w:name w:val="heading 4"/>
    <w:basedOn w:val="Normal"/>
    <w:next w:val="Normal"/>
    <w:link w:val="Heading4Char"/>
    <w:qFormat/>
    <w:rsid w:val="003937A5"/>
    <w:pPr>
      <w:keepNext/>
      <w:numPr>
        <w:ilvl w:val="3"/>
        <w:numId w:val="1"/>
      </w:numPr>
      <w:spacing w:before="240" w:after="60"/>
      <w:jc w:val="left"/>
      <w:outlineLvl w:val="3"/>
    </w:pPr>
    <w:rPr>
      <w:rFonts w:ascii="Cambria" w:eastAsia="Times New Roman" w:hAnsi="Cambria" w:cs="Times New Roman"/>
      <w:b/>
      <w:bCs/>
      <w:sz w:val="28"/>
      <w:szCs w:val="28"/>
      <w:lang w:val="en-US"/>
    </w:rPr>
  </w:style>
  <w:style w:type="paragraph" w:styleId="Heading5">
    <w:name w:val="heading 5"/>
    <w:basedOn w:val="Normal"/>
    <w:next w:val="Normal"/>
    <w:link w:val="Heading5Char"/>
    <w:qFormat/>
    <w:rsid w:val="003937A5"/>
    <w:pPr>
      <w:numPr>
        <w:ilvl w:val="4"/>
        <w:numId w:val="1"/>
      </w:numPr>
      <w:spacing w:before="240" w:after="60"/>
      <w:jc w:val="left"/>
      <w:outlineLvl w:val="4"/>
    </w:pPr>
    <w:rPr>
      <w:rFonts w:ascii="Cambria" w:eastAsia="Times New Roman" w:hAnsi="Cambria" w:cs="Times New Roman"/>
      <w:b/>
      <w:bCs/>
      <w:i/>
      <w:iCs/>
      <w:sz w:val="26"/>
      <w:szCs w:val="26"/>
      <w:lang w:val="en-US"/>
    </w:rPr>
  </w:style>
  <w:style w:type="paragraph" w:styleId="Heading6">
    <w:name w:val="heading 6"/>
    <w:basedOn w:val="Normal"/>
    <w:next w:val="Normal"/>
    <w:link w:val="Heading6Char"/>
    <w:qFormat/>
    <w:rsid w:val="003937A5"/>
    <w:pPr>
      <w:numPr>
        <w:ilvl w:val="5"/>
        <w:numId w:val="1"/>
      </w:numPr>
      <w:spacing w:before="240" w:after="60"/>
      <w:jc w:val="left"/>
      <w:outlineLvl w:val="5"/>
    </w:pPr>
    <w:rPr>
      <w:rFonts w:ascii="Cambria" w:eastAsia="Times New Roman" w:hAnsi="Cambria" w:cs="Times New Roman"/>
      <w:b/>
      <w:bCs/>
      <w:szCs w:val="22"/>
      <w:lang w:val="en-US"/>
    </w:rPr>
  </w:style>
  <w:style w:type="paragraph" w:styleId="Heading7">
    <w:name w:val="heading 7"/>
    <w:basedOn w:val="Normal"/>
    <w:next w:val="Normal"/>
    <w:link w:val="Heading7Char"/>
    <w:qFormat/>
    <w:rsid w:val="003937A5"/>
    <w:pPr>
      <w:numPr>
        <w:ilvl w:val="6"/>
        <w:numId w:val="1"/>
      </w:numPr>
      <w:spacing w:before="240" w:after="60"/>
      <w:jc w:val="left"/>
      <w:outlineLvl w:val="6"/>
    </w:pPr>
    <w:rPr>
      <w:rFonts w:ascii="Cambria" w:eastAsia="Times New Roman" w:hAnsi="Cambria" w:cs="Times New Roman"/>
      <w:sz w:val="24"/>
      <w:lang w:val="en-US"/>
    </w:rPr>
  </w:style>
  <w:style w:type="paragraph" w:styleId="Heading8">
    <w:name w:val="heading 8"/>
    <w:basedOn w:val="Normal"/>
    <w:next w:val="Normal"/>
    <w:link w:val="Heading8Char"/>
    <w:qFormat/>
    <w:rsid w:val="003937A5"/>
    <w:pPr>
      <w:numPr>
        <w:ilvl w:val="7"/>
        <w:numId w:val="1"/>
      </w:numPr>
      <w:spacing w:before="240" w:after="60"/>
      <w:jc w:val="left"/>
      <w:outlineLvl w:val="7"/>
    </w:pPr>
    <w:rPr>
      <w:rFonts w:ascii="Cambria" w:eastAsia="Times New Roman" w:hAnsi="Cambria" w:cs="Times New Roman"/>
      <w:i/>
      <w:iCs/>
      <w:sz w:val="24"/>
      <w:lang w:val="en-US"/>
    </w:rPr>
  </w:style>
  <w:style w:type="paragraph" w:styleId="Heading9">
    <w:name w:val="heading 9"/>
    <w:basedOn w:val="Normal"/>
    <w:next w:val="Normal"/>
    <w:link w:val="Heading9Char"/>
    <w:qFormat/>
    <w:rsid w:val="003937A5"/>
    <w:pPr>
      <w:numPr>
        <w:ilvl w:val="8"/>
        <w:numId w:val="1"/>
      </w:numPr>
      <w:spacing w:before="240" w:after="60"/>
      <w:jc w:val="left"/>
      <w:outlineLvl w:val="8"/>
    </w:pPr>
    <w:rPr>
      <w:rFonts w:ascii="Calibri" w:eastAsia="Times New Roman" w:hAnsi="Calibri" w:cs="Times New Roman"/>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F3103"/>
    <w:rPr>
      <w:rFonts w:asciiTheme="majorHAnsi" w:hAnsiTheme="majorHAnsi"/>
      <w:sz w:val="22"/>
      <w:vertAlign w:val="superscript"/>
    </w:rPr>
  </w:style>
  <w:style w:type="paragraph" w:styleId="FootnoteText">
    <w:name w:val="footnote text"/>
    <w:basedOn w:val="Normal"/>
    <w:link w:val="FootnoteTextChar"/>
    <w:uiPriority w:val="99"/>
    <w:unhideWhenUsed/>
    <w:rsid w:val="000F3103"/>
    <w:pPr>
      <w:spacing w:before="0"/>
    </w:pPr>
    <w:rPr>
      <w:rFonts w:asciiTheme="majorHAnsi" w:hAnsiTheme="majorHAnsi"/>
      <w:i/>
      <w:sz w:val="18"/>
    </w:rPr>
  </w:style>
  <w:style w:type="character" w:customStyle="1" w:styleId="FootnoteTextChar">
    <w:name w:val="Footnote Text Char"/>
    <w:basedOn w:val="DefaultParagraphFont"/>
    <w:link w:val="FootnoteText"/>
    <w:uiPriority w:val="99"/>
    <w:rsid w:val="000F3103"/>
    <w:rPr>
      <w:rFonts w:asciiTheme="majorHAnsi" w:hAnsiTheme="majorHAnsi"/>
      <w:i/>
      <w:sz w:val="18"/>
      <w:lang w:val="en-AU"/>
    </w:rPr>
  </w:style>
  <w:style w:type="paragraph" w:styleId="NoSpacing">
    <w:name w:val="No Spacing"/>
    <w:link w:val="NoSpacingChar"/>
    <w:qFormat/>
    <w:rsid w:val="00FE74F2"/>
    <w:rPr>
      <w:rFonts w:ascii="PMingLiU" w:hAnsi="PMingLiU"/>
      <w:sz w:val="22"/>
      <w:szCs w:val="22"/>
    </w:rPr>
  </w:style>
  <w:style w:type="character" w:customStyle="1" w:styleId="NoSpacingChar">
    <w:name w:val="No Spacing Char"/>
    <w:basedOn w:val="DefaultParagraphFont"/>
    <w:link w:val="NoSpacing"/>
    <w:rsid w:val="00F6036E"/>
    <w:rPr>
      <w:rFonts w:ascii="PMingLiU" w:hAnsi="PMingLiU"/>
      <w:sz w:val="22"/>
      <w:szCs w:val="22"/>
    </w:rPr>
  </w:style>
  <w:style w:type="paragraph" w:styleId="Subtitle">
    <w:name w:val="Subtitle"/>
    <w:basedOn w:val="Normal"/>
    <w:next w:val="Normal"/>
    <w:link w:val="SubtitleChar"/>
    <w:uiPriority w:val="1"/>
    <w:rsid w:val="00F6036E"/>
    <w:pPr>
      <w:numPr>
        <w:ilvl w:val="1"/>
      </w:numPr>
      <w:spacing w:before="60" w:after="480"/>
      <w:jc w:val="right"/>
    </w:pPr>
    <w:rPr>
      <w:rFonts w:asciiTheme="minorHAnsi" w:hAnsiTheme="minorHAnsi"/>
      <w:iCs/>
      <w:color w:val="595959" w:themeColor="text1" w:themeTint="A6"/>
      <w:sz w:val="28"/>
      <w:szCs w:val="28"/>
      <w:lang w:val="en-US"/>
    </w:rPr>
  </w:style>
  <w:style w:type="character" w:customStyle="1" w:styleId="SubtitleChar">
    <w:name w:val="Subtitle Char"/>
    <w:basedOn w:val="DefaultParagraphFont"/>
    <w:link w:val="Subtitle"/>
    <w:uiPriority w:val="1"/>
    <w:rsid w:val="00F6036E"/>
    <w:rPr>
      <w:iCs/>
      <w:color w:val="595959" w:themeColor="text1" w:themeTint="A6"/>
      <w:sz w:val="28"/>
      <w:szCs w:val="28"/>
    </w:rPr>
  </w:style>
  <w:style w:type="paragraph" w:styleId="Date">
    <w:name w:val="Date"/>
    <w:basedOn w:val="Normal"/>
    <w:next w:val="Normal"/>
    <w:link w:val="DateChar"/>
    <w:uiPriority w:val="1"/>
    <w:rsid w:val="00F6036E"/>
    <w:pPr>
      <w:spacing w:before="0" w:line="276" w:lineRule="auto"/>
      <w:jc w:val="right"/>
    </w:pPr>
    <w:rPr>
      <w:rFonts w:asciiTheme="minorHAnsi" w:hAnsiTheme="minorHAnsi"/>
      <w:color w:val="4F81BD" w:themeColor="accent1"/>
      <w:sz w:val="24"/>
      <w:lang w:val="en-US"/>
    </w:rPr>
  </w:style>
  <w:style w:type="character" w:customStyle="1" w:styleId="DateChar">
    <w:name w:val="Date Char"/>
    <w:basedOn w:val="DefaultParagraphFont"/>
    <w:link w:val="Date"/>
    <w:uiPriority w:val="1"/>
    <w:rsid w:val="00F6036E"/>
    <w:rPr>
      <w:color w:val="4F81BD" w:themeColor="accent1"/>
    </w:rPr>
  </w:style>
  <w:style w:type="paragraph" w:styleId="BalloonText">
    <w:name w:val="Balloon Text"/>
    <w:basedOn w:val="Normal"/>
    <w:link w:val="BalloonTextChar"/>
    <w:uiPriority w:val="99"/>
    <w:unhideWhenUsed/>
    <w:rsid w:val="00F603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6036E"/>
    <w:rPr>
      <w:rFonts w:ascii="Lucida Grande" w:hAnsi="Lucida Grande" w:cs="Lucida Grande"/>
      <w:sz w:val="18"/>
      <w:szCs w:val="18"/>
      <w:lang w:val="en-AU"/>
    </w:rPr>
  </w:style>
  <w:style w:type="character" w:customStyle="1" w:styleId="Heading1Char">
    <w:name w:val="Heading 1 Char"/>
    <w:basedOn w:val="DefaultParagraphFont"/>
    <w:link w:val="Heading1"/>
    <w:rsid w:val="003937A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rsid w:val="003937A5"/>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937A5"/>
    <w:rPr>
      <w:rFonts w:ascii="Calibri" w:eastAsia="Times New Roman" w:hAnsi="Calibri" w:cs="Times New Roman"/>
      <w:b/>
      <w:bCs/>
      <w:sz w:val="26"/>
      <w:szCs w:val="26"/>
    </w:rPr>
  </w:style>
  <w:style w:type="character" w:customStyle="1" w:styleId="Heading4Char">
    <w:name w:val="Heading 4 Char"/>
    <w:basedOn w:val="DefaultParagraphFont"/>
    <w:link w:val="Heading4"/>
    <w:rsid w:val="003937A5"/>
    <w:rPr>
      <w:rFonts w:ascii="Cambria" w:eastAsia="Times New Roman" w:hAnsi="Cambria" w:cs="Times New Roman"/>
      <w:b/>
      <w:bCs/>
      <w:sz w:val="28"/>
      <w:szCs w:val="28"/>
    </w:rPr>
  </w:style>
  <w:style w:type="character" w:customStyle="1" w:styleId="Heading5Char">
    <w:name w:val="Heading 5 Char"/>
    <w:basedOn w:val="DefaultParagraphFont"/>
    <w:link w:val="Heading5"/>
    <w:rsid w:val="003937A5"/>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937A5"/>
    <w:rPr>
      <w:rFonts w:ascii="Cambria" w:eastAsia="Times New Roman" w:hAnsi="Cambria" w:cs="Times New Roman"/>
      <w:b/>
      <w:bCs/>
      <w:sz w:val="22"/>
      <w:szCs w:val="22"/>
    </w:rPr>
  </w:style>
  <w:style w:type="character" w:customStyle="1" w:styleId="Heading7Char">
    <w:name w:val="Heading 7 Char"/>
    <w:basedOn w:val="DefaultParagraphFont"/>
    <w:link w:val="Heading7"/>
    <w:rsid w:val="003937A5"/>
    <w:rPr>
      <w:rFonts w:ascii="Cambria" w:eastAsia="Times New Roman" w:hAnsi="Cambria" w:cs="Times New Roman"/>
    </w:rPr>
  </w:style>
  <w:style w:type="character" w:customStyle="1" w:styleId="Heading8Char">
    <w:name w:val="Heading 8 Char"/>
    <w:basedOn w:val="DefaultParagraphFont"/>
    <w:link w:val="Heading8"/>
    <w:rsid w:val="003937A5"/>
    <w:rPr>
      <w:rFonts w:ascii="Cambria" w:eastAsia="Times New Roman" w:hAnsi="Cambria" w:cs="Times New Roman"/>
      <w:i/>
      <w:iCs/>
    </w:rPr>
  </w:style>
  <w:style w:type="character" w:customStyle="1" w:styleId="Heading9Char">
    <w:name w:val="Heading 9 Char"/>
    <w:basedOn w:val="DefaultParagraphFont"/>
    <w:link w:val="Heading9"/>
    <w:rsid w:val="003937A5"/>
    <w:rPr>
      <w:rFonts w:ascii="Calibri" w:eastAsia="Times New Roman" w:hAnsi="Calibri" w:cs="Times New Roman"/>
      <w:sz w:val="22"/>
      <w:szCs w:val="22"/>
    </w:rPr>
  </w:style>
  <w:style w:type="paragraph" w:styleId="Header">
    <w:name w:val="header"/>
    <w:basedOn w:val="Normal"/>
    <w:link w:val="HeaderChar"/>
    <w:rsid w:val="003937A5"/>
    <w:pPr>
      <w:tabs>
        <w:tab w:val="center" w:pos="4320"/>
        <w:tab w:val="right" w:pos="8640"/>
      </w:tabs>
      <w:spacing w:before="0"/>
      <w:jc w:val="left"/>
    </w:pPr>
    <w:rPr>
      <w:rFonts w:eastAsia="Times New Roman" w:cs="Times New Roman"/>
      <w:sz w:val="24"/>
      <w:lang w:val="en-US"/>
    </w:rPr>
  </w:style>
  <w:style w:type="character" w:customStyle="1" w:styleId="HeaderChar">
    <w:name w:val="Header Char"/>
    <w:basedOn w:val="DefaultParagraphFont"/>
    <w:link w:val="Header"/>
    <w:rsid w:val="003937A5"/>
    <w:rPr>
      <w:rFonts w:ascii="Times New Roman" w:eastAsia="Times New Roman" w:hAnsi="Times New Roman" w:cs="Times New Roman"/>
    </w:rPr>
  </w:style>
  <w:style w:type="character" w:styleId="PageNumber">
    <w:name w:val="page number"/>
    <w:basedOn w:val="DefaultParagraphFont"/>
    <w:rsid w:val="003937A5"/>
  </w:style>
  <w:style w:type="character" w:styleId="Hyperlink">
    <w:name w:val="Hyperlink"/>
    <w:uiPriority w:val="99"/>
    <w:rsid w:val="003937A5"/>
    <w:rPr>
      <w:color w:val="0000FF"/>
      <w:u w:val="single"/>
    </w:rPr>
  </w:style>
  <w:style w:type="paragraph" w:styleId="Footer">
    <w:name w:val="footer"/>
    <w:basedOn w:val="Normal"/>
    <w:link w:val="FooterChar"/>
    <w:rsid w:val="003937A5"/>
    <w:pPr>
      <w:tabs>
        <w:tab w:val="center" w:pos="4320"/>
        <w:tab w:val="right" w:pos="8640"/>
      </w:tabs>
      <w:spacing w:before="0"/>
      <w:jc w:val="left"/>
    </w:pPr>
    <w:rPr>
      <w:rFonts w:eastAsia="Times New Roman" w:cs="Times New Roman"/>
      <w:sz w:val="24"/>
      <w:lang w:val="en-US"/>
    </w:rPr>
  </w:style>
  <w:style w:type="character" w:customStyle="1" w:styleId="FooterChar">
    <w:name w:val="Footer Char"/>
    <w:basedOn w:val="DefaultParagraphFont"/>
    <w:link w:val="Footer"/>
    <w:rsid w:val="003937A5"/>
    <w:rPr>
      <w:rFonts w:ascii="Times New Roman" w:eastAsia="Times New Roman" w:hAnsi="Times New Roman" w:cs="Times New Roman"/>
    </w:rPr>
  </w:style>
  <w:style w:type="table" w:styleId="TableGrid">
    <w:name w:val="Table Grid"/>
    <w:basedOn w:val="TableNormal"/>
    <w:uiPriority w:val="39"/>
    <w:rsid w:val="003937A5"/>
    <w:rPr>
      <w:rFonts w:ascii="Times New Roman" w:eastAsia="Times New Roman" w:hAnsi="Times New Roman"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A-1">
    <w:name w:val="CDA - 1"/>
    <w:aliases w:val="2,3"/>
    <w:rsid w:val="00FE74F2"/>
    <w:pPr>
      <w:widowControl w:val="0"/>
      <w:spacing w:after="283" w:line="328" w:lineRule="atLeast"/>
      <w:ind w:left="567"/>
      <w:jc w:val="both"/>
    </w:pPr>
    <w:rPr>
      <w:rFonts w:ascii="TimesNewRomanPS" w:eastAsia="Times New Roman" w:hAnsi="TimesNewRomanPS" w:cs="Times New Roman"/>
      <w:snapToGrid w:val="0"/>
      <w:color w:val="000000"/>
      <w:szCs w:val="20"/>
    </w:rPr>
  </w:style>
  <w:style w:type="paragraph" w:styleId="TOC1">
    <w:name w:val="toc 1"/>
    <w:basedOn w:val="Normal"/>
    <w:next w:val="Normal"/>
    <w:autoRedefine/>
    <w:uiPriority w:val="39"/>
    <w:rsid w:val="00B83873"/>
    <w:pPr>
      <w:tabs>
        <w:tab w:val="left" w:pos="362"/>
        <w:tab w:val="right" w:leader="dot" w:pos="9622"/>
      </w:tabs>
      <w:jc w:val="left"/>
    </w:pPr>
    <w:rPr>
      <w:rFonts w:ascii="Calibri" w:eastAsia="Times New Roman" w:hAnsi="Calibri" w:cs="Times New Roman"/>
      <w:b/>
      <w:noProof/>
      <w:color w:val="31849B" w:themeColor="accent5" w:themeShade="BF"/>
      <w:sz w:val="24"/>
      <w:lang w:val="en-US"/>
    </w:rPr>
  </w:style>
  <w:style w:type="paragraph" w:styleId="TOC2">
    <w:name w:val="toc 2"/>
    <w:basedOn w:val="Normal"/>
    <w:next w:val="Normal"/>
    <w:autoRedefine/>
    <w:uiPriority w:val="39"/>
    <w:rsid w:val="005F421E"/>
    <w:pPr>
      <w:tabs>
        <w:tab w:val="left" w:pos="529"/>
        <w:tab w:val="right" w:leader="dot" w:pos="9639"/>
      </w:tabs>
      <w:spacing w:before="0"/>
      <w:jc w:val="left"/>
    </w:pPr>
    <w:rPr>
      <w:rFonts w:ascii="Cambria" w:eastAsia="Times New Roman" w:hAnsi="Cambria" w:cs="Times New Roman"/>
      <w:szCs w:val="22"/>
      <w:lang w:val="en-US"/>
    </w:rPr>
  </w:style>
  <w:style w:type="paragraph" w:styleId="TOC3">
    <w:name w:val="toc 3"/>
    <w:basedOn w:val="Normal"/>
    <w:next w:val="Normal"/>
    <w:autoRedefine/>
    <w:uiPriority w:val="39"/>
    <w:rsid w:val="00A91985"/>
    <w:pPr>
      <w:tabs>
        <w:tab w:val="left" w:pos="916"/>
        <w:tab w:val="right" w:leader="dot" w:pos="9622"/>
      </w:tabs>
      <w:spacing w:before="0"/>
      <w:jc w:val="left"/>
    </w:pPr>
    <w:rPr>
      <w:rFonts w:ascii="Cambria" w:eastAsia="Times New Roman" w:hAnsi="Cambria" w:cs="Times New Roman"/>
      <w:i/>
      <w:szCs w:val="22"/>
      <w:lang w:val="en-US"/>
    </w:rPr>
  </w:style>
  <w:style w:type="paragraph" w:styleId="TOC4">
    <w:name w:val="toc 4"/>
    <w:basedOn w:val="Normal"/>
    <w:next w:val="Normal"/>
    <w:autoRedefine/>
    <w:uiPriority w:val="39"/>
    <w:rsid w:val="003937A5"/>
    <w:pPr>
      <w:pBdr>
        <w:between w:val="double" w:sz="6" w:space="0" w:color="auto"/>
      </w:pBdr>
      <w:spacing w:before="0"/>
      <w:ind w:left="480"/>
      <w:jc w:val="left"/>
    </w:pPr>
    <w:rPr>
      <w:rFonts w:ascii="Cambria" w:eastAsia="Times New Roman" w:hAnsi="Cambria" w:cs="Times New Roman"/>
      <w:sz w:val="20"/>
      <w:szCs w:val="20"/>
      <w:lang w:val="en-US"/>
    </w:rPr>
  </w:style>
  <w:style w:type="paragraph" w:styleId="TOC5">
    <w:name w:val="toc 5"/>
    <w:basedOn w:val="Normal"/>
    <w:next w:val="Normal"/>
    <w:autoRedefine/>
    <w:uiPriority w:val="39"/>
    <w:rsid w:val="003937A5"/>
    <w:pPr>
      <w:pBdr>
        <w:between w:val="double" w:sz="6" w:space="0" w:color="auto"/>
      </w:pBdr>
      <w:spacing w:before="0"/>
      <w:ind w:left="720"/>
      <w:jc w:val="left"/>
    </w:pPr>
    <w:rPr>
      <w:rFonts w:ascii="Cambria" w:eastAsia="Times New Roman" w:hAnsi="Cambria" w:cs="Times New Roman"/>
      <w:sz w:val="20"/>
      <w:szCs w:val="20"/>
      <w:lang w:val="en-US"/>
    </w:rPr>
  </w:style>
  <w:style w:type="paragraph" w:styleId="TOC6">
    <w:name w:val="toc 6"/>
    <w:basedOn w:val="Normal"/>
    <w:next w:val="Normal"/>
    <w:autoRedefine/>
    <w:uiPriority w:val="39"/>
    <w:rsid w:val="003937A5"/>
    <w:pPr>
      <w:pBdr>
        <w:between w:val="double" w:sz="6" w:space="0" w:color="auto"/>
      </w:pBdr>
      <w:spacing w:before="0"/>
      <w:ind w:left="960"/>
      <w:jc w:val="left"/>
    </w:pPr>
    <w:rPr>
      <w:rFonts w:ascii="Cambria" w:eastAsia="Times New Roman" w:hAnsi="Cambria" w:cs="Times New Roman"/>
      <w:sz w:val="20"/>
      <w:szCs w:val="20"/>
      <w:lang w:val="en-US"/>
    </w:rPr>
  </w:style>
  <w:style w:type="paragraph" w:styleId="TOC7">
    <w:name w:val="toc 7"/>
    <w:basedOn w:val="Normal"/>
    <w:next w:val="Normal"/>
    <w:autoRedefine/>
    <w:uiPriority w:val="39"/>
    <w:rsid w:val="003937A5"/>
    <w:pPr>
      <w:pBdr>
        <w:between w:val="double" w:sz="6" w:space="0" w:color="auto"/>
      </w:pBdr>
      <w:spacing w:before="0"/>
      <w:ind w:left="1200"/>
      <w:jc w:val="left"/>
    </w:pPr>
    <w:rPr>
      <w:rFonts w:ascii="Cambria" w:eastAsia="Times New Roman" w:hAnsi="Cambria" w:cs="Times New Roman"/>
      <w:sz w:val="20"/>
      <w:szCs w:val="20"/>
      <w:lang w:val="en-US"/>
    </w:rPr>
  </w:style>
  <w:style w:type="paragraph" w:styleId="TOC8">
    <w:name w:val="toc 8"/>
    <w:basedOn w:val="Normal"/>
    <w:next w:val="Normal"/>
    <w:autoRedefine/>
    <w:uiPriority w:val="39"/>
    <w:rsid w:val="003937A5"/>
    <w:pPr>
      <w:pBdr>
        <w:between w:val="double" w:sz="6" w:space="0" w:color="auto"/>
      </w:pBdr>
      <w:spacing w:before="0"/>
      <w:ind w:left="1440"/>
      <w:jc w:val="left"/>
    </w:pPr>
    <w:rPr>
      <w:rFonts w:ascii="Cambria" w:eastAsia="Times New Roman" w:hAnsi="Cambria" w:cs="Times New Roman"/>
      <w:sz w:val="20"/>
      <w:szCs w:val="20"/>
      <w:lang w:val="en-US"/>
    </w:rPr>
  </w:style>
  <w:style w:type="paragraph" w:styleId="TOC9">
    <w:name w:val="toc 9"/>
    <w:basedOn w:val="Normal"/>
    <w:next w:val="Normal"/>
    <w:autoRedefine/>
    <w:uiPriority w:val="39"/>
    <w:rsid w:val="003937A5"/>
    <w:pPr>
      <w:pBdr>
        <w:between w:val="double" w:sz="6" w:space="0" w:color="auto"/>
      </w:pBdr>
      <w:spacing w:before="0"/>
      <w:ind w:left="1680"/>
      <w:jc w:val="left"/>
    </w:pPr>
    <w:rPr>
      <w:rFonts w:ascii="Cambria" w:eastAsia="Times New Roman" w:hAnsi="Cambria" w:cs="Times New Roman"/>
      <w:sz w:val="20"/>
      <w:szCs w:val="20"/>
      <w:lang w:val="en-US"/>
    </w:rPr>
  </w:style>
  <w:style w:type="character" w:styleId="FollowedHyperlink">
    <w:name w:val="FollowedHyperlink"/>
    <w:rsid w:val="003937A5"/>
    <w:rPr>
      <w:color w:val="800080"/>
      <w:u w:val="single"/>
    </w:rPr>
  </w:style>
  <w:style w:type="character" w:styleId="CommentReference">
    <w:name w:val="annotation reference"/>
    <w:rsid w:val="003937A5"/>
    <w:rPr>
      <w:sz w:val="16"/>
      <w:szCs w:val="16"/>
    </w:rPr>
  </w:style>
  <w:style w:type="paragraph" w:styleId="CommentText">
    <w:name w:val="annotation text"/>
    <w:basedOn w:val="Normal"/>
    <w:link w:val="CommentTextChar"/>
    <w:uiPriority w:val="99"/>
    <w:rsid w:val="003937A5"/>
    <w:pPr>
      <w:spacing w:before="0"/>
      <w:jc w:val="left"/>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3937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937A5"/>
    <w:rPr>
      <w:b/>
      <w:bCs/>
    </w:rPr>
  </w:style>
  <w:style w:type="character" w:customStyle="1" w:styleId="CommentSubjectChar">
    <w:name w:val="Comment Subject Char"/>
    <w:basedOn w:val="CommentTextChar"/>
    <w:link w:val="CommentSubject"/>
    <w:rsid w:val="003937A5"/>
    <w:rPr>
      <w:rFonts w:ascii="Times New Roman" w:eastAsia="Times New Roman" w:hAnsi="Times New Roman" w:cs="Times New Roman"/>
      <w:b/>
      <w:bCs/>
      <w:sz w:val="20"/>
      <w:szCs w:val="20"/>
    </w:rPr>
  </w:style>
  <w:style w:type="paragraph" w:customStyle="1" w:styleId="MediumList1-Accent61">
    <w:name w:val="Medium List 1 - Accent 61"/>
    <w:basedOn w:val="Normal"/>
    <w:uiPriority w:val="34"/>
    <w:qFormat/>
    <w:rsid w:val="003937A5"/>
    <w:pPr>
      <w:spacing w:before="0"/>
      <w:ind w:left="720"/>
      <w:contextualSpacing/>
      <w:jc w:val="left"/>
    </w:pPr>
    <w:rPr>
      <w:rFonts w:ascii="Cambria" w:eastAsia="Cambria" w:hAnsi="Cambria" w:cs="Times New Roman"/>
      <w:sz w:val="24"/>
      <w:lang w:val="en-US"/>
    </w:rPr>
  </w:style>
  <w:style w:type="paragraph" w:customStyle="1" w:styleId="DarkList-Accent51">
    <w:name w:val="Dark List - Accent 51"/>
    <w:basedOn w:val="Normal"/>
    <w:rsid w:val="003937A5"/>
    <w:pPr>
      <w:spacing w:before="0"/>
      <w:ind w:left="720"/>
      <w:contextualSpacing/>
      <w:jc w:val="left"/>
    </w:pPr>
    <w:rPr>
      <w:rFonts w:ascii="Cambria" w:eastAsia="Cambria" w:hAnsi="Cambria" w:cs="Times New Roman"/>
      <w:sz w:val="24"/>
      <w:lang w:val="en-US"/>
    </w:rPr>
  </w:style>
  <w:style w:type="paragraph" w:styleId="Index1">
    <w:name w:val="index 1"/>
    <w:basedOn w:val="Normal"/>
    <w:next w:val="Normal"/>
    <w:autoRedefine/>
    <w:rsid w:val="003937A5"/>
    <w:pPr>
      <w:spacing w:before="0"/>
      <w:ind w:left="240" w:hanging="240"/>
      <w:jc w:val="left"/>
    </w:pPr>
    <w:rPr>
      <w:rFonts w:eastAsia="Times New Roman" w:cs="Times New Roman"/>
      <w:sz w:val="24"/>
      <w:lang w:val="en-US"/>
    </w:rPr>
  </w:style>
  <w:style w:type="paragraph" w:styleId="Index2">
    <w:name w:val="index 2"/>
    <w:basedOn w:val="Normal"/>
    <w:next w:val="Normal"/>
    <w:autoRedefine/>
    <w:rsid w:val="003937A5"/>
    <w:pPr>
      <w:spacing w:before="0"/>
      <w:ind w:left="480" w:hanging="240"/>
      <w:jc w:val="left"/>
    </w:pPr>
    <w:rPr>
      <w:rFonts w:eastAsia="Times New Roman" w:cs="Times New Roman"/>
      <w:sz w:val="24"/>
      <w:lang w:val="en-US"/>
    </w:rPr>
  </w:style>
  <w:style w:type="paragraph" w:styleId="Index3">
    <w:name w:val="index 3"/>
    <w:basedOn w:val="Normal"/>
    <w:next w:val="Normal"/>
    <w:autoRedefine/>
    <w:rsid w:val="003937A5"/>
    <w:pPr>
      <w:spacing w:before="0"/>
      <w:ind w:left="720" w:hanging="240"/>
      <w:jc w:val="left"/>
    </w:pPr>
    <w:rPr>
      <w:rFonts w:eastAsia="Times New Roman" w:cs="Times New Roman"/>
      <w:sz w:val="24"/>
      <w:lang w:val="en-US"/>
    </w:rPr>
  </w:style>
  <w:style w:type="paragraph" w:styleId="Index4">
    <w:name w:val="index 4"/>
    <w:basedOn w:val="Normal"/>
    <w:next w:val="Normal"/>
    <w:autoRedefine/>
    <w:rsid w:val="003937A5"/>
    <w:pPr>
      <w:spacing w:before="0"/>
      <w:ind w:left="960" w:hanging="240"/>
      <w:jc w:val="left"/>
    </w:pPr>
    <w:rPr>
      <w:rFonts w:eastAsia="Times New Roman" w:cs="Times New Roman"/>
      <w:sz w:val="24"/>
      <w:lang w:val="en-US"/>
    </w:rPr>
  </w:style>
  <w:style w:type="paragraph" w:styleId="Index5">
    <w:name w:val="index 5"/>
    <w:basedOn w:val="Normal"/>
    <w:next w:val="Normal"/>
    <w:autoRedefine/>
    <w:rsid w:val="003937A5"/>
    <w:pPr>
      <w:spacing w:before="0"/>
      <w:ind w:left="1200" w:hanging="240"/>
      <w:jc w:val="left"/>
    </w:pPr>
    <w:rPr>
      <w:rFonts w:eastAsia="Times New Roman" w:cs="Times New Roman"/>
      <w:sz w:val="24"/>
      <w:lang w:val="en-US"/>
    </w:rPr>
  </w:style>
  <w:style w:type="paragraph" w:styleId="Index6">
    <w:name w:val="index 6"/>
    <w:basedOn w:val="Normal"/>
    <w:next w:val="Normal"/>
    <w:autoRedefine/>
    <w:rsid w:val="003937A5"/>
    <w:pPr>
      <w:spacing w:before="0"/>
      <w:ind w:left="1440" w:hanging="240"/>
      <w:jc w:val="left"/>
    </w:pPr>
    <w:rPr>
      <w:rFonts w:eastAsia="Times New Roman" w:cs="Times New Roman"/>
      <w:sz w:val="24"/>
      <w:lang w:val="en-US"/>
    </w:rPr>
  </w:style>
  <w:style w:type="paragraph" w:styleId="Index7">
    <w:name w:val="index 7"/>
    <w:basedOn w:val="Normal"/>
    <w:next w:val="Normal"/>
    <w:autoRedefine/>
    <w:rsid w:val="003937A5"/>
    <w:pPr>
      <w:spacing w:before="0"/>
      <w:ind w:left="1680" w:hanging="240"/>
      <w:jc w:val="left"/>
    </w:pPr>
    <w:rPr>
      <w:rFonts w:eastAsia="Times New Roman" w:cs="Times New Roman"/>
      <w:sz w:val="24"/>
      <w:lang w:val="en-US"/>
    </w:rPr>
  </w:style>
  <w:style w:type="paragraph" w:styleId="Index8">
    <w:name w:val="index 8"/>
    <w:basedOn w:val="Normal"/>
    <w:next w:val="Normal"/>
    <w:autoRedefine/>
    <w:rsid w:val="003937A5"/>
    <w:pPr>
      <w:spacing w:before="0"/>
      <w:ind w:left="1920" w:hanging="240"/>
      <w:jc w:val="left"/>
    </w:pPr>
    <w:rPr>
      <w:rFonts w:eastAsia="Times New Roman" w:cs="Times New Roman"/>
      <w:sz w:val="24"/>
      <w:lang w:val="en-US"/>
    </w:rPr>
  </w:style>
  <w:style w:type="paragraph" w:styleId="Index9">
    <w:name w:val="index 9"/>
    <w:basedOn w:val="Normal"/>
    <w:next w:val="Normal"/>
    <w:autoRedefine/>
    <w:rsid w:val="003937A5"/>
    <w:pPr>
      <w:spacing w:before="0"/>
      <w:ind w:left="2160" w:hanging="240"/>
      <w:jc w:val="left"/>
    </w:pPr>
    <w:rPr>
      <w:rFonts w:eastAsia="Times New Roman" w:cs="Times New Roman"/>
      <w:sz w:val="24"/>
      <w:lang w:val="en-US"/>
    </w:rPr>
  </w:style>
  <w:style w:type="paragraph" w:styleId="IndexHeading">
    <w:name w:val="index heading"/>
    <w:basedOn w:val="Normal"/>
    <w:next w:val="Index1"/>
    <w:rsid w:val="003937A5"/>
    <w:pPr>
      <w:spacing w:before="0"/>
      <w:jc w:val="left"/>
    </w:pPr>
    <w:rPr>
      <w:rFonts w:eastAsia="Times New Roman" w:cs="Times New Roman"/>
      <w:sz w:val="24"/>
      <w:lang w:val="en-US"/>
    </w:rPr>
  </w:style>
  <w:style w:type="paragraph" w:customStyle="1" w:styleId="ColorfulShading-Accent31">
    <w:name w:val="Colorful Shading - Accent 31"/>
    <w:basedOn w:val="Normal"/>
    <w:qFormat/>
    <w:rsid w:val="003937A5"/>
    <w:pPr>
      <w:spacing w:before="0"/>
      <w:ind w:left="720"/>
      <w:contextualSpacing/>
      <w:jc w:val="left"/>
    </w:pPr>
    <w:rPr>
      <w:rFonts w:ascii="Cambria" w:eastAsia="Cambria" w:hAnsi="Cambria" w:cs="Times New Roman"/>
      <w:sz w:val="24"/>
      <w:lang w:val="en-US"/>
    </w:rPr>
  </w:style>
  <w:style w:type="paragraph" w:styleId="NormalWeb">
    <w:name w:val="Normal (Web)"/>
    <w:basedOn w:val="Normal"/>
    <w:uiPriority w:val="99"/>
    <w:rsid w:val="003937A5"/>
    <w:pPr>
      <w:spacing w:before="100" w:beforeAutospacing="1" w:after="100" w:afterAutospacing="1"/>
      <w:jc w:val="left"/>
    </w:pPr>
    <w:rPr>
      <w:rFonts w:eastAsia="Times New Roman" w:cs="Times New Roman"/>
      <w:sz w:val="24"/>
      <w:lang w:val="en-US"/>
    </w:rPr>
  </w:style>
  <w:style w:type="character" w:customStyle="1" w:styleId="BalloonTextChar1">
    <w:name w:val="Balloon Text Char1"/>
    <w:uiPriority w:val="99"/>
    <w:rsid w:val="003937A5"/>
    <w:rPr>
      <w:rFonts w:ascii="Tahoma" w:hAnsi="Tahoma" w:cs="Tahoma"/>
      <w:sz w:val="16"/>
      <w:szCs w:val="16"/>
      <w:lang w:val="en-US"/>
    </w:rPr>
  </w:style>
  <w:style w:type="paragraph" w:styleId="BodyText">
    <w:name w:val="Body Text"/>
    <w:basedOn w:val="Normal"/>
    <w:link w:val="BodyTextChar"/>
    <w:rsid w:val="003937A5"/>
    <w:pPr>
      <w:spacing w:before="0" w:after="120"/>
    </w:pPr>
    <w:rPr>
      <w:rFonts w:ascii="Cambria" w:eastAsia="Times New Roman" w:hAnsi="Cambria" w:cs="Times New Roman"/>
      <w:lang w:val="en-US"/>
    </w:rPr>
  </w:style>
  <w:style w:type="character" w:customStyle="1" w:styleId="BodyTextChar">
    <w:name w:val="Body Text Char"/>
    <w:basedOn w:val="DefaultParagraphFont"/>
    <w:link w:val="BodyText"/>
    <w:rsid w:val="003937A5"/>
    <w:rPr>
      <w:rFonts w:ascii="Cambria" w:eastAsia="Times New Roman" w:hAnsi="Cambria" w:cs="Times New Roman"/>
      <w:sz w:val="22"/>
    </w:rPr>
  </w:style>
  <w:style w:type="paragraph" w:styleId="EndnoteText">
    <w:name w:val="endnote text"/>
    <w:basedOn w:val="Normal"/>
    <w:link w:val="EndnoteTextChar"/>
    <w:uiPriority w:val="99"/>
    <w:rsid w:val="003937A5"/>
    <w:pPr>
      <w:spacing w:before="0"/>
      <w:jc w:val="left"/>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3937A5"/>
    <w:rPr>
      <w:rFonts w:ascii="Times New Roman" w:eastAsia="Times New Roman" w:hAnsi="Times New Roman" w:cs="Times New Roman"/>
      <w:sz w:val="20"/>
      <w:szCs w:val="20"/>
    </w:rPr>
  </w:style>
  <w:style w:type="character" w:styleId="EndnoteReference">
    <w:name w:val="endnote reference"/>
    <w:uiPriority w:val="99"/>
    <w:rsid w:val="003937A5"/>
    <w:rPr>
      <w:vertAlign w:val="superscript"/>
    </w:rPr>
  </w:style>
  <w:style w:type="character" w:customStyle="1" w:styleId="text">
    <w:name w:val="text"/>
    <w:rsid w:val="003937A5"/>
  </w:style>
  <w:style w:type="character" w:customStyle="1" w:styleId="comment-body">
    <w:name w:val="comment-body"/>
    <w:rsid w:val="003937A5"/>
  </w:style>
  <w:style w:type="paragraph" w:customStyle="1" w:styleId="summary">
    <w:name w:val="summary"/>
    <w:basedOn w:val="Normal"/>
    <w:rsid w:val="003937A5"/>
    <w:pPr>
      <w:spacing w:before="100" w:beforeAutospacing="1" w:after="100" w:afterAutospacing="1"/>
      <w:jc w:val="left"/>
    </w:pPr>
    <w:rPr>
      <w:rFonts w:eastAsia="Times New Roman" w:cs="Times New Roman"/>
      <w:sz w:val="24"/>
      <w:lang w:eastAsia="en-AU"/>
    </w:rPr>
  </w:style>
  <w:style w:type="paragraph" w:styleId="ListParagraph">
    <w:name w:val="List Paragraph"/>
    <w:basedOn w:val="Normal"/>
    <w:uiPriority w:val="34"/>
    <w:qFormat/>
    <w:rsid w:val="003937A5"/>
    <w:pPr>
      <w:spacing w:before="0" w:after="200" w:line="276" w:lineRule="auto"/>
      <w:ind w:left="720"/>
      <w:contextualSpacing/>
      <w:jc w:val="left"/>
    </w:pPr>
    <w:rPr>
      <w:rFonts w:ascii="Calibri" w:eastAsia="Calibri" w:hAnsi="Calibri" w:cs="Times New Roman"/>
      <w:szCs w:val="22"/>
    </w:rPr>
  </w:style>
  <w:style w:type="paragraph" w:styleId="Caption">
    <w:name w:val="caption"/>
    <w:basedOn w:val="Normal"/>
    <w:next w:val="Normal"/>
    <w:unhideWhenUsed/>
    <w:qFormat/>
    <w:rsid w:val="00EE7692"/>
    <w:pPr>
      <w:spacing w:before="60" w:after="60"/>
    </w:pPr>
    <w:rPr>
      <w:rFonts w:eastAsia="Times New Roman" w:cs="Times New Roman"/>
      <w:bCs/>
      <w:i/>
      <w:szCs w:val="20"/>
      <w:lang w:val="en-US"/>
    </w:rPr>
  </w:style>
  <w:style w:type="paragraph" w:styleId="TableofFigures">
    <w:name w:val="table of figures"/>
    <w:basedOn w:val="Normal"/>
    <w:next w:val="Normal"/>
    <w:uiPriority w:val="99"/>
    <w:rsid w:val="003937A5"/>
    <w:pPr>
      <w:spacing w:before="0"/>
      <w:ind w:left="480" w:hanging="480"/>
      <w:jc w:val="left"/>
    </w:pPr>
    <w:rPr>
      <w:rFonts w:asciiTheme="majorHAnsi" w:eastAsia="Times New Roman" w:hAnsiTheme="majorHAnsi" w:cs="Times New Roman"/>
      <w:sz w:val="20"/>
      <w:lang w:val="en-US"/>
    </w:rPr>
  </w:style>
  <w:style w:type="paragraph" w:styleId="ListBullet">
    <w:name w:val="List Bullet"/>
    <w:basedOn w:val="Normal"/>
    <w:uiPriority w:val="99"/>
    <w:unhideWhenUsed/>
    <w:rsid w:val="00E24BC9"/>
    <w:pPr>
      <w:numPr>
        <w:numId w:val="3"/>
      </w:numPr>
      <w:contextualSpacing/>
    </w:pPr>
  </w:style>
  <w:style w:type="paragraph" w:styleId="DocumentMap">
    <w:name w:val="Document Map"/>
    <w:basedOn w:val="Normal"/>
    <w:link w:val="DocumentMapChar"/>
    <w:uiPriority w:val="99"/>
    <w:semiHidden/>
    <w:unhideWhenUsed/>
    <w:rsid w:val="00B948FC"/>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948FC"/>
    <w:rPr>
      <w:rFonts w:ascii="Lucida Grande" w:hAnsi="Lucida Grande" w:cs="Lucida Grande"/>
      <w:lang w:val="en-GB"/>
    </w:rPr>
  </w:style>
  <w:style w:type="paragraph" w:styleId="Revision">
    <w:name w:val="Revision"/>
    <w:hidden/>
    <w:uiPriority w:val="99"/>
    <w:semiHidden/>
    <w:rsid w:val="00FE74F2"/>
    <w:rPr>
      <w:rFonts w:ascii="Times New Roman" w:hAnsi="Times New Roman"/>
      <w:sz w:val="22"/>
      <w:lang w:val="en-GB"/>
    </w:rPr>
  </w:style>
  <w:style w:type="paragraph" w:customStyle="1" w:styleId="Default">
    <w:name w:val="Default"/>
    <w:rsid w:val="00FE74F2"/>
    <w:pPr>
      <w:widowControl w:val="0"/>
      <w:autoSpaceDE w:val="0"/>
      <w:autoSpaceDN w:val="0"/>
      <w:adjustRightInd w:val="0"/>
    </w:pPr>
    <w:rPr>
      <w:rFonts w:ascii="Arial" w:eastAsia="Times New Roman" w:hAnsi="Arial" w:cs="Arial"/>
      <w:color w:val="000000"/>
    </w:rPr>
  </w:style>
  <w:style w:type="paragraph" w:styleId="PlainText">
    <w:name w:val="Plain Text"/>
    <w:basedOn w:val="Normal"/>
    <w:link w:val="PlainTextChar"/>
    <w:uiPriority w:val="99"/>
    <w:semiHidden/>
    <w:unhideWhenUsed/>
    <w:rsid w:val="00E83F53"/>
    <w:pPr>
      <w:spacing w:before="0"/>
      <w:jc w:val="left"/>
    </w:pPr>
    <w:rPr>
      <w:rFonts w:ascii="Calibri" w:eastAsiaTheme="minorHAnsi" w:hAnsi="Calibri"/>
      <w:szCs w:val="21"/>
      <w:lang w:val="en-AU"/>
    </w:rPr>
  </w:style>
  <w:style w:type="character" w:customStyle="1" w:styleId="PlainTextChar">
    <w:name w:val="Plain Text Char"/>
    <w:basedOn w:val="DefaultParagraphFont"/>
    <w:link w:val="PlainText"/>
    <w:uiPriority w:val="99"/>
    <w:semiHidden/>
    <w:rsid w:val="00E83F53"/>
    <w:rPr>
      <w:rFonts w:ascii="Calibri" w:eastAsiaTheme="minorHAnsi" w:hAnsi="Calibri"/>
      <w:sz w:val="22"/>
      <w:szCs w:val="21"/>
      <w:lang w:val="en-AU"/>
    </w:rPr>
  </w:style>
  <w:style w:type="paragraph" w:customStyle="1" w:styleId="RFQPartA-Level1">
    <w:name w:val="RFQ Part A - Level 1"/>
    <w:basedOn w:val="Normal"/>
    <w:rsid w:val="005065CE"/>
    <w:pPr>
      <w:keepNext/>
      <w:numPr>
        <w:numId w:val="8"/>
      </w:numPr>
      <w:pBdr>
        <w:bottom w:val="single" w:sz="4" w:space="1" w:color="auto"/>
      </w:pBdr>
      <w:spacing w:before="200" w:line="280" w:lineRule="atLeast"/>
      <w:jc w:val="left"/>
      <w:outlineLvl w:val="0"/>
    </w:pPr>
    <w:rPr>
      <w:rFonts w:ascii="Arial" w:eastAsia="Times New Roman" w:hAnsi="Arial" w:cs="Arial"/>
      <w:b/>
      <w:lang w:val="en-AU"/>
    </w:rPr>
  </w:style>
  <w:style w:type="numbering" w:styleId="111111">
    <w:name w:val="Outline List 2"/>
    <w:aliases w:val="1 / 1.1"/>
    <w:basedOn w:val="NoList"/>
    <w:rsid w:val="005065CE"/>
    <w:pPr>
      <w:numPr>
        <w:numId w:val="7"/>
      </w:numPr>
    </w:pPr>
  </w:style>
  <w:style w:type="character" w:styleId="Emphasis">
    <w:name w:val="Emphasis"/>
    <w:basedOn w:val="DefaultParagraphFont"/>
    <w:uiPriority w:val="20"/>
    <w:qFormat/>
    <w:rsid w:val="006553C6"/>
    <w:rPr>
      <w:i/>
      <w:iCs/>
      <w:sz w:val="24"/>
      <w:szCs w:val="24"/>
      <w:bdr w:val="none" w:sz="0" w:space="0" w:color="auto" w:frame="1"/>
      <w:vertAlign w:val="baseline"/>
    </w:rPr>
  </w:style>
  <w:style w:type="paragraph" w:customStyle="1" w:styleId="TableText">
    <w:name w:val="Table Text"/>
    <w:basedOn w:val="BodyText"/>
    <w:rsid w:val="00040FC9"/>
    <w:pPr>
      <w:spacing w:before="60" w:after="60"/>
      <w:jc w:val="left"/>
    </w:pPr>
    <w:rPr>
      <w:rFonts w:ascii="Verdana" w:hAnsi="Verdana"/>
      <w:sz w:val="18"/>
      <w:szCs w:val="20"/>
      <w:lang w:val="en-AU"/>
    </w:rPr>
  </w:style>
  <w:style w:type="character" w:customStyle="1" w:styleId="UnresolvedMention1">
    <w:name w:val="Unresolved Mention1"/>
    <w:basedOn w:val="DefaultParagraphFont"/>
    <w:uiPriority w:val="99"/>
    <w:semiHidden/>
    <w:unhideWhenUsed/>
    <w:rsid w:val="002B6D25"/>
    <w:rPr>
      <w:color w:val="808080"/>
      <w:shd w:val="clear" w:color="auto" w:fill="E6E6E6"/>
    </w:rPr>
  </w:style>
  <w:style w:type="paragraph" w:customStyle="1" w:styleId="p1">
    <w:name w:val="p1"/>
    <w:basedOn w:val="Normal"/>
    <w:rsid w:val="00B85D06"/>
    <w:pPr>
      <w:spacing w:before="0"/>
      <w:jc w:val="left"/>
    </w:pPr>
    <w:rPr>
      <w:rFonts w:ascii="Times" w:eastAsiaTheme="minorHAnsi" w:hAnsi="Times" w:cs="Times New Roman"/>
      <w:sz w:val="15"/>
      <w:szCs w:val="15"/>
      <w:lang w:eastAsia="en-GB"/>
    </w:rPr>
  </w:style>
  <w:style w:type="character" w:customStyle="1" w:styleId="s1">
    <w:name w:val="s1"/>
    <w:basedOn w:val="DefaultParagraphFont"/>
    <w:rsid w:val="00B85D06"/>
    <w:rPr>
      <w:rFonts w:ascii="Times" w:hAnsi="Times" w:hint="default"/>
      <w:sz w:val="10"/>
      <w:szCs w:val="10"/>
    </w:rPr>
  </w:style>
  <w:style w:type="character" w:customStyle="1" w:styleId="apple-converted-space">
    <w:name w:val="apple-converted-space"/>
    <w:basedOn w:val="DefaultParagraphFont"/>
    <w:rsid w:val="00B85D06"/>
  </w:style>
  <w:style w:type="character" w:customStyle="1" w:styleId="apple-tab-span">
    <w:name w:val="apple-tab-span"/>
    <w:basedOn w:val="DefaultParagraphFont"/>
    <w:rsid w:val="00B85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127">
      <w:bodyDiv w:val="1"/>
      <w:marLeft w:val="0"/>
      <w:marRight w:val="0"/>
      <w:marTop w:val="0"/>
      <w:marBottom w:val="0"/>
      <w:divBdr>
        <w:top w:val="none" w:sz="0" w:space="0" w:color="auto"/>
        <w:left w:val="none" w:sz="0" w:space="0" w:color="auto"/>
        <w:bottom w:val="none" w:sz="0" w:space="0" w:color="auto"/>
        <w:right w:val="none" w:sz="0" w:space="0" w:color="auto"/>
      </w:divBdr>
    </w:div>
    <w:div w:id="166596122">
      <w:bodyDiv w:val="1"/>
      <w:marLeft w:val="0"/>
      <w:marRight w:val="0"/>
      <w:marTop w:val="0"/>
      <w:marBottom w:val="0"/>
      <w:divBdr>
        <w:top w:val="none" w:sz="0" w:space="0" w:color="auto"/>
        <w:left w:val="none" w:sz="0" w:space="0" w:color="auto"/>
        <w:bottom w:val="none" w:sz="0" w:space="0" w:color="auto"/>
        <w:right w:val="none" w:sz="0" w:space="0" w:color="auto"/>
      </w:divBdr>
    </w:div>
    <w:div w:id="212427124">
      <w:bodyDiv w:val="1"/>
      <w:marLeft w:val="0"/>
      <w:marRight w:val="0"/>
      <w:marTop w:val="0"/>
      <w:marBottom w:val="0"/>
      <w:divBdr>
        <w:top w:val="none" w:sz="0" w:space="0" w:color="auto"/>
        <w:left w:val="none" w:sz="0" w:space="0" w:color="auto"/>
        <w:bottom w:val="none" w:sz="0" w:space="0" w:color="auto"/>
        <w:right w:val="none" w:sz="0" w:space="0" w:color="auto"/>
      </w:divBdr>
    </w:div>
    <w:div w:id="291328311">
      <w:bodyDiv w:val="1"/>
      <w:marLeft w:val="0"/>
      <w:marRight w:val="0"/>
      <w:marTop w:val="0"/>
      <w:marBottom w:val="0"/>
      <w:divBdr>
        <w:top w:val="none" w:sz="0" w:space="0" w:color="auto"/>
        <w:left w:val="none" w:sz="0" w:space="0" w:color="auto"/>
        <w:bottom w:val="none" w:sz="0" w:space="0" w:color="auto"/>
        <w:right w:val="none" w:sz="0" w:space="0" w:color="auto"/>
      </w:divBdr>
    </w:div>
    <w:div w:id="345637935">
      <w:bodyDiv w:val="1"/>
      <w:marLeft w:val="0"/>
      <w:marRight w:val="0"/>
      <w:marTop w:val="0"/>
      <w:marBottom w:val="0"/>
      <w:divBdr>
        <w:top w:val="none" w:sz="0" w:space="0" w:color="auto"/>
        <w:left w:val="none" w:sz="0" w:space="0" w:color="auto"/>
        <w:bottom w:val="none" w:sz="0" w:space="0" w:color="auto"/>
        <w:right w:val="none" w:sz="0" w:space="0" w:color="auto"/>
      </w:divBdr>
    </w:div>
    <w:div w:id="432629441">
      <w:bodyDiv w:val="1"/>
      <w:marLeft w:val="0"/>
      <w:marRight w:val="0"/>
      <w:marTop w:val="0"/>
      <w:marBottom w:val="0"/>
      <w:divBdr>
        <w:top w:val="none" w:sz="0" w:space="0" w:color="auto"/>
        <w:left w:val="none" w:sz="0" w:space="0" w:color="auto"/>
        <w:bottom w:val="none" w:sz="0" w:space="0" w:color="auto"/>
        <w:right w:val="none" w:sz="0" w:space="0" w:color="auto"/>
      </w:divBdr>
    </w:div>
    <w:div w:id="506796914">
      <w:bodyDiv w:val="1"/>
      <w:marLeft w:val="0"/>
      <w:marRight w:val="0"/>
      <w:marTop w:val="0"/>
      <w:marBottom w:val="0"/>
      <w:divBdr>
        <w:top w:val="none" w:sz="0" w:space="0" w:color="auto"/>
        <w:left w:val="none" w:sz="0" w:space="0" w:color="auto"/>
        <w:bottom w:val="none" w:sz="0" w:space="0" w:color="auto"/>
        <w:right w:val="none" w:sz="0" w:space="0" w:color="auto"/>
      </w:divBdr>
    </w:div>
    <w:div w:id="722367209">
      <w:bodyDiv w:val="1"/>
      <w:marLeft w:val="0"/>
      <w:marRight w:val="0"/>
      <w:marTop w:val="0"/>
      <w:marBottom w:val="0"/>
      <w:divBdr>
        <w:top w:val="none" w:sz="0" w:space="0" w:color="auto"/>
        <w:left w:val="none" w:sz="0" w:space="0" w:color="auto"/>
        <w:bottom w:val="none" w:sz="0" w:space="0" w:color="auto"/>
        <w:right w:val="none" w:sz="0" w:space="0" w:color="auto"/>
      </w:divBdr>
    </w:div>
    <w:div w:id="866672840">
      <w:bodyDiv w:val="1"/>
      <w:marLeft w:val="0"/>
      <w:marRight w:val="0"/>
      <w:marTop w:val="0"/>
      <w:marBottom w:val="0"/>
      <w:divBdr>
        <w:top w:val="none" w:sz="0" w:space="0" w:color="auto"/>
        <w:left w:val="none" w:sz="0" w:space="0" w:color="auto"/>
        <w:bottom w:val="none" w:sz="0" w:space="0" w:color="auto"/>
        <w:right w:val="none" w:sz="0" w:space="0" w:color="auto"/>
      </w:divBdr>
    </w:div>
    <w:div w:id="1020737016">
      <w:bodyDiv w:val="1"/>
      <w:marLeft w:val="0"/>
      <w:marRight w:val="0"/>
      <w:marTop w:val="0"/>
      <w:marBottom w:val="0"/>
      <w:divBdr>
        <w:top w:val="none" w:sz="0" w:space="0" w:color="auto"/>
        <w:left w:val="none" w:sz="0" w:space="0" w:color="auto"/>
        <w:bottom w:val="none" w:sz="0" w:space="0" w:color="auto"/>
        <w:right w:val="none" w:sz="0" w:space="0" w:color="auto"/>
      </w:divBdr>
    </w:div>
    <w:div w:id="1131676045">
      <w:bodyDiv w:val="1"/>
      <w:marLeft w:val="0"/>
      <w:marRight w:val="0"/>
      <w:marTop w:val="0"/>
      <w:marBottom w:val="0"/>
      <w:divBdr>
        <w:top w:val="none" w:sz="0" w:space="0" w:color="auto"/>
        <w:left w:val="none" w:sz="0" w:space="0" w:color="auto"/>
        <w:bottom w:val="none" w:sz="0" w:space="0" w:color="auto"/>
        <w:right w:val="none" w:sz="0" w:space="0" w:color="auto"/>
      </w:divBdr>
    </w:div>
    <w:div w:id="1134563178">
      <w:bodyDiv w:val="1"/>
      <w:marLeft w:val="0"/>
      <w:marRight w:val="0"/>
      <w:marTop w:val="0"/>
      <w:marBottom w:val="0"/>
      <w:divBdr>
        <w:top w:val="none" w:sz="0" w:space="0" w:color="auto"/>
        <w:left w:val="none" w:sz="0" w:space="0" w:color="auto"/>
        <w:bottom w:val="none" w:sz="0" w:space="0" w:color="auto"/>
        <w:right w:val="none" w:sz="0" w:space="0" w:color="auto"/>
      </w:divBdr>
    </w:div>
    <w:div w:id="1175536675">
      <w:bodyDiv w:val="1"/>
      <w:marLeft w:val="0"/>
      <w:marRight w:val="0"/>
      <w:marTop w:val="0"/>
      <w:marBottom w:val="0"/>
      <w:divBdr>
        <w:top w:val="none" w:sz="0" w:space="0" w:color="auto"/>
        <w:left w:val="none" w:sz="0" w:space="0" w:color="auto"/>
        <w:bottom w:val="none" w:sz="0" w:space="0" w:color="auto"/>
        <w:right w:val="none" w:sz="0" w:space="0" w:color="auto"/>
      </w:divBdr>
    </w:div>
    <w:div w:id="1293294229">
      <w:bodyDiv w:val="1"/>
      <w:marLeft w:val="0"/>
      <w:marRight w:val="0"/>
      <w:marTop w:val="0"/>
      <w:marBottom w:val="0"/>
      <w:divBdr>
        <w:top w:val="none" w:sz="0" w:space="0" w:color="auto"/>
        <w:left w:val="none" w:sz="0" w:space="0" w:color="auto"/>
        <w:bottom w:val="none" w:sz="0" w:space="0" w:color="auto"/>
        <w:right w:val="none" w:sz="0" w:space="0" w:color="auto"/>
      </w:divBdr>
    </w:div>
    <w:div w:id="1307390405">
      <w:bodyDiv w:val="1"/>
      <w:marLeft w:val="0"/>
      <w:marRight w:val="0"/>
      <w:marTop w:val="0"/>
      <w:marBottom w:val="0"/>
      <w:divBdr>
        <w:top w:val="none" w:sz="0" w:space="0" w:color="auto"/>
        <w:left w:val="none" w:sz="0" w:space="0" w:color="auto"/>
        <w:bottom w:val="none" w:sz="0" w:space="0" w:color="auto"/>
        <w:right w:val="none" w:sz="0" w:space="0" w:color="auto"/>
      </w:divBdr>
    </w:div>
    <w:div w:id="1408846743">
      <w:bodyDiv w:val="1"/>
      <w:marLeft w:val="0"/>
      <w:marRight w:val="0"/>
      <w:marTop w:val="0"/>
      <w:marBottom w:val="0"/>
      <w:divBdr>
        <w:top w:val="none" w:sz="0" w:space="0" w:color="auto"/>
        <w:left w:val="none" w:sz="0" w:space="0" w:color="auto"/>
        <w:bottom w:val="none" w:sz="0" w:space="0" w:color="auto"/>
        <w:right w:val="none" w:sz="0" w:space="0" w:color="auto"/>
      </w:divBdr>
    </w:div>
    <w:div w:id="1606187549">
      <w:bodyDiv w:val="1"/>
      <w:marLeft w:val="0"/>
      <w:marRight w:val="0"/>
      <w:marTop w:val="0"/>
      <w:marBottom w:val="0"/>
      <w:divBdr>
        <w:top w:val="none" w:sz="0" w:space="0" w:color="auto"/>
        <w:left w:val="none" w:sz="0" w:space="0" w:color="auto"/>
        <w:bottom w:val="none" w:sz="0" w:space="0" w:color="auto"/>
        <w:right w:val="none" w:sz="0" w:space="0" w:color="auto"/>
      </w:divBdr>
    </w:div>
    <w:div w:id="1863276038">
      <w:bodyDiv w:val="1"/>
      <w:marLeft w:val="0"/>
      <w:marRight w:val="0"/>
      <w:marTop w:val="0"/>
      <w:marBottom w:val="0"/>
      <w:divBdr>
        <w:top w:val="none" w:sz="0" w:space="0" w:color="auto"/>
        <w:left w:val="none" w:sz="0" w:space="0" w:color="auto"/>
        <w:bottom w:val="none" w:sz="0" w:space="0" w:color="auto"/>
        <w:right w:val="none" w:sz="0" w:space="0" w:color="auto"/>
      </w:divBdr>
    </w:div>
    <w:div w:id="1948154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environment.gov.au/atmosphere/ozone/legislation/index.html" TargetMode="External"/><Relationship Id="rId26" Type="http://schemas.openxmlformats.org/officeDocument/2006/relationships/image" Target="media/image10.emf"/><Relationship Id="rId39" Type="http://schemas.microsoft.com/office/2007/relationships/diagramDrawing" Target="diagrams/drawing1.xml"/><Relationship Id="rId21" Type="http://schemas.openxmlformats.org/officeDocument/2006/relationships/image" Target="media/image5.emf"/><Relationship Id="rId34" Type="http://schemas.openxmlformats.org/officeDocument/2006/relationships/chart" Target="charts/chart1.xml"/><Relationship Id="rId42" Type="http://schemas.openxmlformats.org/officeDocument/2006/relationships/diagramQuickStyle" Target="diagrams/quickStyle2.xml"/><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image" Target="media/image41.emf"/><Relationship Id="rId76" Type="http://schemas.openxmlformats.org/officeDocument/2006/relationships/image" Target="media/image49.emf"/><Relationship Id="rId84" Type="http://schemas.openxmlformats.org/officeDocument/2006/relationships/image" Target="media/image57.emf"/><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hyperlink" Target="mailto:public.affairs@environment.gov.au" TargetMode="External"/><Relationship Id="rId29" Type="http://schemas.openxmlformats.org/officeDocument/2006/relationships/image" Target="media/image13.emf"/><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9.emf"/><Relationship Id="rId74" Type="http://schemas.openxmlformats.org/officeDocument/2006/relationships/image" Target="media/image47.emf"/><Relationship Id="rId79" Type="http://schemas.openxmlformats.org/officeDocument/2006/relationships/image" Target="media/image52.emf"/><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34.emf"/><Relationship Id="rId82" Type="http://schemas.openxmlformats.org/officeDocument/2006/relationships/image" Target="media/image55.emf"/><Relationship Id="rId90"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image" Target="media/image1.jpe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image" Target="media/image50.emf"/><Relationship Id="rId8" Type="http://schemas.openxmlformats.org/officeDocument/2006/relationships/header" Target="header1.xml"/><Relationship Id="rId51" Type="http://schemas.openxmlformats.org/officeDocument/2006/relationships/image" Target="media/image24.emf"/><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environment.gov.au/atmosphere/ozone/legislation/index.html"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diagramColors" Target="diagrams/colors1.xml"/><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image" Target="media/image4.emf"/><Relationship Id="rId41" Type="http://schemas.openxmlformats.org/officeDocument/2006/relationships/diagramLayout" Target="diagrams/layout2.xml"/><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footer" Target="foot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diagramLayout" Target="diagrams/layout1.xml"/><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footer" Target="footer1.xml"/><Relationship Id="rId31" Type="http://schemas.openxmlformats.org/officeDocument/2006/relationships/image" Target="media/image15.emf"/><Relationship Id="rId44" Type="http://schemas.microsoft.com/office/2007/relationships/diagramDrawing" Target="diagrams/drawing2.xml"/><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header" Target="header4.xml"/><Relationship Id="rId10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abc.net.au/news/2017-03-04/farmers-grow-crops-in-greenhouses-prevent-climate-change-effects/8321720" TargetMode="External"/><Relationship Id="rId1" Type="http://schemas.openxmlformats.org/officeDocument/2006/relationships/hyperlink" Target="http://www.theaustralian.com.au/business/in-depth/global-food-forum/global-food-forum-visy-executive-chairman-anthony-pratts-keynote-address/news-story/b8ebb588148e3ba7d2b84f9d0d9647a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brodribb:Desktop:TW%20ODS-SGG%20destruction%20model%20Final%20Bank%20Chart.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cked"/>
        <c:varyColors val="0"/>
        <c:ser>
          <c:idx val="0"/>
          <c:order val="0"/>
          <c:tx>
            <c:strRef>
              <c:f>Bank!$S$6</c:f>
              <c:strCache>
                <c:ptCount val="1"/>
                <c:pt idx="0">
                  <c:v>HCFC-22</c:v>
                </c:pt>
              </c:strCache>
            </c:strRef>
          </c:tx>
          <c:spPr>
            <a:solidFill>
              <a:srgbClr val="FF0000"/>
            </a:solidFill>
          </c:spPr>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Bank!$S$7:$S$14</c:f>
              <c:numCache>
                <c:formatCode>#,##0</c:formatCode>
                <c:ptCount val="8"/>
                <c:pt idx="0">
                  <c:v>12757820.834000001</c:v>
                </c:pt>
                <c:pt idx="1">
                  <c:v>11314699.542106001</c:v>
                </c:pt>
                <c:pt idx="2">
                  <c:v>10037026.6893479</c:v>
                </c:pt>
                <c:pt idx="3">
                  <c:v>8910958.3027590401</c:v>
                </c:pt>
                <c:pt idx="4">
                  <c:v>7917861.1565530598</c:v>
                </c:pt>
                <c:pt idx="5">
                  <c:v>7041454.6420449801</c:v>
                </c:pt>
                <c:pt idx="6">
                  <c:v>6267506.50669955</c:v>
                </c:pt>
                <c:pt idx="7">
                  <c:v>5583568.9543814603</c:v>
                </c:pt>
              </c:numCache>
            </c:numRef>
          </c:val>
          <c:extLst xmlns:c16r2="http://schemas.microsoft.com/office/drawing/2015/06/chart">
            <c:ext xmlns:c16="http://schemas.microsoft.com/office/drawing/2014/chart" uri="{C3380CC4-5D6E-409C-BE32-E72D297353CC}">
              <c16:uniqueId val="{00000000-8A18-C74E-AF79-25F7C0C46FD1}"/>
            </c:ext>
          </c:extLst>
        </c:ser>
        <c:ser>
          <c:idx val="1"/>
          <c:order val="1"/>
          <c:tx>
            <c:strRef>
              <c:f>Bank!$T$6</c:f>
              <c:strCache>
                <c:ptCount val="1"/>
                <c:pt idx="0">
                  <c:v>HCFC Mix</c:v>
                </c:pt>
              </c:strCache>
            </c:strRef>
          </c:tx>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Bank!$T$7:$T$14</c:f>
              <c:numCache>
                <c:formatCode>#,##0</c:formatCode>
                <c:ptCount val="8"/>
                <c:pt idx="0">
                  <c:v>252084.704</c:v>
                </c:pt>
                <c:pt idx="1">
                  <c:v>272835.538</c:v>
                </c:pt>
                <c:pt idx="2">
                  <c:v>292548.83029999997</c:v>
                </c:pt>
                <c:pt idx="3">
                  <c:v>302937.69068499998</c:v>
                </c:pt>
                <c:pt idx="4">
                  <c:v>296129.57345074997</c:v>
                </c:pt>
                <c:pt idx="5">
                  <c:v>281323.09477821249</c:v>
                </c:pt>
                <c:pt idx="6">
                  <c:v>267256.94003930187</c:v>
                </c:pt>
                <c:pt idx="7">
                  <c:v>253894.0930373368</c:v>
                </c:pt>
              </c:numCache>
            </c:numRef>
          </c:val>
          <c:extLst xmlns:c16r2="http://schemas.microsoft.com/office/drawing/2015/06/chart">
            <c:ext xmlns:c16="http://schemas.microsoft.com/office/drawing/2014/chart" uri="{C3380CC4-5D6E-409C-BE32-E72D297353CC}">
              <c16:uniqueId val="{00000001-8A18-C74E-AF79-25F7C0C46FD1}"/>
            </c:ext>
          </c:extLst>
        </c:ser>
        <c:ser>
          <c:idx val="2"/>
          <c:order val="2"/>
          <c:tx>
            <c:strRef>
              <c:f>Bank!$U$6</c:f>
              <c:strCache>
                <c:ptCount val="1"/>
                <c:pt idx="0">
                  <c:v>HFC-134a</c:v>
                </c:pt>
              </c:strCache>
            </c:strRef>
          </c:tx>
          <c:spPr>
            <a:solidFill>
              <a:schemeClr val="tx2">
                <a:lumMod val="40000"/>
                <a:lumOff val="60000"/>
              </a:schemeClr>
            </a:solidFill>
          </c:spPr>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Bank!$U$7:$U$14</c:f>
              <c:numCache>
                <c:formatCode>#,##0</c:formatCode>
                <c:ptCount val="8"/>
                <c:pt idx="0">
                  <c:v>12848631.95892</c:v>
                </c:pt>
                <c:pt idx="1">
                  <c:v>13484453.295197699</c:v>
                </c:pt>
                <c:pt idx="2">
                  <c:v>14110772.072123799</c:v>
                </c:pt>
                <c:pt idx="3">
                  <c:v>14790091.263557799</c:v>
                </c:pt>
                <c:pt idx="4">
                  <c:v>15421128.769976599</c:v>
                </c:pt>
                <c:pt idx="5">
                  <c:v>15929899.9478155</c:v>
                </c:pt>
                <c:pt idx="6">
                  <c:v>16254076.408977499</c:v>
                </c:pt>
                <c:pt idx="7">
                  <c:v>16368356.612653499</c:v>
                </c:pt>
              </c:numCache>
            </c:numRef>
          </c:val>
          <c:extLst xmlns:c16r2="http://schemas.microsoft.com/office/drawing/2015/06/chart">
            <c:ext xmlns:c16="http://schemas.microsoft.com/office/drawing/2014/chart" uri="{C3380CC4-5D6E-409C-BE32-E72D297353CC}">
              <c16:uniqueId val="{00000002-8A18-C74E-AF79-25F7C0C46FD1}"/>
            </c:ext>
          </c:extLst>
        </c:ser>
        <c:ser>
          <c:idx val="3"/>
          <c:order val="3"/>
          <c:tx>
            <c:strRef>
              <c:f>Bank!$V$6</c:f>
              <c:strCache>
                <c:ptCount val="1"/>
                <c:pt idx="0">
                  <c:v>HFC-404A</c:v>
                </c:pt>
              </c:strCache>
            </c:strRef>
          </c:tx>
          <c:spPr>
            <a:solidFill>
              <a:schemeClr val="accent6">
                <a:lumMod val="75000"/>
              </a:schemeClr>
            </a:solidFill>
          </c:spPr>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Bank!$V$7:$V$14</c:f>
              <c:numCache>
                <c:formatCode>#,##0</c:formatCode>
                <c:ptCount val="8"/>
                <c:pt idx="0">
                  <c:v>3783117.38</c:v>
                </c:pt>
                <c:pt idx="1">
                  <c:v>3635292.5527937599</c:v>
                </c:pt>
                <c:pt idx="2">
                  <c:v>3464514.9298734502</c:v>
                </c:pt>
                <c:pt idx="3">
                  <c:v>3273414.3219691701</c:v>
                </c:pt>
                <c:pt idx="4">
                  <c:v>3077768.4571994301</c:v>
                </c:pt>
                <c:pt idx="5">
                  <c:v>2888869.0743430601</c:v>
                </c:pt>
                <c:pt idx="6">
                  <c:v>2705442.3422181499</c:v>
                </c:pt>
                <c:pt idx="7">
                  <c:v>2522146.0739207901</c:v>
                </c:pt>
              </c:numCache>
            </c:numRef>
          </c:val>
          <c:extLst xmlns:c16r2="http://schemas.microsoft.com/office/drawing/2015/06/chart">
            <c:ext xmlns:c16="http://schemas.microsoft.com/office/drawing/2014/chart" uri="{C3380CC4-5D6E-409C-BE32-E72D297353CC}">
              <c16:uniqueId val="{00000003-8A18-C74E-AF79-25F7C0C46FD1}"/>
            </c:ext>
          </c:extLst>
        </c:ser>
        <c:ser>
          <c:idx val="4"/>
          <c:order val="4"/>
          <c:tx>
            <c:strRef>
              <c:f>Bank!$W$6</c:f>
              <c:strCache>
                <c:ptCount val="1"/>
                <c:pt idx="0">
                  <c:v>HFC-407C</c:v>
                </c:pt>
              </c:strCache>
            </c:strRef>
          </c:tx>
          <c:spPr>
            <a:solidFill>
              <a:schemeClr val="accent6">
                <a:lumMod val="50000"/>
              </a:schemeClr>
            </a:solidFill>
          </c:spPr>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Bank!$W$7:$W$14</c:f>
              <c:numCache>
                <c:formatCode>#,##0</c:formatCode>
                <c:ptCount val="8"/>
                <c:pt idx="0">
                  <c:v>1458512.7037500001</c:v>
                </c:pt>
                <c:pt idx="1">
                  <c:v>1605617.3772495</c:v>
                </c:pt>
                <c:pt idx="2">
                  <c:v>1681354.92047634</c:v>
                </c:pt>
                <c:pt idx="3">
                  <c:v>1678118.4333033101</c:v>
                </c:pt>
                <c:pt idx="4">
                  <c:v>1620101.3620734499</c:v>
                </c:pt>
                <c:pt idx="5">
                  <c:v>1518125.38148256</c:v>
                </c:pt>
                <c:pt idx="6">
                  <c:v>1411796.51403796</c:v>
                </c:pt>
                <c:pt idx="7">
                  <c:v>1307184.36529268</c:v>
                </c:pt>
              </c:numCache>
            </c:numRef>
          </c:val>
          <c:extLst xmlns:c16r2="http://schemas.microsoft.com/office/drawing/2015/06/chart">
            <c:ext xmlns:c16="http://schemas.microsoft.com/office/drawing/2014/chart" uri="{C3380CC4-5D6E-409C-BE32-E72D297353CC}">
              <c16:uniqueId val="{00000004-8A18-C74E-AF79-25F7C0C46FD1}"/>
            </c:ext>
          </c:extLst>
        </c:ser>
        <c:ser>
          <c:idx val="5"/>
          <c:order val="5"/>
          <c:tx>
            <c:strRef>
              <c:f>Bank!$X$6</c:f>
              <c:strCache>
                <c:ptCount val="1"/>
                <c:pt idx="0">
                  <c:v>HFC-410A</c:v>
                </c:pt>
              </c:strCache>
            </c:strRef>
          </c:tx>
          <c:spPr>
            <a:solidFill>
              <a:schemeClr val="accent2">
                <a:lumMod val="40000"/>
                <a:lumOff val="60000"/>
              </a:schemeClr>
            </a:solidFill>
          </c:spPr>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Bank!$X$7:$X$14</c:f>
              <c:numCache>
                <c:formatCode>#,##0</c:formatCode>
                <c:ptCount val="8"/>
                <c:pt idx="0">
                  <c:v>8911116.1907499991</c:v>
                </c:pt>
                <c:pt idx="1">
                  <c:v>10387626.7370345</c:v>
                </c:pt>
                <c:pt idx="2">
                  <c:v>11776375.068163199</c:v>
                </c:pt>
                <c:pt idx="3">
                  <c:v>13046593.528647</c:v>
                </c:pt>
                <c:pt idx="4">
                  <c:v>14194612.9080125</c:v>
                </c:pt>
                <c:pt idx="5">
                  <c:v>15126960.898913899</c:v>
                </c:pt>
                <c:pt idx="6">
                  <c:v>15750027.587788399</c:v>
                </c:pt>
                <c:pt idx="7">
                  <c:v>15906288.181738401</c:v>
                </c:pt>
              </c:numCache>
            </c:numRef>
          </c:val>
          <c:extLst xmlns:c16r2="http://schemas.microsoft.com/office/drawing/2015/06/chart">
            <c:ext xmlns:c16="http://schemas.microsoft.com/office/drawing/2014/chart" uri="{C3380CC4-5D6E-409C-BE32-E72D297353CC}">
              <c16:uniqueId val="{00000005-8A18-C74E-AF79-25F7C0C46FD1}"/>
            </c:ext>
          </c:extLst>
        </c:ser>
        <c:ser>
          <c:idx val="6"/>
          <c:order val="6"/>
          <c:tx>
            <c:strRef>
              <c:f>Bank!$Y$6</c:f>
              <c:strCache>
                <c:ptCount val="1"/>
                <c:pt idx="0">
                  <c:v>HFC-32</c:v>
                </c:pt>
              </c:strCache>
            </c:strRef>
          </c:tx>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Bank!$Y$7:$Y$14</c:f>
              <c:numCache>
                <c:formatCode>#,##0</c:formatCode>
                <c:ptCount val="8"/>
                <c:pt idx="0">
                  <c:v>0</c:v>
                </c:pt>
                <c:pt idx="1">
                  <c:v>0</c:v>
                </c:pt>
                <c:pt idx="2">
                  <c:v>0</c:v>
                </c:pt>
                <c:pt idx="3">
                  <c:v>6082.1541361817699</c:v>
                </c:pt>
                <c:pt idx="4">
                  <c:v>18041.993785529849</c:v>
                </c:pt>
                <c:pt idx="5">
                  <c:v>41905.393495483157</c:v>
                </c:pt>
                <c:pt idx="6">
                  <c:v>101522.4825116313</c:v>
                </c:pt>
                <c:pt idx="7">
                  <c:v>188827.08755701521</c:v>
                </c:pt>
              </c:numCache>
            </c:numRef>
          </c:val>
          <c:extLst xmlns:c16r2="http://schemas.microsoft.com/office/drawing/2015/06/chart">
            <c:ext xmlns:c16="http://schemas.microsoft.com/office/drawing/2014/chart" uri="{C3380CC4-5D6E-409C-BE32-E72D297353CC}">
              <c16:uniqueId val="{00000006-8A18-C74E-AF79-25F7C0C46FD1}"/>
            </c:ext>
          </c:extLst>
        </c:ser>
        <c:ser>
          <c:idx val="7"/>
          <c:order val="7"/>
          <c:tx>
            <c:strRef>
              <c:f>Bank!$Z$6</c:f>
              <c:strCache>
                <c:ptCount val="1"/>
                <c:pt idx="0">
                  <c:v>HFO</c:v>
                </c:pt>
              </c:strCache>
            </c:strRef>
          </c:tx>
          <c:spPr>
            <a:solidFill>
              <a:srgbClr val="008000"/>
            </a:solidFill>
          </c:spPr>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Bank!$Z$7:$Z$14</c:f>
              <c:numCache>
                <c:formatCode>#,##0</c:formatCode>
                <c:ptCount val="8"/>
                <c:pt idx="0">
                  <c:v>0</c:v>
                </c:pt>
                <c:pt idx="1">
                  <c:v>0</c:v>
                </c:pt>
                <c:pt idx="2">
                  <c:v>0</c:v>
                </c:pt>
                <c:pt idx="3">
                  <c:v>716.3634490084354</c:v>
                </c:pt>
                <c:pt idx="4">
                  <c:v>70886.161591896162</c:v>
                </c:pt>
                <c:pt idx="5">
                  <c:v>325564.40649294679</c:v>
                </c:pt>
                <c:pt idx="6">
                  <c:v>839174.79097789526</c:v>
                </c:pt>
                <c:pt idx="7">
                  <c:v>1753091.53699022</c:v>
                </c:pt>
              </c:numCache>
            </c:numRef>
          </c:val>
          <c:extLst xmlns:c16r2="http://schemas.microsoft.com/office/drawing/2015/06/chart">
            <c:ext xmlns:c16="http://schemas.microsoft.com/office/drawing/2014/chart" uri="{C3380CC4-5D6E-409C-BE32-E72D297353CC}">
              <c16:uniqueId val="{00000007-8A18-C74E-AF79-25F7C0C46FD1}"/>
            </c:ext>
          </c:extLst>
        </c:ser>
        <c:ser>
          <c:idx val="8"/>
          <c:order val="8"/>
          <c:tx>
            <c:strRef>
              <c:f>Bank!$AA$6</c:f>
              <c:strCache>
                <c:ptCount val="1"/>
                <c:pt idx="0">
                  <c:v>Hydrocarbons</c:v>
                </c:pt>
              </c:strCache>
            </c:strRef>
          </c:tx>
          <c:spPr>
            <a:ln w="25400">
              <a:noFill/>
            </a:ln>
          </c:spPr>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Bank!$AA$7:$AA$14</c:f>
              <c:numCache>
                <c:formatCode>#,##0</c:formatCode>
                <c:ptCount val="8"/>
                <c:pt idx="0">
                  <c:v>310837.97048000002</c:v>
                </c:pt>
                <c:pt idx="1">
                  <c:v>434717.89898931893</c:v>
                </c:pt>
                <c:pt idx="2">
                  <c:v>599548.94306525262</c:v>
                </c:pt>
                <c:pt idx="3">
                  <c:v>794603.32707401796</c:v>
                </c:pt>
                <c:pt idx="4">
                  <c:v>1028536.7983407</c:v>
                </c:pt>
                <c:pt idx="5">
                  <c:v>1332537.6022437499</c:v>
                </c:pt>
                <c:pt idx="6">
                  <c:v>1741119.11555136</c:v>
                </c:pt>
                <c:pt idx="7">
                  <c:v>2319624.05158972</c:v>
                </c:pt>
              </c:numCache>
            </c:numRef>
          </c:val>
          <c:extLst xmlns:c16r2="http://schemas.microsoft.com/office/drawing/2015/06/chart">
            <c:ext xmlns:c16="http://schemas.microsoft.com/office/drawing/2014/chart" uri="{C3380CC4-5D6E-409C-BE32-E72D297353CC}">
              <c16:uniqueId val="{00000008-8A18-C74E-AF79-25F7C0C46FD1}"/>
            </c:ext>
          </c:extLst>
        </c:ser>
        <c:ser>
          <c:idx val="9"/>
          <c:order val="9"/>
          <c:tx>
            <c:strRef>
              <c:f>Bank!$AB$6</c:f>
              <c:strCache>
                <c:ptCount val="1"/>
                <c:pt idx="0">
                  <c:v>CO2 (R744)</c:v>
                </c:pt>
              </c:strCache>
            </c:strRef>
          </c:tx>
          <c:spPr>
            <a:solidFill>
              <a:srgbClr val="FFFF00"/>
            </a:solidFill>
            <a:ln w="25400">
              <a:noFill/>
            </a:ln>
          </c:spPr>
          <c:cat>
            <c:numRef>
              <c:f>Bank!$R$7:$R$14</c:f>
              <c:numCache>
                <c:formatCode>General</c:formatCode>
                <c:ptCount val="8"/>
                <c:pt idx="0">
                  <c:v>2010</c:v>
                </c:pt>
                <c:pt idx="1">
                  <c:v>2011</c:v>
                </c:pt>
                <c:pt idx="2">
                  <c:v>2012</c:v>
                </c:pt>
                <c:pt idx="3">
                  <c:v>2013</c:v>
                </c:pt>
                <c:pt idx="4">
                  <c:v>2014</c:v>
                </c:pt>
                <c:pt idx="5">
                  <c:v>2015</c:v>
                </c:pt>
                <c:pt idx="6">
                  <c:v>2016</c:v>
                </c:pt>
                <c:pt idx="7">
                  <c:v>2017</c:v>
                </c:pt>
              </c:numCache>
            </c:numRef>
          </c:cat>
          <c:val>
            <c:numRef>
              <c:f>Bank!$AB$7:$AB$14</c:f>
              <c:numCache>
                <c:formatCode>#,##0</c:formatCode>
                <c:ptCount val="8"/>
                <c:pt idx="0">
                  <c:v>0</c:v>
                </c:pt>
                <c:pt idx="1">
                  <c:v>38476.703115396049</c:v>
                </c:pt>
                <c:pt idx="2">
                  <c:v>85016.412247559536</c:v>
                </c:pt>
                <c:pt idx="3">
                  <c:v>138405.1525058955</c:v>
                </c:pt>
                <c:pt idx="4">
                  <c:v>202219.82361109991</c:v>
                </c:pt>
                <c:pt idx="5">
                  <c:v>281144.56587018672</c:v>
                </c:pt>
                <c:pt idx="6">
                  <c:v>374872.94047003589</c:v>
                </c:pt>
                <c:pt idx="7">
                  <c:v>478024.22823662672</c:v>
                </c:pt>
              </c:numCache>
            </c:numRef>
          </c:val>
          <c:extLst xmlns:c16r2="http://schemas.microsoft.com/office/drawing/2015/06/chart">
            <c:ext xmlns:c16="http://schemas.microsoft.com/office/drawing/2014/chart" uri="{C3380CC4-5D6E-409C-BE32-E72D297353CC}">
              <c16:uniqueId val="{00000009-8A18-C74E-AF79-25F7C0C46FD1}"/>
            </c:ext>
          </c:extLst>
        </c:ser>
        <c:dLbls>
          <c:showLegendKey val="0"/>
          <c:showVal val="0"/>
          <c:showCatName val="0"/>
          <c:showSerName val="0"/>
          <c:showPercent val="0"/>
          <c:showBubbleSize val="0"/>
        </c:dLbls>
        <c:axId val="377913776"/>
        <c:axId val="377914168"/>
      </c:areaChart>
      <c:catAx>
        <c:axId val="377913776"/>
        <c:scaling>
          <c:orientation val="minMax"/>
        </c:scaling>
        <c:delete val="0"/>
        <c:axPos val="b"/>
        <c:numFmt formatCode="General" sourceLinked="1"/>
        <c:majorTickMark val="out"/>
        <c:minorTickMark val="none"/>
        <c:tickLblPos val="nextTo"/>
        <c:crossAx val="377914168"/>
        <c:crosses val="autoZero"/>
        <c:auto val="1"/>
        <c:lblAlgn val="ctr"/>
        <c:lblOffset val="100"/>
        <c:noMultiLvlLbl val="0"/>
      </c:catAx>
      <c:valAx>
        <c:axId val="377914168"/>
        <c:scaling>
          <c:orientation val="minMax"/>
        </c:scaling>
        <c:delete val="0"/>
        <c:axPos val="l"/>
        <c:majorGridlines/>
        <c:title>
          <c:tx>
            <c:rich>
              <a:bodyPr rot="-5400000" vert="horz"/>
              <a:lstStyle/>
              <a:p>
                <a:pPr>
                  <a:defRPr/>
                </a:pPr>
                <a:r>
                  <a:rPr lang="en-US"/>
                  <a:t>Tonnes</a:t>
                </a:r>
              </a:p>
            </c:rich>
          </c:tx>
          <c:overlay val="0"/>
        </c:title>
        <c:numFmt formatCode="#,##0" sourceLinked="0"/>
        <c:majorTickMark val="out"/>
        <c:minorTickMark val="none"/>
        <c:tickLblPos val="nextTo"/>
        <c:crossAx val="377913776"/>
        <c:crosses val="autoZero"/>
        <c:crossBetween val="midCat"/>
        <c:dispUnits>
          <c:builtInUnit val="thousands"/>
        </c:dispUnits>
      </c:valAx>
    </c:plotArea>
    <c:legend>
      <c:legendPos val="r"/>
      <c:overlay val="0"/>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F50F4B-E6D2-2F43-96E0-001788BA70ED}" type="doc">
      <dgm:prSet loTypeId="urn:microsoft.com/office/officeart/2005/8/layout/lProcess3" loCatId="" qsTypeId="urn:microsoft.com/office/officeart/2005/8/quickstyle/simple4" qsCatId="simple" csTypeId="urn:microsoft.com/office/officeart/2005/8/colors/accent1_2" csCatId="accent1" phldr="1"/>
      <dgm:spPr/>
      <dgm:t>
        <a:bodyPr/>
        <a:lstStyle/>
        <a:p>
          <a:endParaRPr lang="en-US"/>
        </a:p>
      </dgm:t>
    </dgm:pt>
    <dgm:pt modelId="{9F1BCDBD-6140-B54C-908E-212F8555DCD0}">
      <dgm:prSet phldrT="[Text]" custT="1"/>
      <dgm:spPr/>
      <dgm:t>
        <a:bodyPr/>
        <a:lstStyle/>
        <a:p>
          <a:r>
            <a:rPr lang="en-US" sz="1100" dirty="0"/>
            <a:t>Ammonia</a:t>
          </a:r>
        </a:p>
      </dgm:t>
    </dgm:pt>
    <dgm:pt modelId="{797FD95A-F52F-074C-9320-5E856121F34F}" type="parTrans" cxnId="{1CB5F599-4EAE-FC40-9AD5-D646FB88C775}">
      <dgm:prSet/>
      <dgm:spPr/>
      <dgm:t>
        <a:bodyPr/>
        <a:lstStyle/>
        <a:p>
          <a:endParaRPr lang="en-US" sz="1100"/>
        </a:p>
      </dgm:t>
    </dgm:pt>
    <dgm:pt modelId="{FF9E2327-56D5-0F47-8219-CABC33C45E14}" type="sibTrans" cxnId="{1CB5F599-4EAE-FC40-9AD5-D646FB88C775}">
      <dgm:prSet/>
      <dgm:spPr/>
      <dgm:t>
        <a:bodyPr/>
        <a:lstStyle/>
        <a:p>
          <a:endParaRPr lang="en-US" sz="1100"/>
        </a:p>
      </dgm:t>
    </dgm:pt>
    <dgm:pt modelId="{9525675A-A366-344B-8F3A-81E9D53BD3FE}">
      <dgm:prSet phldrT="[Text]" custT="1"/>
      <dgm:spPr/>
      <dgm:t>
        <a:bodyPr/>
        <a:lstStyle/>
        <a:p>
          <a:r>
            <a:rPr lang="en-US" sz="1000" dirty="0"/>
            <a:t>ODP = 0</a:t>
          </a:r>
        </a:p>
      </dgm:t>
    </dgm:pt>
    <dgm:pt modelId="{BF204790-9C5F-A64D-88B9-279B3C29CB32}" type="parTrans" cxnId="{C9F85030-6B89-AD44-8679-98F19D01E3C8}">
      <dgm:prSet/>
      <dgm:spPr/>
      <dgm:t>
        <a:bodyPr/>
        <a:lstStyle/>
        <a:p>
          <a:endParaRPr lang="en-US" sz="1100"/>
        </a:p>
      </dgm:t>
    </dgm:pt>
    <dgm:pt modelId="{F1BE93C9-D67D-F345-AB74-5DCCC3C80A10}" type="sibTrans" cxnId="{C9F85030-6B89-AD44-8679-98F19D01E3C8}">
      <dgm:prSet/>
      <dgm:spPr/>
      <dgm:t>
        <a:bodyPr/>
        <a:lstStyle/>
        <a:p>
          <a:endParaRPr lang="en-US" sz="1100"/>
        </a:p>
      </dgm:t>
    </dgm:pt>
    <dgm:pt modelId="{26F80A44-081B-B649-AE2E-543C50A18C3F}">
      <dgm:prSet phldrT="[Text]" custT="1"/>
      <dgm:spPr/>
      <dgm:t>
        <a:bodyPr/>
        <a:lstStyle/>
        <a:p>
          <a:r>
            <a:rPr lang="en-US" sz="1000" dirty="0"/>
            <a:t>GWP = 0</a:t>
          </a:r>
        </a:p>
      </dgm:t>
    </dgm:pt>
    <dgm:pt modelId="{13BDA059-3124-8446-A1BE-85EF39F67299}" type="parTrans" cxnId="{DAD53F33-9375-2E49-A003-FCEB2BB92947}">
      <dgm:prSet/>
      <dgm:spPr/>
      <dgm:t>
        <a:bodyPr/>
        <a:lstStyle/>
        <a:p>
          <a:endParaRPr lang="en-US" sz="1100"/>
        </a:p>
      </dgm:t>
    </dgm:pt>
    <dgm:pt modelId="{8BD55832-8BFE-AC48-AC05-EAB35CB2A1EA}" type="sibTrans" cxnId="{DAD53F33-9375-2E49-A003-FCEB2BB92947}">
      <dgm:prSet/>
      <dgm:spPr/>
      <dgm:t>
        <a:bodyPr/>
        <a:lstStyle/>
        <a:p>
          <a:endParaRPr lang="en-US" sz="1100"/>
        </a:p>
      </dgm:t>
    </dgm:pt>
    <dgm:pt modelId="{0CBF2457-0C2C-D748-932C-D9EA5016B799}">
      <dgm:prSet phldrT="[Text]" custT="1"/>
      <dgm:spPr/>
      <dgm:t>
        <a:bodyPr/>
        <a:lstStyle/>
        <a:p>
          <a:r>
            <a:rPr lang="en-US" sz="1100" dirty="0"/>
            <a:t>Carbon dioxide</a:t>
          </a:r>
        </a:p>
      </dgm:t>
    </dgm:pt>
    <dgm:pt modelId="{57C16248-B290-E144-9721-C3870C2A26FD}" type="parTrans" cxnId="{23394DBB-A8EB-8645-B4A3-E54D90EB5218}">
      <dgm:prSet/>
      <dgm:spPr/>
      <dgm:t>
        <a:bodyPr/>
        <a:lstStyle/>
        <a:p>
          <a:endParaRPr lang="en-US" sz="1100"/>
        </a:p>
      </dgm:t>
    </dgm:pt>
    <dgm:pt modelId="{221C0DF4-7029-5B4C-916D-3C70F5C008E0}" type="sibTrans" cxnId="{23394DBB-A8EB-8645-B4A3-E54D90EB5218}">
      <dgm:prSet/>
      <dgm:spPr/>
      <dgm:t>
        <a:bodyPr/>
        <a:lstStyle/>
        <a:p>
          <a:endParaRPr lang="en-US" sz="1100"/>
        </a:p>
      </dgm:t>
    </dgm:pt>
    <dgm:pt modelId="{894FE22A-6914-D54F-B3FA-0A58F3759216}">
      <dgm:prSet phldrT="[Text]" custT="1"/>
      <dgm:spPr/>
      <dgm:t>
        <a:bodyPr/>
        <a:lstStyle/>
        <a:p>
          <a:r>
            <a:rPr lang="en-US" sz="1000" dirty="0"/>
            <a:t>ODP = 0</a:t>
          </a:r>
        </a:p>
      </dgm:t>
    </dgm:pt>
    <dgm:pt modelId="{31F006AC-D560-5549-8B53-0B0E9A7348BB}" type="parTrans" cxnId="{41AB1DFD-D950-AD43-94B2-F9CA2290FA66}">
      <dgm:prSet/>
      <dgm:spPr/>
      <dgm:t>
        <a:bodyPr/>
        <a:lstStyle/>
        <a:p>
          <a:endParaRPr lang="en-US" sz="1100"/>
        </a:p>
      </dgm:t>
    </dgm:pt>
    <dgm:pt modelId="{849593C0-6BD8-2E43-9D7A-1037E5C6EBA3}" type="sibTrans" cxnId="{41AB1DFD-D950-AD43-94B2-F9CA2290FA66}">
      <dgm:prSet/>
      <dgm:spPr/>
      <dgm:t>
        <a:bodyPr/>
        <a:lstStyle/>
        <a:p>
          <a:endParaRPr lang="en-US" sz="1100"/>
        </a:p>
      </dgm:t>
    </dgm:pt>
    <dgm:pt modelId="{EE5F2ACC-4E96-D041-AB0C-C42AAC2BBB66}">
      <dgm:prSet phldrT="[Text]" custT="1"/>
      <dgm:spPr/>
      <dgm:t>
        <a:bodyPr/>
        <a:lstStyle/>
        <a:p>
          <a:r>
            <a:rPr lang="en-US" sz="1000" dirty="0"/>
            <a:t>GWP = 1</a:t>
          </a:r>
        </a:p>
      </dgm:t>
    </dgm:pt>
    <dgm:pt modelId="{23D613E2-A6C1-5943-ABC5-793943744686}" type="parTrans" cxnId="{45C65BD2-EFCA-1049-B05F-89171F533166}">
      <dgm:prSet/>
      <dgm:spPr/>
      <dgm:t>
        <a:bodyPr/>
        <a:lstStyle/>
        <a:p>
          <a:endParaRPr lang="en-US" sz="1100"/>
        </a:p>
      </dgm:t>
    </dgm:pt>
    <dgm:pt modelId="{057C0521-9D4D-5041-AC72-555CBC2773FE}" type="sibTrans" cxnId="{45C65BD2-EFCA-1049-B05F-89171F533166}">
      <dgm:prSet/>
      <dgm:spPr/>
      <dgm:t>
        <a:bodyPr/>
        <a:lstStyle/>
        <a:p>
          <a:endParaRPr lang="en-US" sz="1100"/>
        </a:p>
      </dgm:t>
    </dgm:pt>
    <dgm:pt modelId="{724F5C77-6DF9-1148-9731-17D8CDF18CDB}">
      <dgm:prSet phldrT="[Text]" custT="1"/>
      <dgm:spPr/>
      <dgm:t>
        <a:bodyPr/>
        <a:lstStyle/>
        <a:p>
          <a:r>
            <a:rPr lang="en-US" sz="1100" dirty="0"/>
            <a:t>Hydrocarbons</a:t>
          </a:r>
        </a:p>
      </dgm:t>
    </dgm:pt>
    <dgm:pt modelId="{2B36ABD3-9DD5-DE42-B885-29B33A86C4F5}" type="parTrans" cxnId="{AC1BCB40-15BD-C447-B010-DC06978190A6}">
      <dgm:prSet/>
      <dgm:spPr/>
      <dgm:t>
        <a:bodyPr/>
        <a:lstStyle/>
        <a:p>
          <a:endParaRPr lang="en-US" sz="1100"/>
        </a:p>
      </dgm:t>
    </dgm:pt>
    <dgm:pt modelId="{22393F4F-8716-584D-812C-107D2197EB99}" type="sibTrans" cxnId="{AC1BCB40-15BD-C447-B010-DC06978190A6}">
      <dgm:prSet/>
      <dgm:spPr/>
      <dgm:t>
        <a:bodyPr/>
        <a:lstStyle/>
        <a:p>
          <a:endParaRPr lang="en-US" sz="1100"/>
        </a:p>
      </dgm:t>
    </dgm:pt>
    <dgm:pt modelId="{21505287-8DEA-6041-BDF9-C935F12F2CC4}">
      <dgm:prSet phldrT="[Text]" custT="1"/>
      <dgm:spPr/>
      <dgm:t>
        <a:bodyPr/>
        <a:lstStyle/>
        <a:p>
          <a:r>
            <a:rPr lang="en-US" sz="1000" dirty="0"/>
            <a:t>ODP = 0</a:t>
          </a:r>
        </a:p>
      </dgm:t>
    </dgm:pt>
    <dgm:pt modelId="{8A238D9F-F1A2-9B44-A4AC-573B0B195EB4}" type="parTrans" cxnId="{9EB96C1D-C213-DB43-B942-A68D77CE05B7}">
      <dgm:prSet/>
      <dgm:spPr/>
      <dgm:t>
        <a:bodyPr/>
        <a:lstStyle/>
        <a:p>
          <a:endParaRPr lang="en-US" sz="1100"/>
        </a:p>
      </dgm:t>
    </dgm:pt>
    <dgm:pt modelId="{58E977A0-4492-D544-9EE1-9132EC27DDAC}" type="sibTrans" cxnId="{9EB96C1D-C213-DB43-B942-A68D77CE05B7}">
      <dgm:prSet/>
      <dgm:spPr/>
      <dgm:t>
        <a:bodyPr/>
        <a:lstStyle/>
        <a:p>
          <a:endParaRPr lang="en-US" sz="1100"/>
        </a:p>
      </dgm:t>
    </dgm:pt>
    <dgm:pt modelId="{EFCBB034-BBFC-4846-8F44-DD48D8DF4184}">
      <dgm:prSet phldrT="[Text]" custT="1"/>
      <dgm:spPr/>
      <dgm:t>
        <a:bodyPr/>
        <a:lstStyle/>
        <a:p>
          <a:r>
            <a:rPr lang="en-US" sz="1000"/>
            <a:t>GWP ≈ </a:t>
          </a:r>
          <a:r>
            <a:rPr lang="en-US" sz="1000" dirty="0"/>
            <a:t>4</a:t>
          </a:r>
        </a:p>
      </dgm:t>
    </dgm:pt>
    <dgm:pt modelId="{0CC7CA74-AFCE-F54C-89FB-B3221C3326FB}" type="parTrans" cxnId="{5C3536DF-87A5-704D-9950-1DC190864152}">
      <dgm:prSet/>
      <dgm:spPr/>
      <dgm:t>
        <a:bodyPr/>
        <a:lstStyle/>
        <a:p>
          <a:endParaRPr lang="en-US" sz="1100"/>
        </a:p>
      </dgm:t>
    </dgm:pt>
    <dgm:pt modelId="{9115DFD9-0F15-BD48-819A-C932EE25E50A}" type="sibTrans" cxnId="{5C3536DF-87A5-704D-9950-1DC190864152}">
      <dgm:prSet/>
      <dgm:spPr/>
      <dgm:t>
        <a:bodyPr/>
        <a:lstStyle/>
        <a:p>
          <a:endParaRPr lang="en-US" sz="1100"/>
        </a:p>
      </dgm:t>
    </dgm:pt>
    <dgm:pt modelId="{06C3B915-4156-F440-AD3E-3A4D47EE6576}" type="pres">
      <dgm:prSet presAssocID="{E4F50F4B-E6D2-2F43-96E0-001788BA70ED}" presName="Name0" presStyleCnt="0">
        <dgm:presLayoutVars>
          <dgm:chPref val="3"/>
          <dgm:dir/>
          <dgm:animLvl val="lvl"/>
          <dgm:resizeHandles/>
        </dgm:presLayoutVars>
      </dgm:prSet>
      <dgm:spPr/>
      <dgm:t>
        <a:bodyPr/>
        <a:lstStyle/>
        <a:p>
          <a:endParaRPr lang="en-AU"/>
        </a:p>
      </dgm:t>
    </dgm:pt>
    <dgm:pt modelId="{FEB00DEC-B097-3148-9D8B-7385C9C35D72}" type="pres">
      <dgm:prSet presAssocID="{9F1BCDBD-6140-B54C-908E-212F8555DCD0}" presName="horFlow" presStyleCnt="0"/>
      <dgm:spPr/>
    </dgm:pt>
    <dgm:pt modelId="{FEC57DC9-A4E6-4A40-A755-94BBF5810FEB}" type="pres">
      <dgm:prSet presAssocID="{9F1BCDBD-6140-B54C-908E-212F8555DCD0}" presName="bigChev" presStyleLbl="node1" presStyleIdx="0" presStyleCnt="3" custScaleX="289905"/>
      <dgm:spPr/>
      <dgm:t>
        <a:bodyPr/>
        <a:lstStyle/>
        <a:p>
          <a:endParaRPr lang="en-AU"/>
        </a:p>
      </dgm:t>
    </dgm:pt>
    <dgm:pt modelId="{03D40A8B-3F2A-A549-A84E-097D8382AD06}" type="pres">
      <dgm:prSet presAssocID="{BF204790-9C5F-A64D-88B9-279B3C29CB32}" presName="parTrans" presStyleCnt="0"/>
      <dgm:spPr/>
    </dgm:pt>
    <dgm:pt modelId="{5A8E1144-C48B-D941-B108-42D5161F4D77}" type="pres">
      <dgm:prSet presAssocID="{9525675A-A366-344B-8F3A-81E9D53BD3FE}" presName="node" presStyleLbl="alignAccFollowNode1" presStyleIdx="0" presStyleCnt="6" custScaleX="255887">
        <dgm:presLayoutVars>
          <dgm:bulletEnabled val="1"/>
        </dgm:presLayoutVars>
      </dgm:prSet>
      <dgm:spPr/>
      <dgm:t>
        <a:bodyPr/>
        <a:lstStyle/>
        <a:p>
          <a:endParaRPr lang="en-AU"/>
        </a:p>
      </dgm:t>
    </dgm:pt>
    <dgm:pt modelId="{12C519C4-5153-4344-85A2-A0704FCA1776}" type="pres">
      <dgm:prSet presAssocID="{F1BE93C9-D67D-F345-AB74-5DCCC3C80A10}" presName="sibTrans" presStyleCnt="0"/>
      <dgm:spPr/>
    </dgm:pt>
    <dgm:pt modelId="{32BF1FEF-F10D-C144-AC76-D08FFC64B686}" type="pres">
      <dgm:prSet presAssocID="{26F80A44-081B-B649-AE2E-543C50A18C3F}" presName="node" presStyleLbl="alignAccFollowNode1" presStyleIdx="1" presStyleCnt="6" custScaleX="255887">
        <dgm:presLayoutVars>
          <dgm:bulletEnabled val="1"/>
        </dgm:presLayoutVars>
      </dgm:prSet>
      <dgm:spPr/>
      <dgm:t>
        <a:bodyPr/>
        <a:lstStyle/>
        <a:p>
          <a:endParaRPr lang="en-AU"/>
        </a:p>
      </dgm:t>
    </dgm:pt>
    <dgm:pt modelId="{12EF4F72-0D51-044A-B1F5-D84EA28D3454}" type="pres">
      <dgm:prSet presAssocID="{9F1BCDBD-6140-B54C-908E-212F8555DCD0}" presName="vSp" presStyleCnt="0"/>
      <dgm:spPr/>
    </dgm:pt>
    <dgm:pt modelId="{D2912051-19DB-1F46-A5B6-8C3878FC1483}" type="pres">
      <dgm:prSet presAssocID="{0CBF2457-0C2C-D748-932C-D9EA5016B799}" presName="horFlow" presStyleCnt="0"/>
      <dgm:spPr/>
    </dgm:pt>
    <dgm:pt modelId="{C74C3FA5-D313-6B46-BF63-B94CC8AFA637}" type="pres">
      <dgm:prSet presAssocID="{0CBF2457-0C2C-D748-932C-D9EA5016B799}" presName="bigChev" presStyleLbl="node1" presStyleIdx="1" presStyleCnt="3" custScaleX="289905"/>
      <dgm:spPr/>
      <dgm:t>
        <a:bodyPr/>
        <a:lstStyle/>
        <a:p>
          <a:endParaRPr lang="en-AU"/>
        </a:p>
      </dgm:t>
    </dgm:pt>
    <dgm:pt modelId="{D34807EA-0809-4D4F-9920-6492A624FD57}" type="pres">
      <dgm:prSet presAssocID="{31F006AC-D560-5549-8B53-0B0E9A7348BB}" presName="parTrans" presStyleCnt="0"/>
      <dgm:spPr/>
    </dgm:pt>
    <dgm:pt modelId="{1AD99116-E64F-E647-B4A9-66363453208B}" type="pres">
      <dgm:prSet presAssocID="{894FE22A-6914-D54F-B3FA-0A58F3759216}" presName="node" presStyleLbl="alignAccFollowNode1" presStyleIdx="2" presStyleCnt="6" custScaleX="255887">
        <dgm:presLayoutVars>
          <dgm:bulletEnabled val="1"/>
        </dgm:presLayoutVars>
      </dgm:prSet>
      <dgm:spPr/>
      <dgm:t>
        <a:bodyPr/>
        <a:lstStyle/>
        <a:p>
          <a:endParaRPr lang="en-AU"/>
        </a:p>
      </dgm:t>
    </dgm:pt>
    <dgm:pt modelId="{8825BBF0-B50A-FE4E-ACCF-D7F63D437805}" type="pres">
      <dgm:prSet presAssocID="{849593C0-6BD8-2E43-9D7A-1037E5C6EBA3}" presName="sibTrans" presStyleCnt="0"/>
      <dgm:spPr/>
    </dgm:pt>
    <dgm:pt modelId="{4209D93A-EB5E-DB4F-955A-A3DE7057AF04}" type="pres">
      <dgm:prSet presAssocID="{EE5F2ACC-4E96-D041-AB0C-C42AAC2BBB66}" presName="node" presStyleLbl="alignAccFollowNode1" presStyleIdx="3" presStyleCnt="6" custScaleX="255887">
        <dgm:presLayoutVars>
          <dgm:bulletEnabled val="1"/>
        </dgm:presLayoutVars>
      </dgm:prSet>
      <dgm:spPr/>
      <dgm:t>
        <a:bodyPr/>
        <a:lstStyle/>
        <a:p>
          <a:endParaRPr lang="en-AU"/>
        </a:p>
      </dgm:t>
    </dgm:pt>
    <dgm:pt modelId="{2AF2C69D-EEF2-8D4D-A37E-738A6C284490}" type="pres">
      <dgm:prSet presAssocID="{0CBF2457-0C2C-D748-932C-D9EA5016B799}" presName="vSp" presStyleCnt="0"/>
      <dgm:spPr/>
    </dgm:pt>
    <dgm:pt modelId="{DF3B1F67-BBB7-CB4E-A6D9-EC0747A420C5}" type="pres">
      <dgm:prSet presAssocID="{724F5C77-6DF9-1148-9731-17D8CDF18CDB}" presName="horFlow" presStyleCnt="0"/>
      <dgm:spPr/>
    </dgm:pt>
    <dgm:pt modelId="{BA8A9F80-E1DD-F742-946A-B8B15185FB13}" type="pres">
      <dgm:prSet presAssocID="{724F5C77-6DF9-1148-9731-17D8CDF18CDB}" presName="bigChev" presStyleLbl="node1" presStyleIdx="2" presStyleCnt="3" custScaleX="289905"/>
      <dgm:spPr/>
      <dgm:t>
        <a:bodyPr/>
        <a:lstStyle/>
        <a:p>
          <a:endParaRPr lang="en-AU"/>
        </a:p>
      </dgm:t>
    </dgm:pt>
    <dgm:pt modelId="{922FE468-E021-7647-AE98-4FC4FAC6D78D}" type="pres">
      <dgm:prSet presAssocID="{8A238D9F-F1A2-9B44-A4AC-573B0B195EB4}" presName="parTrans" presStyleCnt="0"/>
      <dgm:spPr/>
    </dgm:pt>
    <dgm:pt modelId="{00DE288E-B039-2641-875F-A679347E5D0D}" type="pres">
      <dgm:prSet presAssocID="{21505287-8DEA-6041-BDF9-C935F12F2CC4}" presName="node" presStyleLbl="alignAccFollowNode1" presStyleIdx="4" presStyleCnt="6" custScaleX="255887">
        <dgm:presLayoutVars>
          <dgm:bulletEnabled val="1"/>
        </dgm:presLayoutVars>
      </dgm:prSet>
      <dgm:spPr/>
      <dgm:t>
        <a:bodyPr/>
        <a:lstStyle/>
        <a:p>
          <a:endParaRPr lang="en-AU"/>
        </a:p>
      </dgm:t>
    </dgm:pt>
    <dgm:pt modelId="{FF0AA51D-31CE-8F49-B5B4-6600913E5BE4}" type="pres">
      <dgm:prSet presAssocID="{58E977A0-4492-D544-9EE1-9132EC27DDAC}" presName="sibTrans" presStyleCnt="0"/>
      <dgm:spPr/>
    </dgm:pt>
    <dgm:pt modelId="{FC5F1EB5-8775-F34D-8EB1-FC40C51CC71C}" type="pres">
      <dgm:prSet presAssocID="{EFCBB034-BBFC-4846-8F44-DD48D8DF4184}" presName="node" presStyleLbl="alignAccFollowNode1" presStyleIdx="5" presStyleCnt="6" custScaleX="255887">
        <dgm:presLayoutVars>
          <dgm:bulletEnabled val="1"/>
        </dgm:presLayoutVars>
      </dgm:prSet>
      <dgm:spPr/>
      <dgm:t>
        <a:bodyPr/>
        <a:lstStyle/>
        <a:p>
          <a:endParaRPr lang="en-AU"/>
        </a:p>
      </dgm:t>
    </dgm:pt>
  </dgm:ptLst>
  <dgm:cxnLst>
    <dgm:cxn modelId="{FB690A68-01E8-4505-903C-64FBCEDF8ADE}" type="presOf" srcId="{EE5F2ACC-4E96-D041-AB0C-C42AAC2BBB66}" destId="{4209D93A-EB5E-DB4F-955A-A3DE7057AF04}" srcOrd="0" destOrd="0" presId="urn:microsoft.com/office/officeart/2005/8/layout/lProcess3"/>
    <dgm:cxn modelId="{0DEFF9CF-EFB6-40EC-ABBD-B75CF38673AF}" type="presOf" srcId="{9525675A-A366-344B-8F3A-81E9D53BD3FE}" destId="{5A8E1144-C48B-D941-B108-42D5161F4D77}" srcOrd="0" destOrd="0" presId="urn:microsoft.com/office/officeart/2005/8/layout/lProcess3"/>
    <dgm:cxn modelId="{C9F85030-6B89-AD44-8679-98F19D01E3C8}" srcId="{9F1BCDBD-6140-B54C-908E-212F8555DCD0}" destId="{9525675A-A366-344B-8F3A-81E9D53BD3FE}" srcOrd="0" destOrd="0" parTransId="{BF204790-9C5F-A64D-88B9-279B3C29CB32}" sibTransId="{F1BE93C9-D67D-F345-AB74-5DCCC3C80A10}"/>
    <dgm:cxn modelId="{45C65BD2-EFCA-1049-B05F-89171F533166}" srcId="{0CBF2457-0C2C-D748-932C-D9EA5016B799}" destId="{EE5F2ACC-4E96-D041-AB0C-C42AAC2BBB66}" srcOrd="1" destOrd="0" parTransId="{23D613E2-A6C1-5943-ABC5-793943744686}" sibTransId="{057C0521-9D4D-5041-AC72-555CBC2773FE}"/>
    <dgm:cxn modelId="{41AB1DFD-D950-AD43-94B2-F9CA2290FA66}" srcId="{0CBF2457-0C2C-D748-932C-D9EA5016B799}" destId="{894FE22A-6914-D54F-B3FA-0A58F3759216}" srcOrd="0" destOrd="0" parTransId="{31F006AC-D560-5549-8B53-0B0E9A7348BB}" sibTransId="{849593C0-6BD8-2E43-9D7A-1037E5C6EBA3}"/>
    <dgm:cxn modelId="{2268860B-778F-4ED7-83AA-7499DB88DD99}" type="presOf" srcId="{EFCBB034-BBFC-4846-8F44-DD48D8DF4184}" destId="{FC5F1EB5-8775-F34D-8EB1-FC40C51CC71C}" srcOrd="0" destOrd="0" presId="urn:microsoft.com/office/officeart/2005/8/layout/lProcess3"/>
    <dgm:cxn modelId="{67B75A20-641B-4824-B945-C93C63F95637}" type="presOf" srcId="{26F80A44-081B-B649-AE2E-543C50A18C3F}" destId="{32BF1FEF-F10D-C144-AC76-D08FFC64B686}" srcOrd="0" destOrd="0" presId="urn:microsoft.com/office/officeart/2005/8/layout/lProcess3"/>
    <dgm:cxn modelId="{AE1B4A4C-3635-4880-8451-B091C9FDB76B}" type="presOf" srcId="{9F1BCDBD-6140-B54C-908E-212F8555DCD0}" destId="{FEC57DC9-A4E6-4A40-A755-94BBF5810FEB}" srcOrd="0" destOrd="0" presId="urn:microsoft.com/office/officeart/2005/8/layout/lProcess3"/>
    <dgm:cxn modelId="{9EB96C1D-C213-DB43-B942-A68D77CE05B7}" srcId="{724F5C77-6DF9-1148-9731-17D8CDF18CDB}" destId="{21505287-8DEA-6041-BDF9-C935F12F2CC4}" srcOrd="0" destOrd="0" parTransId="{8A238D9F-F1A2-9B44-A4AC-573B0B195EB4}" sibTransId="{58E977A0-4492-D544-9EE1-9132EC27DDAC}"/>
    <dgm:cxn modelId="{5C3536DF-87A5-704D-9950-1DC190864152}" srcId="{724F5C77-6DF9-1148-9731-17D8CDF18CDB}" destId="{EFCBB034-BBFC-4846-8F44-DD48D8DF4184}" srcOrd="1" destOrd="0" parTransId="{0CC7CA74-AFCE-F54C-89FB-B3221C3326FB}" sibTransId="{9115DFD9-0F15-BD48-819A-C932EE25E50A}"/>
    <dgm:cxn modelId="{DAD53F33-9375-2E49-A003-FCEB2BB92947}" srcId="{9F1BCDBD-6140-B54C-908E-212F8555DCD0}" destId="{26F80A44-081B-B649-AE2E-543C50A18C3F}" srcOrd="1" destOrd="0" parTransId="{13BDA059-3124-8446-A1BE-85EF39F67299}" sibTransId="{8BD55832-8BFE-AC48-AC05-EAB35CB2A1EA}"/>
    <dgm:cxn modelId="{F9BFF540-7073-4EC5-9743-D88C81C4ED37}" type="presOf" srcId="{0CBF2457-0C2C-D748-932C-D9EA5016B799}" destId="{C74C3FA5-D313-6B46-BF63-B94CC8AFA637}" srcOrd="0" destOrd="0" presId="urn:microsoft.com/office/officeart/2005/8/layout/lProcess3"/>
    <dgm:cxn modelId="{AC1BCB40-15BD-C447-B010-DC06978190A6}" srcId="{E4F50F4B-E6D2-2F43-96E0-001788BA70ED}" destId="{724F5C77-6DF9-1148-9731-17D8CDF18CDB}" srcOrd="2" destOrd="0" parTransId="{2B36ABD3-9DD5-DE42-B885-29B33A86C4F5}" sibTransId="{22393F4F-8716-584D-812C-107D2197EB99}"/>
    <dgm:cxn modelId="{23394DBB-A8EB-8645-B4A3-E54D90EB5218}" srcId="{E4F50F4B-E6D2-2F43-96E0-001788BA70ED}" destId="{0CBF2457-0C2C-D748-932C-D9EA5016B799}" srcOrd="1" destOrd="0" parTransId="{57C16248-B290-E144-9721-C3870C2A26FD}" sibTransId="{221C0DF4-7029-5B4C-916D-3C70F5C008E0}"/>
    <dgm:cxn modelId="{6E821C0B-EFEE-407B-94FA-1720E1FF0F46}" type="presOf" srcId="{894FE22A-6914-D54F-B3FA-0A58F3759216}" destId="{1AD99116-E64F-E647-B4A9-66363453208B}" srcOrd="0" destOrd="0" presId="urn:microsoft.com/office/officeart/2005/8/layout/lProcess3"/>
    <dgm:cxn modelId="{B6FD6DAC-4A38-49EE-86C6-664895853AE9}" type="presOf" srcId="{724F5C77-6DF9-1148-9731-17D8CDF18CDB}" destId="{BA8A9F80-E1DD-F742-946A-B8B15185FB13}" srcOrd="0" destOrd="0" presId="urn:microsoft.com/office/officeart/2005/8/layout/lProcess3"/>
    <dgm:cxn modelId="{116380C3-A5E1-4B68-9A98-E8547E24C0E5}" type="presOf" srcId="{21505287-8DEA-6041-BDF9-C935F12F2CC4}" destId="{00DE288E-B039-2641-875F-A679347E5D0D}" srcOrd="0" destOrd="0" presId="urn:microsoft.com/office/officeart/2005/8/layout/lProcess3"/>
    <dgm:cxn modelId="{1CB5F599-4EAE-FC40-9AD5-D646FB88C775}" srcId="{E4F50F4B-E6D2-2F43-96E0-001788BA70ED}" destId="{9F1BCDBD-6140-B54C-908E-212F8555DCD0}" srcOrd="0" destOrd="0" parTransId="{797FD95A-F52F-074C-9320-5E856121F34F}" sibTransId="{FF9E2327-56D5-0F47-8219-CABC33C45E14}"/>
    <dgm:cxn modelId="{06562B53-B152-46BA-8641-E8A488D93C1F}" type="presOf" srcId="{E4F50F4B-E6D2-2F43-96E0-001788BA70ED}" destId="{06C3B915-4156-F440-AD3E-3A4D47EE6576}" srcOrd="0" destOrd="0" presId="urn:microsoft.com/office/officeart/2005/8/layout/lProcess3"/>
    <dgm:cxn modelId="{06404A59-D991-40BB-A247-201D53D9E629}" type="presParOf" srcId="{06C3B915-4156-F440-AD3E-3A4D47EE6576}" destId="{FEB00DEC-B097-3148-9D8B-7385C9C35D72}" srcOrd="0" destOrd="0" presId="urn:microsoft.com/office/officeart/2005/8/layout/lProcess3"/>
    <dgm:cxn modelId="{6C0F6D30-B930-43E6-AB20-FE21F231260E}" type="presParOf" srcId="{FEB00DEC-B097-3148-9D8B-7385C9C35D72}" destId="{FEC57DC9-A4E6-4A40-A755-94BBF5810FEB}" srcOrd="0" destOrd="0" presId="urn:microsoft.com/office/officeart/2005/8/layout/lProcess3"/>
    <dgm:cxn modelId="{291C209C-B811-45B2-9C7C-0736C9A9A303}" type="presParOf" srcId="{FEB00DEC-B097-3148-9D8B-7385C9C35D72}" destId="{03D40A8B-3F2A-A549-A84E-097D8382AD06}" srcOrd="1" destOrd="0" presId="urn:microsoft.com/office/officeart/2005/8/layout/lProcess3"/>
    <dgm:cxn modelId="{115382EC-D0A5-470A-B271-2DCADDCE59F5}" type="presParOf" srcId="{FEB00DEC-B097-3148-9D8B-7385C9C35D72}" destId="{5A8E1144-C48B-D941-B108-42D5161F4D77}" srcOrd="2" destOrd="0" presId="urn:microsoft.com/office/officeart/2005/8/layout/lProcess3"/>
    <dgm:cxn modelId="{9D9E49BC-88B9-4838-8EF3-929DA5BB9641}" type="presParOf" srcId="{FEB00DEC-B097-3148-9D8B-7385C9C35D72}" destId="{12C519C4-5153-4344-85A2-A0704FCA1776}" srcOrd="3" destOrd="0" presId="urn:microsoft.com/office/officeart/2005/8/layout/lProcess3"/>
    <dgm:cxn modelId="{E44E256F-76D8-46B1-813E-EB2B517B84F9}" type="presParOf" srcId="{FEB00DEC-B097-3148-9D8B-7385C9C35D72}" destId="{32BF1FEF-F10D-C144-AC76-D08FFC64B686}" srcOrd="4" destOrd="0" presId="urn:microsoft.com/office/officeart/2005/8/layout/lProcess3"/>
    <dgm:cxn modelId="{7B52E5F7-1059-4067-8A50-3E82695D316F}" type="presParOf" srcId="{06C3B915-4156-F440-AD3E-3A4D47EE6576}" destId="{12EF4F72-0D51-044A-B1F5-D84EA28D3454}" srcOrd="1" destOrd="0" presId="urn:microsoft.com/office/officeart/2005/8/layout/lProcess3"/>
    <dgm:cxn modelId="{35A9CF26-E16A-4901-A6A7-3F7BBBDBC503}" type="presParOf" srcId="{06C3B915-4156-F440-AD3E-3A4D47EE6576}" destId="{D2912051-19DB-1F46-A5B6-8C3878FC1483}" srcOrd="2" destOrd="0" presId="urn:microsoft.com/office/officeart/2005/8/layout/lProcess3"/>
    <dgm:cxn modelId="{DB34A3EC-5EC0-495E-9AFD-CD1E61F0F4C0}" type="presParOf" srcId="{D2912051-19DB-1F46-A5B6-8C3878FC1483}" destId="{C74C3FA5-D313-6B46-BF63-B94CC8AFA637}" srcOrd="0" destOrd="0" presId="urn:microsoft.com/office/officeart/2005/8/layout/lProcess3"/>
    <dgm:cxn modelId="{31DBF84F-0D03-4049-A050-E1FE14C36F2F}" type="presParOf" srcId="{D2912051-19DB-1F46-A5B6-8C3878FC1483}" destId="{D34807EA-0809-4D4F-9920-6492A624FD57}" srcOrd="1" destOrd="0" presId="urn:microsoft.com/office/officeart/2005/8/layout/lProcess3"/>
    <dgm:cxn modelId="{1184C0C8-B369-459B-8177-B221DB77690B}" type="presParOf" srcId="{D2912051-19DB-1F46-A5B6-8C3878FC1483}" destId="{1AD99116-E64F-E647-B4A9-66363453208B}" srcOrd="2" destOrd="0" presId="urn:microsoft.com/office/officeart/2005/8/layout/lProcess3"/>
    <dgm:cxn modelId="{B99BFBAF-E074-4DB7-A6F3-C77B0F898EF9}" type="presParOf" srcId="{D2912051-19DB-1F46-A5B6-8C3878FC1483}" destId="{8825BBF0-B50A-FE4E-ACCF-D7F63D437805}" srcOrd="3" destOrd="0" presId="urn:microsoft.com/office/officeart/2005/8/layout/lProcess3"/>
    <dgm:cxn modelId="{56F9404A-E896-4C6E-B74D-A4E2A026C48A}" type="presParOf" srcId="{D2912051-19DB-1F46-A5B6-8C3878FC1483}" destId="{4209D93A-EB5E-DB4F-955A-A3DE7057AF04}" srcOrd="4" destOrd="0" presId="urn:microsoft.com/office/officeart/2005/8/layout/lProcess3"/>
    <dgm:cxn modelId="{4D6893F3-F75B-4A81-9F5E-F2DF49F88DA1}" type="presParOf" srcId="{06C3B915-4156-F440-AD3E-3A4D47EE6576}" destId="{2AF2C69D-EEF2-8D4D-A37E-738A6C284490}" srcOrd="3" destOrd="0" presId="urn:microsoft.com/office/officeart/2005/8/layout/lProcess3"/>
    <dgm:cxn modelId="{BCDB5D80-681D-433B-9DF2-612E196144CB}" type="presParOf" srcId="{06C3B915-4156-F440-AD3E-3A4D47EE6576}" destId="{DF3B1F67-BBB7-CB4E-A6D9-EC0747A420C5}" srcOrd="4" destOrd="0" presId="urn:microsoft.com/office/officeart/2005/8/layout/lProcess3"/>
    <dgm:cxn modelId="{1A35E207-269E-4DDE-9497-2E9F92EEC9D7}" type="presParOf" srcId="{DF3B1F67-BBB7-CB4E-A6D9-EC0747A420C5}" destId="{BA8A9F80-E1DD-F742-946A-B8B15185FB13}" srcOrd="0" destOrd="0" presId="urn:microsoft.com/office/officeart/2005/8/layout/lProcess3"/>
    <dgm:cxn modelId="{DCC72D72-9329-48D4-ADAF-5CFD241E5026}" type="presParOf" srcId="{DF3B1F67-BBB7-CB4E-A6D9-EC0747A420C5}" destId="{922FE468-E021-7647-AE98-4FC4FAC6D78D}" srcOrd="1" destOrd="0" presId="urn:microsoft.com/office/officeart/2005/8/layout/lProcess3"/>
    <dgm:cxn modelId="{C45FD95F-AF26-40CB-A716-E0A7F87200FF}" type="presParOf" srcId="{DF3B1F67-BBB7-CB4E-A6D9-EC0747A420C5}" destId="{00DE288E-B039-2641-875F-A679347E5D0D}" srcOrd="2" destOrd="0" presId="urn:microsoft.com/office/officeart/2005/8/layout/lProcess3"/>
    <dgm:cxn modelId="{FD36172F-937D-4337-B393-3A60A29BCDFB}" type="presParOf" srcId="{DF3B1F67-BBB7-CB4E-A6D9-EC0747A420C5}" destId="{FF0AA51D-31CE-8F49-B5B4-6600913E5BE4}" srcOrd="3" destOrd="0" presId="urn:microsoft.com/office/officeart/2005/8/layout/lProcess3"/>
    <dgm:cxn modelId="{4FFAA135-2DDD-4707-97EB-55001CCC922D}" type="presParOf" srcId="{DF3B1F67-BBB7-CB4E-A6D9-EC0747A420C5}" destId="{FC5F1EB5-8775-F34D-8EB1-FC40C51CC71C}" srcOrd="4" destOrd="0" presId="urn:microsoft.com/office/officeart/2005/8/layout/l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5A861C-0728-0E40-820A-6E6D0CCA4241}" type="doc">
      <dgm:prSet loTypeId="urn:microsoft.com/office/officeart/2005/8/layout/chevron1" loCatId="" qsTypeId="urn:microsoft.com/office/officeart/2005/8/quickstyle/simple4" qsCatId="simple" csTypeId="urn:microsoft.com/office/officeart/2005/8/colors/accent1_2" csCatId="accent1" phldr="1"/>
      <dgm:spPr/>
    </dgm:pt>
    <dgm:pt modelId="{8A43B7F0-3756-B942-AF8F-7E8124CBA170}">
      <dgm:prSet phldrT="[Text]" custT="1"/>
      <dgm:spPr/>
      <dgm:t>
        <a:bodyPr/>
        <a:lstStyle/>
        <a:p>
          <a:r>
            <a:rPr lang="en-US" sz="1200" dirty="0"/>
            <a:t>CFC</a:t>
          </a:r>
        </a:p>
      </dgm:t>
    </dgm:pt>
    <dgm:pt modelId="{C8C2931C-D07D-754B-BD3B-E4B995D03CE1}" type="parTrans" cxnId="{DC33DD7F-1426-424E-B4A2-E3E50B22EF1E}">
      <dgm:prSet/>
      <dgm:spPr/>
      <dgm:t>
        <a:bodyPr/>
        <a:lstStyle/>
        <a:p>
          <a:endParaRPr lang="en-US" sz="1200"/>
        </a:p>
      </dgm:t>
    </dgm:pt>
    <dgm:pt modelId="{049BF0CD-9A9F-3849-B3BD-D5F5D88B9744}" type="sibTrans" cxnId="{DC33DD7F-1426-424E-B4A2-E3E50B22EF1E}">
      <dgm:prSet/>
      <dgm:spPr/>
      <dgm:t>
        <a:bodyPr/>
        <a:lstStyle/>
        <a:p>
          <a:endParaRPr lang="en-US" sz="1200"/>
        </a:p>
      </dgm:t>
    </dgm:pt>
    <dgm:pt modelId="{383874DA-F694-4A4D-9032-4967F9235FFC}">
      <dgm:prSet phldrT="[Text]" custT="1"/>
      <dgm:spPr/>
      <dgm:t>
        <a:bodyPr/>
        <a:lstStyle/>
        <a:p>
          <a:r>
            <a:rPr lang="en-US" sz="1200" dirty="0"/>
            <a:t>HFC</a:t>
          </a:r>
        </a:p>
      </dgm:t>
    </dgm:pt>
    <dgm:pt modelId="{44A9225F-48EC-1F4A-9730-838A4305DF94}" type="parTrans" cxnId="{1FAD818C-1D24-AF4B-9F11-8FA66CBC814B}">
      <dgm:prSet/>
      <dgm:spPr/>
      <dgm:t>
        <a:bodyPr/>
        <a:lstStyle/>
        <a:p>
          <a:endParaRPr lang="en-US" sz="1200"/>
        </a:p>
      </dgm:t>
    </dgm:pt>
    <dgm:pt modelId="{E1735C37-BD22-9648-9612-89100E9B2468}" type="sibTrans" cxnId="{1FAD818C-1D24-AF4B-9F11-8FA66CBC814B}">
      <dgm:prSet/>
      <dgm:spPr/>
      <dgm:t>
        <a:bodyPr/>
        <a:lstStyle/>
        <a:p>
          <a:endParaRPr lang="en-US" sz="1200"/>
        </a:p>
      </dgm:t>
    </dgm:pt>
    <dgm:pt modelId="{18FA92A0-CEEE-DB4B-B6EB-383CE192F7A6}">
      <dgm:prSet phldrT="[Text]" custT="1"/>
      <dgm:spPr/>
      <dgm:t>
        <a:bodyPr/>
        <a:lstStyle/>
        <a:p>
          <a:r>
            <a:rPr lang="en-US" sz="1200" dirty="0"/>
            <a:t>Low GWP</a:t>
          </a:r>
        </a:p>
      </dgm:t>
    </dgm:pt>
    <dgm:pt modelId="{42FF4F7B-3616-EF41-A1DF-E756A832C55B}" type="parTrans" cxnId="{F1116F28-1689-4F4E-AEA6-E01888059E15}">
      <dgm:prSet/>
      <dgm:spPr/>
      <dgm:t>
        <a:bodyPr/>
        <a:lstStyle/>
        <a:p>
          <a:endParaRPr lang="en-US" sz="1200"/>
        </a:p>
      </dgm:t>
    </dgm:pt>
    <dgm:pt modelId="{93729B18-B1C7-6044-BC1E-E1759502E4BE}" type="sibTrans" cxnId="{F1116F28-1689-4F4E-AEA6-E01888059E15}">
      <dgm:prSet/>
      <dgm:spPr/>
      <dgm:t>
        <a:bodyPr/>
        <a:lstStyle/>
        <a:p>
          <a:endParaRPr lang="en-US" sz="1200"/>
        </a:p>
      </dgm:t>
    </dgm:pt>
    <dgm:pt modelId="{B3B04371-E202-9546-8E5C-370A587C82C2}">
      <dgm:prSet custT="1"/>
      <dgm:spPr/>
      <dgm:t>
        <a:bodyPr/>
        <a:lstStyle/>
        <a:p>
          <a:r>
            <a:rPr lang="en-US" sz="1200" dirty="0"/>
            <a:t>HCFC</a:t>
          </a:r>
        </a:p>
      </dgm:t>
    </dgm:pt>
    <dgm:pt modelId="{711BB184-AC7A-AD4D-9BD0-49D10533CBAE}" type="parTrans" cxnId="{28F22921-D91A-594A-B08A-BB536D7A7F05}">
      <dgm:prSet/>
      <dgm:spPr/>
      <dgm:t>
        <a:bodyPr/>
        <a:lstStyle/>
        <a:p>
          <a:endParaRPr lang="en-US" sz="1200"/>
        </a:p>
      </dgm:t>
    </dgm:pt>
    <dgm:pt modelId="{6F1BC38C-4570-4443-974D-E75781FC1C4B}" type="sibTrans" cxnId="{28F22921-D91A-594A-B08A-BB536D7A7F05}">
      <dgm:prSet/>
      <dgm:spPr/>
      <dgm:t>
        <a:bodyPr/>
        <a:lstStyle/>
        <a:p>
          <a:endParaRPr lang="en-US" sz="1200"/>
        </a:p>
      </dgm:t>
    </dgm:pt>
    <dgm:pt modelId="{F2DBF03D-9FCD-ED41-8109-9B78354F6E26}" type="pres">
      <dgm:prSet presAssocID="{A55A861C-0728-0E40-820A-6E6D0CCA4241}" presName="Name0" presStyleCnt="0">
        <dgm:presLayoutVars>
          <dgm:dir/>
          <dgm:animLvl val="lvl"/>
          <dgm:resizeHandles val="exact"/>
        </dgm:presLayoutVars>
      </dgm:prSet>
      <dgm:spPr/>
    </dgm:pt>
    <dgm:pt modelId="{D7306E40-4ABD-414A-9BD4-76D4349A32C7}" type="pres">
      <dgm:prSet presAssocID="{8A43B7F0-3756-B942-AF8F-7E8124CBA170}" presName="parTxOnly" presStyleLbl="node1" presStyleIdx="0" presStyleCnt="4">
        <dgm:presLayoutVars>
          <dgm:chMax val="0"/>
          <dgm:chPref val="0"/>
          <dgm:bulletEnabled val="1"/>
        </dgm:presLayoutVars>
      </dgm:prSet>
      <dgm:spPr/>
      <dgm:t>
        <a:bodyPr/>
        <a:lstStyle/>
        <a:p>
          <a:endParaRPr lang="en-AU"/>
        </a:p>
      </dgm:t>
    </dgm:pt>
    <dgm:pt modelId="{4107036B-847B-CA41-8024-F72D9B6243EC}" type="pres">
      <dgm:prSet presAssocID="{049BF0CD-9A9F-3849-B3BD-D5F5D88B9744}" presName="parTxOnlySpace" presStyleCnt="0"/>
      <dgm:spPr/>
    </dgm:pt>
    <dgm:pt modelId="{645980AA-BB5F-C14D-910B-9FFA8CA9B793}" type="pres">
      <dgm:prSet presAssocID="{B3B04371-E202-9546-8E5C-370A587C82C2}" presName="parTxOnly" presStyleLbl="node1" presStyleIdx="1" presStyleCnt="4">
        <dgm:presLayoutVars>
          <dgm:chMax val="0"/>
          <dgm:chPref val="0"/>
          <dgm:bulletEnabled val="1"/>
        </dgm:presLayoutVars>
      </dgm:prSet>
      <dgm:spPr/>
      <dgm:t>
        <a:bodyPr/>
        <a:lstStyle/>
        <a:p>
          <a:endParaRPr lang="en-AU"/>
        </a:p>
      </dgm:t>
    </dgm:pt>
    <dgm:pt modelId="{FC4C0732-7E0D-FC43-86C8-488D0E1E0D98}" type="pres">
      <dgm:prSet presAssocID="{6F1BC38C-4570-4443-974D-E75781FC1C4B}" presName="parTxOnlySpace" presStyleCnt="0"/>
      <dgm:spPr/>
    </dgm:pt>
    <dgm:pt modelId="{4214CBB7-3C86-974E-80C9-48598EFC191B}" type="pres">
      <dgm:prSet presAssocID="{383874DA-F694-4A4D-9032-4967F9235FFC}" presName="parTxOnly" presStyleLbl="node1" presStyleIdx="2" presStyleCnt="4">
        <dgm:presLayoutVars>
          <dgm:chMax val="0"/>
          <dgm:chPref val="0"/>
          <dgm:bulletEnabled val="1"/>
        </dgm:presLayoutVars>
      </dgm:prSet>
      <dgm:spPr/>
      <dgm:t>
        <a:bodyPr/>
        <a:lstStyle/>
        <a:p>
          <a:endParaRPr lang="en-AU"/>
        </a:p>
      </dgm:t>
    </dgm:pt>
    <dgm:pt modelId="{9D343177-63E1-FC44-9834-2E959DA891C1}" type="pres">
      <dgm:prSet presAssocID="{E1735C37-BD22-9648-9612-89100E9B2468}" presName="parTxOnlySpace" presStyleCnt="0"/>
      <dgm:spPr/>
    </dgm:pt>
    <dgm:pt modelId="{25AE0E7A-4E7C-1244-BE87-0FFFA778D340}" type="pres">
      <dgm:prSet presAssocID="{18FA92A0-CEEE-DB4B-B6EB-383CE192F7A6}" presName="parTxOnly" presStyleLbl="node1" presStyleIdx="3" presStyleCnt="4">
        <dgm:presLayoutVars>
          <dgm:chMax val="0"/>
          <dgm:chPref val="0"/>
          <dgm:bulletEnabled val="1"/>
        </dgm:presLayoutVars>
      </dgm:prSet>
      <dgm:spPr/>
      <dgm:t>
        <a:bodyPr/>
        <a:lstStyle/>
        <a:p>
          <a:endParaRPr lang="en-AU"/>
        </a:p>
      </dgm:t>
    </dgm:pt>
  </dgm:ptLst>
  <dgm:cxnLst>
    <dgm:cxn modelId="{FFD58C30-80F6-4D14-A8E5-B7BB923FD32E}" type="presOf" srcId="{18FA92A0-CEEE-DB4B-B6EB-383CE192F7A6}" destId="{25AE0E7A-4E7C-1244-BE87-0FFFA778D340}" srcOrd="0" destOrd="0" presId="urn:microsoft.com/office/officeart/2005/8/layout/chevron1"/>
    <dgm:cxn modelId="{D5E7587A-40FE-42F7-85B1-2AB62A43A067}" type="presOf" srcId="{383874DA-F694-4A4D-9032-4967F9235FFC}" destId="{4214CBB7-3C86-974E-80C9-48598EFC191B}" srcOrd="0" destOrd="0" presId="urn:microsoft.com/office/officeart/2005/8/layout/chevron1"/>
    <dgm:cxn modelId="{F1116F28-1689-4F4E-AEA6-E01888059E15}" srcId="{A55A861C-0728-0E40-820A-6E6D0CCA4241}" destId="{18FA92A0-CEEE-DB4B-B6EB-383CE192F7A6}" srcOrd="3" destOrd="0" parTransId="{42FF4F7B-3616-EF41-A1DF-E756A832C55B}" sibTransId="{93729B18-B1C7-6044-BC1E-E1759502E4BE}"/>
    <dgm:cxn modelId="{1FAD818C-1D24-AF4B-9F11-8FA66CBC814B}" srcId="{A55A861C-0728-0E40-820A-6E6D0CCA4241}" destId="{383874DA-F694-4A4D-9032-4967F9235FFC}" srcOrd="2" destOrd="0" parTransId="{44A9225F-48EC-1F4A-9730-838A4305DF94}" sibTransId="{E1735C37-BD22-9648-9612-89100E9B2468}"/>
    <dgm:cxn modelId="{6345A983-18F1-4337-A85C-1C0B1E8B47DA}" type="presOf" srcId="{8A43B7F0-3756-B942-AF8F-7E8124CBA170}" destId="{D7306E40-4ABD-414A-9BD4-76D4349A32C7}" srcOrd="0" destOrd="0" presId="urn:microsoft.com/office/officeart/2005/8/layout/chevron1"/>
    <dgm:cxn modelId="{D20D5468-0BE7-4BD0-B7DC-14CB5FE455CA}" type="presOf" srcId="{B3B04371-E202-9546-8E5C-370A587C82C2}" destId="{645980AA-BB5F-C14D-910B-9FFA8CA9B793}" srcOrd="0" destOrd="0" presId="urn:microsoft.com/office/officeart/2005/8/layout/chevron1"/>
    <dgm:cxn modelId="{28F22921-D91A-594A-B08A-BB536D7A7F05}" srcId="{A55A861C-0728-0E40-820A-6E6D0CCA4241}" destId="{B3B04371-E202-9546-8E5C-370A587C82C2}" srcOrd="1" destOrd="0" parTransId="{711BB184-AC7A-AD4D-9BD0-49D10533CBAE}" sibTransId="{6F1BC38C-4570-4443-974D-E75781FC1C4B}"/>
    <dgm:cxn modelId="{3405A0AC-82FE-4F9B-ACF4-8CA1A96775CE}" type="presOf" srcId="{A55A861C-0728-0E40-820A-6E6D0CCA4241}" destId="{F2DBF03D-9FCD-ED41-8109-9B78354F6E26}" srcOrd="0" destOrd="0" presId="urn:microsoft.com/office/officeart/2005/8/layout/chevron1"/>
    <dgm:cxn modelId="{DC33DD7F-1426-424E-B4A2-E3E50B22EF1E}" srcId="{A55A861C-0728-0E40-820A-6E6D0CCA4241}" destId="{8A43B7F0-3756-B942-AF8F-7E8124CBA170}" srcOrd="0" destOrd="0" parTransId="{C8C2931C-D07D-754B-BD3B-E4B995D03CE1}" sibTransId="{049BF0CD-9A9F-3849-B3BD-D5F5D88B9744}"/>
    <dgm:cxn modelId="{D6DDAEAD-1702-4CF8-99D2-960FF78CED43}" type="presParOf" srcId="{F2DBF03D-9FCD-ED41-8109-9B78354F6E26}" destId="{D7306E40-4ABD-414A-9BD4-76D4349A32C7}" srcOrd="0" destOrd="0" presId="urn:microsoft.com/office/officeart/2005/8/layout/chevron1"/>
    <dgm:cxn modelId="{A894D18A-814A-43C3-91DB-CE13264A077B}" type="presParOf" srcId="{F2DBF03D-9FCD-ED41-8109-9B78354F6E26}" destId="{4107036B-847B-CA41-8024-F72D9B6243EC}" srcOrd="1" destOrd="0" presId="urn:microsoft.com/office/officeart/2005/8/layout/chevron1"/>
    <dgm:cxn modelId="{273EDAE9-76C3-431A-A327-4F5A7F320E7C}" type="presParOf" srcId="{F2DBF03D-9FCD-ED41-8109-9B78354F6E26}" destId="{645980AA-BB5F-C14D-910B-9FFA8CA9B793}" srcOrd="2" destOrd="0" presId="urn:microsoft.com/office/officeart/2005/8/layout/chevron1"/>
    <dgm:cxn modelId="{0149BC85-F887-4FF3-9144-3247A22F6380}" type="presParOf" srcId="{F2DBF03D-9FCD-ED41-8109-9B78354F6E26}" destId="{FC4C0732-7E0D-FC43-86C8-488D0E1E0D98}" srcOrd="3" destOrd="0" presId="urn:microsoft.com/office/officeart/2005/8/layout/chevron1"/>
    <dgm:cxn modelId="{E0284C43-A22C-4A89-843D-4D334232D861}" type="presParOf" srcId="{F2DBF03D-9FCD-ED41-8109-9B78354F6E26}" destId="{4214CBB7-3C86-974E-80C9-48598EFC191B}" srcOrd="4" destOrd="0" presId="urn:microsoft.com/office/officeart/2005/8/layout/chevron1"/>
    <dgm:cxn modelId="{CE48DD5C-D628-4A4D-A040-F5DE8173D3E4}" type="presParOf" srcId="{F2DBF03D-9FCD-ED41-8109-9B78354F6E26}" destId="{9D343177-63E1-FC44-9834-2E959DA891C1}" srcOrd="5" destOrd="0" presId="urn:microsoft.com/office/officeart/2005/8/layout/chevron1"/>
    <dgm:cxn modelId="{A7FBCB1D-1EE8-4112-BEC1-28B4D9650A47}" type="presParOf" srcId="{F2DBF03D-9FCD-ED41-8109-9B78354F6E26}" destId="{25AE0E7A-4E7C-1244-BE87-0FFFA778D340}" srcOrd="6"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C57DC9-A4E6-4A40-A755-94BBF5810FEB}">
      <dsp:nvSpPr>
        <dsp:cNvPr id="0" name=""/>
        <dsp:cNvSpPr/>
      </dsp:nvSpPr>
      <dsp:spPr>
        <a:xfrm>
          <a:off x="182392" y="205"/>
          <a:ext cx="2088746" cy="288197"/>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dirty="0"/>
            <a:t>Ammonia</a:t>
          </a:r>
        </a:p>
      </dsp:txBody>
      <dsp:txXfrm>
        <a:off x="326491" y="205"/>
        <a:ext cx="1800549" cy="288197"/>
      </dsp:txXfrm>
    </dsp:sp>
    <dsp:sp modelId="{5A8E1144-C48B-D941-B108-42D5161F4D77}">
      <dsp:nvSpPr>
        <dsp:cNvPr id="0" name=""/>
        <dsp:cNvSpPr/>
      </dsp:nvSpPr>
      <dsp:spPr>
        <a:xfrm>
          <a:off x="2177474" y="24702"/>
          <a:ext cx="1530228" cy="239203"/>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dirty="0"/>
            <a:t>ODP = 0</a:t>
          </a:r>
        </a:p>
      </dsp:txBody>
      <dsp:txXfrm>
        <a:off x="2297076" y="24702"/>
        <a:ext cx="1291025" cy="239203"/>
      </dsp:txXfrm>
    </dsp:sp>
    <dsp:sp modelId="{32BF1FEF-F10D-C144-AC76-D08FFC64B686}">
      <dsp:nvSpPr>
        <dsp:cNvPr id="0" name=""/>
        <dsp:cNvSpPr/>
      </dsp:nvSpPr>
      <dsp:spPr>
        <a:xfrm>
          <a:off x="3623982" y="24702"/>
          <a:ext cx="1530228" cy="239203"/>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dirty="0"/>
            <a:t>GWP = 0</a:t>
          </a:r>
        </a:p>
      </dsp:txBody>
      <dsp:txXfrm>
        <a:off x="3743584" y="24702"/>
        <a:ext cx="1291025" cy="239203"/>
      </dsp:txXfrm>
    </dsp:sp>
    <dsp:sp modelId="{C74C3FA5-D313-6B46-BF63-B94CC8AFA637}">
      <dsp:nvSpPr>
        <dsp:cNvPr id="0" name=""/>
        <dsp:cNvSpPr/>
      </dsp:nvSpPr>
      <dsp:spPr>
        <a:xfrm>
          <a:off x="182392" y="328750"/>
          <a:ext cx="2088746" cy="288197"/>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dirty="0"/>
            <a:t>Carbon dioxide</a:t>
          </a:r>
        </a:p>
      </dsp:txBody>
      <dsp:txXfrm>
        <a:off x="326491" y="328750"/>
        <a:ext cx="1800549" cy="288197"/>
      </dsp:txXfrm>
    </dsp:sp>
    <dsp:sp modelId="{1AD99116-E64F-E647-B4A9-66363453208B}">
      <dsp:nvSpPr>
        <dsp:cNvPr id="0" name=""/>
        <dsp:cNvSpPr/>
      </dsp:nvSpPr>
      <dsp:spPr>
        <a:xfrm>
          <a:off x="2177474" y="353247"/>
          <a:ext cx="1530228" cy="239203"/>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dirty="0"/>
            <a:t>ODP = 0</a:t>
          </a:r>
        </a:p>
      </dsp:txBody>
      <dsp:txXfrm>
        <a:off x="2297076" y="353247"/>
        <a:ext cx="1291025" cy="239203"/>
      </dsp:txXfrm>
    </dsp:sp>
    <dsp:sp modelId="{4209D93A-EB5E-DB4F-955A-A3DE7057AF04}">
      <dsp:nvSpPr>
        <dsp:cNvPr id="0" name=""/>
        <dsp:cNvSpPr/>
      </dsp:nvSpPr>
      <dsp:spPr>
        <a:xfrm>
          <a:off x="3623982" y="353247"/>
          <a:ext cx="1530228" cy="239203"/>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dirty="0"/>
            <a:t>GWP = 1</a:t>
          </a:r>
        </a:p>
      </dsp:txBody>
      <dsp:txXfrm>
        <a:off x="3743584" y="353247"/>
        <a:ext cx="1291025" cy="239203"/>
      </dsp:txXfrm>
    </dsp:sp>
    <dsp:sp modelId="{BA8A9F80-E1DD-F742-946A-B8B15185FB13}">
      <dsp:nvSpPr>
        <dsp:cNvPr id="0" name=""/>
        <dsp:cNvSpPr/>
      </dsp:nvSpPr>
      <dsp:spPr>
        <a:xfrm>
          <a:off x="182392" y="657295"/>
          <a:ext cx="2088746" cy="288197"/>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dirty="0"/>
            <a:t>Hydrocarbons</a:t>
          </a:r>
        </a:p>
      </dsp:txBody>
      <dsp:txXfrm>
        <a:off x="326491" y="657295"/>
        <a:ext cx="1800549" cy="288197"/>
      </dsp:txXfrm>
    </dsp:sp>
    <dsp:sp modelId="{00DE288E-B039-2641-875F-A679347E5D0D}">
      <dsp:nvSpPr>
        <dsp:cNvPr id="0" name=""/>
        <dsp:cNvSpPr/>
      </dsp:nvSpPr>
      <dsp:spPr>
        <a:xfrm>
          <a:off x="2177474" y="681792"/>
          <a:ext cx="1530228" cy="239203"/>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dirty="0"/>
            <a:t>ODP = 0</a:t>
          </a:r>
        </a:p>
      </dsp:txBody>
      <dsp:txXfrm>
        <a:off x="2297076" y="681792"/>
        <a:ext cx="1291025" cy="239203"/>
      </dsp:txXfrm>
    </dsp:sp>
    <dsp:sp modelId="{FC5F1EB5-8775-F34D-8EB1-FC40C51CC71C}">
      <dsp:nvSpPr>
        <dsp:cNvPr id="0" name=""/>
        <dsp:cNvSpPr/>
      </dsp:nvSpPr>
      <dsp:spPr>
        <a:xfrm>
          <a:off x="3623982" y="681792"/>
          <a:ext cx="1530228" cy="239203"/>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GWP ≈ </a:t>
          </a:r>
          <a:r>
            <a:rPr lang="en-US" sz="1000" kern="1200" dirty="0"/>
            <a:t>4</a:t>
          </a:r>
        </a:p>
      </dsp:txBody>
      <dsp:txXfrm>
        <a:off x="3743584" y="681792"/>
        <a:ext cx="1291025" cy="2392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306E40-4ABD-414A-9BD4-76D4349A32C7}">
      <dsp:nvSpPr>
        <dsp:cNvPr id="0" name=""/>
        <dsp:cNvSpPr/>
      </dsp:nvSpPr>
      <dsp:spPr>
        <a:xfrm>
          <a:off x="2772" y="0"/>
          <a:ext cx="1614147" cy="406400"/>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dirty="0"/>
            <a:t>CFC</a:t>
          </a:r>
        </a:p>
      </dsp:txBody>
      <dsp:txXfrm>
        <a:off x="205972" y="0"/>
        <a:ext cx="1207747" cy="406400"/>
      </dsp:txXfrm>
    </dsp:sp>
    <dsp:sp modelId="{645980AA-BB5F-C14D-910B-9FFA8CA9B793}">
      <dsp:nvSpPr>
        <dsp:cNvPr id="0" name=""/>
        <dsp:cNvSpPr/>
      </dsp:nvSpPr>
      <dsp:spPr>
        <a:xfrm>
          <a:off x="1455505" y="0"/>
          <a:ext cx="1614147" cy="406400"/>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dirty="0"/>
            <a:t>HCFC</a:t>
          </a:r>
        </a:p>
      </dsp:txBody>
      <dsp:txXfrm>
        <a:off x="1658705" y="0"/>
        <a:ext cx="1207747" cy="406400"/>
      </dsp:txXfrm>
    </dsp:sp>
    <dsp:sp modelId="{4214CBB7-3C86-974E-80C9-48598EFC191B}">
      <dsp:nvSpPr>
        <dsp:cNvPr id="0" name=""/>
        <dsp:cNvSpPr/>
      </dsp:nvSpPr>
      <dsp:spPr>
        <a:xfrm>
          <a:off x="2908237" y="0"/>
          <a:ext cx="1614147" cy="406400"/>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dirty="0"/>
            <a:t>HFC</a:t>
          </a:r>
        </a:p>
      </dsp:txBody>
      <dsp:txXfrm>
        <a:off x="3111437" y="0"/>
        <a:ext cx="1207747" cy="406400"/>
      </dsp:txXfrm>
    </dsp:sp>
    <dsp:sp modelId="{25AE0E7A-4E7C-1244-BE87-0FFFA778D340}">
      <dsp:nvSpPr>
        <dsp:cNvPr id="0" name=""/>
        <dsp:cNvSpPr/>
      </dsp:nvSpPr>
      <dsp:spPr>
        <a:xfrm>
          <a:off x="4360969" y="0"/>
          <a:ext cx="1614147" cy="406400"/>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dirty="0"/>
            <a:t>Low GWP</a:t>
          </a:r>
        </a:p>
      </dsp:txBody>
      <dsp:txXfrm>
        <a:off x="4564169" y="0"/>
        <a:ext cx="1207747" cy="40640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23107-4EA8-4664-BAE3-1620E7A1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2F74DF42.dotm</Template>
  <TotalTime>0</TotalTime>
  <Pages>202</Pages>
  <Words>78185</Words>
  <Characters>445660</Characters>
  <Application>Microsoft Office Word</Application>
  <DocSecurity>0</DocSecurity>
  <Lines>3713</Lines>
  <Paragraphs>1045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Hard Facts 3</dc:title>
  <dc:subject/>
  <dc:creator/>
  <cp:keywords/>
  <dc:description/>
  <cp:lastModifiedBy/>
  <cp:revision>1</cp:revision>
  <dcterms:created xsi:type="dcterms:W3CDTF">2018-10-05T00:07:00Z</dcterms:created>
  <dcterms:modified xsi:type="dcterms:W3CDTF">2018-10-05T00:11:00Z</dcterms:modified>
</cp:coreProperties>
</file>