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0DCED3" w14:textId="5F42E08B" w:rsidR="00284ED3" w:rsidRDefault="00284ED3" w:rsidP="00284ED3">
      <w:pPr>
        <w:spacing w:after="0" w:line="200" w:lineRule="exact"/>
        <w:rPr>
          <w:noProof/>
          <w:lang w:eastAsia="en-AU"/>
        </w:rPr>
      </w:pPr>
      <w:bookmarkStart w:id="0" w:name="_GoBack"/>
      <w:bookmarkEnd w:id="0"/>
    </w:p>
    <w:p w14:paraId="28C43145" w14:textId="77777777" w:rsidR="00284ED3" w:rsidRDefault="001E1768" w:rsidP="00284ED3">
      <w:pPr>
        <w:spacing w:after="0" w:line="200" w:lineRule="exact"/>
      </w:pPr>
      <w:r>
        <w:rPr>
          <w:noProof/>
          <w:lang w:eastAsia="en-AU"/>
        </w:rPr>
        <w:drawing>
          <wp:anchor distT="0" distB="0" distL="114300" distR="114300" simplePos="0" relativeHeight="251658240" behindDoc="1" locked="0" layoutInCell="1" allowOverlap="1" wp14:anchorId="666C9FA2" wp14:editId="5056AB6E">
            <wp:simplePos x="0" y="0"/>
            <wp:positionH relativeFrom="page">
              <wp:posOffset>3810</wp:posOffset>
            </wp:positionH>
            <wp:positionV relativeFrom="page">
              <wp:posOffset>321945</wp:posOffset>
            </wp:positionV>
            <wp:extent cx="7548245" cy="10372090"/>
            <wp:effectExtent l="0" t="0" r="0" b="0"/>
            <wp:wrapNone/>
            <wp:docPr id="22" name="Picture 22" descr="University of Queensland Logo" title="University of Queens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48245" cy="10372090"/>
                    </a:xfrm>
                    <a:prstGeom prst="rect">
                      <a:avLst/>
                    </a:prstGeom>
                    <a:noFill/>
                  </pic:spPr>
                </pic:pic>
              </a:graphicData>
            </a:graphic>
          </wp:anchor>
        </w:drawing>
      </w:r>
    </w:p>
    <w:p w14:paraId="09A2FBE3" w14:textId="77777777" w:rsidR="00284ED3" w:rsidRDefault="00284ED3" w:rsidP="00284ED3">
      <w:pPr>
        <w:spacing w:after="0" w:line="200" w:lineRule="exact"/>
      </w:pPr>
    </w:p>
    <w:p w14:paraId="4CA5E272" w14:textId="77777777" w:rsidR="00284ED3" w:rsidRDefault="00284ED3" w:rsidP="00284ED3">
      <w:pPr>
        <w:spacing w:after="0" w:line="200" w:lineRule="exact"/>
      </w:pPr>
    </w:p>
    <w:p w14:paraId="12ED04FC" w14:textId="77777777" w:rsidR="00284ED3" w:rsidRDefault="00284ED3" w:rsidP="00284ED3">
      <w:pPr>
        <w:spacing w:after="0" w:line="200" w:lineRule="exact"/>
      </w:pPr>
    </w:p>
    <w:p w14:paraId="29E4FBA9" w14:textId="77777777" w:rsidR="00284ED3" w:rsidRDefault="00284ED3" w:rsidP="00284ED3">
      <w:pPr>
        <w:spacing w:after="0" w:line="200" w:lineRule="exact"/>
      </w:pPr>
    </w:p>
    <w:p w14:paraId="50973A24" w14:textId="77777777" w:rsidR="00284ED3" w:rsidRDefault="00284ED3" w:rsidP="00284ED3">
      <w:pPr>
        <w:spacing w:after="0" w:line="200" w:lineRule="exact"/>
      </w:pPr>
    </w:p>
    <w:p w14:paraId="549E5650" w14:textId="77777777" w:rsidR="00284ED3" w:rsidRDefault="00284ED3" w:rsidP="00284ED3">
      <w:pPr>
        <w:spacing w:after="0" w:line="200" w:lineRule="exact"/>
      </w:pPr>
    </w:p>
    <w:p w14:paraId="59620FBB" w14:textId="77777777" w:rsidR="00284ED3" w:rsidRDefault="00284ED3" w:rsidP="00284ED3">
      <w:pPr>
        <w:spacing w:after="0" w:line="200" w:lineRule="exact"/>
      </w:pPr>
    </w:p>
    <w:p w14:paraId="22025C84" w14:textId="77777777" w:rsidR="00284ED3" w:rsidRDefault="00284ED3" w:rsidP="00284ED3">
      <w:pPr>
        <w:spacing w:after="0" w:line="200" w:lineRule="exact"/>
      </w:pPr>
    </w:p>
    <w:p w14:paraId="4FA3F6CA" w14:textId="77777777" w:rsidR="00284ED3" w:rsidRDefault="00284ED3" w:rsidP="00284ED3">
      <w:pPr>
        <w:spacing w:before="17" w:after="0" w:line="280" w:lineRule="exact"/>
        <w:rPr>
          <w:sz w:val="28"/>
          <w:szCs w:val="28"/>
        </w:rPr>
      </w:pPr>
    </w:p>
    <w:p w14:paraId="603F7E1F" w14:textId="77777777" w:rsidR="00284ED3" w:rsidRDefault="00284ED3" w:rsidP="003B1DC9">
      <w:pPr>
        <w:pStyle w:val="Title"/>
      </w:pPr>
      <w:r w:rsidRPr="007B3DD5">
        <w:t>Conceptual representation of fluid flow conditions associated with faults in sedimentary basins</w:t>
      </w:r>
    </w:p>
    <w:p w14:paraId="7ED643D3" w14:textId="77777777" w:rsidR="00284ED3" w:rsidRDefault="00284ED3" w:rsidP="00284ED3">
      <w:pPr>
        <w:rPr>
          <w:b/>
          <w:sz w:val="52"/>
          <w:szCs w:val="52"/>
        </w:rPr>
      </w:pPr>
    </w:p>
    <w:p w14:paraId="7CF4EA50" w14:textId="77777777" w:rsidR="00284ED3" w:rsidRDefault="00284ED3" w:rsidP="003B1DC9">
      <w:pPr>
        <w:pStyle w:val="Heading1NoTOC"/>
      </w:pPr>
      <w:r>
        <w:t xml:space="preserve">Project: </w:t>
      </w:r>
      <w:r w:rsidRPr="00DE4043">
        <w:t>Research to improve treatment of faults and aquitards in Australian regional groundwater models to improve assessment of impacts of CSG extraction</w:t>
      </w:r>
    </w:p>
    <w:p w14:paraId="5ACDF838" w14:textId="77777777" w:rsidR="001E1768" w:rsidRDefault="001E1768" w:rsidP="00E25502">
      <w:pPr>
        <w:rPr>
          <w:sz w:val="24"/>
          <w:szCs w:val="24"/>
        </w:rPr>
      </w:pPr>
    </w:p>
    <w:p w14:paraId="2AB8719C" w14:textId="76832148" w:rsidR="001E1768" w:rsidRDefault="00284ED3" w:rsidP="00E25502">
      <w:pPr>
        <w:rPr>
          <w:sz w:val="24"/>
          <w:szCs w:val="24"/>
        </w:rPr>
      </w:pPr>
      <w:r w:rsidRPr="00410A37">
        <w:rPr>
          <w:sz w:val="24"/>
          <w:szCs w:val="24"/>
        </w:rPr>
        <w:t xml:space="preserve">Prepared for the </w:t>
      </w:r>
      <w:r w:rsidR="00144B7B">
        <w:rPr>
          <w:sz w:val="24"/>
          <w:szCs w:val="24"/>
        </w:rPr>
        <w:t>Departmen</w:t>
      </w:r>
      <w:r w:rsidR="003A2A4F">
        <w:rPr>
          <w:sz w:val="24"/>
          <w:szCs w:val="24"/>
        </w:rPr>
        <w:t>t of the Environment and Energy.</w:t>
      </w:r>
    </w:p>
    <w:p w14:paraId="00EB2B6B" w14:textId="77777777" w:rsidR="001E1768" w:rsidRDefault="001E1768" w:rsidP="00E25502">
      <w:pPr>
        <w:rPr>
          <w:sz w:val="24"/>
          <w:szCs w:val="24"/>
        </w:rPr>
      </w:pPr>
    </w:p>
    <w:p w14:paraId="5F081DB6" w14:textId="77777777" w:rsidR="003A2A4F" w:rsidRDefault="003A2A4F" w:rsidP="00E25502">
      <w:pPr>
        <w:rPr>
          <w:sz w:val="24"/>
          <w:szCs w:val="24"/>
        </w:rPr>
      </w:pPr>
    </w:p>
    <w:p w14:paraId="22F34CBC" w14:textId="172E1C80" w:rsidR="001E1768" w:rsidRPr="00E25502" w:rsidRDefault="00AA038A">
      <w:pPr>
        <w:spacing w:after="0" w:line="590" w:lineRule="exact"/>
        <w:ind w:left="117" w:right="-20"/>
        <w:rPr>
          <w:rFonts w:ascii="Calibri" w:eastAsia="Calibri" w:hAnsi="Calibri" w:cs="Calibri"/>
          <w:sz w:val="32"/>
          <w:szCs w:val="32"/>
        </w:rPr>
        <w:sectPr w:rsidR="001E1768" w:rsidRPr="00E25502" w:rsidSect="0047281E">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r>
        <w:rPr>
          <w:rFonts w:ascii="Calibri" w:eastAsia="Calibri" w:hAnsi="Calibri" w:cs="Calibri"/>
          <w:position w:val="2"/>
          <w:sz w:val="32"/>
          <w:szCs w:val="32"/>
        </w:rPr>
        <w:t>201</w:t>
      </w:r>
      <w:r w:rsidR="003A2A4F">
        <w:rPr>
          <w:rFonts w:ascii="Calibri" w:eastAsia="Calibri" w:hAnsi="Calibri" w:cs="Calibri"/>
          <w:position w:val="2"/>
          <w:sz w:val="32"/>
          <w:szCs w:val="32"/>
        </w:rPr>
        <w:t>8</w:t>
      </w:r>
    </w:p>
    <w:p w14:paraId="6AD38895" w14:textId="77777777" w:rsidR="00284ED3" w:rsidRDefault="00284ED3" w:rsidP="00284ED3">
      <w:pPr>
        <w:spacing w:after="0"/>
        <w:sectPr w:rsidR="00284ED3" w:rsidSect="00056F98">
          <w:headerReference w:type="even" r:id="rId14"/>
          <w:headerReference w:type="default" r:id="rId15"/>
          <w:footerReference w:type="even" r:id="rId16"/>
          <w:footerReference w:type="default" r:id="rId17"/>
          <w:headerReference w:type="first" r:id="rId18"/>
          <w:footerReference w:type="first" r:id="rId19"/>
          <w:pgSz w:w="11900" w:h="16860"/>
          <w:pgMar w:top="1580" w:right="1680" w:bottom="280" w:left="1160" w:header="720" w:footer="720" w:gutter="0"/>
          <w:cols w:space="720"/>
        </w:sectPr>
      </w:pPr>
    </w:p>
    <w:p w14:paraId="502BB67C" w14:textId="77777777" w:rsidR="00284ED3" w:rsidRDefault="00284ED3" w:rsidP="003B1DC9">
      <w:pPr>
        <w:pStyle w:val="Heading1NoTOC"/>
        <w:rPr>
          <w:rFonts w:eastAsia="Cambria"/>
        </w:rPr>
      </w:pPr>
      <w:r>
        <w:rPr>
          <w:rFonts w:eastAsia="Cambria"/>
          <w:spacing w:val="-1"/>
        </w:rPr>
        <w:lastRenderedPageBreak/>
        <w:t>R</w:t>
      </w:r>
      <w:r>
        <w:rPr>
          <w:rFonts w:eastAsia="Cambria"/>
        </w:rPr>
        <w:t>ese</w:t>
      </w:r>
      <w:r>
        <w:rPr>
          <w:rFonts w:eastAsia="Cambria"/>
          <w:spacing w:val="1"/>
        </w:rPr>
        <w:t>a</w:t>
      </w:r>
      <w:r>
        <w:rPr>
          <w:rFonts w:eastAsia="Cambria"/>
        </w:rPr>
        <w:t>r</w:t>
      </w:r>
      <w:r>
        <w:rPr>
          <w:rFonts w:eastAsia="Cambria"/>
          <w:spacing w:val="-2"/>
        </w:rPr>
        <w:t>c</w:t>
      </w:r>
      <w:r>
        <w:rPr>
          <w:rFonts w:eastAsia="Cambria"/>
        </w:rPr>
        <w:t>h</w:t>
      </w:r>
      <w:r>
        <w:rPr>
          <w:rFonts w:eastAsia="Cambria"/>
          <w:spacing w:val="-1"/>
        </w:rPr>
        <w:t xml:space="preserve"> </w:t>
      </w:r>
      <w:r>
        <w:rPr>
          <w:rFonts w:eastAsia="Cambria"/>
        </w:rPr>
        <w:t>Te</w:t>
      </w:r>
      <w:r>
        <w:rPr>
          <w:rFonts w:eastAsia="Cambria"/>
          <w:spacing w:val="1"/>
        </w:rPr>
        <w:t>a</w:t>
      </w:r>
      <w:r>
        <w:rPr>
          <w:rFonts w:eastAsia="Cambria"/>
        </w:rPr>
        <w:t>m</w:t>
      </w:r>
    </w:p>
    <w:p w14:paraId="712661C0" w14:textId="34522258" w:rsidR="00FA5A46" w:rsidRPr="00E25502" w:rsidRDefault="006C0FFD" w:rsidP="00FA5A46">
      <w:pPr>
        <w:rPr>
          <w:b/>
        </w:rPr>
      </w:pPr>
      <w:r w:rsidRPr="00E25502">
        <w:rPr>
          <w:b/>
        </w:rPr>
        <w:t>Jim Underschultz</w:t>
      </w:r>
      <w:r w:rsidRPr="00E25502">
        <w:rPr>
          <w:b/>
          <w:vertAlign w:val="superscript"/>
        </w:rPr>
        <w:t>1</w:t>
      </w:r>
      <w:r w:rsidRPr="00E25502">
        <w:rPr>
          <w:b/>
        </w:rPr>
        <w:t>, Joan Esterle</w:t>
      </w:r>
      <w:r w:rsidRPr="00E25502">
        <w:rPr>
          <w:b/>
          <w:vertAlign w:val="superscript"/>
        </w:rPr>
        <w:t>1</w:t>
      </w:r>
      <w:r w:rsidR="00FA5A46">
        <w:rPr>
          <w:b/>
        </w:rPr>
        <w:t xml:space="preserve">, </w:t>
      </w:r>
      <w:r w:rsidRPr="00E25502">
        <w:rPr>
          <w:b/>
        </w:rPr>
        <w:t>Julian Strand</w:t>
      </w:r>
      <w:r w:rsidRPr="00E25502">
        <w:rPr>
          <w:b/>
          <w:vertAlign w:val="superscript"/>
        </w:rPr>
        <w:t>2</w:t>
      </w:r>
      <w:r w:rsidR="00FA5A46" w:rsidRPr="00FA5A46">
        <w:rPr>
          <w:b/>
        </w:rPr>
        <w:t xml:space="preserve"> </w:t>
      </w:r>
      <w:r w:rsidR="00FA5A46">
        <w:rPr>
          <w:b/>
        </w:rPr>
        <w:t>and Susan Hayes</w:t>
      </w:r>
      <w:r w:rsidR="00FA5A46">
        <w:rPr>
          <w:b/>
          <w:vertAlign w:val="superscript"/>
        </w:rPr>
        <w:t>1</w:t>
      </w:r>
    </w:p>
    <w:p w14:paraId="3804A4B7" w14:textId="77777777" w:rsidR="00284ED3" w:rsidRPr="00E25502" w:rsidRDefault="00284ED3" w:rsidP="00284ED3">
      <w:pPr>
        <w:rPr>
          <w:b/>
        </w:rPr>
      </w:pPr>
    </w:p>
    <w:p w14:paraId="252FC903" w14:textId="77777777" w:rsidR="00284ED3" w:rsidRDefault="00284ED3" w:rsidP="00284ED3">
      <w:r>
        <w:t>1: The University of Queensland</w:t>
      </w:r>
    </w:p>
    <w:p w14:paraId="4266305D" w14:textId="3620B3A4" w:rsidR="009D61FA" w:rsidRDefault="00284ED3" w:rsidP="003B1DC9">
      <w:r>
        <w:t>2: CSIRO</w:t>
      </w:r>
    </w:p>
    <w:p w14:paraId="655A3367" w14:textId="77777777" w:rsidR="00284ED3" w:rsidRPr="0078244D" w:rsidRDefault="00284ED3" w:rsidP="003B1DC9">
      <w:pPr>
        <w:pStyle w:val="Heading1NoTOC"/>
        <w:rPr>
          <w:rFonts w:eastAsia="Cambria"/>
        </w:rPr>
      </w:pPr>
      <w:r w:rsidRPr="0078244D">
        <w:rPr>
          <w:rFonts w:eastAsia="Cambria"/>
        </w:rPr>
        <w:t>Acknowledgements</w:t>
      </w:r>
    </w:p>
    <w:p w14:paraId="63C29692" w14:textId="0EFB1C8F" w:rsidR="00284ED3" w:rsidRPr="007A3715" w:rsidRDefault="00284ED3" w:rsidP="00284ED3">
      <w:r w:rsidRPr="007A3715">
        <w:t xml:space="preserve">The authors would like to </w:t>
      </w:r>
      <w:r w:rsidR="009501C9">
        <w:t>thank A. Garnett</w:t>
      </w:r>
      <w:r>
        <w:t xml:space="preserve">, K. Barbosa and H. Schultz at the University of Queensland for internal review, Ryan Morris of Origin Energy for an industry review, </w:t>
      </w:r>
      <w:r w:rsidR="00BC1171">
        <w:t>Dirk Mallants of</w:t>
      </w:r>
      <w:r>
        <w:t xml:space="preserve"> CSIRO</w:t>
      </w:r>
      <w:r w:rsidR="00BC1171">
        <w:t xml:space="preserve"> for a contractors</w:t>
      </w:r>
      <w:r>
        <w:t xml:space="preserve"> review and Alistair Usher</w:t>
      </w:r>
      <w:r w:rsidR="00BC1171">
        <w:t xml:space="preserve"> of </w:t>
      </w:r>
      <w:r w:rsidR="00967815">
        <w:t>the Department of the Environment and Energy</w:t>
      </w:r>
      <w:r w:rsidR="00BC1171">
        <w:t xml:space="preserve"> for a client review</w:t>
      </w:r>
      <w:r>
        <w:t>.</w:t>
      </w:r>
      <w:r w:rsidR="00BC1171">
        <w:t xml:space="preserve">  These reviews have strengthened the reports technical content and readability.</w:t>
      </w:r>
    </w:p>
    <w:p w14:paraId="3B175AE5" w14:textId="77777777" w:rsidR="00284ED3" w:rsidRDefault="00284ED3" w:rsidP="003B1DC9">
      <w:pPr>
        <w:pStyle w:val="Heading1NoTOC"/>
        <w:rPr>
          <w:rFonts w:eastAsia="Cambria"/>
        </w:rPr>
      </w:pPr>
      <w:r>
        <w:rPr>
          <w:rFonts w:eastAsia="Cambria"/>
          <w:spacing w:val="-1"/>
        </w:rPr>
        <w:t>D</w:t>
      </w:r>
      <w:r>
        <w:rPr>
          <w:rFonts w:eastAsia="Cambria"/>
        </w:rPr>
        <w:t>i</w:t>
      </w:r>
      <w:r>
        <w:rPr>
          <w:rFonts w:eastAsia="Cambria"/>
          <w:spacing w:val="1"/>
        </w:rPr>
        <w:t>s</w:t>
      </w:r>
      <w:r>
        <w:rPr>
          <w:rFonts w:eastAsia="Cambria"/>
        </w:rPr>
        <w:t>cl</w:t>
      </w:r>
      <w:r>
        <w:rPr>
          <w:rFonts w:eastAsia="Cambria"/>
          <w:spacing w:val="-1"/>
        </w:rPr>
        <w:t>o</w:t>
      </w:r>
      <w:r>
        <w:rPr>
          <w:rFonts w:eastAsia="Cambria"/>
        </w:rPr>
        <w:t>s</w:t>
      </w:r>
      <w:r>
        <w:rPr>
          <w:rFonts w:eastAsia="Cambria"/>
          <w:spacing w:val="1"/>
        </w:rPr>
        <w:t>u</w:t>
      </w:r>
      <w:r>
        <w:rPr>
          <w:rFonts w:eastAsia="Cambria"/>
        </w:rPr>
        <w:t>r</w:t>
      </w:r>
      <w:r>
        <w:rPr>
          <w:rFonts w:eastAsia="Cambria"/>
          <w:spacing w:val="-3"/>
        </w:rPr>
        <w:t>e</w:t>
      </w:r>
      <w:r>
        <w:rPr>
          <w:rFonts w:eastAsia="Cambria"/>
        </w:rPr>
        <w:t>/</w:t>
      </w:r>
      <w:r>
        <w:rPr>
          <w:rFonts w:eastAsia="Cambria"/>
          <w:spacing w:val="-1"/>
        </w:rPr>
        <w:t>D</w:t>
      </w:r>
      <w:r>
        <w:rPr>
          <w:rFonts w:eastAsia="Cambria"/>
        </w:rPr>
        <w:t>i</w:t>
      </w:r>
      <w:r>
        <w:rPr>
          <w:rFonts w:eastAsia="Cambria"/>
          <w:spacing w:val="1"/>
        </w:rPr>
        <w:t>s</w:t>
      </w:r>
      <w:r>
        <w:rPr>
          <w:rFonts w:eastAsia="Cambria"/>
        </w:rPr>
        <w:t>c</w:t>
      </w:r>
      <w:r>
        <w:rPr>
          <w:rFonts w:eastAsia="Cambria"/>
          <w:spacing w:val="-2"/>
        </w:rPr>
        <w:t>l</w:t>
      </w:r>
      <w:r>
        <w:rPr>
          <w:rFonts w:eastAsia="Cambria"/>
          <w:spacing w:val="1"/>
        </w:rPr>
        <w:t>a</w:t>
      </w:r>
      <w:r>
        <w:rPr>
          <w:rFonts w:eastAsia="Cambria"/>
          <w:spacing w:val="-2"/>
        </w:rPr>
        <w:t>i</w:t>
      </w:r>
      <w:r>
        <w:rPr>
          <w:rFonts w:eastAsia="Cambria"/>
        </w:rPr>
        <w:t>mer</w:t>
      </w:r>
    </w:p>
    <w:p w14:paraId="0A06E6B3" w14:textId="77777777" w:rsidR="00284ED3" w:rsidRDefault="00284ED3" w:rsidP="00284ED3">
      <w:r>
        <w:t>The</w:t>
      </w:r>
      <w:r>
        <w:rPr>
          <w:spacing w:val="1"/>
        </w:rPr>
        <w:t xml:space="preserve"> </w:t>
      </w:r>
      <w:r>
        <w:t>UQ,</w:t>
      </w:r>
      <w:r>
        <w:rPr>
          <w:spacing w:val="-2"/>
        </w:rPr>
        <w:t xml:space="preserve"> </w:t>
      </w:r>
      <w:r>
        <w:t>C</w:t>
      </w:r>
      <w:r>
        <w:rPr>
          <w:spacing w:val="1"/>
        </w:rPr>
        <w:t>e</w:t>
      </w:r>
      <w:r>
        <w:rPr>
          <w:spacing w:val="-1"/>
        </w:rPr>
        <w:t>n</w:t>
      </w:r>
      <w:r>
        <w:t>t</w:t>
      </w:r>
      <w:r>
        <w:rPr>
          <w:spacing w:val="-2"/>
        </w:rPr>
        <w:t>r</w:t>
      </w:r>
      <w:r>
        <w:t>e</w:t>
      </w:r>
      <w:r>
        <w:rPr>
          <w:spacing w:val="-1"/>
        </w:rPr>
        <w:t xml:space="preserve"> </w:t>
      </w:r>
      <w:r>
        <w:rPr>
          <w:spacing w:val="1"/>
        </w:rPr>
        <w:t>o</w:t>
      </w:r>
      <w:r>
        <w:t xml:space="preserve">f </w:t>
      </w:r>
      <w:r>
        <w:rPr>
          <w:spacing w:val="-2"/>
        </w:rPr>
        <w:t>C</w:t>
      </w:r>
      <w:r>
        <w:rPr>
          <w:spacing w:val="1"/>
        </w:rPr>
        <w:t>o</w:t>
      </w:r>
      <w:r>
        <w:t>al Se</w:t>
      </w:r>
      <w:r>
        <w:rPr>
          <w:spacing w:val="-3"/>
        </w:rPr>
        <w:t>a</w:t>
      </w:r>
      <w:r>
        <w:t>m</w:t>
      </w:r>
      <w:r>
        <w:rPr>
          <w:spacing w:val="1"/>
        </w:rPr>
        <w:t xml:space="preserve"> </w:t>
      </w:r>
      <w:r>
        <w:t>Gas</w:t>
      </w:r>
      <w:r>
        <w:rPr>
          <w:spacing w:val="-2"/>
        </w:rPr>
        <w:t xml:space="preserve"> </w:t>
      </w:r>
      <w:r>
        <w:t>is</w:t>
      </w:r>
      <w:r>
        <w:rPr>
          <w:spacing w:val="1"/>
        </w:rPr>
        <w:t xml:space="preserve"> </w:t>
      </w:r>
      <w:r>
        <w:t>cu</w:t>
      </w:r>
      <w:r>
        <w:rPr>
          <w:spacing w:val="-1"/>
        </w:rPr>
        <w:t>r</w:t>
      </w:r>
      <w:r>
        <w:rPr>
          <w:spacing w:val="-3"/>
        </w:rPr>
        <w:t>r</w:t>
      </w:r>
      <w:r>
        <w:t>ently</w:t>
      </w:r>
      <w:r>
        <w:rPr>
          <w:spacing w:val="-1"/>
        </w:rPr>
        <w:t xml:space="preserve"> </w:t>
      </w:r>
      <w:r>
        <w:t>fu</w:t>
      </w:r>
      <w:r>
        <w:rPr>
          <w:spacing w:val="-1"/>
        </w:rPr>
        <w:t>nd</w:t>
      </w:r>
      <w:r>
        <w:t>ed</w:t>
      </w:r>
      <w:r>
        <w:rPr>
          <w:spacing w:val="-2"/>
        </w:rPr>
        <w:t xml:space="preserve"> </w:t>
      </w:r>
      <w:r>
        <w:rPr>
          <w:spacing w:val="-1"/>
        </w:rPr>
        <w:t>b</w:t>
      </w:r>
      <w:r>
        <w:t>y</w:t>
      </w:r>
      <w:r>
        <w:rPr>
          <w:spacing w:val="1"/>
        </w:rPr>
        <w:t xml:space="preserve"> t</w:t>
      </w:r>
      <w:r>
        <w:rPr>
          <w:spacing w:val="-1"/>
        </w:rPr>
        <w:t>h</w:t>
      </w:r>
      <w:r>
        <w:t>e</w:t>
      </w:r>
      <w:r>
        <w:rPr>
          <w:spacing w:val="-1"/>
        </w:rPr>
        <w:t xml:space="preserve"> </w:t>
      </w:r>
      <w:r>
        <w:t>U</w:t>
      </w:r>
      <w:r>
        <w:rPr>
          <w:spacing w:val="-1"/>
        </w:rPr>
        <w:t>n</w:t>
      </w:r>
      <w:r>
        <w:t>iv</w:t>
      </w:r>
      <w:r>
        <w:rPr>
          <w:spacing w:val="1"/>
        </w:rPr>
        <w:t>e</w:t>
      </w:r>
      <w:r>
        <w:rPr>
          <w:spacing w:val="-3"/>
        </w:rPr>
        <w:t>r</w:t>
      </w:r>
      <w:r>
        <w:t>sity</w:t>
      </w:r>
      <w:r>
        <w:rPr>
          <w:spacing w:val="-1"/>
        </w:rPr>
        <w:t xml:space="preserve"> </w:t>
      </w:r>
      <w:r>
        <w:rPr>
          <w:spacing w:val="1"/>
        </w:rPr>
        <w:t>o</w:t>
      </w:r>
      <w:r>
        <w:t>f</w:t>
      </w:r>
      <w:r>
        <w:rPr>
          <w:spacing w:val="-3"/>
        </w:rPr>
        <w:t xml:space="preserve"> </w:t>
      </w:r>
      <w:r>
        <w:t>Q</w:t>
      </w:r>
      <w:r>
        <w:rPr>
          <w:spacing w:val="-1"/>
        </w:rPr>
        <w:t>u</w:t>
      </w:r>
      <w:r>
        <w:t>e</w:t>
      </w:r>
      <w:r>
        <w:rPr>
          <w:spacing w:val="1"/>
        </w:rPr>
        <w:t>e</w:t>
      </w:r>
      <w:r>
        <w:rPr>
          <w:spacing w:val="-3"/>
        </w:rPr>
        <w:t>n</w:t>
      </w:r>
      <w:r>
        <w:t>sla</w:t>
      </w:r>
      <w:r>
        <w:rPr>
          <w:spacing w:val="-1"/>
        </w:rPr>
        <w:t>n</w:t>
      </w:r>
      <w:r>
        <w:t>d</w:t>
      </w:r>
      <w:r>
        <w:rPr>
          <w:spacing w:val="4"/>
        </w:rPr>
        <w:t xml:space="preserve"> </w:t>
      </w:r>
      <w:r>
        <w:rPr>
          <w:spacing w:val="1"/>
        </w:rPr>
        <w:t>2</w:t>
      </w:r>
      <w:r>
        <w:rPr>
          <w:spacing w:val="-2"/>
        </w:rPr>
        <w:t>2</w:t>
      </w:r>
      <w:r>
        <w:t>%</w:t>
      </w:r>
      <w:r>
        <w:rPr>
          <w:spacing w:val="1"/>
        </w:rPr>
        <w:t xml:space="preserve"> </w:t>
      </w:r>
      <w:r>
        <w:rPr>
          <w:spacing w:val="-2"/>
        </w:rPr>
        <w:t>(</w:t>
      </w:r>
      <w:r>
        <w:rPr>
          <w:spacing w:val="1"/>
        </w:rPr>
        <w:t>$</w:t>
      </w:r>
      <w:r>
        <w:t xml:space="preserve">5 </w:t>
      </w:r>
      <w:r>
        <w:rPr>
          <w:spacing w:val="1"/>
        </w:rPr>
        <w:t>m</w:t>
      </w:r>
      <w:r>
        <w:t>illi</w:t>
      </w:r>
      <w:r>
        <w:rPr>
          <w:spacing w:val="1"/>
        </w:rPr>
        <w:t>o</w:t>
      </w:r>
      <w:r>
        <w:rPr>
          <w:spacing w:val="-1"/>
        </w:rPr>
        <w:t>n</w:t>
      </w:r>
      <w:r>
        <w:t>)</w:t>
      </w:r>
      <w:r>
        <w:rPr>
          <w:spacing w:val="-2"/>
        </w:rPr>
        <w:t xml:space="preserve"> </w:t>
      </w:r>
      <w:r>
        <w:t>and</w:t>
      </w:r>
      <w:r>
        <w:rPr>
          <w:spacing w:val="-1"/>
        </w:rPr>
        <w:t xml:space="preserve"> </w:t>
      </w:r>
      <w:r>
        <w:rPr>
          <w:spacing w:val="1"/>
        </w:rPr>
        <w:t>t</w:t>
      </w:r>
      <w:r>
        <w:rPr>
          <w:spacing w:val="-1"/>
        </w:rPr>
        <w:t>h</w:t>
      </w:r>
      <w:r>
        <w:t>e</w:t>
      </w:r>
      <w:r>
        <w:rPr>
          <w:spacing w:val="1"/>
        </w:rPr>
        <w:t xml:space="preserve"> </w:t>
      </w:r>
      <w:r>
        <w:t>I</w:t>
      </w:r>
      <w:r>
        <w:rPr>
          <w:spacing w:val="-1"/>
        </w:rPr>
        <w:t>ndu</w:t>
      </w:r>
      <w:r>
        <w:t>st</w:t>
      </w:r>
      <w:r>
        <w:rPr>
          <w:spacing w:val="-2"/>
        </w:rPr>
        <w:t>r</w:t>
      </w:r>
      <w:r>
        <w:t>y</w:t>
      </w:r>
      <w:r>
        <w:rPr>
          <w:spacing w:val="-1"/>
        </w:rPr>
        <w:t xml:space="preserve"> m</w:t>
      </w:r>
      <w:r>
        <w:t>e</w:t>
      </w:r>
      <w:r>
        <w:rPr>
          <w:spacing w:val="1"/>
        </w:rPr>
        <w:t>m</w:t>
      </w:r>
      <w:r>
        <w:rPr>
          <w:spacing w:val="-1"/>
        </w:rPr>
        <w:t>b</w:t>
      </w:r>
      <w:r>
        <w:t>e</w:t>
      </w:r>
      <w:r>
        <w:rPr>
          <w:spacing w:val="-2"/>
        </w:rPr>
        <w:t>r</w:t>
      </w:r>
      <w:r>
        <w:t>s</w:t>
      </w:r>
      <w:r>
        <w:rPr>
          <w:spacing w:val="2"/>
        </w:rPr>
        <w:t xml:space="preserve"> </w:t>
      </w:r>
      <w:r>
        <w:rPr>
          <w:spacing w:val="-2"/>
        </w:rPr>
        <w:t>7</w:t>
      </w:r>
      <w:r>
        <w:rPr>
          <w:spacing w:val="1"/>
        </w:rPr>
        <w:t>8</w:t>
      </w:r>
      <w:r>
        <w:t>%</w:t>
      </w:r>
      <w:r>
        <w:rPr>
          <w:spacing w:val="-2"/>
        </w:rPr>
        <w:t xml:space="preserve"> </w:t>
      </w:r>
      <w:r>
        <w:rPr>
          <w:spacing w:val="1"/>
        </w:rPr>
        <w:t>(</w:t>
      </w:r>
      <w:r>
        <w:rPr>
          <w:spacing w:val="-1"/>
        </w:rPr>
        <w:t>$</w:t>
      </w:r>
      <w:r>
        <w:rPr>
          <w:spacing w:val="1"/>
        </w:rPr>
        <w:t>17</w:t>
      </w:r>
      <w:r>
        <w:rPr>
          <w:spacing w:val="-3"/>
        </w:rPr>
        <w:t>.</w:t>
      </w:r>
      <w:r>
        <w:t xml:space="preserve">5 </w:t>
      </w:r>
      <w:r>
        <w:rPr>
          <w:spacing w:val="1"/>
        </w:rPr>
        <w:t>m</w:t>
      </w:r>
      <w:r>
        <w:t>illi</w:t>
      </w:r>
      <w:r>
        <w:rPr>
          <w:spacing w:val="1"/>
        </w:rPr>
        <w:t>o</w:t>
      </w:r>
      <w:r>
        <w:rPr>
          <w:spacing w:val="-1"/>
        </w:rPr>
        <w:t>n</w:t>
      </w:r>
      <w:r>
        <w:t>)</w:t>
      </w:r>
      <w:r>
        <w:rPr>
          <w:spacing w:val="-2"/>
        </w:rPr>
        <w:t xml:space="preserve"> </w:t>
      </w:r>
      <w:r>
        <w:rPr>
          <w:spacing w:val="-1"/>
        </w:rPr>
        <w:t>o</w:t>
      </w:r>
      <w:r>
        <w:rPr>
          <w:spacing w:val="1"/>
        </w:rPr>
        <w:t>v</w:t>
      </w:r>
      <w:r>
        <w:t>er</w:t>
      </w:r>
      <w:r>
        <w:rPr>
          <w:spacing w:val="-1"/>
        </w:rPr>
        <w:t xml:space="preserve"> </w:t>
      </w:r>
      <w:r>
        <w:t>5</w:t>
      </w:r>
      <w:r>
        <w:rPr>
          <w:spacing w:val="-1"/>
        </w:rPr>
        <w:t xml:space="preserve"> </w:t>
      </w:r>
      <w:r>
        <w:rPr>
          <w:spacing w:val="1"/>
        </w:rPr>
        <w:t>y</w:t>
      </w:r>
      <w:r>
        <w:t>ears.</w:t>
      </w:r>
      <w:r>
        <w:rPr>
          <w:spacing w:val="1"/>
        </w:rPr>
        <w:t xml:space="preserve"> </w:t>
      </w:r>
      <w:r>
        <w:t>An</w:t>
      </w:r>
      <w:r>
        <w:rPr>
          <w:spacing w:val="-1"/>
        </w:rPr>
        <w:t xml:space="preserve"> </w:t>
      </w:r>
      <w:r>
        <w:t>ad</w:t>
      </w:r>
      <w:r>
        <w:rPr>
          <w:spacing w:val="-1"/>
        </w:rPr>
        <w:t>d</w:t>
      </w:r>
      <w:r>
        <w:t>it</w:t>
      </w:r>
      <w:r>
        <w:rPr>
          <w:spacing w:val="-2"/>
        </w:rPr>
        <w:t>i</w:t>
      </w:r>
      <w:r>
        <w:rPr>
          <w:spacing w:val="1"/>
        </w:rPr>
        <w:t>o</w:t>
      </w:r>
      <w:r>
        <w:rPr>
          <w:spacing w:val="-1"/>
        </w:rPr>
        <w:t>n</w:t>
      </w:r>
      <w:r>
        <w:t>al</w:t>
      </w:r>
      <w:r>
        <w:rPr>
          <w:spacing w:val="-3"/>
        </w:rPr>
        <w:t xml:space="preserve"> </w:t>
      </w:r>
      <w:r>
        <w:rPr>
          <w:spacing w:val="1"/>
        </w:rPr>
        <w:t>$3</w:t>
      </w:r>
      <w:r>
        <w:rPr>
          <w:spacing w:val="-3"/>
        </w:rPr>
        <w:t>.</w:t>
      </w:r>
      <w:r>
        <w:t>0</w:t>
      </w:r>
      <w:r>
        <w:rPr>
          <w:spacing w:val="-1"/>
        </w:rPr>
        <w:t xml:space="preserve"> </w:t>
      </w:r>
      <w:r>
        <w:rPr>
          <w:spacing w:val="1"/>
        </w:rPr>
        <w:t>m</w:t>
      </w:r>
      <w:r>
        <w:t>illi</w:t>
      </w:r>
      <w:r>
        <w:rPr>
          <w:spacing w:val="1"/>
        </w:rPr>
        <w:t>o</w:t>
      </w:r>
      <w:r>
        <w:t>n</w:t>
      </w:r>
      <w:r>
        <w:rPr>
          <w:spacing w:val="-1"/>
        </w:rPr>
        <w:t xml:space="preserve"> </w:t>
      </w:r>
      <w:r>
        <w:rPr>
          <w:spacing w:val="-2"/>
        </w:rPr>
        <w:t>i</w:t>
      </w:r>
      <w:r>
        <w:t xml:space="preserve">s </w:t>
      </w:r>
      <w:r>
        <w:rPr>
          <w:spacing w:val="-1"/>
        </w:rPr>
        <w:t>p</w:t>
      </w:r>
      <w:r>
        <w:t>r</w:t>
      </w:r>
      <w:r>
        <w:rPr>
          <w:spacing w:val="1"/>
        </w:rPr>
        <w:t>ov</w:t>
      </w:r>
      <w:r>
        <w:t>i</w:t>
      </w:r>
      <w:r>
        <w:rPr>
          <w:spacing w:val="-1"/>
        </w:rPr>
        <w:t>d</w:t>
      </w:r>
      <w:r>
        <w:t xml:space="preserve">ed </w:t>
      </w:r>
      <w:r>
        <w:rPr>
          <w:spacing w:val="-3"/>
        </w:rPr>
        <w:t>b</w:t>
      </w:r>
      <w:r>
        <w:t>y</w:t>
      </w:r>
      <w:r>
        <w:rPr>
          <w:spacing w:val="1"/>
        </w:rPr>
        <w:t xml:space="preserve"> </w:t>
      </w:r>
      <w:r>
        <w:t>in</w:t>
      </w:r>
      <w:r>
        <w:rPr>
          <w:spacing w:val="-1"/>
        </w:rPr>
        <w:t>du</w:t>
      </w:r>
      <w:r>
        <w:t>stry</w:t>
      </w:r>
      <w:r>
        <w:rPr>
          <w:spacing w:val="-3"/>
        </w:rPr>
        <w:t xml:space="preserve"> </w:t>
      </w:r>
      <w:r>
        <w:rPr>
          <w:spacing w:val="1"/>
        </w:rPr>
        <w:t>m</w:t>
      </w:r>
      <w:r>
        <w:rPr>
          <w:spacing w:val="-2"/>
        </w:rPr>
        <w:t>e</w:t>
      </w:r>
      <w:r>
        <w:rPr>
          <w:spacing w:val="-1"/>
        </w:rPr>
        <w:t>mb</w:t>
      </w:r>
      <w:r>
        <w:t>ers</w:t>
      </w:r>
      <w:r>
        <w:rPr>
          <w:spacing w:val="1"/>
        </w:rPr>
        <w:t xml:space="preserve"> </w:t>
      </w:r>
      <w:r>
        <w:t>f</w:t>
      </w:r>
      <w:r>
        <w:rPr>
          <w:spacing w:val="1"/>
        </w:rPr>
        <w:t>o</w:t>
      </w:r>
      <w:r>
        <w:t>r</w:t>
      </w:r>
      <w:r>
        <w:rPr>
          <w:spacing w:val="-2"/>
        </w:rPr>
        <w:t xml:space="preserve"> </w:t>
      </w:r>
      <w:r>
        <w:t>r</w:t>
      </w:r>
      <w:r>
        <w:rPr>
          <w:spacing w:val="1"/>
        </w:rPr>
        <w:t>e</w:t>
      </w:r>
      <w:r>
        <w:rPr>
          <w:spacing w:val="-2"/>
        </w:rPr>
        <w:t>s</w:t>
      </w:r>
      <w:r>
        <w:t>earch i</w:t>
      </w:r>
      <w:r>
        <w:rPr>
          <w:spacing w:val="-1"/>
        </w:rPr>
        <w:t>n</w:t>
      </w:r>
      <w:r>
        <w:t>fras</w:t>
      </w:r>
      <w:r>
        <w:rPr>
          <w:spacing w:val="-2"/>
        </w:rPr>
        <w:t>t</w:t>
      </w:r>
      <w:r>
        <w:t>r</w:t>
      </w:r>
      <w:r>
        <w:rPr>
          <w:spacing w:val="-1"/>
        </w:rPr>
        <w:t>u</w:t>
      </w:r>
      <w:r>
        <w:rPr>
          <w:spacing w:val="-2"/>
        </w:rPr>
        <w:t>c</w:t>
      </w:r>
      <w:r>
        <w:t xml:space="preserve">ture </w:t>
      </w:r>
      <w:r>
        <w:rPr>
          <w:spacing w:val="-2"/>
        </w:rPr>
        <w:t>c</w:t>
      </w:r>
      <w:r>
        <w:rPr>
          <w:spacing w:val="1"/>
        </w:rPr>
        <w:t>o</w:t>
      </w:r>
      <w:r>
        <w:t>sts.</w:t>
      </w:r>
      <w:r>
        <w:rPr>
          <w:spacing w:val="-2"/>
        </w:rPr>
        <w:t xml:space="preserve"> </w:t>
      </w:r>
      <w:r>
        <w:t>The</w:t>
      </w:r>
      <w:r>
        <w:rPr>
          <w:spacing w:val="1"/>
        </w:rPr>
        <w:t xml:space="preserve"> </w:t>
      </w:r>
      <w:r>
        <w:t>i</w:t>
      </w:r>
      <w:r>
        <w:rPr>
          <w:spacing w:val="-1"/>
        </w:rPr>
        <w:t>ndu</w:t>
      </w:r>
      <w:r>
        <w:t>st</w:t>
      </w:r>
      <w:r>
        <w:rPr>
          <w:spacing w:val="-2"/>
        </w:rPr>
        <w:t>r</w:t>
      </w:r>
      <w:r>
        <w:t>y</w:t>
      </w:r>
      <w:r>
        <w:rPr>
          <w:spacing w:val="-1"/>
        </w:rPr>
        <w:t xml:space="preserve"> </w:t>
      </w:r>
      <w:r>
        <w:rPr>
          <w:spacing w:val="1"/>
        </w:rPr>
        <w:t>m</w:t>
      </w:r>
      <w:r>
        <w:rPr>
          <w:spacing w:val="-2"/>
        </w:rPr>
        <w:t>e</w:t>
      </w:r>
      <w:r>
        <w:rPr>
          <w:spacing w:val="1"/>
        </w:rPr>
        <w:t>m</w:t>
      </w:r>
      <w:r>
        <w:rPr>
          <w:spacing w:val="-1"/>
        </w:rPr>
        <w:t>b</w:t>
      </w:r>
      <w:r>
        <w:t>ers</w:t>
      </w:r>
      <w:r>
        <w:rPr>
          <w:spacing w:val="-1"/>
        </w:rPr>
        <w:t xml:space="preserve"> </w:t>
      </w:r>
      <w:r>
        <w:t>are</w:t>
      </w:r>
      <w:r>
        <w:rPr>
          <w:spacing w:val="-2"/>
        </w:rPr>
        <w:t xml:space="preserve"> </w:t>
      </w:r>
      <w:r>
        <w:t>QGC, S</w:t>
      </w:r>
      <w:r>
        <w:rPr>
          <w:spacing w:val="-1"/>
        </w:rPr>
        <w:t>an</w:t>
      </w:r>
      <w:r>
        <w:t>t</w:t>
      </w:r>
      <w:r>
        <w:rPr>
          <w:spacing w:val="1"/>
        </w:rPr>
        <w:t>o</w:t>
      </w:r>
      <w:r>
        <w:t>s, Ar</w:t>
      </w:r>
      <w:r>
        <w:rPr>
          <w:spacing w:val="-3"/>
        </w:rPr>
        <w:t>r</w:t>
      </w:r>
      <w:r>
        <w:rPr>
          <w:spacing w:val="1"/>
        </w:rPr>
        <w:t>o</w:t>
      </w:r>
      <w:r>
        <w:t>w</w:t>
      </w:r>
      <w:r>
        <w:rPr>
          <w:spacing w:val="-2"/>
        </w:rPr>
        <w:t xml:space="preserve"> </w:t>
      </w:r>
      <w:r>
        <w:t>and</w:t>
      </w:r>
      <w:r>
        <w:rPr>
          <w:spacing w:val="-1"/>
        </w:rPr>
        <w:t xml:space="preserve"> </w:t>
      </w:r>
      <w:r>
        <w:t>A</w:t>
      </w:r>
      <w:r>
        <w:rPr>
          <w:spacing w:val="-1"/>
        </w:rPr>
        <w:t>P</w:t>
      </w:r>
      <w:r>
        <w:rPr>
          <w:spacing w:val="1"/>
        </w:rPr>
        <w:t>L</w:t>
      </w:r>
      <w:r>
        <w:rPr>
          <w:spacing w:val="-1"/>
        </w:rPr>
        <w:t>N</w:t>
      </w:r>
      <w:r>
        <w:t>G.</w:t>
      </w:r>
      <w:r>
        <w:rPr>
          <w:spacing w:val="-1"/>
        </w:rPr>
        <w:t xml:space="preserve"> </w:t>
      </w:r>
      <w:r>
        <w:t>The</w:t>
      </w:r>
      <w:r>
        <w:rPr>
          <w:spacing w:val="1"/>
        </w:rPr>
        <w:t xml:space="preserve"> </w:t>
      </w:r>
      <w:r>
        <w:t>ce</w:t>
      </w:r>
      <w:r>
        <w:rPr>
          <w:spacing w:val="-2"/>
        </w:rPr>
        <w:t>n</w:t>
      </w:r>
      <w:r>
        <w:t>tre</w:t>
      </w:r>
      <w:r>
        <w:rPr>
          <w:spacing w:val="-1"/>
        </w:rPr>
        <w:t xml:space="preserve"> </w:t>
      </w:r>
      <w:r>
        <w:t>c</w:t>
      </w:r>
      <w:r>
        <w:rPr>
          <w:spacing w:val="1"/>
        </w:rPr>
        <w:t>o</w:t>
      </w:r>
      <w:r>
        <w:rPr>
          <w:spacing w:val="-1"/>
        </w:rPr>
        <w:t>ndu</w:t>
      </w:r>
      <w:r>
        <w:t>cts</w:t>
      </w:r>
      <w:r>
        <w:rPr>
          <w:spacing w:val="-2"/>
        </w:rPr>
        <w:t xml:space="preserve"> </w:t>
      </w:r>
      <w:r>
        <w:t>r</w:t>
      </w:r>
      <w:r>
        <w:rPr>
          <w:spacing w:val="1"/>
        </w:rPr>
        <w:t>e</w:t>
      </w:r>
      <w:r>
        <w:rPr>
          <w:spacing w:val="-2"/>
        </w:rPr>
        <w:t>s</w:t>
      </w:r>
      <w:r>
        <w:t>ea</w:t>
      </w:r>
      <w:r>
        <w:rPr>
          <w:spacing w:val="-2"/>
        </w:rPr>
        <w:t>r</w:t>
      </w:r>
      <w:r>
        <w:t>ch a</w:t>
      </w:r>
      <w:r>
        <w:rPr>
          <w:spacing w:val="1"/>
        </w:rPr>
        <w:t>c</w:t>
      </w:r>
      <w:r>
        <w:t>r</w:t>
      </w:r>
      <w:r>
        <w:rPr>
          <w:spacing w:val="-1"/>
        </w:rPr>
        <w:t>o</w:t>
      </w:r>
      <w:r>
        <w:t xml:space="preserve">ss </w:t>
      </w:r>
      <w:r>
        <w:rPr>
          <w:spacing w:val="1"/>
        </w:rPr>
        <w:t>W</w:t>
      </w:r>
      <w:r>
        <w:rPr>
          <w:spacing w:val="-3"/>
        </w:rPr>
        <w:t>a</w:t>
      </w:r>
      <w:r>
        <w:t>t</w:t>
      </w:r>
      <w:r>
        <w:rPr>
          <w:spacing w:val="1"/>
        </w:rPr>
        <w:t>e</w:t>
      </w:r>
      <w:r>
        <w:t>r,</w:t>
      </w:r>
      <w:r>
        <w:rPr>
          <w:spacing w:val="-2"/>
        </w:rPr>
        <w:t xml:space="preserve"> </w:t>
      </w:r>
      <w:r>
        <w:t>G</w:t>
      </w:r>
      <w:r>
        <w:rPr>
          <w:spacing w:val="-1"/>
        </w:rPr>
        <w:t>e</w:t>
      </w:r>
      <w:r>
        <w:rPr>
          <w:spacing w:val="1"/>
        </w:rPr>
        <w:t>o</w:t>
      </w:r>
      <w:r>
        <w:t>sc</w:t>
      </w:r>
      <w:r>
        <w:rPr>
          <w:spacing w:val="-2"/>
        </w:rPr>
        <w:t>i</w:t>
      </w:r>
      <w:r>
        <w:t>en</w:t>
      </w:r>
      <w:r>
        <w:rPr>
          <w:spacing w:val="-2"/>
        </w:rPr>
        <w:t>c</w:t>
      </w:r>
      <w:r>
        <w:t>e,</w:t>
      </w:r>
      <w:r>
        <w:rPr>
          <w:spacing w:val="1"/>
        </w:rPr>
        <w:t xml:space="preserve"> </w:t>
      </w:r>
      <w:r>
        <w:rPr>
          <w:spacing w:val="-1"/>
        </w:rPr>
        <w:t>P</w:t>
      </w:r>
      <w:r>
        <w:t>e</w:t>
      </w:r>
      <w:r>
        <w:rPr>
          <w:spacing w:val="1"/>
        </w:rPr>
        <w:t>t</w:t>
      </w:r>
      <w:r>
        <w:rPr>
          <w:spacing w:val="-3"/>
        </w:rPr>
        <w:t>r</w:t>
      </w:r>
      <w:r>
        <w:rPr>
          <w:spacing w:val="1"/>
        </w:rPr>
        <w:t>o</w:t>
      </w:r>
      <w:r>
        <w:t>le</w:t>
      </w:r>
      <w:r>
        <w:rPr>
          <w:spacing w:val="-3"/>
        </w:rPr>
        <w:t>u</w:t>
      </w:r>
      <w:r>
        <w:t>m En</w:t>
      </w:r>
      <w:r>
        <w:rPr>
          <w:spacing w:val="-1"/>
        </w:rPr>
        <w:t>g</w:t>
      </w:r>
      <w:r>
        <w:t>i</w:t>
      </w:r>
      <w:r>
        <w:rPr>
          <w:spacing w:val="-1"/>
        </w:rPr>
        <w:t>n</w:t>
      </w:r>
      <w:r>
        <w:t>e</w:t>
      </w:r>
      <w:r>
        <w:rPr>
          <w:spacing w:val="1"/>
        </w:rPr>
        <w:t>e</w:t>
      </w:r>
      <w:r>
        <w:t>ri</w:t>
      </w:r>
      <w:r>
        <w:rPr>
          <w:spacing w:val="-1"/>
        </w:rPr>
        <w:t>n</w:t>
      </w:r>
      <w:r>
        <w:t>g</w:t>
      </w:r>
      <w:r>
        <w:rPr>
          <w:spacing w:val="-1"/>
        </w:rPr>
        <w:t xml:space="preserve"> </w:t>
      </w:r>
      <w:r>
        <w:t>and</w:t>
      </w:r>
      <w:r>
        <w:rPr>
          <w:spacing w:val="-1"/>
        </w:rPr>
        <w:t xml:space="preserve"> </w:t>
      </w:r>
      <w:r>
        <w:t>S</w:t>
      </w:r>
      <w:r>
        <w:rPr>
          <w:spacing w:val="1"/>
        </w:rPr>
        <w:t>o</w:t>
      </w:r>
      <w:r>
        <w:t>cial</w:t>
      </w:r>
      <w:r>
        <w:rPr>
          <w:spacing w:val="-3"/>
        </w:rPr>
        <w:t xml:space="preserve"> </w:t>
      </w:r>
      <w:r>
        <w:rPr>
          <w:spacing w:val="-1"/>
        </w:rPr>
        <w:t>P</w:t>
      </w:r>
      <w:r>
        <w:t>er</w:t>
      </w:r>
      <w:r>
        <w:rPr>
          <w:spacing w:val="-2"/>
        </w:rPr>
        <w:t>f</w:t>
      </w:r>
      <w:r>
        <w:rPr>
          <w:spacing w:val="1"/>
        </w:rPr>
        <w:t>o</w:t>
      </w:r>
      <w:r>
        <w:t>r</w:t>
      </w:r>
      <w:r>
        <w:rPr>
          <w:spacing w:val="-1"/>
        </w:rPr>
        <w:t>m</w:t>
      </w:r>
      <w:r>
        <w:t>a</w:t>
      </w:r>
      <w:r>
        <w:rPr>
          <w:spacing w:val="-1"/>
        </w:rPr>
        <w:t>n</w:t>
      </w:r>
      <w:r>
        <w:t>ce</w:t>
      </w:r>
      <w:r>
        <w:rPr>
          <w:spacing w:val="-1"/>
        </w:rPr>
        <w:t xml:space="preserve"> </w:t>
      </w:r>
      <w:r>
        <w:t>th</w:t>
      </w:r>
      <w:r>
        <w:rPr>
          <w:spacing w:val="-2"/>
        </w:rPr>
        <w:t>e</w:t>
      </w:r>
      <w:r>
        <w:rPr>
          <w:spacing w:val="1"/>
        </w:rPr>
        <w:t>m</w:t>
      </w:r>
      <w:r>
        <w:t xml:space="preserve">es. </w:t>
      </w:r>
    </w:p>
    <w:p w14:paraId="45CD1CE5" w14:textId="77777777" w:rsidR="00284ED3" w:rsidRDefault="00284ED3" w:rsidP="00284ED3">
      <w:r>
        <w:t>For</w:t>
      </w:r>
      <w:r>
        <w:rPr>
          <w:spacing w:val="-2"/>
        </w:rPr>
        <w:t xml:space="preserve"> </w:t>
      </w:r>
      <w:r>
        <w:rPr>
          <w:spacing w:val="1"/>
        </w:rPr>
        <w:t>mo</w:t>
      </w:r>
      <w:r>
        <w:rPr>
          <w:spacing w:val="-3"/>
        </w:rPr>
        <w:t>r</w:t>
      </w:r>
      <w:r>
        <w:t>e</w:t>
      </w:r>
      <w:r>
        <w:rPr>
          <w:spacing w:val="1"/>
        </w:rPr>
        <w:t xml:space="preserve"> </w:t>
      </w:r>
      <w:r>
        <w:t>i</w:t>
      </w:r>
      <w:r>
        <w:rPr>
          <w:spacing w:val="-1"/>
        </w:rPr>
        <w:t>n</w:t>
      </w:r>
      <w:r>
        <w:t>f</w:t>
      </w:r>
      <w:r>
        <w:rPr>
          <w:spacing w:val="1"/>
        </w:rPr>
        <w:t>o</w:t>
      </w:r>
      <w:r>
        <w:rPr>
          <w:spacing w:val="-3"/>
        </w:rPr>
        <w:t>r</w:t>
      </w:r>
      <w:r>
        <w:rPr>
          <w:spacing w:val="1"/>
        </w:rPr>
        <w:t>m</w:t>
      </w:r>
      <w:r>
        <w:rPr>
          <w:spacing w:val="-3"/>
        </w:rPr>
        <w:t>a</w:t>
      </w:r>
      <w:r>
        <w:t>ti</w:t>
      </w:r>
      <w:r>
        <w:rPr>
          <w:spacing w:val="1"/>
        </w:rPr>
        <w:t>o</w:t>
      </w:r>
      <w:r>
        <w:t>n a</w:t>
      </w:r>
      <w:r>
        <w:rPr>
          <w:spacing w:val="-3"/>
        </w:rPr>
        <w:t>b</w:t>
      </w:r>
      <w:r>
        <w:rPr>
          <w:spacing w:val="1"/>
        </w:rPr>
        <w:t>o</w:t>
      </w:r>
      <w:r>
        <w:rPr>
          <w:spacing w:val="-3"/>
        </w:rPr>
        <w:t>u</w:t>
      </w:r>
      <w:r>
        <w:t>t</w:t>
      </w:r>
      <w:r>
        <w:rPr>
          <w:spacing w:val="1"/>
        </w:rPr>
        <w:t xml:space="preserve"> </w:t>
      </w:r>
      <w:r>
        <w:t xml:space="preserve">the </w:t>
      </w:r>
      <w:r>
        <w:rPr>
          <w:spacing w:val="-2"/>
        </w:rPr>
        <w:t>C</w:t>
      </w:r>
      <w:r>
        <w:t>entr</w:t>
      </w:r>
      <w:r>
        <w:rPr>
          <w:spacing w:val="-2"/>
        </w:rPr>
        <w:t>e</w:t>
      </w:r>
      <w:r>
        <w:t>’s a</w:t>
      </w:r>
      <w:r>
        <w:rPr>
          <w:spacing w:val="-2"/>
        </w:rPr>
        <w:t>c</w:t>
      </w:r>
      <w:r>
        <w:t>ti</w:t>
      </w:r>
      <w:r>
        <w:rPr>
          <w:spacing w:val="1"/>
        </w:rPr>
        <w:t>v</w:t>
      </w:r>
      <w:r>
        <w:t>it</w:t>
      </w:r>
      <w:r>
        <w:rPr>
          <w:spacing w:val="-3"/>
        </w:rPr>
        <w:t>i</w:t>
      </w:r>
      <w:r>
        <w:t>es</w:t>
      </w:r>
      <w:r>
        <w:rPr>
          <w:spacing w:val="1"/>
        </w:rPr>
        <w:t xml:space="preserve"> </w:t>
      </w:r>
      <w:r>
        <w:t>a</w:t>
      </w:r>
      <w:r>
        <w:rPr>
          <w:spacing w:val="-1"/>
        </w:rPr>
        <w:t>n</w:t>
      </w:r>
      <w:r>
        <w:t>d</w:t>
      </w:r>
      <w:r>
        <w:rPr>
          <w:spacing w:val="-3"/>
        </w:rPr>
        <w:t xml:space="preserve"> </w:t>
      </w:r>
      <w:r>
        <w:t>g</w:t>
      </w:r>
      <w:r>
        <w:rPr>
          <w:spacing w:val="1"/>
        </w:rPr>
        <w:t>o</w:t>
      </w:r>
      <w:r>
        <w:rPr>
          <w:spacing w:val="-1"/>
        </w:rPr>
        <w:t>v</w:t>
      </w:r>
      <w:r>
        <w:t>ern</w:t>
      </w:r>
      <w:r>
        <w:rPr>
          <w:spacing w:val="-1"/>
        </w:rPr>
        <w:t>an</w:t>
      </w:r>
      <w:r>
        <w:t>ce</w:t>
      </w:r>
      <w:r>
        <w:rPr>
          <w:spacing w:val="-1"/>
        </w:rPr>
        <w:t xml:space="preserve"> </w:t>
      </w:r>
      <w:r>
        <w:t>se</w:t>
      </w:r>
      <w:r>
        <w:rPr>
          <w:spacing w:val="-2"/>
        </w:rPr>
        <w:t xml:space="preserve">e: </w:t>
      </w:r>
      <w:hyperlink r:id="rId20">
        <w:r>
          <w:rPr>
            <w:color w:val="0000FF"/>
            <w:spacing w:val="-1"/>
            <w:u w:val="single" w:color="0000FF"/>
          </w:rPr>
          <w:t>h</w:t>
        </w:r>
        <w:r>
          <w:rPr>
            <w:color w:val="0000FF"/>
            <w:u w:val="single" w:color="0000FF"/>
          </w:rPr>
          <w:t>t</w:t>
        </w:r>
        <w:r>
          <w:rPr>
            <w:color w:val="0000FF"/>
            <w:spacing w:val="1"/>
            <w:u w:val="single" w:color="0000FF"/>
          </w:rPr>
          <w:t>t</w:t>
        </w:r>
        <w:r>
          <w:rPr>
            <w:color w:val="0000FF"/>
            <w:spacing w:val="-1"/>
            <w:u w:val="single" w:color="0000FF"/>
          </w:rPr>
          <w:t>p</w:t>
        </w:r>
        <w:r>
          <w:rPr>
            <w:color w:val="0000FF"/>
            <w:spacing w:val="1"/>
            <w:u w:val="single" w:color="0000FF"/>
          </w:rPr>
          <w:t>:</w:t>
        </w:r>
        <w:r>
          <w:rPr>
            <w:color w:val="0000FF"/>
            <w:spacing w:val="-1"/>
            <w:u w:val="single" w:color="0000FF"/>
          </w:rPr>
          <w:t>/</w:t>
        </w:r>
        <w:r>
          <w:rPr>
            <w:color w:val="0000FF"/>
            <w:spacing w:val="1"/>
            <w:u w:val="single" w:color="0000FF"/>
          </w:rPr>
          <w:t>/</w:t>
        </w:r>
        <w:r>
          <w:rPr>
            <w:color w:val="0000FF"/>
            <w:spacing w:val="-2"/>
            <w:u w:val="single" w:color="0000FF"/>
          </w:rPr>
          <w:t>w</w:t>
        </w:r>
        <w:r>
          <w:rPr>
            <w:color w:val="0000FF"/>
            <w:u w:val="single" w:color="0000FF"/>
          </w:rPr>
          <w:t>w</w:t>
        </w:r>
        <w:r>
          <w:rPr>
            <w:color w:val="0000FF"/>
            <w:spacing w:val="1"/>
            <w:u w:val="single" w:color="0000FF"/>
          </w:rPr>
          <w:t>w</w:t>
        </w:r>
        <w:r>
          <w:rPr>
            <w:color w:val="0000FF"/>
            <w:u w:val="single" w:color="0000FF"/>
          </w:rPr>
          <w:t>.</w:t>
        </w:r>
        <w:r>
          <w:rPr>
            <w:color w:val="0000FF"/>
            <w:spacing w:val="-3"/>
            <w:u w:val="single" w:color="0000FF"/>
          </w:rPr>
          <w:t>c</w:t>
        </w:r>
        <w:r>
          <w:rPr>
            <w:color w:val="0000FF"/>
            <w:u w:val="single" w:color="0000FF"/>
          </w:rPr>
          <w:t>csg</w:t>
        </w:r>
        <w:r>
          <w:rPr>
            <w:color w:val="0000FF"/>
            <w:spacing w:val="-1"/>
            <w:u w:val="single" w:color="0000FF"/>
          </w:rPr>
          <w:t>.uq</w:t>
        </w:r>
        <w:r>
          <w:rPr>
            <w:color w:val="0000FF"/>
            <w:u w:val="single" w:color="0000FF"/>
          </w:rPr>
          <w:t>.e</w:t>
        </w:r>
        <w:r>
          <w:rPr>
            <w:color w:val="0000FF"/>
            <w:spacing w:val="-1"/>
            <w:u w:val="single" w:color="0000FF"/>
          </w:rPr>
          <w:t>du</w:t>
        </w:r>
        <w:r>
          <w:rPr>
            <w:color w:val="0000FF"/>
            <w:u w:val="single" w:color="0000FF"/>
          </w:rPr>
          <w:t>.a</w:t>
        </w:r>
        <w:r>
          <w:rPr>
            <w:color w:val="0000FF"/>
            <w:spacing w:val="-1"/>
            <w:u w:val="single" w:color="0000FF"/>
          </w:rPr>
          <w:t>u</w:t>
        </w:r>
        <w:r>
          <w:rPr>
            <w:color w:val="0000FF"/>
            <w:u w:val="single" w:color="0000FF"/>
          </w:rPr>
          <w:t>/</w:t>
        </w:r>
      </w:hyperlink>
    </w:p>
    <w:p w14:paraId="68DA5C0C" w14:textId="77777777" w:rsidR="00284ED3" w:rsidRPr="007E1035" w:rsidRDefault="00284ED3" w:rsidP="00284ED3">
      <w:pPr>
        <w:rPr>
          <w:rFonts w:eastAsia="MS Mincho"/>
          <w:color w:val="0066FF"/>
        </w:rPr>
      </w:pPr>
      <w:r w:rsidRPr="007E1035">
        <w:rPr>
          <w:rFonts w:eastAsia="MS Mincho"/>
        </w:rPr>
        <w:t>Researchers within or working with the Centre for Coal Seam Gas are bound by the same policies and procedures as other researchers within The University of Queensland, which are designed to ensure the integrity of research. You can view these policies at:</w:t>
      </w:r>
      <w:r>
        <w:rPr>
          <w:rFonts w:eastAsia="MS Mincho"/>
        </w:rPr>
        <w:t xml:space="preserve"> </w:t>
      </w:r>
      <w:hyperlink r:id="rId21" w:history="1">
        <w:r w:rsidRPr="007E1035">
          <w:rPr>
            <w:rFonts w:eastAsia="MS Mincho"/>
            <w:color w:val="0066FF"/>
            <w:u w:val="single"/>
          </w:rPr>
          <w:t>http://ppl.app.uq.edu.au/content/4.-research-and-research-training</w:t>
        </w:r>
      </w:hyperlink>
      <w:r w:rsidRPr="007E1035">
        <w:rPr>
          <w:rFonts w:eastAsia="MS Mincho"/>
          <w:color w:val="0066FF"/>
        </w:rPr>
        <w:t xml:space="preserve"> </w:t>
      </w:r>
    </w:p>
    <w:p w14:paraId="1C0A36EA" w14:textId="77777777" w:rsidR="00284ED3" w:rsidRPr="007E1035" w:rsidRDefault="00284ED3" w:rsidP="00284ED3">
      <w:pPr>
        <w:rPr>
          <w:rFonts w:eastAsia="MS Mincho"/>
        </w:rPr>
      </w:pPr>
      <w:r w:rsidRPr="007E1035">
        <w:rPr>
          <w:rFonts w:eastAsia="MS Mincho"/>
        </w:rPr>
        <w:t>The Australian Code for the Responsible Conduct of Research outlines expectations and responsibilities of researchers to further ensure independent and rigorous investigations.</w:t>
      </w:r>
    </w:p>
    <w:p w14:paraId="54537DDE" w14:textId="64B1274A" w:rsidR="003B1DC9" w:rsidRDefault="00284ED3" w:rsidP="00284ED3">
      <w:r w:rsidRPr="007E1035">
        <w:t xml:space="preserve">This report has </w:t>
      </w:r>
      <w:r>
        <w:t>been peer reviewed</w:t>
      </w:r>
      <w:r w:rsidRPr="007E1035">
        <w:t>.</w:t>
      </w:r>
    </w:p>
    <w:p w14:paraId="74B1F1F3" w14:textId="77777777" w:rsidR="0030755E" w:rsidRPr="00975361" w:rsidRDefault="0030755E" w:rsidP="003B1DC9">
      <w:pPr>
        <w:pStyle w:val="Heading1NoTOC"/>
        <w:rPr>
          <w:rFonts w:eastAsia="Cambria"/>
        </w:rPr>
      </w:pPr>
      <w:r w:rsidRPr="00975361">
        <w:rPr>
          <w:rFonts w:eastAsia="Cambria"/>
        </w:rPr>
        <w:t>Citation</w:t>
      </w:r>
    </w:p>
    <w:p w14:paraId="2210871D" w14:textId="77777777" w:rsidR="003B1DC9" w:rsidRDefault="003B1DC9" w:rsidP="0030755E">
      <w:pPr>
        <w:spacing w:after="0" w:line="200" w:lineRule="exact"/>
      </w:pPr>
    </w:p>
    <w:p w14:paraId="699BEA4A" w14:textId="77777777" w:rsidR="0030755E" w:rsidRDefault="0030755E" w:rsidP="0030755E">
      <w:pPr>
        <w:spacing w:after="0" w:line="200" w:lineRule="exact"/>
      </w:pPr>
      <w:r>
        <w:t>This report should be cited as:</w:t>
      </w:r>
    </w:p>
    <w:p w14:paraId="1AF25259" w14:textId="77777777" w:rsidR="00BE3A91" w:rsidRDefault="00BE3A91" w:rsidP="0030755E">
      <w:pPr>
        <w:spacing w:after="0" w:line="200" w:lineRule="exact"/>
      </w:pPr>
    </w:p>
    <w:p w14:paraId="225EBE90" w14:textId="2A0BBCA8" w:rsidR="0030755E" w:rsidRPr="003B1DC9" w:rsidRDefault="0030755E" w:rsidP="003B1DC9">
      <w:pPr>
        <w:spacing w:after="0" w:line="200" w:lineRule="exact"/>
      </w:pPr>
      <w:r>
        <w:t>U</w:t>
      </w:r>
      <w:r w:rsidR="00601F4E">
        <w:t>nderschultz, J., Esterle, J.,</w:t>
      </w:r>
      <w:r>
        <w:t xml:space="preserve"> Strand, J</w:t>
      </w:r>
      <w:r w:rsidR="00601F4E">
        <w:t>. and Hayes, S.</w:t>
      </w:r>
      <w:r>
        <w:t xml:space="preserve"> </w:t>
      </w:r>
      <w:r w:rsidR="00A6507D">
        <w:t>(201</w:t>
      </w:r>
      <w:r w:rsidR="003A2A4F">
        <w:t>8</w:t>
      </w:r>
      <w:r>
        <w:t>)</w:t>
      </w:r>
      <w:r w:rsidR="00601F4E">
        <w:t>.</w:t>
      </w:r>
      <w:r>
        <w:t xml:space="preserve"> </w:t>
      </w:r>
      <w:r w:rsidR="00601F4E" w:rsidRPr="007B3DD5">
        <w:t>Conceptual representation of fluid flow conditions associated with faults in sedimentary basins</w:t>
      </w:r>
      <w:r w:rsidRPr="00601F4E">
        <w:t>.</w:t>
      </w:r>
      <w:r>
        <w:t xml:space="preserve"> Prepared for the Department of the Environment </w:t>
      </w:r>
      <w:r w:rsidR="003A2A4F">
        <w:t xml:space="preserve">and Energy </w:t>
      </w:r>
      <w:r>
        <w:t>by The University of Queensland Centre for Coal Seam Gas, Queensland</w:t>
      </w:r>
      <w:r w:rsidR="00601F4E">
        <w:t>.</w:t>
      </w:r>
      <w:r w:rsidR="00A6507D">
        <w:t xml:space="preserve"> 61 p.</w:t>
      </w:r>
    </w:p>
    <w:p w14:paraId="75E84D2E" w14:textId="4975C416" w:rsidR="00E80F47" w:rsidRDefault="00E80F47">
      <w:pPr>
        <w:rPr>
          <w:rFonts w:ascii="Museo 700" w:eastAsia="MS Mincho" w:hAnsi="Museo 700" w:hint="eastAsia"/>
          <w:b/>
          <w:color w:val="894264"/>
          <w:sz w:val="28"/>
          <w:szCs w:val="28"/>
        </w:rPr>
      </w:pPr>
      <w:r>
        <w:rPr>
          <w:rFonts w:ascii="Museo 700" w:eastAsia="MS Mincho" w:hAnsi="Museo 700" w:hint="eastAsia"/>
          <w:b/>
          <w:color w:val="894264"/>
          <w:sz w:val="28"/>
          <w:szCs w:val="28"/>
        </w:rPr>
        <w:br w:type="page"/>
      </w:r>
    </w:p>
    <w:p w14:paraId="45F06106" w14:textId="77777777" w:rsidR="00DA2B08" w:rsidRPr="001115C3" w:rsidRDefault="00DA2B08" w:rsidP="00284ED3">
      <w:pPr>
        <w:rPr>
          <w:rFonts w:ascii="Museo 700" w:eastAsia="MS Mincho" w:hAnsi="Museo 700" w:hint="eastAsia"/>
          <w:b/>
          <w:color w:val="894264"/>
          <w:sz w:val="28"/>
          <w:szCs w:val="28"/>
        </w:rPr>
      </w:pPr>
    </w:p>
    <w:p w14:paraId="04C89F09" w14:textId="77777777" w:rsidR="00EE5E64" w:rsidRDefault="00EE5E64" w:rsidP="004357C6"/>
    <w:p w14:paraId="1F89BCB7" w14:textId="77777777" w:rsidR="004357C6" w:rsidRDefault="004357C6" w:rsidP="004357C6"/>
    <w:p w14:paraId="021984E9" w14:textId="77777777" w:rsidR="004357C6" w:rsidRDefault="004357C6" w:rsidP="004357C6"/>
    <w:p w14:paraId="280C9C9D" w14:textId="77777777" w:rsidR="004357C6" w:rsidRDefault="004357C6" w:rsidP="004357C6"/>
    <w:p w14:paraId="06E0EED6" w14:textId="77777777" w:rsidR="00D01553" w:rsidRDefault="00D01553" w:rsidP="00844CC3">
      <w:pPr>
        <w:pStyle w:val="Heading1NoTOC"/>
      </w:pPr>
      <w:r>
        <w:t>About this report</w:t>
      </w:r>
    </w:p>
    <w:p w14:paraId="7E3729E8" w14:textId="034CA501" w:rsidR="00D01553" w:rsidRDefault="00D01553" w:rsidP="00DE4043">
      <w:r>
        <w:t xml:space="preserve">This report </w:t>
      </w:r>
      <w:r w:rsidR="00AA038A">
        <w:t>forms Milestone 3, Deliverable 2A</w:t>
      </w:r>
      <w:r w:rsidR="009C69C0">
        <w:t xml:space="preserve"> of the </w:t>
      </w:r>
      <w:r w:rsidR="001A47F0">
        <w:t>DOEE</w:t>
      </w:r>
      <w:r>
        <w:t xml:space="preserve"> funded project</w:t>
      </w:r>
      <w:r w:rsidRPr="00D01553">
        <w:t xml:space="preserve"> </w:t>
      </w:r>
      <w:r>
        <w:t>‘</w:t>
      </w:r>
      <w:r w:rsidRPr="00D01553">
        <w:t>Research to improve treatment of faults and aquitards in Australian regional groundwater models to improve assessment of impacts of CSG extraction</w:t>
      </w:r>
      <w:r>
        <w:t>’.</w:t>
      </w:r>
    </w:p>
    <w:p w14:paraId="254FA2E4" w14:textId="21B03DD4" w:rsidR="00D01553" w:rsidRDefault="00D01553" w:rsidP="00D01553">
      <w:r>
        <w:t xml:space="preserve">The deliverable requirements for this document are: </w:t>
      </w:r>
      <w:r w:rsidR="00D81172">
        <w:t>“</w:t>
      </w:r>
      <w:r w:rsidR="001C3ECB">
        <w:t>DOEE</w:t>
      </w:r>
      <w:r>
        <w:t xml:space="preserve"> report </w:t>
      </w:r>
      <w:r w:rsidRPr="00DB5CE8">
        <w:rPr>
          <w:rFonts w:eastAsia="Times New Roman" w:cs="Arial"/>
          <w:color w:val="000000"/>
          <w:lang w:eastAsia="en-AU"/>
        </w:rPr>
        <w:t>with conceptual representations of different groundwater flow conditions associated with faults in sedimentary basins, including their influence on connectivity within individual formations, between formations, and between groundwater and surface water environments</w:t>
      </w:r>
      <w:r w:rsidR="00D81172">
        <w:rPr>
          <w:rFonts w:eastAsia="Times New Roman" w:cs="Arial"/>
          <w:color w:val="000000"/>
          <w:lang w:eastAsia="en-AU"/>
        </w:rPr>
        <w:t>”</w:t>
      </w:r>
      <w:r>
        <w:rPr>
          <w:rFonts w:eastAsia="Times New Roman" w:cs="Arial"/>
          <w:color w:val="000000"/>
          <w:lang w:eastAsia="en-AU"/>
        </w:rPr>
        <w:t xml:space="preserve">. </w:t>
      </w:r>
    </w:p>
    <w:p w14:paraId="7B28D72C" w14:textId="77777777" w:rsidR="00D01553" w:rsidRDefault="00D01553" w:rsidP="00D01553">
      <w:r>
        <w:t>The report has been compiled by The University of Queen</w:t>
      </w:r>
      <w:r w:rsidR="00DE4043">
        <w:t xml:space="preserve">sland, Centre for Coal Seam Gas in collaboration with CSIRO. </w:t>
      </w:r>
    </w:p>
    <w:p w14:paraId="68D3A4B9" w14:textId="77777777" w:rsidR="00DE4043" w:rsidRPr="00D01553" w:rsidRDefault="00DE4043" w:rsidP="00D01553"/>
    <w:p w14:paraId="46298393" w14:textId="77777777" w:rsidR="00E25502" w:rsidRDefault="00E25502">
      <w:pPr>
        <w:rPr>
          <w:rFonts w:asciiTheme="majorHAnsi" w:hAnsiTheme="majorHAnsi"/>
          <w:color w:val="5B9BD5" w:themeColor="accent1"/>
          <w:sz w:val="32"/>
        </w:rPr>
      </w:pPr>
      <w:r>
        <w:br w:type="page"/>
      </w:r>
    </w:p>
    <w:p w14:paraId="50AC8271" w14:textId="03EA14B8" w:rsidR="008D29F0" w:rsidRDefault="008D29F0" w:rsidP="00844CC3">
      <w:pPr>
        <w:pStyle w:val="Heading1NoTOC"/>
      </w:pPr>
      <w:r>
        <w:lastRenderedPageBreak/>
        <w:t>Document Control Sheet</w:t>
      </w:r>
    </w:p>
    <w:p w14:paraId="05151746" w14:textId="77777777" w:rsidR="004357C6" w:rsidRPr="004357C6" w:rsidRDefault="004357C6" w:rsidP="004357C6"/>
    <w:p w14:paraId="1D62A827" w14:textId="77777777" w:rsidR="004B307A" w:rsidRPr="00E25502" w:rsidRDefault="004B307A" w:rsidP="008D29F0">
      <w:pPr>
        <w:pStyle w:val="Footer"/>
      </w:pPr>
      <w:r>
        <w:t xml:space="preserve">File </w:t>
      </w:r>
      <w:r w:rsidRPr="00E25502">
        <w:t>name: Deliverable2.2_Conceptual_Flow_and_Faults_DraftV1.2</w:t>
      </w:r>
    </w:p>
    <w:p w14:paraId="6CD9A134" w14:textId="77777777" w:rsidR="008D29F0" w:rsidRPr="00E25502" w:rsidRDefault="008D29F0" w:rsidP="008D29F0"/>
    <w:tbl>
      <w:tblPr>
        <w:tblStyle w:val="TableGrid"/>
        <w:tblW w:w="9180"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1101"/>
        <w:gridCol w:w="1842"/>
        <w:gridCol w:w="1701"/>
        <w:gridCol w:w="1701"/>
        <w:gridCol w:w="2835"/>
      </w:tblGrid>
      <w:tr w:rsidR="00EE5E64" w:rsidRPr="00E25502" w14:paraId="555A86E3" w14:textId="77777777" w:rsidTr="00E25502">
        <w:tc>
          <w:tcPr>
            <w:tcW w:w="1101" w:type="dxa"/>
          </w:tcPr>
          <w:p w14:paraId="740A3B34" w14:textId="77777777" w:rsidR="00EE5E64" w:rsidRPr="00E25502" w:rsidRDefault="00EE5E64" w:rsidP="00D01553">
            <w:pPr>
              <w:rPr>
                <w:lang w:eastAsia="en-AU"/>
              </w:rPr>
            </w:pPr>
            <w:r w:rsidRPr="00E25502">
              <w:t>Version #</w:t>
            </w:r>
          </w:p>
        </w:tc>
        <w:tc>
          <w:tcPr>
            <w:tcW w:w="1842" w:type="dxa"/>
          </w:tcPr>
          <w:p w14:paraId="478E28B6" w14:textId="77777777" w:rsidR="00EE5E64" w:rsidRPr="00E25502" w:rsidRDefault="00EE5E64" w:rsidP="00D01553">
            <w:pPr>
              <w:rPr>
                <w:lang w:eastAsia="en-AU"/>
              </w:rPr>
            </w:pPr>
            <w:r w:rsidRPr="00E25502">
              <w:t>Date Distributed</w:t>
            </w:r>
          </w:p>
        </w:tc>
        <w:tc>
          <w:tcPr>
            <w:tcW w:w="1701" w:type="dxa"/>
          </w:tcPr>
          <w:p w14:paraId="33BC9A78" w14:textId="77777777" w:rsidR="00EE5E64" w:rsidRPr="00E25502" w:rsidRDefault="00EE5E64" w:rsidP="00D01553">
            <w:r w:rsidRPr="00E25502">
              <w:t>Reviewed By</w:t>
            </w:r>
          </w:p>
        </w:tc>
        <w:tc>
          <w:tcPr>
            <w:tcW w:w="1701" w:type="dxa"/>
          </w:tcPr>
          <w:p w14:paraId="657ECAF4" w14:textId="77777777" w:rsidR="00EE5E64" w:rsidRPr="00E25502" w:rsidRDefault="00EE5E64" w:rsidP="00D01553">
            <w:pPr>
              <w:rPr>
                <w:lang w:eastAsia="en-AU"/>
              </w:rPr>
            </w:pPr>
            <w:r w:rsidRPr="00E25502">
              <w:t>Revision Date</w:t>
            </w:r>
          </w:p>
        </w:tc>
        <w:tc>
          <w:tcPr>
            <w:tcW w:w="2835" w:type="dxa"/>
          </w:tcPr>
          <w:p w14:paraId="4C3CD8EB" w14:textId="77777777" w:rsidR="00EE5E64" w:rsidRPr="00E25502" w:rsidRDefault="00EE5E64" w:rsidP="00D01553">
            <w:pPr>
              <w:rPr>
                <w:lang w:eastAsia="en-AU"/>
              </w:rPr>
            </w:pPr>
            <w:r w:rsidRPr="00E25502">
              <w:t>Brief description of changes</w:t>
            </w:r>
          </w:p>
        </w:tc>
      </w:tr>
      <w:tr w:rsidR="00EE5E64" w:rsidRPr="00E25502" w14:paraId="1025568F" w14:textId="77777777" w:rsidTr="00E25502">
        <w:trPr>
          <w:trHeight w:val="851"/>
        </w:trPr>
        <w:tc>
          <w:tcPr>
            <w:tcW w:w="1101" w:type="dxa"/>
          </w:tcPr>
          <w:p w14:paraId="0CF5924D" w14:textId="77777777" w:rsidR="00EE5E64" w:rsidRPr="00E25502" w:rsidRDefault="00EE5E64" w:rsidP="00D01553">
            <w:r w:rsidRPr="00E25502">
              <w:t>1.0</w:t>
            </w:r>
          </w:p>
        </w:tc>
        <w:tc>
          <w:tcPr>
            <w:tcW w:w="1842" w:type="dxa"/>
          </w:tcPr>
          <w:p w14:paraId="43FA53A9" w14:textId="77777777" w:rsidR="00EE5E64" w:rsidRPr="00E25502" w:rsidRDefault="00777537" w:rsidP="00D01553">
            <w:pPr>
              <w:rPr>
                <w:lang w:eastAsia="en-AU"/>
              </w:rPr>
            </w:pPr>
            <w:r w:rsidRPr="00E25502">
              <w:rPr>
                <w:lang w:eastAsia="en-AU"/>
              </w:rPr>
              <w:t>1-06-2015</w:t>
            </w:r>
          </w:p>
        </w:tc>
        <w:tc>
          <w:tcPr>
            <w:tcW w:w="1701" w:type="dxa"/>
          </w:tcPr>
          <w:p w14:paraId="7568635E" w14:textId="77777777" w:rsidR="00EE5E64" w:rsidRPr="00E25502" w:rsidRDefault="00777537" w:rsidP="00D01553">
            <w:r w:rsidRPr="00E25502">
              <w:t>J Strand: CSIRO</w:t>
            </w:r>
          </w:p>
          <w:p w14:paraId="40B8F958" w14:textId="77777777" w:rsidR="00777537" w:rsidRPr="00E25502" w:rsidRDefault="00777537" w:rsidP="00D01553">
            <w:r w:rsidRPr="00E25502">
              <w:t>A Garnet: UQ</w:t>
            </w:r>
          </w:p>
          <w:p w14:paraId="134289E6" w14:textId="77777777" w:rsidR="00777537" w:rsidRPr="00E25502" w:rsidRDefault="00777537" w:rsidP="00D01553">
            <w:pPr>
              <w:rPr>
                <w:lang w:eastAsia="en-AU"/>
              </w:rPr>
            </w:pPr>
            <w:r w:rsidRPr="00E25502">
              <w:t>J Esterle: UQ</w:t>
            </w:r>
          </w:p>
        </w:tc>
        <w:tc>
          <w:tcPr>
            <w:tcW w:w="1701" w:type="dxa"/>
          </w:tcPr>
          <w:p w14:paraId="7AB109BA" w14:textId="77777777" w:rsidR="00EE5E64" w:rsidRPr="00E25502" w:rsidRDefault="00777537" w:rsidP="00D01553">
            <w:pPr>
              <w:rPr>
                <w:lang w:eastAsia="en-AU"/>
              </w:rPr>
            </w:pPr>
            <w:r w:rsidRPr="00E25502">
              <w:rPr>
                <w:lang w:eastAsia="en-AU"/>
              </w:rPr>
              <w:t>29-05-2015</w:t>
            </w:r>
          </w:p>
        </w:tc>
        <w:tc>
          <w:tcPr>
            <w:tcW w:w="2835" w:type="dxa"/>
          </w:tcPr>
          <w:p w14:paraId="74CF2837" w14:textId="77777777" w:rsidR="00EE5E64" w:rsidRPr="00E25502" w:rsidRDefault="00777537" w:rsidP="00D01553">
            <w:pPr>
              <w:rPr>
                <w:lang w:eastAsia="en-AU"/>
              </w:rPr>
            </w:pPr>
            <w:r w:rsidRPr="00E25502">
              <w:rPr>
                <w:lang w:eastAsia="en-AU"/>
              </w:rPr>
              <w:t>Report structure</w:t>
            </w:r>
          </w:p>
          <w:p w14:paraId="4A46CBBA" w14:textId="77777777" w:rsidR="00777537" w:rsidRPr="00E25502" w:rsidRDefault="00777537" w:rsidP="00D01553">
            <w:pPr>
              <w:rPr>
                <w:lang w:eastAsia="en-AU"/>
              </w:rPr>
            </w:pPr>
            <w:r w:rsidRPr="00E25502">
              <w:rPr>
                <w:lang w:eastAsia="en-AU"/>
              </w:rPr>
              <w:t>Context setting added</w:t>
            </w:r>
          </w:p>
          <w:p w14:paraId="19028141" w14:textId="77777777" w:rsidR="00777537" w:rsidRPr="00E25502" w:rsidRDefault="00777537" w:rsidP="00D01553">
            <w:pPr>
              <w:rPr>
                <w:lang w:eastAsia="en-AU"/>
              </w:rPr>
            </w:pPr>
            <w:r w:rsidRPr="00E25502">
              <w:rPr>
                <w:lang w:eastAsia="en-AU"/>
              </w:rPr>
              <w:t>Referencing</w:t>
            </w:r>
          </w:p>
        </w:tc>
      </w:tr>
      <w:tr w:rsidR="00EE5E64" w:rsidRPr="00E25502" w14:paraId="46058F6A" w14:textId="77777777" w:rsidTr="00E25502">
        <w:trPr>
          <w:trHeight w:val="851"/>
        </w:trPr>
        <w:tc>
          <w:tcPr>
            <w:tcW w:w="1101" w:type="dxa"/>
          </w:tcPr>
          <w:p w14:paraId="03766B6B" w14:textId="77777777" w:rsidR="00EE5E64" w:rsidRPr="00E25502" w:rsidRDefault="00EE5E64" w:rsidP="00D01553">
            <w:pPr>
              <w:rPr>
                <w:lang w:eastAsia="en-AU"/>
              </w:rPr>
            </w:pPr>
            <w:r w:rsidRPr="00E25502">
              <w:rPr>
                <w:lang w:eastAsia="en-AU"/>
              </w:rPr>
              <w:t>1.1</w:t>
            </w:r>
          </w:p>
        </w:tc>
        <w:tc>
          <w:tcPr>
            <w:tcW w:w="1842" w:type="dxa"/>
          </w:tcPr>
          <w:p w14:paraId="71039593" w14:textId="77777777" w:rsidR="00EE5E64" w:rsidRPr="00E25502" w:rsidRDefault="00777537" w:rsidP="00D01553">
            <w:pPr>
              <w:rPr>
                <w:lang w:eastAsia="en-AU"/>
              </w:rPr>
            </w:pPr>
            <w:r w:rsidRPr="00E25502">
              <w:rPr>
                <w:lang w:eastAsia="en-AU"/>
              </w:rPr>
              <w:t>16-06-2015</w:t>
            </w:r>
          </w:p>
        </w:tc>
        <w:tc>
          <w:tcPr>
            <w:tcW w:w="1701" w:type="dxa"/>
          </w:tcPr>
          <w:p w14:paraId="318E20F7" w14:textId="77777777" w:rsidR="00EE5E64" w:rsidRPr="00E25502" w:rsidRDefault="00777537" w:rsidP="00EE5E64">
            <w:pPr>
              <w:jc w:val="both"/>
              <w:rPr>
                <w:lang w:eastAsia="en-AU"/>
              </w:rPr>
            </w:pPr>
            <w:r w:rsidRPr="00E25502">
              <w:rPr>
                <w:lang w:eastAsia="en-AU"/>
              </w:rPr>
              <w:t>S. Hayes: UQ</w:t>
            </w:r>
          </w:p>
          <w:p w14:paraId="3493613F" w14:textId="77777777" w:rsidR="00777537" w:rsidRPr="00E25502" w:rsidRDefault="00777537" w:rsidP="00EE5E64">
            <w:pPr>
              <w:jc w:val="both"/>
              <w:rPr>
                <w:lang w:eastAsia="en-AU"/>
              </w:rPr>
            </w:pPr>
            <w:r w:rsidRPr="00E25502">
              <w:rPr>
                <w:lang w:eastAsia="en-AU"/>
              </w:rPr>
              <w:t>K. Barbosa: UQ</w:t>
            </w:r>
          </w:p>
        </w:tc>
        <w:tc>
          <w:tcPr>
            <w:tcW w:w="1701" w:type="dxa"/>
          </w:tcPr>
          <w:p w14:paraId="15068C99" w14:textId="77777777" w:rsidR="00EE5E64" w:rsidRPr="00E25502" w:rsidRDefault="00777537" w:rsidP="00D01553">
            <w:pPr>
              <w:rPr>
                <w:lang w:eastAsia="en-AU"/>
              </w:rPr>
            </w:pPr>
            <w:r w:rsidRPr="00E25502">
              <w:rPr>
                <w:lang w:eastAsia="en-AU"/>
              </w:rPr>
              <w:t>16-06-2015</w:t>
            </w:r>
          </w:p>
        </w:tc>
        <w:tc>
          <w:tcPr>
            <w:tcW w:w="2835" w:type="dxa"/>
          </w:tcPr>
          <w:p w14:paraId="374C93D6" w14:textId="77777777" w:rsidR="00EE5E64" w:rsidRPr="00E25502" w:rsidRDefault="00777537" w:rsidP="00D01553">
            <w:pPr>
              <w:rPr>
                <w:lang w:eastAsia="en-AU"/>
              </w:rPr>
            </w:pPr>
            <w:r w:rsidRPr="00E25502">
              <w:rPr>
                <w:lang w:eastAsia="en-AU"/>
              </w:rPr>
              <w:t>General editorial</w:t>
            </w:r>
          </w:p>
          <w:p w14:paraId="0FD052CF" w14:textId="77777777" w:rsidR="00777537" w:rsidRPr="00E25502" w:rsidRDefault="00777537" w:rsidP="00D01553">
            <w:r w:rsidRPr="00E25502">
              <w:rPr>
                <w:lang w:eastAsia="en-AU"/>
              </w:rPr>
              <w:t>Report Formatting</w:t>
            </w:r>
          </w:p>
        </w:tc>
      </w:tr>
      <w:tr w:rsidR="004F3207" w:rsidRPr="00E25502" w14:paraId="39DB3398" w14:textId="77777777" w:rsidTr="00E25502">
        <w:trPr>
          <w:trHeight w:val="851"/>
        </w:trPr>
        <w:tc>
          <w:tcPr>
            <w:tcW w:w="1101" w:type="dxa"/>
          </w:tcPr>
          <w:p w14:paraId="5E5BA288" w14:textId="77777777" w:rsidR="004F3207" w:rsidRPr="00E25502" w:rsidRDefault="004F3207" w:rsidP="00D01553">
            <w:pPr>
              <w:rPr>
                <w:lang w:eastAsia="en-AU"/>
              </w:rPr>
            </w:pPr>
            <w:r w:rsidRPr="00E25502">
              <w:rPr>
                <w:lang w:eastAsia="en-AU"/>
              </w:rPr>
              <w:t>1.1</w:t>
            </w:r>
          </w:p>
        </w:tc>
        <w:tc>
          <w:tcPr>
            <w:tcW w:w="1842" w:type="dxa"/>
          </w:tcPr>
          <w:p w14:paraId="7C77311D" w14:textId="77777777" w:rsidR="004F3207" w:rsidRPr="00E25502" w:rsidRDefault="004F3207" w:rsidP="002A60A7">
            <w:pPr>
              <w:rPr>
                <w:lang w:eastAsia="en-AU"/>
              </w:rPr>
            </w:pPr>
          </w:p>
        </w:tc>
        <w:tc>
          <w:tcPr>
            <w:tcW w:w="1701" w:type="dxa"/>
          </w:tcPr>
          <w:p w14:paraId="03A43374" w14:textId="77777777" w:rsidR="004F3207" w:rsidRPr="00E25502" w:rsidRDefault="00304407" w:rsidP="00D01553">
            <w:pPr>
              <w:rPr>
                <w:lang w:eastAsia="en-AU"/>
              </w:rPr>
            </w:pPr>
            <w:r w:rsidRPr="00E25502">
              <w:rPr>
                <w:lang w:eastAsia="en-AU"/>
              </w:rPr>
              <w:t>Dirk Mallants: CSIRO</w:t>
            </w:r>
          </w:p>
        </w:tc>
        <w:tc>
          <w:tcPr>
            <w:tcW w:w="1701" w:type="dxa"/>
          </w:tcPr>
          <w:p w14:paraId="4D569DD1" w14:textId="77777777" w:rsidR="004F3207" w:rsidRPr="00E25502" w:rsidRDefault="004F3207" w:rsidP="00D01553">
            <w:pPr>
              <w:rPr>
                <w:lang w:eastAsia="en-AU"/>
              </w:rPr>
            </w:pPr>
            <w:r w:rsidRPr="00E25502">
              <w:rPr>
                <w:lang w:eastAsia="en-AU"/>
              </w:rPr>
              <w:t>Review received 20-06-2015</w:t>
            </w:r>
          </w:p>
        </w:tc>
        <w:tc>
          <w:tcPr>
            <w:tcW w:w="2835" w:type="dxa"/>
          </w:tcPr>
          <w:p w14:paraId="0EF12901" w14:textId="26C61D6E" w:rsidR="004F3207" w:rsidRPr="00E25502" w:rsidRDefault="004F3207" w:rsidP="004F3207">
            <w:pPr>
              <w:rPr>
                <w:lang w:eastAsia="en-AU"/>
              </w:rPr>
            </w:pPr>
            <w:r w:rsidRPr="00E25502">
              <w:rPr>
                <w:lang w:eastAsia="en-AU"/>
              </w:rPr>
              <w:t xml:space="preserve">Modified descriptions </w:t>
            </w:r>
            <w:r w:rsidR="0071409A">
              <w:rPr>
                <w:lang w:eastAsia="en-AU"/>
              </w:rPr>
              <w:t>of physical processes.</w:t>
            </w:r>
          </w:p>
          <w:p w14:paraId="54BEC92E" w14:textId="77777777" w:rsidR="004F3207" w:rsidRPr="00E25502" w:rsidRDefault="004F3207" w:rsidP="004F3207">
            <w:pPr>
              <w:rPr>
                <w:lang w:eastAsia="en-AU"/>
              </w:rPr>
            </w:pPr>
            <w:r w:rsidRPr="00E25502">
              <w:rPr>
                <w:lang w:eastAsia="en-AU"/>
              </w:rPr>
              <w:t>Sharper images for figures</w:t>
            </w:r>
          </w:p>
          <w:p w14:paraId="3638BDEE" w14:textId="6ADB9870" w:rsidR="004F3207" w:rsidRPr="00E25502" w:rsidDel="002A60A7" w:rsidRDefault="004F3207" w:rsidP="0071409A">
            <w:pPr>
              <w:rPr>
                <w:lang w:eastAsia="en-AU"/>
              </w:rPr>
            </w:pPr>
            <w:r w:rsidRPr="00E25502">
              <w:rPr>
                <w:lang w:eastAsia="en-AU"/>
              </w:rPr>
              <w:t>Summary table re: impli</w:t>
            </w:r>
            <w:r w:rsidR="0071409A">
              <w:rPr>
                <w:lang w:eastAsia="en-AU"/>
              </w:rPr>
              <w:t xml:space="preserve">cations for regional GW </w:t>
            </w:r>
            <w:r w:rsidRPr="00E25502">
              <w:rPr>
                <w:lang w:eastAsia="en-AU"/>
              </w:rPr>
              <w:t>models added</w:t>
            </w:r>
          </w:p>
        </w:tc>
      </w:tr>
      <w:tr w:rsidR="00EE5E64" w:rsidRPr="00E25502" w14:paraId="2ED911BE" w14:textId="77777777" w:rsidTr="00E25502">
        <w:trPr>
          <w:trHeight w:val="851"/>
        </w:trPr>
        <w:tc>
          <w:tcPr>
            <w:tcW w:w="1101" w:type="dxa"/>
          </w:tcPr>
          <w:p w14:paraId="295729C8" w14:textId="77777777" w:rsidR="00EE5E64" w:rsidRPr="00E25502" w:rsidRDefault="00EE5E64" w:rsidP="00D01553">
            <w:pPr>
              <w:rPr>
                <w:lang w:eastAsia="en-AU"/>
              </w:rPr>
            </w:pPr>
            <w:r w:rsidRPr="00E25502">
              <w:rPr>
                <w:lang w:eastAsia="en-AU"/>
              </w:rPr>
              <w:t>1.1</w:t>
            </w:r>
          </w:p>
        </w:tc>
        <w:tc>
          <w:tcPr>
            <w:tcW w:w="1842" w:type="dxa"/>
          </w:tcPr>
          <w:p w14:paraId="0FEAB626" w14:textId="68303C0A" w:rsidR="00EE5E64" w:rsidRPr="00E25502" w:rsidRDefault="00EE5E64" w:rsidP="002A60A7">
            <w:pPr>
              <w:rPr>
                <w:lang w:eastAsia="en-AU"/>
              </w:rPr>
            </w:pPr>
            <w:r w:rsidRPr="00E25502">
              <w:rPr>
                <w:lang w:eastAsia="en-AU"/>
              </w:rPr>
              <w:t>[</w:t>
            </w:r>
            <w:r w:rsidR="002A60A7" w:rsidRPr="00E25502">
              <w:rPr>
                <w:lang w:eastAsia="en-AU"/>
              </w:rPr>
              <w:t>15-07-2015</w:t>
            </w:r>
            <w:r w:rsidRPr="00E25502">
              <w:rPr>
                <w:lang w:eastAsia="en-AU"/>
              </w:rPr>
              <w:t>]</w:t>
            </w:r>
          </w:p>
        </w:tc>
        <w:tc>
          <w:tcPr>
            <w:tcW w:w="1701" w:type="dxa"/>
          </w:tcPr>
          <w:p w14:paraId="3A5A9723" w14:textId="41E99FC5" w:rsidR="00EE5E64" w:rsidRPr="00E25502" w:rsidRDefault="002A60A7" w:rsidP="00D01553">
            <w:pPr>
              <w:rPr>
                <w:lang w:eastAsia="en-AU"/>
              </w:rPr>
            </w:pPr>
            <w:r w:rsidRPr="00E25502">
              <w:rPr>
                <w:lang w:eastAsia="en-AU"/>
              </w:rPr>
              <w:t>Alistair Usher(</w:t>
            </w:r>
            <w:r w:rsidR="004357C6" w:rsidRPr="00E25502">
              <w:rPr>
                <w:lang w:eastAsia="en-AU"/>
              </w:rPr>
              <w:t>Office of Water Science</w:t>
            </w:r>
            <w:r w:rsidRPr="00E25502">
              <w:rPr>
                <w:lang w:eastAsia="en-AU"/>
              </w:rPr>
              <w:t>)</w:t>
            </w:r>
            <w:r w:rsidR="002B77A1" w:rsidRPr="00E25502">
              <w:rPr>
                <w:lang w:eastAsia="en-AU"/>
              </w:rPr>
              <w:t xml:space="preserve"> and Ryan Morris (Origin)</w:t>
            </w:r>
          </w:p>
        </w:tc>
        <w:tc>
          <w:tcPr>
            <w:tcW w:w="1701" w:type="dxa"/>
          </w:tcPr>
          <w:p w14:paraId="4064F08F" w14:textId="77777777" w:rsidR="00EE5E64" w:rsidRPr="00E25502" w:rsidRDefault="002B77A1" w:rsidP="00D01553">
            <w:pPr>
              <w:rPr>
                <w:lang w:eastAsia="en-AU"/>
              </w:rPr>
            </w:pPr>
            <w:r w:rsidRPr="00E25502">
              <w:rPr>
                <w:lang w:eastAsia="en-AU"/>
              </w:rPr>
              <w:t xml:space="preserve">Review </w:t>
            </w:r>
            <w:r w:rsidR="00EE5E64" w:rsidRPr="00E25502">
              <w:rPr>
                <w:lang w:eastAsia="en-AU"/>
              </w:rPr>
              <w:t>received</w:t>
            </w:r>
            <w:r w:rsidRPr="00E25502">
              <w:rPr>
                <w:lang w:eastAsia="en-AU"/>
              </w:rPr>
              <w:t xml:space="preserve"> 15-07-2015 Revised on 05-08-2015</w:t>
            </w:r>
          </w:p>
        </w:tc>
        <w:tc>
          <w:tcPr>
            <w:tcW w:w="2835" w:type="dxa"/>
          </w:tcPr>
          <w:p w14:paraId="7B6D656D" w14:textId="4A7259A5" w:rsidR="00EE5E64" w:rsidRPr="00E25502" w:rsidRDefault="002A60A7" w:rsidP="002A60A7">
            <w:r w:rsidRPr="00E25502">
              <w:rPr>
                <w:lang w:eastAsia="en-AU"/>
              </w:rPr>
              <w:t>Major report revision and added section on springs and faults</w:t>
            </w:r>
          </w:p>
        </w:tc>
      </w:tr>
      <w:tr w:rsidR="00EE5E64" w:rsidRPr="00E25502" w14:paraId="73481BCB" w14:textId="77777777" w:rsidTr="00E25502">
        <w:trPr>
          <w:trHeight w:val="851"/>
        </w:trPr>
        <w:tc>
          <w:tcPr>
            <w:tcW w:w="1101" w:type="dxa"/>
          </w:tcPr>
          <w:p w14:paraId="588A6556" w14:textId="77777777" w:rsidR="00EE5E64" w:rsidRPr="00E25502" w:rsidRDefault="00EE5E64" w:rsidP="00D01553">
            <w:pPr>
              <w:rPr>
                <w:lang w:eastAsia="en-AU"/>
              </w:rPr>
            </w:pPr>
            <w:r w:rsidRPr="00E25502">
              <w:rPr>
                <w:lang w:eastAsia="en-AU"/>
              </w:rPr>
              <w:t>1.2</w:t>
            </w:r>
          </w:p>
        </w:tc>
        <w:tc>
          <w:tcPr>
            <w:tcW w:w="1842" w:type="dxa"/>
          </w:tcPr>
          <w:p w14:paraId="505E80BD" w14:textId="1FE5FE5D" w:rsidR="00EE5E64" w:rsidRPr="00E25502" w:rsidRDefault="00777537" w:rsidP="000C7CB9">
            <w:pPr>
              <w:rPr>
                <w:lang w:eastAsia="en-AU"/>
              </w:rPr>
            </w:pPr>
            <w:r w:rsidRPr="00E25502">
              <w:rPr>
                <w:lang w:eastAsia="en-AU"/>
              </w:rPr>
              <w:t>[</w:t>
            </w:r>
            <w:r w:rsidR="000C7CB9" w:rsidRPr="00E25502">
              <w:rPr>
                <w:lang w:eastAsia="en-AU"/>
              </w:rPr>
              <w:t>1-08-15</w:t>
            </w:r>
            <w:r w:rsidRPr="00E25502">
              <w:rPr>
                <w:lang w:eastAsia="en-AU"/>
              </w:rPr>
              <w:t>]</w:t>
            </w:r>
          </w:p>
        </w:tc>
        <w:tc>
          <w:tcPr>
            <w:tcW w:w="1701" w:type="dxa"/>
          </w:tcPr>
          <w:p w14:paraId="547DAD19" w14:textId="42A31A6B" w:rsidR="00EE5E64" w:rsidRPr="00E25502" w:rsidRDefault="00777537" w:rsidP="002A60A7">
            <w:pPr>
              <w:rPr>
                <w:lang w:eastAsia="en-AU"/>
              </w:rPr>
            </w:pPr>
            <w:r w:rsidRPr="00E25502">
              <w:rPr>
                <w:lang w:eastAsia="en-AU"/>
              </w:rPr>
              <w:t xml:space="preserve"> </w:t>
            </w:r>
            <w:r w:rsidR="002A60A7" w:rsidRPr="00E25502">
              <w:rPr>
                <w:lang w:eastAsia="en-AU"/>
              </w:rPr>
              <w:t>Joan Esterle and Julian Strand</w:t>
            </w:r>
          </w:p>
        </w:tc>
        <w:tc>
          <w:tcPr>
            <w:tcW w:w="1701" w:type="dxa"/>
          </w:tcPr>
          <w:p w14:paraId="74667B22" w14:textId="5E71A97C" w:rsidR="00EE5E64" w:rsidRPr="00E25502" w:rsidRDefault="000C7CB9" w:rsidP="00D01553">
            <w:pPr>
              <w:rPr>
                <w:lang w:eastAsia="en-AU"/>
              </w:rPr>
            </w:pPr>
            <w:r w:rsidRPr="00E25502">
              <w:rPr>
                <w:lang w:eastAsia="en-AU"/>
              </w:rPr>
              <w:t>12-08-2015</w:t>
            </w:r>
          </w:p>
        </w:tc>
        <w:tc>
          <w:tcPr>
            <w:tcW w:w="2835" w:type="dxa"/>
          </w:tcPr>
          <w:p w14:paraId="1A8ECC80" w14:textId="75D3DF8C" w:rsidR="00EE5E64" w:rsidRPr="00E25502" w:rsidRDefault="000C7CB9" w:rsidP="00D01553">
            <w:r w:rsidRPr="00E25502">
              <w:t>Revise report</w:t>
            </w:r>
          </w:p>
        </w:tc>
      </w:tr>
      <w:tr w:rsidR="00EE5E64" w:rsidRPr="00B74EBB" w14:paraId="6B16EF4F" w14:textId="77777777" w:rsidTr="00E25502">
        <w:trPr>
          <w:trHeight w:val="851"/>
        </w:trPr>
        <w:tc>
          <w:tcPr>
            <w:tcW w:w="1101" w:type="dxa"/>
          </w:tcPr>
          <w:p w14:paraId="305F3E06" w14:textId="77777777" w:rsidR="00EE5E64" w:rsidRPr="00E25502" w:rsidRDefault="00936468" w:rsidP="00D01553">
            <w:pPr>
              <w:rPr>
                <w:lang w:eastAsia="en-AU"/>
              </w:rPr>
            </w:pPr>
            <w:r w:rsidRPr="00E25502">
              <w:rPr>
                <w:lang w:eastAsia="en-AU"/>
              </w:rPr>
              <w:t>1.3</w:t>
            </w:r>
          </w:p>
        </w:tc>
        <w:tc>
          <w:tcPr>
            <w:tcW w:w="1842" w:type="dxa"/>
          </w:tcPr>
          <w:p w14:paraId="50DB28A5" w14:textId="77777777" w:rsidR="00EE5E64" w:rsidRPr="00E25502" w:rsidRDefault="00936468" w:rsidP="00D01553">
            <w:pPr>
              <w:rPr>
                <w:lang w:eastAsia="en-AU"/>
              </w:rPr>
            </w:pPr>
            <w:r w:rsidRPr="00E25502">
              <w:rPr>
                <w:lang w:eastAsia="en-AU"/>
              </w:rPr>
              <w:t>13-08-2015</w:t>
            </w:r>
          </w:p>
        </w:tc>
        <w:tc>
          <w:tcPr>
            <w:tcW w:w="1701" w:type="dxa"/>
          </w:tcPr>
          <w:p w14:paraId="02B33230" w14:textId="77777777" w:rsidR="00EE5E64" w:rsidRPr="00E25502" w:rsidRDefault="00936468" w:rsidP="00D01553">
            <w:pPr>
              <w:rPr>
                <w:lang w:eastAsia="en-AU"/>
              </w:rPr>
            </w:pPr>
            <w:r w:rsidRPr="00E25502">
              <w:rPr>
                <w:lang w:eastAsia="en-AU"/>
              </w:rPr>
              <w:t>Dirk Mallants</w:t>
            </w:r>
            <w:r w:rsidR="00CA67B2" w:rsidRPr="00E25502">
              <w:rPr>
                <w:lang w:eastAsia="en-AU"/>
              </w:rPr>
              <w:t>: CSIRO</w:t>
            </w:r>
          </w:p>
          <w:p w14:paraId="2F9912A9" w14:textId="77777777" w:rsidR="00936468" w:rsidRPr="00E25502" w:rsidRDefault="00936468" w:rsidP="00D01553">
            <w:pPr>
              <w:rPr>
                <w:lang w:eastAsia="en-AU"/>
              </w:rPr>
            </w:pPr>
          </w:p>
        </w:tc>
        <w:tc>
          <w:tcPr>
            <w:tcW w:w="1701" w:type="dxa"/>
          </w:tcPr>
          <w:p w14:paraId="1E6DB238" w14:textId="77777777" w:rsidR="00EE5E64" w:rsidRPr="00E25502" w:rsidRDefault="00936468" w:rsidP="00D01553">
            <w:pPr>
              <w:rPr>
                <w:lang w:eastAsia="en-AU"/>
              </w:rPr>
            </w:pPr>
            <w:r w:rsidRPr="00E25502">
              <w:rPr>
                <w:lang w:eastAsia="en-AU"/>
              </w:rPr>
              <w:t>Review received 14-10-2015</w:t>
            </w:r>
          </w:p>
        </w:tc>
        <w:tc>
          <w:tcPr>
            <w:tcW w:w="2835" w:type="dxa"/>
          </w:tcPr>
          <w:p w14:paraId="715ACA22" w14:textId="77777777" w:rsidR="00EE5E64" w:rsidRPr="00E25502" w:rsidRDefault="00CA67B2" w:rsidP="00D01553">
            <w:pPr>
              <w:rPr>
                <w:lang w:eastAsia="en-AU"/>
              </w:rPr>
            </w:pPr>
            <w:r w:rsidRPr="00E25502">
              <w:rPr>
                <w:lang w:eastAsia="en-AU"/>
              </w:rPr>
              <w:t>Update Acronyms, Glossary &amp; Symbols</w:t>
            </w:r>
          </w:p>
          <w:p w14:paraId="4309789B" w14:textId="77777777" w:rsidR="00545403" w:rsidRPr="00E25502" w:rsidRDefault="00545403" w:rsidP="00D01553">
            <w:pPr>
              <w:rPr>
                <w:lang w:eastAsia="en-AU"/>
              </w:rPr>
            </w:pPr>
            <w:r w:rsidRPr="00E25502">
              <w:rPr>
                <w:lang w:eastAsia="en-AU"/>
              </w:rPr>
              <w:t>Added further discussion to demonstrate relevance for groundwater modelling</w:t>
            </w:r>
          </w:p>
          <w:p w14:paraId="5D64AEB2" w14:textId="77777777" w:rsidR="00545403" w:rsidRDefault="00545403" w:rsidP="00D01553">
            <w:pPr>
              <w:rPr>
                <w:lang w:eastAsia="en-AU"/>
              </w:rPr>
            </w:pPr>
            <w:r w:rsidRPr="00E25502">
              <w:rPr>
                <w:lang w:eastAsia="en-AU"/>
              </w:rPr>
              <w:t>Technical clarifications</w:t>
            </w:r>
          </w:p>
          <w:p w14:paraId="7A8EBB14" w14:textId="77777777" w:rsidR="00545403" w:rsidRDefault="00545403" w:rsidP="00D01553">
            <w:pPr>
              <w:rPr>
                <w:lang w:eastAsia="en-AU"/>
              </w:rPr>
            </w:pPr>
          </w:p>
          <w:p w14:paraId="50ABD4FE" w14:textId="77777777" w:rsidR="00CA67B2" w:rsidRPr="00DF52D5" w:rsidRDefault="00CA67B2" w:rsidP="00D01553">
            <w:pPr>
              <w:rPr>
                <w:lang w:eastAsia="en-AU"/>
              </w:rPr>
            </w:pPr>
          </w:p>
        </w:tc>
      </w:tr>
      <w:tr w:rsidR="00EE5E64" w:rsidRPr="00B74EBB" w14:paraId="2EB35E12" w14:textId="77777777" w:rsidTr="00E25502">
        <w:trPr>
          <w:trHeight w:val="851"/>
        </w:trPr>
        <w:tc>
          <w:tcPr>
            <w:tcW w:w="1101" w:type="dxa"/>
          </w:tcPr>
          <w:p w14:paraId="69E79E23" w14:textId="77777777" w:rsidR="00EE5E64" w:rsidRPr="00B74EBB" w:rsidRDefault="00CA67B2" w:rsidP="00D01553">
            <w:pPr>
              <w:rPr>
                <w:lang w:eastAsia="en-AU"/>
              </w:rPr>
            </w:pPr>
            <w:r>
              <w:rPr>
                <w:lang w:eastAsia="en-AU"/>
              </w:rPr>
              <w:t>1.3</w:t>
            </w:r>
          </w:p>
        </w:tc>
        <w:tc>
          <w:tcPr>
            <w:tcW w:w="1842" w:type="dxa"/>
          </w:tcPr>
          <w:p w14:paraId="75AA890A" w14:textId="77777777" w:rsidR="00EE5E64" w:rsidRPr="00B74EBB" w:rsidRDefault="00CA67B2" w:rsidP="00D01553">
            <w:pPr>
              <w:rPr>
                <w:lang w:eastAsia="en-AU"/>
              </w:rPr>
            </w:pPr>
            <w:r>
              <w:rPr>
                <w:lang w:eastAsia="en-AU"/>
              </w:rPr>
              <w:t>15-10-2015</w:t>
            </w:r>
          </w:p>
        </w:tc>
        <w:tc>
          <w:tcPr>
            <w:tcW w:w="1701" w:type="dxa"/>
          </w:tcPr>
          <w:p w14:paraId="2A584D27" w14:textId="77777777" w:rsidR="00EE5E64" w:rsidRPr="00B74EBB" w:rsidRDefault="00CA67B2" w:rsidP="00D01553">
            <w:pPr>
              <w:rPr>
                <w:lang w:eastAsia="en-AU"/>
              </w:rPr>
            </w:pPr>
            <w:r>
              <w:rPr>
                <w:lang w:eastAsia="en-AU"/>
              </w:rPr>
              <w:t>Susan Hayes: UQ</w:t>
            </w:r>
          </w:p>
        </w:tc>
        <w:tc>
          <w:tcPr>
            <w:tcW w:w="1701" w:type="dxa"/>
          </w:tcPr>
          <w:p w14:paraId="1894A936" w14:textId="77777777" w:rsidR="00EE5E64" w:rsidRPr="00B74EBB" w:rsidRDefault="00EE5E64" w:rsidP="00D01553">
            <w:pPr>
              <w:rPr>
                <w:lang w:eastAsia="en-AU"/>
              </w:rPr>
            </w:pPr>
          </w:p>
        </w:tc>
        <w:tc>
          <w:tcPr>
            <w:tcW w:w="2835" w:type="dxa"/>
          </w:tcPr>
          <w:p w14:paraId="1A2C4081" w14:textId="2738C60D" w:rsidR="00EE5E64" w:rsidRPr="00B74EBB" w:rsidRDefault="00E02058" w:rsidP="00D01553">
            <w:r>
              <w:t>Formatting and editorial including references</w:t>
            </w:r>
          </w:p>
        </w:tc>
      </w:tr>
      <w:tr w:rsidR="00EE5E64" w:rsidRPr="00B74EBB" w14:paraId="195D4951" w14:textId="77777777" w:rsidTr="0071409A">
        <w:trPr>
          <w:trHeight w:val="2018"/>
        </w:trPr>
        <w:tc>
          <w:tcPr>
            <w:tcW w:w="1101" w:type="dxa"/>
          </w:tcPr>
          <w:p w14:paraId="322C9DC6" w14:textId="5C33F585" w:rsidR="00EE5E64" w:rsidRPr="00B74EBB" w:rsidRDefault="000C7CB9" w:rsidP="00D01553">
            <w:pPr>
              <w:rPr>
                <w:lang w:eastAsia="en-AU"/>
              </w:rPr>
            </w:pPr>
            <w:r>
              <w:rPr>
                <w:lang w:eastAsia="en-AU"/>
              </w:rPr>
              <w:t>1.4</w:t>
            </w:r>
          </w:p>
        </w:tc>
        <w:tc>
          <w:tcPr>
            <w:tcW w:w="1842" w:type="dxa"/>
          </w:tcPr>
          <w:p w14:paraId="74AD8879" w14:textId="5F2864B0" w:rsidR="00EE5E64" w:rsidRPr="00B74EBB" w:rsidRDefault="000C7CB9" w:rsidP="00D01553">
            <w:pPr>
              <w:rPr>
                <w:lang w:eastAsia="en-AU"/>
              </w:rPr>
            </w:pPr>
            <w:r>
              <w:rPr>
                <w:lang w:eastAsia="en-AU"/>
              </w:rPr>
              <w:t>01-11-2015</w:t>
            </w:r>
          </w:p>
        </w:tc>
        <w:tc>
          <w:tcPr>
            <w:tcW w:w="1701" w:type="dxa"/>
          </w:tcPr>
          <w:p w14:paraId="1BB4B3A4" w14:textId="77777777" w:rsidR="000C7CB9" w:rsidRDefault="000C7CB9" w:rsidP="000C7CB9">
            <w:pPr>
              <w:rPr>
                <w:lang w:eastAsia="en-AU"/>
              </w:rPr>
            </w:pPr>
            <w:r>
              <w:rPr>
                <w:lang w:eastAsia="en-AU"/>
              </w:rPr>
              <w:t>Dirk Mallants</w:t>
            </w:r>
          </w:p>
          <w:p w14:paraId="04E44E5B" w14:textId="77777777" w:rsidR="00EE5E64" w:rsidRDefault="000C7CB9" w:rsidP="000C7CB9">
            <w:pPr>
              <w:rPr>
                <w:lang w:eastAsia="en-AU"/>
              </w:rPr>
            </w:pPr>
            <w:r>
              <w:rPr>
                <w:lang w:eastAsia="en-AU"/>
              </w:rPr>
              <w:t>Susan Hayes</w:t>
            </w:r>
          </w:p>
          <w:p w14:paraId="4059781A" w14:textId="459EABEF" w:rsidR="00265C91" w:rsidRPr="00B74EBB" w:rsidRDefault="00265C91" w:rsidP="000C7CB9">
            <w:pPr>
              <w:rPr>
                <w:lang w:eastAsia="en-AU"/>
              </w:rPr>
            </w:pPr>
            <w:r>
              <w:rPr>
                <w:lang w:eastAsia="en-AU"/>
              </w:rPr>
              <w:t>Julian Strand and Joan Esterle</w:t>
            </w:r>
          </w:p>
        </w:tc>
        <w:tc>
          <w:tcPr>
            <w:tcW w:w="1701" w:type="dxa"/>
          </w:tcPr>
          <w:p w14:paraId="506300A8" w14:textId="00F73774" w:rsidR="0071409A" w:rsidRPr="0071409A" w:rsidRDefault="000C7CB9" w:rsidP="0071409A">
            <w:pPr>
              <w:autoSpaceDE w:val="0"/>
              <w:autoSpaceDN w:val="0"/>
              <w:adjustRightInd w:val="0"/>
              <w:rPr>
                <w:rFonts w:ascii="Calibri-Bold" w:hAnsi="Calibri-Bold" w:cs="Calibri-Bold"/>
                <w:bCs/>
                <w:color w:val="FFFFFF"/>
              </w:rPr>
            </w:pPr>
            <w:r w:rsidRPr="00541B16">
              <w:rPr>
                <w:rFonts w:ascii="Calibri-Bold" w:hAnsi="Calibri-Bold" w:cs="Calibri-Bold"/>
                <w:bCs/>
                <w:color w:val="FFFFFF"/>
              </w:rPr>
              <w:t xml:space="preserve">Overview of </w:t>
            </w:r>
          </w:p>
          <w:p w14:paraId="436157E2" w14:textId="5472CF1D" w:rsidR="00EE5E64" w:rsidRPr="0071409A" w:rsidRDefault="00EE5E64" w:rsidP="0071409A">
            <w:pPr>
              <w:autoSpaceDE w:val="0"/>
              <w:autoSpaceDN w:val="0"/>
              <w:adjustRightInd w:val="0"/>
              <w:rPr>
                <w:rFonts w:ascii="Calibri-Bold" w:hAnsi="Calibri-Bold" w:cs="Calibri-Bold"/>
                <w:bCs/>
                <w:color w:val="FFFFFF"/>
              </w:rPr>
            </w:pPr>
          </w:p>
        </w:tc>
        <w:tc>
          <w:tcPr>
            <w:tcW w:w="2835" w:type="dxa"/>
          </w:tcPr>
          <w:p w14:paraId="6F311E29" w14:textId="123007CC" w:rsidR="00EE5E64" w:rsidRPr="000C7CB9" w:rsidRDefault="0071409A" w:rsidP="0071409A">
            <w:r>
              <w:t>Need to standardise this report with the</w:t>
            </w:r>
            <w:r w:rsidR="000C7CB9">
              <w:t xml:space="preserve"> sister report</w:t>
            </w:r>
            <w:r>
              <w:t xml:space="preserve">: </w:t>
            </w:r>
            <w:r w:rsidR="000C7CB9">
              <w:t xml:space="preserve">glossary and other components and ensure that there was consistency in content </w:t>
            </w:r>
            <w:r>
              <w:t>and style between the two report</w:t>
            </w:r>
          </w:p>
        </w:tc>
      </w:tr>
      <w:tr w:rsidR="00EE5E64" w:rsidRPr="00B74EBB" w14:paraId="62306FB7" w14:textId="77777777" w:rsidTr="00E25502">
        <w:trPr>
          <w:trHeight w:val="851"/>
        </w:trPr>
        <w:tc>
          <w:tcPr>
            <w:tcW w:w="1101" w:type="dxa"/>
          </w:tcPr>
          <w:p w14:paraId="2AD279A6" w14:textId="0B64E2ED" w:rsidR="00EE5E64" w:rsidRPr="00B74EBB" w:rsidRDefault="000C7CB9" w:rsidP="00D01553">
            <w:pPr>
              <w:rPr>
                <w:lang w:eastAsia="en-AU"/>
              </w:rPr>
            </w:pPr>
            <w:r>
              <w:rPr>
                <w:lang w:eastAsia="en-AU"/>
              </w:rPr>
              <w:t>1.5</w:t>
            </w:r>
          </w:p>
        </w:tc>
        <w:tc>
          <w:tcPr>
            <w:tcW w:w="1842" w:type="dxa"/>
          </w:tcPr>
          <w:p w14:paraId="6791AB3F" w14:textId="5F2AB811" w:rsidR="00EE5E64" w:rsidRPr="00B74EBB" w:rsidRDefault="00265C91" w:rsidP="00D01553">
            <w:pPr>
              <w:rPr>
                <w:lang w:eastAsia="en-AU"/>
              </w:rPr>
            </w:pPr>
            <w:r>
              <w:rPr>
                <w:lang w:eastAsia="en-AU"/>
              </w:rPr>
              <w:t>21</w:t>
            </w:r>
            <w:r w:rsidR="000C7CB9">
              <w:rPr>
                <w:lang w:eastAsia="en-AU"/>
              </w:rPr>
              <w:t>-12-2015</w:t>
            </w:r>
          </w:p>
        </w:tc>
        <w:tc>
          <w:tcPr>
            <w:tcW w:w="1701" w:type="dxa"/>
          </w:tcPr>
          <w:p w14:paraId="5A6376D6" w14:textId="32E57FC9" w:rsidR="00EE5E64" w:rsidRPr="00B74EBB" w:rsidRDefault="000C7CB9" w:rsidP="00D01553">
            <w:pPr>
              <w:rPr>
                <w:lang w:eastAsia="en-AU"/>
              </w:rPr>
            </w:pPr>
            <w:r>
              <w:rPr>
                <w:lang w:eastAsia="en-AU"/>
              </w:rPr>
              <w:t>Jim Underschultz</w:t>
            </w:r>
          </w:p>
        </w:tc>
        <w:tc>
          <w:tcPr>
            <w:tcW w:w="1701" w:type="dxa"/>
          </w:tcPr>
          <w:p w14:paraId="34D2DF9C" w14:textId="721EFA4E" w:rsidR="00EE5E64" w:rsidRPr="00B74EBB" w:rsidRDefault="002A781B" w:rsidP="00D01553">
            <w:pPr>
              <w:rPr>
                <w:lang w:eastAsia="en-AU"/>
              </w:rPr>
            </w:pPr>
            <w:r>
              <w:rPr>
                <w:lang w:eastAsia="en-AU"/>
              </w:rPr>
              <w:t>23</w:t>
            </w:r>
            <w:r w:rsidR="009E2320">
              <w:rPr>
                <w:lang w:eastAsia="en-AU"/>
              </w:rPr>
              <w:t>-12</w:t>
            </w:r>
            <w:r w:rsidR="000C7CB9">
              <w:rPr>
                <w:lang w:eastAsia="en-AU"/>
              </w:rPr>
              <w:t>-2015</w:t>
            </w:r>
          </w:p>
        </w:tc>
        <w:tc>
          <w:tcPr>
            <w:tcW w:w="2835" w:type="dxa"/>
          </w:tcPr>
          <w:p w14:paraId="18D944C8" w14:textId="00D2208C" w:rsidR="00EE5E64" w:rsidRPr="00B74EBB" w:rsidRDefault="00AA038A" w:rsidP="00D01553">
            <w:r>
              <w:t>1</w:t>
            </w:r>
            <w:r w:rsidRPr="00AA038A">
              <w:rPr>
                <w:vertAlign w:val="superscript"/>
              </w:rPr>
              <w:t>st</w:t>
            </w:r>
            <w:r>
              <w:t xml:space="preserve"> </w:t>
            </w:r>
            <w:r w:rsidR="000C7CB9">
              <w:t>Final report revision</w:t>
            </w:r>
          </w:p>
        </w:tc>
      </w:tr>
      <w:tr w:rsidR="0071409A" w:rsidRPr="00B74EBB" w14:paraId="03AC24C5" w14:textId="77777777" w:rsidTr="00E25502">
        <w:trPr>
          <w:trHeight w:val="851"/>
        </w:trPr>
        <w:tc>
          <w:tcPr>
            <w:tcW w:w="1101" w:type="dxa"/>
          </w:tcPr>
          <w:p w14:paraId="4233F3C4" w14:textId="57A7CDBD" w:rsidR="0071409A" w:rsidRDefault="0071409A" w:rsidP="00D01553">
            <w:pPr>
              <w:rPr>
                <w:lang w:eastAsia="en-AU"/>
              </w:rPr>
            </w:pPr>
            <w:r>
              <w:rPr>
                <w:lang w:eastAsia="en-AU"/>
              </w:rPr>
              <w:t>1.6</w:t>
            </w:r>
          </w:p>
        </w:tc>
        <w:tc>
          <w:tcPr>
            <w:tcW w:w="1842" w:type="dxa"/>
          </w:tcPr>
          <w:p w14:paraId="667A6719" w14:textId="77777777" w:rsidR="0071409A" w:rsidRDefault="008B3D0B" w:rsidP="00D01553">
            <w:pPr>
              <w:rPr>
                <w:lang w:eastAsia="en-AU"/>
              </w:rPr>
            </w:pPr>
            <w:r>
              <w:rPr>
                <w:lang w:eastAsia="en-AU"/>
              </w:rPr>
              <w:t>24-12-2015</w:t>
            </w:r>
          </w:p>
          <w:p w14:paraId="5E1B8B6E" w14:textId="18375502" w:rsidR="00AA038A" w:rsidRDefault="00AA038A" w:rsidP="00D01553">
            <w:pPr>
              <w:rPr>
                <w:lang w:eastAsia="en-AU"/>
              </w:rPr>
            </w:pPr>
            <w:r>
              <w:rPr>
                <w:lang w:eastAsia="en-AU"/>
              </w:rPr>
              <w:t>22-01-2016</w:t>
            </w:r>
          </w:p>
        </w:tc>
        <w:tc>
          <w:tcPr>
            <w:tcW w:w="1701" w:type="dxa"/>
          </w:tcPr>
          <w:p w14:paraId="1DC4DF68" w14:textId="77777777" w:rsidR="0071409A" w:rsidRDefault="008B3D0B" w:rsidP="00D01553">
            <w:pPr>
              <w:rPr>
                <w:lang w:eastAsia="en-AU"/>
              </w:rPr>
            </w:pPr>
            <w:r>
              <w:rPr>
                <w:lang w:eastAsia="en-AU"/>
              </w:rPr>
              <w:t>Dirk Mallants</w:t>
            </w:r>
          </w:p>
          <w:p w14:paraId="61C0E402" w14:textId="24BB682B" w:rsidR="00AA038A" w:rsidRDefault="00AA038A" w:rsidP="00D01553">
            <w:pPr>
              <w:rPr>
                <w:lang w:eastAsia="en-AU"/>
              </w:rPr>
            </w:pPr>
            <w:r>
              <w:rPr>
                <w:lang w:eastAsia="en-AU"/>
              </w:rPr>
              <w:t>Scott Lawson</w:t>
            </w:r>
          </w:p>
        </w:tc>
        <w:tc>
          <w:tcPr>
            <w:tcW w:w="1701" w:type="dxa"/>
          </w:tcPr>
          <w:p w14:paraId="44981179" w14:textId="77777777" w:rsidR="0071409A" w:rsidRDefault="008B3D0B" w:rsidP="00D01553">
            <w:pPr>
              <w:rPr>
                <w:lang w:eastAsia="en-AU"/>
              </w:rPr>
            </w:pPr>
            <w:r>
              <w:rPr>
                <w:lang w:eastAsia="en-AU"/>
              </w:rPr>
              <w:t>12-01-2016</w:t>
            </w:r>
          </w:p>
          <w:p w14:paraId="3FF813E4" w14:textId="18E33AF8" w:rsidR="00AA038A" w:rsidRDefault="00AA038A" w:rsidP="00D01553">
            <w:pPr>
              <w:rPr>
                <w:lang w:eastAsia="en-AU"/>
              </w:rPr>
            </w:pPr>
            <w:r>
              <w:rPr>
                <w:lang w:eastAsia="en-AU"/>
              </w:rPr>
              <w:t>03-02-2016</w:t>
            </w:r>
          </w:p>
        </w:tc>
        <w:tc>
          <w:tcPr>
            <w:tcW w:w="2835" w:type="dxa"/>
          </w:tcPr>
          <w:p w14:paraId="6059FC61" w14:textId="77777777" w:rsidR="0071409A" w:rsidRDefault="008B3D0B" w:rsidP="00D01553">
            <w:r>
              <w:t>Final editorial overview</w:t>
            </w:r>
          </w:p>
          <w:p w14:paraId="2B1FF2A3" w14:textId="2D25BF15" w:rsidR="00AA038A" w:rsidRDefault="00AA038A" w:rsidP="00D01553">
            <w:r>
              <w:t>Jim’s 2</w:t>
            </w:r>
            <w:r w:rsidRPr="00AA038A">
              <w:rPr>
                <w:vertAlign w:val="superscript"/>
              </w:rPr>
              <w:t>nd</w:t>
            </w:r>
            <w:r>
              <w:t xml:space="preserve"> Final report version</w:t>
            </w:r>
          </w:p>
        </w:tc>
      </w:tr>
    </w:tbl>
    <w:p w14:paraId="1D46E2AA" w14:textId="77777777" w:rsidR="008D29F0" w:rsidRDefault="008D29F0" w:rsidP="00E25502">
      <w:pPr>
        <w:pStyle w:val="Heading1NoTOC"/>
      </w:pPr>
    </w:p>
    <w:p w14:paraId="18E90F72" w14:textId="1C7D7EB0" w:rsidR="009809B7" w:rsidRDefault="009809B7" w:rsidP="00E25502">
      <w:pPr>
        <w:pStyle w:val="Heading1NoTOC"/>
      </w:pPr>
      <w:r>
        <w:t>Executive Summary</w:t>
      </w:r>
    </w:p>
    <w:p w14:paraId="31616442" w14:textId="77777777" w:rsidR="009809B7" w:rsidRDefault="009809B7" w:rsidP="00E25502"/>
    <w:p w14:paraId="456168A5" w14:textId="77777777" w:rsidR="00A63B9F" w:rsidRDefault="009809B7" w:rsidP="00A63B9F">
      <w:pPr>
        <w:autoSpaceDE w:val="0"/>
        <w:autoSpaceDN w:val="0"/>
        <w:adjustRightInd w:val="0"/>
        <w:spacing w:after="0" w:line="240" w:lineRule="auto"/>
        <w:rPr>
          <w:rFonts w:ascii="Calibri" w:hAnsi="Calibri" w:cs="Calibri"/>
        </w:rPr>
      </w:pPr>
      <w:r>
        <w:rPr>
          <w:lang w:eastAsia="en-AU"/>
        </w:rPr>
        <w:t xml:space="preserve">The project </w:t>
      </w:r>
      <w:r>
        <w:t>“</w:t>
      </w:r>
      <w:r w:rsidRPr="00DB5CE8">
        <w:rPr>
          <w:rFonts w:cs="Arial"/>
          <w:i/>
        </w:rPr>
        <w:t>Research to improve treatment of faults and aquitards in Australian regional groundwater models to improve assessment of impacts of CSG extraction</w:t>
      </w:r>
      <w:r>
        <w:t xml:space="preserve">” </w:t>
      </w:r>
      <w:r w:rsidRPr="00DB5CE8">
        <w:rPr>
          <w:rFonts w:cs="Arial"/>
        </w:rPr>
        <w:t xml:space="preserve">focuses on identifying and assessing </w:t>
      </w:r>
      <w:r>
        <w:rPr>
          <w:rFonts w:cs="Arial"/>
        </w:rPr>
        <w:t>technical uncertainty</w:t>
      </w:r>
      <w:r w:rsidRPr="00DB5CE8">
        <w:rPr>
          <w:rFonts w:cs="Arial"/>
        </w:rPr>
        <w:t xml:space="preserve"> with deep groundwater extraction and depressurisation</w:t>
      </w:r>
      <w:r>
        <w:rPr>
          <w:rFonts w:cs="Arial"/>
        </w:rPr>
        <w:t xml:space="preserve"> associated with energy resources development</w:t>
      </w:r>
      <w:r w:rsidRPr="00DB5CE8">
        <w:rPr>
          <w:rFonts w:cs="Arial"/>
        </w:rPr>
        <w:t>.</w:t>
      </w:r>
      <w:r>
        <w:rPr>
          <w:rFonts w:cs="Arial"/>
        </w:rPr>
        <w:t xml:space="preserve">  The project aims to develop methodologies and techniques that will improve the predictive capability of regional groundwater models used in this context.  The project has three components: 1) examination of aquitards, 2) examination of faults, and 3) examination of upscaling aquitard and fault properties such that they can be adequately represented in regional groundwater flow models.  This report represents the literature review related to part 2 on faults. </w:t>
      </w:r>
      <w:r w:rsidRPr="00541B16">
        <w:rPr>
          <w:rFonts w:ascii="Calibri" w:hAnsi="Calibri" w:cs="Calibri"/>
        </w:rPr>
        <w:t>The overview provides the framework that can be used to guide research int</w:t>
      </w:r>
      <w:r>
        <w:rPr>
          <w:rFonts w:ascii="Calibri" w:hAnsi="Calibri" w:cs="Calibri"/>
        </w:rPr>
        <w:t xml:space="preserve">o appropriate methodologies and </w:t>
      </w:r>
      <w:r w:rsidRPr="00541B16">
        <w:rPr>
          <w:rFonts w:ascii="Calibri" w:hAnsi="Calibri" w:cs="Calibri"/>
        </w:rPr>
        <w:t>procedures of aquitard and fault zone representation in regional groundwater models.</w:t>
      </w:r>
    </w:p>
    <w:p w14:paraId="08785E3B" w14:textId="77777777" w:rsidR="00A63B9F" w:rsidRDefault="00A63B9F" w:rsidP="00A63B9F">
      <w:pPr>
        <w:autoSpaceDE w:val="0"/>
        <w:autoSpaceDN w:val="0"/>
        <w:adjustRightInd w:val="0"/>
        <w:spacing w:after="0" w:line="240" w:lineRule="auto"/>
        <w:rPr>
          <w:rFonts w:ascii="Calibri" w:hAnsi="Calibri" w:cs="Calibri"/>
        </w:rPr>
      </w:pPr>
    </w:p>
    <w:p w14:paraId="0D1DEBF6" w14:textId="44F86646" w:rsidR="009809B7" w:rsidRPr="00A63B9F" w:rsidRDefault="009809B7" w:rsidP="00A63B9F">
      <w:pPr>
        <w:autoSpaceDE w:val="0"/>
        <w:autoSpaceDN w:val="0"/>
        <w:adjustRightInd w:val="0"/>
        <w:spacing w:after="0" w:line="240" w:lineRule="auto"/>
        <w:rPr>
          <w:rFonts w:ascii="Calibri" w:hAnsi="Calibri" w:cs="Calibri"/>
        </w:rPr>
      </w:pPr>
      <w:r>
        <w:rPr>
          <w:rFonts w:cs="Arial"/>
        </w:rPr>
        <w:t xml:space="preserve">There is an extensive body of scientific literature on fault characteristics and their genesis in structural geology journals, however, the understanding of fault hydraulic properties and their transmission </w:t>
      </w:r>
      <w:r w:rsidR="00D81172">
        <w:rPr>
          <w:rFonts w:cs="Arial"/>
        </w:rPr>
        <w:t>(</w:t>
      </w:r>
      <w:r>
        <w:rPr>
          <w:rFonts w:cs="Arial"/>
        </w:rPr>
        <w:t>or not</w:t>
      </w:r>
      <w:r w:rsidR="00D81172">
        <w:rPr>
          <w:rFonts w:cs="Arial"/>
        </w:rPr>
        <w:t>)</w:t>
      </w:r>
      <w:r>
        <w:rPr>
          <w:rFonts w:cs="Arial"/>
        </w:rPr>
        <w:t xml:space="preserve"> of fluids in sedimentary sequences primarily comes from two domains of research: 1) conventional oil and gas exploration and production geology where faults can either allow hydrocarbons to accumulate in commercial volumes, or to leak rendering an otherwise valid trap to be “dry” or sub-economic, and 2) hydrogeological and ecological research on groundwater springs occurring along faults that come to surface.  The economic imperative of having pre drill-predictive capability in estimating fault seal capacity to conventional hydrocarbons accumulations has led to the development of several procedures and techniques that evaluate various aspects of fault zone hydraulic characteristics at various in-situ environmental conditions (pressure, temperature, stress, wettability). These include: fault zone architecture and juxtaposition analysis, mechanical seal capacity and fault reactivation potential, capillary fault seal capacity and hydrodynamic analysis, and sub-seismic strain analysis.  The oil and gas industry uses field production history and observed field compartmentalisation to calibrate and validate methodologies for predicting fault seal capacity and the representative hydraulic parameters of fault zones.  In the domain of groundwater hydrogeology, surface water hydrology and ecology, observations of groundwater spring temperature, flux and geochemical characteristics for springs occurring along faults are used to infer fault zone hydraulic properties.  </w:t>
      </w:r>
    </w:p>
    <w:p w14:paraId="4FF1ECB2" w14:textId="77777777" w:rsidR="009809B7" w:rsidRDefault="009809B7" w:rsidP="00A63B9F">
      <w:pPr>
        <w:autoSpaceDE w:val="0"/>
        <w:autoSpaceDN w:val="0"/>
        <w:adjustRightInd w:val="0"/>
        <w:spacing w:after="0" w:line="240" w:lineRule="auto"/>
        <w:rPr>
          <w:rFonts w:cs="Times New Roman"/>
        </w:rPr>
      </w:pPr>
      <w:r>
        <w:rPr>
          <w:rFonts w:cs="Times New Roman"/>
        </w:rPr>
        <w:t>From this literature review and assessment of commonly used fault analysis methodology, we collected several case study examples of fault systems and their hydraulic behaviour and make the following general observations:</w:t>
      </w:r>
    </w:p>
    <w:p w14:paraId="0F124893" w14:textId="77777777" w:rsidR="009809B7" w:rsidRDefault="009809B7" w:rsidP="009809B7">
      <w:pPr>
        <w:autoSpaceDE w:val="0"/>
        <w:autoSpaceDN w:val="0"/>
        <w:adjustRightInd w:val="0"/>
        <w:spacing w:after="0" w:line="240" w:lineRule="auto"/>
        <w:rPr>
          <w:rFonts w:cs="Times New Roman"/>
        </w:rPr>
      </w:pPr>
    </w:p>
    <w:p w14:paraId="4B76F60F" w14:textId="77777777" w:rsidR="009809B7" w:rsidRDefault="009809B7" w:rsidP="009809B7">
      <w:pPr>
        <w:pStyle w:val="ListParagraph"/>
        <w:numPr>
          <w:ilvl w:val="0"/>
          <w:numId w:val="13"/>
        </w:numPr>
        <w:autoSpaceDE w:val="0"/>
        <w:autoSpaceDN w:val="0"/>
        <w:adjustRightInd w:val="0"/>
        <w:spacing w:after="0" w:line="240" w:lineRule="auto"/>
        <w:rPr>
          <w:rFonts w:cs="AdvOT863180fb"/>
        </w:rPr>
      </w:pPr>
      <w:r>
        <w:rPr>
          <w:rFonts w:cs="AdvOT863180fb"/>
        </w:rPr>
        <w:t>Faults can exhibit the full range of hydraulic characteristics between providing a hydraulic barrier sufficient to trap hydrocarbons for millions of years to being a conduit with transmissivities capable of transmitting groundwater from depth to surface thermal springs;</w:t>
      </w:r>
    </w:p>
    <w:p w14:paraId="2DCA824E" w14:textId="77777777" w:rsidR="009809B7" w:rsidRDefault="009809B7" w:rsidP="009809B7">
      <w:pPr>
        <w:pStyle w:val="ListParagraph"/>
        <w:numPr>
          <w:ilvl w:val="0"/>
          <w:numId w:val="13"/>
        </w:numPr>
        <w:autoSpaceDE w:val="0"/>
        <w:autoSpaceDN w:val="0"/>
        <w:adjustRightInd w:val="0"/>
        <w:spacing w:after="0" w:line="240" w:lineRule="auto"/>
        <w:rPr>
          <w:rFonts w:cs="AdvOT863180fb"/>
        </w:rPr>
      </w:pPr>
      <w:r>
        <w:rPr>
          <w:rFonts w:cs="AdvOT863180fb"/>
        </w:rPr>
        <w:t>Faults can exhibit different hydraulic properties at different locations on the fault plane;</w:t>
      </w:r>
    </w:p>
    <w:p w14:paraId="4CF5B08B" w14:textId="77777777" w:rsidR="009809B7" w:rsidRDefault="009809B7" w:rsidP="009809B7">
      <w:pPr>
        <w:pStyle w:val="ListParagraph"/>
        <w:numPr>
          <w:ilvl w:val="0"/>
          <w:numId w:val="13"/>
        </w:numPr>
        <w:autoSpaceDE w:val="0"/>
        <w:autoSpaceDN w:val="0"/>
        <w:adjustRightInd w:val="0"/>
        <w:spacing w:after="0" w:line="240" w:lineRule="auto"/>
        <w:rPr>
          <w:rFonts w:cs="AdvOT863180fb"/>
        </w:rPr>
      </w:pPr>
      <w:r>
        <w:rPr>
          <w:rFonts w:cs="AdvOT863180fb"/>
        </w:rPr>
        <w:t>The hydraulic behaviour exhibited by faults is related to a combination of: 1) the geometry or architecture of the fault complex, 2) the rheology of the host rocks that the fault plane crosses, and 3) the distribution and orientation of in situ stress;</w:t>
      </w:r>
    </w:p>
    <w:p w14:paraId="0882A5E8" w14:textId="77777777" w:rsidR="009809B7" w:rsidRDefault="009809B7" w:rsidP="009809B7">
      <w:pPr>
        <w:pStyle w:val="ListParagraph"/>
        <w:numPr>
          <w:ilvl w:val="0"/>
          <w:numId w:val="13"/>
        </w:numPr>
        <w:autoSpaceDE w:val="0"/>
        <w:autoSpaceDN w:val="0"/>
        <w:adjustRightInd w:val="0"/>
        <w:spacing w:after="0" w:line="240" w:lineRule="auto"/>
        <w:rPr>
          <w:rFonts w:cs="AdvOT863180fb"/>
        </w:rPr>
      </w:pPr>
      <w:r w:rsidRPr="00D956B7">
        <w:rPr>
          <w:rFonts w:cs="AdvOT863180fb"/>
        </w:rPr>
        <w:t>Faults occur in predictable populations representing a power law distribution of fault size (or throw).  The observed strain</w:t>
      </w:r>
      <w:r w:rsidRPr="0095678E">
        <w:rPr>
          <w:rFonts w:cs="AdvOT863180fb"/>
        </w:rPr>
        <w:t xml:space="preserve"> together with the predicted </w:t>
      </w:r>
      <w:r w:rsidRPr="00C75A1D">
        <w:rPr>
          <w:rFonts w:cs="AdvOT863180fb"/>
        </w:rPr>
        <w:t xml:space="preserve">fault </w:t>
      </w:r>
      <w:r w:rsidRPr="00E21FEF">
        <w:rPr>
          <w:rFonts w:cs="AdvOT863180fb"/>
        </w:rPr>
        <w:t>size distribution can be used to estimate the unobserved</w:t>
      </w:r>
      <w:r>
        <w:rPr>
          <w:rFonts w:cs="AdvOT863180fb"/>
        </w:rPr>
        <w:t xml:space="preserve"> (sub-seismic)</w:t>
      </w:r>
      <w:r w:rsidRPr="00E21FEF">
        <w:rPr>
          <w:rFonts w:cs="AdvOT863180fb"/>
        </w:rPr>
        <w:t xml:space="preserve"> strain</w:t>
      </w:r>
      <w:r>
        <w:rPr>
          <w:rFonts w:cs="AdvOT863180fb"/>
        </w:rPr>
        <w:t>;</w:t>
      </w:r>
    </w:p>
    <w:p w14:paraId="17236DDB" w14:textId="77777777" w:rsidR="009809B7" w:rsidRDefault="009809B7" w:rsidP="009809B7">
      <w:pPr>
        <w:pStyle w:val="ListParagraph"/>
        <w:numPr>
          <w:ilvl w:val="0"/>
          <w:numId w:val="13"/>
        </w:numPr>
        <w:autoSpaceDE w:val="0"/>
        <w:autoSpaceDN w:val="0"/>
        <w:adjustRightInd w:val="0"/>
        <w:spacing w:after="0" w:line="240" w:lineRule="auto"/>
        <w:rPr>
          <w:rFonts w:cs="AdvOT863180fb"/>
        </w:rPr>
      </w:pPr>
      <w:r>
        <w:rPr>
          <w:rFonts w:cs="AdvOT863180fb"/>
        </w:rPr>
        <w:t>In scenarios of coal seam gas development where the formation pressure is reduced regionally over time by groundwater abstraction associated with gas production, there is an associated change in the effective stress and thus potential for a change in the sealing properties of faults.  Coupled geomechanical and hydrodynamic processes are required to characterise these transient processes;</w:t>
      </w:r>
    </w:p>
    <w:p w14:paraId="453A235B" w14:textId="77777777" w:rsidR="009809B7" w:rsidRDefault="009809B7" w:rsidP="009809B7">
      <w:pPr>
        <w:pStyle w:val="ListParagraph"/>
        <w:numPr>
          <w:ilvl w:val="0"/>
          <w:numId w:val="13"/>
        </w:numPr>
        <w:autoSpaceDE w:val="0"/>
        <w:autoSpaceDN w:val="0"/>
        <w:adjustRightInd w:val="0"/>
        <w:spacing w:after="0" w:line="240" w:lineRule="auto"/>
        <w:rPr>
          <w:rFonts w:cs="AdvOT863180fb"/>
        </w:rPr>
      </w:pPr>
      <w:r>
        <w:rPr>
          <w:rFonts w:cs="AdvOT863180fb"/>
        </w:rPr>
        <w:t>Fault hydraulic properties can depend on the environmental conditions (pressure, temperature, depth and stress) both at the time the fault formed and the present day; and</w:t>
      </w:r>
    </w:p>
    <w:p w14:paraId="626B27C2" w14:textId="77777777" w:rsidR="009809B7" w:rsidRDefault="009809B7" w:rsidP="009809B7">
      <w:pPr>
        <w:pStyle w:val="ListParagraph"/>
        <w:numPr>
          <w:ilvl w:val="0"/>
          <w:numId w:val="13"/>
        </w:numPr>
        <w:autoSpaceDE w:val="0"/>
        <w:autoSpaceDN w:val="0"/>
        <w:adjustRightInd w:val="0"/>
        <w:spacing w:after="0" w:line="240" w:lineRule="auto"/>
        <w:rPr>
          <w:rFonts w:cs="AdvOT863180fb"/>
        </w:rPr>
      </w:pPr>
      <w:r w:rsidRPr="00EE1AAF">
        <w:rPr>
          <w:rFonts w:cs="AdvOT863180fb"/>
        </w:rPr>
        <w:t>Observations of springs occurring along faults including the flux of spring discharge, temperature and geochemistry can be used to calibrate and validate the hydr</w:t>
      </w:r>
      <w:r w:rsidRPr="003C7730">
        <w:rPr>
          <w:rFonts w:cs="AdvOT863180fb"/>
        </w:rPr>
        <w:t>aulic characteristics estimated for fault zones.</w:t>
      </w:r>
    </w:p>
    <w:p w14:paraId="43E1252D" w14:textId="75FDC107" w:rsidR="009809B7" w:rsidRDefault="009809B7" w:rsidP="00A63B9F">
      <w:pPr>
        <w:spacing w:line="240" w:lineRule="auto"/>
      </w:pPr>
      <w:r>
        <w:lastRenderedPageBreak/>
        <w:t>Concerns of aquifer pressure depletion, fugitive methane migration and degradation of aquifer water quality due</w:t>
      </w:r>
      <w:r w:rsidR="00F931BA">
        <w:t xml:space="preserve"> to</w:t>
      </w:r>
      <w:r>
        <w:t xml:space="preserve"> CSG development effects propagating up faults can be investigated through the use of regional groundwater models</w:t>
      </w:r>
      <w:r w:rsidR="00F931BA">
        <w:t>,</w:t>
      </w:r>
      <w:r>
        <w:t xml:space="preserve"> if they are appropriately parameterised.  A key aspect of this investigative approach is to develop and parameterise regional groundwater models that accurately represent the properties of the rock framework and its contained fluids.  In this review we consider methodologies for estimating the properties of faults and how these can be represented in regional groundwater models. There are a number of key parameters and processes that need to be assessed at a detailed scale and then up-scaled for parameterisation of regional models.  For the incorporation of fault properties these include:</w:t>
      </w:r>
    </w:p>
    <w:p w14:paraId="2F5C182C" w14:textId="77777777" w:rsidR="009809B7" w:rsidRDefault="009809B7" w:rsidP="009809B7">
      <w:pPr>
        <w:pStyle w:val="ListParagraph"/>
        <w:numPr>
          <w:ilvl w:val="0"/>
          <w:numId w:val="8"/>
        </w:numPr>
      </w:pPr>
      <w:r>
        <w:t>Details of the host rock facies distributions and lithologies;</w:t>
      </w:r>
    </w:p>
    <w:p w14:paraId="7B182E3E" w14:textId="77777777" w:rsidR="009809B7" w:rsidRDefault="009809B7" w:rsidP="009809B7">
      <w:pPr>
        <w:pStyle w:val="ListParagraph"/>
        <w:numPr>
          <w:ilvl w:val="0"/>
          <w:numId w:val="8"/>
        </w:numPr>
      </w:pPr>
      <w:r>
        <w:t>Details of the fault throw distributions;</w:t>
      </w:r>
    </w:p>
    <w:p w14:paraId="69B2EDB1" w14:textId="77777777" w:rsidR="009809B7" w:rsidRDefault="009809B7" w:rsidP="009809B7">
      <w:pPr>
        <w:pStyle w:val="ListParagraph"/>
        <w:numPr>
          <w:ilvl w:val="0"/>
          <w:numId w:val="8"/>
        </w:numPr>
      </w:pPr>
      <w:r>
        <w:t>Details of the in situ stress distribution;</w:t>
      </w:r>
    </w:p>
    <w:p w14:paraId="1055922B" w14:textId="77777777" w:rsidR="009809B7" w:rsidRDefault="009809B7" w:rsidP="009809B7">
      <w:pPr>
        <w:pStyle w:val="ListParagraph"/>
        <w:numPr>
          <w:ilvl w:val="0"/>
          <w:numId w:val="8"/>
        </w:numPr>
      </w:pPr>
      <w:r>
        <w:t>Details of the fault zone damage zone distribution and fault core distribution;</w:t>
      </w:r>
    </w:p>
    <w:p w14:paraId="3DD5408E" w14:textId="77777777" w:rsidR="009809B7" w:rsidRDefault="009809B7" w:rsidP="009809B7">
      <w:pPr>
        <w:pStyle w:val="ListParagraph"/>
        <w:numPr>
          <w:ilvl w:val="0"/>
          <w:numId w:val="8"/>
        </w:numPr>
      </w:pPr>
      <w:r>
        <w:t>Details of the mechanical strength of the fault plane and damage zone;</w:t>
      </w:r>
    </w:p>
    <w:p w14:paraId="391A659F" w14:textId="77777777" w:rsidR="009809B7" w:rsidRDefault="009809B7" w:rsidP="009809B7">
      <w:pPr>
        <w:pStyle w:val="ListParagraph"/>
        <w:numPr>
          <w:ilvl w:val="0"/>
          <w:numId w:val="8"/>
        </w:numPr>
      </w:pPr>
      <w:r>
        <w:t>Details of the host rock rheology, depth, temperature and how these relate to the tectonic and burial history (this is important for both the aquifer and aquitard layers transected by the fault);</w:t>
      </w:r>
    </w:p>
    <w:p w14:paraId="44B95D07" w14:textId="344F05D2" w:rsidR="009809B7" w:rsidRDefault="009809B7" w:rsidP="009809B7">
      <w:pPr>
        <w:pStyle w:val="ListParagraph"/>
        <w:numPr>
          <w:ilvl w:val="0"/>
          <w:numId w:val="8"/>
        </w:numPr>
      </w:pPr>
      <w:r>
        <w:t>Details of the fluid pressure distribution in both th</w:t>
      </w:r>
      <w:r w:rsidR="00F931BA">
        <w:t>e aquifers and aquitards on either side</w:t>
      </w:r>
      <w:r>
        <w:t xml:space="preserve"> of the fault;</w:t>
      </w:r>
    </w:p>
    <w:p w14:paraId="1632AE56" w14:textId="77777777" w:rsidR="009809B7" w:rsidRDefault="009809B7" w:rsidP="009809B7">
      <w:pPr>
        <w:pStyle w:val="ListParagraph"/>
        <w:numPr>
          <w:ilvl w:val="0"/>
          <w:numId w:val="8"/>
        </w:numPr>
      </w:pPr>
      <w:r>
        <w:t>Details of the various fluid types, densities, surface tensions and wettabilities;</w:t>
      </w:r>
    </w:p>
    <w:p w14:paraId="3156D616" w14:textId="77777777" w:rsidR="009809B7" w:rsidRDefault="009809B7" w:rsidP="009809B7">
      <w:pPr>
        <w:pStyle w:val="ListParagraph"/>
        <w:numPr>
          <w:ilvl w:val="0"/>
          <w:numId w:val="8"/>
        </w:numPr>
      </w:pPr>
      <w:r>
        <w:t>Details of other supporting fluid data such as formation water chemistry and formation temperature;</w:t>
      </w:r>
    </w:p>
    <w:p w14:paraId="6B5FD059" w14:textId="77777777" w:rsidR="009809B7" w:rsidRDefault="009809B7" w:rsidP="009809B7">
      <w:pPr>
        <w:pStyle w:val="ListParagraph"/>
        <w:numPr>
          <w:ilvl w:val="0"/>
          <w:numId w:val="8"/>
        </w:numPr>
      </w:pPr>
      <w:r>
        <w:t>Details of the transient nature of predicted reservoir and adjacent aquifer pressure depletion that could impact the effective stress; and</w:t>
      </w:r>
    </w:p>
    <w:p w14:paraId="55C8D5AD" w14:textId="77777777" w:rsidR="009809B7" w:rsidRDefault="009809B7" w:rsidP="009809B7">
      <w:pPr>
        <w:pStyle w:val="ListParagraph"/>
        <w:numPr>
          <w:ilvl w:val="0"/>
          <w:numId w:val="8"/>
        </w:numPr>
      </w:pPr>
      <w:r>
        <w:t>Well characterised analogues from outcrop or sub-surface features that can be used to interpolate key characteristics not well enough constrained by data at the site location of interest.</w:t>
      </w:r>
    </w:p>
    <w:p w14:paraId="3E1F5407" w14:textId="34FB2803" w:rsidR="009809B7" w:rsidRPr="009809B7" w:rsidRDefault="009809B7" w:rsidP="00A63B9F">
      <w:pPr>
        <w:spacing w:line="240" w:lineRule="auto"/>
        <w:sectPr w:rsidR="009809B7" w:rsidRPr="009809B7">
          <w:footerReference w:type="default" r:id="rId22"/>
          <w:pgSz w:w="11906" w:h="16838"/>
          <w:pgMar w:top="1440" w:right="1440" w:bottom="1440" w:left="1440" w:header="708" w:footer="708" w:gutter="0"/>
          <w:cols w:space="708"/>
          <w:docGrid w:linePitch="360"/>
        </w:sectPr>
      </w:pPr>
      <w:r w:rsidRPr="00332B78">
        <w:t>This review provides the framework that can be used to guide research into appropri</w:t>
      </w:r>
      <w:r w:rsidRPr="00367F38">
        <w:t>ate methodologies and procedures of fault zone hydraulic characterization applied to</w:t>
      </w:r>
      <w:r w:rsidRPr="009809B7">
        <w:t xml:space="preserve"> regional groundwater models. </w:t>
      </w:r>
      <w:r w:rsidRPr="00541B16">
        <w:rPr>
          <w:rFonts w:ascii="Calibri" w:hAnsi="Calibri" w:cs="Calibri"/>
        </w:rPr>
        <w:t>Throughout the report available methods for the quantification of model</w:t>
      </w:r>
      <w:r w:rsidR="00F931BA">
        <w:rPr>
          <w:rFonts w:ascii="Calibri" w:hAnsi="Calibri" w:cs="Calibri"/>
        </w:rPr>
        <w:t>s</w:t>
      </w:r>
      <w:r w:rsidRPr="00541B16">
        <w:rPr>
          <w:rFonts w:ascii="Calibri" w:hAnsi="Calibri" w:cs="Calibri"/>
        </w:rPr>
        <w:t xml:space="preserve"> and prediction</w:t>
      </w:r>
      <w:r w:rsidR="0098061D">
        <w:rPr>
          <w:rFonts w:ascii="Calibri" w:hAnsi="Calibri" w:cs="Calibri"/>
        </w:rPr>
        <w:t xml:space="preserve"> of</w:t>
      </w:r>
      <w:r w:rsidRPr="00541B16">
        <w:rPr>
          <w:rFonts w:ascii="Calibri" w:hAnsi="Calibri" w:cs="Calibri"/>
        </w:rPr>
        <w:t xml:space="preserve"> uncertainty are highlighted. It should be noted that the focus of the report is on groundwater flow and hydraulic responses; therefore the simulation of solute transport is not discussed.</w:t>
      </w:r>
    </w:p>
    <w:sdt>
      <w:sdtPr>
        <w:rPr>
          <w:rFonts w:asciiTheme="minorHAnsi" w:hAnsiTheme="minorHAnsi"/>
          <w:color w:val="auto"/>
          <w:sz w:val="20"/>
        </w:rPr>
        <w:id w:val="1909648973"/>
        <w:docPartObj>
          <w:docPartGallery w:val="Table of Contents"/>
          <w:docPartUnique/>
        </w:docPartObj>
      </w:sdtPr>
      <w:sdtEndPr>
        <w:rPr>
          <w:b/>
          <w:bCs/>
          <w:noProof/>
        </w:rPr>
      </w:sdtEndPr>
      <w:sdtContent>
        <w:p w14:paraId="43725851" w14:textId="77777777" w:rsidR="00EE5E64" w:rsidRDefault="00EE5E64" w:rsidP="00844CC3">
          <w:pPr>
            <w:pStyle w:val="Heading1NoTOC"/>
          </w:pPr>
          <w:r>
            <w:t>Table of Contents</w:t>
          </w:r>
        </w:p>
        <w:p w14:paraId="14B2FCFC" w14:textId="77777777" w:rsidR="004357C6" w:rsidRPr="004357C6" w:rsidRDefault="004357C6" w:rsidP="004357C6"/>
        <w:p w14:paraId="2C9AEB5E" w14:textId="77777777" w:rsidR="00543AEA" w:rsidRDefault="006C0FFD">
          <w:pPr>
            <w:pStyle w:val="TOC1"/>
            <w:tabs>
              <w:tab w:val="left" w:pos="400"/>
              <w:tab w:val="right" w:leader="dot" w:pos="9016"/>
            </w:tabs>
            <w:rPr>
              <w:noProof/>
              <w:sz w:val="22"/>
              <w:szCs w:val="22"/>
              <w:lang w:eastAsia="en-AU"/>
            </w:rPr>
          </w:pPr>
          <w:r>
            <w:fldChar w:fldCharType="begin"/>
          </w:r>
          <w:r w:rsidR="00EE5E64">
            <w:instrText xml:space="preserve"> TOC \o "1-3" \h \z \u </w:instrText>
          </w:r>
          <w:r>
            <w:fldChar w:fldCharType="separate"/>
          </w:r>
          <w:hyperlink w:anchor="_Toc442351500" w:history="1">
            <w:r w:rsidR="00543AEA" w:rsidRPr="00A91C07">
              <w:rPr>
                <w:rStyle w:val="Hyperlink"/>
                <w:rFonts w:eastAsia="Times New Roman"/>
                <w:noProof/>
                <w:lang w:eastAsia="en-AU"/>
              </w:rPr>
              <w:t>1</w:t>
            </w:r>
            <w:r w:rsidR="00543AEA">
              <w:rPr>
                <w:noProof/>
                <w:sz w:val="22"/>
                <w:szCs w:val="22"/>
                <w:lang w:eastAsia="en-AU"/>
              </w:rPr>
              <w:tab/>
            </w:r>
            <w:r w:rsidR="00543AEA" w:rsidRPr="00A91C07">
              <w:rPr>
                <w:rStyle w:val="Hyperlink"/>
                <w:rFonts w:eastAsia="Times New Roman"/>
                <w:noProof/>
                <w:lang w:eastAsia="en-AU"/>
              </w:rPr>
              <w:t>Introduction</w:t>
            </w:r>
            <w:r w:rsidR="00543AEA">
              <w:rPr>
                <w:noProof/>
                <w:webHidden/>
              </w:rPr>
              <w:tab/>
            </w:r>
            <w:r w:rsidR="00543AEA">
              <w:rPr>
                <w:noProof/>
                <w:webHidden/>
              </w:rPr>
              <w:fldChar w:fldCharType="begin"/>
            </w:r>
            <w:r w:rsidR="00543AEA">
              <w:rPr>
                <w:noProof/>
                <w:webHidden/>
              </w:rPr>
              <w:instrText xml:space="preserve"> PAGEREF _Toc442351500 \h </w:instrText>
            </w:r>
            <w:r w:rsidR="00543AEA">
              <w:rPr>
                <w:noProof/>
                <w:webHidden/>
              </w:rPr>
            </w:r>
            <w:r w:rsidR="00543AEA">
              <w:rPr>
                <w:noProof/>
                <w:webHidden/>
              </w:rPr>
              <w:fldChar w:fldCharType="separate"/>
            </w:r>
            <w:r w:rsidR="00ED1412">
              <w:rPr>
                <w:noProof/>
                <w:webHidden/>
              </w:rPr>
              <w:t>19</w:t>
            </w:r>
            <w:r w:rsidR="00543AEA">
              <w:rPr>
                <w:noProof/>
                <w:webHidden/>
              </w:rPr>
              <w:fldChar w:fldCharType="end"/>
            </w:r>
          </w:hyperlink>
        </w:p>
        <w:p w14:paraId="4E444F10" w14:textId="77777777" w:rsidR="00543AEA" w:rsidRDefault="0072606A">
          <w:pPr>
            <w:pStyle w:val="TOC1"/>
            <w:tabs>
              <w:tab w:val="left" w:pos="400"/>
              <w:tab w:val="right" w:leader="dot" w:pos="9016"/>
            </w:tabs>
            <w:rPr>
              <w:noProof/>
              <w:sz w:val="22"/>
              <w:szCs w:val="22"/>
              <w:lang w:eastAsia="en-AU"/>
            </w:rPr>
          </w:pPr>
          <w:hyperlink w:anchor="_Toc442351501" w:history="1">
            <w:r w:rsidR="00543AEA" w:rsidRPr="00A91C07">
              <w:rPr>
                <w:rStyle w:val="Hyperlink"/>
                <w:rFonts w:eastAsia="Times New Roman"/>
                <w:noProof/>
                <w:lang w:eastAsia="en-AU"/>
              </w:rPr>
              <w:t>2</w:t>
            </w:r>
            <w:r w:rsidR="00543AEA">
              <w:rPr>
                <w:noProof/>
                <w:sz w:val="22"/>
                <w:szCs w:val="22"/>
                <w:lang w:eastAsia="en-AU"/>
              </w:rPr>
              <w:tab/>
            </w:r>
            <w:r w:rsidR="00543AEA" w:rsidRPr="00A91C07">
              <w:rPr>
                <w:rStyle w:val="Hyperlink"/>
                <w:rFonts w:eastAsia="Times New Roman"/>
                <w:noProof/>
                <w:lang w:eastAsia="en-AU"/>
              </w:rPr>
              <w:t>Context</w:t>
            </w:r>
            <w:r w:rsidR="00543AEA">
              <w:rPr>
                <w:noProof/>
                <w:webHidden/>
              </w:rPr>
              <w:tab/>
            </w:r>
            <w:r w:rsidR="00543AEA">
              <w:rPr>
                <w:noProof/>
                <w:webHidden/>
              </w:rPr>
              <w:fldChar w:fldCharType="begin"/>
            </w:r>
            <w:r w:rsidR="00543AEA">
              <w:rPr>
                <w:noProof/>
                <w:webHidden/>
              </w:rPr>
              <w:instrText xml:space="preserve"> PAGEREF _Toc442351501 \h </w:instrText>
            </w:r>
            <w:r w:rsidR="00543AEA">
              <w:rPr>
                <w:noProof/>
                <w:webHidden/>
              </w:rPr>
            </w:r>
            <w:r w:rsidR="00543AEA">
              <w:rPr>
                <w:noProof/>
                <w:webHidden/>
              </w:rPr>
              <w:fldChar w:fldCharType="separate"/>
            </w:r>
            <w:r w:rsidR="00ED1412">
              <w:rPr>
                <w:noProof/>
                <w:webHidden/>
              </w:rPr>
              <w:t>19</w:t>
            </w:r>
            <w:r w:rsidR="00543AEA">
              <w:rPr>
                <w:noProof/>
                <w:webHidden/>
              </w:rPr>
              <w:fldChar w:fldCharType="end"/>
            </w:r>
          </w:hyperlink>
        </w:p>
        <w:p w14:paraId="2D99F174" w14:textId="77777777" w:rsidR="00543AEA" w:rsidRDefault="0072606A">
          <w:pPr>
            <w:pStyle w:val="TOC1"/>
            <w:tabs>
              <w:tab w:val="left" w:pos="400"/>
              <w:tab w:val="right" w:leader="dot" w:pos="9016"/>
            </w:tabs>
            <w:rPr>
              <w:noProof/>
              <w:sz w:val="22"/>
              <w:szCs w:val="22"/>
              <w:lang w:eastAsia="en-AU"/>
            </w:rPr>
          </w:pPr>
          <w:hyperlink w:anchor="_Toc442351502" w:history="1">
            <w:r w:rsidR="00543AEA" w:rsidRPr="00A91C07">
              <w:rPr>
                <w:rStyle w:val="Hyperlink"/>
                <w:noProof/>
              </w:rPr>
              <w:t>3</w:t>
            </w:r>
            <w:r w:rsidR="00543AEA">
              <w:rPr>
                <w:noProof/>
                <w:sz w:val="22"/>
                <w:szCs w:val="22"/>
                <w:lang w:eastAsia="en-AU"/>
              </w:rPr>
              <w:tab/>
            </w:r>
            <w:r w:rsidR="00543AEA" w:rsidRPr="00A91C07">
              <w:rPr>
                <w:rStyle w:val="Hyperlink"/>
                <w:noProof/>
              </w:rPr>
              <w:t>Assumptions and Methodology</w:t>
            </w:r>
            <w:r w:rsidR="00543AEA">
              <w:rPr>
                <w:noProof/>
                <w:webHidden/>
              </w:rPr>
              <w:tab/>
            </w:r>
            <w:r w:rsidR="00543AEA">
              <w:rPr>
                <w:noProof/>
                <w:webHidden/>
              </w:rPr>
              <w:fldChar w:fldCharType="begin"/>
            </w:r>
            <w:r w:rsidR="00543AEA">
              <w:rPr>
                <w:noProof/>
                <w:webHidden/>
              </w:rPr>
              <w:instrText xml:space="preserve"> PAGEREF _Toc442351502 \h </w:instrText>
            </w:r>
            <w:r w:rsidR="00543AEA">
              <w:rPr>
                <w:noProof/>
                <w:webHidden/>
              </w:rPr>
            </w:r>
            <w:r w:rsidR="00543AEA">
              <w:rPr>
                <w:noProof/>
                <w:webHidden/>
              </w:rPr>
              <w:fldChar w:fldCharType="separate"/>
            </w:r>
            <w:r w:rsidR="00ED1412">
              <w:rPr>
                <w:noProof/>
                <w:webHidden/>
              </w:rPr>
              <w:t>20</w:t>
            </w:r>
            <w:r w:rsidR="00543AEA">
              <w:rPr>
                <w:noProof/>
                <w:webHidden/>
              </w:rPr>
              <w:fldChar w:fldCharType="end"/>
            </w:r>
          </w:hyperlink>
        </w:p>
        <w:p w14:paraId="05D0C46A" w14:textId="77777777" w:rsidR="00543AEA" w:rsidRDefault="0072606A">
          <w:pPr>
            <w:pStyle w:val="TOC1"/>
            <w:tabs>
              <w:tab w:val="left" w:pos="400"/>
              <w:tab w:val="right" w:leader="dot" w:pos="9016"/>
            </w:tabs>
            <w:rPr>
              <w:noProof/>
              <w:sz w:val="22"/>
              <w:szCs w:val="22"/>
              <w:lang w:eastAsia="en-AU"/>
            </w:rPr>
          </w:pPr>
          <w:hyperlink w:anchor="_Toc442351503" w:history="1">
            <w:r w:rsidR="00543AEA" w:rsidRPr="00A91C07">
              <w:rPr>
                <w:rStyle w:val="Hyperlink"/>
                <w:noProof/>
              </w:rPr>
              <w:t>4</w:t>
            </w:r>
            <w:r w:rsidR="00543AEA">
              <w:rPr>
                <w:noProof/>
                <w:sz w:val="22"/>
                <w:szCs w:val="22"/>
                <w:lang w:eastAsia="en-AU"/>
              </w:rPr>
              <w:tab/>
            </w:r>
            <w:r w:rsidR="00543AEA" w:rsidRPr="00A91C07">
              <w:rPr>
                <w:rStyle w:val="Hyperlink"/>
                <w:noProof/>
              </w:rPr>
              <w:t>Definitions and Terminology</w:t>
            </w:r>
            <w:r w:rsidR="00543AEA">
              <w:rPr>
                <w:noProof/>
                <w:webHidden/>
              </w:rPr>
              <w:tab/>
            </w:r>
            <w:r w:rsidR="00543AEA">
              <w:rPr>
                <w:noProof/>
                <w:webHidden/>
              </w:rPr>
              <w:fldChar w:fldCharType="begin"/>
            </w:r>
            <w:r w:rsidR="00543AEA">
              <w:rPr>
                <w:noProof/>
                <w:webHidden/>
              </w:rPr>
              <w:instrText xml:space="preserve"> PAGEREF _Toc442351503 \h </w:instrText>
            </w:r>
            <w:r w:rsidR="00543AEA">
              <w:rPr>
                <w:noProof/>
                <w:webHidden/>
              </w:rPr>
            </w:r>
            <w:r w:rsidR="00543AEA">
              <w:rPr>
                <w:noProof/>
                <w:webHidden/>
              </w:rPr>
              <w:fldChar w:fldCharType="separate"/>
            </w:r>
            <w:r w:rsidR="00ED1412">
              <w:rPr>
                <w:noProof/>
                <w:webHidden/>
              </w:rPr>
              <w:t>21</w:t>
            </w:r>
            <w:r w:rsidR="00543AEA">
              <w:rPr>
                <w:noProof/>
                <w:webHidden/>
              </w:rPr>
              <w:fldChar w:fldCharType="end"/>
            </w:r>
          </w:hyperlink>
        </w:p>
        <w:p w14:paraId="350BBEBF" w14:textId="77777777" w:rsidR="00543AEA" w:rsidRDefault="0072606A">
          <w:pPr>
            <w:pStyle w:val="TOC1"/>
            <w:tabs>
              <w:tab w:val="left" w:pos="400"/>
              <w:tab w:val="right" w:leader="dot" w:pos="9016"/>
            </w:tabs>
            <w:rPr>
              <w:noProof/>
              <w:sz w:val="22"/>
              <w:szCs w:val="22"/>
              <w:lang w:eastAsia="en-AU"/>
            </w:rPr>
          </w:pPr>
          <w:hyperlink w:anchor="_Toc442351504" w:history="1">
            <w:r w:rsidR="00543AEA" w:rsidRPr="00A91C07">
              <w:rPr>
                <w:rStyle w:val="Hyperlink"/>
                <w:noProof/>
              </w:rPr>
              <w:t>5</w:t>
            </w:r>
            <w:r w:rsidR="00543AEA">
              <w:rPr>
                <w:noProof/>
                <w:sz w:val="22"/>
                <w:szCs w:val="22"/>
                <w:lang w:eastAsia="en-AU"/>
              </w:rPr>
              <w:tab/>
            </w:r>
            <w:r w:rsidR="00543AEA" w:rsidRPr="00A91C07">
              <w:rPr>
                <w:rStyle w:val="Hyperlink"/>
                <w:noProof/>
              </w:rPr>
              <w:t>Fault Zone Physical Characteristics</w:t>
            </w:r>
            <w:r w:rsidR="00543AEA">
              <w:rPr>
                <w:noProof/>
                <w:webHidden/>
              </w:rPr>
              <w:tab/>
            </w:r>
            <w:r w:rsidR="00543AEA">
              <w:rPr>
                <w:noProof/>
                <w:webHidden/>
              </w:rPr>
              <w:fldChar w:fldCharType="begin"/>
            </w:r>
            <w:r w:rsidR="00543AEA">
              <w:rPr>
                <w:noProof/>
                <w:webHidden/>
              </w:rPr>
              <w:instrText xml:space="preserve"> PAGEREF _Toc442351504 \h </w:instrText>
            </w:r>
            <w:r w:rsidR="00543AEA">
              <w:rPr>
                <w:noProof/>
                <w:webHidden/>
              </w:rPr>
            </w:r>
            <w:r w:rsidR="00543AEA">
              <w:rPr>
                <w:noProof/>
                <w:webHidden/>
              </w:rPr>
              <w:fldChar w:fldCharType="separate"/>
            </w:r>
            <w:r w:rsidR="00ED1412">
              <w:rPr>
                <w:noProof/>
                <w:webHidden/>
              </w:rPr>
              <w:t>22</w:t>
            </w:r>
            <w:r w:rsidR="00543AEA">
              <w:rPr>
                <w:noProof/>
                <w:webHidden/>
              </w:rPr>
              <w:fldChar w:fldCharType="end"/>
            </w:r>
          </w:hyperlink>
        </w:p>
        <w:p w14:paraId="1EA16D9F" w14:textId="77777777" w:rsidR="00543AEA" w:rsidRDefault="0072606A">
          <w:pPr>
            <w:pStyle w:val="TOC2"/>
            <w:tabs>
              <w:tab w:val="left" w:pos="880"/>
              <w:tab w:val="right" w:leader="dot" w:pos="9016"/>
            </w:tabs>
            <w:rPr>
              <w:noProof/>
              <w:sz w:val="22"/>
              <w:szCs w:val="22"/>
              <w:lang w:eastAsia="en-AU"/>
            </w:rPr>
          </w:pPr>
          <w:hyperlink w:anchor="_Toc442351505" w:history="1">
            <w:r w:rsidR="00543AEA" w:rsidRPr="00A91C07">
              <w:rPr>
                <w:rStyle w:val="Hyperlink"/>
                <w:noProof/>
              </w:rPr>
              <w:t>5.1</w:t>
            </w:r>
            <w:r w:rsidR="00543AEA">
              <w:rPr>
                <w:noProof/>
                <w:sz w:val="22"/>
                <w:szCs w:val="22"/>
                <w:lang w:eastAsia="en-AU"/>
              </w:rPr>
              <w:tab/>
            </w:r>
            <w:r w:rsidR="00543AEA" w:rsidRPr="00A91C07">
              <w:rPr>
                <w:rStyle w:val="Hyperlink"/>
                <w:noProof/>
              </w:rPr>
              <w:t>Fault Zone Architecture and in-Situ Stress</w:t>
            </w:r>
            <w:r w:rsidR="00543AEA">
              <w:rPr>
                <w:noProof/>
                <w:webHidden/>
              </w:rPr>
              <w:tab/>
            </w:r>
            <w:r w:rsidR="00543AEA">
              <w:rPr>
                <w:noProof/>
                <w:webHidden/>
              </w:rPr>
              <w:fldChar w:fldCharType="begin"/>
            </w:r>
            <w:r w:rsidR="00543AEA">
              <w:rPr>
                <w:noProof/>
                <w:webHidden/>
              </w:rPr>
              <w:instrText xml:space="preserve"> PAGEREF _Toc442351505 \h </w:instrText>
            </w:r>
            <w:r w:rsidR="00543AEA">
              <w:rPr>
                <w:noProof/>
                <w:webHidden/>
              </w:rPr>
            </w:r>
            <w:r w:rsidR="00543AEA">
              <w:rPr>
                <w:noProof/>
                <w:webHidden/>
              </w:rPr>
              <w:fldChar w:fldCharType="separate"/>
            </w:r>
            <w:r w:rsidR="00ED1412">
              <w:rPr>
                <w:noProof/>
                <w:webHidden/>
              </w:rPr>
              <w:t>22</w:t>
            </w:r>
            <w:r w:rsidR="00543AEA">
              <w:rPr>
                <w:noProof/>
                <w:webHidden/>
              </w:rPr>
              <w:fldChar w:fldCharType="end"/>
            </w:r>
          </w:hyperlink>
        </w:p>
        <w:p w14:paraId="31F72423" w14:textId="77777777" w:rsidR="00543AEA" w:rsidRDefault="0072606A">
          <w:pPr>
            <w:pStyle w:val="TOC2"/>
            <w:tabs>
              <w:tab w:val="left" w:pos="880"/>
              <w:tab w:val="right" w:leader="dot" w:pos="9016"/>
            </w:tabs>
            <w:rPr>
              <w:noProof/>
              <w:sz w:val="22"/>
              <w:szCs w:val="22"/>
              <w:lang w:eastAsia="en-AU"/>
            </w:rPr>
          </w:pPr>
          <w:hyperlink w:anchor="_Toc442351506" w:history="1">
            <w:r w:rsidR="00543AEA" w:rsidRPr="00A91C07">
              <w:rPr>
                <w:rStyle w:val="Hyperlink"/>
                <w:noProof/>
              </w:rPr>
              <w:t>5.2</w:t>
            </w:r>
            <w:r w:rsidR="00543AEA">
              <w:rPr>
                <w:noProof/>
                <w:sz w:val="22"/>
                <w:szCs w:val="22"/>
                <w:lang w:eastAsia="en-AU"/>
              </w:rPr>
              <w:tab/>
            </w:r>
            <w:r w:rsidR="00543AEA" w:rsidRPr="00A91C07">
              <w:rPr>
                <w:rStyle w:val="Hyperlink"/>
                <w:noProof/>
              </w:rPr>
              <w:t>Mechanical Seal Capacity of Faults and Fault Reactivation</w:t>
            </w:r>
            <w:r w:rsidR="00543AEA">
              <w:rPr>
                <w:noProof/>
                <w:webHidden/>
              </w:rPr>
              <w:tab/>
            </w:r>
            <w:r w:rsidR="00543AEA">
              <w:rPr>
                <w:noProof/>
                <w:webHidden/>
              </w:rPr>
              <w:fldChar w:fldCharType="begin"/>
            </w:r>
            <w:r w:rsidR="00543AEA">
              <w:rPr>
                <w:noProof/>
                <w:webHidden/>
              </w:rPr>
              <w:instrText xml:space="preserve"> PAGEREF _Toc442351506 \h </w:instrText>
            </w:r>
            <w:r w:rsidR="00543AEA">
              <w:rPr>
                <w:noProof/>
                <w:webHidden/>
              </w:rPr>
            </w:r>
            <w:r w:rsidR="00543AEA">
              <w:rPr>
                <w:noProof/>
                <w:webHidden/>
              </w:rPr>
              <w:fldChar w:fldCharType="separate"/>
            </w:r>
            <w:r w:rsidR="00ED1412">
              <w:rPr>
                <w:noProof/>
                <w:webHidden/>
              </w:rPr>
              <w:t>25</w:t>
            </w:r>
            <w:r w:rsidR="00543AEA">
              <w:rPr>
                <w:noProof/>
                <w:webHidden/>
              </w:rPr>
              <w:fldChar w:fldCharType="end"/>
            </w:r>
          </w:hyperlink>
        </w:p>
        <w:p w14:paraId="71320F1B" w14:textId="77777777" w:rsidR="00543AEA" w:rsidRDefault="0072606A">
          <w:pPr>
            <w:pStyle w:val="TOC2"/>
            <w:tabs>
              <w:tab w:val="left" w:pos="880"/>
              <w:tab w:val="right" w:leader="dot" w:pos="9016"/>
            </w:tabs>
            <w:rPr>
              <w:noProof/>
              <w:sz w:val="22"/>
              <w:szCs w:val="22"/>
              <w:lang w:eastAsia="en-AU"/>
            </w:rPr>
          </w:pPr>
          <w:hyperlink w:anchor="_Toc442351507" w:history="1">
            <w:r w:rsidR="00543AEA" w:rsidRPr="00A91C07">
              <w:rPr>
                <w:rStyle w:val="Hyperlink"/>
                <w:noProof/>
              </w:rPr>
              <w:t>5.3</w:t>
            </w:r>
            <w:r w:rsidR="00543AEA">
              <w:rPr>
                <w:noProof/>
                <w:sz w:val="22"/>
                <w:szCs w:val="22"/>
                <w:lang w:eastAsia="en-AU"/>
              </w:rPr>
              <w:tab/>
            </w:r>
            <w:r w:rsidR="00543AEA" w:rsidRPr="00A91C07">
              <w:rPr>
                <w:rStyle w:val="Hyperlink"/>
                <w:noProof/>
              </w:rPr>
              <w:t>Sub-Seismic Strain</w:t>
            </w:r>
            <w:r w:rsidR="00543AEA">
              <w:rPr>
                <w:noProof/>
                <w:webHidden/>
              </w:rPr>
              <w:tab/>
            </w:r>
            <w:r w:rsidR="00543AEA">
              <w:rPr>
                <w:noProof/>
                <w:webHidden/>
              </w:rPr>
              <w:fldChar w:fldCharType="begin"/>
            </w:r>
            <w:r w:rsidR="00543AEA">
              <w:rPr>
                <w:noProof/>
                <w:webHidden/>
              </w:rPr>
              <w:instrText xml:space="preserve"> PAGEREF _Toc442351507 \h </w:instrText>
            </w:r>
            <w:r w:rsidR="00543AEA">
              <w:rPr>
                <w:noProof/>
                <w:webHidden/>
              </w:rPr>
            </w:r>
            <w:r w:rsidR="00543AEA">
              <w:rPr>
                <w:noProof/>
                <w:webHidden/>
              </w:rPr>
              <w:fldChar w:fldCharType="separate"/>
            </w:r>
            <w:r w:rsidR="00ED1412">
              <w:rPr>
                <w:noProof/>
                <w:webHidden/>
              </w:rPr>
              <w:t>27</w:t>
            </w:r>
            <w:r w:rsidR="00543AEA">
              <w:rPr>
                <w:noProof/>
                <w:webHidden/>
              </w:rPr>
              <w:fldChar w:fldCharType="end"/>
            </w:r>
          </w:hyperlink>
        </w:p>
        <w:p w14:paraId="287A6816" w14:textId="77777777" w:rsidR="00543AEA" w:rsidRDefault="0072606A">
          <w:pPr>
            <w:pStyle w:val="TOC2"/>
            <w:tabs>
              <w:tab w:val="left" w:pos="880"/>
              <w:tab w:val="right" w:leader="dot" w:pos="9016"/>
            </w:tabs>
            <w:rPr>
              <w:noProof/>
              <w:sz w:val="22"/>
              <w:szCs w:val="22"/>
              <w:lang w:eastAsia="en-AU"/>
            </w:rPr>
          </w:pPr>
          <w:hyperlink w:anchor="_Toc442351508" w:history="1">
            <w:r w:rsidR="00543AEA" w:rsidRPr="00A91C07">
              <w:rPr>
                <w:rStyle w:val="Hyperlink"/>
                <w:noProof/>
              </w:rPr>
              <w:t>5.4</w:t>
            </w:r>
            <w:r w:rsidR="00543AEA">
              <w:rPr>
                <w:noProof/>
                <w:sz w:val="22"/>
                <w:szCs w:val="22"/>
                <w:lang w:eastAsia="en-AU"/>
              </w:rPr>
              <w:tab/>
            </w:r>
            <w:r w:rsidR="00543AEA" w:rsidRPr="00A91C07">
              <w:rPr>
                <w:rStyle w:val="Hyperlink"/>
                <w:noProof/>
              </w:rPr>
              <w:t>Permeability of Faults, Across Fault Leakage and Capillarity</w:t>
            </w:r>
            <w:r w:rsidR="00543AEA">
              <w:rPr>
                <w:noProof/>
                <w:webHidden/>
              </w:rPr>
              <w:tab/>
            </w:r>
            <w:r w:rsidR="00543AEA">
              <w:rPr>
                <w:noProof/>
                <w:webHidden/>
              </w:rPr>
              <w:fldChar w:fldCharType="begin"/>
            </w:r>
            <w:r w:rsidR="00543AEA">
              <w:rPr>
                <w:noProof/>
                <w:webHidden/>
              </w:rPr>
              <w:instrText xml:space="preserve"> PAGEREF _Toc442351508 \h </w:instrText>
            </w:r>
            <w:r w:rsidR="00543AEA">
              <w:rPr>
                <w:noProof/>
                <w:webHidden/>
              </w:rPr>
            </w:r>
            <w:r w:rsidR="00543AEA">
              <w:rPr>
                <w:noProof/>
                <w:webHidden/>
              </w:rPr>
              <w:fldChar w:fldCharType="separate"/>
            </w:r>
            <w:r w:rsidR="00ED1412">
              <w:rPr>
                <w:noProof/>
                <w:webHidden/>
              </w:rPr>
              <w:t>30</w:t>
            </w:r>
            <w:r w:rsidR="00543AEA">
              <w:rPr>
                <w:noProof/>
                <w:webHidden/>
              </w:rPr>
              <w:fldChar w:fldCharType="end"/>
            </w:r>
          </w:hyperlink>
        </w:p>
        <w:p w14:paraId="7AF7CF68" w14:textId="77777777" w:rsidR="00543AEA" w:rsidRDefault="0072606A">
          <w:pPr>
            <w:pStyle w:val="TOC3"/>
            <w:tabs>
              <w:tab w:val="left" w:pos="1100"/>
              <w:tab w:val="right" w:leader="dot" w:pos="9016"/>
            </w:tabs>
            <w:rPr>
              <w:noProof/>
              <w:sz w:val="22"/>
              <w:szCs w:val="22"/>
              <w:lang w:eastAsia="en-AU"/>
            </w:rPr>
          </w:pPr>
          <w:hyperlink w:anchor="_Toc442351509" w:history="1">
            <w:r w:rsidR="00543AEA" w:rsidRPr="00A91C07">
              <w:rPr>
                <w:rStyle w:val="Hyperlink"/>
                <w:noProof/>
              </w:rPr>
              <w:t>5.4.1</w:t>
            </w:r>
            <w:r w:rsidR="00543AEA">
              <w:rPr>
                <w:noProof/>
                <w:sz w:val="22"/>
                <w:szCs w:val="22"/>
                <w:lang w:eastAsia="en-AU"/>
              </w:rPr>
              <w:tab/>
            </w:r>
            <w:r w:rsidR="00543AEA" w:rsidRPr="00A91C07">
              <w:rPr>
                <w:rStyle w:val="Hyperlink"/>
                <w:noProof/>
              </w:rPr>
              <w:t>Juxtaposition</w:t>
            </w:r>
            <w:r w:rsidR="00543AEA">
              <w:rPr>
                <w:noProof/>
                <w:webHidden/>
              </w:rPr>
              <w:tab/>
            </w:r>
            <w:r w:rsidR="00543AEA">
              <w:rPr>
                <w:noProof/>
                <w:webHidden/>
              </w:rPr>
              <w:fldChar w:fldCharType="begin"/>
            </w:r>
            <w:r w:rsidR="00543AEA">
              <w:rPr>
                <w:noProof/>
                <w:webHidden/>
              </w:rPr>
              <w:instrText xml:space="preserve"> PAGEREF _Toc442351509 \h </w:instrText>
            </w:r>
            <w:r w:rsidR="00543AEA">
              <w:rPr>
                <w:noProof/>
                <w:webHidden/>
              </w:rPr>
            </w:r>
            <w:r w:rsidR="00543AEA">
              <w:rPr>
                <w:noProof/>
                <w:webHidden/>
              </w:rPr>
              <w:fldChar w:fldCharType="separate"/>
            </w:r>
            <w:r w:rsidR="00ED1412">
              <w:rPr>
                <w:noProof/>
                <w:webHidden/>
              </w:rPr>
              <w:t>31</w:t>
            </w:r>
            <w:r w:rsidR="00543AEA">
              <w:rPr>
                <w:noProof/>
                <w:webHidden/>
              </w:rPr>
              <w:fldChar w:fldCharType="end"/>
            </w:r>
          </w:hyperlink>
        </w:p>
        <w:p w14:paraId="0FDCCA8F" w14:textId="77777777" w:rsidR="00543AEA" w:rsidRDefault="0072606A">
          <w:pPr>
            <w:pStyle w:val="TOC3"/>
            <w:tabs>
              <w:tab w:val="left" w:pos="1100"/>
              <w:tab w:val="right" w:leader="dot" w:pos="9016"/>
            </w:tabs>
            <w:rPr>
              <w:noProof/>
              <w:sz w:val="22"/>
              <w:szCs w:val="22"/>
              <w:lang w:eastAsia="en-AU"/>
            </w:rPr>
          </w:pPr>
          <w:hyperlink w:anchor="_Toc442351510" w:history="1">
            <w:r w:rsidR="00543AEA" w:rsidRPr="00A91C07">
              <w:rPr>
                <w:rStyle w:val="Hyperlink"/>
                <w:noProof/>
              </w:rPr>
              <w:t>5.4.2</w:t>
            </w:r>
            <w:r w:rsidR="00543AEA">
              <w:rPr>
                <w:noProof/>
                <w:sz w:val="22"/>
                <w:szCs w:val="22"/>
                <w:lang w:eastAsia="en-AU"/>
              </w:rPr>
              <w:tab/>
            </w:r>
            <w:r w:rsidR="00543AEA" w:rsidRPr="00A91C07">
              <w:rPr>
                <w:rStyle w:val="Hyperlink"/>
                <w:noProof/>
              </w:rPr>
              <w:t>Shale Gouge Ratio (SGR)</w:t>
            </w:r>
            <w:r w:rsidR="00543AEA">
              <w:rPr>
                <w:noProof/>
                <w:webHidden/>
              </w:rPr>
              <w:tab/>
            </w:r>
            <w:r w:rsidR="00543AEA">
              <w:rPr>
                <w:noProof/>
                <w:webHidden/>
              </w:rPr>
              <w:fldChar w:fldCharType="begin"/>
            </w:r>
            <w:r w:rsidR="00543AEA">
              <w:rPr>
                <w:noProof/>
                <w:webHidden/>
              </w:rPr>
              <w:instrText xml:space="preserve"> PAGEREF _Toc442351510 \h </w:instrText>
            </w:r>
            <w:r w:rsidR="00543AEA">
              <w:rPr>
                <w:noProof/>
                <w:webHidden/>
              </w:rPr>
            </w:r>
            <w:r w:rsidR="00543AEA">
              <w:rPr>
                <w:noProof/>
                <w:webHidden/>
              </w:rPr>
              <w:fldChar w:fldCharType="separate"/>
            </w:r>
            <w:r w:rsidR="00ED1412">
              <w:rPr>
                <w:noProof/>
                <w:webHidden/>
              </w:rPr>
              <w:t>32</w:t>
            </w:r>
            <w:r w:rsidR="00543AEA">
              <w:rPr>
                <w:noProof/>
                <w:webHidden/>
              </w:rPr>
              <w:fldChar w:fldCharType="end"/>
            </w:r>
          </w:hyperlink>
        </w:p>
        <w:p w14:paraId="24539A81" w14:textId="77777777" w:rsidR="00543AEA" w:rsidRDefault="0072606A">
          <w:pPr>
            <w:pStyle w:val="TOC1"/>
            <w:tabs>
              <w:tab w:val="left" w:pos="400"/>
              <w:tab w:val="right" w:leader="dot" w:pos="9016"/>
            </w:tabs>
            <w:rPr>
              <w:noProof/>
              <w:sz w:val="22"/>
              <w:szCs w:val="22"/>
              <w:lang w:eastAsia="en-AU"/>
            </w:rPr>
          </w:pPr>
          <w:hyperlink w:anchor="_Toc442351511" w:history="1">
            <w:r w:rsidR="00543AEA" w:rsidRPr="00A91C07">
              <w:rPr>
                <w:rStyle w:val="Hyperlink"/>
                <w:noProof/>
              </w:rPr>
              <w:t>6</w:t>
            </w:r>
            <w:r w:rsidR="00543AEA">
              <w:rPr>
                <w:noProof/>
                <w:sz w:val="22"/>
                <w:szCs w:val="22"/>
                <w:lang w:eastAsia="en-AU"/>
              </w:rPr>
              <w:tab/>
            </w:r>
            <w:r w:rsidR="00543AEA" w:rsidRPr="00A91C07">
              <w:rPr>
                <w:rStyle w:val="Hyperlink"/>
                <w:noProof/>
              </w:rPr>
              <w:t>Movement of Fluids in Faulted Rocks</w:t>
            </w:r>
            <w:r w:rsidR="00543AEA">
              <w:rPr>
                <w:noProof/>
                <w:webHidden/>
              </w:rPr>
              <w:tab/>
            </w:r>
            <w:r w:rsidR="00543AEA">
              <w:rPr>
                <w:noProof/>
                <w:webHidden/>
              </w:rPr>
              <w:fldChar w:fldCharType="begin"/>
            </w:r>
            <w:r w:rsidR="00543AEA">
              <w:rPr>
                <w:noProof/>
                <w:webHidden/>
              </w:rPr>
              <w:instrText xml:space="preserve"> PAGEREF _Toc442351511 \h </w:instrText>
            </w:r>
            <w:r w:rsidR="00543AEA">
              <w:rPr>
                <w:noProof/>
                <w:webHidden/>
              </w:rPr>
            </w:r>
            <w:r w:rsidR="00543AEA">
              <w:rPr>
                <w:noProof/>
                <w:webHidden/>
              </w:rPr>
              <w:fldChar w:fldCharType="separate"/>
            </w:r>
            <w:r w:rsidR="00ED1412">
              <w:rPr>
                <w:noProof/>
                <w:webHidden/>
              </w:rPr>
              <w:t>33</w:t>
            </w:r>
            <w:r w:rsidR="00543AEA">
              <w:rPr>
                <w:noProof/>
                <w:webHidden/>
              </w:rPr>
              <w:fldChar w:fldCharType="end"/>
            </w:r>
          </w:hyperlink>
        </w:p>
        <w:p w14:paraId="365B1670" w14:textId="77777777" w:rsidR="00543AEA" w:rsidRDefault="0072606A">
          <w:pPr>
            <w:pStyle w:val="TOC2"/>
            <w:tabs>
              <w:tab w:val="left" w:pos="880"/>
              <w:tab w:val="right" w:leader="dot" w:pos="9016"/>
            </w:tabs>
            <w:rPr>
              <w:noProof/>
              <w:sz w:val="22"/>
              <w:szCs w:val="22"/>
              <w:lang w:eastAsia="en-AU"/>
            </w:rPr>
          </w:pPr>
          <w:hyperlink w:anchor="_Toc442351512" w:history="1">
            <w:r w:rsidR="00543AEA" w:rsidRPr="00A91C07">
              <w:rPr>
                <w:rStyle w:val="Hyperlink"/>
                <w:noProof/>
              </w:rPr>
              <w:t>6.1</w:t>
            </w:r>
            <w:r w:rsidR="00543AEA">
              <w:rPr>
                <w:noProof/>
                <w:sz w:val="22"/>
                <w:szCs w:val="22"/>
                <w:lang w:eastAsia="en-AU"/>
              </w:rPr>
              <w:tab/>
            </w:r>
            <w:r w:rsidR="00543AEA" w:rsidRPr="00A91C07">
              <w:rPr>
                <w:rStyle w:val="Hyperlink"/>
                <w:noProof/>
              </w:rPr>
              <w:t>Multi-Phase Fluids and Capillarity</w:t>
            </w:r>
            <w:r w:rsidR="00543AEA">
              <w:rPr>
                <w:noProof/>
                <w:webHidden/>
              </w:rPr>
              <w:tab/>
            </w:r>
            <w:r w:rsidR="00543AEA">
              <w:rPr>
                <w:noProof/>
                <w:webHidden/>
              </w:rPr>
              <w:fldChar w:fldCharType="begin"/>
            </w:r>
            <w:r w:rsidR="00543AEA">
              <w:rPr>
                <w:noProof/>
                <w:webHidden/>
              </w:rPr>
              <w:instrText xml:space="preserve"> PAGEREF _Toc442351512 \h </w:instrText>
            </w:r>
            <w:r w:rsidR="00543AEA">
              <w:rPr>
                <w:noProof/>
                <w:webHidden/>
              </w:rPr>
            </w:r>
            <w:r w:rsidR="00543AEA">
              <w:rPr>
                <w:noProof/>
                <w:webHidden/>
              </w:rPr>
              <w:fldChar w:fldCharType="separate"/>
            </w:r>
            <w:r w:rsidR="00ED1412">
              <w:rPr>
                <w:noProof/>
                <w:webHidden/>
              </w:rPr>
              <w:t>34</w:t>
            </w:r>
            <w:r w:rsidR="00543AEA">
              <w:rPr>
                <w:noProof/>
                <w:webHidden/>
              </w:rPr>
              <w:fldChar w:fldCharType="end"/>
            </w:r>
          </w:hyperlink>
        </w:p>
        <w:p w14:paraId="5F789CC7" w14:textId="77777777" w:rsidR="00543AEA" w:rsidRDefault="0072606A">
          <w:pPr>
            <w:pStyle w:val="TOC2"/>
            <w:tabs>
              <w:tab w:val="left" w:pos="880"/>
              <w:tab w:val="right" w:leader="dot" w:pos="9016"/>
            </w:tabs>
            <w:rPr>
              <w:noProof/>
              <w:sz w:val="22"/>
              <w:szCs w:val="22"/>
              <w:lang w:eastAsia="en-AU"/>
            </w:rPr>
          </w:pPr>
          <w:hyperlink w:anchor="_Toc442351513" w:history="1">
            <w:r w:rsidR="00543AEA" w:rsidRPr="00A91C07">
              <w:rPr>
                <w:rStyle w:val="Hyperlink"/>
                <w:noProof/>
              </w:rPr>
              <w:t>6.2</w:t>
            </w:r>
            <w:r w:rsidR="00543AEA">
              <w:rPr>
                <w:noProof/>
                <w:sz w:val="22"/>
                <w:szCs w:val="22"/>
                <w:lang w:eastAsia="en-AU"/>
              </w:rPr>
              <w:tab/>
            </w:r>
            <w:r w:rsidR="00543AEA" w:rsidRPr="00A91C07">
              <w:rPr>
                <w:rStyle w:val="Hyperlink"/>
                <w:noProof/>
              </w:rPr>
              <w:t>Consideration of Aquitards that are Hydrocarbon Wetting</w:t>
            </w:r>
            <w:r w:rsidR="00543AEA">
              <w:rPr>
                <w:noProof/>
                <w:webHidden/>
              </w:rPr>
              <w:tab/>
            </w:r>
            <w:r w:rsidR="00543AEA">
              <w:rPr>
                <w:noProof/>
                <w:webHidden/>
              </w:rPr>
              <w:fldChar w:fldCharType="begin"/>
            </w:r>
            <w:r w:rsidR="00543AEA">
              <w:rPr>
                <w:noProof/>
                <w:webHidden/>
              </w:rPr>
              <w:instrText xml:space="preserve"> PAGEREF _Toc442351513 \h </w:instrText>
            </w:r>
            <w:r w:rsidR="00543AEA">
              <w:rPr>
                <w:noProof/>
                <w:webHidden/>
              </w:rPr>
            </w:r>
            <w:r w:rsidR="00543AEA">
              <w:rPr>
                <w:noProof/>
                <w:webHidden/>
              </w:rPr>
              <w:fldChar w:fldCharType="separate"/>
            </w:r>
            <w:r w:rsidR="00ED1412">
              <w:rPr>
                <w:noProof/>
                <w:webHidden/>
              </w:rPr>
              <w:t>37</w:t>
            </w:r>
            <w:r w:rsidR="00543AEA">
              <w:rPr>
                <w:noProof/>
                <w:webHidden/>
              </w:rPr>
              <w:fldChar w:fldCharType="end"/>
            </w:r>
          </w:hyperlink>
        </w:p>
        <w:p w14:paraId="3123732F" w14:textId="77777777" w:rsidR="00543AEA" w:rsidRDefault="0072606A">
          <w:pPr>
            <w:pStyle w:val="TOC1"/>
            <w:tabs>
              <w:tab w:val="left" w:pos="400"/>
              <w:tab w:val="right" w:leader="dot" w:pos="9016"/>
            </w:tabs>
            <w:rPr>
              <w:noProof/>
              <w:sz w:val="22"/>
              <w:szCs w:val="22"/>
              <w:lang w:eastAsia="en-AU"/>
            </w:rPr>
          </w:pPr>
          <w:hyperlink w:anchor="_Toc442351514" w:history="1">
            <w:r w:rsidR="00543AEA" w:rsidRPr="00A91C07">
              <w:rPr>
                <w:rStyle w:val="Hyperlink"/>
                <w:noProof/>
              </w:rPr>
              <w:t>7</w:t>
            </w:r>
            <w:r w:rsidR="00543AEA">
              <w:rPr>
                <w:noProof/>
                <w:sz w:val="22"/>
                <w:szCs w:val="22"/>
                <w:lang w:eastAsia="en-AU"/>
              </w:rPr>
              <w:tab/>
            </w:r>
            <w:r w:rsidR="00543AEA" w:rsidRPr="00A91C07">
              <w:rPr>
                <w:rStyle w:val="Hyperlink"/>
                <w:noProof/>
              </w:rPr>
              <w:t>Case Studies and Conceptual Flow Models in Faulted Rock</w:t>
            </w:r>
            <w:r w:rsidR="00543AEA">
              <w:rPr>
                <w:noProof/>
                <w:webHidden/>
              </w:rPr>
              <w:tab/>
            </w:r>
            <w:r w:rsidR="00543AEA">
              <w:rPr>
                <w:noProof/>
                <w:webHidden/>
              </w:rPr>
              <w:fldChar w:fldCharType="begin"/>
            </w:r>
            <w:r w:rsidR="00543AEA">
              <w:rPr>
                <w:noProof/>
                <w:webHidden/>
              </w:rPr>
              <w:instrText xml:space="preserve"> PAGEREF _Toc442351514 \h </w:instrText>
            </w:r>
            <w:r w:rsidR="00543AEA">
              <w:rPr>
                <w:noProof/>
                <w:webHidden/>
              </w:rPr>
            </w:r>
            <w:r w:rsidR="00543AEA">
              <w:rPr>
                <w:noProof/>
                <w:webHidden/>
              </w:rPr>
              <w:fldChar w:fldCharType="separate"/>
            </w:r>
            <w:r w:rsidR="00ED1412">
              <w:rPr>
                <w:noProof/>
                <w:webHidden/>
              </w:rPr>
              <w:t>38</w:t>
            </w:r>
            <w:r w:rsidR="00543AEA">
              <w:rPr>
                <w:noProof/>
                <w:webHidden/>
              </w:rPr>
              <w:fldChar w:fldCharType="end"/>
            </w:r>
          </w:hyperlink>
        </w:p>
        <w:p w14:paraId="38069356" w14:textId="77777777" w:rsidR="00543AEA" w:rsidRDefault="0072606A">
          <w:pPr>
            <w:pStyle w:val="TOC1"/>
            <w:tabs>
              <w:tab w:val="left" w:pos="400"/>
              <w:tab w:val="right" w:leader="dot" w:pos="9016"/>
            </w:tabs>
            <w:rPr>
              <w:noProof/>
              <w:sz w:val="22"/>
              <w:szCs w:val="22"/>
              <w:lang w:eastAsia="en-AU"/>
            </w:rPr>
          </w:pPr>
          <w:hyperlink w:anchor="_Toc442351515" w:history="1">
            <w:r w:rsidR="00543AEA" w:rsidRPr="00A91C07">
              <w:rPr>
                <w:rStyle w:val="Hyperlink"/>
                <w:noProof/>
              </w:rPr>
              <w:t>8</w:t>
            </w:r>
            <w:r w:rsidR="00543AEA">
              <w:rPr>
                <w:noProof/>
                <w:sz w:val="22"/>
                <w:szCs w:val="22"/>
                <w:lang w:eastAsia="en-AU"/>
              </w:rPr>
              <w:tab/>
            </w:r>
            <w:r w:rsidR="00543AEA" w:rsidRPr="00A91C07">
              <w:rPr>
                <w:rStyle w:val="Hyperlink"/>
                <w:noProof/>
              </w:rPr>
              <w:t>Groundwater Springs and Faults</w:t>
            </w:r>
            <w:r w:rsidR="00543AEA">
              <w:rPr>
                <w:noProof/>
                <w:webHidden/>
              </w:rPr>
              <w:tab/>
            </w:r>
            <w:r w:rsidR="00543AEA">
              <w:rPr>
                <w:noProof/>
                <w:webHidden/>
              </w:rPr>
              <w:fldChar w:fldCharType="begin"/>
            </w:r>
            <w:r w:rsidR="00543AEA">
              <w:rPr>
                <w:noProof/>
                <w:webHidden/>
              </w:rPr>
              <w:instrText xml:space="preserve"> PAGEREF _Toc442351515 \h </w:instrText>
            </w:r>
            <w:r w:rsidR="00543AEA">
              <w:rPr>
                <w:noProof/>
                <w:webHidden/>
              </w:rPr>
            </w:r>
            <w:r w:rsidR="00543AEA">
              <w:rPr>
                <w:noProof/>
                <w:webHidden/>
              </w:rPr>
              <w:fldChar w:fldCharType="separate"/>
            </w:r>
            <w:r w:rsidR="00ED1412">
              <w:rPr>
                <w:noProof/>
                <w:webHidden/>
              </w:rPr>
              <w:t>48</w:t>
            </w:r>
            <w:r w:rsidR="00543AEA">
              <w:rPr>
                <w:noProof/>
                <w:webHidden/>
              </w:rPr>
              <w:fldChar w:fldCharType="end"/>
            </w:r>
          </w:hyperlink>
        </w:p>
        <w:p w14:paraId="6F4F2C19" w14:textId="77777777" w:rsidR="00543AEA" w:rsidRDefault="0072606A">
          <w:pPr>
            <w:pStyle w:val="TOC1"/>
            <w:tabs>
              <w:tab w:val="left" w:pos="400"/>
              <w:tab w:val="right" w:leader="dot" w:pos="9016"/>
            </w:tabs>
            <w:rPr>
              <w:noProof/>
              <w:sz w:val="22"/>
              <w:szCs w:val="22"/>
              <w:lang w:eastAsia="en-AU"/>
            </w:rPr>
          </w:pPr>
          <w:hyperlink w:anchor="_Toc442351516" w:history="1">
            <w:r w:rsidR="00543AEA" w:rsidRPr="00A91C07">
              <w:rPr>
                <w:rStyle w:val="Hyperlink"/>
                <w:noProof/>
              </w:rPr>
              <w:t>9</w:t>
            </w:r>
            <w:r w:rsidR="00543AEA">
              <w:rPr>
                <w:noProof/>
                <w:sz w:val="22"/>
                <w:szCs w:val="22"/>
                <w:lang w:eastAsia="en-AU"/>
              </w:rPr>
              <w:tab/>
            </w:r>
            <w:r w:rsidR="00543AEA" w:rsidRPr="00A91C07">
              <w:rPr>
                <w:rStyle w:val="Hyperlink"/>
                <w:noProof/>
              </w:rPr>
              <w:t>More Detailed Fault Representations</w:t>
            </w:r>
            <w:r w:rsidR="00543AEA">
              <w:rPr>
                <w:noProof/>
                <w:webHidden/>
              </w:rPr>
              <w:tab/>
            </w:r>
            <w:r w:rsidR="00543AEA">
              <w:rPr>
                <w:noProof/>
                <w:webHidden/>
              </w:rPr>
              <w:fldChar w:fldCharType="begin"/>
            </w:r>
            <w:r w:rsidR="00543AEA">
              <w:rPr>
                <w:noProof/>
                <w:webHidden/>
              </w:rPr>
              <w:instrText xml:space="preserve"> PAGEREF _Toc442351516 \h </w:instrText>
            </w:r>
            <w:r w:rsidR="00543AEA">
              <w:rPr>
                <w:noProof/>
                <w:webHidden/>
              </w:rPr>
            </w:r>
            <w:r w:rsidR="00543AEA">
              <w:rPr>
                <w:noProof/>
                <w:webHidden/>
              </w:rPr>
              <w:fldChar w:fldCharType="separate"/>
            </w:r>
            <w:r w:rsidR="00ED1412">
              <w:rPr>
                <w:noProof/>
                <w:webHidden/>
              </w:rPr>
              <w:t>48</w:t>
            </w:r>
            <w:r w:rsidR="00543AEA">
              <w:rPr>
                <w:noProof/>
                <w:webHidden/>
              </w:rPr>
              <w:fldChar w:fldCharType="end"/>
            </w:r>
          </w:hyperlink>
        </w:p>
        <w:p w14:paraId="4B5B9D76" w14:textId="77777777" w:rsidR="00543AEA" w:rsidRDefault="0072606A">
          <w:pPr>
            <w:pStyle w:val="TOC1"/>
            <w:tabs>
              <w:tab w:val="left" w:pos="660"/>
              <w:tab w:val="right" w:leader="dot" w:pos="9016"/>
            </w:tabs>
            <w:rPr>
              <w:noProof/>
              <w:sz w:val="22"/>
              <w:szCs w:val="22"/>
              <w:lang w:eastAsia="en-AU"/>
            </w:rPr>
          </w:pPr>
          <w:hyperlink w:anchor="_Toc442351517" w:history="1">
            <w:r w:rsidR="00543AEA" w:rsidRPr="00A91C07">
              <w:rPr>
                <w:rStyle w:val="Hyperlink"/>
                <w:noProof/>
              </w:rPr>
              <w:t>10</w:t>
            </w:r>
            <w:r w:rsidR="00543AEA">
              <w:rPr>
                <w:noProof/>
                <w:sz w:val="22"/>
                <w:szCs w:val="22"/>
                <w:lang w:eastAsia="en-AU"/>
              </w:rPr>
              <w:tab/>
            </w:r>
            <w:r w:rsidR="00543AEA" w:rsidRPr="00A91C07">
              <w:rPr>
                <w:rStyle w:val="Hyperlink"/>
                <w:noProof/>
              </w:rPr>
              <w:t>Discussion and Summary of Fault Assessment, Sealing Capacity and Reactivation Potential</w:t>
            </w:r>
            <w:r w:rsidR="00543AEA">
              <w:rPr>
                <w:noProof/>
                <w:webHidden/>
              </w:rPr>
              <w:tab/>
            </w:r>
            <w:r w:rsidR="00543AEA">
              <w:rPr>
                <w:noProof/>
                <w:webHidden/>
              </w:rPr>
              <w:fldChar w:fldCharType="begin"/>
            </w:r>
            <w:r w:rsidR="00543AEA">
              <w:rPr>
                <w:noProof/>
                <w:webHidden/>
              </w:rPr>
              <w:instrText xml:space="preserve"> PAGEREF _Toc442351517 \h </w:instrText>
            </w:r>
            <w:r w:rsidR="00543AEA">
              <w:rPr>
                <w:noProof/>
                <w:webHidden/>
              </w:rPr>
            </w:r>
            <w:r w:rsidR="00543AEA">
              <w:rPr>
                <w:noProof/>
                <w:webHidden/>
              </w:rPr>
              <w:fldChar w:fldCharType="separate"/>
            </w:r>
            <w:r w:rsidR="00ED1412">
              <w:rPr>
                <w:noProof/>
                <w:webHidden/>
              </w:rPr>
              <w:t>53</w:t>
            </w:r>
            <w:r w:rsidR="00543AEA">
              <w:rPr>
                <w:noProof/>
                <w:webHidden/>
              </w:rPr>
              <w:fldChar w:fldCharType="end"/>
            </w:r>
          </w:hyperlink>
        </w:p>
        <w:p w14:paraId="14B4A4BE" w14:textId="77777777" w:rsidR="00543AEA" w:rsidRDefault="0072606A">
          <w:pPr>
            <w:pStyle w:val="TOC1"/>
            <w:tabs>
              <w:tab w:val="left" w:pos="660"/>
              <w:tab w:val="right" w:leader="dot" w:pos="9016"/>
            </w:tabs>
            <w:rPr>
              <w:noProof/>
              <w:sz w:val="22"/>
              <w:szCs w:val="22"/>
              <w:lang w:eastAsia="en-AU"/>
            </w:rPr>
          </w:pPr>
          <w:hyperlink w:anchor="_Toc442351518" w:history="1">
            <w:r w:rsidR="00543AEA" w:rsidRPr="00A91C07">
              <w:rPr>
                <w:rStyle w:val="Hyperlink"/>
                <w:noProof/>
              </w:rPr>
              <w:t>11</w:t>
            </w:r>
            <w:r w:rsidR="00543AEA">
              <w:rPr>
                <w:noProof/>
                <w:sz w:val="22"/>
                <w:szCs w:val="22"/>
                <w:lang w:eastAsia="en-AU"/>
              </w:rPr>
              <w:tab/>
            </w:r>
            <w:r w:rsidR="00543AEA" w:rsidRPr="00A91C07">
              <w:rPr>
                <w:rStyle w:val="Hyperlink"/>
                <w:noProof/>
              </w:rPr>
              <w:t>Implications for up-scaling to Regional Groundwater Models</w:t>
            </w:r>
            <w:r w:rsidR="00543AEA">
              <w:rPr>
                <w:noProof/>
                <w:webHidden/>
              </w:rPr>
              <w:tab/>
            </w:r>
            <w:r w:rsidR="00543AEA">
              <w:rPr>
                <w:noProof/>
                <w:webHidden/>
              </w:rPr>
              <w:fldChar w:fldCharType="begin"/>
            </w:r>
            <w:r w:rsidR="00543AEA">
              <w:rPr>
                <w:noProof/>
                <w:webHidden/>
              </w:rPr>
              <w:instrText xml:space="preserve"> PAGEREF _Toc442351518 \h </w:instrText>
            </w:r>
            <w:r w:rsidR="00543AEA">
              <w:rPr>
                <w:noProof/>
                <w:webHidden/>
              </w:rPr>
            </w:r>
            <w:r w:rsidR="00543AEA">
              <w:rPr>
                <w:noProof/>
                <w:webHidden/>
              </w:rPr>
              <w:fldChar w:fldCharType="separate"/>
            </w:r>
            <w:r w:rsidR="00ED1412">
              <w:rPr>
                <w:noProof/>
                <w:webHidden/>
              </w:rPr>
              <w:t>54</w:t>
            </w:r>
            <w:r w:rsidR="00543AEA">
              <w:rPr>
                <w:noProof/>
                <w:webHidden/>
              </w:rPr>
              <w:fldChar w:fldCharType="end"/>
            </w:r>
          </w:hyperlink>
        </w:p>
        <w:p w14:paraId="7120BD93" w14:textId="77777777" w:rsidR="00543AEA" w:rsidRDefault="0072606A">
          <w:pPr>
            <w:pStyle w:val="TOC1"/>
            <w:tabs>
              <w:tab w:val="left" w:pos="660"/>
              <w:tab w:val="right" w:leader="dot" w:pos="9016"/>
            </w:tabs>
            <w:rPr>
              <w:noProof/>
              <w:sz w:val="22"/>
              <w:szCs w:val="22"/>
              <w:lang w:eastAsia="en-AU"/>
            </w:rPr>
          </w:pPr>
          <w:hyperlink w:anchor="_Toc442351519" w:history="1">
            <w:r w:rsidR="00543AEA" w:rsidRPr="00A91C07">
              <w:rPr>
                <w:rStyle w:val="Hyperlink"/>
                <w:noProof/>
              </w:rPr>
              <w:t>12</w:t>
            </w:r>
            <w:r w:rsidR="00543AEA">
              <w:rPr>
                <w:noProof/>
                <w:sz w:val="22"/>
                <w:szCs w:val="22"/>
                <w:lang w:eastAsia="en-AU"/>
              </w:rPr>
              <w:tab/>
            </w:r>
            <w:r w:rsidR="00543AEA" w:rsidRPr="00A91C07">
              <w:rPr>
                <w:rStyle w:val="Hyperlink"/>
                <w:noProof/>
              </w:rPr>
              <w:t>References</w:t>
            </w:r>
            <w:r w:rsidR="00543AEA">
              <w:rPr>
                <w:noProof/>
                <w:webHidden/>
              </w:rPr>
              <w:tab/>
            </w:r>
            <w:r w:rsidR="00543AEA">
              <w:rPr>
                <w:noProof/>
                <w:webHidden/>
              </w:rPr>
              <w:fldChar w:fldCharType="begin"/>
            </w:r>
            <w:r w:rsidR="00543AEA">
              <w:rPr>
                <w:noProof/>
                <w:webHidden/>
              </w:rPr>
              <w:instrText xml:space="preserve"> PAGEREF _Toc442351519 \h </w:instrText>
            </w:r>
            <w:r w:rsidR="00543AEA">
              <w:rPr>
                <w:noProof/>
                <w:webHidden/>
              </w:rPr>
            </w:r>
            <w:r w:rsidR="00543AEA">
              <w:rPr>
                <w:noProof/>
                <w:webHidden/>
              </w:rPr>
              <w:fldChar w:fldCharType="separate"/>
            </w:r>
            <w:r w:rsidR="00ED1412">
              <w:rPr>
                <w:noProof/>
                <w:webHidden/>
              </w:rPr>
              <w:t>56</w:t>
            </w:r>
            <w:r w:rsidR="00543AEA">
              <w:rPr>
                <w:noProof/>
                <w:webHidden/>
              </w:rPr>
              <w:fldChar w:fldCharType="end"/>
            </w:r>
          </w:hyperlink>
        </w:p>
        <w:p w14:paraId="035AA843" w14:textId="77777777" w:rsidR="00EE5E64" w:rsidRDefault="006C0FFD">
          <w:r>
            <w:rPr>
              <w:b/>
              <w:bCs/>
              <w:noProof/>
            </w:rPr>
            <w:fldChar w:fldCharType="end"/>
          </w:r>
        </w:p>
      </w:sdtContent>
    </w:sdt>
    <w:p w14:paraId="47F5D4BA" w14:textId="77777777" w:rsidR="00EE5E64" w:rsidRPr="00EE5E64" w:rsidRDefault="00EE5E64" w:rsidP="00EE5E64">
      <w:pPr>
        <w:rPr>
          <w:lang w:eastAsia="en-AU"/>
        </w:rPr>
      </w:pPr>
    </w:p>
    <w:p w14:paraId="3CEEBADD" w14:textId="77777777" w:rsidR="004357C6" w:rsidRDefault="004357C6">
      <w:pPr>
        <w:rPr>
          <w:rFonts w:asciiTheme="majorHAnsi" w:eastAsia="Times New Roman" w:hAnsiTheme="majorHAnsi" w:cstheme="majorBidi"/>
          <w:color w:val="2E74B5" w:themeColor="accent1" w:themeShade="BF"/>
          <w:sz w:val="32"/>
          <w:szCs w:val="32"/>
          <w:lang w:eastAsia="en-AU"/>
        </w:rPr>
      </w:pPr>
      <w:r>
        <w:rPr>
          <w:rFonts w:eastAsia="Times New Roman"/>
          <w:lang w:eastAsia="en-AU"/>
        </w:rPr>
        <w:br w:type="page"/>
      </w:r>
    </w:p>
    <w:p w14:paraId="2D837B37" w14:textId="77777777" w:rsidR="001E0F17" w:rsidRDefault="001E0F17" w:rsidP="003B1DC9">
      <w:pPr>
        <w:pStyle w:val="Heading1NoTOC"/>
      </w:pPr>
      <w:bookmarkStart w:id="1" w:name="_Toc381946369"/>
      <w:bookmarkStart w:id="2" w:name="_Toc409431711"/>
      <w:bookmarkStart w:id="3" w:name="_Toc413683946"/>
      <w:r w:rsidRPr="00391D3A">
        <w:lastRenderedPageBreak/>
        <w:t>List of Figures</w:t>
      </w:r>
    </w:p>
    <w:p w14:paraId="5C595F67" w14:textId="77777777" w:rsidR="00EC65BE" w:rsidRDefault="00391D3A">
      <w:pPr>
        <w:pStyle w:val="TableofFigures"/>
        <w:tabs>
          <w:tab w:val="right" w:leader="dot" w:pos="9016"/>
        </w:tabs>
        <w:rPr>
          <w:noProof/>
          <w:sz w:val="22"/>
          <w:szCs w:val="22"/>
          <w:lang w:eastAsia="en-AU"/>
        </w:rPr>
      </w:pPr>
      <w:r>
        <w:rPr>
          <w:b/>
          <w:bCs/>
        </w:rPr>
        <w:fldChar w:fldCharType="begin"/>
      </w:r>
      <w:r>
        <w:rPr>
          <w:b/>
          <w:bCs/>
        </w:rPr>
        <w:instrText xml:space="preserve"> TOC \h \z \c "Figure" </w:instrText>
      </w:r>
      <w:r>
        <w:rPr>
          <w:b/>
          <w:bCs/>
        </w:rPr>
        <w:fldChar w:fldCharType="separate"/>
      </w:r>
      <w:hyperlink w:anchor="_Toc442353782" w:history="1">
        <w:r w:rsidR="00EC65BE" w:rsidRPr="0050795B">
          <w:rPr>
            <w:rStyle w:val="Hyperlink"/>
            <w:noProof/>
          </w:rPr>
          <w:t>Figure 1. Fault style sketches showing the principal stress axes and slip classifications of various faults. Note that in theory all faults have a certain amount of rotational component because displacement, even in a dip-slip fault, varies along the fault length. However, in a rotational fault the variation is greater between two nearby points along the fault strike than can be accounted for simply by the fault plane geometry.  (Sorkhabi, 2013).</w:t>
        </w:r>
        <w:r w:rsidR="00EC65BE">
          <w:rPr>
            <w:noProof/>
            <w:webHidden/>
          </w:rPr>
          <w:tab/>
        </w:r>
        <w:r w:rsidR="00EC65BE">
          <w:rPr>
            <w:noProof/>
            <w:webHidden/>
          </w:rPr>
          <w:fldChar w:fldCharType="begin"/>
        </w:r>
        <w:r w:rsidR="00EC65BE">
          <w:rPr>
            <w:noProof/>
            <w:webHidden/>
          </w:rPr>
          <w:instrText xml:space="preserve"> PAGEREF _Toc442353782 \h </w:instrText>
        </w:r>
        <w:r w:rsidR="00EC65BE">
          <w:rPr>
            <w:noProof/>
            <w:webHidden/>
          </w:rPr>
        </w:r>
        <w:r w:rsidR="00EC65BE">
          <w:rPr>
            <w:noProof/>
            <w:webHidden/>
          </w:rPr>
          <w:fldChar w:fldCharType="separate"/>
        </w:r>
        <w:r w:rsidR="00ED1412">
          <w:rPr>
            <w:noProof/>
            <w:webHidden/>
          </w:rPr>
          <w:t>23</w:t>
        </w:r>
        <w:r w:rsidR="00EC65BE">
          <w:rPr>
            <w:noProof/>
            <w:webHidden/>
          </w:rPr>
          <w:fldChar w:fldCharType="end"/>
        </w:r>
      </w:hyperlink>
    </w:p>
    <w:p w14:paraId="6BADD3F9" w14:textId="77777777" w:rsidR="00EC65BE" w:rsidRDefault="0072606A">
      <w:pPr>
        <w:pStyle w:val="TableofFigures"/>
        <w:tabs>
          <w:tab w:val="right" w:leader="dot" w:pos="9016"/>
        </w:tabs>
        <w:rPr>
          <w:noProof/>
          <w:sz w:val="22"/>
          <w:szCs w:val="22"/>
          <w:lang w:eastAsia="en-AU"/>
        </w:rPr>
      </w:pPr>
      <w:hyperlink w:anchor="_Toc442353783" w:history="1">
        <w:r w:rsidR="00EC65BE" w:rsidRPr="0050795B">
          <w:rPr>
            <w:rStyle w:val="Hyperlink"/>
            <w:noProof/>
          </w:rPr>
          <w:t>Figure 2.  S</w:t>
        </w:r>
        <w:r w:rsidR="00EC65BE" w:rsidRPr="0050795B">
          <w:rPr>
            <w:rStyle w:val="Hyperlink"/>
            <w:rFonts w:eastAsia="Times New Roman" w:cs="Times New Roman"/>
            <w:noProof/>
            <w:lang w:eastAsia="en-AU"/>
          </w:rPr>
          <w:t>chematic diagram showing evolutionary stages of a relay ramp. Tick marks on the map view depict the down-thrown block of normal faults. (a) Stage I: the faults do not interact. (b) Stage II: the faults have started to interact and a relay ramp has developed to transfer the displacement among the segments. (c) Stage III: accumulated strain in the relay ramp has resulted in initiation of fracturing. (d) Stage IV: the relay ramp is broken by a breaching fault to form a single fault zone with strike irregularity. (e) Upper bench is abandoned and two segments joined through breaching of lower ramp that form an along-strike bend on the course of the main fault. Ciftci and Bozkurt (2007) modified from Peacock &amp; Sanderson (1994).</w:t>
        </w:r>
        <w:r w:rsidR="00EC65BE">
          <w:rPr>
            <w:noProof/>
            <w:webHidden/>
          </w:rPr>
          <w:tab/>
        </w:r>
        <w:r w:rsidR="00EC65BE">
          <w:rPr>
            <w:noProof/>
            <w:webHidden/>
          </w:rPr>
          <w:fldChar w:fldCharType="begin"/>
        </w:r>
        <w:r w:rsidR="00EC65BE">
          <w:rPr>
            <w:noProof/>
            <w:webHidden/>
          </w:rPr>
          <w:instrText xml:space="preserve"> PAGEREF _Toc442353783 \h </w:instrText>
        </w:r>
        <w:r w:rsidR="00EC65BE">
          <w:rPr>
            <w:noProof/>
            <w:webHidden/>
          </w:rPr>
        </w:r>
        <w:r w:rsidR="00EC65BE">
          <w:rPr>
            <w:noProof/>
            <w:webHidden/>
          </w:rPr>
          <w:fldChar w:fldCharType="separate"/>
        </w:r>
        <w:r w:rsidR="00ED1412">
          <w:rPr>
            <w:noProof/>
            <w:webHidden/>
          </w:rPr>
          <w:t>24</w:t>
        </w:r>
        <w:r w:rsidR="00EC65BE">
          <w:rPr>
            <w:noProof/>
            <w:webHidden/>
          </w:rPr>
          <w:fldChar w:fldCharType="end"/>
        </w:r>
      </w:hyperlink>
    </w:p>
    <w:p w14:paraId="06A9E455" w14:textId="77777777" w:rsidR="00EC65BE" w:rsidRDefault="0072606A">
      <w:pPr>
        <w:pStyle w:val="TableofFigures"/>
        <w:tabs>
          <w:tab w:val="right" w:leader="dot" w:pos="9016"/>
        </w:tabs>
        <w:rPr>
          <w:noProof/>
          <w:sz w:val="22"/>
          <w:szCs w:val="22"/>
          <w:lang w:eastAsia="en-AU"/>
        </w:rPr>
      </w:pPr>
      <w:hyperlink w:anchor="_Toc442353784" w:history="1">
        <w:r w:rsidR="00EC65BE" w:rsidRPr="0050795B">
          <w:rPr>
            <w:rStyle w:val="Hyperlink"/>
            <w:noProof/>
          </w:rPr>
          <w:t>Figure 3. A photo of a relay ramp between ~8cm displacement normal fault segments in the Liassic limestones and shales of Kilve, Somerset, UK (Fault Analysis Group, Dublin).</w:t>
        </w:r>
        <w:r w:rsidR="00EC65BE">
          <w:rPr>
            <w:noProof/>
            <w:webHidden/>
          </w:rPr>
          <w:tab/>
        </w:r>
        <w:r w:rsidR="00EC65BE">
          <w:rPr>
            <w:noProof/>
            <w:webHidden/>
          </w:rPr>
          <w:fldChar w:fldCharType="begin"/>
        </w:r>
        <w:r w:rsidR="00EC65BE">
          <w:rPr>
            <w:noProof/>
            <w:webHidden/>
          </w:rPr>
          <w:instrText xml:space="preserve"> PAGEREF _Toc442353784 \h </w:instrText>
        </w:r>
        <w:r w:rsidR="00EC65BE">
          <w:rPr>
            <w:noProof/>
            <w:webHidden/>
          </w:rPr>
        </w:r>
        <w:r w:rsidR="00EC65BE">
          <w:rPr>
            <w:noProof/>
            <w:webHidden/>
          </w:rPr>
          <w:fldChar w:fldCharType="separate"/>
        </w:r>
        <w:r w:rsidR="00ED1412">
          <w:rPr>
            <w:noProof/>
            <w:webHidden/>
          </w:rPr>
          <w:t>24</w:t>
        </w:r>
        <w:r w:rsidR="00EC65BE">
          <w:rPr>
            <w:noProof/>
            <w:webHidden/>
          </w:rPr>
          <w:fldChar w:fldCharType="end"/>
        </w:r>
      </w:hyperlink>
    </w:p>
    <w:p w14:paraId="3EA94182" w14:textId="77777777" w:rsidR="00EC65BE" w:rsidRDefault="0072606A">
      <w:pPr>
        <w:pStyle w:val="TableofFigures"/>
        <w:tabs>
          <w:tab w:val="right" w:leader="dot" w:pos="9016"/>
        </w:tabs>
        <w:rPr>
          <w:noProof/>
          <w:sz w:val="22"/>
          <w:szCs w:val="22"/>
          <w:lang w:eastAsia="en-AU"/>
        </w:rPr>
      </w:pPr>
      <w:hyperlink w:anchor="_Toc442353785" w:history="1">
        <w:r w:rsidR="00EC65BE" w:rsidRPr="0050795B">
          <w:rPr>
            <w:rStyle w:val="Hyperlink"/>
            <w:noProof/>
          </w:rPr>
          <w:t>Figure 4.</w:t>
        </w:r>
        <w:r w:rsidR="00EC65BE" w:rsidRPr="0050795B">
          <w:rPr>
            <w:rStyle w:val="Hyperlink"/>
            <w:rFonts w:cs="Times New Roman"/>
            <w:noProof/>
          </w:rPr>
          <w:t xml:space="preserve"> Conjugate fault system exposed in a 60 m high vertical cliff section of Liassic Limestone, Nash Point, South Wales. From Watterson et al. (1998) and images provided by Fault Analysis Group, Dublin</w:t>
        </w:r>
        <w:r w:rsidR="00EC65BE" w:rsidRPr="0050795B">
          <w:rPr>
            <w:rStyle w:val="Hyperlink"/>
            <w:rFonts w:cs="Times New Roman"/>
            <w:noProof/>
            <w:vertAlign w:val="superscript"/>
          </w:rPr>
          <w:t>1</w:t>
        </w:r>
        <w:r w:rsidR="00EC65BE" w:rsidRPr="0050795B">
          <w:rPr>
            <w:rStyle w:val="Hyperlink"/>
            <w:rFonts w:cs="Times New Roman"/>
            <w:noProof/>
          </w:rPr>
          <w:t>.</w:t>
        </w:r>
        <w:r w:rsidR="00EC65BE">
          <w:rPr>
            <w:noProof/>
            <w:webHidden/>
          </w:rPr>
          <w:tab/>
        </w:r>
        <w:r w:rsidR="00EC65BE">
          <w:rPr>
            <w:noProof/>
            <w:webHidden/>
          </w:rPr>
          <w:fldChar w:fldCharType="begin"/>
        </w:r>
        <w:r w:rsidR="00EC65BE">
          <w:rPr>
            <w:noProof/>
            <w:webHidden/>
          </w:rPr>
          <w:instrText xml:space="preserve"> PAGEREF _Toc442353785 \h </w:instrText>
        </w:r>
        <w:r w:rsidR="00EC65BE">
          <w:rPr>
            <w:noProof/>
            <w:webHidden/>
          </w:rPr>
        </w:r>
        <w:r w:rsidR="00EC65BE">
          <w:rPr>
            <w:noProof/>
            <w:webHidden/>
          </w:rPr>
          <w:fldChar w:fldCharType="separate"/>
        </w:r>
        <w:r w:rsidR="00ED1412">
          <w:rPr>
            <w:noProof/>
            <w:webHidden/>
          </w:rPr>
          <w:t>25</w:t>
        </w:r>
        <w:r w:rsidR="00EC65BE">
          <w:rPr>
            <w:noProof/>
            <w:webHidden/>
          </w:rPr>
          <w:fldChar w:fldCharType="end"/>
        </w:r>
      </w:hyperlink>
    </w:p>
    <w:p w14:paraId="7E42EDA4" w14:textId="77777777" w:rsidR="00EC65BE" w:rsidRDefault="0072606A">
      <w:pPr>
        <w:pStyle w:val="TableofFigures"/>
        <w:tabs>
          <w:tab w:val="right" w:leader="dot" w:pos="9016"/>
        </w:tabs>
        <w:rPr>
          <w:noProof/>
          <w:sz w:val="22"/>
          <w:szCs w:val="22"/>
          <w:lang w:eastAsia="en-AU"/>
        </w:rPr>
      </w:pPr>
      <w:hyperlink w:anchor="_Toc442353786" w:history="1">
        <w:r w:rsidR="00EC65BE" w:rsidRPr="0050795B">
          <w:rPr>
            <w:rStyle w:val="Hyperlink"/>
            <w:noProof/>
          </w:rPr>
          <w:t>Figure 5.</w:t>
        </w:r>
        <w:r w:rsidR="00EC65BE" w:rsidRPr="0050795B">
          <w:rPr>
            <w:rStyle w:val="Hyperlink"/>
            <w:noProof/>
            <w:lang w:eastAsia="en-AU"/>
          </w:rPr>
          <w:t xml:space="preserve"> </w:t>
        </w:r>
        <w:r w:rsidR="00EC65BE" w:rsidRPr="0050795B">
          <w:rPr>
            <w:rStyle w:val="Hyperlink"/>
            <w:rFonts w:cs="AdvPS6F00"/>
            <w:noProof/>
          </w:rPr>
          <w:t xml:space="preserve">(a) Graphical representation of the FAST method for risking the likelihood of fault reactivation using a </w:t>
        </w:r>
        <w:r w:rsidR="00EC65BE" w:rsidRPr="0050795B">
          <w:rPr>
            <w:rStyle w:val="Hyperlink"/>
            <w:rFonts w:cs="Times New Roman"/>
            <w:noProof/>
          </w:rPr>
          <w:t>Mohr-Coulomb diagram</w:t>
        </w:r>
        <w:r w:rsidR="00EC65BE" w:rsidRPr="0050795B">
          <w:rPr>
            <w:rStyle w:val="Hyperlink"/>
            <w:rFonts w:cs="AdvPS6F00"/>
            <w:noProof/>
          </w:rPr>
          <w:t xml:space="preserve"> (after Mildren et al., 2002). The smaller the </w:t>
        </w:r>
        <w:r w:rsidR="00EC65BE" w:rsidRPr="0050795B">
          <w:rPr>
            <w:rStyle w:val="Hyperlink"/>
            <w:rFonts w:ascii="Symbol" w:hAnsi="Symbol" w:cs="AdvPS3F4C13"/>
            <w:noProof/>
          </w:rPr>
          <w:t></w:t>
        </w:r>
        <w:r w:rsidR="00EC65BE" w:rsidRPr="0050795B">
          <w:rPr>
            <w:rStyle w:val="Hyperlink"/>
            <w:rFonts w:cs="AdvPS6F0B"/>
            <w:noProof/>
          </w:rPr>
          <w:t xml:space="preserve">P </w:t>
        </w:r>
        <w:r w:rsidR="00EC65BE" w:rsidRPr="0050795B">
          <w:rPr>
            <w:rStyle w:val="Hyperlink"/>
            <w:rFonts w:cs="AdvPS6F00"/>
            <w:noProof/>
          </w:rPr>
          <w:t xml:space="preserve">values (difference between </w:t>
        </w:r>
        <w:r w:rsidR="00EC65BE" w:rsidRPr="0050795B">
          <w:rPr>
            <w:rStyle w:val="Hyperlink"/>
            <w:rFonts w:cs="Arial"/>
            <w:noProof/>
            <w:lang w:eastAsia="en-AU"/>
          </w:rPr>
          <w:t>effective stress and the failure criteria)</w:t>
        </w:r>
        <w:r w:rsidR="00EC65BE" w:rsidRPr="0050795B">
          <w:rPr>
            <w:rStyle w:val="Hyperlink"/>
            <w:rFonts w:cs="AdvPS6F00"/>
            <w:noProof/>
          </w:rPr>
          <w:t xml:space="preserve">, the higher the risk of reactivation. (b) Polar plot showing the distribution of </w:t>
        </w:r>
        <w:r w:rsidR="00EC65BE" w:rsidRPr="0050795B">
          <w:rPr>
            <w:rStyle w:val="Hyperlink"/>
            <w:rFonts w:ascii="Symbol" w:hAnsi="Symbol" w:cs="AdvPS3F4C13"/>
            <w:noProof/>
          </w:rPr>
          <w:t></w:t>
        </w:r>
        <w:r w:rsidR="00EC65BE" w:rsidRPr="0050795B">
          <w:rPr>
            <w:rStyle w:val="Hyperlink"/>
            <w:rFonts w:cs="AdvPS6F0B"/>
            <w:noProof/>
          </w:rPr>
          <w:t xml:space="preserve">P </w:t>
        </w:r>
        <w:r w:rsidR="00EC65BE" w:rsidRPr="0050795B">
          <w:rPr>
            <w:rStyle w:val="Hyperlink"/>
            <w:rFonts w:cs="AdvPS6F00"/>
            <w:noProof/>
          </w:rPr>
          <w:t xml:space="preserve">values for poles to fault planes from the Pyrenees-Macedon oil and gas fields. The highest risk of reactivation (lowest </w:t>
        </w:r>
        <w:r w:rsidR="00EC65BE" w:rsidRPr="0050795B">
          <w:rPr>
            <w:rStyle w:val="Hyperlink"/>
            <w:rFonts w:ascii="Symbol" w:hAnsi="Symbol" w:cs="AdvPS3F4C13"/>
            <w:noProof/>
          </w:rPr>
          <w:t></w:t>
        </w:r>
        <w:r w:rsidR="00EC65BE" w:rsidRPr="0050795B">
          <w:rPr>
            <w:rStyle w:val="Hyperlink"/>
            <w:rFonts w:cs="AdvPS6F0B"/>
            <w:noProof/>
          </w:rPr>
          <w:t>P</w:t>
        </w:r>
        <w:r w:rsidR="00EC65BE" w:rsidRPr="0050795B">
          <w:rPr>
            <w:rStyle w:val="Hyperlink"/>
            <w:rFonts w:cs="AdvPS6F00"/>
            <w:noProof/>
          </w:rPr>
          <w:t>; dark red) is on steeply dipping faults striking 060</w:t>
        </w:r>
        <w:r w:rsidR="00EC65BE" w:rsidRPr="0050795B">
          <w:rPr>
            <w:rStyle w:val="Hyperlink"/>
            <w:rFonts w:cs="AdvPS6F00"/>
            <w:noProof/>
            <w:vertAlign w:val="superscript"/>
          </w:rPr>
          <w:t>o</w:t>
        </w:r>
        <w:r w:rsidR="00EC65BE" w:rsidRPr="0050795B">
          <w:rPr>
            <w:rStyle w:val="Hyperlink"/>
            <w:rFonts w:cs="AdvPS7DA6"/>
            <w:noProof/>
          </w:rPr>
          <w:t xml:space="preserve"> </w:t>
        </w:r>
        <w:r w:rsidR="00EC65BE" w:rsidRPr="0050795B">
          <w:rPr>
            <w:rStyle w:val="Hyperlink"/>
            <w:rFonts w:cs="AdvPS6F00"/>
            <w:noProof/>
          </w:rPr>
          <w:t>and 120</w:t>
        </w:r>
        <w:r w:rsidR="00EC65BE" w:rsidRPr="0050795B">
          <w:rPr>
            <w:rStyle w:val="Hyperlink"/>
            <w:rFonts w:cs="AdvPS6F00"/>
            <w:noProof/>
            <w:vertAlign w:val="superscript"/>
          </w:rPr>
          <w:t xml:space="preserve"> o</w:t>
        </w:r>
        <w:r w:rsidR="00EC65BE" w:rsidRPr="0050795B">
          <w:rPr>
            <w:rStyle w:val="Hyperlink"/>
            <w:rFonts w:cs="AdvPS6F00"/>
            <w:noProof/>
          </w:rPr>
          <w:t>, and E–W faults dipping at 60</w:t>
        </w:r>
        <w:r w:rsidR="00EC65BE" w:rsidRPr="0050795B">
          <w:rPr>
            <w:rStyle w:val="Hyperlink"/>
            <w:rFonts w:cs="AdvPS6F00"/>
            <w:noProof/>
            <w:vertAlign w:val="superscript"/>
          </w:rPr>
          <w:t xml:space="preserve"> o</w:t>
        </w:r>
        <w:r w:rsidR="00EC65BE" w:rsidRPr="0050795B">
          <w:rPr>
            <w:rStyle w:val="Hyperlink"/>
            <w:rFonts w:cs="AdvPS7DA6"/>
            <w:noProof/>
          </w:rPr>
          <w:t xml:space="preserve"> (Bailey et al. 2006)</w:t>
        </w:r>
        <w:r w:rsidR="00EC65BE" w:rsidRPr="0050795B">
          <w:rPr>
            <w:rStyle w:val="Hyperlink"/>
            <w:rFonts w:cs="AdvPS6F00"/>
            <w:noProof/>
          </w:rPr>
          <w:t>.</w:t>
        </w:r>
        <w:r w:rsidR="00EC65BE">
          <w:rPr>
            <w:noProof/>
            <w:webHidden/>
          </w:rPr>
          <w:tab/>
        </w:r>
        <w:r w:rsidR="00EC65BE">
          <w:rPr>
            <w:noProof/>
            <w:webHidden/>
          </w:rPr>
          <w:fldChar w:fldCharType="begin"/>
        </w:r>
        <w:r w:rsidR="00EC65BE">
          <w:rPr>
            <w:noProof/>
            <w:webHidden/>
          </w:rPr>
          <w:instrText xml:space="preserve"> PAGEREF _Toc442353786 \h </w:instrText>
        </w:r>
        <w:r w:rsidR="00EC65BE">
          <w:rPr>
            <w:noProof/>
            <w:webHidden/>
          </w:rPr>
        </w:r>
        <w:r w:rsidR="00EC65BE">
          <w:rPr>
            <w:noProof/>
            <w:webHidden/>
          </w:rPr>
          <w:fldChar w:fldCharType="separate"/>
        </w:r>
        <w:r w:rsidR="00ED1412">
          <w:rPr>
            <w:noProof/>
            <w:webHidden/>
          </w:rPr>
          <w:t>26</w:t>
        </w:r>
        <w:r w:rsidR="00EC65BE">
          <w:rPr>
            <w:noProof/>
            <w:webHidden/>
          </w:rPr>
          <w:fldChar w:fldCharType="end"/>
        </w:r>
      </w:hyperlink>
    </w:p>
    <w:p w14:paraId="68A3AF7A" w14:textId="77777777" w:rsidR="00EC65BE" w:rsidRDefault="0072606A">
      <w:pPr>
        <w:pStyle w:val="TableofFigures"/>
        <w:tabs>
          <w:tab w:val="right" w:leader="dot" w:pos="9016"/>
        </w:tabs>
        <w:rPr>
          <w:noProof/>
          <w:sz w:val="22"/>
          <w:szCs w:val="22"/>
          <w:lang w:eastAsia="en-AU"/>
        </w:rPr>
      </w:pPr>
      <w:hyperlink w:anchor="_Toc442353787" w:history="1">
        <w:r w:rsidR="00EC65BE" w:rsidRPr="0050795B">
          <w:rPr>
            <w:rStyle w:val="Hyperlink"/>
            <w:noProof/>
          </w:rPr>
          <w:t xml:space="preserve">Figure 6. </w:t>
        </w:r>
        <w:r w:rsidR="00EC65BE" w:rsidRPr="0050795B">
          <w:rPr>
            <w:rStyle w:val="Hyperlink"/>
            <w:rFonts w:cs="Times New Roman"/>
            <w:noProof/>
          </w:rPr>
          <w:t>Schematic representation of typical fault reactivated trap geometries and their predicted oil column preservation characteristics. Arrows depict hydrocarbon leakage along high strain faults above the critical fault-horizon intersections.  Note how certain faults are “sheltered” by reactivation of other nearby faults (Gartell et al. 2005).</w:t>
        </w:r>
        <w:r w:rsidR="00EC65BE">
          <w:rPr>
            <w:noProof/>
            <w:webHidden/>
          </w:rPr>
          <w:tab/>
        </w:r>
        <w:r w:rsidR="00EC65BE">
          <w:rPr>
            <w:noProof/>
            <w:webHidden/>
          </w:rPr>
          <w:fldChar w:fldCharType="begin"/>
        </w:r>
        <w:r w:rsidR="00EC65BE">
          <w:rPr>
            <w:noProof/>
            <w:webHidden/>
          </w:rPr>
          <w:instrText xml:space="preserve"> PAGEREF _Toc442353787 \h </w:instrText>
        </w:r>
        <w:r w:rsidR="00EC65BE">
          <w:rPr>
            <w:noProof/>
            <w:webHidden/>
          </w:rPr>
        </w:r>
        <w:r w:rsidR="00EC65BE">
          <w:rPr>
            <w:noProof/>
            <w:webHidden/>
          </w:rPr>
          <w:fldChar w:fldCharType="separate"/>
        </w:r>
        <w:r w:rsidR="00ED1412">
          <w:rPr>
            <w:noProof/>
            <w:webHidden/>
          </w:rPr>
          <w:t>28</w:t>
        </w:r>
        <w:r w:rsidR="00EC65BE">
          <w:rPr>
            <w:noProof/>
            <w:webHidden/>
          </w:rPr>
          <w:fldChar w:fldCharType="end"/>
        </w:r>
      </w:hyperlink>
    </w:p>
    <w:p w14:paraId="6A8FC1BF" w14:textId="77777777" w:rsidR="00EC65BE" w:rsidRDefault="0072606A">
      <w:pPr>
        <w:pStyle w:val="TableofFigures"/>
        <w:tabs>
          <w:tab w:val="right" w:leader="dot" w:pos="9016"/>
        </w:tabs>
        <w:rPr>
          <w:noProof/>
          <w:sz w:val="22"/>
          <w:szCs w:val="22"/>
          <w:lang w:eastAsia="en-AU"/>
        </w:rPr>
      </w:pPr>
      <w:hyperlink w:anchor="_Toc442353788" w:history="1">
        <w:r w:rsidR="00EC65BE" w:rsidRPr="0050795B">
          <w:rPr>
            <w:rStyle w:val="Hyperlink"/>
            <w:noProof/>
          </w:rPr>
          <w:t>Figure 7. Plot of multiple global data sets showing maximum displacement (</w:t>
        </w:r>
        <w:r w:rsidR="00EC65BE" w:rsidRPr="0050795B">
          <w:rPr>
            <w:rStyle w:val="Hyperlink"/>
            <w:i/>
            <w:iCs/>
            <w:noProof/>
          </w:rPr>
          <w:t>d</w:t>
        </w:r>
        <w:r w:rsidR="00EC65BE" w:rsidRPr="0050795B">
          <w:rPr>
            <w:rStyle w:val="Hyperlink"/>
            <w:noProof/>
            <w:vertAlign w:val="subscript"/>
          </w:rPr>
          <w:t>max</w:t>
        </w:r>
        <w:r w:rsidR="00EC65BE" w:rsidRPr="0050795B">
          <w:rPr>
            <w:rStyle w:val="Hyperlink"/>
            <w:noProof/>
          </w:rPr>
          <w:t>) against fault length (</w:t>
        </w:r>
        <w:r w:rsidR="00EC65BE" w:rsidRPr="0050795B">
          <w:rPr>
            <w:rStyle w:val="Hyperlink"/>
            <w:i/>
            <w:iCs/>
            <w:noProof/>
          </w:rPr>
          <w:t>L</w:t>
        </w:r>
        <w:r w:rsidR="00EC65BE" w:rsidRPr="0050795B">
          <w:rPr>
            <w:rStyle w:val="Hyperlink"/>
            <w:noProof/>
          </w:rPr>
          <w:t>) for normal faults (Kim &amp; Sanderson, 2005).</w:t>
        </w:r>
        <w:r w:rsidR="00EC65BE">
          <w:rPr>
            <w:noProof/>
            <w:webHidden/>
          </w:rPr>
          <w:tab/>
        </w:r>
        <w:r w:rsidR="00EC65BE">
          <w:rPr>
            <w:noProof/>
            <w:webHidden/>
          </w:rPr>
          <w:fldChar w:fldCharType="begin"/>
        </w:r>
        <w:r w:rsidR="00EC65BE">
          <w:rPr>
            <w:noProof/>
            <w:webHidden/>
          </w:rPr>
          <w:instrText xml:space="preserve"> PAGEREF _Toc442353788 \h </w:instrText>
        </w:r>
        <w:r w:rsidR="00EC65BE">
          <w:rPr>
            <w:noProof/>
            <w:webHidden/>
          </w:rPr>
        </w:r>
        <w:r w:rsidR="00EC65BE">
          <w:rPr>
            <w:noProof/>
            <w:webHidden/>
          </w:rPr>
          <w:fldChar w:fldCharType="separate"/>
        </w:r>
        <w:r w:rsidR="00ED1412">
          <w:rPr>
            <w:noProof/>
            <w:webHidden/>
          </w:rPr>
          <w:t>29</w:t>
        </w:r>
        <w:r w:rsidR="00EC65BE">
          <w:rPr>
            <w:noProof/>
            <w:webHidden/>
          </w:rPr>
          <w:fldChar w:fldCharType="end"/>
        </w:r>
      </w:hyperlink>
    </w:p>
    <w:p w14:paraId="2808A1D7" w14:textId="77777777" w:rsidR="00EC65BE" w:rsidRDefault="0072606A">
      <w:pPr>
        <w:pStyle w:val="TableofFigures"/>
        <w:tabs>
          <w:tab w:val="right" w:leader="dot" w:pos="9016"/>
        </w:tabs>
        <w:rPr>
          <w:noProof/>
          <w:sz w:val="22"/>
          <w:szCs w:val="22"/>
          <w:lang w:eastAsia="en-AU"/>
        </w:rPr>
      </w:pPr>
      <w:hyperlink w:anchor="_Toc442353789" w:history="1">
        <w:r w:rsidR="00EC65BE" w:rsidRPr="0050795B">
          <w:rPr>
            <w:rStyle w:val="Hyperlink"/>
            <w:noProof/>
          </w:rPr>
          <w:t>Figure 8. Power law distribution of fault population throws at the SW Hub proposed carbon storage site in Western Australia: Perth Basin (Langhi et al. 2013).</w:t>
        </w:r>
        <w:r w:rsidR="00EC65BE">
          <w:rPr>
            <w:noProof/>
            <w:webHidden/>
          </w:rPr>
          <w:tab/>
        </w:r>
        <w:r w:rsidR="00EC65BE">
          <w:rPr>
            <w:noProof/>
            <w:webHidden/>
          </w:rPr>
          <w:fldChar w:fldCharType="begin"/>
        </w:r>
        <w:r w:rsidR="00EC65BE">
          <w:rPr>
            <w:noProof/>
            <w:webHidden/>
          </w:rPr>
          <w:instrText xml:space="preserve"> PAGEREF _Toc442353789 \h </w:instrText>
        </w:r>
        <w:r w:rsidR="00EC65BE">
          <w:rPr>
            <w:noProof/>
            <w:webHidden/>
          </w:rPr>
        </w:r>
        <w:r w:rsidR="00EC65BE">
          <w:rPr>
            <w:noProof/>
            <w:webHidden/>
          </w:rPr>
          <w:fldChar w:fldCharType="separate"/>
        </w:r>
        <w:r w:rsidR="00ED1412">
          <w:rPr>
            <w:noProof/>
            <w:webHidden/>
          </w:rPr>
          <w:t>30</w:t>
        </w:r>
        <w:r w:rsidR="00EC65BE">
          <w:rPr>
            <w:noProof/>
            <w:webHidden/>
          </w:rPr>
          <w:fldChar w:fldCharType="end"/>
        </w:r>
      </w:hyperlink>
    </w:p>
    <w:p w14:paraId="6E358CB2" w14:textId="77777777" w:rsidR="00EC65BE" w:rsidRDefault="0072606A">
      <w:pPr>
        <w:pStyle w:val="TableofFigures"/>
        <w:tabs>
          <w:tab w:val="right" w:leader="dot" w:pos="9016"/>
        </w:tabs>
        <w:rPr>
          <w:noProof/>
          <w:sz w:val="22"/>
          <w:szCs w:val="22"/>
          <w:lang w:eastAsia="en-AU"/>
        </w:rPr>
      </w:pPr>
      <w:hyperlink w:anchor="_Toc442353790" w:history="1">
        <w:r w:rsidR="00EC65BE" w:rsidRPr="0050795B">
          <w:rPr>
            <w:rStyle w:val="Hyperlink"/>
            <w:noProof/>
          </w:rPr>
          <w:t>Figure 9. Schematic diagram of various juxtaposition orientations (Neele et al. 2012).</w:t>
        </w:r>
        <w:r w:rsidR="00EC65BE">
          <w:rPr>
            <w:noProof/>
            <w:webHidden/>
          </w:rPr>
          <w:tab/>
        </w:r>
        <w:r w:rsidR="00EC65BE">
          <w:rPr>
            <w:noProof/>
            <w:webHidden/>
          </w:rPr>
          <w:fldChar w:fldCharType="begin"/>
        </w:r>
        <w:r w:rsidR="00EC65BE">
          <w:rPr>
            <w:noProof/>
            <w:webHidden/>
          </w:rPr>
          <w:instrText xml:space="preserve"> PAGEREF _Toc442353790 \h </w:instrText>
        </w:r>
        <w:r w:rsidR="00EC65BE">
          <w:rPr>
            <w:noProof/>
            <w:webHidden/>
          </w:rPr>
        </w:r>
        <w:r w:rsidR="00EC65BE">
          <w:rPr>
            <w:noProof/>
            <w:webHidden/>
          </w:rPr>
          <w:fldChar w:fldCharType="separate"/>
        </w:r>
        <w:r w:rsidR="00ED1412">
          <w:rPr>
            <w:noProof/>
            <w:webHidden/>
          </w:rPr>
          <w:t>31</w:t>
        </w:r>
        <w:r w:rsidR="00EC65BE">
          <w:rPr>
            <w:noProof/>
            <w:webHidden/>
          </w:rPr>
          <w:fldChar w:fldCharType="end"/>
        </w:r>
      </w:hyperlink>
    </w:p>
    <w:p w14:paraId="17636F78" w14:textId="77777777" w:rsidR="00EC65BE" w:rsidRDefault="0072606A">
      <w:pPr>
        <w:pStyle w:val="TableofFigures"/>
        <w:tabs>
          <w:tab w:val="right" w:leader="dot" w:pos="9016"/>
        </w:tabs>
        <w:rPr>
          <w:noProof/>
          <w:sz w:val="22"/>
          <w:szCs w:val="22"/>
          <w:lang w:eastAsia="en-AU"/>
        </w:rPr>
      </w:pPr>
      <w:hyperlink w:anchor="_Toc442353791" w:history="1">
        <w:r w:rsidR="00EC65BE" w:rsidRPr="0050795B">
          <w:rPr>
            <w:rStyle w:val="Hyperlink"/>
            <w:noProof/>
          </w:rPr>
          <w:t>Figure 10. An example of an Allan diagram (left) that shows across fault juxtapostion of multiple stacked and folded sandstone reservoir layers. the resulting across fault hydraulic communication controls the hydrocarbon spill points and hydrocarbon column heights. The plan view of the same structure (right) shows the trap geometry relative to the fault trace (Allan, 1989).</w:t>
        </w:r>
        <w:r w:rsidR="00EC65BE">
          <w:rPr>
            <w:noProof/>
            <w:webHidden/>
          </w:rPr>
          <w:tab/>
        </w:r>
        <w:r w:rsidR="00EC65BE">
          <w:rPr>
            <w:noProof/>
            <w:webHidden/>
          </w:rPr>
          <w:fldChar w:fldCharType="begin"/>
        </w:r>
        <w:r w:rsidR="00EC65BE">
          <w:rPr>
            <w:noProof/>
            <w:webHidden/>
          </w:rPr>
          <w:instrText xml:space="preserve"> PAGEREF _Toc442353791 \h </w:instrText>
        </w:r>
        <w:r w:rsidR="00EC65BE">
          <w:rPr>
            <w:noProof/>
            <w:webHidden/>
          </w:rPr>
        </w:r>
        <w:r w:rsidR="00EC65BE">
          <w:rPr>
            <w:noProof/>
            <w:webHidden/>
          </w:rPr>
          <w:fldChar w:fldCharType="separate"/>
        </w:r>
        <w:r w:rsidR="00ED1412">
          <w:rPr>
            <w:noProof/>
            <w:webHidden/>
          </w:rPr>
          <w:t>32</w:t>
        </w:r>
        <w:r w:rsidR="00EC65BE">
          <w:rPr>
            <w:noProof/>
            <w:webHidden/>
          </w:rPr>
          <w:fldChar w:fldCharType="end"/>
        </w:r>
      </w:hyperlink>
    </w:p>
    <w:p w14:paraId="5CB80A29" w14:textId="77777777" w:rsidR="00EC65BE" w:rsidRDefault="0072606A">
      <w:pPr>
        <w:pStyle w:val="TableofFigures"/>
        <w:tabs>
          <w:tab w:val="right" w:leader="dot" w:pos="9016"/>
        </w:tabs>
        <w:rPr>
          <w:noProof/>
          <w:sz w:val="22"/>
          <w:szCs w:val="22"/>
          <w:lang w:eastAsia="en-AU"/>
        </w:rPr>
      </w:pPr>
      <w:hyperlink w:anchor="_Toc442353792" w:history="1">
        <w:r w:rsidR="00EC65BE" w:rsidRPr="0050795B">
          <w:rPr>
            <w:rStyle w:val="Hyperlink"/>
            <w:noProof/>
          </w:rPr>
          <w:t>Figure 11</w:t>
        </w:r>
        <w:r w:rsidR="00EC65BE" w:rsidRPr="0050795B">
          <w:rPr>
            <w:rStyle w:val="Hyperlink"/>
            <w:noProof/>
            <w:lang w:eastAsia="en-AU"/>
          </w:rPr>
          <w:t>. Example of shale gouge ratio method of calculation (Yielding et al., 1997) where Vsh is the volume of shale expressed as a % of clay minerals in a discrete bed thickness (</w:t>
        </w:r>
        <w:r w:rsidR="00EC65BE" w:rsidRPr="0050795B">
          <w:rPr>
            <w:rStyle w:val="Hyperlink"/>
            <w:rFonts w:ascii="Symbol" w:hAnsi="Symbol"/>
            <w:noProof/>
            <w:lang w:eastAsia="en-AU"/>
          </w:rPr>
          <w:t></w:t>
        </w:r>
        <w:r w:rsidR="00EC65BE" w:rsidRPr="0050795B">
          <w:rPr>
            <w:rStyle w:val="Hyperlink"/>
            <w:noProof/>
            <w:lang w:eastAsia="en-AU"/>
          </w:rPr>
          <w:t>z) and T is the fault throw.</w:t>
        </w:r>
        <w:r w:rsidR="00EC65BE">
          <w:rPr>
            <w:noProof/>
            <w:webHidden/>
          </w:rPr>
          <w:tab/>
        </w:r>
        <w:r w:rsidR="00EC65BE">
          <w:rPr>
            <w:noProof/>
            <w:webHidden/>
          </w:rPr>
          <w:fldChar w:fldCharType="begin"/>
        </w:r>
        <w:r w:rsidR="00EC65BE">
          <w:rPr>
            <w:noProof/>
            <w:webHidden/>
          </w:rPr>
          <w:instrText xml:space="preserve"> PAGEREF _Toc442353792 \h </w:instrText>
        </w:r>
        <w:r w:rsidR="00EC65BE">
          <w:rPr>
            <w:noProof/>
            <w:webHidden/>
          </w:rPr>
        </w:r>
        <w:r w:rsidR="00EC65BE">
          <w:rPr>
            <w:noProof/>
            <w:webHidden/>
          </w:rPr>
          <w:fldChar w:fldCharType="separate"/>
        </w:r>
        <w:r w:rsidR="00ED1412">
          <w:rPr>
            <w:noProof/>
            <w:webHidden/>
          </w:rPr>
          <w:t>33</w:t>
        </w:r>
        <w:r w:rsidR="00EC65BE">
          <w:rPr>
            <w:noProof/>
            <w:webHidden/>
          </w:rPr>
          <w:fldChar w:fldCharType="end"/>
        </w:r>
      </w:hyperlink>
    </w:p>
    <w:p w14:paraId="1B6AB03F" w14:textId="77777777" w:rsidR="00EC65BE" w:rsidRDefault="0072606A">
      <w:pPr>
        <w:pStyle w:val="TableofFigures"/>
        <w:tabs>
          <w:tab w:val="right" w:leader="dot" w:pos="9016"/>
        </w:tabs>
        <w:rPr>
          <w:noProof/>
          <w:sz w:val="22"/>
          <w:szCs w:val="22"/>
          <w:lang w:eastAsia="en-AU"/>
        </w:rPr>
      </w:pPr>
      <w:hyperlink w:anchor="_Toc442353793" w:history="1">
        <w:r w:rsidR="00EC65BE" w:rsidRPr="0050795B">
          <w:rPr>
            <w:rStyle w:val="Hyperlink"/>
            <w:noProof/>
          </w:rPr>
          <w:t>Figure 12. Schematic presentation of a fault zone at its capillary seal capacity (A) trapping a hydrocarbon pool. B and C depict a zoom in of the fault zone-reservoir interface under different hydrodynamic conditions with a corresponding capillary pressure curve of the fault rock in question.  The rock properties of the reservoir and fault seal are constant but the total seal capacity (P</w:t>
        </w:r>
        <w:r w:rsidR="00EC65BE" w:rsidRPr="0050795B">
          <w:rPr>
            <w:rStyle w:val="Hyperlink"/>
            <w:noProof/>
            <w:vertAlign w:val="subscript"/>
          </w:rPr>
          <w:t>tc</w:t>
        </w:r>
        <w:r w:rsidR="00EC65BE" w:rsidRPr="0050795B">
          <w:rPr>
            <w:rStyle w:val="Hyperlink"/>
            <w:noProof/>
          </w:rPr>
          <w:t>) is demonstrated to change where in B) the hydrocarbon is pooled on the high hydraulic head side of the fault, and in C) the hydrocarbon is pooled on the low hydraulic head side of the fault (Underschultz and Strand, 2016).</w:t>
        </w:r>
        <w:r w:rsidR="00EC65BE">
          <w:rPr>
            <w:noProof/>
            <w:webHidden/>
          </w:rPr>
          <w:tab/>
        </w:r>
        <w:r w:rsidR="00EC65BE">
          <w:rPr>
            <w:noProof/>
            <w:webHidden/>
          </w:rPr>
          <w:fldChar w:fldCharType="begin"/>
        </w:r>
        <w:r w:rsidR="00EC65BE">
          <w:rPr>
            <w:noProof/>
            <w:webHidden/>
          </w:rPr>
          <w:instrText xml:space="preserve"> PAGEREF _Toc442353793 \h </w:instrText>
        </w:r>
        <w:r w:rsidR="00EC65BE">
          <w:rPr>
            <w:noProof/>
            <w:webHidden/>
          </w:rPr>
        </w:r>
        <w:r w:rsidR="00EC65BE">
          <w:rPr>
            <w:noProof/>
            <w:webHidden/>
          </w:rPr>
          <w:fldChar w:fldCharType="separate"/>
        </w:r>
        <w:r w:rsidR="00ED1412">
          <w:rPr>
            <w:noProof/>
            <w:webHidden/>
          </w:rPr>
          <w:t>35</w:t>
        </w:r>
        <w:r w:rsidR="00EC65BE">
          <w:rPr>
            <w:noProof/>
            <w:webHidden/>
          </w:rPr>
          <w:fldChar w:fldCharType="end"/>
        </w:r>
      </w:hyperlink>
    </w:p>
    <w:p w14:paraId="66F82332" w14:textId="77777777" w:rsidR="00EC65BE" w:rsidRDefault="0072606A">
      <w:pPr>
        <w:pStyle w:val="TableofFigures"/>
        <w:tabs>
          <w:tab w:val="right" w:leader="dot" w:pos="9016"/>
        </w:tabs>
        <w:rPr>
          <w:noProof/>
          <w:sz w:val="22"/>
          <w:szCs w:val="22"/>
          <w:lang w:eastAsia="en-AU"/>
        </w:rPr>
      </w:pPr>
      <w:hyperlink w:anchor="_Toc442353794" w:history="1">
        <w:r w:rsidR="00EC65BE" w:rsidRPr="0050795B">
          <w:rPr>
            <w:rStyle w:val="Hyperlink"/>
            <w:noProof/>
          </w:rPr>
          <w:t>Figure 13</w:t>
        </w:r>
        <w:r w:rsidR="00EC65BE" w:rsidRPr="0050795B">
          <w:rPr>
            <w:rStyle w:val="Hyperlink"/>
            <w:rFonts w:cs="Times New Roman"/>
            <w:noProof/>
          </w:rPr>
          <w:t xml:space="preserve">. </w:t>
        </w:r>
        <w:r w:rsidR="00EC65BE" w:rsidRPr="0050795B">
          <w:rPr>
            <w:rStyle w:val="Hyperlink"/>
            <w:noProof/>
            <w:lang w:eastAsia="en-AU"/>
          </w:rPr>
          <w:t xml:space="preserve">Pressure-Depth plot with a hydrocarbon column equal to top seal </w:t>
        </w:r>
        <w:r w:rsidR="00EC65BE" w:rsidRPr="0050795B">
          <w:rPr>
            <w:rStyle w:val="Hyperlink"/>
            <w:noProof/>
          </w:rPr>
          <w:t>P</w:t>
        </w:r>
        <w:r w:rsidR="00EC65BE" w:rsidRPr="0050795B">
          <w:rPr>
            <w:rStyle w:val="Hyperlink"/>
            <w:noProof/>
            <w:vertAlign w:val="subscript"/>
          </w:rPr>
          <w:t>t.</w:t>
        </w:r>
        <w:r w:rsidR="00EC65BE" w:rsidRPr="0050795B">
          <w:rPr>
            <w:rStyle w:val="Hyperlink"/>
            <w:noProof/>
            <w:lang w:eastAsia="en-AU"/>
          </w:rPr>
          <w:t xml:space="preserve"> In this case </w:t>
        </w:r>
        <w:r w:rsidR="00EC65BE" w:rsidRPr="0050795B">
          <w:rPr>
            <w:rStyle w:val="Hyperlink"/>
            <w:noProof/>
          </w:rPr>
          <w:t>P</w:t>
        </w:r>
        <w:r w:rsidR="00EC65BE" w:rsidRPr="0050795B">
          <w:rPr>
            <w:rStyle w:val="Hyperlink"/>
            <w:noProof/>
            <w:vertAlign w:val="subscript"/>
          </w:rPr>
          <w:t>t</w:t>
        </w:r>
        <w:r w:rsidR="00EC65BE" w:rsidRPr="0050795B">
          <w:rPr>
            <w:rStyle w:val="Hyperlink"/>
            <w:noProof/>
            <w:lang w:eastAsia="en-AU"/>
          </w:rPr>
          <w:t xml:space="preserve"> is estimated to be the difference in the hydrocarbon and water pressure at the top of the column. </w:t>
        </w:r>
        <w:r w:rsidR="00EC65BE" w:rsidRPr="0050795B">
          <w:rPr>
            <w:rStyle w:val="Hyperlink"/>
            <w:rFonts w:ascii="Symbol" w:hAnsi="Symbol"/>
            <w:noProof/>
            <w:lang w:eastAsia="en-AU"/>
          </w:rPr>
          <w:t></w:t>
        </w:r>
        <w:r w:rsidR="00EC65BE" w:rsidRPr="0050795B">
          <w:rPr>
            <w:rStyle w:val="Hyperlink"/>
            <w:noProof/>
            <w:lang w:eastAsia="en-AU"/>
          </w:rPr>
          <w:t xml:space="preserve">P is the equivalent pressure difference between </w:t>
        </w:r>
        <w:r w:rsidR="00EC65BE" w:rsidRPr="0050795B">
          <w:rPr>
            <w:rStyle w:val="Hyperlink"/>
            <w:noProof/>
          </w:rPr>
          <w:t>H</w:t>
        </w:r>
        <w:r w:rsidR="00EC65BE" w:rsidRPr="0050795B">
          <w:rPr>
            <w:rStyle w:val="Hyperlink"/>
            <w:noProof/>
            <w:vertAlign w:val="subscript"/>
          </w:rPr>
          <w:t>w</w:t>
        </w:r>
        <w:r w:rsidR="00EC65BE" w:rsidRPr="0050795B">
          <w:rPr>
            <w:rStyle w:val="Hyperlink"/>
            <w:noProof/>
            <w:lang w:eastAsia="en-AU"/>
          </w:rPr>
          <w:t xml:space="preserve"> on either side of the seal (after Rodgers, 1999).</w:t>
        </w:r>
        <w:r w:rsidR="00EC65BE">
          <w:rPr>
            <w:noProof/>
            <w:webHidden/>
          </w:rPr>
          <w:tab/>
        </w:r>
        <w:r w:rsidR="00EC65BE">
          <w:rPr>
            <w:noProof/>
            <w:webHidden/>
          </w:rPr>
          <w:fldChar w:fldCharType="begin"/>
        </w:r>
        <w:r w:rsidR="00EC65BE">
          <w:rPr>
            <w:noProof/>
            <w:webHidden/>
          </w:rPr>
          <w:instrText xml:space="preserve"> PAGEREF _Toc442353794 \h </w:instrText>
        </w:r>
        <w:r w:rsidR="00EC65BE">
          <w:rPr>
            <w:noProof/>
            <w:webHidden/>
          </w:rPr>
        </w:r>
        <w:r w:rsidR="00EC65BE">
          <w:rPr>
            <w:noProof/>
            <w:webHidden/>
          </w:rPr>
          <w:fldChar w:fldCharType="separate"/>
        </w:r>
        <w:r w:rsidR="00ED1412">
          <w:rPr>
            <w:noProof/>
            <w:webHidden/>
          </w:rPr>
          <w:t>37</w:t>
        </w:r>
        <w:r w:rsidR="00EC65BE">
          <w:rPr>
            <w:noProof/>
            <w:webHidden/>
          </w:rPr>
          <w:fldChar w:fldCharType="end"/>
        </w:r>
      </w:hyperlink>
    </w:p>
    <w:p w14:paraId="586B2BD9" w14:textId="77777777" w:rsidR="00EC65BE" w:rsidRDefault="0072606A">
      <w:pPr>
        <w:pStyle w:val="TableofFigures"/>
        <w:tabs>
          <w:tab w:val="right" w:leader="dot" w:pos="9016"/>
        </w:tabs>
        <w:rPr>
          <w:noProof/>
          <w:sz w:val="22"/>
          <w:szCs w:val="22"/>
          <w:lang w:eastAsia="en-AU"/>
        </w:rPr>
      </w:pPr>
      <w:hyperlink w:anchor="_Toc442353795" w:history="1">
        <w:r w:rsidR="00EC65BE" w:rsidRPr="0050795B">
          <w:rPr>
            <w:rStyle w:val="Hyperlink"/>
            <w:noProof/>
          </w:rPr>
          <w:t>Figure 14</w:t>
        </w:r>
        <w:r w:rsidR="00EC65BE" w:rsidRPr="0050795B">
          <w:rPr>
            <w:rStyle w:val="Hyperlink"/>
            <w:rFonts w:cs="Times New Roman"/>
            <w:noProof/>
          </w:rPr>
          <w:t xml:space="preserve">. </w:t>
        </w:r>
        <w:r w:rsidR="00EC65BE" w:rsidRPr="0050795B">
          <w:rPr>
            <w:rStyle w:val="Hyperlink"/>
            <w:noProof/>
            <w:lang w:eastAsia="en-AU"/>
          </w:rPr>
          <w:t>A schematic capillary pressure graph plotted against water saturation for both a typical reservoir (solid curve) and seal rock (dashed curve). P</w:t>
        </w:r>
        <w:r w:rsidR="00EC65BE" w:rsidRPr="0050795B">
          <w:rPr>
            <w:rStyle w:val="Hyperlink"/>
            <w:noProof/>
            <w:vertAlign w:val="subscript"/>
            <w:lang w:eastAsia="en-AU"/>
          </w:rPr>
          <w:t>ce</w:t>
        </w:r>
        <w:r w:rsidR="00EC65BE" w:rsidRPr="0050795B">
          <w:rPr>
            <w:rStyle w:val="Hyperlink"/>
            <w:noProof/>
            <w:lang w:eastAsia="en-AU"/>
          </w:rPr>
          <w:t xml:space="preserve"> is the capillary entry pressure and P</w:t>
        </w:r>
        <w:r w:rsidR="00EC65BE" w:rsidRPr="0050795B">
          <w:rPr>
            <w:rStyle w:val="Hyperlink"/>
            <w:noProof/>
            <w:vertAlign w:val="subscript"/>
            <w:lang w:eastAsia="en-AU"/>
          </w:rPr>
          <w:t>t</w:t>
        </w:r>
        <w:r w:rsidR="00EC65BE" w:rsidRPr="0050795B">
          <w:rPr>
            <w:rStyle w:val="Hyperlink"/>
            <w:noProof/>
            <w:lang w:eastAsia="en-AU"/>
          </w:rPr>
          <w:t xml:space="preserve"> is the threshold pressure. S</w:t>
        </w:r>
        <w:r w:rsidR="00EC65BE" w:rsidRPr="0050795B">
          <w:rPr>
            <w:rStyle w:val="Hyperlink"/>
            <w:noProof/>
            <w:vertAlign w:val="subscript"/>
            <w:lang w:eastAsia="en-AU"/>
          </w:rPr>
          <w:t>wi</w:t>
        </w:r>
        <w:r w:rsidR="00EC65BE" w:rsidRPr="0050795B">
          <w:rPr>
            <w:rStyle w:val="Hyperlink"/>
            <w:noProof/>
            <w:lang w:eastAsia="en-AU"/>
          </w:rPr>
          <w:t xml:space="preserve"> is irreducible water saturation.</w:t>
        </w:r>
        <w:r w:rsidR="00EC65BE">
          <w:rPr>
            <w:noProof/>
            <w:webHidden/>
          </w:rPr>
          <w:tab/>
        </w:r>
        <w:r w:rsidR="00EC65BE">
          <w:rPr>
            <w:noProof/>
            <w:webHidden/>
          </w:rPr>
          <w:fldChar w:fldCharType="begin"/>
        </w:r>
        <w:r w:rsidR="00EC65BE">
          <w:rPr>
            <w:noProof/>
            <w:webHidden/>
          </w:rPr>
          <w:instrText xml:space="preserve"> PAGEREF _Toc442353795 \h </w:instrText>
        </w:r>
        <w:r w:rsidR="00EC65BE">
          <w:rPr>
            <w:noProof/>
            <w:webHidden/>
          </w:rPr>
        </w:r>
        <w:r w:rsidR="00EC65BE">
          <w:rPr>
            <w:noProof/>
            <w:webHidden/>
          </w:rPr>
          <w:fldChar w:fldCharType="separate"/>
        </w:r>
        <w:r w:rsidR="00ED1412">
          <w:rPr>
            <w:noProof/>
            <w:webHidden/>
          </w:rPr>
          <w:t>37</w:t>
        </w:r>
        <w:r w:rsidR="00EC65BE">
          <w:rPr>
            <w:noProof/>
            <w:webHidden/>
          </w:rPr>
          <w:fldChar w:fldCharType="end"/>
        </w:r>
      </w:hyperlink>
    </w:p>
    <w:p w14:paraId="227E193F" w14:textId="77777777" w:rsidR="00EC65BE" w:rsidRDefault="0072606A">
      <w:pPr>
        <w:pStyle w:val="TableofFigures"/>
        <w:tabs>
          <w:tab w:val="right" w:leader="dot" w:pos="9016"/>
        </w:tabs>
        <w:rPr>
          <w:noProof/>
          <w:sz w:val="22"/>
          <w:szCs w:val="22"/>
          <w:lang w:eastAsia="en-AU"/>
        </w:rPr>
      </w:pPr>
      <w:hyperlink w:anchor="_Toc442353796" w:history="1">
        <w:r w:rsidR="00EC65BE" w:rsidRPr="0050795B">
          <w:rPr>
            <w:rStyle w:val="Hyperlink"/>
            <w:noProof/>
          </w:rPr>
          <w:t>Figure 15</w:t>
        </w:r>
        <w:r w:rsidR="00EC65BE" w:rsidRPr="0050795B">
          <w:rPr>
            <w:rStyle w:val="Hyperlink"/>
            <w:rFonts w:cs="AdvP2660"/>
            <w:noProof/>
          </w:rPr>
          <w:t xml:space="preserve">. </w:t>
        </w:r>
        <w:r w:rsidR="00EC65BE" w:rsidRPr="0050795B">
          <w:rPr>
            <w:rStyle w:val="Hyperlink"/>
            <w:rFonts w:cs="AdvP264F"/>
            <w:noProof/>
          </w:rPr>
          <w:t>Schematic fault hydrodynamics (modified from Otto et al., 2001). (a) Hydraulic head distributions in two stacked aquifers connected by a crosscutting conduit fault; (b) cross section of the conduit fault in (a) with upfault flow, and the corresponding pressure-elevation plot of WLT data from the two aquifers at the well location (Underschultz et al. 2005).</w:t>
        </w:r>
        <w:r w:rsidR="00EC65BE">
          <w:rPr>
            <w:noProof/>
            <w:webHidden/>
          </w:rPr>
          <w:tab/>
        </w:r>
        <w:r w:rsidR="00EC65BE">
          <w:rPr>
            <w:noProof/>
            <w:webHidden/>
          </w:rPr>
          <w:fldChar w:fldCharType="begin"/>
        </w:r>
        <w:r w:rsidR="00EC65BE">
          <w:rPr>
            <w:noProof/>
            <w:webHidden/>
          </w:rPr>
          <w:instrText xml:space="preserve"> PAGEREF _Toc442353796 \h </w:instrText>
        </w:r>
        <w:r w:rsidR="00EC65BE">
          <w:rPr>
            <w:noProof/>
            <w:webHidden/>
          </w:rPr>
        </w:r>
        <w:r w:rsidR="00EC65BE">
          <w:rPr>
            <w:noProof/>
            <w:webHidden/>
          </w:rPr>
          <w:fldChar w:fldCharType="separate"/>
        </w:r>
        <w:r w:rsidR="00ED1412">
          <w:rPr>
            <w:noProof/>
            <w:webHidden/>
          </w:rPr>
          <w:t>40</w:t>
        </w:r>
        <w:r w:rsidR="00EC65BE">
          <w:rPr>
            <w:noProof/>
            <w:webHidden/>
          </w:rPr>
          <w:fldChar w:fldCharType="end"/>
        </w:r>
      </w:hyperlink>
    </w:p>
    <w:p w14:paraId="5A9B5190" w14:textId="77777777" w:rsidR="00EC65BE" w:rsidRDefault="0072606A">
      <w:pPr>
        <w:pStyle w:val="TableofFigures"/>
        <w:tabs>
          <w:tab w:val="right" w:leader="dot" w:pos="9016"/>
        </w:tabs>
        <w:rPr>
          <w:noProof/>
          <w:sz w:val="22"/>
          <w:szCs w:val="22"/>
          <w:lang w:eastAsia="en-AU"/>
        </w:rPr>
      </w:pPr>
      <w:hyperlink w:anchor="_Toc442353797" w:history="1">
        <w:r w:rsidR="00EC65BE" w:rsidRPr="0050795B">
          <w:rPr>
            <w:rStyle w:val="Hyperlink"/>
            <w:noProof/>
          </w:rPr>
          <w:t>Figure 16</w:t>
        </w:r>
        <w:r w:rsidR="00EC65BE" w:rsidRPr="0050795B">
          <w:rPr>
            <w:rStyle w:val="Hyperlink"/>
            <w:rFonts w:cs="Times New Roman"/>
            <w:noProof/>
          </w:rPr>
          <w:t>. Hydraulic head in the Challis aquifer supporting the Challis hydrocarbon accumulation on Australia’s North West Shelf. Blue contours are fresh water hydraulic head (m), orange arrows represent flow directions, pink dashed lines represent fault traces, the black line is the approximate edge of the oil pool with an oil water contact at ~-1417m elevation, green dots are oil wells and blue dots are wells with formation water recovery (Unpublished Underschultz et al. CSIRO IPETS consortia).</w:t>
        </w:r>
        <w:r w:rsidR="00EC65BE">
          <w:rPr>
            <w:noProof/>
            <w:webHidden/>
          </w:rPr>
          <w:tab/>
        </w:r>
        <w:r w:rsidR="00EC65BE">
          <w:rPr>
            <w:noProof/>
            <w:webHidden/>
          </w:rPr>
          <w:fldChar w:fldCharType="begin"/>
        </w:r>
        <w:r w:rsidR="00EC65BE">
          <w:rPr>
            <w:noProof/>
            <w:webHidden/>
          </w:rPr>
          <w:instrText xml:space="preserve"> PAGEREF _Toc442353797 \h </w:instrText>
        </w:r>
        <w:r w:rsidR="00EC65BE">
          <w:rPr>
            <w:noProof/>
            <w:webHidden/>
          </w:rPr>
        </w:r>
        <w:r w:rsidR="00EC65BE">
          <w:rPr>
            <w:noProof/>
            <w:webHidden/>
          </w:rPr>
          <w:fldChar w:fldCharType="separate"/>
        </w:r>
        <w:r w:rsidR="00ED1412">
          <w:rPr>
            <w:noProof/>
            <w:webHidden/>
          </w:rPr>
          <w:t>40</w:t>
        </w:r>
        <w:r w:rsidR="00EC65BE">
          <w:rPr>
            <w:noProof/>
            <w:webHidden/>
          </w:rPr>
          <w:fldChar w:fldCharType="end"/>
        </w:r>
      </w:hyperlink>
    </w:p>
    <w:p w14:paraId="1394ECB0" w14:textId="77777777" w:rsidR="00EC65BE" w:rsidRDefault="0072606A">
      <w:pPr>
        <w:pStyle w:val="TableofFigures"/>
        <w:tabs>
          <w:tab w:val="right" w:leader="dot" w:pos="9016"/>
        </w:tabs>
        <w:rPr>
          <w:noProof/>
          <w:sz w:val="22"/>
          <w:szCs w:val="22"/>
          <w:lang w:eastAsia="en-AU"/>
        </w:rPr>
      </w:pPr>
      <w:hyperlink w:anchor="_Toc442353798" w:history="1">
        <w:r w:rsidR="00EC65BE" w:rsidRPr="0050795B">
          <w:rPr>
            <w:rStyle w:val="Hyperlink"/>
            <w:noProof/>
          </w:rPr>
          <w:t>Figure 17</w:t>
        </w:r>
        <w:r w:rsidR="00EC65BE" w:rsidRPr="0050795B">
          <w:rPr>
            <w:rStyle w:val="Hyperlink"/>
            <w:rFonts w:cs="AdvP2660"/>
            <w:noProof/>
          </w:rPr>
          <w:t xml:space="preserve">. </w:t>
        </w:r>
        <w:r w:rsidR="00EC65BE" w:rsidRPr="0050795B">
          <w:rPr>
            <w:rStyle w:val="Hyperlink"/>
            <w:rFonts w:cs="AdvP264F"/>
            <w:noProof/>
          </w:rPr>
          <w:t>Schematic fault hydrodynamics (modified from Otto et al., 2001). (a) Hydraulic head distributions in two stacked aquifers crosscut by a barrier fault; and (b) cross section of the barrier fault in (a) with no upfault flow and the corresponding pressure-elevation plot of WLT data from the two aquifers at the well location. Underschultz et al. (2005)</w:t>
        </w:r>
        <w:r w:rsidR="00EC65BE">
          <w:rPr>
            <w:noProof/>
            <w:webHidden/>
          </w:rPr>
          <w:tab/>
        </w:r>
        <w:r w:rsidR="00EC65BE">
          <w:rPr>
            <w:noProof/>
            <w:webHidden/>
          </w:rPr>
          <w:fldChar w:fldCharType="begin"/>
        </w:r>
        <w:r w:rsidR="00EC65BE">
          <w:rPr>
            <w:noProof/>
            <w:webHidden/>
          </w:rPr>
          <w:instrText xml:space="preserve"> PAGEREF _Toc442353798 \h </w:instrText>
        </w:r>
        <w:r w:rsidR="00EC65BE">
          <w:rPr>
            <w:noProof/>
            <w:webHidden/>
          </w:rPr>
        </w:r>
        <w:r w:rsidR="00EC65BE">
          <w:rPr>
            <w:noProof/>
            <w:webHidden/>
          </w:rPr>
          <w:fldChar w:fldCharType="separate"/>
        </w:r>
        <w:r w:rsidR="00ED1412">
          <w:rPr>
            <w:noProof/>
            <w:webHidden/>
          </w:rPr>
          <w:t>41</w:t>
        </w:r>
        <w:r w:rsidR="00EC65BE">
          <w:rPr>
            <w:noProof/>
            <w:webHidden/>
          </w:rPr>
          <w:fldChar w:fldCharType="end"/>
        </w:r>
      </w:hyperlink>
    </w:p>
    <w:p w14:paraId="5348DA94" w14:textId="77777777" w:rsidR="00EC65BE" w:rsidRDefault="0072606A">
      <w:pPr>
        <w:pStyle w:val="TableofFigures"/>
        <w:tabs>
          <w:tab w:val="right" w:leader="dot" w:pos="9016"/>
        </w:tabs>
        <w:rPr>
          <w:noProof/>
          <w:sz w:val="22"/>
          <w:szCs w:val="22"/>
          <w:lang w:eastAsia="en-AU"/>
        </w:rPr>
      </w:pPr>
      <w:hyperlink w:anchor="_Toc442353799" w:history="1">
        <w:r w:rsidR="00EC65BE" w:rsidRPr="0050795B">
          <w:rPr>
            <w:rStyle w:val="Hyperlink"/>
            <w:noProof/>
          </w:rPr>
          <w:t>Figure 18</w:t>
        </w:r>
        <w:r w:rsidR="00EC65BE" w:rsidRPr="0050795B">
          <w:rPr>
            <w:rStyle w:val="Hyperlink"/>
            <w:rFonts w:cs="Times New Roman"/>
            <w:noProof/>
          </w:rPr>
          <w:t>.  Schematic cross section across a sealing fault with a theoretical hydraulic head distribution (black contours lines) in this dimension.  Flow paths are marked with arrows. The bulk of the flux is likely occurring perpendicular to the line of section because the fault zone has a very low permeability resulting in the tight hydraulic head gradient.</w:t>
        </w:r>
        <w:r w:rsidR="00EC65BE">
          <w:rPr>
            <w:noProof/>
            <w:webHidden/>
          </w:rPr>
          <w:tab/>
        </w:r>
        <w:r w:rsidR="00EC65BE">
          <w:rPr>
            <w:noProof/>
            <w:webHidden/>
          </w:rPr>
          <w:fldChar w:fldCharType="begin"/>
        </w:r>
        <w:r w:rsidR="00EC65BE">
          <w:rPr>
            <w:noProof/>
            <w:webHidden/>
          </w:rPr>
          <w:instrText xml:space="preserve"> PAGEREF _Toc442353799 \h </w:instrText>
        </w:r>
        <w:r w:rsidR="00EC65BE">
          <w:rPr>
            <w:noProof/>
            <w:webHidden/>
          </w:rPr>
        </w:r>
        <w:r w:rsidR="00EC65BE">
          <w:rPr>
            <w:noProof/>
            <w:webHidden/>
          </w:rPr>
          <w:fldChar w:fldCharType="separate"/>
        </w:r>
        <w:r w:rsidR="00ED1412">
          <w:rPr>
            <w:noProof/>
            <w:webHidden/>
          </w:rPr>
          <w:t>42</w:t>
        </w:r>
        <w:r w:rsidR="00EC65BE">
          <w:rPr>
            <w:noProof/>
            <w:webHidden/>
          </w:rPr>
          <w:fldChar w:fldCharType="end"/>
        </w:r>
      </w:hyperlink>
    </w:p>
    <w:p w14:paraId="2CF633E9" w14:textId="77777777" w:rsidR="00EC65BE" w:rsidRDefault="0072606A">
      <w:pPr>
        <w:pStyle w:val="TableofFigures"/>
        <w:tabs>
          <w:tab w:val="right" w:leader="dot" w:pos="9016"/>
        </w:tabs>
        <w:rPr>
          <w:noProof/>
          <w:sz w:val="22"/>
          <w:szCs w:val="22"/>
          <w:lang w:eastAsia="en-AU"/>
        </w:rPr>
      </w:pPr>
      <w:hyperlink w:anchor="_Toc442353800" w:history="1">
        <w:r w:rsidR="00EC65BE" w:rsidRPr="0050795B">
          <w:rPr>
            <w:rStyle w:val="Hyperlink"/>
            <w:noProof/>
          </w:rPr>
          <w:t>Figure 19</w:t>
        </w:r>
        <w:r w:rsidR="00EC65BE" w:rsidRPr="0050795B">
          <w:rPr>
            <w:rStyle w:val="Hyperlink"/>
            <w:rFonts w:cs="AGaramond-Italic"/>
            <w:iCs/>
            <w:noProof/>
          </w:rPr>
          <w:t>. Fresh-water hydraulic head (m) distribution for the Plover aquifer system, Vulcan Sub-basin (Underschultz et al. 2002).</w:t>
        </w:r>
        <w:r w:rsidR="00EC65BE">
          <w:rPr>
            <w:noProof/>
            <w:webHidden/>
          </w:rPr>
          <w:tab/>
        </w:r>
        <w:r w:rsidR="00EC65BE">
          <w:rPr>
            <w:noProof/>
            <w:webHidden/>
          </w:rPr>
          <w:fldChar w:fldCharType="begin"/>
        </w:r>
        <w:r w:rsidR="00EC65BE">
          <w:rPr>
            <w:noProof/>
            <w:webHidden/>
          </w:rPr>
          <w:instrText xml:space="preserve"> PAGEREF _Toc442353800 \h </w:instrText>
        </w:r>
        <w:r w:rsidR="00EC65BE">
          <w:rPr>
            <w:noProof/>
            <w:webHidden/>
          </w:rPr>
        </w:r>
        <w:r w:rsidR="00EC65BE">
          <w:rPr>
            <w:noProof/>
            <w:webHidden/>
          </w:rPr>
          <w:fldChar w:fldCharType="separate"/>
        </w:r>
        <w:r w:rsidR="00ED1412">
          <w:rPr>
            <w:noProof/>
            <w:webHidden/>
          </w:rPr>
          <w:t>43</w:t>
        </w:r>
        <w:r w:rsidR="00EC65BE">
          <w:rPr>
            <w:noProof/>
            <w:webHidden/>
          </w:rPr>
          <w:fldChar w:fldCharType="end"/>
        </w:r>
      </w:hyperlink>
    </w:p>
    <w:p w14:paraId="7C324ACE" w14:textId="77777777" w:rsidR="00EC65BE" w:rsidRDefault="0072606A">
      <w:pPr>
        <w:pStyle w:val="TableofFigures"/>
        <w:tabs>
          <w:tab w:val="right" w:leader="dot" w:pos="9016"/>
        </w:tabs>
        <w:rPr>
          <w:noProof/>
          <w:sz w:val="22"/>
          <w:szCs w:val="22"/>
          <w:lang w:eastAsia="en-AU"/>
        </w:rPr>
      </w:pPr>
      <w:hyperlink w:anchor="_Toc442353801" w:history="1">
        <w:r w:rsidR="00EC65BE" w:rsidRPr="0050795B">
          <w:rPr>
            <w:rStyle w:val="Hyperlink"/>
            <w:noProof/>
          </w:rPr>
          <w:t>Figure 20</w:t>
        </w:r>
        <w:r w:rsidR="00EC65BE" w:rsidRPr="0050795B">
          <w:rPr>
            <w:rStyle w:val="Hyperlink"/>
            <w:rFonts w:cs="AdvPS6F00"/>
            <w:noProof/>
          </w:rPr>
          <w:t>. Hydraulic head distribution map for the Barrow aquifer for the P–M fields. Inset shows alternative interpretation for head distribution in the compartment between Pyrenees-2 and West Muiron-5. Grey shading that define the contours representing fresh water hydraulic head (m).  Heavy black lines represent major fault traces (Bailey et al. 2006).</w:t>
        </w:r>
        <w:r w:rsidR="00EC65BE">
          <w:rPr>
            <w:noProof/>
            <w:webHidden/>
          </w:rPr>
          <w:tab/>
        </w:r>
        <w:r w:rsidR="00EC65BE">
          <w:rPr>
            <w:noProof/>
            <w:webHidden/>
          </w:rPr>
          <w:fldChar w:fldCharType="begin"/>
        </w:r>
        <w:r w:rsidR="00EC65BE">
          <w:rPr>
            <w:noProof/>
            <w:webHidden/>
          </w:rPr>
          <w:instrText xml:space="preserve"> PAGEREF _Toc442353801 \h </w:instrText>
        </w:r>
        <w:r w:rsidR="00EC65BE">
          <w:rPr>
            <w:noProof/>
            <w:webHidden/>
          </w:rPr>
        </w:r>
        <w:r w:rsidR="00EC65BE">
          <w:rPr>
            <w:noProof/>
            <w:webHidden/>
          </w:rPr>
          <w:fldChar w:fldCharType="separate"/>
        </w:r>
        <w:r w:rsidR="00ED1412">
          <w:rPr>
            <w:noProof/>
            <w:webHidden/>
          </w:rPr>
          <w:t>44</w:t>
        </w:r>
        <w:r w:rsidR="00EC65BE">
          <w:rPr>
            <w:noProof/>
            <w:webHidden/>
          </w:rPr>
          <w:fldChar w:fldCharType="end"/>
        </w:r>
      </w:hyperlink>
    </w:p>
    <w:p w14:paraId="306CC6E2" w14:textId="77777777" w:rsidR="00EC65BE" w:rsidRDefault="0072606A">
      <w:pPr>
        <w:pStyle w:val="TableofFigures"/>
        <w:tabs>
          <w:tab w:val="right" w:leader="dot" w:pos="9016"/>
        </w:tabs>
        <w:rPr>
          <w:noProof/>
          <w:sz w:val="22"/>
          <w:szCs w:val="22"/>
          <w:lang w:eastAsia="en-AU"/>
        </w:rPr>
      </w:pPr>
      <w:hyperlink w:anchor="_Toc442353802" w:history="1">
        <w:r w:rsidR="00EC65BE" w:rsidRPr="0050795B">
          <w:rPr>
            <w:rStyle w:val="Hyperlink"/>
            <w:noProof/>
          </w:rPr>
          <w:t>Figure 21</w:t>
        </w:r>
        <w:r w:rsidR="00EC65BE" w:rsidRPr="0050795B">
          <w:rPr>
            <w:rStyle w:val="Hyperlink"/>
            <w:rFonts w:ascii="Times New Roman" w:hAnsi="Times New Roman" w:cs="Times New Roman"/>
            <w:noProof/>
          </w:rPr>
          <w:t xml:space="preserve">. </w:t>
        </w:r>
        <w:r w:rsidR="00EC65BE" w:rsidRPr="0050795B">
          <w:rPr>
            <w:rStyle w:val="Hyperlink"/>
            <w:rFonts w:cs="AdvPS6F00"/>
            <w:noProof/>
          </w:rPr>
          <w:t>A schematic diagram of the main features of a structural relay ramp (Di Bucci et al. 2006).</w:t>
        </w:r>
        <w:r w:rsidR="00EC65BE">
          <w:rPr>
            <w:noProof/>
            <w:webHidden/>
          </w:rPr>
          <w:tab/>
        </w:r>
        <w:r w:rsidR="00EC65BE">
          <w:rPr>
            <w:noProof/>
            <w:webHidden/>
          </w:rPr>
          <w:fldChar w:fldCharType="begin"/>
        </w:r>
        <w:r w:rsidR="00EC65BE">
          <w:rPr>
            <w:noProof/>
            <w:webHidden/>
          </w:rPr>
          <w:instrText xml:space="preserve"> PAGEREF _Toc442353802 \h </w:instrText>
        </w:r>
        <w:r w:rsidR="00EC65BE">
          <w:rPr>
            <w:noProof/>
            <w:webHidden/>
          </w:rPr>
        </w:r>
        <w:r w:rsidR="00EC65BE">
          <w:rPr>
            <w:noProof/>
            <w:webHidden/>
          </w:rPr>
          <w:fldChar w:fldCharType="separate"/>
        </w:r>
        <w:r w:rsidR="00ED1412">
          <w:rPr>
            <w:noProof/>
            <w:webHidden/>
          </w:rPr>
          <w:t>44</w:t>
        </w:r>
        <w:r w:rsidR="00EC65BE">
          <w:rPr>
            <w:noProof/>
            <w:webHidden/>
          </w:rPr>
          <w:fldChar w:fldCharType="end"/>
        </w:r>
      </w:hyperlink>
    </w:p>
    <w:p w14:paraId="5816A44B" w14:textId="77777777" w:rsidR="00EC65BE" w:rsidRDefault="0072606A">
      <w:pPr>
        <w:pStyle w:val="TableofFigures"/>
        <w:tabs>
          <w:tab w:val="right" w:leader="dot" w:pos="9016"/>
        </w:tabs>
        <w:rPr>
          <w:noProof/>
          <w:sz w:val="22"/>
          <w:szCs w:val="22"/>
          <w:lang w:eastAsia="en-AU"/>
        </w:rPr>
      </w:pPr>
      <w:hyperlink w:anchor="_Toc442353803" w:history="1">
        <w:r w:rsidR="00EC65BE" w:rsidRPr="0050795B">
          <w:rPr>
            <w:rStyle w:val="Hyperlink"/>
            <w:noProof/>
          </w:rPr>
          <w:t>Figure 22</w:t>
        </w:r>
        <w:r w:rsidR="00EC65BE" w:rsidRPr="0050795B">
          <w:rPr>
            <w:rStyle w:val="Hyperlink"/>
            <w:rFonts w:cs="Times New Roman"/>
            <w:noProof/>
          </w:rPr>
          <w:t xml:space="preserve">. </w:t>
        </w:r>
        <w:r w:rsidR="00EC65BE" w:rsidRPr="0050795B">
          <w:rPr>
            <w:rStyle w:val="Hyperlink"/>
            <w:rFonts w:eastAsia="AdvT571" w:cs="AdvT571"/>
            <w:noProof/>
          </w:rPr>
          <w:t>Detail of the model showing the groundwater flow patterns (black lines with arrows) around the fault relay. Contour interval is 10m</w:t>
        </w:r>
        <w:r w:rsidR="00EC65BE" w:rsidRPr="0050795B">
          <w:rPr>
            <w:rStyle w:val="Hyperlink"/>
            <w:rFonts w:cs="Times New Roman"/>
            <w:noProof/>
          </w:rPr>
          <w:t xml:space="preserve"> (Bense and Van Balen 2004)</w:t>
        </w:r>
        <w:r w:rsidR="00EC65BE" w:rsidRPr="0050795B">
          <w:rPr>
            <w:rStyle w:val="Hyperlink"/>
            <w:rFonts w:eastAsia="AdvT571" w:cs="AdvT571"/>
            <w:noProof/>
          </w:rPr>
          <w:t>.</w:t>
        </w:r>
        <w:r w:rsidR="00EC65BE">
          <w:rPr>
            <w:noProof/>
            <w:webHidden/>
          </w:rPr>
          <w:tab/>
        </w:r>
        <w:r w:rsidR="00EC65BE">
          <w:rPr>
            <w:noProof/>
            <w:webHidden/>
          </w:rPr>
          <w:fldChar w:fldCharType="begin"/>
        </w:r>
        <w:r w:rsidR="00EC65BE">
          <w:rPr>
            <w:noProof/>
            <w:webHidden/>
          </w:rPr>
          <w:instrText xml:space="preserve"> PAGEREF _Toc442353803 \h </w:instrText>
        </w:r>
        <w:r w:rsidR="00EC65BE">
          <w:rPr>
            <w:noProof/>
            <w:webHidden/>
          </w:rPr>
        </w:r>
        <w:r w:rsidR="00EC65BE">
          <w:rPr>
            <w:noProof/>
            <w:webHidden/>
          </w:rPr>
          <w:fldChar w:fldCharType="separate"/>
        </w:r>
        <w:r w:rsidR="00ED1412">
          <w:rPr>
            <w:noProof/>
            <w:webHidden/>
          </w:rPr>
          <w:t>45</w:t>
        </w:r>
        <w:r w:rsidR="00EC65BE">
          <w:rPr>
            <w:noProof/>
            <w:webHidden/>
          </w:rPr>
          <w:fldChar w:fldCharType="end"/>
        </w:r>
      </w:hyperlink>
    </w:p>
    <w:p w14:paraId="77A9A311" w14:textId="77777777" w:rsidR="00EC65BE" w:rsidRDefault="0072606A">
      <w:pPr>
        <w:pStyle w:val="TableofFigures"/>
        <w:tabs>
          <w:tab w:val="right" w:leader="dot" w:pos="9016"/>
        </w:tabs>
        <w:rPr>
          <w:noProof/>
          <w:sz w:val="22"/>
          <w:szCs w:val="22"/>
          <w:lang w:eastAsia="en-AU"/>
        </w:rPr>
      </w:pPr>
      <w:hyperlink w:anchor="_Toc442353804" w:history="1">
        <w:r w:rsidR="00EC65BE" w:rsidRPr="0050795B">
          <w:rPr>
            <w:rStyle w:val="Hyperlink"/>
            <w:noProof/>
          </w:rPr>
          <w:t>Figure 23</w:t>
        </w:r>
        <w:r w:rsidR="00EC65BE" w:rsidRPr="0050795B">
          <w:rPr>
            <w:rStyle w:val="Hyperlink"/>
            <w:rFonts w:cs="Times New Roman"/>
            <w:noProof/>
          </w:rPr>
          <w:t>. Hydraulic head in a shallow aquifer of the Lower Rhine Embayment of the Roer Valley Graben. Contour lines are fresh water hydraulic head (m) and heavy black lines with tick marks are major fault traces.  Well locations are indicated by open circles (Bense and Van Balen, 2004).</w:t>
        </w:r>
        <w:r w:rsidR="00EC65BE">
          <w:rPr>
            <w:noProof/>
            <w:webHidden/>
          </w:rPr>
          <w:tab/>
        </w:r>
        <w:r w:rsidR="00EC65BE">
          <w:rPr>
            <w:noProof/>
            <w:webHidden/>
          </w:rPr>
          <w:fldChar w:fldCharType="begin"/>
        </w:r>
        <w:r w:rsidR="00EC65BE">
          <w:rPr>
            <w:noProof/>
            <w:webHidden/>
          </w:rPr>
          <w:instrText xml:space="preserve"> PAGEREF _Toc442353804 \h </w:instrText>
        </w:r>
        <w:r w:rsidR="00EC65BE">
          <w:rPr>
            <w:noProof/>
            <w:webHidden/>
          </w:rPr>
        </w:r>
        <w:r w:rsidR="00EC65BE">
          <w:rPr>
            <w:noProof/>
            <w:webHidden/>
          </w:rPr>
          <w:fldChar w:fldCharType="separate"/>
        </w:r>
        <w:r w:rsidR="00ED1412">
          <w:rPr>
            <w:noProof/>
            <w:webHidden/>
          </w:rPr>
          <w:t>45</w:t>
        </w:r>
        <w:r w:rsidR="00EC65BE">
          <w:rPr>
            <w:noProof/>
            <w:webHidden/>
          </w:rPr>
          <w:fldChar w:fldCharType="end"/>
        </w:r>
      </w:hyperlink>
    </w:p>
    <w:p w14:paraId="41E1AA81" w14:textId="77777777" w:rsidR="00EC65BE" w:rsidRDefault="0072606A">
      <w:pPr>
        <w:pStyle w:val="TableofFigures"/>
        <w:tabs>
          <w:tab w:val="right" w:leader="dot" w:pos="9016"/>
        </w:tabs>
        <w:rPr>
          <w:noProof/>
          <w:sz w:val="22"/>
          <w:szCs w:val="22"/>
          <w:lang w:eastAsia="en-AU"/>
        </w:rPr>
      </w:pPr>
      <w:hyperlink w:anchor="_Toc442353805" w:history="1">
        <w:r w:rsidR="00EC65BE" w:rsidRPr="0050795B">
          <w:rPr>
            <w:rStyle w:val="Hyperlink"/>
            <w:noProof/>
          </w:rPr>
          <w:t>Figure 24</w:t>
        </w:r>
        <w:r w:rsidR="00EC65BE" w:rsidRPr="0050795B">
          <w:rPr>
            <w:rStyle w:val="Hyperlink"/>
            <w:rFonts w:cs="AdvP2660"/>
            <w:noProof/>
          </w:rPr>
          <w:t xml:space="preserve">. </w:t>
        </w:r>
        <w:r w:rsidR="00EC65BE" w:rsidRPr="0050795B">
          <w:rPr>
            <w:rStyle w:val="Hyperlink"/>
            <w:rFonts w:cs="AdvP264F"/>
            <w:noProof/>
          </w:rPr>
          <w:t>Hydraulic head (m) distribution for the Mississippian aquifer western Canada (Underschultz et al. 2005). The white line in the SE corner of the map is the location of the cross section depicted in Figure 25 to follow.</w:t>
        </w:r>
        <w:r w:rsidR="00EC65BE">
          <w:rPr>
            <w:noProof/>
            <w:webHidden/>
          </w:rPr>
          <w:tab/>
        </w:r>
        <w:r w:rsidR="00EC65BE">
          <w:rPr>
            <w:noProof/>
            <w:webHidden/>
          </w:rPr>
          <w:fldChar w:fldCharType="begin"/>
        </w:r>
        <w:r w:rsidR="00EC65BE">
          <w:rPr>
            <w:noProof/>
            <w:webHidden/>
          </w:rPr>
          <w:instrText xml:space="preserve"> PAGEREF _Toc442353805 \h </w:instrText>
        </w:r>
        <w:r w:rsidR="00EC65BE">
          <w:rPr>
            <w:noProof/>
            <w:webHidden/>
          </w:rPr>
        </w:r>
        <w:r w:rsidR="00EC65BE">
          <w:rPr>
            <w:noProof/>
            <w:webHidden/>
          </w:rPr>
          <w:fldChar w:fldCharType="separate"/>
        </w:r>
        <w:r w:rsidR="00ED1412">
          <w:rPr>
            <w:noProof/>
            <w:webHidden/>
          </w:rPr>
          <w:t>46</w:t>
        </w:r>
        <w:r w:rsidR="00EC65BE">
          <w:rPr>
            <w:noProof/>
            <w:webHidden/>
          </w:rPr>
          <w:fldChar w:fldCharType="end"/>
        </w:r>
      </w:hyperlink>
    </w:p>
    <w:p w14:paraId="0956DCED" w14:textId="77777777" w:rsidR="00EC65BE" w:rsidRDefault="0072606A">
      <w:pPr>
        <w:pStyle w:val="TableofFigures"/>
        <w:tabs>
          <w:tab w:val="right" w:leader="dot" w:pos="9016"/>
        </w:tabs>
        <w:rPr>
          <w:noProof/>
          <w:sz w:val="22"/>
          <w:szCs w:val="22"/>
          <w:lang w:eastAsia="en-AU"/>
        </w:rPr>
      </w:pPr>
      <w:hyperlink w:anchor="_Toc442353806" w:history="1">
        <w:r w:rsidR="00EC65BE" w:rsidRPr="0050795B">
          <w:rPr>
            <w:rStyle w:val="Hyperlink"/>
            <w:noProof/>
          </w:rPr>
          <w:t>Figure 25</w:t>
        </w:r>
        <w:r w:rsidR="00EC65BE" w:rsidRPr="0050795B">
          <w:rPr>
            <w:rStyle w:val="Hyperlink"/>
            <w:rFonts w:cs="AdvP2660"/>
            <w:noProof/>
          </w:rPr>
          <w:t xml:space="preserve">. </w:t>
        </w:r>
        <w:r w:rsidR="00EC65BE" w:rsidRPr="0050795B">
          <w:rPr>
            <w:rStyle w:val="Hyperlink"/>
            <w:rFonts w:cs="AdvP264F"/>
            <w:noProof/>
          </w:rPr>
          <w:t>Schematic strike cross section of the Brazeau thrust sheet (Underschultz et al. 2005, based on Begin and Spratt, 2002) the location of which is marked by a white line in the SE corner of Figure 24..</w:t>
        </w:r>
        <w:r w:rsidR="00EC65BE">
          <w:rPr>
            <w:noProof/>
            <w:webHidden/>
          </w:rPr>
          <w:tab/>
        </w:r>
        <w:r w:rsidR="00EC65BE">
          <w:rPr>
            <w:noProof/>
            <w:webHidden/>
          </w:rPr>
          <w:fldChar w:fldCharType="begin"/>
        </w:r>
        <w:r w:rsidR="00EC65BE">
          <w:rPr>
            <w:noProof/>
            <w:webHidden/>
          </w:rPr>
          <w:instrText xml:space="preserve"> PAGEREF _Toc442353806 \h </w:instrText>
        </w:r>
        <w:r w:rsidR="00EC65BE">
          <w:rPr>
            <w:noProof/>
            <w:webHidden/>
          </w:rPr>
        </w:r>
        <w:r w:rsidR="00EC65BE">
          <w:rPr>
            <w:noProof/>
            <w:webHidden/>
          </w:rPr>
          <w:fldChar w:fldCharType="separate"/>
        </w:r>
        <w:r w:rsidR="00ED1412">
          <w:rPr>
            <w:noProof/>
            <w:webHidden/>
          </w:rPr>
          <w:t>47</w:t>
        </w:r>
        <w:r w:rsidR="00EC65BE">
          <w:rPr>
            <w:noProof/>
            <w:webHidden/>
          </w:rPr>
          <w:fldChar w:fldCharType="end"/>
        </w:r>
      </w:hyperlink>
    </w:p>
    <w:p w14:paraId="64661D34" w14:textId="77777777" w:rsidR="00EC65BE" w:rsidRDefault="0072606A">
      <w:pPr>
        <w:pStyle w:val="TableofFigures"/>
        <w:tabs>
          <w:tab w:val="right" w:leader="dot" w:pos="9016"/>
        </w:tabs>
        <w:rPr>
          <w:noProof/>
          <w:sz w:val="22"/>
          <w:szCs w:val="22"/>
          <w:lang w:eastAsia="en-AU"/>
        </w:rPr>
      </w:pPr>
      <w:hyperlink w:anchor="_Toc442353807" w:history="1">
        <w:r w:rsidR="00EC65BE" w:rsidRPr="0050795B">
          <w:rPr>
            <w:rStyle w:val="Hyperlink"/>
            <w:noProof/>
          </w:rPr>
          <w:t>Figure 26</w:t>
        </w:r>
        <w:r w:rsidR="00EC65BE" w:rsidRPr="0050795B">
          <w:rPr>
            <w:rStyle w:val="Hyperlink"/>
            <w:rFonts w:cs="AdvTT5235d5a9"/>
            <w:noProof/>
          </w:rPr>
          <w:t>. Shallow Fault zone with A) water level scenarios, and B) and C) negative and positive thermal anomalies respectively. (Bense et al. 2013).</w:t>
        </w:r>
        <w:r w:rsidR="00EC65BE">
          <w:rPr>
            <w:noProof/>
            <w:webHidden/>
          </w:rPr>
          <w:tab/>
        </w:r>
        <w:r w:rsidR="00EC65BE">
          <w:rPr>
            <w:noProof/>
            <w:webHidden/>
          </w:rPr>
          <w:fldChar w:fldCharType="begin"/>
        </w:r>
        <w:r w:rsidR="00EC65BE">
          <w:rPr>
            <w:noProof/>
            <w:webHidden/>
          </w:rPr>
          <w:instrText xml:space="preserve"> PAGEREF _Toc442353807 \h </w:instrText>
        </w:r>
        <w:r w:rsidR="00EC65BE">
          <w:rPr>
            <w:noProof/>
            <w:webHidden/>
          </w:rPr>
        </w:r>
        <w:r w:rsidR="00EC65BE">
          <w:rPr>
            <w:noProof/>
            <w:webHidden/>
          </w:rPr>
          <w:fldChar w:fldCharType="separate"/>
        </w:r>
        <w:r w:rsidR="00ED1412">
          <w:rPr>
            <w:noProof/>
            <w:webHidden/>
          </w:rPr>
          <w:t>47</w:t>
        </w:r>
        <w:r w:rsidR="00EC65BE">
          <w:rPr>
            <w:noProof/>
            <w:webHidden/>
          </w:rPr>
          <w:fldChar w:fldCharType="end"/>
        </w:r>
      </w:hyperlink>
    </w:p>
    <w:p w14:paraId="3C7B3B11" w14:textId="77777777" w:rsidR="00EC65BE" w:rsidRDefault="0072606A">
      <w:pPr>
        <w:pStyle w:val="TableofFigures"/>
        <w:tabs>
          <w:tab w:val="right" w:leader="dot" w:pos="9016"/>
        </w:tabs>
        <w:rPr>
          <w:noProof/>
          <w:sz w:val="22"/>
          <w:szCs w:val="22"/>
          <w:lang w:eastAsia="en-AU"/>
        </w:rPr>
      </w:pPr>
      <w:hyperlink w:anchor="_Toc442353808" w:history="1">
        <w:r w:rsidR="00EC65BE" w:rsidRPr="0050795B">
          <w:rPr>
            <w:rStyle w:val="Hyperlink"/>
            <w:noProof/>
          </w:rPr>
          <w:t>Figure 27</w:t>
        </w:r>
        <w:r w:rsidR="00EC65BE" w:rsidRPr="0050795B">
          <w:rPr>
            <w:rStyle w:val="Hyperlink"/>
            <w:rFonts w:cs="AdvTT5235d5a9"/>
            <w:noProof/>
          </w:rPr>
          <w:t>. Complex fault zone hydrogeology for a shallow aquifer horizon where A) shows surface focused investigations and B) shows subsurface focused investigations (Bense et al. 2013).</w:t>
        </w:r>
        <w:r w:rsidR="00EC65BE">
          <w:rPr>
            <w:noProof/>
            <w:webHidden/>
          </w:rPr>
          <w:tab/>
        </w:r>
        <w:r w:rsidR="00EC65BE">
          <w:rPr>
            <w:noProof/>
            <w:webHidden/>
          </w:rPr>
          <w:fldChar w:fldCharType="begin"/>
        </w:r>
        <w:r w:rsidR="00EC65BE">
          <w:rPr>
            <w:noProof/>
            <w:webHidden/>
          </w:rPr>
          <w:instrText xml:space="preserve"> PAGEREF _Toc442353808 \h </w:instrText>
        </w:r>
        <w:r w:rsidR="00EC65BE">
          <w:rPr>
            <w:noProof/>
            <w:webHidden/>
          </w:rPr>
        </w:r>
        <w:r w:rsidR="00EC65BE">
          <w:rPr>
            <w:noProof/>
            <w:webHidden/>
          </w:rPr>
          <w:fldChar w:fldCharType="separate"/>
        </w:r>
        <w:r w:rsidR="00ED1412">
          <w:rPr>
            <w:noProof/>
            <w:webHidden/>
          </w:rPr>
          <w:t>49</w:t>
        </w:r>
        <w:r w:rsidR="00EC65BE">
          <w:rPr>
            <w:noProof/>
            <w:webHidden/>
          </w:rPr>
          <w:fldChar w:fldCharType="end"/>
        </w:r>
      </w:hyperlink>
    </w:p>
    <w:p w14:paraId="5E95D995" w14:textId="77777777" w:rsidR="00EC65BE" w:rsidRDefault="0072606A">
      <w:pPr>
        <w:pStyle w:val="TableofFigures"/>
        <w:tabs>
          <w:tab w:val="right" w:leader="dot" w:pos="9016"/>
        </w:tabs>
        <w:rPr>
          <w:noProof/>
          <w:sz w:val="22"/>
          <w:szCs w:val="22"/>
          <w:lang w:eastAsia="en-AU"/>
        </w:rPr>
      </w:pPr>
      <w:hyperlink w:anchor="_Toc442353809" w:history="1">
        <w:r w:rsidR="00EC65BE" w:rsidRPr="0050795B">
          <w:rPr>
            <w:rStyle w:val="Hyperlink"/>
            <w:noProof/>
          </w:rPr>
          <w:t>Figure 28</w:t>
        </w:r>
        <w:r w:rsidR="00EC65BE" w:rsidRPr="0050795B">
          <w:rPr>
            <w:rStyle w:val="Hyperlink"/>
            <w:rFonts w:cs="AdvTT5235d5a9"/>
            <w:noProof/>
          </w:rPr>
          <w:t>. Complex fault zone hydrogeology for an aquifer horizon where A) is a block model, B) is a detailed scan through one fault core, C) is a detailed scan line through three fault cores, D) is the fracture density and permeability distribution on scan line B, E) is the fracture density and permeability distribution on scan line C, and F) categorisation matrix of damage zone width vs. permeability of fault core into flow characteristics (Bense et al. 2013).</w:t>
        </w:r>
        <w:r w:rsidR="00EC65BE">
          <w:rPr>
            <w:noProof/>
            <w:webHidden/>
          </w:rPr>
          <w:tab/>
        </w:r>
        <w:r w:rsidR="00EC65BE">
          <w:rPr>
            <w:noProof/>
            <w:webHidden/>
          </w:rPr>
          <w:fldChar w:fldCharType="begin"/>
        </w:r>
        <w:r w:rsidR="00EC65BE">
          <w:rPr>
            <w:noProof/>
            <w:webHidden/>
          </w:rPr>
          <w:instrText xml:space="preserve"> PAGEREF _Toc442353809 \h </w:instrText>
        </w:r>
        <w:r w:rsidR="00EC65BE">
          <w:rPr>
            <w:noProof/>
            <w:webHidden/>
          </w:rPr>
        </w:r>
        <w:r w:rsidR="00EC65BE">
          <w:rPr>
            <w:noProof/>
            <w:webHidden/>
          </w:rPr>
          <w:fldChar w:fldCharType="separate"/>
        </w:r>
        <w:r w:rsidR="00ED1412">
          <w:rPr>
            <w:noProof/>
            <w:webHidden/>
          </w:rPr>
          <w:t>50</w:t>
        </w:r>
        <w:r w:rsidR="00EC65BE">
          <w:rPr>
            <w:noProof/>
            <w:webHidden/>
          </w:rPr>
          <w:fldChar w:fldCharType="end"/>
        </w:r>
      </w:hyperlink>
    </w:p>
    <w:p w14:paraId="35C9243D" w14:textId="77777777" w:rsidR="00EC65BE" w:rsidRDefault="0072606A">
      <w:pPr>
        <w:pStyle w:val="TableofFigures"/>
        <w:tabs>
          <w:tab w:val="right" w:leader="dot" w:pos="9016"/>
        </w:tabs>
        <w:rPr>
          <w:noProof/>
          <w:sz w:val="22"/>
          <w:szCs w:val="22"/>
          <w:lang w:eastAsia="en-AU"/>
        </w:rPr>
      </w:pPr>
      <w:hyperlink w:anchor="_Toc442353810" w:history="1">
        <w:r w:rsidR="00EC65BE" w:rsidRPr="0050795B">
          <w:rPr>
            <w:rStyle w:val="Hyperlink"/>
            <w:noProof/>
          </w:rPr>
          <w:t>Figure 29</w:t>
        </w:r>
        <w:r w:rsidR="00EC65BE" w:rsidRPr="0050795B">
          <w:rPr>
            <w:rStyle w:val="Hyperlink"/>
            <w:rFonts w:cs="AdvTT5235d5a9"/>
            <w:noProof/>
          </w:rPr>
          <w:t>. Complex fault zone hydrogeology for an interbedded sequence of aquifers and aquitards where A) unlithified siliciclastic rheology, B is lithified siliciclastic rheology, C is crystalline rock rheology, and D) is carbonate rock rheology (Bense et al. 2013).</w:t>
        </w:r>
        <w:r w:rsidR="00EC65BE">
          <w:rPr>
            <w:noProof/>
            <w:webHidden/>
          </w:rPr>
          <w:tab/>
        </w:r>
        <w:r w:rsidR="00EC65BE">
          <w:rPr>
            <w:noProof/>
            <w:webHidden/>
          </w:rPr>
          <w:fldChar w:fldCharType="begin"/>
        </w:r>
        <w:r w:rsidR="00EC65BE">
          <w:rPr>
            <w:noProof/>
            <w:webHidden/>
          </w:rPr>
          <w:instrText xml:space="preserve"> PAGEREF _Toc442353810 \h </w:instrText>
        </w:r>
        <w:r w:rsidR="00EC65BE">
          <w:rPr>
            <w:noProof/>
            <w:webHidden/>
          </w:rPr>
        </w:r>
        <w:r w:rsidR="00EC65BE">
          <w:rPr>
            <w:noProof/>
            <w:webHidden/>
          </w:rPr>
          <w:fldChar w:fldCharType="separate"/>
        </w:r>
        <w:r w:rsidR="00ED1412">
          <w:rPr>
            <w:noProof/>
            <w:webHidden/>
          </w:rPr>
          <w:t>51</w:t>
        </w:r>
        <w:r w:rsidR="00EC65BE">
          <w:rPr>
            <w:noProof/>
            <w:webHidden/>
          </w:rPr>
          <w:fldChar w:fldCharType="end"/>
        </w:r>
      </w:hyperlink>
    </w:p>
    <w:p w14:paraId="007FFC59" w14:textId="77777777" w:rsidR="00EC65BE" w:rsidRDefault="0072606A">
      <w:pPr>
        <w:pStyle w:val="TableofFigures"/>
        <w:tabs>
          <w:tab w:val="right" w:leader="dot" w:pos="9016"/>
        </w:tabs>
        <w:rPr>
          <w:noProof/>
          <w:sz w:val="22"/>
          <w:szCs w:val="22"/>
          <w:lang w:eastAsia="en-AU"/>
        </w:rPr>
      </w:pPr>
      <w:hyperlink w:anchor="_Toc442353811" w:history="1">
        <w:r w:rsidR="00EC65BE" w:rsidRPr="0050795B">
          <w:rPr>
            <w:rStyle w:val="Hyperlink"/>
            <w:noProof/>
          </w:rPr>
          <w:t>Figure 30</w:t>
        </w:r>
        <w:r w:rsidR="00EC65BE" w:rsidRPr="0050795B">
          <w:rPr>
            <w:rStyle w:val="Hyperlink"/>
            <w:rFonts w:cs="AdvOT863180fb"/>
            <w:noProof/>
          </w:rPr>
          <w:t xml:space="preserve">. Fluid </w:t>
        </w:r>
        <w:r w:rsidR="00EC65BE" w:rsidRPr="0050795B">
          <w:rPr>
            <w:rStyle w:val="Hyperlink"/>
            <w:rFonts w:cs="AdvOT863180fb+fb"/>
            <w:noProof/>
          </w:rPr>
          <w:t>fl</w:t>
        </w:r>
        <w:r w:rsidR="00EC65BE" w:rsidRPr="0050795B">
          <w:rPr>
            <w:rStyle w:val="Hyperlink"/>
            <w:rFonts w:cs="AdvOT863180fb"/>
            <w:noProof/>
          </w:rPr>
          <w:t>ow in fault zones from an active rift. Geometry of the detailed fault zone architecture related to the flux distribution of formation water where low to moderate (</w:t>
        </w:r>
        <w:r w:rsidR="00EC65BE" w:rsidRPr="0050795B">
          <w:rPr>
            <w:rStyle w:val="Hyperlink"/>
            <w:rFonts w:cs="AdvP4C4E74"/>
            <w:noProof/>
          </w:rPr>
          <w:t>&lt;</w:t>
        </w:r>
        <w:r w:rsidR="00EC65BE" w:rsidRPr="0050795B">
          <w:rPr>
            <w:rStyle w:val="Hyperlink"/>
            <w:rFonts w:cs="AdvOT863180fb"/>
            <w:noProof/>
          </w:rPr>
          <w:t xml:space="preserve">5 </w:t>
        </w:r>
        <w:r w:rsidR="00EC65BE" w:rsidRPr="0050795B">
          <w:rPr>
            <w:rStyle w:val="Hyperlink"/>
            <w:rFonts w:cs="AdvP4C4E74"/>
            <w:noProof/>
          </w:rPr>
          <w:t>x</w:t>
        </w:r>
        <w:r w:rsidR="00EC65BE" w:rsidRPr="0050795B">
          <w:rPr>
            <w:rStyle w:val="Hyperlink"/>
            <w:rFonts w:cs="AdvOT863180fb"/>
            <w:noProof/>
          </w:rPr>
          <w:t>10</w:t>
        </w:r>
        <w:r w:rsidR="00EC65BE" w:rsidRPr="0050795B">
          <w:rPr>
            <w:rStyle w:val="Hyperlink"/>
            <w:rFonts w:cs="AdvOT863180fb"/>
            <w:noProof/>
            <w:vertAlign w:val="superscript"/>
          </w:rPr>
          <w:t>3</w:t>
        </w:r>
        <w:r w:rsidR="00EC65BE" w:rsidRPr="0050795B">
          <w:rPr>
            <w:rStyle w:val="Hyperlink"/>
            <w:rFonts w:cs="AdvOT863180fb"/>
            <w:noProof/>
          </w:rPr>
          <w:t xml:space="preserve"> m</w:t>
        </w:r>
        <w:r w:rsidR="00EC65BE" w:rsidRPr="0050795B">
          <w:rPr>
            <w:rStyle w:val="Hyperlink"/>
            <w:rFonts w:cs="AdvOT863180fb"/>
            <w:noProof/>
            <w:vertAlign w:val="superscript"/>
          </w:rPr>
          <w:t>3</w:t>
        </w:r>
        <w:r w:rsidR="00EC65BE" w:rsidRPr="0050795B">
          <w:rPr>
            <w:rStyle w:val="Hyperlink"/>
            <w:rFonts w:cs="AdvOT863180fb"/>
            <w:noProof/>
          </w:rPr>
          <w:t>/s) and high (</w:t>
        </w:r>
        <w:r w:rsidR="00EC65BE" w:rsidRPr="0050795B">
          <w:rPr>
            <w:rStyle w:val="Hyperlink"/>
            <w:rFonts w:cs="AdvP4C4E74"/>
            <w:noProof/>
          </w:rPr>
          <w:t>&gt;</w:t>
        </w:r>
        <w:r w:rsidR="00EC65BE" w:rsidRPr="0050795B">
          <w:rPr>
            <w:rStyle w:val="Hyperlink"/>
            <w:rFonts w:cs="AdvOT863180fb"/>
            <w:noProof/>
          </w:rPr>
          <w:t xml:space="preserve">5 </w:t>
        </w:r>
        <w:r w:rsidR="00EC65BE" w:rsidRPr="0050795B">
          <w:rPr>
            <w:rStyle w:val="Hyperlink"/>
            <w:rFonts w:cs="AdvP4C4E74"/>
            <w:noProof/>
          </w:rPr>
          <w:t>x</w:t>
        </w:r>
        <w:r w:rsidR="00EC65BE" w:rsidRPr="0050795B">
          <w:rPr>
            <w:rStyle w:val="Hyperlink"/>
            <w:rFonts w:cs="AdvOT863180fb"/>
            <w:noProof/>
          </w:rPr>
          <w:t>10</w:t>
        </w:r>
        <w:r w:rsidR="00EC65BE" w:rsidRPr="0050795B">
          <w:rPr>
            <w:rStyle w:val="Hyperlink"/>
            <w:rFonts w:cs="AdvOT863180fb"/>
            <w:noProof/>
            <w:vertAlign w:val="superscript"/>
          </w:rPr>
          <w:t>3</w:t>
        </w:r>
        <w:r w:rsidR="00EC65BE" w:rsidRPr="0050795B">
          <w:rPr>
            <w:rStyle w:val="Hyperlink"/>
            <w:rFonts w:cs="AdvOT863180fb"/>
            <w:noProof/>
          </w:rPr>
          <w:t xml:space="preserve"> m</w:t>
        </w:r>
        <w:r w:rsidR="00EC65BE" w:rsidRPr="0050795B">
          <w:rPr>
            <w:rStyle w:val="Hyperlink"/>
            <w:rFonts w:cs="AdvOT863180fb"/>
            <w:noProof/>
            <w:vertAlign w:val="superscript"/>
          </w:rPr>
          <w:t>3</w:t>
        </w:r>
        <w:r w:rsidR="00EC65BE" w:rsidRPr="0050795B">
          <w:rPr>
            <w:rStyle w:val="Hyperlink"/>
            <w:rFonts w:cs="AdvOT863180fb"/>
            <w:noProof/>
          </w:rPr>
          <w:t xml:space="preserve">/s) </w:t>
        </w:r>
        <w:r w:rsidR="00EC65BE" w:rsidRPr="0050795B">
          <w:rPr>
            <w:rStyle w:val="Hyperlink"/>
            <w:rFonts w:cs="AdvOT863180fb+fb"/>
            <w:noProof/>
          </w:rPr>
          <w:t>fl</w:t>
        </w:r>
        <w:r w:rsidR="00EC65BE" w:rsidRPr="0050795B">
          <w:rPr>
            <w:rStyle w:val="Hyperlink"/>
            <w:rFonts w:cs="AdvOT863180fb"/>
            <w:noProof/>
          </w:rPr>
          <w:t>ow rates shown by light and dark blue shading, respectively. The red dots show location and direction and relative rate of flow (Seebeck et al. 2014).</w:t>
        </w:r>
        <w:r w:rsidR="00EC65BE">
          <w:rPr>
            <w:noProof/>
            <w:webHidden/>
          </w:rPr>
          <w:tab/>
        </w:r>
        <w:r w:rsidR="00EC65BE">
          <w:rPr>
            <w:noProof/>
            <w:webHidden/>
          </w:rPr>
          <w:fldChar w:fldCharType="begin"/>
        </w:r>
        <w:r w:rsidR="00EC65BE">
          <w:rPr>
            <w:noProof/>
            <w:webHidden/>
          </w:rPr>
          <w:instrText xml:space="preserve"> PAGEREF _Toc442353811 \h </w:instrText>
        </w:r>
        <w:r w:rsidR="00EC65BE">
          <w:rPr>
            <w:noProof/>
            <w:webHidden/>
          </w:rPr>
        </w:r>
        <w:r w:rsidR="00EC65BE">
          <w:rPr>
            <w:noProof/>
            <w:webHidden/>
          </w:rPr>
          <w:fldChar w:fldCharType="separate"/>
        </w:r>
        <w:r w:rsidR="00ED1412">
          <w:rPr>
            <w:noProof/>
            <w:webHidden/>
          </w:rPr>
          <w:t>51</w:t>
        </w:r>
        <w:r w:rsidR="00EC65BE">
          <w:rPr>
            <w:noProof/>
            <w:webHidden/>
          </w:rPr>
          <w:fldChar w:fldCharType="end"/>
        </w:r>
      </w:hyperlink>
    </w:p>
    <w:p w14:paraId="4900A10C" w14:textId="77777777" w:rsidR="00EC65BE" w:rsidRDefault="0072606A">
      <w:pPr>
        <w:pStyle w:val="TableofFigures"/>
        <w:tabs>
          <w:tab w:val="right" w:leader="dot" w:pos="9016"/>
        </w:tabs>
        <w:rPr>
          <w:noProof/>
          <w:sz w:val="22"/>
          <w:szCs w:val="22"/>
          <w:lang w:eastAsia="en-AU"/>
        </w:rPr>
      </w:pPr>
      <w:hyperlink w:anchor="_Toc442353812" w:history="1">
        <w:r w:rsidR="00EC65BE" w:rsidRPr="0050795B">
          <w:rPr>
            <w:rStyle w:val="Hyperlink"/>
            <w:noProof/>
          </w:rPr>
          <w:t>Figure 31</w:t>
        </w:r>
        <w:r w:rsidR="00EC65BE" w:rsidRPr="0050795B">
          <w:rPr>
            <w:rStyle w:val="Hyperlink"/>
            <w:rFonts w:cs="AdvOT863180fb"/>
            <w:noProof/>
          </w:rPr>
          <w:t xml:space="preserve">. Fluid </w:t>
        </w:r>
        <w:r w:rsidR="00EC65BE" w:rsidRPr="0050795B">
          <w:rPr>
            <w:rStyle w:val="Hyperlink"/>
            <w:rFonts w:cs="AdvOT863180fb+fb"/>
            <w:noProof/>
          </w:rPr>
          <w:t>fl</w:t>
        </w:r>
        <w:r w:rsidR="00EC65BE" w:rsidRPr="0050795B">
          <w:rPr>
            <w:rStyle w:val="Hyperlink"/>
            <w:rFonts w:cs="AdvOT863180fb"/>
            <w:noProof/>
          </w:rPr>
          <w:t>ow in fault zones from an active rift. Geometry of the detailed fault zone architecture related to the fracture density, permeability and flux distribution of formation water (Seebeck et al. 2014).</w:t>
        </w:r>
        <w:r w:rsidR="00EC65BE">
          <w:rPr>
            <w:noProof/>
            <w:webHidden/>
          </w:rPr>
          <w:tab/>
        </w:r>
        <w:r w:rsidR="00EC65BE">
          <w:rPr>
            <w:noProof/>
            <w:webHidden/>
          </w:rPr>
          <w:fldChar w:fldCharType="begin"/>
        </w:r>
        <w:r w:rsidR="00EC65BE">
          <w:rPr>
            <w:noProof/>
            <w:webHidden/>
          </w:rPr>
          <w:instrText xml:space="preserve"> PAGEREF _Toc442353812 \h </w:instrText>
        </w:r>
        <w:r w:rsidR="00EC65BE">
          <w:rPr>
            <w:noProof/>
            <w:webHidden/>
          </w:rPr>
        </w:r>
        <w:r w:rsidR="00EC65BE">
          <w:rPr>
            <w:noProof/>
            <w:webHidden/>
          </w:rPr>
          <w:fldChar w:fldCharType="separate"/>
        </w:r>
        <w:r w:rsidR="00ED1412">
          <w:rPr>
            <w:noProof/>
            <w:webHidden/>
          </w:rPr>
          <w:t>52</w:t>
        </w:r>
        <w:r w:rsidR="00EC65BE">
          <w:rPr>
            <w:noProof/>
            <w:webHidden/>
          </w:rPr>
          <w:fldChar w:fldCharType="end"/>
        </w:r>
      </w:hyperlink>
    </w:p>
    <w:p w14:paraId="382F2479" w14:textId="77777777" w:rsidR="00EC65BE" w:rsidRDefault="0072606A">
      <w:pPr>
        <w:pStyle w:val="TableofFigures"/>
        <w:tabs>
          <w:tab w:val="right" w:leader="dot" w:pos="9016"/>
        </w:tabs>
        <w:rPr>
          <w:noProof/>
          <w:sz w:val="22"/>
          <w:szCs w:val="22"/>
          <w:lang w:eastAsia="en-AU"/>
        </w:rPr>
      </w:pPr>
      <w:hyperlink w:anchor="_Toc442353813" w:history="1">
        <w:r w:rsidR="00EC65BE" w:rsidRPr="0050795B">
          <w:rPr>
            <w:rStyle w:val="Hyperlink"/>
            <w:noProof/>
          </w:rPr>
          <w:t>Figure 32</w:t>
        </w:r>
        <w:r w:rsidR="00EC65BE" w:rsidRPr="0050795B">
          <w:rPr>
            <w:rStyle w:val="Hyperlink"/>
            <w:rFonts w:cs="Times New Roman"/>
            <w:noProof/>
          </w:rPr>
          <w:t xml:space="preserve">.  </w:t>
        </w:r>
        <w:r w:rsidR="00EC65BE" w:rsidRPr="0050795B">
          <w:rPr>
            <w:rStyle w:val="Hyperlink"/>
            <w:rFonts w:cs="AdvOT863180fb"/>
            <w:noProof/>
          </w:rPr>
          <w:t>Typical architectural and structural elements of fault zones (Loveless et al. 2011). a) Fault zone in crystalline rocks (e.g. Caine et al., 1996) with a fault core (FC) and damage zone (DZ). b) Fault zone in poorly lithi</w:t>
        </w:r>
        <w:r w:rsidR="00EC65BE" w:rsidRPr="0050795B">
          <w:rPr>
            <w:rStyle w:val="Hyperlink"/>
            <w:rFonts w:cs="AdvOT863180fb+fb"/>
            <w:noProof/>
          </w:rPr>
          <w:t>fi</w:t>
        </w:r>
        <w:r w:rsidR="00EC65BE" w:rsidRPr="0050795B">
          <w:rPr>
            <w:rStyle w:val="Hyperlink"/>
            <w:rFonts w:cs="AdvOT863180fb"/>
            <w:noProof/>
          </w:rPr>
          <w:t>ed sediment (e.g. Heynekamp et al., 1999; Rawling and Goodwin, 2003; Rawling and Goodwin, 2006), the mixed zone (MZ) is a third architectural element.</w:t>
        </w:r>
        <w:r w:rsidR="00EC65BE">
          <w:rPr>
            <w:noProof/>
            <w:webHidden/>
          </w:rPr>
          <w:tab/>
        </w:r>
        <w:r w:rsidR="00EC65BE">
          <w:rPr>
            <w:noProof/>
            <w:webHidden/>
          </w:rPr>
          <w:fldChar w:fldCharType="begin"/>
        </w:r>
        <w:r w:rsidR="00EC65BE">
          <w:rPr>
            <w:noProof/>
            <w:webHidden/>
          </w:rPr>
          <w:instrText xml:space="preserve"> PAGEREF _Toc442353813 \h </w:instrText>
        </w:r>
        <w:r w:rsidR="00EC65BE">
          <w:rPr>
            <w:noProof/>
            <w:webHidden/>
          </w:rPr>
        </w:r>
        <w:r w:rsidR="00EC65BE">
          <w:rPr>
            <w:noProof/>
            <w:webHidden/>
          </w:rPr>
          <w:fldChar w:fldCharType="separate"/>
        </w:r>
        <w:r w:rsidR="00ED1412">
          <w:rPr>
            <w:noProof/>
            <w:webHidden/>
          </w:rPr>
          <w:t>53</w:t>
        </w:r>
        <w:r w:rsidR="00EC65BE">
          <w:rPr>
            <w:noProof/>
            <w:webHidden/>
          </w:rPr>
          <w:fldChar w:fldCharType="end"/>
        </w:r>
      </w:hyperlink>
    </w:p>
    <w:p w14:paraId="369052C7" w14:textId="77777777" w:rsidR="00391D3A" w:rsidRDefault="00391D3A" w:rsidP="003B1DC9">
      <w:pPr>
        <w:pStyle w:val="Heading1NoTOC"/>
        <w:rPr>
          <w:rFonts w:asciiTheme="minorHAnsi" w:hAnsiTheme="minorHAnsi"/>
          <w:b/>
          <w:bCs/>
          <w:color w:val="auto"/>
          <w:sz w:val="20"/>
        </w:rPr>
      </w:pPr>
      <w:r>
        <w:rPr>
          <w:rFonts w:asciiTheme="minorHAnsi" w:hAnsiTheme="minorHAnsi"/>
          <w:b/>
          <w:bCs/>
          <w:color w:val="auto"/>
          <w:sz w:val="20"/>
        </w:rPr>
        <w:fldChar w:fldCharType="end"/>
      </w:r>
    </w:p>
    <w:p w14:paraId="5D4BB22F" w14:textId="77777777" w:rsidR="00391D3A" w:rsidRDefault="00391D3A">
      <w:pPr>
        <w:rPr>
          <w:b/>
          <w:bCs/>
        </w:rPr>
      </w:pPr>
      <w:r>
        <w:rPr>
          <w:b/>
          <w:bCs/>
        </w:rPr>
        <w:br w:type="page"/>
      </w:r>
    </w:p>
    <w:p w14:paraId="41A9891A" w14:textId="59C45DB4" w:rsidR="00E25502" w:rsidRDefault="00E25502" w:rsidP="003B1DC9">
      <w:pPr>
        <w:pStyle w:val="Heading1NoTOC"/>
      </w:pPr>
      <w:r w:rsidRPr="00FD7C8D" w:rsidDel="00E25502">
        <w:lastRenderedPageBreak/>
        <w:t xml:space="preserve"> </w:t>
      </w:r>
      <w:bookmarkStart w:id="4" w:name="_Toc331665442"/>
      <w:bookmarkStart w:id="5" w:name="_Toc332444781"/>
      <w:bookmarkStart w:id="6" w:name="_Toc332445249"/>
      <w:bookmarkStart w:id="7" w:name="_Toc332445573"/>
      <w:bookmarkStart w:id="8" w:name="_Toc332446568"/>
      <w:bookmarkStart w:id="9" w:name="_Toc332450661"/>
      <w:bookmarkStart w:id="10" w:name="_Toc332457719"/>
      <w:bookmarkStart w:id="11" w:name="_Toc332460995"/>
      <w:bookmarkStart w:id="12" w:name="_Toc332461241"/>
      <w:bookmarkStart w:id="13" w:name="_Toc332461485"/>
      <w:bookmarkStart w:id="14" w:name="_Toc332463270"/>
      <w:bookmarkStart w:id="15" w:name="_Toc332463518"/>
      <w:bookmarkStart w:id="16" w:name="_Toc332463766"/>
      <w:bookmarkStart w:id="17" w:name="_Toc332467799"/>
      <w:bookmarkStart w:id="18" w:name="_Toc332444782"/>
      <w:bookmarkStart w:id="19" w:name="_Toc332445250"/>
      <w:bookmarkStart w:id="20" w:name="_Toc332445574"/>
      <w:bookmarkStart w:id="21" w:name="_Toc332446569"/>
      <w:bookmarkStart w:id="22" w:name="_Toc332450662"/>
      <w:bookmarkStart w:id="23" w:name="_Toc332457720"/>
      <w:bookmarkStart w:id="24" w:name="_Toc332460996"/>
      <w:bookmarkStart w:id="25" w:name="_Toc332461242"/>
      <w:bookmarkStart w:id="26" w:name="_Toc332461486"/>
      <w:bookmarkStart w:id="27" w:name="_Toc332463271"/>
      <w:bookmarkStart w:id="28" w:name="_Toc332463519"/>
      <w:bookmarkStart w:id="29" w:name="_Toc332463767"/>
      <w:bookmarkStart w:id="30" w:name="_Toc332467800"/>
      <w:bookmarkStart w:id="31" w:name="_Toc332444783"/>
      <w:bookmarkStart w:id="32" w:name="_Toc332445251"/>
      <w:bookmarkStart w:id="33" w:name="_Toc332445575"/>
      <w:bookmarkStart w:id="34" w:name="_Toc332446570"/>
      <w:bookmarkStart w:id="35" w:name="_Toc332450663"/>
      <w:bookmarkStart w:id="36" w:name="_Toc332457721"/>
      <w:bookmarkStart w:id="37" w:name="_Toc332460997"/>
      <w:bookmarkStart w:id="38" w:name="_Toc332461243"/>
      <w:bookmarkStart w:id="39" w:name="_Toc332461487"/>
      <w:bookmarkStart w:id="40" w:name="_Toc332463272"/>
      <w:bookmarkStart w:id="41" w:name="_Toc332463520"/>
      <w:bookmarkStart w:id="42" w:name="_Toc332463768"/>
      <w:bookmarkStart w:id="43" w:name="_Toc332467801"/>
      <w:bookmarkStart w:id="44" w:name="_Toc332444786"/>
      <w:bookmarkStart w:id="45" w:name="_Toc332445254"/>
      <w:bookmarkStart w:id="46" w:name="_Toc332445578"/>
      <w:bookmarkStart w:id="47" w:name="_Toc332446573"/>
      <w:bookmarkStart w:id="48" w:name="_Toc332450666"/>
      <w:bookmarkStart w:id="49" w:name="_Toc332457724"/>
      <w:bookmarkStart w:id="50" w:name="_Toc332461000"/>
      <w:bookmarkStart w:id="51" w:name="_Toc332461246"/>
      <w:bookmarkStart w:id="52" w:name="_Toc332461490"/>
      <w:bookmarkStart w:id="53" w:name="_Toc332463275"/>
      <w:bookmarkStart w:id="54" w:name="_Toc332463523"/>
      <w:bookmarkStart w:id="55" w:name="_Toc332463771"/>
      <w:bookmarkStart w:id="56" w:name="_Toc332467804"/>
      <w:bookmarkStart w:id="57" w:name="_Toc321822934"/>
      <w:bookmarkStart w:id="58" w:name="_Toc321825833"/>
      <w:bookmarkStart w:id="59" w:name="_Toc321826478"/>
      <w:bookmarkStart w:id="60" w:name="_Toc321826912"/>
      <w:bookmarkStart w:id="61" w:name="_Toc321830816"/>
      <w:bookmarkStart w:id="62" w:name="_Toc321841735"/>
      <w:bookmarkStart w:id="63" w:name="_Toc321922440"/>
      <w:bookmarkStart w:id="64" w:name="_Toc321924028"/>
      <w:bookmarkStart w:id="65" w:name="_Toc332461017"/>
      <w:bookmarkStart w:id="66" w:name="_Toc332461263"/>
      <w:bookmarkStart w:id="67" w:name="_Toc332461507"/>
      <w:bookmarkStart w:id="68" w:name="_Toc332463292"/>
      <w:bookmarkStart w:id="69" w:name="_Toc332463540"/>
      <w:bookmarkStart w:id="70" w:name="_Toc332463788"/>
      <w:bookmarkStart w:id="71" w:name="_Toc332467821"/>
      <w:bookmarkStart w:id="72" w:name="_Toc332461020"/>
      <w:bookmarkStart w:id="73" w:name="_Toc332461266"/>
      <w:bookmarkStart w:id="74" w:name="_Toc332461510"/>
      <w:bookmarkStart w:id="75" w:name="_Toc332463295"/>
      <w:bookmarkStart w:id="76" w:name="_Toc332463543"/>
      <w:bookmarkStart w:id="77" w:name="_Toc332463791"/>
      <w:bookmarkStart w:id="78" w:name="_Toc332467824"/>
      <w:bookmarkStart w:id="79" w:name="_Toc332461021"/>
      <w:bookmarkStart w:id="80" w:name="_Toc332461267"/>
      <w:bookmarkStart w:id="81" w:name="_Toc332461511"/>
      <w:bookmarkStart w:id="82" w:name="_Toc332463296"/>
      <w:bookmarkStart w:id="83" w:name="_Toc332463544"/>
      <w:bookmarkStart w:id="84" w:name="_Toc332463792"/>
      <w:bookmarkStart w:id="85" w:name="_Toc332467825"/>
      <w:bookmarkStart w:id="86" w:name="_Toc332461024"/>
      <w:bookmarkStart w:id="87" w:name="_Toc332461270"/>
      <w:bookmarkStart w:id="88" w:name="_Toc332461514"/>
      <w:bookmarkStart w:id="89" w:name="_Toc332463299"/>
      <w:bookmarkStart w:id="90" w:name="_Toc332463547"/>
      <w:bookmarkStart w:id="91" w:name="_Toc332463795"/>
      <w:bookmarkStart w:id="92" w:name="_Toc332467828"/>
      <w:bookmarkStart w:id="93" w:name="_Toc332461027"/>
      <w:bookmarkStart w:id="94" w:name="_Toc332461273"/>
      <w:bookmarkStart w:id="95" w:name="_Toc332461517"/>
      <w:bookmarkStart w:id="96" w:name="_Toc332463302"/>
      <w:bookmarkStart w:id="97" w:name="_Toc332463550"/>
      <w:bookmarkStart w:id="98" w:name="_Toc332463798"/>
      <w:bookmarkStart w:id="99" w:name="_Toc332467831"/>
      <w:bookmarkStart w:id="100" w:name="_Toc332461028"/>
      <w:bookmarkStart w:id="101" w:name="_Toc332461274"/>
      <w:bookmarkStart w:id="102" w:name="_Toc332461518"/>
      <w:bookmarkStart w:id="103" w:name="_Toc332463303"/>
      <w:bookmarkStart w:id="104" w:name="_Toc332463551"/>
      <w:bookmarkStart w:id="105" w:name="_Toc332463799"/>
      <w:bookmarkStart w:id="106" w:name="_Toc332467832"/>
      <w:bookmarkStart w:id="107" w:name="_Toc332461031"/>
      <w:bookmarkStart w:id="108" w:name="_Toc332461277"/>
      <w:bookmarkStart w:id="109" w:name="_Toc332461521"/>
      <w:bookmarkStart w:id="110" w:name="_Toc332463306"/>
      <w:bookmarkStart w:id="111" w:name="_Toc332463554"/>
      <w:bookmarkStart w:id="112" w:name="_Toc332463802"/>
      <w:bookmarkStart w:id="113" w:name="_Toc332467835"/>
      <w:bookmarkStart w:id="114" w:name="_Toc332461033"/>
      <w:bookmarkStart w:id="115" w:name="_Toc332461279"/>
      <w:bookmarkStart w:id="116" w:name="_Toc332461523"/>
      <w:bookmarkStart w:id="117" w:name="_Toc332463308"/>
      <w:bookmarkStart w:id="118" w:name="_Toc332463556"/>
      <w:bookmarkStart w:id="119" w:name="_Toc332463804"/>
      <w:bookmarkStart w:id="120" w:name="_Toc332467837"/>
      <w:bookmarkStart w:id="121" w:name="_Toc332461037"/>
      <w:bookmarkStart w:id="122" w:name="_Toc332461283"/>
      <w:bookmarkStart w:id="123" w:name="_Toc332461527"/>
      <w:bookmarkStart w:id="124" w:name="_Toc332463312"/>
      <w:bookmarkStart w:id="125" w:name="_Toc332463560"/>
      <w:bookmarkStart w:id="126" w:name="_Toc332463808"/>
      <w:bookmarkStart w:id="127" w:name="_Toc332467841"/>
      <w:bookmarkStart w:id="128" w:name="_Toc332461038"/>
      <w:bookmarkStart w:id="129" w:name="_Toc332461284"/>
      <w:bookmarkStart w:id="130" w:name="_Toc332461528"/>
      <w:bookmarkStart w:id="131" w:name="_Toc332463313"/>
      <w:bookmarkStart w:id="132" w:name="_Toc332463561"/>
      <w:bookmarkStart w:id="133" w:name="_Toc332463809"/>
      <w:bookmarkStart w:id="134" w:name="_Toc332467842"/>
      <w:bookmarkStart w:id="135" w:name="_Toc332461040"/>
      <w:bookmarkStart w:id="136" w:name="_Toc332461286"/>
      <w:bookmarkStart w:id="137" w:name="_Toc332461530"/>
      <w:bookmarkStart w:id="138" w:name="_Toc332463315"/>
      <w:bookmarkStart w:id="139" w:name="_Toc332463563"/>
      <w:bookmarkStart w:id="140" w:name="_Toc332463811"/>
      <w:bookmarkStart w:id="141" w:name="_Toc332467844"/>
      <w:bookmarkStart w:id="142" w:name="_Toc332461046"/>
      <w:bookmarkStart w:id="143" w:name="_Toc332461292"/>
      <w:bookmarkStart w:id="144" w:name="_Toc332461536"/>
      <w:bookmarkStart w:id="145" w:name="_Toc332463321"/>
      <w:bookmarkStart w:id="146" w:name="_Toc332463569"/>
      <w:bookmarkStart w:id="147" w:name="_Toc332463817"/>
      <w:bookmarkStart w:id="148" w:name="_Toc332467850"/>
      <w:bookmarkStart w:id="149" w:name="_Toc332461051"/>
      <w:bookmarkStart w:id="150" w:name="_Toc332461297"/>
      <w:bookmarkStart w:id="151" w:name="_Toc332461541"/>
      <w:bookmarkStart w:id="152" w:name="_Toc332463326"/>
      <w:bookmarkStart w:id="153" w:name="_Toc332463574"/>
      <w:bookmarkStart w:id="154" w:name="_Toc332463822"/>
      <w:bookmarkStart w:id="155" w:name="_Toc332467855"/>
      <w:bookmarkStart w:id="156" w:name="_Toc332461054"/>
      <w:bookmarkStart w:id="157" w:name="_Toc332461300"/>
      <w:bookmarkStart w:id="158" w:name="_Toc332461544"/>
      <w:bookmarkStart w:id="159" w:name="_Toc332463329"/>
      <w:bookmarkStart w:id="160" w:name="_Toc332463577"/>
      <w:bookmarkStart w:id="161" w:name="_Toc332463825"/>
      <w:bookmarkStart w:id="162" w:name="_Toc332467858"/>
      <w:bookmarkStart w:id="163" w:name="_Toc332461055"/>
      <w:bookmarkStart w:id="164" w:name="_Toc332461301"/>
      <w:bookmarkStart w:id="165" w:name="_Toc332461545"/>
      <w:bookmarkStart w:id="166" w:name="_Toc332463330"/>
      <w:bookmarkStart w:id="167" w:name="_Toc332463578"/>
      <w:bookmarkStart w:id="168" w:name="_Toc332463826"/>
      <w:bookmarkStart w:id="169" w:name="_Toc332467859"/>
      <w:bookmarkStart w:id="170" w:name="_Toc332461056"/>
      <w:bookmarkStart w:id="171" w:name="_Toc332461302"/>
      <w:bookmarkStart w:id="172" w:name="_Toc332461546"/>
      <w:bookmarkStart w:id="173" w:name="_Toc332463331"/>
      <w:bookmarkStart w:id="174" w:name="_Toc332463579"/>
      <w:bookmarkStart w:id="175" w:name="_Toc332463827"/>
      <w:bookmarkStart w:id="176" w:name="_Toc332467860"/>
      <w:bookmarkStart w:id="177" w:name="_Toc332461059"/>
      <w:bookmarkStart w:id="178" w:name="_Toc332461305"/>
      <w:bookmarkStart w:id="179" w:name="_Toc332461549"/>
      <w:bookmarkStart w:id="180" w:name="_Toc332463334"/>
      <w:bookmarkStart w:id="181" w:name="_Toc332463582"/>
      <w:bookmarkStart w:id="182" w:name="_Toc332463830"/>
      <w:bookmarkStart w:id="183" w:name="_Toc332467863"/>
      <w:bookmarkStart w:id="184" w:name="_Toc332461060"/>
      <w:bookmarkStart w:id="185" w:name="_Toc332461306"/>
      <w:bookmarkStart w:id="186" w:name="_Toc332461550"/>
      <w:bookmarkStart w:id="187" w:name="_Toc332463335"/>
      <w:bookmarkStart w:id="188" w:name="_Toc332463583"/>
      <w:bookmarkStart w:id="189" w:name="_Toc332463831"/>
      <w:bookmarkStart w:id="190" w:name="_Toc332467864"/>
      <w:bookmarkStart w:id="191" w:name="_Toc332461062"/>
      <w:bookmarkStart w:id="192" w:name="_Toc332461308"/>
      <w:bookmarkStart w:id="193" w:name="_Toc332461552"/>
      <w:bookmarkStart w:id="194" w:name="_Toc332463337"/>
      <w:bookmarkStart w:id="195" w:name="_Toc332463585"/>
      <w:bookmarkStart w:id="196" w:name="_Toc332463833"/>
      <w:bookmarkStart w:id="197" w:name="_Toc332467866"/>
      <w:bookmarkStart w:id="198" w:name="_Toc332461086"/>
      <w:bookmarkStart w:id="199" w:name="_Toc332461332"/>
      <w:bookmarkStart w:id="200" w:name="_Toc332461576"/>
      <w:bookmarkStart w:id="201" w:name="_Toc332463361"/>
      <w:bookmarkStart w:id="202" w:name="_Toc332463609"/>
      <w:bookmarkStart w:id="203" w:name="_Toc332463857"/>
      <w:bookmarkStart w:id="204" w:name="_Toc332467890"/>
      <w:bookmarkStart w:id="205" w:name="_Toc332461089"/>
      <w:bookmarkStart w:id="206" w:name="_Toc332461335"/>
      <w:bookmarkStart w:id="207" w:name="_Toc332461579"/>
      <w:bookmarkStart w:id="208" w:name="_Toc332463364"/>
      <w:bookmarkStart w:id="209" w:name="_Toc332463612"/>
      <w:bookmarkStart w:id="210" w:name="_Toc332463860"/>
      <w:bookmarkStart w:id="211" w:name="_Toc332467893"/>
      <w:bookmarkStart w:id="212" w:name="_Toc332461091"/>
      <w:bookmarkStart w:id="213" w:name="_Toc332461337"/>
      <w:bookmarkStart w:id="214" w:name="_Toc332461581"/>
      <w:bookmarkStart w:id="215" w:name="_Toc332463366"/>
      <w:bookmarkStart w:id="216" w:name="_Toc332463614"/>
      <w:bookmarkStart w:id="217" w:name="_Toc332463862"/>
      <w:bookmarkStart w:id="218" w:name="_Toc332467895"/>
      <w:bookmarkStart w:id="219" w:name="_Toc332461092"/>
      <w:bookmarkStart w:id="220" w:name="_Toc332461338"/>
      <w:bookmarkStart w:id="221" w:name="_Toc332461582"/>
      <w:bookmarkStart w:id="222" w:name="_Toc332463367"/>
      <w:bookmarkStart w:id="223" w:name="_Toc332463615"/>
      <w:bookmarkStart w:id="224" w:name="_Toc332463863"/>
      <w:bookmarkStart w:id="225" w:name="_Toc332467896"/>
      <w:bookmarkStart w:id="226" w:name="_Toc332461095"/>
      <w:bookmarkStart w:id="227" w:name="_Toc332461341"/>
      <w:bookmarkStart w:id="228" w:name="_Toc332461585"/>
      <w:bookmarkStart w:id="229" w:name="_Toc332463370"/>
      <w:bookmarkStart w:id="230" w:name="_Toc332463618"/>
      <w:bookmarkStart w:id="231" w:name="_Toc332463866"/>
      <w:bookmarkStart w:id="232" w:name="_Toc332467899"/>
      <w:bookmarkStart w:id="233" w:name="_Toc332461096"/>
      <w:bookmarkStart w:id="234" w:name="_Toc332461342"/>
      <w:bookmarkStart w:id="235" w:name="_Toc332461586"/>
      <w:bookmarkStart w:id="236" w:name="_Toc332463371"/>
      <w:bookmarkStart w:id="237" w:name="_Toc332463619"/>
      <w:bookmarkStart w:id="238" w:name="_Toc332463867"/>
      <w:bookmarkStart w:id="239" w:name="_Toc332467900"/>
      <w:bookmarkStart w:id="240" w:name="_Toc332461097"/>
      <w:bookmarkStart w:id="241" w:name="_Toc332461343"/>
      <w:bookmarkStart w:id="242" w:name="_Toc332461587"/>
      <w:bookmarkStart w:id="243" w:name="_Toc332463372"/>
      <w:bookmarkStart w:id="244" w:name="_Toc332463620"/>
      <w:bookmarkStart w:id="245" w:name="_Toc332463868"/>
      <w:bookmarkStart w:id="246" w:name="_Toc332467901"/>
      <w:bookmarkStart w:id="247" w:name="_Toc332461098"/>
      <w:bookmarkStart w:id="248" w:name="_Toc332461344"/>
      <w:bookmarkStart w:id="249" w:name="_Toc332461588"/>
      <w:bookmarkStart w:id="250" w:name="_Toc332463373"/>
      <w:bookmarkStart w:id="251" w:name="_Toc332463621"/>
      <w:bookmarkStart w:id="252" w:name="_Toc332463869"/>
      <w:bookmarkStart w:id="253" w:name="_Toc332467902"/>
      <w:bookmarkStart w:id="254" w:name="_Toc332461099"/>
      <w:bookmarkStart w:id="255" w:name="_Toc332461345"/>
      <w:bookmarkStart w:id="256" w:name="_Toc332461589"/>
      <w:bookmarkStart w:id="257" w:name="_Toc332463374"/>
      <w:bookmarkStart w:id="258" w:name="_Toc332463622"/>
      <w:bookmarkStart w:id="259" w:name="_Toc332463870"/>
      <w:bookmarkStart w:id="260" w:name="_Toc332467903"/>
      <w:bookmarkStart w:id="261" w:name="_Toc332461100"/>
      <w:bookmarkStart w:id="262" w:name="_Toc332461346"/>
      <w:bookmarkStart w:id="263" w:name="_Toc332461590"/>
      <w:bookmarkStart w:id="264" w:name="_Toc332463375"/>
      <w:bookmarkStart w:id="265" w:name="_Toc332463623"/>
      <w:bookmarkStart w:id="266" w:name="_Toc332463871"/>
      <w:bookmarkStart w:id="267" w:name="_Toc332467904"/>
      <w:bookmarkStart w:id="268" w:name="_Toc332461102"/>
      <w:bookmarkStart w:id="269" w:name="_Toc332461348"/>
      <w:bookmarkStart w:id="270" w:name="_Toc332461592"/>
      <w:bookmarkStart w:id="271" w:name="_Toc332463377"/>
      <w:bookmarkStart w:id="272" w:name="_Toc332463625"/>
      <w:bookmarkStart w:id="273" w:name="_Toc332463873"/>
      <w:bookmarkStart w:id="274" w:name="_Toc332467906"/>
      <w:bookmarkStart w:id="275" w:name="_Toc332461103"/>
      <w:bookmarkStart w:id="276" w:name="_Toc332461349"/>
      <w:bookmarkStart w:id="277" w:name="_Toc332461593"/>
      <w:bookmarkStart w:id="278" w:name="_Toc332463378"/>
      <w:bookmarkStart w:id="279" w:name="_Toc332463626"/>
      <w:bookmarkStart w:id="280" w:name="_Toc332463874"/>
      <w:bookmarkStart w:id="281" w:name="_Toc332467907"/>
      <w:bookmarkStart w:id="282" w:name="_Toc332461106"/>
      <w:bookmarkStart w:id="283" w:name="_Toc332461352"/>
      <w:bookmarkStart w:id="284" w:name="_Toc332461596"/>
      <w:bookmarkStart w:id="285" w:name="_Toc332463381"/>
      <w:bookmarkStart w:id="286" w:name="_Toc332463629"/>
      <w:bookmarkStart w:id="287" w:name="_Toc332463877"/>
      <w:bookmarkStart w:id="288" w:name="_Toc332467910"/>
      <w:bookmarkStart w:id="289" w:name="_Toc332461110"/>
      <w:bookmarkStart w:id="290" w:name="_Toc332461356"/>
      <w:bookmarkStart w:id="291" w:name="_Toc332461600"/>
      <w:bookmarkStart w:id="292" w:name="_Toc332463385"/>
      <w:bookmarkStart w:id="293" w:name="_Toc332463633"/>
      <w:bookmarkStart w:id="294" w:name="_Toc332463881"/>
      <w:bookmarkStart w:id="295" w:name="_Toc332467914"/>
      <w:bookmarkStart w:id="296" w:name="_Toc332461116"/>
      <w:bookmarkStart w:id="297" w:name="_Toc332461362"/>
      <w:bookmarkStart w:id="298" w:name="_Toc332461606"/>
      <w:bookmarkStart w:id="299" w:name="_Toc332463391"/>
      <w:bookmarkStart w:id="300" w:name="_Toc332463639"/>
      <w:bookmarkStart w:id="301" w:name="_Toc332463887"/>
      <w:bookmarkStart w:id="302" w:name="_Toc332467920"/>
      <w:bookmarkStart w:id="303" w:name="_Toc332461117"/>
      <w:bookmarkStart w:id="304" w:name="_Toc332461363"/>
      <w:bookmarkStart w:id="305" w:name="_Toc332461607"/>
      <w:bookmarkStart w:id="306" w:name="_Toc332463392"/>
      <w:bookmarkStart w:id="307" w:name="_Toc332463640"/>
      <w:bookmarkStart w:id="308" w:name="_Toc332463888"/>
      <w:bookmarkStart w:id="309" w:name="_Toc332467921"/>
      <w:bookmarkStart w:id="310" w:name="_Toc332461118"/>
      <w:bookmarkStart w:id="311" w:name="_Toc332461364"/>
      <w:bookmarkStart w:id="312" w:name="_Toc332461608"/>
      <w:bookmarkStart w:id="313" w:name="_Toc332463393"/>
      <w:bookmarkStart w:id="314" w:name="_Toc332463641"/>
      <w:bookmarkStart w:id="315" w:name="_Toc332463889"/>
      <w:bookmarkStart w:id="316" w:name="_Toc332467922"/>
      <w:bookmarkStart w:id="317" w:name="_Toc332461136"/>
      <w:bookmarkStart w:id="318" w:name="_Toc332461382"/>
      <w:bookmarkStart w:id="319" w:name="_Toc332461626"/>
      <w:bookmarkStart w:id="320" w:name="_Toc332463411"/>
      <w:bookmarkStart w:id="321" w:name="_Toc332463659"/>
      <w:bookmarkStart w:id="322" w:name="_Toc332463907"/>
      <w:bookmarkStart w:id="323" w:name="_Toc332467940"/>
      <w:bookmarkStart w:id="324" w:name="_Toc332461139"/>
      <w:bookmarkStart w:id="325" w:name="_Toc332461385"/>
      <w:bookmarkStart w:id="326" w:name="_Toc332461629"/>
      <w:bookmarkStart w:id="327" w:name="_Toc332463414"/>
      <w:bookmarkStart w:id="328" w:name="_Toc332463662"/>
      <w:bookmarkStart w:id="329" w:name="_Toc332463910"/>
      <w:bookmarkStart w:id="330" w:name="_Toc332467943"/>
      <w:bookmarkStart w:id="331" w:name="_Toc332461147"/>
      <w:bookmarkStart w:id="332" w:name="_Toc332461393"/>
      <w:bookmarkStart w:id="333" w:name="_Toc332461637"/>
      <w:bookmarkStart w:id="334" w:name="_Toc332463422"/>
      <w:bookmarkStart w:id="335" w:name="_Toc332463670"/>
      <w:bookmarkStart w:id="336" w:name="_Toc332463918"/>
      <w:bookmarkStart w:id="337" w:name="_Toc332467951"/>
      <w:bookmarkStart w:id="338" w:name="_Toc332461157"/>
      <w:bookmarkStart w:id="339" w:name="_Toc332461403"/>
      <w:bookmarkStart w:id="340" w:name="_Toc332461647"/>
      <w:bookmarkStart w:id="341" w:name="_Toc332463432"/>
      <w:bookmarkStart w:id="342" w:name="_Toc332463680"/>
      <w:bookmarkStart w:id="343" w:name="_Toc332463928"/>
      <w:bookmarkStart w:id="344" w:name="_Toc332467961"/>
      <w:bookmarkStart w:id="345" w:name="_Toc332461159"/>
      <w:bookmarkStart w:id="346" w:name="_Toc332461405"/>
      <w:bookmarkStart w:id="347" w:name="_Toc332461649"/>
      <w:bookmarkStart w:id="348" w:name="_Toc332463434"/>
      <w:bookmarkStart w:id="349" w:name="_Toc332463682"/>
      <w:bookmarkStart w:id="350" w:name="_Toc332463930"/>
      <w:bookmarkStart w:id="351" w:name="_Toc332467963"/>
      <w:bookmarkStart w:id="352" w:name="_Toc332461162"/>
      <w:bookmarkStart w:id="353" w:name="_Toc332461408"/>
      <w:bookmarkStart w:id="354" w:name="_Toc332461652"/>
      <w:bookmarkStart w:id="355" w:name="_Toc332463437"/>
      <w:bookmarkStart w:id="356" w:name="_Toc332463685"/>
      <w:bookmarkStart w:id="357" w:name="_Toc332463933"/>
      <w:bookmarkStart w:id="358" w:name="_Toc332467966"/>
      <w:bookmarkStart w:id="359" w:name="_Toc332461163"/>
      <w:bookmarkStart w:id="360" w:name="_Toc332461409"/>
      <w:bookmarkStart w:id="361" w:name="_Toc332461653"/>
      <w:bookmarkStart w:id="362" w:name="_Toc332463438"/>
      <w:bookmarkStart w:id="363" w:name="_Toc332463686"/>
      <w:bookmarkStart w:id="364" w:name="_Toc332463934"/>
      <w:bookmarkStart w:id="365" w:name="_Toc332467967"/>
      <w:bookmarkStart w:id="366" w:name="_Toc332461164"/>
      <w:bookmarkStart w:id="367" w:name="_Toc332461410"/>
      <w:bookmarkStart w:id="368" w:name="_Toc332461654"/>
      <w:bookmarkStart w:id="369" w:name="_Toc332463439"/>
      <w:bookmarkStart w:id="370" w:name="_Toc332463687"/>
      <w:bookmarkStart w:id="371" w:name="_Toc332463935"/>
      <w:bookmarkStart w:id="372" w:name="_Toc332467968"/>
      <w:bookmarkStart w:id="373" w:name="_Toc332461167"/>
      <w:bookmarkStart w:id="374" w:name="_Toc332461413"/>
      <w:bookmarkStart w:id="375" w:name="_Toc332461657"/>
      <w:bookmarkStart w:id="376" w:name="_Toc332463442"/>
      <w:bookmarkStart w:id="377" w:name="_Toc332463690"/>
      <w:bookmarkStart w:id="378" w:name="_Toc332463938"/>
      <w:bookmarkStart w:id="379" w:name="_Toc332467971"/>
      <w:bookmarkStart w:id="380" w:name="_Toc332461168"/>
      <w:bookmarkStart w:id="381" w:name="_Toc332461414"/>
      <w:bookmarkStart w:id="382" w:name="_Toc332461658"/>
      <w:bookmarkStart w:id="383" w:name="_Toc332463443"/>
      <w:bookmarkStart w:id="384" w:name="_Toc332463691"/>
      <w:bookmarkStart w:id="385" w:name="_Toc332463939"/>
      <w:bookmarkStart w:id="386" w:name="_Toc332467972"/>
      <w:bookmarkStart w:id="387" w:name="_Toc332461169"/>
      <w:bookmarkStart w:id="388" w:name="_Toc332461415"/>
      <w:bookmarkStart w:id="389" w:name="_Toc332461659"/>
      <w:bookmarkStart w:id="390" w:name="_Toc332463444"/>
      <w:bookmarkStart w:id="391" w:name="_Toc332463692"/>
      <w:bookmarkStart w:id="392" w:name="_Toc332463940"/>
      <w:bookmarkStart w:id="393" w:name="_Toc332467973"/>
      <w:bookmarkStart w:id="394" w:name="_Toc332461170"/>
      <w:bookmarkStart w:id="395" w:name="_Toc332461416"/>
      <w:bookmarkStart w:id="396" w:name="_Toc332461660"/>
      <w:bookmarkStart w:id="397" w:name="_Toc332463445"/>
      <w:bookmarkStart w:id="398" w:name="_Toc332463693"/>
      <w:bookmarkStart w:id="399" w:name="_Toc332463941"/>
      <w:bookmarkStart w:id="400" w:name="_Toc332467974"/>
      <w:bookmarkStart w:id="401" w:name="_Toc332461175"/>
      <w:bookmarkStart w:id="402" w:name="_Toc332461421"/>
      <w:bookmarkStart w:id="403" w:name="_Toc332461665"/>
      <w:bookmarkStart w:id="404" w:name="_Toc332463450"/>
      <w:bookmarkStart w:id="405" w:name="_Toc332463698"/>
      <w:bookmarkStart w:id="406" w:name="_Toc332463946"/>
      <w:bookmarkStart w:id="407" w:name="_Toc332467979"/>
      <w:bookmarkStart w:id="408" w:name="_Toc332461176"/>
      <w:bookmarkStart w:id="409" w:name="_Toc332461422"/>
      <w:bookmarkStart w:id="410" w:name="_Toc332461666"/>
      <w:bookmarkStart w:id="411" w:name="_Toc332463451"/>
      <w:bookmarkStart w:id="412" w:name="_Toc332463699"/>
      <w:bookmarkStart w:id="413" w:name="_Toc332463947"/>
      <w:bookmarkStart w:id="414" w:name="_Toc332467980"/>
      <w:bookmarkStart w:id="415" w:name="_Toc332461181"/>
      <w:bookmarkStart w:id="416" w:name="_Toc332461427"/>
      <w:bookmarkStart w:id="417" w:name="_Toc332461671"/>
      <w:bookmarkStart w:id="418" w:name="_Toc332463456"/>
      <w:bookmarkStart w:id="419" w:name="_Toc332463704"/>
      <w:bookmarkStart w:id="420" w:name="_Toc332463952"/>
      <w:bookmarkStart w:id="421" w:name="_Toc332467985"/>
      <w:bookmarkStart w:id="422" w:name="_Toc332467993"/>
      <w:bookmarkStart w:id="423" w:name="_Toc332467994"/>
      <w:bookmarkStart w:id="424" w:name="_Toc332467996"/>
      <w:bookmarkStart w:id="425" w:name="_Toc332467997"/>
      <w:bookmarkStart w:id="426" w:name="_Toc332468000"/>
      <w:bookmarkStart w:id="427" w:name="_Toc332468003"/>
      <w:bookmarkStart w:id="428" w:name="_Toc332463469"/>
      <w:bookmarkStart w:id="429" w:name="_Toc332463717"/>
      <w:bookmarkStart w:id="430" w:name="_Toc332463965"/>
      <w:bookmarkStart w:id="431" w:name="_Toc332468004"/>
      <w:bookmarkStart w:id="432" w:name="_Toc332463482"/>
      <w:bookmarkStart w:id="433" w:name="_Toc332463730"/>
      <w:bookmarkStart w:id="434" w:name="_Toc332463978"/>
      <w:bookmarkStart w:id="435" w:name="_Toc332468022"/>
      <w:bookmarkStart w:id="436" w:name="_Toc333408606"/>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r>
        <w:t>Abbreviations table</w:t>
      </w:r>
    </w:p>
    <w:tbl>
      <w:tblPr>
        <w:tblW w:w="8237" w:type="dxa"/>
        <w:tblInd w:w="93" w:type="dxa"/>
        <w:tblLook w:val="04A0" w:firstRow="1" w:lastRow="0" w:firstColumn="1" w:lastColumn="0" w:noHBand="0" w:noVBand="1"/>
      </w:tblPr>
      <w:tblGrid>
        <w:gridCol w:w="2620"/>
        <w:gridCol w:w="5617"/>
      </w:tblGrid>
      <w:tr w:rsidR="00E25502" w:rsidRPr="00AB6A7E" w14:paraId="6D99826E" w14:textId="77777777" w:rsidTr="00E25502">
        <w:trPr>
          <w:trHeight w:val="300"/>
        </w:trPr>
        <w:tc>
          <w:tcPr>
            <w:tcW w:w="2620" w:type="dxa"/>
            <w:tcBorders>
              <w:top w:val="single" w:sz="8" w:space="0" w:color="auto"/>
              <w:left w:val="single" w:sz="8" w:space="0" w:color="auto"/>
              <w:bottom w:val="single" w:sz="8" w:space="0" w:color="auto"/>
              <w:right w:val="single" w:sz="8" w:space="0" w:color="auto"/>
            </w:tcBorders>
            <w:shd w:val="clear" w:color="000000" w:fill="D5DCE4" w:themeFill="text2" w:themeFillTint="33"/>
            <w:vAlign w:val="center"/>
            <w:hideMark/>
          </w:tcPr>
          <w:p w14:paraId="1FFD7719" w14:textId="77777777" w:rsidR="00E25502" w:rsidRPr="00AB6A7E" w:rsidRDefault="00E25502" w:rsidP="00E25502">
            <w:pPr>
              <w:spacing w:after="0" w:line="240" w:lineRule="auto"/>
              <w:rPr>
                <w:rFonts w:ascii="Calibri" w:eastAsia="Times New Roman" w:hAnsi="Calibri" w:cs="Times New Roman"/>
                <w:b/>
                <w:color w:val="000000"/>
                <w:lang w:eastAsia="en-AU"/>
              </w:rPr>
            </w:pPr>
            <w:r w:rsidRPr="00AB6A7E">
              <w:rPr>
                <w:rFonts w:ascii="Calibri" w:eastAsia="Times New Roman" w:hAnsi="Calibri" w:cs="Times New Roman"/>
                <w:b/>
                <w:color w:val="000000"/>
                <w:lang w:eastAsia="en-AU"/>
              </w:rPr>
              <w:t>Abbreviation</w:t>
            </w:r>
          </w:p>
        </w:tc>
        <w:tc>
          <w:tcPr>
            <w:tcW w:w="5617" w:type="dxa"/>
            <w:tcBorders>
              <w:top w:val="single" w:sz="8" w:space="0" w:color="auto"/>
              <w:left w:val="nil"/>
              <w:bottom w:val="single" w:sz="8" w:space="0" w:color="auto"/>
              <w:right w:val="single" w:sz="8" w:space="0" w:color="auto"/>
            </w:tcBorders>
            <w:shd w:val="clear" w:color="000000" w:fill="D5DCE4" w:themeFill="text2" w:themeFillTint="33"/>
            <w:vAlign w:val="center"/>
            <w:hideMark/>
          </w:tcPr>
          <w:p w14:paraId="59CECCF4" w14:textId="77777777" w:rsidR="00E25502" w:rsidRPr="00AB6A7E" w:rsidRDefault="00E25502" w:rsidP="00E25502">
            <w:pPr>
              <w:spacing w:after="0" w:line="240" w:lineRule="auto"/>
              <w:rPr>
                <w:rFonts w:ascii="Calibri" w:eastAsia="Times New Roman" w:hAnsi="Calibri" w:cs="Times New Roman"/>
                <w:b/>
                <w:color w:val="000000"/>
                <w:lang w:eastAsia="en-AU"/>
              </w:rPr>
            </w:pPr>
            <w:r w:rsidRPr="00AB6A7E">
              <w:rPr>
                <w:rFonts w:ascii="Calibri" w:eastAsia="Times New Roman" w:hAnsi="Calibri" w:cs="Times New Roman"/>
                <w:b/>
                <w:color w:val="000000"/>
                <w:lang w:eastAsia="en-AU"/>
              </w:rPr>
              <w:t>Description</w:t>
            </w:r>
          </w:p>
        </w:tc>
      </w:tr>
      <w:tr w:rsidR="00E25502" w:rsidRPr="00AB6A7E" w14:paraId="5485090D" w14:textId="77777777" w:rsidTr="00E25502">
        <w:trPr>
          <w:trHeight w:val="300"/>
        </w:trPr>
        <w:tc>
          <w:tcPr>
            <w:tcW w:w="2620" w:type="dxa"/>
            <w:tcBorders>
              <w:top w:val="nil"/>
              <w:left w:val="single" w:sz="8" w:space="0" w:color="auto"/>
              <w:bottom w:val="single" w:sz="8" w:space="0" w:color="auto"/>
              <w:right w:val="single" w:sz="8" w:space="0" w:color="auto"/>
            </w:tcBorders>
            <w:shd w:val="clear" w:color="auto" w:fill="auto"/>
            <w:vAlign w:val="center"/>
            <w:hideMark/>
          </w:tcPr>
          <w:p w14:paraId="352DB557"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AE</w:t>
            </w:r>
          </w:p>
        </w:tc>
        <w:tc>
          <w:tcPr>
            <w:tcW w:w="5617" w:type="dxa"/>
            <w:tcBorders>
              <w:top w:val="nil"/>
              <w:left w:val="nil"/>
              <w:bottom w:val="single" w:sz="8" w:space="0" w:color="auto"/>
              <w:right w:val="single" w:sz="8" w:space="0" w:color="auto"/>
            </w:tcBorders>
            <w:shd w:val="clear" w:color="auto" w:fill="auto"/>
            <w:noWrap/>
            <w:vAlign w:val="bottom"/>
            <w:hideMark/>
          </w:tcPr>
          <w:p w14:paraId="35929C5A"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Arrow Energy</w:t>
            </w:r>
          </w:p>
        </w:tc>
      </w:tr>
      <w:tr w:rsidR="00E25502" w:rsidRPr="00AB6A7E" w14:paraId="089B91EC" w14:textId="77777777" w:rsidTr="00E25502">
        <w:trPr>
          <w:trHeight w:val="300"/>
        </w:trPr>
        <w:tc>
          <w:tcPr>
            <w:tcW w:w="2620" w:type="dxa"/>
            <w:tcBorders>
              <w:top w:val="nil"/>
              <w:left w:val="single" w:sz="8" w:space="0" w:color="auto"/>
              <w:bottom w:val="single" w:sz="8" w:space="0" w:color="auto"/>
              <w:right w:val="single" w:sz="8" w:space="0" w:color="auto"/>
            </w:tcBorders>
            <w:shd w:val="clear" w:color="auto" w:fill="auto"/>
            <w:vAlign w:val="center"/>
            <w:hideMark/>
          </w:tcPr>
          <w:p w14:paraId="0EB92831"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APLNG</w:t>
            </w:r>
          </w:p>
        </w:tc>
        <w:tc>
          <w:tcPr>
            <w:tcW w:w="5617" w:type="dxa"/>
            <w:tcBorders>
              <w:top w:val="nil"/>
              <w:left w:val="nil"/>
              <w:bottom w:val="single" w:sz="8" w:space="0" w:color="auto"/>
              <w:right w:val="single" w:sz="8" w:space="0" w:color="auto"/>
            </w:tcBorders>
            <w:shd w:val="clear" w:color="auto" w:fill="auto"/>
            <w:noWrap/>
            <w:vAlign w:val="bottom"/>
            <w:hideMark/>
          </w:tcPr>
          <w:p w14:paraId="7047ABED"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Australia Pacific Liquid Natural Gas</w:t>
            </w:r>
          </w:p>
        </w:tc>
      </w:tr>
      <w:tr w:rsidR="00E25502" w:rsidRPr="00AB6A7E" w14:paraId="3E604EF4" w14:textId="77777777" w:rsidTr="00E25502">
        <w:trPr>
          <w:trHeight w:val="300"/>
        </w:trPr>
        <w:tc>
          <w:tcPr>
            <w:tcW w:w="2620" w:type="dxa"/>
            <w:tcBorders>
              <w:top w:val="nil"/>
              <w:left w:val="single" w:sz="8" w:space="0" w:color="auto"/>
              <w:bottom w:val="single" w:sz="8" w:space="0" w:color="auto"/>
              <w:right w:val="single" w:sz="8" w:space="0" w:color="auto"/>
            </w:tcBorders>
            <w:shd w:val="clear" w:color="auto" w:fill="auto"/>
            <w:vAlign w:val="center"/>
          </w:tcPr>
          <w:p w14:paraId="5339B0B9" w14:textId="77777777" w:rsidR="00E25502" w:rsidRPr="00735E39" w:rsidRDefault="00E25502" w:rsidP="00E25502">
            <w:pPr>
              <w:spacing w:after="0" w:line="240" w:lineRule="auto"/>
              <w:rPr>
                <w:rFonts w:ascii="Calibri" w:eastAsia="Times New Roman" w:hAnsi="Calibri" w:cs="Times New Roman"/>
                <w:color w:val="000000"/>
                <w:lang w:eastAsia="en-AU"/>
              </w:rPr>
            </w:pPr>
            <w:r w:rsidRPr="00735E39">
              <w:rPr>
                <w:rFonts w:ascii="Calibri" w:eastAsia="Times New Roman" w:hAnsi="Calibri" w:cs="Times New Roman"/>
                <w:color w:val="000000"/>
                <w:lang w:eastAsia="en-AU"/>
              </w:rPr>
              <w:t>BTEX</w:t>
            </w:r>
          </w:p>
        </w:tc>
        <w:tc>
          <w:tcPr>
            <w:tcW w:w="5617" w:type="dxa"/>
            <w:tcBorders>
              <w:top w:val="nil"/>
              <w:left w:val="nil"/>
              <w:bottom w:val="single" w:sz="8" w:space="0" w:color="auto"/>
              <w:right w:val="single" w:sz="8" w:space="0" w:color="auto"/>
            </w:tcBorders>
            <w:shd w:val="clear" w:color="auto" w:fill="auto"/>
            <w:vAlign w:val="center"/>
          </w:tcPr>
          <w:p w14:paraId="673D8691" w14:textId="77777777" w:rsidR="00E25502" w:rsidRPr="00735E39" w:rsidRDefault="00E25502" w:rsidP="00E25502">
            <w:pPr>
              <w:spacing w:after="0" w:line="240" w:lineRule="auto"/>
              <w:rPr>
                <w:rFonts w:ascii="Calibri" w:eastAsia="Times New Roman" w:hAnsi="Calibri" w:cs="Times New Roman"/>
                <w:color w:val="000000"/>
                <w:lang w:eastAsia="en-AU"/>
              </w:rPr>
            </w:pPr>
            <w:r w:rsidRPr="00735E39">
              <w:rPr>
                <w:rFonts w:ascii="Calibri" w:eastAsia="Times New Roman" w:hAnsi="Calibri" w:cs="Times New Roman"/>
                <w:color w:val="000000"/>
                <w:lang w:eastAsia="en-AU"/>
              </w:rPr>
              <w:t>Benzene, toluene, ethylbenzene and xylene</w:t>
            </w:r>
          </w:p>
        </w:tc>
      </w:tr>
      <w:tr w:rsidR="00E25502" w:rsidRPr="00AB6A7E" w14:paraId="684DA9D6" w14:textId="77777777" w:rsidTr="00E25502">
        <w:trPr>
          <w:trHeight w:val="300"/>
        </w:trPr>
        <w:tc>
          <w:tcPr>
            <w:tcW w:w="2620" w:type="dxa"/>
            <w:tcBorders>
              <w:top w:val="nil"/>
              <w:left w:val="single" w:sz="8" w:space="0" w:color="auto"/>
              <w:bottom w:val="single" w:sz="8" w:space="0" w:color="auto"/>
              <w:right w:val="single" w:sz="8" w:space="0" w:color="auto"/>
            </w:tcBorders>
            <w:shd w:val="clear" w:color="auto" w:fill="auto"/>
            <w:vAlign w:val="center"/>
            <w:hideMark/>
          </w:tcPr>
          <w:p w14:paraId="0FC1BE29"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CBM</w:t>
            </w:r>
          </w:p>
        </w:tc>
        <w:tc>
          <w:tcPr>
            <w:tcW w:w="5617" w:type="dxa"/>
            <w:tcBorders>
              <w:top w:val="nil"/>
              <w:left w:val="nil"/>
              <w:bottom w:val="single" w:sz="8" w:space="0" w:color="auto"/>
              <w:right w:val="single" w:sz="8" w:space="0" w:color="auto"/>
            </w:tcBorders>
            <w:shd w:val="clear" w:color="auto" w:fill="auto"/>
            <w:vAlign w:val="center"/>
            <w:hideMark/>
          </w:tcPr>
          <w:p w14:paraId="16A8E45E"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Coal bed methane</w:t>
            </w:r>
          </w:p>
        </w:tc>
      </w:tr>
      <w:tr w:rsidR="00E25502" w:rsidRPr="00AB6A7E" w14:paraId="074D60C8" w14:textId="77777777" w:rsidTr="00E25502">
        <w:trPr>
          <w:trHeight w:val="300"/>
        </w:trPr>
        <w:tc>
          <w:tcPr>
            <w:tcW w:w="2620" w:type="dxa"/>
            <w:tcBorders>
              <w:top w:val="nil"/>
              <w:left w:val="single" w:sz="8" w:space="0" w:color="auto"/>
              <w:bottom w:val="single" w:sz="8" w:space="0" w:color="auto"/>
              <w:right w:val="single" w:sz="8" w:space="0" w:color="auto"/>
            </w:tcBorders>
            <w:shd w:val="clear" w:color="auto" w:fill="auto"/>
            <w:vAlign w:val="center"/>
            <w:hideMark/>
          </w:tcPr>
          <w:p w14:paraId="06795FB8"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CSG</w:t>
            </w:r>
          </w:p>
        </w:tc>
        <w:tc>
          <w:tcPr>
            <w:tcW w:w="5617" w:type="dxa"/>
            <w:tcBorders>
              <w:top w:val="nil"/>
              <w:left w:val="nil"/>
              <w:bottom w:val="single" w:sz="8" w:space="0" w:color="auto"/>
              <w:right w:val="single" w:sz="8" w:space="0" w:color="auto"/>
            </w:tcBorders>
            <w:shd w:val="clear" w:color="auto" w:fill="auto"/>
            <w:vAlign w:val="center"/>
            <w:hideMark/>
          </w:tcPr>
          <w:p w14:paraId="7959DBAC"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Coal seam gas</w:t>
            </w:r>
          </w:p>
        </w:tc>
      </w:tr>
      <w:tr w:rsidR="00E25502" w:rsidRPr="00AB6A7E" w14:paraId="1C162FF1" w14:textId="77777777" w:rsidTr="00E25502">
        <w:trPr>
          <w:trHeight w:val="300"/>
        </w:trPr>
        <w:tc>
          <w:tcPr>
            <w:tcW w:w="2620" w:type="dxa"/>
            <w:tcBorders>
              <w:top w:val="nil"/>
              <w:left w:val="single" w:sz="8" w:space="0" w:color="auto"/>
              <w:bottom w:val="single" w:sz="8" w:space="0" w:color="auto"/>
              <w:right w:val="single" w:sz="8" w:space="0" w:color="auto"/>
            </w:tcBorders>
            <w:shd w:val="clear" w:color="auto" w:fill="auto"/>
            <w:vAlign w:val="center"/>
            <w:hideMark/>
          </w:tcPr>
          <w:p w14:paraId="3E867F8B"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CSIRO</w:t>
            </w:r>
          </w:p>
        </w:tc>
        <w:tc>
          <w:tcPr>
            <w:tcW w:w="5617" w:type="dxa"/>
            <w:tcBorders>
              <w:top w:val="nil"/>
              <w:left w:val="nil"/>
              <w:bottom w:val="single" w:sz="8" w:space="0" w:color="auto"/>
              <w:right w:val="single" w:sz="8" w:space="0" w:color="auto"/>
            </w:tcBorders>
            <w:shd w:val="clear" w:color="auto" w:fill="auto"/>
            <w:vAlign w:val="center"/>
            <w:hideMark/>
          </w:tcPr>
          <w:p w14:paraId="48D7DBC0"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Commonwealth Scientific and Industrial Research Organisation</w:t>
            </w:r>
          </w:p>
        </w:tc>
      </w:tr>
      <w:tr w:rsidR="00E25502" w:rsidRPr="00AB6A7E" w14:paraId="6CD4C032" w14:textId="77777777" w:rsidTr="00E25502">
        <w:trPr>
          <w:trHeight w:val="300"/>
        </w:trPr>
        <w:tc>
          <w:tcPr>
            <w:tcW w:w="2620" w:type="dxa"/>
            <w:tcBorders>
              <w:top w:val="nil"/>
              <w:left w:val="single" w:sz="8" w:space="0" w:color="auto"/>
              <w:bottom w:val="single" w:sz="8" w:space="0" w:color="auto"/>
              <w:right w:val="single" w:sz="8" w:space="0" w:color="auto"/>
            </w:tcBorders>
            <w:shd w:val="clear" w:color="auto" w:fill="auto"/>
            <w:vAlign w:val="center"/>
            <w:hideMark/>
          </w:tcPr>
          <w:p w14:paraId="1A39E634"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CSP</w:t>
            </w:r>
          </w:p>
        </w:tc>
        <w:tc>
          <w:tcPr>
            <w:tcW w:w="5617" w:type="dxa"/>
            <w:tcBorders>
              <w:top w:val="nil"/>
              <w:left w:val="nil"/>
              <w:bottom w:val="single" w:sz="8" w:space="0" w:color="auto"/>
              <w:right w:val="single" w:sz="8" w:space="0" w:color="auto"/>
            </w:tcBorders>
            <w:shd w:val="clear" w:color="auto" w:fill="auto"/>
            <w:noWrap/>
            <w:vAlign w:val="bottom"/>
            <w:hideMark/>
          </w:tcPr>
          <w:p w14:paraId="3A410E77"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Clay Smear Potential</w:t>
            </w:r>
          </w:p>
        </w:tc>
      </w:tr>
      <w:tr w:rsidR="00E25502" w:rsidRPr="00AB6A7E" w14:paraId="1FC3A7A5" w14:textId="77777777" w:rsidTr="00E25502">
        <w:trPr>
          <w:trHeight w:val="300"/>
        </w:trPr>
        <w:tc>
          <w:tcPr>
            <w:tcW w:w="2620" w:type="dxa"/>
            <w:tcBorders>
              <w:top w:val="nil"/>
              <w:left w:val="single" w:sz="8" w:space="0" w:color="auto"/>
              <w:bottom w:val="single" w:sz="8" w:space="0" w:color="auto"/>
              <w:right w:val="single" w:sz="8" w:space="0" w:color="auto"/>
            </w:tcBorders>
            <w:shd w:val="clear" w:color="auto" w:fill="auto"/>
            <w:vAlign w:val="center"/>
            <w:hideMark/>
          </w:tcPr>
          <w:p w14:paraId="38DE3D9E"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DNAPL</w:t>
            </w:r>
          </w:p>
        </w:tc>
        <w:tc>
          <w:tcPr>
            <w:tcW w:w="5617" w:type="dxa"/>
            <w:tcBorders>
              <w:top w:val="nil"/>
              <w:left w:val="nil"/>
              <w:bottom w:val="single" w:sz="8" w:space="0" w:color="auto"/>
              <w:right w:val="single" w:sz="8" w:space="0" w:color="auto"/>
            </w:tcBorders>
            <w:shd w:val="clear" w:color="auto" w:fill="auto"/>
            <w:vAlign w:val="center"/>
            <w:hideMark/>
          </w:tcPr>
          <w:p w14:paraId="40EEAF30"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Dense non-aqueous phase liquid</w:t>
            </w:r>
          </w:p>
        </w:tc>
      </w:tr>
      <w:tr w:rsidR="00E25502" w:rsidRPr="00AB6A7E" w14:paraId="2D6EF456" w14:textId="77777777" w:rsidTr="00E25502">
        <w:trPr>
          <w:trHeight w:val="300"/>
        </w:trPr>
        <w:tc>
          <w:tcPr>
            <w:tcW w:w="2620" w:type="dxa"/>
            <w:tcBorders>
              <w:top w:val="nil"/>
              <w:left w:val="single" w:sz="8" w:space="0" w:color="auto"/>
              <w:bottom w:val="single" w:sz="8" w:space="0" w:color="auto"/>
              <w:right w:val="single" w:sz="8" w:space="0" w:color="auto"/>
            </w:tcBorders>
            <w:shd w:val="clear" w:color="auto" w:fill="auto"/>
            <w:vAlign w:val="center"/>
            <w:hideMark/>
          </w:tcPr>
          <w:p w14:paraId="30032B4D"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DoE</w:t>
            </w:r>
          </w:p>
        </w:tc>
        <w:tc>
          <w:tcPr>
            <w:tcW w:w="5617" w:type="dxa"/>
            <w:tcBorders>
              <w:top w:val="nil"/>
              <w:left w:val="nil"/>
              <w:bottom w:val="single" w:sz="8" w:space="0" w:color="auto"/>
              <w:right w:val="single" w:sz="8" w:space="0" w:color="auto"/>
            </w:tcBorders>
            <w:shd w:val="clear" w:color="auto" w:fill="auto"/>
            <w:vAlign w:val="center"/>
            <w:hideMark/>
          </w:tcPr>
          <w:p w14:paraId="04A0F1F5"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Department of the Environment</w:t>
            </w:r>
          </w:p>
        </w:tc>
      </w:tr>
      <w:tr w:rsidR="00E25502" w:rsidRPr="00AB6A7E" w14:paraId="1E8C007D" w14:textId="77777777" w:rsidTr="00E25502">
        <w:trPr>
          <w:trHeight w:val="300"/>
        </w:trPr>
        <w:tc>
          <w:tcPr>
            <w:tcW w:w="2620" w:type="dxa"/>
            <w:tcBorders>
              <w:top w:val="nil"/>
              <w:left w:val="single" w:sz="8" w:space="0" w:color="auto"/>
              <w:bottom w:val="single" w:sz="8" w:space="0" w:color="auto"/>
              <w:right w:val="single" w:sz="8" w:space="0" w:color="auto"/>
            </w:tcBorders>
            <w:shd w:val="clear" w:color="auto" w:fill="auto"/>
            <w:vAlign w:val="center"/>
            <w:hideMark/>
          </w:tcPr>
          <w:p w14:paraId="14A040CA"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DST</w:t>
            </w:r>
          </w:p>
        </w:tc>
        <w:tc>
          <w:tcPr>
            <w:tcW w:w="5617" w:type="dxa"/>
            <w:tcBorders>
              <w:top w:val="nil"/>
              <w:left w:val="nil"/>
              <w:bottom w:val="single" w:sz="8" w:space="0" w:color="auto"/>
              <w:right w:val="single" w:sz="8" w:space="0" w:color="auto"/>
            </w:tcBorders>
            <w:shd w:val="clear" w:color="auto" w:fill="auto"/>
            <w:noWrap/>
            <w:vAlign w:val="bottom"/>
            <w:hideMark/>
          </w:tcPr>
          <w:p w14:paraId="62E24C0A"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Drill Stem Test</w:t>
            </w:r>
          </w:p>
        </w:tc>
      </w:tr>
      <w:tr w:rsidR="00E25502" w:rsidRPr="00AB6A7E" w14:paraId="2A3C9CC6" w14:textId="77777777" w:rsidTr="00E25502">
        <w:trPr>
          <w:trHeight w:val="300"/>
        </w:trPr>
        <w:tc>
          <w:tcPr>
            <w:tcW w:w="2620" w:type="dxa"/>
            <w:tcBorders>
              <w:top w:val="nil"/>
              <w:left w:val="single" w:sz="8" w:space="0" w:color="auto"/>
              <w:bottom w:val="single" w:sz="8" w:space="0" w:color="auto"/>
              <w:right w:val="single" w:sz="8" w:space="0" w:color="auto"/>
            </w:tcBorders>
            <w:shd w:val="clear" w:color="auto" w:fill="auto"/>
            <w:vAlign w:val="center"/>
            <w:hideMark/>
          </w:tcPr>
          <w:p w14:paraId="7BFB819D"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FAST</w:t>
            </w:r>
          </w:p>
        </w:tc>
        <w:tc>
          <w:tcPr>
            <w:tcW w:w="5617" w:type="dxa"/>
            <w:tcBorders>
              <w:top w:val="nil"/>
              <w:left w:val="nil"/>
              <w:bottom w:val="single" w:sz="8" w:space="0" w:color="auto"/>
              <w:right w:val="single" w:sz="8" w:space="0" w:color="auto"/>
            </w:tcBorders>
            <w:shd w:val="clear" w:color="auto" w:fill="auto"/>
            <w:noWrap/>
            <w:vAlign w:val="bottom"/>
            <w:hideMark/>
          </w:tcPr>
          <w:p w14:paraId="7AA86BCD"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Fault Analysis Software Tool</w:t>
            </w:r>
          </w:p>
        </w:tc>
      </w:tr>
      <w:tr w:rsidR="00E25502" w:rsidRPr="00AB6A7E" w14:paraId="6DFE11CE" w14:textId="77777777" w:rsidTr="00E25502">
        <w:trPr>
          <w:trHeight w:val="300"/>
        </w:trPr>
        <w:tc>
          <w:tcPr>
            <w:tcW w:w="2620" w:type="dxa"/>
            <w:tcBorders>
              <w:top w:val="nil"/>
              <w:left w:val="single" w:sz="8" w:space="0" w:color="auto"/>
              <w:bottom w:val="single" w:sz="8" w:space="0" w:color="auto"/>
              <w:right w:val="single" w:sz="8" w:space="0" w:color="auto"/>
            </w:tcBorders>
            <w:shd w:val="clear" w:color="auto" w:fill="auto"/>
            <w:vAlign w:val="center"/>
            <w:hideMark/>
          </w:tcPr>
          <w:p w14:paraId="725710CC"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FLAC</w:t>
            </w:r>
          </w:p>
        </w:tc>
        <w:tc>
          <w:tcPr>
            <w:tcW w:w="5617" w:type="dxa"/>
            <w:tcBorders>
              <w:top w:val="nil"/>
              <w:left w:val="nil"/>
              <w:bottom w:val="single" w:sz="8" w:space="0" w:color="auto"/>
              <w:right w:val="single" w:sz="8" w:space="0" w:color="auto"/>
            </w:tcBorders>
            <w:shd w:val="clear" w:color="auto" w:fill="auto"/>
            <w:noWrap/>
            <w:vAlign w:val="bottom"/>
            <w:hideMark/>
          </w:tcPr>
          <w:p w14:paraId="112C5D25"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Fast Lagrangian Analysis of Continua</w:t>
            </w:r>
          </w:p>
        </w:tc>
      </w:tr>
      <w:tr w:rsidR="00E25502" w:rsidRPr="00AB6A7E" w14:paraId="306315B3" w14:textId="77777777" w:rsidTr="00E25502">
        <w:trPr>
          <w:trHeight w:val="300"/>
        </w:trPr>
        <w:tc>
          <w:tcPr>
            <w:tcW w:w="2620" w:type="dxa"/>
            <w:tcBorders>
              <w:top w:val="nil"/>
              <w:left w:val="single" w:sz="8" w:space="0" w:color="auto"/>
              <w:bottom w:val="single" w:sz="8" w:space="0" w:color="auto"/>
              <w:right w:val="single" w:sz="8" w:space="0" w:color="auto"/>
            </w:tcBorders>
            <w:shd w:val="clear" w:color="auto" w:fill="auto"/>
            <w:vAlign w:val="center"/>
            <w:hideMark/>
          </w:tcPr>
          <w:p w14:paraId="46FE02F9"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FWL</w:t>
            </w:r>
          </w:p>
        </w:tc>
        <w:tc>
          <w:tcPr>
            <w:tcW w:w="5617" w:type="dxa"/>
            <w:tcBorders>
              <w:top w:val="nil"/>
              <w:left w:val="nil"/>
              <w:bottom w:val="single" w:sz="8" w:space="0" w:color="auto"/>
              <w:right w:val="single" w:sz="8" w:space="0" w:color="auto"/>
            </w:tcBorders>
            <w:shd w:val="clear" w:color="auto" w:fill="auto"/>
            <w:vAlign w:val="center"/>
            <w:hideMark/>
          </w:tcPr>
          <w:p w14:paraId="19C4DD1B"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Free Water Level</w:t>
            </w:r>
          </w:p>
        </w:tc>
      </w:tr>
      <w:tr w:rsidR="00E25502" w:rsidRPr="00AB6A7E" w14:paraId="351C8152" w14:textId="77777777" w:rsidTr="00E25502">
        <w:trPr>
          <w:trHeight w:val="300"/>
        </w:trPr>
        <w:tc>
          <w:tcPr>
            <w:tcW w:w="2620" w:type="dxa"/>
            <w:tcBorders>
              <w:top w:val="nil"/>
              <w:left w:val="single" w:sz="8" w:space="0" w:color="auto"/>
              <w:bottom w:val="single" w:sz="8" w:space="0" w:color="auto"/>
              <w:right w:val="single" w:sz="8" w:space="0" w:color="auto"/>
            </w:tcBorders>
            <w:shd w:val="clear" w:color="auto" w:fill="auto"/>
            <w:vAlign w:val="center"/>
            <w:hideMark/>
          </w:tcPr>
          <w:p w14:paraId="6444330A"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GAB</w:t>
            </w:r>
          </w:p>
        </w:tc>
        <w:tc>
          <w:tcPr>
            <w:tcW w:w="5617" w:type="dxa"/>
            <w:tcBorders>
              <w:top w:val="nil"/>
              <w:left w:val="nil"/>
              <w:bottom w:val="single" w:sz="8" w:space="0" w:color="auto"/>
              <w:right w:val="single" w:sz="8" w:space="0" w:color="auto"/>
            </w:tcBorders>
            <w:shd w:val="clear" w:color="auto" w:fill="auto"/>
            <w:vAlign w:val="center"/>
            <w:hideMark/>
          </w:tcPr>
          <w:p w14:paraId="2766FD9F"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Great Artesian Basin</w:t>
            </w:r>
          </w:p>
        </w:tc>
      </w:tr>
      <w:tr w:rsidR="00E25502" w:rsidRPr="00AB6A7E" w14:paraId="65A98305" w14:textId="77777777" w:rsidTr="00E25502">
        <w:trPr>
          <w:trHeight w:val="510"/>
        </w:trPr>
        <w:tc>
          <w:tcPr>
            <w:tcW w:w="2620" w:type="dxa"/>
            <w:tcBorders>
              <w:top w:val="nil"/>
              <w:left w:val="single" w:sz="8" w:space="0" w:color="auto"/>
              <w:bottom w:val="single" w:sz="8" w:space="0" w:color="auto"/>
              <w:right w:val="single" w:sz="8" w:space="0" w:color="auto"/>
            </w:tcBorders>
            <w:shd w:val="clear" w:color="auto" w:fill="auto"/>
            <w:vAlign w:val="center"/>
            <w:hideMark/>
          </w:tcPr>
          <w:p w14:paraId="219A0859"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IESC</w:t>
            </w:r>
          </w:p>
        </w:tc>
        <w:tc>
          <w:tcPr>
            <w:tcW w:w="5617" w:type="dxa"/>
            <w:tcBorders>
              <w:top w:val="nil"/>
              <w:left w:val="nil"/>
              <w:bottom w:val="single" w:sz="8" w:space="0" w:color="auto"/>
              <w:right w:val="single" w:sz="8" w:space="0" w:color="auto"/>
            </w:tcBorders>
            <w:shd w:val="clear" w:color="auto" w:fill="auto"/>
            <w:vAlign w:val="center"/>
            <w:hideMark/>
          </w:tcPr>
          <w:p w14:paraId="2D3F04D7"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Independent Expert Scientific Committee on Coal Seam Gas and Large Coal Mining Development</w:t>
            </w:r>
          </w:p>
        </w:tc>
      </w:tr>
      <w:tr w:rsidR="00E25502" w:rsidRPr="00AB6A7E" w14:paraId="00F7B16C" w14:textId="77777777" w:rsidTr="00E25502">
        <w:trPr>
          <w:trHeight w:val="300"/>
        </w:trPr>
        <w:tc>
          <w:tcPr>
            <w:tcW w:w="2620" w:type="dxa"/>
            <w:tcBorders>
              <w:top w:val="nil"/>
              <w:left w:val="single" w:sz="8" w:space="0" w:color="auto"/>
              <w:bottom w:val="single" w:sz="8" w:space="0" w:color="auto"/>
              <w:right w:val="single" w:sz="8" w:space="0" w:color="auto"/>
            </w:tcBorders>
            <w:shd w:val="clear" w:color="auto" w:fill="auto"/>
            <w:vAlign w:val="center"/>
            <w:hideMark/>
          </w:tcPr>
          <w:p w14:paraId="33144BA1"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 xml:space="preserve">IPETS </w:t>
            </w:r>
          </w:p>
        </w:tc>
        <w:tc>
          <w:tcPr>
            <w:tcW w:w="5617" w:type="dxa"/>
            <w:tcBorders>
              <w:top w:val="nil"/>
              <w:left w:val="nil"/>
              <w:bottom w:val="single" w:sz="8" w:space="0" w:color="auto"/>
              <w:right w:val="single" w:sz="8" w:space="0" w:color="auto"/>
            </w:tcBorders>
            <w:shd w:val="clear" w:color="auto" w:fill="auto"/>
            <w:vAlign w:val="center"/>
            <w:hideMark/>
          </w:tcPr>
          <w:p w14:paraId="2CA64026"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Integrated Predictive Evaluation of Traps and Seals</w:t>
            </w:r>
          </w:p>
        </w:tc>
      </w:tr>
      <w:tr w:rsidR="00E25502" w:rsidRPr="00AB6A7E" w14:paraId="04C68253" w14:textId="77777777" w:rsidTr="00E25502">
        <w:trPr>
          <w:trHeight w:val="300"/>
        </w:trPr>
        <w:tc>
          <w:tcPr>
            <w:tcW w:w="2620" w:type="dxa"/>
            <w:tcBorders>
              <w:top w:val="nil"/>
              <w:left w:val="single" w:sz="8" w:space="0" w:color="auto"/>
              <w:bottom w:val="single" w:sz="8" w:space="0" w:color="auto"/>
              <w:right w:val="single" w:sz="8" w:space="0" w:color="auto"/>
            </w:tcBorders>
            <w:shd w:val="clear" w:color="auto" w:fill="auto"/>
            <w:vAlign w:val="center"/>
            <w:hideMark/>
          </w:tcPr>
          <w:p w14:paraId="395E37E1"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MDT</w:t>
            </w:r>
          </w:p>
        </w:tc>
        <w:tc>
          <w:tcPr>
            <w:tcW w:w="5617" w:type="dxa"/>
            <w:tcBorders>
              <w:top w:val="nil"/>
              <w:left w:val="nil"/>
              <w:bottom w:val="single" w:sz="8" w:space="0" w:color="auto"/>
              <w:right w:val="single" w:sz="8" w:space="0" w:color="auto"/>
            </w:tcBorders>
            <w:shd w:val="clear" w:color="auto" w:fill="auto"/>
            <w:vAlign w:val="center"/>
            <w:hideMark/>
          </w:tcPr>
          <w:p w14:paraId="6E927CB1"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 xml:space="preserve">Modular Dynamic Test </w:t>
            </w:r>
          </w:p>
        </w:tc>
      </w:tr>
      <w:tr w:rsidR="00E25502" w:rsidRPr="00AB6A7E" w14:paraId="02B89E38" w14:textId="77777777" w:rsidTr="00E25502">
        <w:trPr>
          <w:trHeight w:val="300"/>
        </w:trPr>
        <w:tc>
          <w:tcPr>
            <w:tcW w:w="2620" w:type="dxa"/>
            <w:tcBorders>
              <w:top w:val="nil"/>
              <w:left w:val="single" w:sz="8" w:space="0" w:color="auto"/>
              <w:bottom w:val="single" w:sz="8" w:space="0" w:color="auto"/>
              <w:right w:val="single" w:sz="8" w:space="0" w:color="auto"/>
            </w:tcBorders>
            <w:shd w:val="clear" w:color="auto" w:fill="auto"/>
            <w:vAlign w:val="center"/>
            <w:hideMark/>
          </w:tcPr>
          <w:p w14:paraId="4E824C8B"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MICP</w:t>
            </w:r>
          </w:p>
        </w:tc>
        <w:tc>
          <w:tcPr>
            <w:tcW w:w="5617" w:type="dxa"/>
            <w:tcBorders>
              <w:top w:val="nil"/>
              <w:left w:val="nil"/>
              <w:bottom w:val="single" w:sz="8" w:space="0" w:color="auto"/>
              <w:right w:val="single" w:sz="8" w:space="0" w:color="auto"/>
            </w:tcBorders>
            <w:shd w:val="clear" w:color="auto" w:fill="auto"/>
            <w:vAlign w:val="center"/>
            <w:hideMark/>
          </w:tcPr>
          <w:p w14:paraId="77BF58A5"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 xml:space="preserve">Mercury Injection Capillary Pressure </w:t>
            </w:r>
          </w:p>
        </w:tc>
      </w:tr>
      <w:tr w:rsidR="00E25502" w:rsidRPr="00AB6A7E" w14:paraId="406FC95B" w14:textId="77777777" w:rsidTr="00E25502">
        <w:trPr>
          <w:trHeight w:val="300"/>
        </w:trPr>
        <w:tc>
          <w:tcPr>
            <w:tcW w:w="2620" w:type="dxa"/>
            <w:tcBorders>
              <w:top w:val="nil"/>
              <w:left w:val="single" w:sz="8" w:space="0" w:color="auto"/>
              <w:bottom w:val="single" w:sz="8" w:space="0" w:color="auto"/>
              <w:right w:val="single" w:sz="8" w:space="0" w:color="auto"/>
            </w:tcBorders>
            <w:shd w:val="clear" w:color="auto" w:fill="auto"/>
            <w:vAlign w:val="center"/>
            <w:hideMark/>
          </w:tcPr>
          <w:p w14:paraId="7F9A6996"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NAPL</w:t>
            </w:r>
          </w:p>
        </w:tc>
        <w:tc>
          <w:tcPr>
            <w:tcW w:w="5617" w:type="dxa"/>
            <w:tcBorders>
              <w:top w:val="nil"/>
              <w:left w:val="nil"/>
              <w:bottom w:val="single" w:sz="8" w:space="0" w:color="auto"/>
              <w:right w:val="single" w:sz="8" w:space="0" w:color="auto"/>
            </w:tcBorders>
            <w:shd w:val="clear" w:color="auto" w:fill="auto"/>
            <w:vAlign w:val="center"/>
            <w:hideMark/>
          </w:tcPr>
          <w:p w14:paraId="61D195E1"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Non-aqueous phase liquid, such as petroleum</w:t>
            </w:r>
          </w:p>
        </w:tc>
      </w:tr>
      <w:tr w:rsidR="00E25502" w:rsidRPr="00AB6A7E" w14:paraId="667A9621" w14:textId="77777777" w:rsidTr="00E25502">
        <w:trPr>
          <w:trHeight w:val="300"/>
        </w:trPr>
        <w:tc>
          <w:tcPr>
            <w:tcW w:w="2620" w:type="dxa"/>
            <w:tcBorders>
              <w:top w:val="nil"/>
              <w:left w:val="single" w:sz="8" w:space="0" w:color="auto"/>
              <w:bottom w:val="single" w:sz="8" w:space="0" w:color="auto"/>
              <w:right w:val="single" w:sz="8" w:space="0" w:color="auto"/>
            </w:tcBorders>
            <w:shd w:val="clear" w:color="auto" w:fill="auto"/>
            <w:vAlign w:val="center"/>
            <w:hideMark/>
          </w:tcPr>
          <w:p w14:paraId="1B8C8220"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NSW</w:t>
            </w:r>
          </w:p>
        </w:tc>
        <w:tc>
          <w:tcPr>
            <w:tcW w:w="5617" w:type="dxa"/>
            <w:tcBorders>
              <w:top w:val="nil"/>
              <w:left w:val="nil"/>
              <w:bottom w:val="single" w:sz="8" w:space="0" w:color="auto"/>
              <w:right w:val="single" w:sz="8" w:space="0" w:color="auto"/>
            </w:tcBorders>
            <w:shd w:val="clear" w:color="auto" w:fill="auto"/>
            <w:vAlign w:val="center"/>
            <w:hideMark/>
          </w:tcPr>
          <w:p w14:paraId="7868C5D6"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New South Wales</w:t>
            </w:r>
          </w:p>
        </w:tc>
      </w:tr>
      <w:tr w:rsidR="00E25502" w:rsidRPr="00AB6A7E" w14:paraId="175BE7A8" w14:textId="77777777" w:rsidTr="00E25502">
        <w:trPr>
          <w:trHeight w:val="300"/>
        </w:trPr>
        <w:tc>
          <w:tcPr>
            <w:tcW w:w="2620" w:type="dxa"/>
            <w:tcBorders>
              <w:top w:val="nil"/>
              <w:left w:val="single" w:sz="8" w:space="0" w:color="auto"/>
              <w:bottom w:val="single" w:sz="8" w:space="0" w:color="auto"/>
              <w:right w:val="single" w:sz="8" w:space="0" w:color="auto"/>
            </w:tcBorders>
            <w:shd w:val="clear" w:color="auto" w:fill="auto"/>
            <w:vAlign w:val="center"/>
            <w:hideMark/>
          </w:tcPr>
          <w:p w14:paraId="07DE65B4"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NW</w:t>
            </w:r>
          </w:p>
        </w:tc>
        <w:tc>
          <w:tcPr>
            <w:tcW w:w="5617" w:type="dxa"/>
            <w:tcBorders>
              <w:top w:val="nil"/>
              <w:left w:val="nil"/>
              <w:bottom w:val="single" w:sz="8" w:space="0" w:color="auto"/>
              <w:right w:val="single" w:sz="8" w:space="0" w:color="auto"/>
            </w:tcBorders>
            <w:shd w:val="clear" w:color="auto" w:fill="auto"/>
            <w:vAlign w:val="center"/>
            <w:hideMark/>
          </w:tcPr>
          <w:p w14:paraId="79F06B93"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North West</w:t>
            </w:r>
          </w:p>
        </w:tc>
      </w:tr>
      <w:tr w:rsidR="00E25502" w:rsidRPr="00AB6A7E" w14:paraId="0955A15C" w14:textId="77777777" w:rsidTr="00E25502">
        <w:trPr>
          <w:trHeight w:val="300"/>
        </w:trPr>
        <w:tc>
          <w:tcPr>
            <w:tcW w:w="2620" w:type="dxa"/>
            <w:tcBorders>
              <w:top w:val="nil"/>
              <w:left w:val="single" w:sz="8" w:space="0" w:color="auto"/>
              <w:bottom w:val="single" w:sz="8" w:space="0" w:color="auto"/>
              <w:right w:val="single" w:sz="8" w:space="0" w:color="auto"/>
            </w:tcBorders>
            <w:shd w:val="clear" w:color="auto" w:fill="auto"/>
            <w:vAlign w:val="center"/>
            <w:hideMark/>
          </w:tcPr>
          <w:p w14:paraId="3BD2D83F"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OWC</w:t>
            </w:r>
          </w:p>
        </w:tc>
        <w:tc>
          <w:tcPr>
            <w:tcW w:w="5617" w:type="dxa"/>
            <w:tcBorders>
              <w:top w:val="nil"/>
              <w:left w:val="nil"/>
              <w:bottom w:val="single" w:sz="8" w:space="0" w:color="auto"/>
              <w:right w:val="single" w:sz="8" w:space="0" w:color="auto"/>
            </w:tcBorders>
            <w:shd w:val="clear" w:color="auto" w:fill="auto"/>
            <w:vAlign w:val="center"/>
            <w:hideMark/>
          </w:tcPr>
          <w:p w14:paraId="22BEB5EA"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Oil-water contact</w:t>
            </w:r>
          </w:p>
        </w:tc>
      </w:tr>
      <w:tr w:rsidR="00E25502" w:rsidRPr="00AB6A7E" w14:paraId="753A4273" w14:textId="77777777" w:rsidTr="00E25502">
        <w:trPr>
          <w:trHeight w:val="300"/>
        </w:trPr>
        <w:tc>
          <w:tcPr>
            <w:tcW w:w="2620" w:type="dxa"/>
            <w:tcBorders>
              <w:top w:val="nil"/>
              <w:left w:val="single" w:sz="8" w:space="0" w:color="auto"/>
              <w:bottom w:val="single" w:sz="8" w:space="0" w:color="auto"/>
              <w:right w:val="single" w:sz="8" w:space="0" w:color="auto"/>
            </w:tcBorders>
            <w:shd w:val="clear" w:color="auto" w:fill="auto"/>
            <w:vAlign w:val="center"/>
            <w:hideMark/>
          </w:tcPr>
          <w:p w14:paraId="351C079C"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POWC</w:t>
            </w:r>
          </w:p>
        </w:tc>
        <w:tc>
          <w:tcPr>
            <w:tcW w:w="5617" w:type="dxa"/>
            <w:tcBorders>
              <w:top w:val="nil"/>
              <w:left w:val="nil"/>
              <w:bottom w:val="single" w:sz="8" w:space="0" w:color="auto"/>
              <w:right w:val="single" w:sz="8" w:space="0" w:color="auto"/>
            </w:tcBorders>
            <w:shd w:val="clear" w:color="auto" w:fill="auto"/>
            <w:vAlign w:val="center"/>
            <w:hideMark/>
          </w:tcPr>
          <w:p w14:paraId="0F5CC690"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Present oil-water contact</w:t>
            </w:r>
          </w:p>
        </w:tc>
      </w:tr>
      <w:tr w:rsidR="00E25502" w:rsidRPr="00AB6A7E" w14:paraId="1537EAB0" w14:textId="77777777" w:rsidTr="00E25502">
        <w:trPr>
          <w:trHeight w:val="300"/>
        </w:trPr>
        <w:tc>
          <w:tcPr>
            <w:tcW w:w="2620" w:type="dxa"/>
            <w:tcBorders>
              <w:top w:val="nil"/>
              <w:left w:val="single" w:sz="8" w:space="0" w:color="auto"/>
              <w:bottom w:val="single" w:sz="8" w:space="0" w:color="auto"/>
              <w:right w:val="single" w:sz="8" w:space="0" w:color="auto"/>
            </w:tcBorders>
            <w:shd w:val="clear" w:color="auto" w:fill="auto"/>
            <w:vAlign w:val="center"/>
            <w:hideMark/>
          </w:tcPr>
          <w:p w14:paraId="57142233"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QGC</w:t>
            </w:r>
          </w:p>
        </w:tc>
        <w:tc>
          <w:tcPr>
            <w:tcW w:w="5617" w:type="dxa"/>
            <w:tcBorders>
              <w:top w:val="nil"/>
              <w:left w:val="nil"/>
              <w:bottom w:val="single" w:sz="8" w:space="0" w:color="auto"/>
              <w:right w:val="single" w:sz="8" w:space="0" w:color="auto"/>
            </w:tcBorders>
            <w:shd w:val="clear" w:color="auto" w:fill="auto"/>
            <w:vAlign w:val="center"/>
            <w:hideMark/>
          </w:tcPr>
          <w:p w14:paraId="3A70D213"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Queensland Gas Company</w:t>
            </w:r>
          </w:p>
        </w:tc>
      </w:tr>
      <w:tr w:rsidR="00E25502" w:rsidRPr="00AB6A7E" w14:paraId="1B7C1A72" w14:textId="77777777" w:rsidTr="00E25502">
        <w:trPr>
          <w:trHeight w:val="300"/>
        </w:trPr>
        <w:tc>
          <w:tcPr>
            <w:tcW w:w="2620" w:type="dxa"/>
            <w:tcBorders>
              <w:top w:val="nil"/>
              <w:left w:val="single" w:sz="8" w:space="0" w:color="auto"/>
              <w:bottom w:val="single" w:sz="8" w:space="0" w:color="auto"/>
              <w:right w:val="single" w:sz="8" w:space="0" w:color="auto"/>
            </w:tcBorders>
            <w:shd w:val="clear" w:color="auto" w:fill="auto"/>
            <w:vAlign w:val="center"/>
            <w:hideMark/>
          </w:tcPr>
          <w:p w14:paraId="1D3315DE"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QWC</w:t>
            </w:r>
          </w:p>
        </w:tc>
        <w:tc>
          <w:tcPr>
            <w:tcW w:w="5617" w:type="dxa"/>
            <w:tcBorders>
              <w:top w:val="nil"/>
              <w:left w:val="nil"/>
              <w:bottom w:val="single" w:sz="8" w:space="0" w:color="auto"/>
              <w:right w:val="single" w:sz="8" w:space="0" w:color="auto"/>
            </w:tcBorders>
            <w:shd w:val="clear" w:color="auto" w:fill="auto"/>
            <w:vAlign w:val="center"/>
            <w:hideMark/>
          </w:tcPr>
          <w:p w14:paraId="4BDA9467"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Queensland Water Commission</w:t>
            </w:r>
          </w:p>
        </w:tc>
      </w:tr>
      <w:tr w:rsidR="00E25502" w:rsidRPr="00AB6A7E" w14:paraId="13D23195" w14:textId="77777777" w:rsidTr="00E25502">
        <w:trPr>
          <w:trHeight w:val="300"/>
        </w:trPr>
        <w:tc>
          <w:tcPr>
            <w:tcW w:w="2620" w:type="dxa"/>
            <w:tcBorders>
              <w:top w:val="nil"/>
              <w:left w:val="single" w:sz="8" w:space="0" w:color="auto"/>
              <w:bottom w:val="single" w:sz="8" w:space="0" w:color="auto"/>
              <w:right w:val="single" w:sz="8" w:space="0" w:color="auto"/>
            </w:tcBorders>
            <w:shd w:val="clear" w:color="auto" w:fill="auto"/>
            <w:vAlign w:val="center"/>
            <w:hideMark/>
          </w:tcPr>
          <w:p w14:paraId="030F57E4"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RFT</w:t>
            </w:r>
          </w:p>
        </w:tc>
        <w:tc>
          <w:tcPr>
            <w:tcW w:w="5617" w:type="dxa"/>
            <w:tcBorders>
              <w:top w:val="nil"/>
              <w:left w:val="nil"/>
              <w:bottom w:val="single" w:sz="8" w:space="0" w:color="auto"/>
              <w:right w:val="single" w:sz="8" w:space="0" w:color="auto"/>
            </w:tcBorders>
            <w:shd w:val="clear" w:color="auto" w:fill="auto"/>
            <w:vAlign w:val="center"/>
            <w:hideMark/>
          </w:tcPr>
          <w:p w14:paraId="7EAB7C73"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Repeat Formation Test</w:t>
            </w:r>
          </w:p>
        </w:tc>
      </w:tr>
      <w:tr w:rsidR="00E25502" w:rsidRPr="00AB6A7E" w14:paraId="6BFB7533" w14:textId="77777777" w:rsidTr="00E25502">
        <w:trPr>
          <w:trHeight w:val="300"/>
        </w:trPr>
        <w:tc>
          <w:tcPr>
            <w:tcW w:w="2620" w:type="dxa"/>
            <w:tcBorders>
              <w:top w:val="nil"/>
              <w:left w:val="single" w:sz="8" w:space="0" w:color="auto"/>
              <w:bottom w:val="single" w:sz="8" w:space="0" w:color="auto"/>
              <w:right w:val="single" w:sz="8" w:space="0" w:color="auto"/>
            </w:tcBorders>
            <w:shd w:val="clear" w:color="auto" w:fill="auto"/>
            <w:vAlign w:val="center"/>
            <w:hideMark/>
          </w:tcPr>
          <w:p w14:paraId="01C4D79B"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 xml:space="preserve">SE </w:t>
            </w:r>
          </w:p>
        </w:tc>
        <w:tc>
          <w:tcPr>
            <w:tcW w:w="5617" w:type="dxa"/>
            <w:tcBorders>
              <w:top w:val="nil"/>
              <w:left w:val="nil"/>
              <w:bottom w:val="single" w:sz="8" w:space="0" w:color="auto"/>
              <w:right w:val="single" w:sz="8" w:space="0" w:color="auto"/>
            </w:tcBorders>
            <w:shd w:val="clear" w:color="auto" w:fill="auto"/>
            <w:vAlign w:val="center"/>
            <w:hideMark/>
          </w:tcPr>
          <w:p w14:paraId="77900ACE"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South East</w:t>
            </w:r>
          </w:p>
        </w:tc>
      </w:tr>
      <w:tr w:rsidR="00E25502" w:rsidRPr="00AB6A7E" w14:paraId="777EED0F" w14:textId="77777777" w:rsidTr="00E25502">
        <w:trPr>
          <w:trHeight w:val="300"/>
        </w:trPr>
        <w:tc>
          <w:tcPr>
            <w:tcW w:w="2620" w:type="dxa"/>
            <w:tcBorders>
              <w:top w:val="nil"/>
              <w:left w:val="single" w:sz="8" w:space="0" w:color="auto"/>
              <w:bottom w:val="single" w:sz="8" w:space="0" w:color="auto"/>
              <w:right w:val="single" w:sz="8" w:space="0" w:color="auto"/>
            </w:tcBorders>
            <w:shd w:val="clear" w:color="auto" w:fill="auto"/>
            <w:vAlign w:val="center"/>
            <w:hideMark/>
          </w:tcPr>
          <w:p w14:paraId="28CC19BE"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SGR</w:t>
            </w:r>
          </w:p>
        </w:tc>
        <w:tc>
          <w:tcPr>
            <w:tcW w:w="5617" w:type="dxa"/>
            <w:tcBorders>
              <w:top w:val="nil"/>
              <w:left w:val="nil"/>
              <w:bottom w:val="single" w:sz="8" w:space="0" w:color="auto"/>
              <w:right w:val="single" w:sz="8" w:space="0" w:color="auto"/>
            </w:tcBorders>
            <w:shd w:val="clear" w:color="auto" w:fill="auto"/>
            <w:vAlign w:val="center"/>
            <w:hideMark/>
          </w:tcPr>
          <w:p w14:paraId="39045D60"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Shale Gouge Ratio</w:t>
            </w:r>
          </w:p>
        </w:tc>
      </w:tr>
      <w:tr w:rsidR="00E25502" w:rsidRPr="00AB6A7E" w14:paraId="74E41D55" w14:textId="77777777" w:rsidTr="00E25502">
        <w:trPr>
          <w:trHeight w:val="300"/>
        </w:trPr>
        <w:tc>
          <w:tcPr>
            <w:tcW w:w="2620" w:type="dxa"/>
            <w:tcBorders>
              <w:top w:val="nil"/>
              <w:left w:val="single" w:sz="8" w:space="0" w:color="auto"/>
              <w:bottom w:val="single" w:sz="8" w:space="0" w:color="auto"/>
              <w:right w:val="single" w:sz="8" w:space="0" w:color="auto"/>
            </w:tcBorders>
            <w:shd w:val="clear" w:color="auto" w:fill="auto"/>
            <w:vAlign w:val="center"/>
            <w:hideMark/>
          </w:tcPr>
          <w:p w14:paraId="5B5959B3"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SSF</w:t>
            </w:r>
          </w:p>
        </w:tc>
        <w:tc>
          <w:tcPr>
            <w:tcW w:w="5617" w:type="dxa"/>
            <w:tcBorders>
              <w:top w:val="nil"/>
              <w:left w:val="nil"/>
              <w:bottom w:val="single" w:sz="8" w:space="0" w:color="auto"/>
              <w:right w:val="single" w:sz="8" w:space="0" w:color="auto"/>
            </w:tcBorders>
            <w:shd w:val="clear" w:color="auto" w:fill="auto"/>
            <w:vAlign w:val="center"/>
            <w:hideMark/>
          </w:tcPr>
          <w:p w14:paraId="0DD30E9C"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Shale Smear Factor</w:t>
            </w:r>
          </w:p>
        </w:tc>
      </w:tr>
      <w:tr w:rsidR="00E25502" w:rsidRPr="00AB6A7E" w14:paraId="30EB0B9E" w14:textId="77777777" w:rsidTr="00E25502">
        <w:trPr>
          <w:trHeight w:val="300"/>
        </w:trPr>
        <w:tc>
          <w:tcPr>
            <w:tcW w:w="2620" w:type="dxa"/>
            <w:tcBorders>
              <w:top w:val="nil"/>
              <w:left w:val="single" w:sz="8" w:space="0" w:color="auto"/>
              <w:bottom w:val="single" w:sz="8" w:space="0" w:color="auto"/>
              <w:right w:val="single" w:sz="8" w:space="0" w:color="auto"/>
            </w:tcBorders>
            <w:shd w:val="clear" w:color="auto" w:fill="auto"/>
            <w:vAlign w:val="center"/>
            <w:hideMark/>
          </w:tcPr>
          <w:p w14:paraId="6E463B97"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SW</w:t>
            </w:r>
          </w:p>
        </w:tc>
        <w:tc>
          <w:tcPr>
            <w:tcW w:w="5617" w:type="dxa"/>
            <w:tcBorders>
              <w:top w:val="nil"/>
              <w:left w:val="nil"/>
              <w:bottom w:val="single" w:sz="8" w:space="0" w:color="auto"/>
              <w:right w:val="single" w:sz="8" w:space="0" w:color="auto"/>
            </w:tcBorders>
            <w:shd w:val="clear" w:color="auto" w:fill="auto"/>
            <w:vAlign w:val="center"/>
            <w:hideMark/>
          </w:tcPr>
          <w:p w14:paraId="1768F77C"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South West</w:t>
            </w:r>
          </w:p>
        </w:tc>
      </w:tr>
      <w:tr w:rsidR="00E25502" w:rsidRPr="00AB6A7E" w14:paraId="7928D31D" w14:textId="77777777" w:rsidTr="00E25502">
        <w:trPr>
          <w:trHeight w:val="300"/>
        </w:trPr>
        <w:tc>
          <w:tcPr>
            <w:tcW w:w="2620" w:type="dxa"/>
            <w:tcBorders>
              <w:top w:val="nil"/>
              <w:left w:val="single" w:sz="8" w:space="0" w:color="auto"/>
              <w:bottom w:val="single" w:sz="8" w:space="0" w:color="auto"/>
              <w:right w:val="single" w:sz="8" w:space="0" w:color="auto"/>
            </w:tcBorders>
            <w:shd w:val="clear" w:color="auto" w:fill="auto"/>
            <w:vAlign w:val="center"/>
            <w:hideMark/>
          </w:tcPr>
          <w:p w14:paraId="44296F62"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WLT</w:t>
            </w:r>
          </w:p>
        </w:tc>
        <w:tc>
          <w:tcPr>
            <w:tcW w:w="5617" w:type="dxa"/>
            <w:tcBorders>
              <w:top w:val="nil"/>
              <w:left w:val="nil"/>
              <w:bottom w:val="single" w:sz="8" w:space="0" w:color="auto"/>
              <w:right w:val="single" w:sz="8" w:space="0" w:color="auto"/>
            </w:tcBorders>
            <w:shd w:val="clear" w:color="auto" w:fill="auto"/>
            <w:vAlign w:val="center"/>
            <w:hideMark/>
          </w:tcPr>
          <w:p w14:paraId="04A2EB48"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Wireline Test</w:t>
            </w:r>
          </w:p>
        </w:tc>
      </w:tr>
    </w:tbl>
    <w:p w14:paraId="2E37F4F3" w14:textId="77777777" w:rsidR="00E25502" w:rsidRDefault="00E25502" w:rsidP="00E25502"/>
    <w:p w14:paraId="33BCDA08" w14:textId="77777777" w:rsidR="00E25502" w:rsidRDefault="00E25502" w:rsidP="00E25502"/>
    <w:p w14:paraId="6F0530E2" w14:textId="77777777" w:rsidR="00E25502" w:rsidRDefault="00E25502" w:rsidP="00E25502">
      <w:r>
        <w:br w:type="page"/>
      </w:r>
    </w:p>
    <w:p w14:paraId="35312EFC" w14:textId="77777777" w:rsidR="00E25502" w:rsidRPr="00AB6A7E" w:rsidRDefault="00E25502" w:rsidP="003B1DC9">
      <w:pPr>
        <w:pStyle w:val="Heading1NoTOC"/>
      </w:pPr>
      <w:r w:rsidRPr="00AB6A7E">
        <w:lastRenderedPageBreak/>
        <w:t>Symbols table</w:t>
      </w:r>
    </w:p>
    <w:tbl>
      <w:tblPr>
        <w:tblW w:w="7260" w:type="dxa"/>
        <w:tblInd w:w="93" w:type="dxa"/>
        <w:tblLook w:val="04A0" w:firstRow="1" w:lastRow="0" w:firstColumn="1" w:lastColumn="0" w:noHBand="0" w:noVBand="1"/>
      </w:tblPr>
      <w:tblGrid>
        <w:gridCol w:w="1800"/>
        <w:gridCol w:w="5460"/>
      </w:tblGrid>
      <w:tr w:rsidR="00E25502" w:rsidRPr="00AB6A7E" w14:paraId="23462843" w14:textId="77777777" w:rsidTr="00E25502">
        <w:trPr>
          <w:trHeight w:val="328"/>
        </w:trPr>
        <w:tc>
          <w:tcPr>
            <w:tcW w:w="1800" w:type="dxa"/>
            <w:tcBorders>
              <w:top w:val="single" w:sz="8" w:space="0" w:color="auto"/>
              <w:left w:val="single" w:sz="8" w:space="0" w:color="auto"/>
              <w:bottom w:val="single" w:sz="8" w:space="0" w:color="auto"/>
              <w:right w:val="single" w:sz="8" w:space="0" w:color="auto"/>
            </w:tcBorders>
            <w:shd w:val="clear" w:color="auto" w:fill="D5DCE4" w:themeFill="text2" w:themeFillTint="33"/>
            <w:vAlign w:val="center"/>
            <w:hideMark/>
          </w:tcPr>
          <w:p w14:paraId="3AE44E24" w14:textId="77777777" w:rsidR="00E25502" w:rsidRPr="00AB6A7E" w:rsidRDefault="00E25502" w:rsidP="00E25502">
            <w:pPr>
              <w:spacing w:after="0" w:line="240" w:lineRule="auto"/>
              <w:rPr>
                <w:rFonts w:ascii="Calibri" w:eastAsia="Times New Roman" w:hAnsi="Calibri" w:cs="Times New Roman"/>
                <w:b/>
                <w:color w:val="000000"/>
                <w:lang w:eastAsia="en-AU"/>
              </w:rPr>
            </w:pPr>
            <w:r w:rsidRPr="00AB6A7E">
              <w:rPr>
                <w:rFonts w:ascii="Calibri" w:eastAsia="Times New Roman" w:hAnsi="Calibri" w:cs="Times New Roman"/>
                <w:b/>
                <w:color w:val="000000"/>
                <w:lang w:eastAsia="en-AU"/>
              </w:rPr>
              <w:t>Symbol</w:t>
            </w:r>
          </w:p>
        </w:tc>
        <w:tc>
          <w:tcPr>
            <w:tcW w:w="5460" w:type="dxa"/>
            <w:tcBorders>
              <w:top w:val="single" w:sz="8" w:space="0" w:color="auto"/>
              <w:left w:val="nil"/>
              <w:bottom w:val="single" w:sz="8" w:space="0" w:color="auto"/>
              <w:right w:val="single" w:sz="8" w:space="0" w:color="auto"/>
            </w:tcBorders>
            <w:shd w:val="clear" w:color="auto" w:fill="D5DCE4" w:themeFill="text2" w:themeFillTint="33"/>
            <w:vAlign w:val="center"/>
            <w:hideMark/>
          </w:tcPr>
          <w:p w14:paraId="639697B0" w14:textId="77777777" w:rsidR="00E25502" w:rsidRPr="00AB6A7E" w:rsidRDefault="00E25502" w:rsidP="00E25502">
            <w:pPr>
              <w:spacing w:after="0" w:line="240" w:lineRule="auto"/>
              <w:rPr>
                <w:rFonts w:ascii="Calibri" w:eastAsia="Times New Roman" w:hAnsi="Calibri" w:cs="Times New Roman"/>
                <w:b/>
                <w:color w:val="000000"/>
                <w:lang w:eastAsia="en-AU"/>
              </w:rPr>
            </w:pPr>
            <w:r w:rsidRPr="00AB6A7E">
              <w:rPr>
                <w:rFonts w:ascii="Calibri" w:eastAsia="Times New Roman" w:hAnsi="Calibri" w:cs="Times New Roman"/>
                <w:b/>
                <w:color w:val="000000"/>
                <w:lang w:eastAsia="en-AU"/>
              </w:rPr>
              <w:t>Short description</w:t>
            </w:r>
          </w:p>
        </w:tc>
      </w:tr>
      <w:tr w:rsidR="00E25502" w:rsidRPr="00AB6A7E" w14:paraId="144D9036" w14:textId="77777777" w:rsidTr="00E25502">
        <w:trPr>
          <w:trHeight w:val="300"/>
        </w:trPr>
        <w:tc>
          <w:tcPr>
            <w:tcW w:w="1800" w:type="dxa"/>
            <w:tcBorders>
              <w:top w:val="nil"/>
              <w:left w:val="single" w:sz="8" w:space="0" w:color="auto"/>
              <w:bottom w:val="single" w:sz="8" w:space="0" w:color="auto"/>
              <w:right w:val="single" w:sz="8" w:space="0" w:color="auto"/>
            </w:tcBorders>
            <w:shd w:val="clear" w:color="auto" w:fill="auto"/>
            <w:vAlign w:val="center"/>
            <w:hideMark/>
          </w:tcPr>
          <w:p w14:paraId="55834657" w14:textId="77777777" w:rsidR="00E25502" w:rsidRPr="00AB6A7E" w:rsidRDefault="00E25502" w:rsidP="00E25502">
            <w:pPr>
              <w:spacing w:after="0" w:line="240" w:lineRule="auto"/>
              <w:rPr>
                <w:rFonts w:ascii="Symbol" w:eastAsia="Times New Roman" w:hAnsi="Symbol" w:cs="Times New Roman"/>
                <w:color w:val="000000"/>
                <w:lang w:eastAsia="en-AU"/>
              </w:rPr>
            </w:pPr>
            <w:r w:rsidRPr="00AB6A7E">
              <w:rPr>
                <w:rFonts w:ascii="Symbol" w:eastAsia="Times New Roman" w:hAnsi="Symbol" w:cs="Times New Roman"/>
                <w:color w:val="000000"/>
                <w:lang w:eastAsia="en-AU"/>
              </w:rPr>
              <w:t></w:t>
            </w:r>
            <w:r w:rsidRPr="00AB6A7E">
              <w:rPr>
                <w:rFonts w:ascii="Calibri" w:eastAsia="Times New Roman" w:hAnsi="Calibri" w:cs="Times New Roman"/>
                <w:color w:val="000000"/>
                <w:lang w:eastAsia="en-AU"/>
              </w:rPr>
              <w:t>P</w:t>
            </w:r>
          </w:p>
        </w:tc>
        <w:tc>
          <w:tcPr>
            <w:tcW w:w="5460" w:type="dxa"/>
            <w:tcBorders>
              <w:top w:val="nil"/>
              <w:left w:val="nil"/>
              <w:bottom w:val="single" w:sz="8" w:space="0" w:color="auto"/>
              <w:right w:val="single" w:sz="8" w:space="0" w:color="auto"/>
            </w:tcBorders>
            <w:shd w:val="clear" w:color="auto" w:fill="auto"/>
            <w:vAlign w:val="center"/>
            <w:hideMark/>
          </w:tcPr>
          <w:p w14:paraId="282E53B2"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Excess pressure</w:t>
            </w:r>
          </w:p>
        </w:tc>
      </w:tr>
      <w:tr w:rsidR="00E25502" w:rsidRPr="00AB6A7E" w14:paraId="6F02E7FC" w14:textId="77777777" w:rsidTr="00E25502">
        <w:trPr>
          <w:trHeight w:val="310"/>
        </w:trPr>
        <w:tc>
          <w:tcPr>
            <w:tcW w:w="1800" w:type="dxa"/>
            <w:tcBorders>
              <w:top w:val="nil"/>
              <w:left w:val="single" w:sz="8" w:space="0" w:color="auto"/>
              <w:bottom w:val="single" w:sz="8" w:space="0" w:color="auto"/>
              <w:right w:val="single" w:sz="8" w:space="0" w:color="auto"/>
            </w:tcBorders>
            <w:shd w:val="clear" w:color="auto" w:fill="auto"/>
            <w:vAlign w:val="center"/>
            <w:hideMark/>
          </w:tcPr>
          <w:p w14:paraId="7EA21219" w14:textId="77777777" w:rsidR="00E25502" w:rsidRPr="00AB6A7E" w:rsidRDefault="00E25502" w:rsidP="00E25502">
            <w:pPr>
              <w:spacing w:after="0" w:line="240" w:lineRule="auto"/>
              <w:rPr>
                <w:rFonts w:ascii="Symbol" w:eastAsia="Times New Roman" w:hAnsi="Symbol" w:cs="Times New Roman"/>
                <w:color w:val="000000"/>
                <w:lang w:eastAsia="en-AU"/>
              </w:rPr>
            </w:pPr>
            <w:r w:rsidRPr="00AB6A7E">
              <w:rPr>
                <w:rFonts w:ascii="Symbol" w:eastAsia="Times New Roman" w:hAnsi="Symbol" w:cs="Times New Roman"/>
                <w:color w:val="000000"/>
                <w:lang w:eastAsia="en-AU"/>
              </w:rPr>
              <w:t></w:t>
            </w:r>
            <w:r w:rsidRPr="00AB6A7E">
              <w:rPr>
                <w:rFonts w:ascii="Calibri" w:eastAsia="Times New Roman" w:hAnsi="Calibri" w:cs="Times New Roman"/>
                <w:color w:val="000000"/>
                <w:lang w:eastAsia="en-AU"/>
              </w:rPr>
              <w:t>P</w:t>
            </w:r>
            <w:r w:rsidRPr="00AB6A7E">
              <w:rPr>
                <w:rFonts w:ascii="Calibri" w:eastAsia="Times New Roman" w:hAnsi="Calibri" w:cs="Times New Roman"/>
                <w:color w:val="000000"/>
                <w:vertAlign w:val="subscript"/>
                <w:lang w:eastAsia="en-AU"/>
              </w:rPr>
              <w:t>f</w:t>
            </w:r>
          </w:p>
        </w:tc>
        <w:tc>
          <w:tcPr>
            <w:tcW w:w="5460" w:type="dxa"/>
            <w:tcBorders>
              <w:top w:val="nil"/>
              <w:left w:val="nil"/>
              <w:bottom w:val="single" w:sz="8" w:space="0" w:color="auto"/>
              <w:right w:val="single" w:sz="8" w:space="0" w:color="auto"/>
            </w:tcBorders>
            <w:shd w:val="clear" w:color="auto" w:fill="auto"/>
            <w:vAlign w:val="center"/>
            <w:hideMark/>
          </w:tcPr>
          <w:p w14:paraId="2A9D48E9"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Across fault pressure difference</w:t>
            </w:r>
          </w:p>
        </w:tc>
      </w:tr>
      <w:tr w:rsidR="00E25502" w:rsidRPr="00AB6A7E" w14:paraId="3E53AD99" w14:textId="77777777" w:rsidTr="00E25502">
        <w:trPr>
          <w:trHeight w:val="530"/>
        </w:trPr>
        <w:tc>
          <w:tcPr>
            <w:tcW w:w="1800" w:type="dxa"/>
            <w:tcBorders>
              <w:top w:val="nil"/>
              <w:left w:val="single" w:sz="8" w:space="0" w:color="auto"/>
              <w:bottom w:val="single" w:sz="8" w:space="0" w:color="auto"/>
              <w:right w:val="single" w:sz="8" w:space="0" w:color="auto"/>
            </w:tcBorders>
            <w:shd w:val="clear" w:color="auto" w:fill="auto"/>
            <w:vAlign w:val="center"/>
            <w:hideMark/>
          </w:tcPr>
          <w:p w14:paraId="5D8AAA7A" w14:textId="77777777" w:rsidR="00E25502" w:rsidRPr="00AB6A7E" w:rsidRDefault="00E25502" w:rsidP="00E25502">
            <w:pPr>
              <w:spacing w:after="0" w:line="240" w:lineRule="auto"/>
              <w:rPr>
                <w:rFonts w:ascii="Symbol" w:eastAsia="Times New Roman" w:hAnsi="Symbol" w:cs="Times New Roman"/>
                <w:color w:val="000000"/>
                <w:lang w:eastAsia="en-AU"/>
              </w:rPr>
            </w:pPr>
            <w:r w:rsidRPr="00AB6A7E">
              <w:rPr>
                <w:rFonts w:ascii="Symbol" w:eastAsia="Times New Roman" w:hAnsi="Symbol" w:cs="Times New Roman"/>
                <w:color w:val="000000"/>
                <w:lang w:eastAsia="en-AU"/>
              </w:rPr>
              <w:t></w:t>
            </w:r>
            <w:r w:rsidRPr="00AB6A7E">
              <w:rPr>
                <w:rFonts w:ascii="Symbol" w:eastAsia="Times New Roman" w:hAnsi="Symbol" w:cs="Times New Roman"/>
                <w:color w:val="000000"/>
                <w:lang w:eastAsia="en-AU"/>
              </w:rPr>
              <w:t></w:t>
            </w:r>
          </w:p>
        </w:tc>
        <w:tc>
          <w:tcPr>
            <w:tcW w:w="5460" w:type="dxa"/>
            <w:tcBorders>
              <w:top w:val="nil"/>
              <w:left w:val="nil"/>
              <w:bottom w:val="single" w:sz="8" w:space="0" w:color="auto"/>
              <w:right w:val="single" w:sz="8" w:space="0" w:color="auto"/>
            </w:tcBorders>
            <w:shd w:val="clear" w:color="auto" w:fill="auto"/>
            <w:vAlign w:val="center"/>
            <w:hideMark/>
          </w:tcPr>
          <w:p w14:paraId="2BBAF4F2"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In situ density difference between hydrocarbon and formation water</w:t>
            </w:r>
          </w:p>
        </w:tc>
      </w:tr>
      <w:tr w:rsidR="00E25502" w:rsidRPr="00AB6A7E" w14:paraId="441185D3" w14:textId="77777777" w:rsidTr="00E25502">
        <w:trPr>
          <w:trHeight w:val="300"/>
        </w:trPr>
        <w:tc>
          <w:tcPr>
            <w:tcW w:w="1800" w:type="dxa"/>
            <w:tcBorders>
              <w:top w:val="nil"/>
              <w:left w:val="single" w:sz="8" w:space="0" w:color="auto"/>
              <w:bottom w:val="single" w:sz="8" w:space="0" w:color="auto"/>
              <w:right w:val="single" w:sz="8" w:space="0" w:color="auto"/>
            </w:tcBorders>
            <w:shd w:val="clear" w:color="auto" w:fill="auto"/>
            <w:vAlign w:val="center"/>
            <w:hideMark/>
          </w:tcPr>
          <w:p w14:paraId="2B379D93" w14:textId="77777777" w:rsidR="00E25502" w:rsidRPr="00AB6A7E" w:rsidRDefault="00E25502" w:rsidP="00E25502">
            <w:pPr>
              <w:spacing w:after="0" w:line="240" w:lineRule="auto"/>
              <w:rPr>
                <w:rFonts w:ascii="Symbol" w:eastAsia="Times New Roman" w:hAnsi="Symbol" w:cs="Times New Roman"/>
                <w:color w:val="000000"/>
                <w:lang w:eastAsia="en-AU"/>
              </w:rPr>
            </w:pPr>
            <w:r w:rsidRPr="00AB6A7E">
              <w:rPr>
                <w:rFonts w:ascii="Symbol" w:eastAsia="Times New Roman" w:hAnsi="Symbol" w:cs="Times New Roman"/>
                <w:color w:val="000000"/>
                <w:lang w:eastAsia="en-AU"/>
              </w:rPr>
              <w:t></w:t>
            </w:r>
            <w:r w:rsidRPr="00AB6A7E">
              <w:rPr>
                <w:rFonts w:ascii="Calibri" w:eastAsia="Times New Roman" w:hAnsi="Calibri" w:cs="Times New Roman"/>
                <w:color w:val="000000"/>
                <w:lang w:eastAsia="en-AU"/>
              </w:rPr>
              <w:t>z</w:t>
            </w:r>
          </w:p>
        </w:tc>
        <w:tc>
          <w:tcPr>
            <w:tcW w:w="5460" w:type="dxa"/>
            <w:tcBorders>
              <w:top w:val="nil"/>
              <w:left w:val="nil"/>
              <w:bottom w:val="single" w:sz="8" w:space="0" w:color="auto"/>
              <w:right w:val="single" w:sz="8" w:space="0" w:color="auto"/>
            </w:tcBorders>
            <w:shd w:val="clear" w:color="auto" w:fill="auto"/>
            <w:vAlign w:val="center"/>
            <w:hideMark/>
          </w:tcPr>
          <w:p w14:paraId="0FA4E5D3"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Sedimentary bed thickness</w:t>
            </w:r>
          </w:p>
        </w:tc>
      </w:tr>
      <w:tr w:rsidR="00E25502" w:rsidRPr="00AB6A7E" w14:paraId="6FE4DA9E" w14:textId="77777777" w:rsidTr="00E25502">
        <w:trPr>
          <w:trHeight w:val="310"/>
        </w:trPr>
        <w:tc>
          <w:tcPr>
            <w:tcW w:w="1800" w:type="dxa"/>
            <w:tcBorders>
              <w:top w:val="nil"/>
              <w:left w:val="single" w:sz="8" w:space="0" w:color="auto"/>
              <w:bottom w:val="single" w:sz="8" w:space="0" w:color="auto"/>
              <w:right w:val="single" w:sz="8" w:space="0" w:color="auto"/>
            </w:tcBorders>
            <w:shd w:val="clear" w:color="auto" w:fill="auto"/>
            <w:vAlign w:val="center"/>
            <w:hideMark/>
          </w:tcPr>
          <w:p w14:paraId="6F47D600"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C</w:t>
            </w:r>
            <w:r w:rsidRPr="00AB6A7E">
              <w:rPr>
                <w:rFonts w:ascii="Calibri" w:eastAsia="Times New Roman" w:hAnsi="Calibri" w:cs="Times New Roman"/>
                <w:color w:val="000000"/>
                <w:vertAlign w:val="subscript"/>
                <w:lang w:eastAsia="en-AU"/>
              </w:rPr>
              <w:t>f</w:t>
            </w:r>
          </w:p>
        </w:tc>
        <w:tc>
          <w:tcPr>
            <w:tcW w:w="5460" w:type="dxa"/>
            <w:tcBorders>
              <w:top w:val="nil"/>
              <w:left w:val="nil"/>
              <w:bottom w:val="single" w:sz="8" w:space="0" w:color="auto"/>
              <w:right w:val="single" w:sz="8" w:space="0" w:color="auto"/>
            </w:tcBorders>
            <w:shd w:val="clear" w:color="auto" w:fill="auto"/>
            <w:vAlign w:val="center"/>
            <w:hideMark/>
          </w:tcPr>
          <w:p w14:paraId="31E9C2D9"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Critical fracture density</w:t>
            </w:r>
          </w:p>
        </w:tc>
      </w:tr>
      <w:tr w:rsidR="00E25502" w:rsidRPr="00AB6A7E" w14:paraId="4A6FFC3B" w14:textId="77777777" w:rsidTr="00E25502">
        <w:trPr>
          <w:trHeight w:val="300"/>
        </w:trPr>
        <w:tc>
          <w:tcPr>
            <w:tcW w:w="1800" w:type="dxa"/>
            <w:tcBorders>
              <w:top w:val="nil"/>
              <w:left w:val="single" w:sz="8" w:space="0" w:color="auto"/>
              <w:bottom w:val="single" w:sz="8" w:space="0" w:color="auto"/>
              <w:right w:val="single" w:sz="8" w:space="0" w:color="auto"/>
            </w:tcBorders>
            <w:shd w:val="clear" w:color="auto" w:fill="auto"/>
            <w:vAlign w:val="center"/>
            <w:hideMark/>
          </w:tcPr>
          <w:p w14:paraId="39A3CCCB"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g</w:t>
            </w:r>
          </w:p>
        </w:tc>
        <w:tc>
          <w:tcPr>
            <w:tcW w:w="5460" w:type="dxa"/>
            <w:tcBorders>
              <w:top w:val="nil"/>
              <w:left w:val="nil"/>
              <w:bottom w:val="single" w:sz="8" w:space="0" w:color="auto"/>
              <w:right w:val="single" w:sz="8" w:space="0" w:color="auto"/>
            </w:tcBorders>
            <w:shd w:val="clear" w:color="auto" w:fill="auto"/>
            <w:vAlign w:val="center"/>
            <w:hideMark/>
          </w:tcPr>
          <w:p w14:paraId="5BF46914"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Acceleration due to gravity</w:t>
            </w:r>
          </w:p>
        </w:tc>
      </w:tr>
      <w:tr w:rsidR="00E25502" w:rsidRPr="00AB6A7E" w14:paraId="2AAF750F" w14:textId="77777777" w:rsidTr="00E25502">
        <w:trPr>
          <w:trHeight w:val="310"/>
        </w:trPr>
        <w:tc>
          <w:tcPr>
            <w:tcW w:w="1800" w:type="dxa"/>
            <w:tcBorders>
              <w:top w:val="nil"/>
              <w:left w:val="single" w:sz="8" w:space="0" w:color="auto"/>
              <w:bottom w:val="single" w:sz="8" w:space="0" w:color="auto"/>
              <w:right w:val="single" w:sz="8" w:space="0" w:color="auto"/>
            </w:tcBorders>
            <w:shd w:val="clear" w:color="auto" w:fill="auto"/>
            <w:vAlign w:val="center"/>
            <w:hideMark/>
          </w:tcPr>
          <w:p w14:paraId="452C46B7"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H</w:t>
            </w:r>
            <w:r w:rsidRPr="00AB6A7E">
              <w:rPr>
                <w:rFonts w:ascii="Calibri" w:eastAsia="Times New Roman" w:hAnsi="Calibri" w:cs="Times New Roman"/>
                <w:color w:val="000000"/>
                <w:vertAlign w:val="subscript"/>
                <w:lang w:eastAsia="en-AU"/>
              </w:rPr>
              <w:t>w</w:t>
            </w:r>
          </w:p>
        </w:tc>
        <w:tc>
          <w:tcPr>
            <w:tcW w:w="5460" w:type="dxa"/>
            <w:tcBorders>
              <w:top w:val="nil"/>
              <w:left w:val="nil"/>
              <w:bottom w:val="single" w:sz="8" w:space="0" w:color="auto"/>
              <w:right w:val="single" w:sz="8" w:space="0" w:color="auto"/>
            </w:tcBorders>
            <w:shd w:val="clear" w:color="auto" w:fill="auto"/>
            <w:vAlign w:val="center"/>
            <w:hideMark/>
          </w:tcPr>
          <w:p w14:paraId="4EA1A7CE"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Hydraulic head calculated using water density</w:t>
            </w:r>
          </w:p>
        </w:tc>
      </w:tr>
      <w:tr w:rsidR="00E25502" w:rsidRPr="00AB6A7E" w14:paraId="72390505" w14:textId="77777777" w:rsidTr="00E25502">
        <w:trPr>
          <w:trHeight w:val="300"/>
        </w:trPr>
        <w:tc>
          <w:tcPr>
            <w:tcW w:w="1800" w:type="dxa"/>
            <w:tcBorders>
              <w:top w:val="nil"/>
              <w:left w:val="single" w:sz="8" w:space="0" w:color="auto"/>
              <w:bottom w:val="single" w:sz="8" w:space="0" w:color="auto"/>
              <w:right w:val="single" w:sz="8" w:space="0" w:color="auto"/>
            </w:tcBorders>
            <w:shd w:val="clear" w:color="auto" w:fill="auto"/>
            <w:vAlign w:val="center"/>
            <w:hideMark/>
          </w:tcPr>
          <w:p w14:paraId="282A9785"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h</w:t>
            </w:r>
          </w:p>
        </w:tc>
        <w:tc>
          <w:tcPr>
            <w:tcW w:w="5460" w:type="dxa"/>
            <w:tcBorders>
              <w:top w:val="nil"/>
              <w:left w:val="nil"/>
              <w:bottom w:val="single" w:sz="8" w:space="0" w:color="auto"/>
              <w:right w:val="single" w:sz="8" w:space="0" w:color="auto"/>
            </w:tcBorders>
            <w:shd w:val="clear" w:color="auto" w:fill="auto"/>
            <w:vAlign w:val="center"/>
            <w:hideMark/>
          </w:tcPr>
          <w:p w14:paraId="05037F58"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Hydrocarbon column height</w:t>
            </w:r>
          </w:p>
        </w:tc>
      </w:tr>
      <w:tr w:rsidR="00E25502" w:rsidRPr="00AB6A7E" w14:paraId="07A257D9" w14:textId="77777777" w:rsidTr="00E25502">
        <w:trPr>
          <w:trHeight w:val="310"/>
        </w:trPr>
        <w:tc>
          <w:tcPr>
            <w:tcW w:w="1800" w:type="dxa"/>
            <w:tcBorders>
              <w:top w:val="nil"/>
              <w:left w:val="single" w:sz="8" w:space="0" w:color="auto"/>
              <w:bottom w:val="single" w:sz="8" w:space="0" w:color="auto"/>
              <w:right w:val="single" w:sz="8" w:space="0" w:color="auto"/>
            </w:tcBorders>
            <w:shd w:val="clear" w:color="auto" w:fill="auto"/>
            <w:vAlign w:val="center"/>
            <w:hideMark/>
          </w:tcPr>
          <w:p w14:paraId="1082778C"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k</w:t>
            </w:r>
            <w:r w:rsidRPr="00AB6A7E">
              <w:rPr>
                <w:rFonts w:ascii="Times New Roman" w:eastAsia="Times New Roman" w:hAnsi="Times New Roman" w:cs="Times New Roman"/>
                <w:color w:val="000000"/>
                <w:vertAlign w:val="subscript"/>
                <w:lang w:eastAsia="en-AU"/>
              </w:rPr>
              <w:t>rw</w:t>
            </w:r>
          </w:p>
        </w:tc>
        <w:tc>
          <w:tcPr>
            <w:tcW w:w="5460" w:type="dxa"/>
            <w:tcBorders>
              <w:top w:val="nil"/>
              <w:left w:val="nil"/>
              <w:bottom w:val="single" w:sz="8" w:space="0" w:color="auto"/>
              <w:right w:val="single" w:sz="8" w:space="0" w:color="auto"/>
            </w:tcBorders>
            <w:shd w:val="clear" w:color="auto" w:fill="auto"/>
            <w:vAlign w:val="center"/>
            <w:hideMark/>
          </w:tcPr>
          <w:p w14:paraId="7830EA88"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Relative permeability to water</w:t>
            </w:r>
          </w:p>
        </w:tc>
      </w:tr>
      <w:tr w:rsidR="00E25502" w:rsidRPr="00AB6A7E" w14:paraId="1A7EB1BF" w14:textId="77777777" w:rsidTr="00E25502">
        <w:trPr>
          <w:trHeight w:val="310"/>
        </w:trPr>
        <w:tc>
          <w:tcPr>
            <w:tcW w:w="1800" w:type="dxa"/>
            <w:tcBorders>
              <w:top w:val="nil"/>
              <w:left w:val="single" w:sz="8" w:space="0" w:color="auto"/>
              <w:bottom w:val="single" w:sz="8" w:space="0" w:color="auto"/>
              <w:right w:val="single" w:sz="8" w:space="0" w:color="auto"/>
            </w:tcBorders>
            <w:shd w:val="clear" w:color="auto" w:fill="auto"/>
            <w:vAlign w:val="center"/>
            <w:hideMark/>
          </w:tcPr>
          <w:p w14:paraId="7A10DDCB"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k</w:t>
            </w:r>
            <w:r w:rsidRPr="00AB6A7E">
              <w:rPr>
                <w:rFonts w:ascii="Times New Roman" w:eastAsia="Times New Roman" w:hAnsi="Times New Roman" w:cs="Times New Roman"/>
                <w:color w:val="000000"/>
                <w:vertAlign w:val="subscript"/>
                <w:lang w:eastAsia="en-AU"/>
              </w:rPr>
              <w:t>fz</w:t>
            </w:r>
          </w:p>
        </w:tc>
        <w:tc>
          <w:tcPr>
            <w:tcW w:w="5460" w:type="dxa"/>
            <w:tcBorders>
              <w:top w:val="nil"/>
              <w:left w:val="nil"/>
              <w:bottom w:val="single" w:sz="8" w:space="0" w:color="auto"/>
              <w:right w:val="single" w:sz="8" w:space="0" w:color="auto"/>
            </w:tcBorders>
            <w:shd w:val="clear" w:color="auto" w:fill="auto"/>
            <w:vAlign w:val="center"/>
            <w:hideMark/>
          </w:tcPr>
          <w:p w14:paraId="7419BD43"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Fault zone permeability</w:t>
            </w:r>
          </w:p>
        </w:tc>
      </w:tr>
      <w:tr w:rsidR="00E25502" w:rsidRPr="00AB6A7E" w14:paraId="759B3A56" w14:textId="77777777" w:rsidTr="00E25502">
        <w:trPr>
          <w:trHeight w:val="310"/>
        </w:trPr>
        <w:tc>
          <w:tcPr>
            <w:tcW w:w="1800" w:type="dxa"/>
            <w:tcBorders>
              <w:top w:val="nil"/>
              <w:left w:val="single" w:sz="8" w:space="0" w:color="auto"/>
              <w:bottom w:val="single" w:sz="8" w:space="0" w:color="auto"/>
              <w:right w:val="single" w:sz="8" w:space="0" w:color="auto"/>
            </w:tcBorders>
            <w:shd w:val="clear" w:color="auto" w:fill="auto"/>
            <w:vAlign w:val="center"/>
            <w:hideMark/>
          </w:tcPr>
          <w:p w14:paraId="0975B05A"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k</w:t>
            </w:r>
            <w:r w:rsidRPr="00AB6A7E">
              <w:rPr>
                <w:rFonts w:ascii="Times New Roman" w:eastAsia="Times New Roman" w:hAnsi="Times New Roman" w:cs="Times New Roman"/>
                <w:color w:val="000000"/>
                <w:vertAlign w:val="subscript"/>
                <w:lang w:eastAsia="en-AU"/>
              </w:rPr>
              <w:t>res</w:t>
            </w:r>
          </w:p>
        </w:tc>
        <w:tc>
          <w:tcPr>
            <w:tcW w:w="5460" w:type="dxa"/>
            <w:tcBorders>
              <w:top w:val="nil"/>
              <w:left w:val="nil"/>
              <w:bottom w:val="single" w:sz="8" w:space="0" w:color="auto"/>
              <w:right w:val="single" w:sz="8" w:space="0" w:color="auto"/>
            </w:tcBorders>
            <w:shd w:val="clear" w:color="auto" w:fill="auto"/>
            <w:vAlign w:val="center"/>
            <w:hideMark/>
          </w:tcPr>
          <w:p w14:paraId="02FB1682"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Reservoir permeability</w:t>
            </w:r>
          </w:p>
        </w:tc>
      </w:tr>
      <w:tr w:rsidR="00E25502" w:rsidRPr="00AB6A7E" w14:paraId="01341831" w14:textId="77777777" w:rsidTr="00E25502">
        <w:trPr>
          <w:trHeight w:val="310"/>
        </w:trPr>
        <w:tc>
          <w:tcPr>
            <w:tcW w:w="1800" w:type="dxa"/>
            <w:tcBorders>
              <w:top w:val="nil"/>
              <w:left w:val="single" w:sz="8" w:space="0" w:color="auto"/>
              <w:bottom w:val="single" w:sz="8" w:space="0" w:color="auto"/>
              <w:right w:val="single" w:sz="8" w:space="0" w:color="auto"/>
            </w:tcBorders>
            <w:shd w:val="clear" w:color="auto" w:fill="auto"/>
            <w:vAlign w:val="center"/>
            <w:hideMark/>
          </w:tcPr>
          <w:p w14:paraId="5F19EF87"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k</w:t>
            </w:r>
            <w:r w:rsidRPr="00AB6A7E">
              <w:rPr>
                <w:rFonts w:ascii="Times New Roman" w:eastAsia="Times New Roman" w:hAnsi="Times New Roman" w:cs="Times New Roman"/>
                <w:color w:val="000000"/>
                <w:vertAlign w:val="subscript"/>
                <w:lang w:eastAsia="en-AU"/>
              </w:rPr>
              <w:t>ts</w:t>
            </w:r>
          </w:p>
        </w:tc>
        <w:tc>
          <w:tcPr>
            <w:tcW w:w="5460" w:type="dxa"/>
            <w:tcBorders>
              <w:top w:val="nil"/>
              <w:left w:val="nil"/>
              <w:bottom w:val="single" w:sz="8" w:space="0" w:color="auto"/>
              <w:right w:val="single" w:sz="8" w:space="0" w:color="auto"/>
            </w:tcBorders>
            <w:shd w:val="clear" w:color="auto" w:fill="auto"/>
            <w:vAlign w:val="center"/>
            <w:hideMark/>
          </w:tcPr>
          <w:p w14:paraId="0106E962"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Top seal permeability</w:t>
            </w:r>
          </w:p>
        </w:tc>
      </w:tr>
      <w:tr w:rsidR="00E25502" w:rsidRPr="00AB6A7E" w14:paraId="61CD84C4" w14:textId="77777777" w:rsidTr="00E25502">
        <w:trPr>
          <w:trHeight w:val="300"/>
        </w:trPr>
        <w:tc>
          <w:tcPr>
            <w:tcW w:w="1800" w:type="dxa"/>
            <w:tcBorders>
              <w:top w:val="nil"/>
              <w:left w:val="single" w:sz="8" w:space="0" w:color="auto"/>
              <w:bottom w:val="single" w:sz="8" w:space="0" w:color="auto"/>
              <w:right w:val="single" w:sz="8" w:space="0" w:color="auto"/>
            </w:tcBorders>
            <w:shd w:val="clear" w:color="auto" w:fill="auto"/>
            <w:vAlign w:val="center"/>
            <w:hideMark/>
          </w:tcPr>
          <w:p w14:paraId="4690BD22"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P</w:t>
            </w:r>
          </w:p>
        </w:tc>
        <w:tc>
          <w:tcPr>
            <w:tcW w:w="5460" w:type="dxa"/>
            <w:tcBorders>
              <w:top w:val="nil"/>
              <w:left w:val="nil"/>
              <w:bottom w:val="single" w:sz="8" w:space="0" w:color="auto"/>
              <w:right w:val="single" w:sz="8" w:space="0" w:color="auto"/>
            </w:tcBorders>
            <w:shd w:val="clear" w:color="auto" w:fill="auto"/>
            <w:vAlign w:val="center"/>
            <w:hideMark/>
          </w:tcPr>
          <w:p w14:paraId="39B4A292"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Formation pressure</w:t>
            </w:r>
          </w:p>
        </w:tc>
      </w:tr>
      <w:tr w:rsidR="00E25502" w:rsidRPr="00AB6A7E" w14:paraId="57DC9066" w14:textId="77777777" w:rsidTr="00E25502">
        <w:trPr>
          <w:trHeight w:val="310"/>
        </w:trPr>
        <w:tc>
          <w:tcPr>
            <w:tcW w:w="1800" w:type="dxa"/>
            <w:tcBorders>
              <w:top w:val="nil"/>
              <w:left w:val="single" w:sz="8" w:space="0" w:color="auto"/>
              <w:bottom w:val="single" w:sz="8" w:space="0" w:color="auto"/>
              <w:right w:val="single" w:sz="8" w:space="0" w:color="auto"/>
            </w:tcBorders>
            <w:shd w:val="clear" w:color="auto" w:fill="auto"/>
            <w:vAlign w:val="center"/>
            <w:hideMark/>
          </w:tcPr>
          <w:p w14:paraId="246B4938"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P</w:t>
            </w:r>
            <w:r w:rsidRPr="00AB6A7E">
              <w:rPr>
                <w:rFonts w:ascii="Calibri" w:eastAsia="Times New Roman" w:hAnsi="Calibri" w:cs="Times New Roman"/>
                <w:color w:val="000000"/>
                <w:vertAlign w:val="subscript"/>
                <w:lang w:eastAsia="en-AU"/>
              </w:rPr>
              <w:t>c</w:t>
            </w:r>
          </w:p>
        </w:tc>
        <w:tc>
          <w:tcPr>
            <w:tcW w:w="5460" w:type="dxa"/>
            <w:tcBorders>
              <w:top w:val="nil"/>
              <w:left w:val="nil"/>
              <w:bottom w:val="single" w:sz="8" w:space="0" w:color="auto"/>
              <w:right w:val="single" w:sz="8" w:space="0" w:color="auto"/>
            </w:tcBorders>
            <w:shd w:val="clear" w:color="auto" w:fill="auto"/>
            <w:vAlign w:val="center"/>
            <w:hideMark/>
          </w:tcPr>
          <w:p w14:paraId="42E4A00B"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Capillary pressure of non-wetting phase</w:t>
            </w:r>
          </w:p>
        </w:tc>
      </w:tr>
      <w:tr w:rsidR="00E25502" w:rsidRPr="00AB6A7E" w14:paraId="08550103" w14:textId="77777777" w:rsidTr="00E25502">
        <w:trPr>
          <w:trHeight w:val="310"/>
        </w:trPr>
        <w:tc>
          <w:tcPr>
            <w:tcW w:w="1800" w:type="dxa"/>
            <w:tcBorders>
              <w:top w:val="nil"/>
              <w:left w:val="single" w:sz="8" w:space="0" w:color="auto"/>
              <w:bottom w:val="single" w:sz="8" w:space="0" w:color="auto"/>
              <w:right w:val="single" w:sz="8" w:space="0" w:color="auto"/>
            </w:tcBorders>
            <w:shd w:val="clear" w:color="auto" w:fill="auto"/>
            <w:vAlign w:val="center"/>
            <w:hideMark/>
          </w:tcPr>
          <w:p w14:paraId="439C810E"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P</w:t>
            </w:r>
            <w:r w:rsidRPr="00AB6A7E">
              <w:rPr>
                <w:rFonts w:ascii="Calibri" w:eastAsia="Times New Roman" w:hAnsi="Calibri" w:cs="Times New Roman"/>
                <w:color w:val="000000"/>
                <w:vertAlign w:val="subscript"/>
                <w:lang w:eastAsia="en-AU"/>
              </w:rPr>
              <w:t>ce</w:t>
            </w:r>
          </w:p>
        </w:tc>
        <w:tc>
          <w:tcPr>
            <w:tcW w:w="5460" w:type="dxa"/>
            <w:tcBorders>
              <w:top w:val="nil"/>
              <w:left w:val="nil"/>
              <w:bottom w:val="single" w:sz="8" w:space="0" w:color="auto"/>
              <w:right w:val="single" w:sz="8" w:space="0" w:color="auto"/>
            </w:tcBorders>
            <w:shd w:val="clear" w:color="auto" w:fill="auto"/>
            <w:vAlign w:val="center"/>
            <w:hideMark/>
          </w:tcPr>
          <w:p w14:paraId="660FD46B"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Capillary entry pressure</w:t>
            </w:r>
          </w:p>
        </w:tc>
      </w:tr>
      <w:tr w:rsidR="00E25502" w:rsidRPr="00AB6A7E" w14:paraId="09B7E454" w14:textId="77777777" w:rsidTr="00E25502">
        <w:trPr>
          <w:trHeight w:val="310"/>
        </w:trPr>
        <w:tc>
          <w:tcPr>
            <w:tcW w:w="1800" w:type="dxa"/>
            <w:tcBorders>
              <w:top w:val="nil"/>
              <w:left w:val="single" w:sz="8" w:space="0" w:color="auto"/>
              <w:bottom w:val="single" w:sz="8" w:space="0" w:color="auto"/>
              <w:right w:val="single" w:sz="8" w:space="0" w:color="auto"/>
            </w:tcBorders>
            <w:shd w:val="clear" w:color="auto" w:fill="auto"/>
            <w:vAlign w:val="center"/>
            <w:hideMark/>
          </w:tcPr>
          <w:p w14:paraId="40149865"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P</w:t>
            </w:r>
            <w:r w:rsidRPr="00AB6A7E">
              <w:rPr>
                <w:rFonts w:ascii="Calibri" w:eastAsia="Times New Roman" w:hAnsi="Calibri" w:cs="Times New Roman"/>
                <w:color w:val="000000"/>
                <w:vertAlign w:val="subscript"/>
                <w:lang w:eastAsia="en-AU"/>
              </w:rPr>
              <w:t>t</w:t>
            </w:r>
          </w:p>
        </w:tc>
        <w:tc>
          <w:tcPr>
            <w:tcW w:w="5460" w:type="dxa"/>
            <w:tcBorders>
              <w:top w:val="nil"/>
              <w:left w:val="nil"/>
              <w:bottom w:val="single" w:sz="8" w:space="0" w:color="auto"/>
              <w:right w:val="single" w:sz="8" w:space="0" w:color="auto"/>
            </w:tcBorders>
            <w:shd w:val="clear" w:color="auto" w:fill="auto"/>
            <w:vAlign w:val="center"/>
            <w:hideMark/>
          </w:tcPr>
          <w:p w14:paraId="71273F64"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Threshold pressure</w:t>
            </w:r>
          </w:p>
        </w:tc>
      </w:tr>
      <w:tr w:rsidR="00E25502" w:rsidRPr="00AB6A7E" w14:paraId="0BD95047" w14:textId="77777777" w:rsidTr="00E25502">
        <w:trPr>
          <w:trHeight w:val="310"/>
        </w:trPr>
        <w:tc>
          <w:tcPr>
            <w:tcW w:w="1800" w:type="dxa"/>
            <w:tcBorders>
              <w:top w:val="nil"/>
              <w:left w:val="single" w:sz="8" w:space="0" w:color="auto"/>
              <w:bottom w:val="single" w:sz="8" w:space="0" w:color="auto"/>
              <w:right w:val="single" w:sz="8" w:space="0" w:color="auto"/>
            </w:tcBorders>
            <w:shd w:val="clear" w:color="auto" w:fill="auto"/>
            <w:vAlign w:val="center"/>
            <w:hideMark/>
          </w:tcPr>
          <w:p w14:paraId="6EBF2DE0"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P</w:t>
            </w:r>
            <w:r w:rsidRPr="00AB6A7E">
              <w:rPr>
                <w:rFonts w:ascii="Calibri" w:eastAsia="Times New Roman" w:hAnsi="Calibri" w:cs="Times New Roman"/>
                <w:color w:val="000000"/>
                <w:vertAlign w:val="subscript"/>
                <w:lang w:eastAsia="en-AU"/>
              </w:rPr>
              <w:t>tc</w:t>
            </w:r>
          </w:p>
        </w:tc>
        <w:tc>
          <w:tcPr>
            <w:tcW w:w="5460" w:type="dxa"/>
            <w:tcBorders>
              <w:top w:val="nil"/>
              <w:left w:val="nil"/>
              <w:bottom w:val="single" w:sz="8" w:space="0" w:color="auto"/>
              <w:right w:val="single" w:sz="8" w:space="0" w:color="auto"/>
            </w:tcBorders>
            <w:shd w:val="clear" w:color="auto" w:fill="auto"/>
            <w:vAlign w:val="center"/>
            <w:hideMark/>
          </w:tcPr>
          <w:p w14:paraId="374FCF87"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Total capillary seal capacity</w:t>
            </w:r>
          </w:p>
        </w:tc>
      </w:tr>
      <w:tr w:rsidR="00E25502" w:rsidRPr="00AB6A7E" w14:paraId="1A3D49BA" w14:textId="77777777" w:rsidTr="00E25502">
        <w:trPr>
          <w:trHeight w:val="310"/>
        </w:trPr>
        <w:tc>
          <w:tcPr>
            <w:tcW w:w="1800" w:type="dxa"/>
            <w:tcBorders>
              <w:top w:val="nil"/>
              <w:left w:val="single" w:sz="8" w:space="0" w:color="auto"/>
              <w:bottom w:val="single" w:sz="8" w:space="0" w:color="auto"/>
              <w:right w:val="single" w:sz="8" w:space="0" w:color="auto"/>
            </w:tcBorders>
            <w:shd w:val="clear" w:color="auto" w:fill="auto"/>
            <w:vAlign w:val="center"/>
            <w:hideMark/>
          </w:tcPr>
          <w:p w14:paraId="2AE96C4A"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S</w:t>
            </w:r>
            <w:r w:rsidRPr="00AB6A7E">
              <w:rPr>
                <w:rFonts w:ascii="Calibri" w:eastAsia="Times New Roman" w:hAnsi="Calibri" w:cs="Times New Roman"/>
                <w:color w:val="000000"/>
                <w:vertAlign w:val="subscript"/>
                <w:lang w:eastAsia="en-AU"/>
              </w:rPr>
              <w:t>h</w:t>
            </w:r>
          </w:p>
        </w:tc>
        <w:tc>
          <w:tcPr>
            <w:tcW w:w="5460" w:type="dxa"/>
            <w:tcBorders>
              <w:top w:val="nil"/>
              <w:left w:val="nil"/>
              <w:bottom w:val="single" w:sz="8" w:space="0" w:color="auto"/>
              <w:right w:val="single" w:sz="8" w:space="0" w:color="auto"/>
            </w:tcBorders>
            <w:shd w:val="clear" w:color="auto" w:fill="auto"/>
            <w:vAlign w:val="center"/>
            <w:hideMark/>
          </w:tcPr>
          <w:p w14:paraId="57EC2B13"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Non-wetting phase saturation</w:t>
            </w:r>
          </w:p>
        </w:tc>
      </w:tr>
      <w:tr w:rsidR="00E25502" w:rsidRPr="00AB6A7E" w14:paraId="27F0BE9E" w14:textId="77777777" w:rsidTr="00E25502">
        <w:trPr>
          <w:trHeight w:val="310"/>
        </w:trPr>
        <w:tc>
          <w:tcPr>
            <w:tcW w:w="1800" w:type="dxa"/>
            <w:tcBorders>
              <w:top w:val="nil"/>
              <w:left w:val="single" w:sz="8" w:space="0" w:color="auto"/>
              <w:bottom w:val="single" w:sz="8" w:space="0" w:color="auto"/>
              <w:right w:val="single" w:sz="8" w:space="0" w:color="auto"/>
            </w:tcBorders>
            <w:shd w:val="clear" w:color="auto" w:fill="auto"/>
            <w:vAlign w:val="center"/>
            <w:hideMark/>
          </w:tcPr>
          <w:p w14:paraId="3C422589"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S</w:t>
            </w:r>
            <w:r w:rsidRPr="00AB6A7E">
              <w:rPr>
                <w:rFonts w:ascii="Calibri" w:eastAsia="Times New Roman" w:hAnsi="Calibri" w:cs="Times New Roman"/>
                <w:color w:val="000000"/>
                <w:vertAlign w:val="subscript"/>
                <w:lang w:eastAsia="en-AU"/>
              </w:rPr>
              <w:t>g</w:t>
            </w:r>
          </w:p>
        </w:tc>
        <w:tc>
          <w:tcPr>
            <w:tcW w:w="5460" w:type="dxa"/>
            <w:tcBorders>
              <w:top w:val="nil"/>
              <w:left w:val="nil"/>
              <w:bottom w:val="single" w:sz="8" w:space="0" w:color="auto"/>
              <w:right w:val="single" w:sz="8" w:space="0" w:color="auto"/>
            </w:tcBorders>
            <w:shd w:val="clear" w:color="auto" w:fill="auto"/>
            <w:vAlign w:val="center"/>
            <w:hideMark/>
          </w:tcPr>
          <w:p w14:paraId="50A6BEC0"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Gas saturation</w:t>
            </w:r>
          </w:p>
        </w:tc>
      </w:tr>
      <w:tr w:rsidR="00E25502" w:rsidRPr="00AB6A7E" w14:paraId="7C441345" w14:textId="77777777" w:rsidTr="00E25502">
        <w:trPr>
          <w:trHeight w:val="310"/>
        </w:trPr>
        <w:tc>
          <w:tcPr>
            <w:tcW w:w="1800" w:type="dxa"/>
            <w:tcBorders>
              <w:top w:val="nil"/>
              <w:left w:val="single" w:sz="8" w:space="0" w:color="auto"/>
              <w:bottom w:val="single" w:sz="8" w:space="0" w:color="auto"/>
              <w:right w:val="single" w:sz="8" w:space="0" w:color="auto"/>
            </w:tcBorders>
            <w:shd w:val="clear" w:color="auto" w:fill="auto"/>
            <w:vAlign w:val="center"/>
            <w:hideMark/>
          </w:tcPr>
          <w:p w14:paraId="59CD7855"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S</w:t>
            </w:r>
            <w:r w:rsidRPr="00AB6A7E">
              <w:rPr>
                <w:rFonts w:ascii="Calibri" w:eastAsia="Times New Roman" w:hAnsi="Calibri" w:cs="Times New Roman"/>
                <w:color w:val="000000"/>
                <w:vertAlign w:val="subscript"/>
                <w:lang w:eastAsia="en-AU"/>
              </w:rPr>
              <w:t>w</w:t>
            </w:r>
          </w:p>
        </w:tc>
        <w:tc>
          <w:tcPr>
            <w:tcW w:w="5460" w:type="dxa"/>
            <w:tcBorders>
              <w:top w:val="nil"/>
              <w:left w:val="nil"/>
              <w:bottom w:val="single" w:sz="8" w:space="0" w:color="auto"/>
              <w:right w:val="single" w:sz="8" w:space="0" w:color="auto"/>
            </w:tcBorders>
            <w:shd w:val="clear" w:color="auto" w:fill="auto"/>
            <w:vAlign w:val="center"/>
            <w:hideMark/>
          </w:tcPr>
          <w:p w14:paraId="3A8E32EA"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Water saturation</w:t>
            </w:r>
          </w:p>
        </w:tc>
      </w:tr>
      <w:tr w:rsidR="00E25502" w:rsidRPr="00AB6A7E" w14:paraId="09667774" w14:textId="77777777" w:rsidTr="00E25502">
        <w:trPr>
          <w:trHeight w:val="310"/>
        </w:trPr>
        <w:tc>
          <w:tcPr>
            <w:tcW w:w="1800" w:type="dxa"/>
            <w:tcBorders>
              <w:top w:val="nil"/>
              <w:left w:val="single" w:sz="8" w:space="0" w:color="auto"/>
              <w:bottom w:val="single" w:sz="8" w:space="0" w:color="auto"/>
              <w:right w:val="single" w:sz="8" w:space="0" w:color="auto"/>
            </w:tcBorders>
            <w:shd w:val="clear" w:color="auto" w:fill="auto"/>
            <w:vAlign w:val="center"/>
            <w:hideMark/>
          </w:tcPr>
          <w:p w14:paraId="5AA43D38"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S</w:t>
            </w:r>
            <w:r w:rsidRPr="00AB6A7E">
              <w:rPr>
                <w:rFonts w:ascii="Calibri" w:eastAsia="Times New Roman" w:hAnsi="Calibri" w:cs="Times New Roman"/>
                <w:color w:val="000000"/>
                <w:vertAlign w:val="subscript"/>
                <w:lang w:eastAsia="en-AU"/>
              </w:rPr>
              <w:t>wi</w:t>
            </w:r>
          </w:p>
        </w:tc>
        <w:tc>
          <w:tcPr>
            <w:tcW w:w="5460" w:type="dxa"/>
            <w:tcBorders>
              <w:top w:val="nil"/>
              <w:left w:val="nil"/>
              <w:bottom w:val="single" w:sz="8" w:space="0" w:color="auto"/>
              <w:right w:val="single" w:sz="8" w:space="0" w:color="auto"/>
            </w:tcBorders>
            <w:shd w:val="clear" w:color="auto" w:fill="auto"/>
            <w:vAlign w:val="center"/>
            <w:hideMark/>
          </w:tcPr>
          <w:p w14:paraId="69CD709F"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Irreducible water saturation</w:t>
            </w:r>
          </w:p>
        </w:tc>
      </w:tr>
      <w:tr w:rsidR="00E25502" w:rsidRPr="00AB6A7E" w14:paraId="4E137590" w14:textId="77777777" w:rsidTr="00E25502">
        <w:trPr>
          <w:trHeight w:val="300"/>
        </w:trPr>
        <w:tc>
          <w:tcPr>
            <w:tcW w:w="1800" w:type="dxa"/>
            <w:tcBorders>
              <w:top w:val="nil"/>
              <w:left w:val="single" w:sz="8" w:space="0" w:color="auto"/>
              <w:bottom w:val="single" w:sz="8" w:space="0" w:color="auto"/>
              <w:right w:val="single" w:sz="8" w:space="0" w:color="auto"/>
            </w:tcBorders>
            <w:shd w:val="clear" w:color="auto" w:fill="auto"/>
            <w:vAlign w:val="center"/>
            <w:hideMark/>
          </w:tcPr>
          <w:p w14:paraId="3B016200"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T</w:t>
            </w:r>
          </w:p>
        </w:tc>
        <w:tc>
          <w:tcPr>
            <w:tcW w:w="5460" w:type="dxa"/>
            <w:tcBorders>
              <w:top w:val="nil"/>
              <w:left w:val="nil"/>
              <w:bottom w:val="single" w:sz="8" w:space="0" w:color="auto"/>
              <w:right w:val="single" w:sz="8" w:space="0" w:color="auto"/>
            </w:tcBorders>
            <w:shd w:val="clear" w:color="auto" w:fill="auto"/>
            <w:vAlign w:val="center"/>
            <w:hideMark/>
          </w:tcPr>
          <w:p w14:paraId="3F197111"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Throw at a particular location on a fault surface</w:t>
            </w:r>
          </w:p>
        </w:tc>
      </w:tr>
      <w:tr w:rsidR="00E25502" w:rsidRPr="00AB6A7E" w14:paraId="7AD84192" w14:textId="77777777" w:rsidTr="00E25502">
        <w:trPr>
          <w:trHeight w:val="530"/>
        </w:trPr>
        <w:tc>
          <w:tcPr>
            <w:tcW w:w="1800" w:type="dxa"/>
            <w:tcBorders>
              <w:top w:val="nil"/>
              <w:left w:val="single" w:sz="8" w:space="0" w:color="auto"/>
              <w:bottom w:val="single" w:sz="8" w:space="0" w:color="auto"/>
              <w:right w:val="single" w:sz="8" w:space="0" w:color="auto"/>
            </w:tcBorders>
            <w:shd w:val="clear" w:color="auto" w:fill="auto"/>
            <w:vAlign w:val="center"/>
            <w:hideMark/>
          </w:tcPr>
          <w:p w14:paraId="5B91EDBA"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Vsh</w:t>
            </w:r>
          </w:p>
        </w:tc>
        <w:tc>
          <w:tcPr>
            <w:tcW w:w="5460" w:type="dxa"/>
            <w:tcBorders>
              <w:top w:val="nil"/>
              <w:left w:val="nil"/>
              <w:bottom w:val="single" w:sz="8" w:space="0" w:color="auto"/>
              <w:right w:val="single" w:sz="8" w:space="0" w:color="auto"/>
            </w:tcBorders>
            <w:shd w:val="clear" w:color="auto" w:fill="auto"/>
            <w:vAlign w:val="center"/>
            <w:hideMark/>
          </w:tcPr>
          <w:p w14:paraId="0859DF4D" w14:textId="77777777" w:rsidR="00E25502" w:rsidRPr="00AB6A7E" w:rsidRDefault="00E25502" w:rsidP="00E25502">
            <w:pPr>
              <w:spacing w:after="0" w:line="240" w:lineRule="auto"/>
              <w:rPr>
                <w:rFonts w:ascii="Calibri" w:eastAsia="Times New Roman" w:hAnsi="Calibri" w:cs="Times New Roman"/>
                <w:color w:val="000000"/>
                <w:lang w:eastAsia="en-AU"/>
              </w:rPr>
            </w:pPr>
            <w:r w:rsidRPr="00AB6A7E">
              <w:rPr>
                <w:rFonts w:ascii="Calibri" w:eastAsia="Times New Roman" w:hAnsi="Calibri" w:cs="Times New Roman"/>
                <w:color w:val="000000"/>
                <w:lang w:eastAsia="en-AU"/>
              </w:rPr>
              <w:t>Volume of shale expressed as a % of clay minerals within a given bed thickness</w:t>
            </w:r>
          </w:p>
        </w:tc>
      </w:tr>
    </w:tbl>
    <w:p w14:paraId="55586B82" w14:textId="77777777" w:rsidR="00E25502" w:rsidRDefault="00E25502" w:rsidP="00E25502"/>
    <w:p w14:paraId="3C21429A" w14:textId="77777777" w:rsidR="00E25502" w:rsidRDefault="00E25502" w:rsidP="00E25502"/>
    <w:p w14:paraId="6304E8C2" w14:textId="77777777" w:rsidR="00E25502" w:rsidRDefault="00E25502" w:rsidP="00E25502">
      <w:r>
        <w:br w:type="page"/>
      </w:r>
    </w:p>
    <w:p w14:paraId="4E623A02" w14:textId="77777777" w:rsidR="00E25502" w:rsidRPr="00AB6A7E" w:rsidRDefault="00E25502" w:rsidP="003B1DC9">
      <w:pPr>
        <w:pStyle w:val="Heading1NoTOC"/>
      </w:pPr>
      <w:r w:rsidRPr="00AB6A7E">
        <w:lastRenderedPageBreak/>
        <w:t>Glossary</w:t>
      </w:r>
    </w:p>
    <w:tbl>
      <w:tblPr>
        <w:tblW w:w="8520" w:type="dxa"/>
        <w:tblInd w:w="93" w:type="dxa"/>
        <w:tblLook w:val="04A0" w:firstRow="1" w:lastRow="0" w:firstColumn="1" w:lastColumn="0" w:noHBand="0" w:noVBand="1"/>
      </w:tblPr>
      <w:tblGrid>
        <w:gridCol w:w="2220"/>
        <w:gridCol w:w="6300"/>
      </w:tblGrid>
      <w:tr w:rsidR="00E25502" w:rsidRPr="00AB6A7E" w14:paraId="7C625897" w14:textId="77777777" w:rsidTr="00E25502">
        <w:trPr>
          <w:trHeight w:val="300"/>
        </w:trPr>
        <w:tc>
          <w:tcPr>
            <w:tcW w:w="2220" w:type="dxa"/>
            <w:tcBorders>
              <w:top w:val="single" w:sz="8" w:space="0" w:color="auto"/>
              <w:left w:val="single" w:sz="8" w:space="0" w:color="auto"/>
              <w:bottom w:val="single" w:sz="8" w:space="0" w:color="auto"/>
              <w:right w:val="single" w:sz="8" w:space="0" w:color="auto"/>
            </w:tcBorders>
            <w:shd w:val="clear" w:color="000000" w:fill="D5DCE4" w:themeFill="text2" w:themeFillTint="33"/>
            <w:vAlign w:val="center"/>
            <w:hideMark/>
          </w:tcPr>
          <w:p w14:paraId="29584F45" w14:textId="77777777" w:rsidR="00E25502" w:rsidRPr="00AB6A7E" w:rsidRDefault="00E25502" w:rsidP="00E25502">
            <w:pPr>
              <w:spacing w:after="0" w:line="240" w:lineRule="auto"/>
              <w:rPr>
                <w:rFonts w:eastAsia="Times New Roman" w:cs="Arial"/>
                <w:b/>
                <w:bCs/>
                <w:color w:val="000000"/>
                <w:lang w:eastAsia="en-AU"/>
              </w:rPr>
            </w:pPr>
            <w:r w:rsidRPr="00AB6A7E">
              <w:rPr>
                <w:rFonts w:eastAsia="Times New Roman" w:cs="Arial"/>
                <w:b/>
                <w:bCs/>
                <w:color w:val="000000"/>
                <w:lang w:eastAsia="en-AU"/>
              </w:rPr>
              <w:t>Term</w:t>
            </w:r>
          </w:p>
        </w:tc>
        <w:tc>
          <w:tcPr>
            <w:tcW w:w="6300" w:type="dxa"/>
            <w:tcBorders>
              <w:top w:val="single" w:sz="8" w:space="0" w:color="auto"/>
              <w:left w:val="nil"/>
              <w:bottom w:val="single" w:sz="8" w:space="0" w:color="auto"/>
              <w:right w:val="single" w:sz="8" w:space="0" w:color="auto"/>
            </w:tcBorders>
            <w:shd w:val="clear" w:color="000000" w:fill="D5DCE4" w:themeFill="text2" w:themeFillTint="33"/>
            <w:vAlign w:val="center"/>
            <w:hideMark/>
          </w:tcPr>
          <w:p w14:paraId="3BE5DD2A" w14:textId="77777777" w:rsidR="00E25502" w:rsidRPr="00AB6A7E" w:rsidRDefault="00E25502" w:rsidP="00E25502">
            <w:pPr>
              <w:spacing w:after="0" w:line="240" w:lineRule="auto"/>
              <w:rPr>
                <w:rFonts w:eastAsia="Times New Roman" w:cs="Arial"/>
                <w:b/>
                <w:bCs/>
                <w:color w:val="000000"/>
                <w:lang w:eastAsia="en-AU"/>
              </w:rPr>
            </w:pPr>
            <w:r w:rsidRPr="00AB6A7E">
              <w:rPr>
                <w:rFonts w:eastAsia="Times New Roman" w:cs="Arial"/>
                <w:b/>
                <w:bCs/>
                <w:color w:val="000000"/>
                <w:lang w:eastAsia="en-AU"/>
              </w:rPr>
              <w:t>Description</w:t>
            </w:r>
          </w:p>
        </w:tc>
      </w:tr>
      <w:tr w:rsidR="00E25502" w:rsidRPr="00AB6A7E" w14:paraId="622CDFC3"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63ED8BDE"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Anisotropic</w:t>
            </w:r>
          </w:p>
        </w:tc>
        <w:tc>
          <w:tcPr>
            <w:tcW w:w="6300" w:type="dxa"/>
            <w:tcBorders>
              <w:top w:val="nil"/>
              <w:left w:val="nil"/>
              <w:bottom w:val="single" w:sz="8" w:space="0" w:color="auto"/>
              <w:right w:val="single" w:sz="8" w:space="0" w:color="auto"/>
            </w:tcBorders>
            <w:shd w:val="clear" w:color="auto" w:fill="auto"/>
            <w:vAlign w:val="center"/>
            <w:hideMark/>
          </w:tcPr>
          <w:p w14:paraId="2B1BBCF5" w14:textId="3D1C34C5"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Having different physical properties in different directions</w:t>
            </w:r>
            <w:r w:rsidR="00A77F8B">
              <w:rPr>
                <w:rFonts w:eastAsia="Times New Roman" w:cs="Arial"/>
                <w:color w:val="000000"/>
                <w:lang w:eastAsia="en-AU"/>
              </w:rPr>
              <w:t>.</w:t>
            </w:r>
          </w:p>
        </w:tc>
      </w:tr>
      <w:tr w:rsidR="00E25502" w:rsidRPr="00AB6A7E" w14:paraId="743E83B9" w14:textId="77777777" w:rsidTr="00E25502">
        <w:trPr>
          <w:trHeight w:val="51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6E913718"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Aquiclude</w:t>
            </w:r>
          </w:p>
        </w:tc>
        <w:tc>
          <w:tcPr>
            <w:tcW w:w="6300" w:type="dxa"/>
            <w:tcBorders>
              <w:top w:val="nil"/>
              <w:left w:val="nil"/>
              <w:bottom w:val="single" w:sz="8" w:space="0" w:color="auto"/>
              <w:right w:val="single" w:sz="8" w:space="0" w:color="auto"/>
            </w:tcBorders>
            <w:shd w:val="clear" w:color="auto" w:fill="auto"/>
            <w:vAlign w:val="center"/>
            <w:hideMark/>
          </w:tcPr>
          <w:p w14:paraId="53FB8C34" w14:textId="429598EC" w:rsidR="00E25502" w:rsidRPr="00AB6A7E" w:rsidRDefault="00260B73" w:rsidP="00E25502">
            <w:pPr>
              <w:spacing w:after="0" w:line="240" w:lineRule="auto"/>
              <w:rPr>
                <w:rFonts w:eastAsia="Times New Roman" w:cs="Arial"/>
                <w:color w:val="000000"/>
                <w:lang w:eastAsia="en-AU"/>
              </w:rPr>
            </w:pPr>
            <w:r>
              <w:t xml:space="preserve">An </w:t>
            </w:r>
            <w:r>
              <w:rPr>
                <w:rStyle w:val="hvr"/>
              </w:rPr>
              <w:t>impermeable</w:t>
            </w:r>
            <w:r>
              <w:t xml:space="preserve"> </w:t>
            </w:r>
            <w:r>
              <w:rPr>
                <w:rStyle w:val="hvr"/>
              </w:rPr>
              <w:t>body</w:t>
            </w:r>
            <w:r>
              <w:t xml:space="preserve"> of </w:t>
            </w:r>
            <w:r>
              <w:rPr>
                <w:rStyle w:val="hvr"/>
              </w:rPr>
              <w:t>rock</w:t>
            </w:r>
            <w:r>
              <w:t xml:space="preserve"> or </w:t>
            </w:r>
            <w:r>
              <w:rPr>
                <w:rStyle w:val="hvr"/>
              </w:rPr>
              <w:t>stratum</w:t>
            </w:r>
            <w:r>
              <w:t xml:space="preserve"> of </w:t>
            </w:r>
            <w:r>
              <w:rPr>
                <w:rStyle w:val="hvr"/>
              </w:rPr>
              <w:t>sediment</w:t>
            </w:r>
            <w:r>
              <w:t xml:space="preserve"> </w:t>
            </w:r>
            <w:r>
              <w:rPr>
                <w:rStyle w:val="hvr"/>
              </w:rPr>
              <w:t>that</w:t>
            </w:r>
            <w:r>
              <w:t xml:space="preserve"> </w:t>
            </w:r>
            <w:r>
              <w:rPr>
                <w:rStyle w:val="hvr"/>
              </w:rPr>
              <w:t>acts</w:t>
            </w:r>
            <w:r>
              <w:t xml:space="preserve"> as a </w:t>
            </w:r>
            <w:r>
              <w:rPr>
                <w:rStyle w:val="hvr"/>
              </w:rPr>
              <w:t>barrier</w:t>
            </w:r>
            <w:r>
              <w:t xml:space="preserve"> to </w:t>
            </w:r>
            <w:r>
              <w:rPr>
                <w:rStyle w:val="hvr"/>
              </w:rPr>
              <w:t>the</w:t>
            </w:r>
            <w:r>
              <w:t xml:space="preserve"> </w:t>
            </w:r>
            <w:r>
              <w:rPr>
                <w:rStyle w:val="hvr"/>
              </w:rPr>
              <w:t>flow</w:t>
            </w:r>
            <w:r>
              <w:t xml:space="preserve"> of </w:t>
            </w:r>
            <w:r>
              <w:rPr>
                <w:rStyle w:val="hvr"/>
              </w:rPr>
              <w:t>water.</w:t>
            </w:r>
          </w:p>
        </w:tc>
      </w:tr>
      <w:tr w:rsidR="00E25502" w:rsidRPr="00AB6A7E" w14:paraId="520B1F1B" w14:textId="77777777" w:rsidTr="00E25502">
        <w:trPr>
          <w:trHeight w:val="76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1D50526F"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Aquifer</w:t>
            </w:r>
          </w:p>
        </w:tc>
        <w:tc>
          <w:tcPr>
            <w:tcW w:w="6300" w:type="dxa"/>
            <w:tcBorders>
              <w:top w:val="nil"/>
              <w:left w:val="nil"/>
              <w:bottom w:val="single" w:sz="8" w:space="0" w:color="auto"/>
              <w:right w:val="single" w:sz="8" w:space="0" w:color="auto"/>
            </w:tcBorders>
            <w:shd w:val="clear" w:color="auto" w:fill="auto"/>
            <w:vAlign w:val="center"/>
            <w:hideMark/>
          </w:tcPr>
          <w:p w14:paraId="2D773A7A" w14:textId="58C5F386" w:rsidR="00E25502" w:rsidRPr="00AB6A7E" w:rsidRDefault="00260B73" w:rsidP="00E25502">
            <w:pPr>
              <w:spacing w:after="0" w:line="240" w:lineRule="auto"/>
              <w:rPr>
                <w:rFonts w:eastAsia="Times New Roman" w:cs="Arial"/>
                <w:color w:val="000000"/>
                <w:lang w:eastAsia="en-AU"/>
              </w:rPr>
            </w:pPr>
            <w:r>
              <w:rPr>
                <w:rFonts w:eastAsia="Times New Roman" w:cs="Arial"/>
                <w:color w:val="000000"/>
                <w:lang w:eastAsia="en-AU"/>
              </w:rPr>
              <w:t xml:space="preserve">A body of rock or stratum of sediment </w:t>
            </w:r>
            <w:r w:rsidR="00E25502" w:rsidRPr="00AB6A7E">
              <w:rPr>
                <w:rFonts w:eastAsia="Times New Roman" w:cs="Arial"/>
                <w:color w:val="000000"/>
                <w:lang w:eastAsia="en-AU"/>
              </w:rPr>
              <w:t xml:space="preserve">which is saturated and sufficiently permeable to transmit </w:t>
            </w:r>
            <w:r>
              <w:rPr>
                <w:rFonts w:eastAsia="Times New Roman" w:cs="Arial"/>
                <w:color w:val="000000"/>
                <w:lang w:eastAsia="en-AU"/>
              </w:rPr>
              <w:t xml:space="preserve">useful </w:t>
            </w:r>
            <w:r w:rsidR="00E25502" w:rsidRPr="00AB6A7E">
              <w:rPr>
                <w:rFonts w:eastAsia="Times New Roman" w:cs="Arial"/>
                <w:color w:val="000000"/>
                <w:lang w:eastAsia="en-AU"/>
              </w:rPr>
              <w:t>quantities of water to wells and springs</w:t>
            </w:r>
            <w:r w:rsidR="00A77F8B">
              <w:rPr>
                <w:rFonts w:eastAsia="Times New Roman" w:cs="Arial"/>
                <w:color w:val="000000"/>
                <w:lang w:eastAsia="en-AU"/>
              </w:rPr>
              <w:t>.</w:t>
            </w:r>
          </w:p>
        </w:tc>
      </w:tr>
      <w:tr w:rsidR="00E25502" w:rsidRPr="00AB6A7E" w14:paraId="7C2C3F6C" w14:textId="77777777" w:rsidTr="00E25502">
        <w:trPr>
          <w:trHeight w:val="76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0FB51EE9"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Aquitard</w:t>
            </w:r>
          </w:p>
        </w:tc>
        <w:tc>
          <w:tcPr>
            <w:tcW w:w="6300" w:type="dxa"/>
            <w:tcBorders>
              <w:top w:val="nil"/>
              <w:left w:val="nil"/>
              <w:bottom w:val="single" w:sz="8" w:space="0" w:color="auto"/>
              <w:right w:val="single" w:sz="8" w:space="0" w:color="auto"/>
            </w:tcBorders>
            <w:shd w:val="clear" w:color="auto" w:fill="auto"/>
            <w:vAlign w:val="center"/>
            <w:hideMark/>
          </w:tcPr>
          <w:p w14:paraId="326F8ACA" w14:textId="4658D3E6" w:rsidR="00E25502" w:rsidRPr="00AB6A7E" w:rsidRDefault="00E25502" w:rsidP="00260B73">
            <w:pPr>
              <w:spacing w:after="0" w:line="240" w:lineRule="auto"/>
              <w:rPr>
                <w:rFonts w:eastAsia="Times New Roman" w:cs="Arial"/>
                <w:color w:val="000000"/>
                <w:lang w:eastAsia="en-AU"/>
              </w:rPr>
            </w:pPr>
            <w:r w:rsidRPr="00AB6A7E">
              <w:rPr>
                <w:rFonts w:eastAsia="Times New Roman" w:cs="Arial"/>
                <w:color w:val="000000"/>
                <w:lang w:eastAsia="en-AU"/>
              </w:rPr>
              <w:t xml:space="preserve">A saturated </w:t>
            </w:r>
            <w:r w:rsidR="00260B73">
              <w:rPr>
                <w:rFonts w:eastAsia="Times New Roman" w:cs="Arial"/>
                <w:color w:val="000000"/>
                <w:lang w:eastAsia="en-AU"/>
              </w:rPr>
              <w:t xml:space="preserve">body of rock or stratum of sediment </w:t>
            </w:r>
            <w:r w:rsidRPr="00AB6A7E">
              <w:rPr>
                <w:rFonts w:eastAsia="Times New Roman" w:cs="Arial"/>
                <w:color w:val="000000"/>
                <w:lang w:eastAsia="en-AU"/>
              </w:rPr>
              <w:t>that is less permeable than an aquifer and incapable of transmitting useful quantities of water. Aquitards often form a confining layer over an artesian aquifer</w:t>
            </w:r>
            <w:r w:rsidR="00A77F8B">
              <w:rPr>
                <w:rFonts w:eastAsia="Times New Roman" w:cs="Arial"/>
                <w:color w:val="000000"/>
                <w:lang w:eastAsia="en-AU"/>
              </w:rPr>
              <w:t>.</w:t>
            </w:r>
          </w:p>
        </w:tc>
      </w:tr>
      <w:tr w:rsidR="00E25502" w:rsidRPr="00AB6A7E" w14:paraId="74D84496"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4889FC7C"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Artesian</w:t>
            </w:r>
          </w:p>
        </w:tc>
        <w:tc>
          <w:tcPr>
            <w:tcW w:w="6300" w:type="dxa"/>
            <w:tcBorders>
              <w:top w:val="nil"/>
              <w:left w:val="nil"/>
              <w:bottom w:val="single" w:sz="8" w:space="0" w:color="auto"/>
              <w:right w:val="single" w:sz="8" w:space="0" w:color="auto"/>
            </w:tcBorders>
            <w:shd w:val="clear" w:color="auto" w:fill="auto"/>
            <w:vAlign w:val="center"/>
            <w:hideMark/>
          </w:tcPr>
          <w:p w14:paraId="70A7EA66" w14:textId="43E83893"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Ground</w:t>
            </w:r>
            <w:r w:rsidR="0098061D">
              <w:rPr>
                <w:rFonts w:eastAsia="Times New Roman" w:cs="Arial"/>
                <w:color w:val="000000"/>
                <w:lang w:eastAsia="en-AU"/>
              </w:rPr>
              <w:t>water with a</w:t>
            </w:r>
            <w:r w:rsidR="009C0710">
              <w:rPr>
                <w:rFonts w:eastAsia="Times New Roman" w:cs="Arial"/>
                <w:color w:val="000000"/>
                <w:lang w:eastAsia="en-AU"/>
              </w:rPr>
              <w:t xml:space="preserve"> hydraulic head</w:t>
            </w:r>
            <w:r w:rsidRPr="00AB6A7E">
              <w:rPr>
                <w:rFonts w:eastAsia="Times New Roman" w:cs="Arial"/>
                <w:color w:val="000000"/>
                <w:lang w:eastAsia="en-AU"/>
              </w:rPr>
              <w:t xml:space="preserve"> above ground level</w:t>
            </w:r>
            <w:r w:rsidR="00A77F8B">
              <w:rPr>
                <w:rFonts w:eastAsia="Times New Roman" w:cs="Arial"/>
                <w:color w:val="000000"/>
                <w:lang w:eastAsia="en-AU"/>
              </w:rPr>
              <w:t>.</w:t>
            </w:r>
          </w:p>
        </w:tc>
      </w:tr>
      <w:tr w:rsidR="00E25502" w:rsidRPr="00AB6A7E" w14:paraId="6FA0157E" w14:textId="77777777" w:rsidTr="00E25502">
        <w:trPr>
          <w:trHeight w:val="51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27CC204F"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Azimuth</w:t>
            </w:r>
          </w:p>
        </w:tc>
        <w:tc>
          <w:tcPr>
            <w:tcW w:w="6300" w:type="dxa"/>
            <w:tcBorders>
              <w:top w:val="nil"/>
              <w:left w:val="nil"/>
              <w:bottom w:val="single" w:sz="8" w:space="0" w:color="auto"/>
              <w:right w:val="single" w:sz="8" w:space="0" w:color="auto"/>
            </w:tcBorders>
            <w:shd w:val="clear" w:color="auto" w:fill="auto"/>
            <w:vAlign w:val="center"/>
            <w:hideMark/>
          </w:tcPr>
          <w:p w14:paraId="5D004D3D" w14:textId="37F7AA1D" w:rsidR="00E25502" w:rsidRPr="00AB6A7E" w:rsidRDefault="00260B73" w:rsidP="00E25502">
            <w:pPr>
              <w:spacing w:after="0" w:line="240" w:lineRule="auto"/>
              <w:rPr>
                <w:rFonts w:eastAsia="Times New Roman" w:cs="Arial"/>
                <w:color w:val="000000"/>
                <w:lang w:eastAsia="en-AU"/>
              </w:rPr>
            </w:pPr>
            <w:r>
              <w:rPr>
                <w:rStyle w:val="hvr"/>
              </w:rPr>
              <w:t>The</w:t>
            </w:r>
            <w:r>
              <w:t xml:space="preserve"> </w:t>
            </w:r>
            <w:r>
              <w:rPr>
                <w:rStyle w:val="hvr"/>
              </w:rPr>
              <w:t>horizontal</w:t>
            </w:r>
            <w:r>
              <w:t xml:space="preserve"> </w:t>
            </w:r>
            <w:r>
              <w:rPr>
                <w:rStyle w:val="hvr"/>
              </w:rPr>
              <w:t>angle</w:t>
            </w:r>
            <w:r>
              <w:t xml:space="preserve"> of an </w:t>
            </w:r>
            <w:r>
              <w:rPr>
                <w:rStyle w:val="hvr"/>
              </w:rPr>
              <w:t>observer's</w:t>
            </w:r>
            <w:r>
              <w:t xml:space="preserve"> </w:t>
            </w:r>
            <w:r>
              <w:rPr>
                <w:rStyle w:val="hvr"/>
              </w:rPr>
              <w:t>bearing,</w:t>
            </w:r>
            <w:r>
              <w:t xml:space="preserve"> </w:t>
            </w:r>
            <w:r>
              <w:rPr>
                <w:rStyle w:val="hvr"/>
              </w:rPr>
              <w:t>measured</w:t>
            </w:r>
            <w:r>
              <w:t xml:space="preserve"> </w:t>
            </w:r>
            <w:r>
              <w:rPr>
                <w:rStyle w:val="hvr"/>
              </w:rPr>
              <w:t>clockwise</w:t>
            </w:r>
            <w:r>
              <w:t xml:space="preserve"> </w:t>
            </w:r>
            <w:r>
              <w:rPr>
                <w:rStyle w:val="hvr"/>
              </w:rPr>
              <w:t>from</w:t>
            </w:r>
            <w:r>
              <w:t xml:space="preserve"> a </w:t>
            </w:r>
            <w:r>
              <w:rPr>
                <w:rStyle w:val="hvr"/>
              </w:rPr>
              <w:t>reference</w:t>
            </w:r>
            <w:r>
              <w:t xml:space="preserve"> </w:t>
            </w:r>
            <w:r>
              <w:rPr>
                <w:rStyle w:val="hvr"/>
              </w:rPr>
              <w:t>direction</w:t>
            </w:r>
            <w:r>
              <w:t xml:space="preserve"> </w:t>
            </w:r>
            <w:r>
              <w:rPr>
                <w:rStyle w:val="hvr"/>
              </w:rPr>
              <w:t>such</w:t>
            </w:r>
            <w:r>
              <w:t xml:space="preserve"> as </w:t>
            </w:r>
            <w:r>
              <w:rPr>
                <w:rStyle w:val="hvr"/>
              </w:rPr>
              <w:t>true</w:t>
            </w:r>
            <w:r>
              <w:t xml:space="preserve"> </w:t>
            </w:r>
            <w:r>
              <w:rPr>
                <w:rStyle w:val="hvr"/>
              </w:rPr>
              <w:t>north.</w:t>
            </w:r>
          </w:p>
        </w:tc>
      </w:tr>
      <w:tr w:rsidR="00E25502" w:rsidRPr="00AB6A7E" w14:paraId="509B7112" w14:textId="77777777" w:rsidTr="00E25502">
        <w:trPr>
          <w:trHeight w:val="51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6B657809"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Baseline survey</w:t>
            </w:r>
          </w:p>
        </w:tc>
        <w:tc>
          <w:tcPr>
            <w:tcW w:w="6300" w:type="dxa"/>
            <w:tcBorders>
              <w:top w:val="nil"/>
              <w:left w:val="nil"/>
              <w:bottom w:val="single" w:sz="8" w:space="0" w:color="auto"/>
              <w:right w:val="single" w:sz="8" w:space="0" w:color="auto"/>
            </w:tcBorders>
            <w:shd w:val="clear" w:color="auto" w:fill="auto"/>
            <w:vAlign w:val="center"/>
            <w:hideMark/>
          </w:tcPr>
          <w:p w14:paraId="2EBAD573" w14:textId="7070E4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A survey carried out prior to any disturbance to determine the natural background levels of certain substances</w:t>
            </w:r>
            <w:r w:rsidR="00A77F8B">
              <w:rPr>
                <w:rFonts w:eastAsia="Times New Roman" w:cs="Arial"/>
                <w:color w:val="000000"/>
                <w:lang w:eastAsia="en-AU"/>
              </w:rPr>
              <w:t>.</w:t>
            </w:r>
          </w:p>
        </w:tc>
      </w:tr>
      <w:tr w:rsidR="00E25502" w:rsidRPr="00AB6A7E" w14:paraId="160CCDC2"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764DA6A3" w14:textId="5DB0F5A2" w:rsidR="00E25502" w:rsidRPr="00AB6A7E" w:rsidRDefault="00601F4E" w:rsidP="00E25502">
            <w:pPr>
              <w:spacing w:after="0" w:line="240" w:lineRule="auto"/>
              <w:rPr>
                <w:rFonts w:eastAsia="Times New Roman" w:cs="Arial"/>
                <w:color w:val="000000"/>
                <w:lang w:eastAsia="en-AU"/>
              </w:rPr>
            </w:pPr>
            <w:r w:rsidRPr="00AB6A7E">
              <w:rPr>
                <w:rFonts w:eastAsia="Times New Roman" w:cs="Arial"/>
                <w:color w:val="000000"/>
                <w:lang w:eastAsia="en-AU"/>
              </w:rPr>
              <w:t>Buoyancy</w:t>
            </w:r>
          </w:p>
        </w:tc>
        <w:tc>
          <w:tcPr>
            <w:tcW w:w="6300" w:type="dxa"/>
            <w:tcBorders>
              <w:top w:val="nil"/>
              <w:left w:val="nil"/>
              <w:bottom w:val="single" w:sz="8" w:space="0" w:color="auto"/>
              <w:right w:val="single" w:sz="8" w:space="0" w:color="auto"/>
            </w:tcBorders>
            <w:shd w:val="clear" w:color="auto" w:fill="auto"/>
            <w:noWrap/>
            <w:vAlign w:val="bottom"/>
            <w:hideMark/>
          </w:tcPr>
          <w:p w14:paraId="1BFEB906" w14:textId="7A360121" w:rsidR="00E25502" w:rsidRPr="008206A7" w:rsidRDefault="008206A7" w:rsidP="00791C00">
            <w:pPr>
              <w:spacing w:after="0" w:line="240" w:lineRule="auto"/>
              <w:rPr>
                <w:rFonts w:eastAsia="Times New Roman" w:cs="Times New Roman"/>
                <w:color w:val="000000"/>
                <w:lang w:eastAsia="en-AU"/>
              </w:rPr>
            </w:pPr>
            <w:r>
              <w:rPr>
                <w:rFonts w:eastAsia="Times New Roman" w:cs="Times New Roman"/>
                <w:lang w:eastAsia="en-AU"/>
              </w:rPr>
              <w:t>Wi</w:t>
            </w:r>
            <w:r w:rsidR="00791C00">
              <w:rPr>
                <w:rFonts w:eastAsia="Times New Roman" w:cs="Times New Roman"/>
                <w:lang w:eastAsia="en-AU"/>
              </w:rPr>
              <w:t>thin the earths gravitational f</w:t>
            </w:r>
            <w:r>
              <w:rPr>
                <w:rFonts w:eastAsia="Times New Roman" w:cs="Times New Roman"/>
                <w:lang w:eastAsia="en-AU"/>
              </w:rPr>
              <w:t>i</w:t>
            </w:r>
            <w:r w:rsidR="00791C00">
              <w:rPr>
                <w:rFonts w:eastAsia="Times New Roman" w:cs="Times New Roman"/>
                <w:lang w:eastAsia="en-AU"/>
              </w:rPr>
              <w:t>e</w:t>
            </w:r>
            <w:r>
              <w:rPr>
                <w:rFonts w:eastAsia="Times New Roman" w:cs="Times New Roman"/>
                <w:lang w:eastAsia="en-AU"/>
              </w:rPr>
              <w:t>ld</w:t>
            </w:r>
            <w:r w:rsidR="00791C00">
              <w:rPr>
                <w:rFonts w:eastAsia="Times New Roman" w:cs="Times New Roman"/>
                <w:lang w:eastAsia="en-AU"/>
              </w:rPr>
              <w:t xml:space="preserve"> a buoyancy force is exerted when two different density fluids occur in the pore space of rocks where the lighter fluid experiences an upwards force and the denser fluid experiences a downward force.</w:t>
            </w:r>
          </w:p>
        </w:tc>
      </w:tr>
      <w:tr w:rsidR="00E25502" w:rsidRPr="00AB6A7E" w14:paraId="52C4C273"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043E5642"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Breccia</w:t>
            </w:r>
          </w:p>
        </w:tc>
        <w:tc>
          <w:tcPr>
            <w:tcW w:w="6300" w:type="dxa"/>
            <w:tcBorders>
              <w:top w:val="nil"/>
              <w:left w:val="nil"/>
              <w:bottom w:val="single" w:sz="8" w:space="0" w:color="auto"/>
              <w:right w:val="single" w:sz="8" w:space="0" w:color="auto"/>
            </w:tcBorders>
            <w:shd w:val="clear" w:color="auto" w:fill="auto"/>
            <w:noWrap/>
            <w:vAlign w:val="bottom"/>
            <w:hideMark/>
          </w:tcPr>
          <w:p w14:paraId="667FE017" w14:textId="68CC3BFD" w:rsidR="00E25502" w:rsidRPr="00AB6A7E" w:rsidRDefault="00791C00" w:rsidP="00E25502">
            <w:pPr>
              <w:spacing w:after="0" w:line="240" w:lineRule="auto"/>
              <w:rPr>
                <w:rFonts w:eastAsia="Times New Roman" w:cs="Times New Roman"/>
                <w:color w:val="000000"/>
                <w:lang w:eastAsia="en-AU"/>
              </w:rPr>
            </w:pPr>
            <w:r>
              <w:rPr>
                <w:rFonts w:eastAsia="Times New Roman" w:cs="Times New Roman"/>
                <w:color w:val="000000"/>
                <w:lang w:eastAsia="en-AU"/>
              </w:rPr>
              <w:t>A</w:t>
            </w:r>
            <w:r>
              <w:rPr>
                <w:rStyle w:val="tgc"/>
              </w:rPr>
              <w:t xml:space="preserve"> rock composed of broken fragments of rock or minerals</w:t>
            </w:r>
            <w:r w:rsidR="00601F4E">
              <w:rPr>
                <w:rStyle w:val="tgc"/>
              </w:rPr>
              <w:t>.</w:t>
            </w:r>
          </w:p>
        </w:tc>
      </w:tr>
      <w:tr w:rsidR="00E25502" w:rsidRPr="00AB6A7E" w14:paraId="334AB4CD"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6164856D"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Calibration</w:t>
            </w:r>
          </w:p>
        </w:tc>
        <w:tc>
          <w:tcPr>
            <w:tcW w:w="6300" w:type="dxa"/>
            <w:tcBorders>
              <w:top w:val="nil"/>
              <w:left w:val="nil"/>
              <w:bottom w:val="single" w:sz="8" w:space="0" w:color="auto"/>
              <w:right w:val="single" w:sz="8" w:space="0" w:color="auto"/>
            </w:tcBorders>
            <w:shd w:val="clear" w:color="auto" w:fill="auto"/>
            <w:noWrap/>
            <w:vAlign w:val="bottom"/>
            <w:hideMark/>
          </w:tcPr>
          <w:p w14:paraId="685F83A8" w14:textId="635EAB8C" w:rsidR="00E25502" w:rsidRPr="00AB6A7E" w:rsidRDefault="00791C00" w:rsidP="00E25502">
            <w:pPr>
              <w:spacing w:after="0" w:line="240" w:lineRule="auto"/>
              <w:rPr>
                <w:rFonts w:eastAsia="Times New Roman" w:cs="Times New Roman"/>
                <w:color w:val="000000"/>
                <w:lang w:eastAsia="en-AU"/>
              </w:rPr>
            </w:pPr>
            <w:r>
              <w:t xml:space="preserve">The process of finding a relationship between two unknown (when the measurable quantities are not given a particular value for the amount considered or found a standard for the quantity) quantities. When one of quantity is known, which is made or set with one device, another measurement is made as similar way as possible with the first device using a </w:t>
            </w:r>
            <w:r w:rsidRPr="00791C00">
              <w:t xml:space="preserve">second device. The measurable quantities may differ in two devices which are equivalent. The device with the known or assigned correctness is called the </w:t>
            </w:r>
            <w:hyperlink r:id="rId23" w:tooltip="Standard (metrology)" w:history="1">
              <w:r w:rsidRPr="00791C00">
                <w:rPr>
                  <w:rStyle w:val="Hyperlink"/>
                  <w:color w:val="auto"/>
                  <w:u w:val="none"/>
                </w:rPr>
                <w:t>standard</w:t>
              </w:r>
            </w:hyperlink>
            <w:r w:rsidRPr="00791C00">
              <w:t xml:space="preserve">. The second device is the </w:t>
            </w:r>
            <w:hyperlink r:id="rId24" w:tooltip="Device under test" w:history="1">
              <w:r w:rsidRPr="00791C00">
                <w:rPr>
                  <w:rStyle w:val="Hyperlink"/>
                  <w:color w:val="auto"/>
                  <w:u w:val="none"/>
                </w:rPr>
                <w:t>unit under test</w:t>
              </w:r>
            </w:hyperlink>
            <w:r>
              <w:t>.</w:t>
            </w:r>
          </w:p>
        </w:tc>
      </w:tr>
      <w:tr w:rsidR="00E25502" w:rsidRPr="00AB6A7E" w14:paraId="25FD6701"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5406DE1C"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Calliper logs</w:t>
            </w:r>
          </w:p>
        </w:tc>
        <w:tc>
          <w:tcPr>
            <w:tcW w:w="6300" w:type="dxa"/>
            <w:tcBorders>
              <w:top w:val="nil"/>
              <w:left w:val="nil"/>
              <w:bottom w:val="single" w:sz="8" w:space="0" w:color="auto"/>
              <w:right w:val="single" w:sz="8" w:space="0" w:color="auto"/>
            </w:tcBorders>
            <w:shd w:val="clear" w:color="auto" w:fill="auto"/>
            <w:noWrap/>
            <w:vAlign w:val="bottom"/>
            <w:hideMark/>
          </w:tcPr>
          <w:p w14:paraId="2683B682" w14:textId="02952033" w:rsidR="00E25502" w:rsidRPr="005272EC" w:rsidRDefault="005272EC" w:rsidP="00E25502">
            <w:pPr>
              <w:spacing w:after="0" w:line="240" w:lineRule="auto"/>
              <w:rPr>
                <w:rFonts w:eastAsia="Times New Roman" w:cs="Times New Roman"/>
                <w:lang w:eastAsia="en-AU"/>
              </w:rPr>
            </w:pPr>
            <w:r w:rsidRPr="005272EC">
              <w:t xml:space="preserve">A </w:t>
            </w:r>
            <w:r w:rsidRPr="005272EC">
              <w:rPr>
                <w:bCs/>
              </w:rPr>
              <w:t>ca</w:t>
            </w:r>
            <w:r>
              <w:rPr>
                <w:bCs/>
              </w:rPr>
              <w:t>l</w:t>
            </w:r>
            <w:r w:rsidRPr="005272EC">
              <w:rPr>
                <w:bCs/>
              </w:rPr>
              <w:t>liper log</w:t>
            </w:r>
            <w:r w:rsidRPr="005272EC">
              <w:t xml:space="preserve"> is a </w:t>
            </w:r>
            <w:hyperlink r:id="rId25" w:tooltip="Well logging" w:history="1">
              <w:r w:rsidRPr="005272EC">
                <w:rPr>
                  <w:rStyle w:val="Hyperlink"/>
                  <w:color w:val="auto"/>
                  <w:u w:val="none"/>
                </w:rPr>
                <w:t>well logging</w:t>
              </w:r>
            </w:hyperlink>
            <w:r w:rsidRPr="005272EC">
              <w:t xml:space="preserve"> tool that provides a continuous measurement of the size and shape of a </w:t>
            </w:r>
            <w:hyperlink r:id="rId26" w:tooltip="Borehole" w:history="1">
              <w:r w:rsidRPr="005272EC">
                <w:rPr>
                  <w:rStyle w:val="Hyperlink"/>
                  <w:color w:val="auto"/>
                  <w:u w:val="none"/>
                </w:rPr>
                <w:t>borehole</w:t>
              </w:r>
            </w:hyperlink>
            <w:r w:rsidRPr="005272EC">
              <w:t xml:space="preserve"> along its depth</w:t>
            </w:r>
            <w:r w:rsidR="000F5F3B">
              <w:t>.</w:t>
            </w:r>
          </w:p>
        </w:tc>
      </w:tr>
      <w:tr w:rsidR="00E25502" w:rsidRPr="00AB6A7E" w14:paraId="260A524A"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056559AC"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Capillary leakage</w:t>
            </w:r>
          </w:p>
        </w:tc>
        <w:tc>
          <w:tcPr>
            <w:tcW w:w="6300" w:type="dxa"/>
            <w:tcBorders>
              <w:top w:val="nil"/>
              <w:left w:val="nil"/>
              <w:bottom w:val="single" w:sz="8" w:space="0" w:color="auto"/>
              <w:right w:val="single" w:sz="8" w:space="0" w:color="auto"/>
            </w:tcBorders>
            <w:shd w:val="clear" w:color="auto" w:fill="auto"/>
            <w:noWrap/>
            <w:vAlign w:val="bottom"/>
            <w:hideMark/>
          </w:tcPr>
          <w:p w14:paraId="1C2DD9D4" w14:textId="2E00F84E" w:rsidR="00E25502" w:rsidRPr="00AB6A7E" w:rsidRDefault="005272EC" w:rsidP="00E25502">
            <w:pPr>
              <w:spacing w:after="0" w:line="240" w:lineRule="auto"/>
              <w:rPr>
                <w:rFonts w:eastAsia="Times New Roman" w:cs="Times New Roman"/>
                <w:color w:val="000000"/>
                <w:lang w:eastAsia="en-AU"/>
              </w:rPr>
            </w:pPr>
            <w:r>
              <w:rPr>
                <w:rFonts w:eastAsia="Times New Roman" w:cs="Times New Roman"/>
                <w:color w:val="000000"/>
                <w:lang w:eastAsia="en-AU"/>
              </w:rPr>
              <w:t>The flux of</w:t>
            </w:r>
            <w:r w:rsidR="000F5F3B">
              <w:rPr>
                <w:rFonts w:eastAsia="Times New Roman" w:cs="Times New Roman"/>
                <w:color w:val="000000"/>
                <w:lang w:eastAsia="en-AU"/>
              </w:rPr>
              <w:t xml:space="preserve"> non-wetting fluid that has overcome the capillary threshold pressure and migrated across a sealing rock layer.</w:t>
            </w:r>
          </w:p>
        </w:tc>
      </w:tr>
      <w:tr w:rsidR="00E25502" w:rsidRPr="00AB6A7E" w14:paraId="3AD93C1D"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7503A42A"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Capillary seal</w:t>
            </w:r>
          </w:p>
        </w:tc>
        <w:tc>
          <w:tcPr>
            <w:tcW w:w="6300" w:type="dxa"/>
            <w:tcBorders>
              <w:top w:val="nil"/>
              <w:left w:val="nil"/>
              <w:bottom w:val="single" w:sz="8" w:space="0" w:color="auto"/>
              <w:right w:val="single" w:sz="8" w:space="0" w:color="auto"/>
            </w:tcBorders>
            <w:shd w:val="clear" w:color="auto" w:fill="auto"/>
            <w:vAlign w:val="center"/>
            <w:hideMark/>
          </w:tcPr>
          <w:p w14:paraId="27BDE3CF" w14:textId="76428F84" w:rsidR="00E25502" w:rsidRPr="00AB6A7E" w:rsidRDefault="000F5F3B" w:rsidP="00E25502">
            <w:pPr>
              <w:spacing w:after="0" w:line="240" w:lineRule="auto"/>
              <w:rPr>
                <w:rFonts w:eastAsia="Times New Roman" w:cs="Arial"/>
                <w:color w:val="000000"/>
                <w:lang w:eastAsia="en-AU"/>
              </w:rPr>
            </w:pPr>
            <w:r>
              <w:rPr>
                <w:rFonts w:eastAsia="Times New Roman" w:cs="Arial"/>
                <w:color w:val="000000"/>
                <w:lang w:eastAsia="en-AU"/>
              </w:rPr>
              <w:t>A rock layer with sufficiently low permeability as to provide a capillary barrier to the upwards migration of a non-wetting fluid phase.</w:t>
            </w:r>
          </w:p>
        </w:tc>
      </w:tr>
      <w:tr w:rsidR="00E25502" w:rsidRPr="00AB6A7E" w14:paraId="34BD53A4"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3AE3FC0D"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Cataclastic material</w:t>
            </w:r>
          </w:p>
        </w:tc>
        <w:tc>
          <w:tcPr>
            <w:tcW w:w="6300" w:type="dxa"/>
            <w:tcBorders>
              <w:top w:val="nil"/>
              <w:left w:val="nil"/>
              <w:bottom w:val="single" w:sz="8" w:space="0" w:color="auto"/>
              <w:right w:val="single" w:sz="8" w:space="0" w:color="auto"/>
            </w:tcBorders>
            <w:shd w:val="clear" w:color="auto" w:fill="auto"/>
            <w:vAlign w:val="center"/>
            <w:hideMark/>
          </w:tcPr>
          <w:p w14:paraId="57495E8E" w14:textId="23A1FBB0" w:rsidR="00E25502" w:rsidRPr="00260B73" w:rsidRDefault="00260B73" w:rsidP="00260B73">
            <w:pPr>
              <w:spacing w:after="0" w:line="240" w:lineRule="auto"/>
              <w:rPr>
                <w:rFonts w:eastAsia="Times New Roman" w:cs="Arial"/>
                <w:color w:val="000000"/>
                <w:lang w:eastAsia="en-AU"/>
              </w:rPr>
            </w:pPr>
            <w:r>
              <w:rPr>
                <w:rFonts w:eastAsia="Times New Roman" w:cs="Arial"/>
                <w:lang w:eastAsia="en-AU"/>
              </w:rPr>
              <w:t>Rock fragments</w:t>
            </w:r>
            <w:r w:rsidR="000F5F3B" w:rsidRPr="00260B73">
              <w:t xml:space="preserve"> that has been wholly or partly formed by the progressive fracturing and </w:t>
            </w:r>
            <w:hyperlink r:id="rId27" w:tooltip="Comminution" w:history="1">
              <w:r w:rsidR="000F5F3B" w:rsidRPr="00260B73">
                <w:rPr>
                  <w:rStyle w:val="Hyperlink"/>
                  <w:color w:val="auto"/>
                  <w:u w:val="none"/>
                </w:rPr>
                <w:t>comminution</w:t>
              </w:r>
            </w:hyperlink>
            <w:r w:rsidR="000F5F3B" w:rsidRPr="00260B73">
              <w:t xml:space="preserve"> of existing rock, a process known as </w:t>
            </w:r>
            <w:r w:rsidR="000F5F3B" w:rsidRPr="00601F4E">
              <w:rPr>
                <w:iCs/>
              </w:rPr>
              <w:t>cataclasis</w:t>
            </w:r>
            <w:r w:rsidR="000F5F3B" w:rsidRPr="00260B73">
              <w:t xml:space="preserve">, and is mainly found associated with </w:t>
            </w:r>
            <w:hyperlink r:id="rId28" w:tooltip="Fault (geology)" w:history="1">
              <w:r w:rsidR="000F5F3B" w:rsidRPr="00260B73">
                <w:rPr>
                  <w:rStyle w:val="Hyperlink"/>
                  <w:color w:val="auto"/>
                  <w:u w:val="none"/>
                </w:rPr>
                <w:t>fault</w:t>
              </w:r>
            </w:hyperlink>
            <w:r w:rsidR="000F5F3B" w:rsidRPr="00260B73">
              <w:t xml:space="preserve"> zones</w:t>
            </w:r>
            <w:r>
              <w:t>.</w:t>
            </w:r>
          </w:p>
        </w:tc>
      </w:tr>
      <w:tr w:rsidR="00E25502" w:rsidRPr="00AB6A7E" w14:paraId="521AD9C7" w14:textId="77777777" w:rsidTr="00E25502">
        <w:trPr>
          <w:trHeight w:val="310"/>
        </w:trPr>
        <w:tc>
          <w:tcPr>
            <w:tcW w:w="2220" w:type="dxa"/>
            <w:tcBorders>
              <w:top w:val="nil"/>
              <w:left w:val="single" w:sz="8" w:space="0" w:color="auto"/>
              <w:bottom w:val="single" w:sz="8" w:space="0" w:color="auto"/>
              <w:right w:val="single" w:sz="8" w:space="0" w:color="auto"/>
            </w:tcBorders>
            <w:shd w:val="clear" w:color="auto" w:fill="auto"/>
            <w:noWrap/>
            <w:vAlign w:val="bottom"/>
            <w:hideMark/>
          </w:tcPr>
          <w:p w14:paraId="5E3E7D30" w14:textId="77777777" w:rsidR="00E25502" w:rsidRPr="00AB6A7E" w:rsidRDefault="00E25502" w:rsidP="00E25502">
            <w:pPr>
              <w:spacing w:after="0" w:line="240" w:lineRule="auto"/>
              <w:rPr>
                <w:rFonts w:eastAsia="Times New Roman" w:cs="Times New Roman"/>
                <w:color w:val="000000"/>
                <w:lang w:eastAsia="en-AU"/>
              </w:rPr>
            </w:pPr>
            <w:r w:rsidRPr="00AB6A7E">
              <w:rPr>
                <w:rFonts w:eastAsia="Times New Roman" w:cs="Times New Roman"/>
                <w:color w:val="000000"/>
                <w:lang w:eastAsia="en-AU"/>
              </w:rPr>
              <w:t>CH</w:t>
            </w:r>
            <w:r w:rsidRPr="00AB6A7E">
              <w:rPr>
                <w:rFonts w:eastAsia="Times New Roman" w:cs="Times New Roman"/>
                <w:color w:val="000000"/>
                <w:vertAlign w:val="subscript"/>
                <w:lang w:eastAsia="en-AU"/>
              </w:rPr>
              <w:t>4</w:t>
            </w:r>
          </w:p>
        </w:tc>
        <w:tc>
          <w:tcPr>
            <w:tcW w:w="6300" w:type="dxa"/>
            <w:tcBorders>
              <w:top w:val="nil"/>
              <w:left w:val="nil"/>
              <w:bottom w:val="single" w:sz="8" w:space="0" w:color="auto"/>
              <w:right w:val="single" w:sz="8" w:space="0" w:color="auto"/>
            </w:tcBorders>
            <w:shd w:val="clear" w:color="auto" w:fill="auto"/>
            <w:vAlign w:val="center"/>
            <w:hideMark/>
          </w:tcPr>
          <w:p w14:paraId="1E5586A3" w14:textId="7E21424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Methane</w:t>
            </w:r>
            <w:r w:rsidR="00A77F8B">
              <w:rPr>
                <w:rFonts w:eastAsia="Times New Roman" w:cs="Arial"/>
                <w:color w:val="000000"/>
                <w:lang w:eastAsia="en-AU"/>
              </w:rPr>
              <w:t>.</w:t>
            </w:r>
          </w:p>
        </w:tc>
      </w:tr>
      <w:tr w:rsidR="00E25502" w:rsidRPr="00AB6A7E" w14:paraId="1516C6C4"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0CFFA6B1" w14:textId="290FD536"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Coal measure</w:t>
            </w:r>
            <w:r w:rsidR="00826FE7">
              <w:rPr>
                <w:rFonts w:eastAsia="Times New Roman" w:cs="Arial"/>
                <w:color w:val="000000"/>
                <w:lang w:eastAsia="en-AU"/>
              </w:rPr>
              <w:t>s</w:t>
            </w:r>
          </w:p>
        </w:tc>
        <w:tc>
          <w:tcPr>
            <w:tcW w:w="6300" w:type="dxa"/>
            <w:tcBorders>
              <w:top w:val="nil"/>
              <w:left w:val="nil"/>
              <w:bottom w:val="single" w:sz="8" w:space="0" w:color="auto"/>
              <w:right w:val="single" w:sz="8" w:space="0" w:color="auto"/>
            </w:tcBorders>
            <w:shd w:val="clear" w:color="auto" w:fill="auto"/>
            <w:vAlign w:val="center"/>
            <w:hideMark/>
          </w:tcPr>
          <w:p w14:paraId="46AA79FD" w14:textId="5F734EDC" w:rsidR="00E25502" w:rsidRPr="00AB6A7E" w:rsidRDefault="00E25502" w:rsidP="00826FE7">
            <w:pPr>
              <w:spacing w:after="0" w:line="240" w:lineRule="auto"/>
              <w:rPr>
                <w:rFonts w:eastAsia="Times New Roman" w:cs="Arial"/>
                <w:color w:val="000000"/>
                <w:lang w:eastAsia="en-AU"/>
              </w:rPr>
            </w:pPr>
            <w:r w:rsidRPr="00AB6A7E">
              <w:rPr>
                <w:rFonts w:eastAsia="Times New Roman" w:cs="Arial"/>
                <w:color w:val="000000"/>
                <w:lang w:eastAsia="en-AU"/>
              </w:rPr>
              <w:t xml:space="preserve">Geological strata containing </w:t>
            </w:r>
            <w:r w:rsidR="00826FE7">
              <w:rPr>
                <w:rFonts w:eastAsia="Times New Roman" w:cs="Arial"/>
                <w:color w:val="000000"/>
                <w:lang w:eastAsia="en-AU"/>
              </w:rPr>
              <w:t xml:space="preserve">multiple </w:t>
            </w:r>
            <w:r w:rsidRPr="00AB6A7E">
              <w:rPr>
                <w:rFonts w:eastAsia="Times New Roman" w:cs="Arial"/>
                <w:color w:val="000000"/>
                <w:lang w:eastAsia="en-AU"/>
              </w:rPr>
              <w:t>coal</w:t>
            </w:r>
            <w:r w:rsidR="00826FE7">
              <w:rPr>
                <w:rFonts w:eastAsia="Times New Roman" w:cs="Arial"/>
                <w:color w:val="000000"/>
                <w:lang w:eastAsia="en-AU"/>
              </w:rPr>
              <w:t xml:space="preserve"> horizons or seams.</w:t>
            </w:r>
            <w:r w:rsidRPr="00AB6A7E">
              <w:rPr>
                <w:rFonts w:eastAsia="Times New Roman" w:cs="Arial"/>
                <w:color w:val="000000"/>
                <w:lang w:eastAsia="en-AU"/>
              </w:rPr>
              <w:t xml:space="preserve"> </w:t>
            </w:r>
          </w:p>
        </w:tc>
      </w:tr>
      <w:tr w:rsidR="00E25502" w:rsidRPr="00AB6A7E" w14:paraId="2EF36D45" w14:textId="77777777" w:rsidTr="00E25502">
        <w:trPr>
          <w:trHeight w:val="76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25D3F73D"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Coal seam</w:t>
            </w:r>
          </w:p>
        </w:tc>
        <w:tc>
          <w:tcPr>
            <w:tcW w:w="6300" w:type="dxa"/>
            <w:tcBorders>
              <w:top w:val="nil"/>
              <w:left w:val="nil"/>
              <w:bottom w:val="single" w:sz="8" w:space="0" w:color="auto"/>
              <w:right w:val="single" w:sz="8" w:space="0" w:color="auto"/>
            </w:tcBorders>
            <w:shd w:val="clear" w:color="auto" w:fill="auto"/>
            <w:vAlign w:val="center"/>
            <w:hideMark/>
          </w:tcPr>
          <w:p w14:paraId="4FC0B52D" w14:textId="29B49983" w:rsidR="00E25502" w:rsidRPr="00AB6A7E" w:rsidRDefault="00826FE7" w:rsidP="00826FE7">
            <w:pPr>
              <w:spacing w:after="0" w:line="240" w:lineRule="auto"/>
              <w:rPr>
                <w:rFonts w:eastAsia="Times New Roman" w:cs="Arial"/>
                <w:color w:val="000000"/>
                <w:lang w:eastAsia="en-AU"/>
              </w:rPr>
            </w:pPr>
            <w:r>
              <w:rPr>
                <w:rFonts w:eastAsia="Times New Roman" w:cs="Arial"/>
                <w:color w:val="000000"/>
                <w:lang w:eastAsia="en-AU"/>
              </w:rPr>
              <w:t>A c</w:t>
            </w:r>
            <w:r w:rsidR="00E25502" w:rsidRPr="00AB6A7E">
              <w:rPr>
                <w:rFonts w:eastAsia="Times New Roman" w:cs="Arial"/>
                <w:color w:val="000000"/>
                <w:lang w:eastAsia="en-AU"/>
              </w:rPr>
              <w:t>oal seam</w:t>
            </w:r>
            <w:r>
              <w:rPr>
                <w:rFonts w:eastAsia="Times New Roman" w:cs="Arial"/>
                <w:color w:val="000000"/>
                <w:lang w:eastAsia="en-AU"/>
              </w:rPr>
              <w:t xml:space="preserve"> is a single layer or bed of</w:t>
            </w:r>
            <w:r w:rsidR="00E25502" w:rsidRPr="00AB6A7E">
              <w:rPr>
                <w:rFonts w:eastAsia="Times New Roman" w:cs="Arial"/>
                <w:color w:val="000000"/>
                <w:lang w:eastAsia="en-AU"/>
              </w:rPr>
              <w:t xml:space="preserve"> coal (sedimentary rock).</w:t>
            </w:r>
          </w:p>
        </w:tc>
      </w:tr>
      <w:tr w:rsidR="00E25502" w:rsidRPr="00AB6A7E" w14:paraId="150F6FE2" w14:textId="77777777" w:rsidTr="00E25502">
        <w:trPr>
          <w:trHeight w:val="82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4BB3B573"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Coal seam gas</w:t>
            </w:r>
          </w:p>
        </w:tc>
        <w:tc>
          <w:tcPr>
            <w:tcW w:w="6300" w:type="dxa"/>
            <w:tcBorders>
              <w:top w:val="nil"/>
              <w:left w:val="nil"/>
              <w:bottom w:val="single" w:sz="8" w:space="0" w:color="auto"/>
              <w:right w:val="single" w:sz="8" w:space="0" w:color="auto"/>
            </w:tcBorders>
            <w:shd w:val="clear" w:color="auto" w:fill="auto"/>
            <w:vAlign w:val="center"/>
            <w:hideMark/>
          </w:tcPr>
          <w:p w14:paraId="4844DE42" w14:textId="77C59B5A"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A form of natura</w:t>
            </w:r>
            <w:r w:rsidR="00826FE7">
              <w:rPr>
                <w:rFonts w:eastAsia="Times New Roman" w:cs="Arial"/>
                <w:color w:val="000000"/>
                <w:lang w:eastAsia="en-AU"/>
              </w:rPr>
              <w:t xml:space="preserve">l gas (generally 95 to 97% </w:t>
            </w:r>
            <w:r w:rsidRPr="00AB6A7E">
              <w:rPr>
                <w:rFonts w:eastAsia="Times New Roman" w:cs="Arial"/>
                <w:color w:val="000000"/>
                <w:lang w:eastAsia="en-AU"/>
              </w:rPr>
              <w:t>methane, CH</w:t>
            </w:r>
            <w:r w:rsidRPr="00AB6A7E">
              <w:rPr>
                <w:rFonts w:eastAsia="Times New Roman" w:cs="Arial"/>
                <w:color w:val="000000"/>
                <w:vertAlign w:val="subscript"/>
                <w:lang w:eastAsia="en-AU"/>
              </w:rPr>
              <w:t>4</w:t>
            </w:r>
            <w:r w:rsidRPr="00AB6A7E">
              <w:rPr>
                <w:rFonts w:eastAsia="Times New Roman" w:cs="Arial"/>
                <w:color w:val="000000"/>
                <w:lang w:eastAsia="en-AU"/>
              </w:rPr>
              <w:t>) typically extracted from permeable coal seams at depths of 300 to 1000 m</w:t>
            </w:r>
            <w:r w:rsidR="00826FE7">
              <w:rPr>
                <w:rFonts w:eastAsia="Times New Roman" w:cs="Arial"/>
                <w:color w:val="000000"/>
                <w:lang w:eastAsia="en-AU"/>
              </w:rPr>
              <w:t>.</w:t>
            </w:r>
            <w:r w:rsidRPr="00AB6A7E">
              <w:rPr>
                <w:rFonts w:eastAsia="Times New Roman" w:cs="Arial"/>
                <w:color w:val="000000"/>
                <w:lang w:eastAsia="en-AU"/>
              </w:rPr>
              <w:t xml:space="preserve"> Also called coal seam methane (CSM) or coalbed methane (CBM).</w:t>
            </w:r>
          </w:p>
        </w:tc>
      </w:tr>
      <w:tr w:rsidR="00E25502" w:rsidRPr="00AB6A7E" w14:paraId="69B6E753"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0C43E5C8"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Coalesced</w:t>
            </w:r>
          </w:p>
        </w:tc>
        <w:tc>
          <w:tcPr>
            <w:tcW w:w="6300" w:type="dxa"/>
            <w:tcBorders>
              <w:top w:val="nil"/>
              <w:left w:val="nil"/>
              <w:bottom w:val="single" w:sz="8" w:space="0" w:color="auto"/>
              <w:right w:val="single" w:sz="8" w:space="0" w:color="auto"/>
            </w:tcBorders>
            <w:shd w:val="clear" w:color="auto" w:fill="auto"/>
            <w:vAlign w:val="center"/>
            <w:hideMark/>
          </w:tcPr>
          <w:p w14:paraId="23D2D15F" w14:textId="2571B1DF"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(Fault plane)</w:t>
            </w:r>
            <w:r w:rsidR="00826FE7">
              <w:rPr>
                <w:rFonts w:eastAsia="Times New Roman" w:cs="Arial"/>
                <w:color w:val="000000"/>
                <w:lang w:eastAsia="en-AU"/>
              </w:rPr>
              <w:t xml:space="preserve"> multiple faults merging into one.</w:t>
            </w:r>
          </w:p>
        </w:tc>
      </w:tr>
      <w:tr w:rsidR="00E25502" w:rsidRPr="00AB6A7E" w14:paraId="0B0F7087"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28D555BD"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Compressive stress</w:t>
            </w:r>
          </w:p>
        </w:tc>
        <w:tc>
          <w:tcPr>
            <w:tcW w:w="6300" w:type="dxa"/>
            <w:tcBorders>
              <w:top w:val="nil"/>
              <w:left w:val="nil"/>
              <w:bottom w:val="single" w:sz="8" w:space="0" w:color="auto"/>
              <w:right w:val="single" w:sz="8" w:space="0" w:color="auto"/>
            </w:tcBorders>
            <w:shd w:val="clear" w:color="auto" w:fill="auto"/>
            <w:vAlign w:val="center"/>
            <w:hideMark/>
          </w:tcPr>
          <w:p w14:paraId="1B46ED6F" w14:textId="0161BD2C" w:rsidR="00E25502" w:rsidRPr="00AB6A7E" w:rsidRDefault="00826FE7" w:rsidP="00912A33">
            <w:pPr>
              <w:spacing w:after="0" w:line="240" w:lineRule="auto"/>
              <w:rPr>
                <w:rFonts w:eastAsia="Times New Roman" w:cs="Arial"/>
                <w:color w:val="000000"/>
                <w:lang w:eastAsia="en-AU"/>
              </w:rPr>
            </w:pPr>
            <w:r>
              <w:rPr>
                <w:rStyle w:val="st"/>
              </w:rPr>
              <w:t xml:space="preserve">The </w:t>
            </w:r>
            <w:r>
              <w:rPr>
                <w:rStyle w:val="Emphasis"/>
              </w:rPr>
              <w:t>stress</w:t>
            </w:r>
            <w:r>
              <w:rPr>
                <w:rStyle w:val="st"/>
              </w:rPr>
              <w:t xml:space="preserve"> on materials</w:t>
            </w:r>
            <w:r w:rsidR="00912A33">
              <w:rPr>
                <w:rStyle w:val="st"/>
              </w:rPr>
              <w:t xml:space="preserve"> under compression</w:t>
            </w:r>
            <w:r>
              <w:rPr>
                <w:rStyle w:val="st"/>
              </w:rPr>
              <w:t xml:space="preserve"> that leads to a smaller volume.</w:t>
            </w:r>
          </w:p>
        </w:tc>
      </w:tr>
      <w:tr w:rsidR="00E25502" w:rsidRPr="00AB6A7E" w14:paraId="56DCC244" w14:textId="77777777" w:rsidTr="00E25502">
        <w:trPr>
          <w:trHeight w:val="51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6A5C9D2B"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Confined aquifer</w:t>
            </w:r>
          </w:p>
        </w:tc>
        <w:tc>
          <w:tcPr>
            <w:tcW w:w="6300" w:type="dxa"/>
            <w:tcBorders>
              <w:top w:val="nil"/>
              <w:left w:val="nil"/>
              <w:bottom w:val="single" w:sz="8" w:space="0" w:color="auto"/>
              <w:right w:val="single" w:sz="8" w:space="0" w:color="auto"/>
            </w:tcBorders>
            <w:shd w:val="clear" w:color="auto" w:fill="auto"/>
            <w:vAlign w:val="center"/>
            <w:hideMark/>
          </w:tcPr>
          <w:p w14:paraId="7E066850" w14:textId="1D94DD79"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 xml:space="preserve">An aquifer that is isolated from </w:t>
            </w:r>
            <w:r w:rsidR="00912A33">
              <w:rPr>
                <w:rFonts w:eastAsia="Times New Roman" w:cs="Arial"/>
                <w:color w:val="000000"/>
                <w:lang w:eastAsia="en-AU"/>
              </w:rPr>
              <w:t>the</w:t>
            </w:r>
            <w:r w:rsidR="00601F4E">
              <w:rPr>
                <w:rFonts w:eastAsia="Times New Roman" w:cs="Arial"/>
                <w:color w:val="000000"/>
                <w:lang w:eastAsia="en-AU"/>
              </w:rPr>
              <w:t xml:space="preserve"> atmosphere by an aquitard or a</w:t>
            </w:r>
            <w:r w:rsidR="00912A33">
              <w:rPr>
                <w:rFonts w:eastAsia="Times New Roman" w:cs="Arial"/>
                <w:color w:val="000000"/>
                <w:lang w:eastAsia="en-AU"/>
              </w:rPr>
              <w:t>quiclude</w:t>
            </w:r>
            <w:r w:rsidRPr="00AB6A7E">
              <w:rPr>
                <w:rFonts w:eastAsia="Times New Roman" w:cs="Arial"/>
                <w:color w:val="000000"/>
                <w:lang w:eastAsia="en-AU"/>
              </w:rPr>
              <w:t>. Pressure in confined aquifers is generally greater than atmospheric pressure</w:t>
            </w:r>
            <w:r w:rsidR="00A77F8B">
              <w:rPr>
                <w:rFonts w:eastAsia="Times New Roman" w:cs="Arial"/>
                <w:color w:val="000000"/>
                <w:lang w:eastAsia="en-AU"/>
              </w:rPr>
              <w:t>.</w:t>
            </w:r>
          </w:p>
        </w:tc>
      </w:tr>
      <w:tr w:rsidR="00E25502" w:rsidRPr="00AB6A7E" w14:paraId="340017DC"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6E15989F"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lastRenderedPageBreak/>
              <w:t>Conventional gas</w:t>
            </w:r>
          </w:p>
        </w:tc>
        <w:tc>
          <w:tcPr>
            <w:tcW w:w="6300" w:type="dxa"/>
            <w:tcBorders>
              <w:top w:val="nil"/>
              <w:left w:val="nil"/>
              <w:bottom w:val="single" w:sz="8" w:space="0" w:color="auto"/>
              <w:right w:val="single" w:sz="8" w:space="0" w:color="auto"/>
            </w:tcBorders>
            <w:shd w:val="clear" w:color="auto" w:fill="auto"/>
            <w:vAlign w:val="center"/>
            <w:hideMark/>
          </w:tcPr>
          <w:p w14:paraId="4D8CF782" w14:textId="458BBF4D" w:rsidR="00E25502" w:rsidRPr="00AB6A7E" w:rsidRDefault="00912A33" w:rsidP="00E25502">
            <w:pPr>
              <w:spacing w:after="0" w:line="240" w:lineRule="auto"/>
              <w:rPr>
                <w:rFonts w:eastAsia="Times New Roman" w:cs="Arial"/>
                <w:color w:val="000000"/>
                <w:lang w:eastAsia="en-AU"/>
              </w:rPr>
            </w:pPr>
            <w:r>
              <w:t>Conventional reservoirs are where gas is trapped by the buoyancy of the hydrocarbon phase beneath a low permeability seal and with a downdip formation water leg. In such cases a discrete hydrocarbon pool or field can be defined.</w:t>
            </w:r>
          </w:p>
        </w:tc>
      </w:tr>
      <w:tr w:rsidR="00E25502" w:rsidRPr="00AB6A7E" w14:paraId="47BE6906"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02A02067"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Coupled modelling</w:t>
            </w:r>
          </w:p>
        </w:tc>
        <w:tc>
          <w:tcPr>
            <w:tcW w:w="6300" w:type="dxa"/>
            <w:tcBorders>
              <w:top w:val="nil"/>
              <w:left w:val="nil"/>
              <w:bottom w:val="single" w:sz="8" w:space="0" w:color="auto"/>
              <w:right w:val="single" w:sz="8" w:space="0" w:color="auto"/>
            </w:tcBorders>
            <w:shd w:val="clear" w:color="auto" w:fill="auto"/>
            <w:vAlign w:val="center"/>
            <w:hideMark/>
          </w:tcPr>
          <w:p w14:paraId="5407BBD9" w14:textId="2B5F8BDA" w:rsidR="00E25502" w:rsidRPr="00AB6A7E" w:rsidRDefault="00A77F8B" w:rsidP="00E25502">
            <w:pPr>
              <w:spacing w:after="0" w:line="240" w:lineRule="auto"/>
              <w:rPr>
                <w:rFonts w:eastAsia="Times New Roman" w:cs="Arial"/>
                <w:color w:val="000000"/>
                <w:lang w:eastAsia="en-AU"/>
              </w:rPr>
            </w:pPr>
            <w:r>
              <w:rPr>
                <w:rFonts w:eastAsia="Times New Roman" w:cs="Arial"/>
                <w:color w:val="000000"/>
                <w:lang w:eastAsia="en-AU"/>
              </w:rPr>
              <w:t>The process by which one numerical simulation solves one set of governing equations and then uses the answer in a second numerical simulation solving a different set of governing equations.  For example a rock mechanical model may determine permeability in a given stress state and this permeability is used in a fluid dynamic model which calculates a change in pressure resulting in a new stress state.  This new stress state results in a new permeability and so on.</w:t>
            </w:r>
          </w:p>
        </w:tc>
      </w:tr>
      <w:tr w:rsidR="00E25502" w:rsidRPr="00AB6A7E" w14:paraId="7096767A" w14:textId="77777777" w:rsidTr="00E25502">
        <w:trPr>
          <w:trHeight w:val="51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6ECFD8F4"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Dense Non-Aqueous Phase Liquid</w:t>
            </w:r>
          </w:p>
        </w:tc>
        <w:tc>
          <w:tcPr>
            <w:tcW w:w="6300" w:type="dxa"/>
            <w:tcBorders>
              <w:top w:val="nil"/>
              <w:left w:val="nil"/>
              <w:bottom w:val="single" w:sz="8" w:space="0" w:color="auto"/>
              <w:right w:val="single" w:sz="8" w:space="0" w:color="auto"/>
            </w:tcBorders>
            <w:shd w:val="clear" w:color="auto" w:fill="auto"/>
            <w:vAlign w:val="center"/>
            <w:hideMark/>
          </w:tcPr>
          <w:p w14:paraId="36C2F750" w14:textId="492E0D3F"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 </w:t>
            </w:r>
            <w:r w:rsidR="00A77F8B">
              <w:rPr>
                <w:rFonts w:eastAsia="Times New Roman" w:cs="Arial"/>
                <w:color w:val="000000"/>
                <w:lang w:eastAsia="en-AU"/>
              </w:rPr>
              <w:t>A liquid not miscible with water and denser than water.</w:t>
            </w:r>
          </w:p>
        </w:tc>
      </w:tr>
      <w:tr w:rsidR="00E25502" w:rsidRPr="00AB6A7E" w14:paraId="0964E2E7" w14:textId="77777777" w:rsidTr="00E25502">
        <w:trPr>
          <w:trHeight w:val="51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574C0BEC" w14:textId="1522A298" w:rsidR="00E25502" w:rsidRPr="00AB6A7E" w:rsidRDefault="00A77F8B" w:rsidP="00E25502">
            <w:pPr>
              <w:spacing w:after="0" w:line="240" w:lineRule="auto"/>
              <w:rPr>
                <w:rFonts w:eastAsia="Times New Roman" w:cs="Arial"/>
                <w:color w:val="000000"/>
                <w:lang w:eastAsia="en-AU"/>
              </w:rPr>
            </w:pPr>
            <w:r>
              <w:rPr>
                <w:rFonts w:eastAsia="Times New Roman" w:cs="Arial"/>
                <w:color w:val="000000"/>
                <w:lang w:eastAsia="en-AU"/>
              </w:rPr>
              <w:t>De</w:t>
            </w:r>
            <w:r w:rsidR="00E25502" w:rsidRPr="00AB6A7E">
              <w:rPr>
                <w:rFonts w:eastAsia="Times New Roman" w:cs="Arial"/>
                <w:color w:val="000000"/>
                <w:lang w:eastAsia="en-AU"/>
              </w:rPr>
              <w:t>pressurisation</w:t>
            </w:r>
          </w:p>
        </w:tc>
        <w:tc>
          <w:tcPr>
            <w:tcW w:w="6300" w:type="dxa"/>
            <w:tcBorders>
              <w:top w:val="nil"/>
              <w:left w:val="nil"/>
              <w:bottom w:val="single" w:sz="8" w:space="0" w:color="auto"/>
              <w:right w:val="single" w:sz="8" w:space="0" w:color="auto"/>
            </w:tcBorders>
            <w:shd w:val="clear" w:color="auto" w:fill="auto"/>
            <w:vAlign w:val="center"/>
            <w:hideMark/>
          </w:tcPr>
          <w:p w14:paraId="1B724244" w14:textId="25EB7B6A"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 xml:space="preserve">The lowering of static groundwater levels through the partial extraction of available groundwater, usually by means of pumping </w:t>
            </w:r>
            <w:r w:rsidR="00A77F8B">
              <w:rPr>
                <w:rFonts w:eastAsia="Times New Roman" w:cs="Arial"/>
                <w:color w:val="000000"/>
                <w:lang w:eastAsia="en-AU"/>
              </w:rPr>
              <w:t xml:space="preserve">from one or several </w:t>
            </w:r>
            <w:r w:rsidRPr="00AB6A7E">
              <w:rPr>
                <w:rFonts w:eastAsia="Times New Roman" w:cs="Arial"/>
                <w:color w:val="000000"/>
                <w:lang w:eastAsia="en-AU"/>
              </w:rPr>
              <w:t>bores</w:t>
            </w:r>
            <w:r w:rsidR="00A77F8B">
              <w:rPr>
                <w:rFonts w:eastAsia="Times New Roman" w:cs="Arial"/>
                <w:color w:val="000000"/>
                <w:lang w:eastAsia="en-AU"/>
              </w:rPr>
              <w:t xml:space="preserve"> or wells.</w:t>
            </w:r>
          </w:p>
        </w:tc>
      </w:tr>
      <w:tr w:rsidR="00E25502" w:rsidRPr="00AB6A7E" w14:paraId="5979CE5C"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2F673493"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Dilatancy Potential</w:t>
            </w:r>
          </w:p>
        </w:tc>
        <w:tc>
          <w:tcPr>
            <w:tcW w:w="6300" w:type="dxa"/>
            <w:tcBorders>
              <w:top w:val="nil"/>
              <w:left w:val="nil"/>
              <w:bottom w:val="single" w:sz="8" w:space="0" w:color="auto"/>
              <w:right w:val="single" w:sz="8" w:space="0" w:color="auto"/>
            </w:tcBorders>
            <w:shd w:val="clear" w:color="auto" w:fill="auto"/>
            <w:vAlign w:val="center"/>
            <w:hideMark/>
          </w:tcPr>
          <w:p w14:paraId="2558C492" w14:textId="1969621B" w:rsidR="00E25502" w:rsidRPr="00AB6A7E" w:rsidRDefault="00A77F8B" w:rsidP="00E25502">
            <w:pPr>
              <w:spacing w:after="0" w:line="240" w:lineRule="auto"/>
              <w:rPr>
                <w:rFonts w:eastAsia="Times New Roman" w:cs="Arial"/>
                <w:color w:val="000000"/>
                <w:lang w:eastAsia="en-AU"/>
              </w:rPr>
            </w:pPr>
            <w:r>
              <w:rPr>
                <w:rFonts w:eastAsia="Times New Roman" w:cs="Arial"/>
                <w:color w:val="000000"/>
                <w:lang w:eastAsia="en-AU"/>
              </w:rPr>
              <w:t>The likelihood that a fracture might dilate in a given stress field.</w:t>
            </w:r>
          </w:p>
        </w:tc>
      </w:tr>
      <w:tr w:rsidR="00E25502" w:rsidRPr="00AB6A7E" w14:paraId="3041B5FF"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30EE778A"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Dilatant fault</w:t>
            </w:r>
          </w:p>
        </w:tc>
        <w:tc>
          <w:tcPr>
            <w:tcW w:w="6300" w:type="dxa"/>
            <w:tcBorders>
              <w:top w:val="nil"/>
              <w:left w:val="nil"/>
              <w:bottom w:val="single" w:sz="8" w:space="0" w:color="auto"/>
              <w:right w:val="single" w:sz="8" w:space="0" w:color="auto"/>
            </w:tcBorders>
            <w:shd w:val="clear" w:color="auto" w:fill="auto"/>
            <w:vAlign w:val="center"/>
            <w:hideMark/>
          </w:tcPr>
          <w:p w14:paraId="476CB3FC" w14:textId="09E7B723" w:rsidR="00E25502" w:rsidRPr="00AB6A7E" w:rsidRDefault="00A77F8B" w:rsidP="00E25502">
            <w:pPr>
              <w:spacing w:after="0" w:line="240" w:lineRule="auto"/>
              <w:rPr>
                <w:rFonts w:eastAsia="Times New Roman" w:cs="Arial"/>
                <w:color w:val="000000"/>
                <w:lang w:eastAsia="en-AU"/>
              </w:rPr>
            </w:pPr>
            <w:r>
              <w:rPr>
                <w:rFonts w:eastAsia="Times New Roman" w:cs="Arial"/>
                <w:color w:val="000000"/>
                <w:lang w:eastAsia="en-AU"/>
              </w:rPr>
              <w:t>A fault oriented relative to the stress field such that it is dilatant.</w:t>
            </w:r>
          </w:p>
        </w:tc>
      </w:tr>
      <w:tr w:rsidR="00E25502" w:rsidRPr="00AB6A7E" w14:paraId="3889692F" w14:textId="77777777" w:rsidTr="00E25502">
        <w:trPr>
          <w:trHeight w:val="425"/>
        </w:trPr>
        <w:tc>
          <w:tcPr>
            <w:tcW w:w="2220" w:type="dxa"/>
            <w:tcBorders>
              <w:top w:val="nil"/>
              <w:left w:val="single" w:sz="8" w:space="0" w:color="auto"/>
              <w:bottom w:val="single" w:sz="8" w:space="0" w:color="auto"/>
              <w:right w:val="single" w:sz="8" w:space="0" w:color="auto"/>
            </w:tcBorders>
            <w:shd w:val="clear" w:color="auto" w:fill="auto"/>
            <w:vAlign w:val="center"/>
          </w:tcPr>
          <w:p w14:paraId="63EFBD3E" w14:textId="77777777" w:rsidR="00E25502" w:rsidRPr="00AB6A7E" w:rsidRDefault="00E25502" w:rsidP="00E25502">
            <w:pPr>
              <w:spacing w:after="0" w:line="240" w:lineRule="auto"/>
              <w:rPr>
                <w:rFonts w:eastAsia="Times New Roman" w:cs="Arial"/>
                <w:color w:val="000000"/>
                <w:lang w:eastAsia="en-AU"/>
              </w:rPr>
            </w:pPr>
            <w:r>
              <w:rPr>
                <w:rFonts w:eastAsia="Times New Roman" w:cs="Arial"/>
                <w:color w:val="000000"/>
                <w:lang w:eastAsia="en-AU"/>
              </w:rPr>
              <w:t>Discharge</w:t>
            </w:r>
          </w:p>
        </w:tc>
        <w:tc>
          <w:tcPr>
            <w:tcW w:w="6300" w:type="dxa"/>
            <w:tcBorders>
              <w:top w:val="nil"/>
              <w:left w:val="nil"/>
              <w:bottom w:val="single" w:sz="8" w:space="0" w:color="auto"/>
              <w:right w:val="single" w:sz="8" w:space="0" w:color="auto"/>
            </w:tcBorders>
            <w:shd w:val="clear" w:color="auto" w:fill="auto"/>
            <w:vAlign w:val="center"/>
          </w:tcPr>
          <w:p w14:paraId="7F3BE9E8" w14:textId="265A0030" w:rsidR="00E25502" w:rsidRPr="00AB6A7E" w:rsidRDefault="00601F4E" w:rsidP="00E25502">
            <w:pPr>
              <w:spacing w:after="0" w:line="240" w:lineRule="auto"/>
              <w:rPr>
                <w:rFonts w:eastAsia="Times New Roman" w:cs="Arial"/>
                <w:color w:val="000000"/>
                <w:lang w:eastAsia="en-AU"/>
              </w:rPr>
            </w:pPr>
            <w:r>
              <w:rPr>
                <w:rFonts w:eastAsia="Times New Roman" w:cs="Arial"/>
                <w:color w:val="000000"/>
                <w:lang w:eastAsia="en-AU"/>
              </w:rPr>
              <w:t>An aquifer that has</w:t>
            </w:r>
            <w:r w:rsidR="00A77F8B">
              <w:rPr>
                <w:rFonts w:eastAsia="Times New Roman" w:cs="Arial"/>
                <w:color w:val="000000"/>
                <w:lang w:eastAsia="en-AU"/>
              </w:rPr>
              <w:t xml:space="preserve"> a flux to subcrop or the </w:t>
            </w:r>
            <w:r>
              <w:rPr>
                <w:rFonts w:eastAsia="Times New Roman" w:cs="Arial"/>
                <w:color w:val="000000"/>
                <w:lang w:eastAsia="en-AU"/>
              </w:rPr>
              <w:t xml:space="preserve">land </w:t>
            </w:r>
            <w:r w:rsidR="00A77F8B">
              <w:rPr>
                <w:rFonts w:eastAsia="Times New Roman" w:cs="Arial"/>
                <w:color w:val="000000"/>
                <w:lang w:eastAsia="en-AU"/>
              </w:rPr>
              <w:t xml:space="preserve">surface. This may be expressed as a spring or base </w:t>
            </w:r>
            <w:r w:rsidR="009C0710">
              <w:rPr>
                <w:rFonts w:eastAsia="Times New Roman" w:cs="Arial"/>
                <w:color w:val="000000"/>
                <w:lang w:eastAsia="en-AU"/>
              </w:rPr>
              <w:t>flow to surface drainage.</w:t>
            </w:r>
          </w:p>
        </w:tc>
      </w:tr>
      <w:tr w:rsidR="00E25502" w:rsidRPr="00AB6A7E" w14:paraId="053B516A"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741D8ED3"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Effective stress</w:t>
            </w:r>
          </w:p>
        </w:tc>
        <w:tc>
          <w:tcPr>
            <w:tcW w:w="6300" w:type="dxa"/>
            <w:tcBorders>
              <w:top w:val="nil"/>
              <w:left w:val="nil"/>
              <w:bottom w:val="single" w:sz="8" w:space="0" w:color="auto"/>
              <w:right w:val="single" w:sz="8" w:space="0" w:color="auto"/>
            </w:tcBorders>
            <w:shd w:val="clear" w:color="auto" w:fill="auto"/>
            <w:vAlign w:val="center"/>
            <w:hideMark/>
          </w:tcPr>
          <w:p w14:paraId="2CFD1C81" w14:textId="7D06D35E" w:rsidR="00E25502" w:rsidRPr="00AB6A7E" w:rsidRDefault="009C0710" w:rsidP="00E25502">
            <w:pPr>
              <w:spacing w:after="0" w:line="240" w:lineRule="auto"/>
              <w:rPr>
                <w:rFonts w:eastAsia="Times New Roman" w:cs="Arial"/>
                <w:color w:val="000000"/>
                <w:lang w:eastAsia="en-AU"/>
              </w:rPr>
            </w:pPr>
            <w:r>
              <w:rPr>
                <w:rFonts w:eastAsia="Times New Roman" w:cs="Arial"/>
                <w:color w:val="000000"/>
                <w:lang w:eastAsia="en-AU"/>
              </w:rPr>
              <w:t>Total stress minus pore pressure.</w:t>
            </w:r>
          </w:p>
        </w:tc>
      </w:tr>
      <w:tr w:rsidR="00E25502" w:rsidRPr="00AB6A7E" w14:paraId="6897C7F8"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4FAF0D19"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En-echelon (fault)</w:t>
            </w:r>
          </w:p>
        </w:tc>
        <w:tc>
          <w:tcPr>
            <w:tcW w:w="6300" w:type="dxa"/>
            <w:tcBorders>
              <w:top w:val="nil"/>
              <w:left w:val="nil"/>
              <w:bottom w:val="single" w:sz="8" w:space="0" w:color="auto"/>
              <w:right w:val="single" w:sz="8" w:space="0" w:color="auto"/>
            </w:tcBorders>
            <w:shd w:val="clear" w:color="auto" w:fill="auto"/>
            <w:vAlign w:val="center"/>
            <w:hideMark/>
          </w:tcPr>
          <w:p w14:paraId="09965DC3" w14:textId="4BFB87F6" w:rsidR="00E25502" w:rsidRPr="00AB6A7E" w:rsidRDefault="009C0710" w:rsidP="00E25502">
            <w:pPr>
              <w:spacing w:after="0" w:line="240" w:lineRule="auto"/>
              <w:rPr>
                <w:rFonts w:eastAsia="Times New Roman" w:cs="Arial"/>
                <w:color w:val="000000"/>
                <w:lang w:eastAsia="en-AU"/>
              </w:rPr>
            </w:pPr>
            <w:r>
              <w:t xml:space="preserve">Closely-spaced, parallel or subparallel, overlapping or step-like minor structural features in rock (faults, tension fractures), which lie </w:t>
            </w:r>
            <w:r w:rsidRPr="00601F4E">
              <w:rPr>
                <w:rStyle w:val="Emphasis"/>
                <w:i w:val="0"/>
              </w:rPr>
              <w:t>oblique</w:t>
            </w:r>
            <w:r>
              <w:t xml:space="preserve"> to the overall structural trend.</w:t>
            </w:r>
          </w:p>
        </w:tc>
      </w:tr>
      <w:tr w:rsidR="00E25502" w:rsidRPr="00AB6A7E" w14:paraId="59C810AB"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21DF75E6"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Fault damage zone</w:t>
            </w:r>
          </w:p>
        </w:tc>
        <w:tc>
          <w:tcPr>
            <w:tcW w:w="6300" w:type="dxa"/>
            <w:tcBorders>
              <w:top w:val="nil"/>
              <w:left w:val="nil"/>
              <w:bottom w:val="single" w:sz="8" w:space="0" w:color="auto"/>
              <w:right w:val="single" w:sz="8" w:space="0" w:color="auto"/>
            </w:tcBorders>
            <w:shd w:val="clear" w:color="auto" w:fill="auto"/>
            <w:vAlign w:val="center"/>
            <w:hideMark/>
          </w:tcPr>
          <w:p w14:paraId="1754AB4C" w14:textId="13593BEB" w:rsidR="00F422DD" w:rsidRPr="00F422DD" w:rsidRDefault="00F422DD" w:rsidP="00F422DD">
            <w:r w:rsidRPr="00F422DD">
              <w:t>Damage Zones are a result of brittle deformation along a fault zone where rocks are ground and crack in various orientations in response to stress. Some structures in damage zones are</w:t>
            </w:r>
            <w:r>
              <w:t>:</w:t>
            </w:r>
          </w:p>
          <w:p w14:paraId="263C4D17" w14:textId="615C6E3A" w:rsidR="00F422DD" w:rsidRPr="00F422DD" w:rsidRDefault="00F422DD" w:rsidP="00F422DD">
            <w:pPr>
              <w:numPr>
                <w:ilvl w:val="0"/>
                <w:numId w:val="17"/>
              </w:numPr>
              <w:spacing w:before="60" w:after="0" w:line="240" w:lineRule="auto"/>
              <w:jc w:val="both"/>
            </w:pPr>
            <w:r w:rsidRPr="00F422DD">
              <w:t>Wing Cracks—Extension fractures associated with small amounts of displacement</w:t>
            </w:r>
            <w:r>
              <w:t>;</w:t>
            </w:r>
          </w:p>
          <w:p w14:paraId="726633F5" w14:textId="6663CF83" w:rsidR="00F422DD" w:rsidRPr="00F422DD" w:rsidRDefault="00F422DD" w:rsidP="00F422DD">
            <w:pPr>
              <w:numPr>
                <w:ilvl w:val="0"/>
                <w:numId w:val="17"/>
              </w:numPr>
              <w:spacing w:before="60" w:after="0" w:line="240" w:lineRule="auto"/>
              <w:jc w:val="both"/>
            </w:pPr>
            <w:r w:rsidRPr="00F422DD">
              <w:t>Horsetail Splay—Occur along larger faults and create a series of sec</w:t>
            </w:r>
            <w:r>
              <w:t>ondary pinnate shear fractures;</w:t>
            </w:r>
          </w:p>
          <w:p w14:paraId="2024E7F1" w14:textId="1E1CBBFE" w:rsidR="00F422DD" w:rsidRDefault="00F422DD" w:rsidP="00F422DD">
            <w:pPr>
              <w:numPr>
                <w:ilvl w:val="0"/>
                <w:numId w:val="17"/>
              </w:numPr>
              <w:spacing w:before="60" w:after="0" w:line="240" w:lineRule="auto"/>
              <w:jc w:val="both"/>
            </w:pPr>
            <w:r w:rsidRPr="00F422DD">
              <w:t>Synthetic Branch Faults—When deformation at a fault tip causes shear of the same sense of the motion of the fault</w:t>
            </w:r>
            <w:r>
              <w:t>; and</w:t>
            </w:r>
          </w:p>
          <w:p w14:paraId="14BAB540" w14:textId="74A3AE66" w:rsidR="00E25502" w:rsidRPr="00F422DD" w:rsidRDefault="00F422DD" w:rsidP="00F422DD">
            <w:pPr>
              <w:numPr>
                <w:ilvl w:val="0"/>
                <w:numId w:val="17"/>
              </w:numPr>
              <w:spacing w:before="60" w:after="0" w:line="240" w:lineRule="auto"/>
              <w:jc w:val="both"/>
            </w:pPr>
            <w:r w:rsidRPr="00F422DD">
              <w:t>Antithetic Faults—</w:t>
            </w:r>
            <w:r w:rsidR="00601F4E" w:rsidRPr="00F422DD">
              <w:t>when</w:t>
            </w:r>
            <w:r w:rsidRPr="00F422DD">
              <w:t xml:space="preserve"> deformation at a fault tip causes shear of the opposite sense as the main fault. This creates rotation of the block in the damage zone.</w:t>
            </w:r>
          </w:p>
        </w:tc>
      </w:tr>
      <w:tr w:rsidR="00E25502" w:rsidRPr="00AB6A7E" w14:paraId="1C3973B1"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6B3467B4"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Fault seal</w:t>
            </w:r>
          </w:p>
        </w:tc>
        <w:tc>
          <w:tcPr>
            <w:tcW w:w="6300" w:type="dxa"/>
            <w:tcBorders>
              <w:top w:val="nil"/>
              <w:left w:val="nil"/>
              <w:bottom w:val="single" w:sz="8" w:space="0" w:color="auto"/>
              <w:right w:val="single" w:sz="8" w:space="0" w:color="auto"/>
            </w:tcBorders>
            <w:shd w:val="clear" w:color="auto" w:fill="auto"/>
            <w:vAlign w:val="center"/>
            <w:hideMark/>
          </w:tcPr>
          <w:p w14:paraId="547B60B2" w14:textId="4F64CC39"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 </w:t>
            </w:r>
            <w:r w:rsidR="00F422DD">
              <w:rPr>
                <w:rFonts w:eastAsia="Times New Roman" w:cs="Arial"/>
                <w:color w:val="000000"/>
                <w:lang w:eastAsia="en-AU"/>
              </w:rPr>
              <w:t>A fault with sufficiently low permeability that it can trap hydrocarbons over geological time.</w:t>
            </w:r>
          </w:p>
        </w:tc>
      </w:tr>
      <w:tr w:rsidR="00E25502" w:rsidRPr="00AB6A7E" w14:paraId="082B27CF"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63181DC6"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 xml:space="preserve">Fault throw </w:t>
            </w:r>
          </w:p>
        </w:tc>
        <w:tc>
          <w:tcPr>
            <w:tcW w:w="6300" w:type="dxa"/>
            <w:tcBorders>
              <w:top w:val="nil"/>
              <w:left w:val="nil"/>
              <w:bottom w:val="single" w:sz="8" w:space="0" w:color="auto"/>
              <w:right w:val="single" w:sz="8" w:space="0" w:color="auto"/>
            </w:tcBorders>
            <w:shd w:val="clear" w:color="auto" w:fill="auto"/>
            <w:vAlign w:val="center"/>
            <w:hideMark/>
          </w:tcPr>
          <w:p w14:paraId="2F3B11EB" w14:textId="02641C8D" w:rsidR="00E25502" w:rsidRPr="00F422DD" w:rsidRDefault="00E25502" w:rsidP="00E25502">
            <w:pPr>
              <w:spacing w:after="0" w:line="240" w:lineRule="auto"/>
              <w:rPr>
                <w:rFonts w:eastAsia="Times New Roman" w:cs="Arial"/>
                <w:color w:val="000000"/>
                <w:lang w:eastAsia="en-AU"/>
              </w:rPr>
            </w:pPr>
            <w:r w:rsidRPr="00F422DD">
              <w:rPr>
                <w:rFonts w:eastAsia="Times New Roman" w:cs="Arial"/>
                <w:color w:val="000000"/>
                <w:lang w:eastAsia="en-AU"/>
              </w:rPr>
              <w:t> </w:t>
            </w:r>
            <w:r w:rsidR="00F422DD">
              <w:rPr>
                <w:rFonts w:eastAsia="Times New Roman" w:cs="Arial"/>
                <w:color w:val="000000"/>
                <w:lang w:eastAsia="en-AU"/>
              </w:rPr>
              <w:t xml:space="preserve">The </w:t>
            </w:r>
            <w:r w:rsidR="00F422DD" w:rsidRPr="00F422DD">
              <w:t>vertical component of dip separation</w:t>
            </w:r>
            <w:r w:rsidR="00F422DD">
              <w:t>.</w:t>
            </w:r>
          </w:p>
        </w:tc>
      </w:tr>
      <w:tr w:rsidR="00E25502" w:rsidRPr="00AB6A7E" w14:paraId="3BFFF62E" w14:textId="77777777" w:rsidTr="00E25502">
        <w:trPr>
          <w:trHeight w:val="51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7AA2F5F4"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Flowback water</w:t>
            </w:r>
          </w:p>
        </w:tc>
        <w:tc>
          <w:tcPr>
            <w:tcW w:w="6300" w:type="dxa"/>
            <w:tcBorders>
              <w:top w:val="nil"/>
              <w:left w:val="nil"/>
              <w:bottom w:val="single" w:sz="8" w:space="0" w:color="auto"/>
              <w:right w:val="single" w:sz="8" w:space="0" w:color="auto"/>
            </w:tcBorders>
            <w:shd w:val="clear" w:color="auto" w:fill="auto"/>
            <w:vAlign w:val="center"/>
            <w:hideMark/>
          </w:tcPr>
          <w:p w14:paraId="58C295F6" w14:textId="55A7F502"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The initial flow of water returned to a well after fracture stimulation and prior to production</w:t>
            </w:r>
            <w:r w:rsidR="00F422DD">
              <w:rPr>
                <w:rFonts w:eastAsia="Times New Roman" w:cs="Arial"/>
                <w:color w:val="000000"/>
                <w:lang w:eastAsia="en-AU"/>
              </w:rPr>
              <w:t>.</w:t>
            </w:r>
          </w:p>
        </w:tc>
      </w:tr>
      <w:tr w:rsidR="00E25502" w:rsidRPr="00AB6A7E" w14:paraId="3A022DBE"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65940732"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Formation pressure</w:t>
            </w:r>
          </w:p>
        </w:tc>
        <w:tc>
          <w:tcPr>
            <w:tcW w:w="6300" w:type="dxa"/>
            <w:tcBorders>
              <w:top w:val="nil"/>
              <w:left w:val="nil"/>
              <w:bottom w:val="single" w:sz="8" w:space="0" w:color="auto"/>
              <w:right w:val="single" w:sz="8" w:space="0" w:color="auto"/>
            </w:tcBorders>
            <w:shd w:val="clear" w:color="auto" w:fill="auto"/>
            <w:vAlign w:val="center"/>
            <w:hideMark/>
          </w:tcPr>
          <w:p w14:paraId="7AE4E3C0" w14:textId="276F38E1"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 </w:t>
            </w:r>
            <w:r w:rsidR="00F422DD">
              <w:rPr>
                <w:rFonts w:eastAsia="Times New Roman" w:cs="Arial"/>
                <w:color w:val="000000"/>
                <w:lang w:eastAsia="en-AU"/>
              </w:rPr>
              <w:t>The fluid pressure measured at a point in an aquifer.</w:t>
            </w:r>
          </w:p>
        </w:tc>
      </w:tr>
      <w:tr w:rsidR="00E25502" w:rsidRPr="00AB6A7E" w14:paraId="476F7335" w14:textId="77777777" w:rsidTr="00E25502">
        <w:trPr>
          <w:trHeight w:val="51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00A1A892"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Formation water</w:t>
            </w:r>
          </w:p>
        </w:tc>
        <w:tc>
          <w:tcPr>
            <w:tcW w:w="6300" w:type="dxa"/>
            <w:tcBorders>
              <w:top w:val="nil"/>
              <w:left w:val="nil"/>
              <w:bottom w:val="single" w:sz="8" w:space="0" w:color="auto"/>
              <w:right w:val="single" w:sz="8" w:space="0" w:color="auto"/>
            </w:tcBorders>
            <w:shd w:val="clear" w:color="auto" w:fill="auto"/>
            <w:vAlign w:val="center"/>
            <w:hideMark/>
          </w:tcPr>
          <w:p w14:paraId="54CC94A5" w14:textId="1312A4C8" w:rsidR="00E25502" w:rsidRPr="00AB6A7E" w:rsidRDefault="00E25502" w:rsidP="00F422DD">
            <w:pPr>
              <w:spacing w:after="0" w:line="240" w:lineRule="auto"/>
              <w:rPr>
                <w:rFonts w:eastAsia="Times New Roman" w:cs="Arial"/>
                <w:color w:val="000000"/>
                <w:lang w:eastAsia="en-AU"/>
              </w:rPr>
            </w:pPr>
            <w:r w:rsidRPr="00AB6A7E">
              <w:rPr>
                <w:rFonts w:eastAsia="Times New Roman" w:cs="Arial"/>
                <w:color w:val="000000"/>
                <w:lang w:eastAsia="en-AU"/>
              </w:rPr>
              <w:t>Naturally occurring water that</w:t>
            </w:r>
            <w:r w:rsidR="00F422DD">
              <w:rPr>
                <w:rFonts w:eastAsia="Times New Roman" w:cs="Arial"/>
                <w:color w:val="000000"/>
                <w:lang w:eastAsia="en-AU"/>
              </w:rPr>
              <w:t xml:space="preserve"> occurs in the sub-surface rock framework.</w:t>
            </w:r>
          </w:p>
        </w:tc>
      </w:tr>
      <w:tr w:rsidR="00E25502" w:rsidRPr="00AB6A7E" w14:paraId="10F625FE"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19A38176"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Fugitive methane</w:t>
            </w:r>
          </w:p>
        </w:tc>
        <w:tc>
          <w:tcPr>
            <w:tcW w:w="6300" w:type="dxa"/>
            <w:tcBorders>
              <w:top w:val="nil"/>
              <w:left w:val="nil"/>
              <w:bottom w:val="single" w:sz="8" w:space="0" w:color="auto"/>
              <w:right w:val="single" w:sz="8" w:space="0" w:color="auto"/>
            </w:tcBorders>
            <w:shd w:val="clear" w:color="auto" w:fill="auto"/>
            <w:vAlign w:val="center"/>
            <w:hideMark/>
          </w:tcPr>
          <w:p w14:paraId="30AA511A" w14:textId="6B4F21CD" w:rsidR="00E25502" w:rsidRPr="00AB6A7E" w:rsidRDefault="00F422DD" w:rsidP="00E25502">
            <w:pPr>
              <w:spacing w:after="0" w:line="240" w:lineRule="auto"/>
              <w:rPr>
                <w:rFonts w:eastAsia="Times New Roman" w:cs="Arial"/>
                <w:color w:val="000000"/>
                <w:lang w:eastAsia="en-AU"/>
              </w:rPr>
            </w:pPr>
            <w:r>
              <w:rPr>
                <w:rFonts w:eastAsia="Times New Roman" w:cs="Arial"/>
                <w:color w:val="000000"/>
                <w:lang w:eastAsia="en-AU"/>
              </w:rPr>
              <w:t>Methane released to the atmosphere by anthropogenic means.</w:t>
            </w:r>
          </w:p>
        </w:tc>
      </w:tr>
      <w:tr w:rsidR="00E25502" w:rsidRPr="00AB6A7E" w14:paraId="54B5CFFE"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4E1C490E"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Geochemistry</w:t>
            </w:r>
          </w:p>
        </w:tc>
        <w:tc>
          <w:tcPr>
            <w:tcW w:w="6300" w:type="dxa"/>
            <w:tcBorders>
              <w:top w:val="nil"/>
              <w:left w:val="nil"/>
              <w:bottom w:val="single" w:sz="8" w:space="0" w:color="auto"/>
              <w:right w:val="single" w:sz="8" w:space="0" w:color="auto"/>
            </w:tcBorders>
            <w:shd w:val="clear" w:color="auto" w:fill="auto"/>
            <w:vAlign w:val="center"/>
            <w:hideMark/>
          </w:tcPr>
          <w:p w14:paraId="2E2B7860" w14:textId="25B6FFB2" w:rsidR="00E25502" w:rsidRPr="00AB6A7E" w:rsidRDefault="00F422DD" w:rsidP="00E25502">
            <w:pPr>
              <w:spacing w:after="0" w:line="240" w:lineRule="auto"/>
              <w:rPr>
                <w:rFonts w:eastAsia="Times New Roman" w:cs="Arial"/>
                <w:color w:val="000000"/>
                <w:lang w:eastAsia="en-AU"/>
              </w:rPr>
            </w:pPr>
            <w:r>
              <w:rPr>
                <w:rFonts w:eastAsia="Times New Roman" w:cs="Arial"/>
                <w:color w:val="000000"/>
                <w:lang w:eastAsia="en-AU"/>
              </w:rPr>
              <w:t xml:space="preserve">The interactive chemistry between formation water and rock mineralogy </w:t>
            </w:r>
          </w:p>
        </w:tc>
      </w:tr>
      <w:tr w:rsidR="00E25502" w:rsidRPr="00AB6A7E" w14:paraId="22F69E67"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5DF92A4C"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Geomechanical analysis</w:t>
            </w:r>
          </w:p>
        </w:tc>
        <w:tc>
          <w:tcPr>
            <w:tcW w:w="6300" w:type="dxa"/>
            <w:tcBorders>
              <w:top w:val="nil"/>
              <w:left w:val="nil"/>
              <w:bottom w:val="single" w:sz="8" w:space="0" w:color="auto"/>
              <w:right w:val="single" w:sz="8" w:space="0" w:color="auto"/>
            </w:tcBorders>
            <w:shd w:val="clear" w:color="auto" w:fill="auto"/>
            <w:vAlign w:val="center"/>
            <w:hideMark/>
          </w:tcPr>
          <w:p w14:paraId="3AD89C72" w14:textId="02F9BBF7" w:rsidR="00E25502" w:rsidRPr="00AB6A7E" w:rsidRDefault="00F422DD" w:rsidP="00E25502">
            <w:pPr>
              <w:spacing w:after="0" w:line="240" w:lineRule="auto"/>
              <w:rPr>
                <w:rFonts w:eastAsia="Times New Roman" w:cs="Arial"/>
                <w:color w:val="000000"/>
                <w:lang w:eastAsia="en-AU"/>
              </w:rPr>
            </w:pPr>
            <w:r>
              <w:rPr>
                <w:rFonts w:eastAsia="Times New Roman" w:cs="Arial"/>
                <w:color w:val="000000"/>
                <w:lang w:eastAsia="en-AU"/>
              </w:rPr>
              <w:t>The study of rock mechanics</w:t>
            </w:r>
            <w:r w:rsidR="007D3803">
              <w:rPr>
                <w:rFonts w:eastAsia="Times New Roman" w:cs="Arial"/>
                <w:color w:val="000000"/>
                <w:lang w:eastAsia="en-AU"/>
              </w:rPr>
              <w:t xml:space="preserve"> and stress</w:t>
            </w:r>
            <w:r>
              <w:rPr>
                <w:rFonts w:eastAsia="Times New Roman" w:cs="Arial"/>
                <w:color w:val="000000"/>
                <w:lang w:eastAsia="en-AU"/>
              </w:rPr>
              <w:t>.</w:t>
            </w:r>
          </w:p>
        </w:tc>
      </w:tr>
      <w:tr w:rsidR="00E25502" w:rsidRPr="00AB6A7E" w14:paraId="3B613463"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6A2798DA"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Gouge</w:t>
            </w:r>
          </w:p>
        </w:tc>
        <w:tc>
          <w:tcPr>
            <w:tcW w:w="6300" w:type="dxa"/>
            <w:tcBorders>
              <w:top w:val="nil"/>
              <w:left w:val="nil"/>
              <w:bottom w:val="single" w:sz="8" w:space="0" w:color="auto"/>
              <w:right w:val="single" w:sz="8" w:space="0" w:color="auto"/>
            </w:tcBorders>
            <w:shd w:val="clear" w:color="auto" w:fill="auto"/>
            <w:vAlign w:val="center"/>
            <w:hideMark/>
          </w:tcPr>
          <w:p w14:paraId="0C1FCF52" w14:textId="08E3DF53" w:rsidR="00E25502" w:rsidRPr="00AB6A7E" w:rsidRDefault="007D3803" w:rsidP="00E25502">
            <w:pPr>
              <w:spacing w:after="0" w:line="240" w:lineRule="auto"/>
              <w:rPr>
                <w:rFonts w:eastAsia="Times New Roman" w:cs="Arial"/>
                <w:color w:val="000000"/>
                <w:lang w:eastAsia="en-AU"/>
              </w:rPr>
            </w:pPr>
            <w:r>
              <w:rPr>
                <w:rStyle w:val="tgc"/>
              </w:rPr>
              <w:t>Unconsolidated tectonite (a rock formed by tectonic forces) with a very small grain size.</w:t>
            </w:r>
          </w:p>
        </w:tc>
      </w:tr>
      <w:tr w:rsidR="00E25502" w:rsidRPr="00AB6A7E" w14:paraId="24514762" w14:textId="77777777" w:rsidTr="00E25502">
        <w:trPr>
          <w:trHeight w:val="101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2C265782"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lastRenderedPageBreak/>
              <w:t>Groundwater</w:t>
            </w:r>
          </w:p>
        </w:tc>
        <w:tc>
          <w:tcPr>
            <w:tcW w:w="6300" w:type="dxa"/>
            <w:tcBorders>
              <w:top w:val="nil"/>
              <w:left w:val="nil"/>
              <w:bottom w:val="single" w:sz="8" w:space="0" w:color="auto"/>
              <w:right w:val="single" w:sz="8" w:space="0" w:color="auto"/>
            </w:tcBorders>
            <w:shd w:val="clear" w:color="auto" w:fill="auto"/>
            <w:vAlign w:val="center"/>
            <w:hideMark/>
          </w:tcPr>
          <w:p w14:paraId="55F7F3D0"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Water occurring naturally below ground level (whether in an aquifer or other low-permeability material), or water occurring at a place below ground that has been pumped, diverted or released to that place for storage. This does not include water held in underground tanks, pipes or other works</w:t>
            </w:r>
          </w:p>
        </w:tc>
      </w:tr>
      <w:tr w:rsidR="00E25502" w:rsidRPr="00AB6A7E" w14:paraId="7F603406" w14:textId="77777777" w:rsidTr="00E25502">
        <w:trPr>
          <w:trHeight w:val="32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5D2C45C1"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HCO</w:t>
            </w:r>
            <w:r w:rsidRPr="00AB6A7E">
              <w:rPr>
                <w:rFonts w:eastAsia="Times New Roman" w:cs="Arial"/>
                <w:color w:val="000000"/>
                <w:vertAlign w:val="subscript"/>
                <w:lang w:eastAsia="en-AU"/>
              </w:rPr>
              <w:t>3</w:t>
            </w:r>
          </w:p>
        </w:tc>
        <w:tc>
          <w:tcPr>
            <w:tcW w:w="6300" w:type="dxa"/>
            <w:tcBorders>
              <w:top w:val="nil"/>
              <w:left w:val="nil"/>
              <w:bottom w:val="single" w:sz="8" w:space="0" w:color="auto"/>
              <w:right w:val="single" w:sz="8" w:space="0" w:color="auto"/>
            </w:tcBorders>
            <w:shd w:val="clear" w:color="auto" w:fill="auto"/>
            <w:vAlign w:val="center"/>
            <w:hideMark/>
          </w:tcPr>
          <w:p w14:paraId="067CDE13"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Bicarbonate</w:t>
            </w:r>
          </w:p>
        </w:tc>
      </w:tr>
      <w:tr w:rsidR="00E25502" w:rsidRPr="00AB6A7E" w14:paraId="54EBE3F4"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28B8C211"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Horner analysis</w:t>
            </w:r>
          </w:p>
        </w:tc>
        <w:tc>
          <w:tcPr>
            <w:tcW w:w="6300" w:type="dxa"/>
            <w:tcBorders>
              <w:top w:val="nil"/>
              <w:left w:val="nil"/>
              <w:bottom w:val="single" w:sz="8" w:space="0" w:color="auto"/>
              <w:right w:val="single" w:sz="8" w:space="0" w:color="auto"/>
            </w:tcBorders>
            <w:shd w:val="clear" w:color="auto" w:fill="auto"/>
            <w:vAlign w:val="center"/>
            <w:hideMark/>
          </w:tcPr>
          <w:p w14:paraId="52F9D1A1" w14:textId="53866405" w:rsidR="00E25502" w:rsidRPr="00AB6A7E" w:rsidRDefault="00237750" w:rsidP="00237750">
            <w:pPr>
              <w:spacing w:after="0" w:line="240" w:lineRule="auto"/>
              <w:rPr>
                <w:rFonts w:eastAsia="Times New Roman" w:cs="Arial"/>
                <w:color w:val="000000"/>
                <w:lang w:eastAsia="en-AU"/>
              </w:rPr>
            </w:pPr>
            <w:r>
              <w:rPr>
                <w:rFonts w:eastAsia="Times New Roman" w:cs="Arial"/>
                <w:color w:val="000000"/>
                <w:lang w:eastAsia="en-AU"/>
              </w:rPr>
              <w:t>For time series data that approach an equilibrium (for example pressure increase with time on a shut in after pumping), a Horner analysis technique uses extrapolation to estimate the equilibrium value.</w:t>
            </w:r>
          </w:p>
        </w:tc>
      </w:tr>
      <w:tr w:rsidR="00E25502" w:rsidRPr="00AB6A7E" w14:paraId="5154471E" w14:textId="77777777" w:rsidTr="00E25502">
        <w:trPr>
          <w:trHeight w:val="226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7894F901"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Hydraulic fracturing</w:t>
            </w:r>
          </w:p>
        </w:tc>
        <w:tc>
          <w:tcPr>
            <w:tcW w:w="6300" w:type="dxa"/>
            <w:tcBorders>
              <w:top w:val="nil"/>
              <w:left w:val="nil"/>
              <w:bottom w:val="single" w:sz="8" w:space="0" w:color="auto"/>
              <w:right w:val="single" w:sz="8" w:space="0" w:color="auto"/>
            </w:tcBorders>
            <w:shd w:val="clear" w:color="auto" w:fill="auto"/>
            <w:vAlign w:val="center"/>
            <w:hideMark/>
          </w:tcPr>
          <w:p w14:paraId="062194C0" w14:textId="18D0F433" w:rsidR="00E25502" w:rsidRPr="00AB6A7E" w:rsidRDefault="00E25502" w:rsidP="00237750">
            <w:pPr>
              <w:spacing w:after="0" w:line="240" w:lineRule="auto"/>
              <w:rPr>
                <w:rFonts w:eastAsia="Times New Roman" w:cs="Arial"/>
                <w:color w:val="000000"/>
                <w:lang w:eastAsia="en-AU"/>
              </w:rPr>
            </w:pPr>
            <w:r w:rsidRPr="00AB6A7E">
              <w:rPr>
                <w:rFonts w:eastAsia="Times New Roman" w:cs="Arial"/>
                <w:color w:val="000000"/>
                <w:lang w:eastAsia="en-AU"/>
              </w:rPr>
              <w:t>Also known as ‘fracking’, ‘fraccing’ or ‘fracture stimulation’, is one process by which hydrocarbon (oil and gas) bearing geological formations are ‘stimulated’ to enhance the flow of hydrocarbons and other fluids towards the well. The hydraulic fracturing process involves the injection of fluids, gas, proppant and other additives under high pressure into a geological formation to create a conductive fracture. The fracture exte</w:t>
            </w:r>
            <w:r w:rsidR="00237750">
              <w:rPr>
                <w:rFonts w:eastAsia="Times New Roman" w:cs="Arial"/>
                <w:color w:val="000000"/>
                <w:lang w:eastAsia="en-AU"/>
              </w:rPr>
              <w:t xml:space="preserve">nds from the well into the </w:t>
            </w:r>
            <w:r w:rsidRPr="00AB6A7E">
              <w:rPr>
                <w:rFonts w:eastAsia="Times New Roman" w:cs="Arial"/>
                <w:color w:val="000000"/>
                <w:lang w:eastAsia="en-AU"/>
              </w:rPr>
              <w:t>reservoir, creating a large surface area through which gas and water are produced and then transported to the well via the conductive propped fracture channel</w:t>
            </w:r>
            <w:r w:rsidR="00237750">
              <w:rPr>
                <w:rFonts w:eastAsia="Times New Roman" w:cs="Arial"/>
                <w:color w:val="000000"/>
                <w:lang w:eastAsia="en-AU"/>
              </w:rPr>
              <w:t>.</w:t>
            </w:r>
          </w:p>
        </w:tc>
      </w:tr>
      <w:tr w:rsidR="00E25502" w:rsidRPr="00AB6A7E" w14:paraId="1ECF1880" w14:textId="77777777" w:rsidTr="00E25502">
        <w:trPr>
          <w:trHeight w:val="51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29391AAC"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Hydraulic gradient</w:t>
            </w:r>
          </w:p>
        </w:tc>
        <w:tc>
          <w:tcPr>
            <w:tcW w:w="6300" w:type="dxa"/>
            <w:tcBorders>
              <w:top w:val="nil"/>
              <w:left w:val="nil"/>
              <w:bottom w:val="single" w:sz="8" w:space="0" w:color="auto"/>
              <w:right w:val="single" w:sz="8" w:space="0" w:color="auto"/>
            </w:tcBorders>
            <w:shd w:val="clear" w:color="auto" w:fill="auto"/>
            <w:vAlign w:val="center"/>
            <w:hideMark/>
          </w:tcPr>
          <w:p w14:paraId="0EC10AFC" w14:textId="2334FA0F"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The change in hydraulic head between different locations within or between aquifers or other formations, as indicated by bores constructed in those formations</w:t>
            </w:r>
            <w:r w:rsidR="00237750">
              <w:rPr>
                <w:rFonts w:eastAsia="Times New Roman" w:cs="Arial"/>
                <w:color w:val="000000"/>
                <w:lang w:eastAsia="en-AU"/>
              </w:rPr>
              <w:t>.</w:t>
            </w:r>
          </w:p>
        </w:tc>
      </w:tr>
      <w:tr w:rsidR="00E25502" w:rsidRPr="00AB6A7E" w14:paraId="0CA1374D" w14:textId="77777777" w:rsidTr="00E25502">
        <w:trPr>
          <w:trHeight w:val="176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09EBADC3"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Hydraulic head</w:t>
            </w:r>
          </w:p>
        </w:tc>
        <w:tc>
          <w:tcPr>
            <w:tcW w:w="6300" w:type="dxa"/>
            <w:tcBorders>
              <w:top w:val="nil"/>
              <w:left w:val="nil"/>
              <w:bottom w:val="single" w:sz="8" w:space="0" w:color="auto"/>
              <w:right w:val="single" w:sz="8" w:space="0" w:color="auto"/>
            </w:tcBorders>
            <w:shd w:val="clear" w:color="auto" w:fill="auto"/>
            <w:vAlign w:val="center"/>
            <w:hideMark/>
          </w:tcPr>
          <w:p w14:paraId="0F219176" w14:textId="77777777" w:rsidR="00B13E18" w:rsidRPr="00F12C28" w:rsidRDefault="00B13E18" w:rsidP="00B13E18">
            <w:pPr>
              <w:numPr>
                <w:ilvl w:val="0"/>
                <w:numId w:val="18"/>
              </w:numPr>
              <w:autoSpaceDE w:val="0"/>
              <w:autoSpaceDN w:val="0"/>
              <w:adjustRightInd w:val="0"/>
              <w:spacing w:after="0" w:line="360" w:lineRule="auto"/>
              <w:rPr>
                <w:lang w:eastAsia="en-AU"/>
              </w:rPr>
            </w:pPr>
            <w:r w:rsidRPr="00F12C28">
              <w:rPr>
                <w:lang w:eastAsia="en-AU"/>
              </w:rPr>
              <w:t>H</w:t>
            </w:r>
            <w:r w:rsidRPr="00F12C28">
              <w:rPr>
                <w:vertAlign w:val="subscript"/>
              </w:rPr>
              <w:t>w</w:t>
            </w:r>
            <w:r w:rsidRPr="00F12C28">
              <w:rPr>
                <w:lang w:eastAsia="en-AU"/>
              </w:rPr>
              <w:t xml:space="preserve"> = (P/</w:t>
            </w:r>
            <w:r w:rsidRPr="00F12C28">
              <w:rPr>
                <w:rFonts w:ascii="Symbol" w:hAnsi="Symbol"/>
                <w:lang w:eastAsia="en-AU"/>
              </w:rPr>
              <w:t></w:t>
            </w:r>
            <w:r w:rsidRPr="00F12C28">
              <w:rPr>
                <w:vertAlign w:val="subscript"/>
                <w:lang w:eastAsia="en-AU"/>
              </w:rPr>
              <w:t>w</w:t>
            </w:r>
            <w:r w:rsidRPr="00F12C28">
              <w:rPr>
                <w:lang w:eastAsia="en-AU"/>
              </w:rPr>
              <w:t xml:space="preserve">g) + Z </w:t>
            </w:r>
          </w:p>
          <w:p w14:paraId="4A5CD59C" w14:textId="2B34C37D" w:rsidR="00B13E18" w:rsidRDefault="00B13E18" w:rsidP="00E25502">
            <w:pPr>
              <w:spacing w:after="0" w:line="240" w:lineRule="auto"/>
              <w:rPr>
                <w:rFonts w:eastAsia="Times New Roman" w:cs="Arial"/>
                <w:color w:val="000000"/>
                <w:lang w:eastAsia="en-AU"/>
              </w:rPr>
            </w:pPr>
            <w:r>
              <w:rPr>
                <w:rFonts w:eastAsia="Times New Roman" w:cs="Arial"/>
                <w:color w:val="000000"/>
                <w:lang w:eastAsia="en-AU"/>
              </w:rPr>
              <w:t>H</w:t>
            </w:r>
            <w:r w:rsidRPr="00B13E18">
              <w:rPr>
                <w:rFonts w:eastAsia="Times New Roman" w:cs="Arial"/>
                <w:color w:val="000000"/>
                <w:vertAlign w:val="subscript"/>
                <w:lang w:eastAsia="en-AU"/>
              </w:rPr>
              <w:t>w</w:t>
            </w:r>
            <w:r>
              <w:rPr>
                <w:rFonts w:eastAsia="Times New Roman" w:cs="Arial"/>
                <w:color w:val="000000"/>
                <w:lang w:eastAsia="en-AU"/>
              </w:rPr>
              <w:t xml:space="preserve"> = Hydraulic Head</w:t>
            </w:r>
          </w:p>
          <w:p w14:paraId="553BB0DB" w14:textId="00150754" w:rsidR="00B13E18" w:rsidRDefault="00B13E18" w:rsidP="00E25502">
            <w:pPr>
              <w:spacing w:after="0" w:line="240" w:lineRule="auto"/>
              <w:rPr>
                <w:rFonts w:eastAsia="Times New Roman" w:cs="Arial"/>
                <w:color w:val="000000"/>
                <w:lang w:eastAsia="en-AU"/>
              </w:rPr>
            </w:pPr>
            <w:r>
              <w:rPr>
                <w:rFonts w:eastAsia="Times New Roman" w:cs="Arial"/>
                <w:color w:val="000000"/>
                <w:lang w:eastAsia="en-AU"/>
              </w:rPr>
              <w:t>P = Formation Pressure</w:t>
            </w:r>
          </w:p>
          <w:p w14:paraId="0A14CF9C" w14:textId="04209E16" w:rsidR="00B13E18" w:rsidRDefault="00B13E18" w:rsidP="00E25502">
            <w:pPr>
              <w:spacing w:after="0" w:line="240" w:lineRule="auto"/>
              <w:rPr>
                <w:rFonts w:eastAsia="Times New Roman" w:cs="Arial"/>
                <w:color w:val="000000"/>
                <w:lang w:eastAsia="en-AU"/>
              </w:rPr>
            </w:pPr>
            <w:r w:rsidRPr="00F12C28">
              <w:rPr>
                <w:rFonts w:ascii="Symbol" w:hAnsi="Symbol"/>
                <w:lang w:eastAsia="en-AU"/>
              </w:rPr>
              <w:t></w:t>
            </w:r>
            <w:r w:rsidRPr="00F12C28">
              <w:rPr>
                <w:vertAlign w:val="subscript"/>
                <w:lang w:eastAsia="en-AU"/>
              </w:rPr>
              <w:t>w</w:t>
            </w:r>
            <w:r>
              <w:rPr>
                <w:rFonts w:eastAsia="Times New Roman" w:cs="Arial"/>
                <w:color w:val="000000"/>
                <w:lang w:eastAsia="en-AU"/>
              </w:rPr>
              <w:t>= Formation water density</w:t>
            </w:r>
          </w:p>
          <w:p w14:paraId="7292203F" w14:textId="377184FE" w:rsidR="00B13E18" w:rsidRDefault="00B13E18" w:rsidP="00E25502">
            <w:pPr>
              <w:spacing w:after="0" w:line="240" w:lineRule="auto"/>
              <w:rPr>
                <w:rFonts w:eastAsia="Times New Roman" w:cs="Arial"/>
                <w:color w:val="000000"/>
                <w:lang w:eastAsia="en-AU"/>
              </w:rPr>
            </w:pPr>
            <w:r>
              <w:rPr>
                <w:rFonts w:eastAsia="Times New Roman" w:cs="Arial"/>
                <w:color w:val="000000"/>
                <w:lang w:eastAsia="en-AU"/>
              </w:rPr>
              <w:t>g = Acceleration of Gravity</w:t>
            </w:r>
          </w:p>
          <w:p w14:paraId="3175BB5A" w14:textId="44B6A786" w:rsidR="00E25502" w:rsidRPr="00AB6A7E" w:rsidRDefault="00B13E18" w:rsidP="00B13E18">
            <w:pPr>
              <w:spacing w:after="0" w:line="240" w:lineRule="auto"/>
              <w:rPr>
                <w:rFonts w:eastAsia="Times New Roman" w:cs="Arial"/>
                <w:color w:val="000000"/>
                <w:lang w:eastAsia="en-AU"/>
              </w:rPr>
            </w:pPr>
            <w:r>
              <w:rPr>
                <w:rFonts w:eastAsia="Times New Roman" w:cs="Arial"/>
                <w:color w:val="000000"/>
                <w:lang w:eastAsia="en-AU"/>
              </w:rPr>
              <w:t>Z = Pressure Gauge Elevation</w:t>
            </w:r>
          </w:p>
        </w:tc>
      </w:tr>
      <w:tr w:rsidR="00E25502" w:rsidRPr="00AB6A7E" w14:paraId="62D88547"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35385A70"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Hydrochemical analysis</w:t>
            </w:r>
          </w:p>
        </w:tc>
        <w:tc>
          <w:tcPr>
            <w:tcW w:w="6300" w:type="dxa"/>
            <w:tcBorders>
              <w:top w:val="nil"/>
              <w:left w:val="nil"/>
              <w:bottom w:val="single" w:sz="8" w:space="0" w:color="auto"/>
              <w:right w:val="single" w:sz="8" w:space="0" w:color="auto"/>
            </w:tcBorders>
            <w:shd w:val="clear" w:color="auto" w:fill="auto"/>
            <w:vAlign w:val="center"/>
            <w:hideMark/>
          </w:tcPr>
          <w:p w14:paraId="4DF2489D" w14:textId="1B9D1F85" w:rsidR="00E25502" w:rsidRPr="00AB6A7E" w:rsidRDefault="00B13E18" w:rsidP="00E25502">
            <w:pPr>
              <w:spacing w:after="0" w:line="240" w:lineRule="auto"/>
              <w:rPr>
                <w:rFonts w:eastAsia="Times New Roman" w:cs="Arial"/>
                <w:color w:val="000000"/>
                <w:lang w:eastAsia="en-AU"/>
              </w:rPr>
            </w:pPr>
            <w:r>
              <w:rPr>
                <w:rFonts w:eastAsia="Times New Roman" w:cs="Arial"/>
                <w:color w:val="000000"/>
                <w:lang w:eastAsia="en-AU"/>
              </w:rPr>
              <w:t>The analytical results of</w:t>
            </w:r>
            <w:r w:rsidR="006639EB">
              <w:rPr>
                <w:rFonts w:eastAsia="Times New Roman" w:cs="Arial"/>
                <w:color w:val="000000"/>
                <w:lang w:eastAsia="en-AU"/>
              </w:rPr>
              <w:t xml:space="preserve"> measuring ionic constituents and other attributes of a water sample.</w:t>
            </w:r>
          </w:p>
        </w:tc>
      </w:tr>
      <w:tr w:rsidR="00E25502" w:rsidRPr="00AB6A7E" w14:paraId="21A7DE3F"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277DD142"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Hydrodynamic analysis</w:t>
            </w:r>
          </w:p>
        </w:tc>
        <w:tc>
          <w:tcPr>
            <w:tcW w:w="6300" w:type="dxa"/>
            <w:tcBorders>
              <w:top w:val="nil"/>
              <w:left w:val="nil"/>
              <w:bottom w:val="single" w:sz="8" w:space="0" w:color="auto"/>
              <w:right w:val="single" w:sz="8" w:space="0" w:color="auto"/>
            </w:tcBorders>
            <w:shd w:val="clear" w:color="auto" w:fill="auto"/>
            <w:vAlign w:val="center"/>
            <w:hideMark/>
          </w:tcPr>
          <w:p w14:paraId="20D18A00" w14:textId="6D2150AB" w:rsidR="00E25502" w:rsidRPr="00AB6A7E" w:rsidRDefault="006639EB" w:rsidP="006639EB">
            <w:pPr>
              <w:spacing w:after="0" w:line="240" w:lineRule="auto"/>
              <w:rPr>
                <w:rFonts w:eastAsia="Times New Roman" w:cs="Arial"/>
                <w:color w:val="000000"/>
                <w:lang w:eastAsia="en-AU"/>
              </w:rPr>
            </w:pPr>
            <w:r>
              <w:rPr>
                <w:rFonts w:eastAsia="Times New Roman" w:cs="Arial"/>
                <w:color w:val="000000"/>
                <w:lang w:eastAsia="en-AU"/>
              </w:rPr>
              <w:t>The study of groundwater or formation water</w:t>
            </w:r>
          </w:p>
        </w:tc>
      </w:tr>
      <w:tr w:rsidR="00E25502" w:rsidRPr="00AB6A7E" w14:paraId="4AAA5EB5" w14:textId="77777777" w:rsidTr="00E25502">
        <w:trPr>
          <w:trHeight w:val="51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4005CBDD"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Hydrodynamic processes</w:t>
            </w:r>
          </w:p>
        </w:tc>
        <w:tc>
          <w:tcPr>
            <w:tcW w:w="6300" w:type="dxa"/>
            <w:tcBorders>
              <w:top w:val="nil"/>
              <w:left w:val="nil"/>
              <w:bottom w:val="single" w:sz="8" w:space="0" w:color="auto"/>
              <w:right w:val="single" w:sz="8" w:space="0" w:color="auto"/>
            </w:tcBorders>
            <w:shd w:val="clear" w:color="auto" w:fill="auto"/>
            <w:vAlign w:val="center"/>
            <w:hideMark/>
          </w:tcPr>
          <w:p w14:paraId="396AA0DF" w14:textId="74883A3F" w:rsidR="00E25502" w:rsidRPr="00AB6A7E" w:rsidRDefault="006639EB" w:rsidP="00E25502">
            <w:pPr>
              <w:spacing w:after="0" w:line="240" w:lineRule="auto"/>
              <w:rPr>
                <w:rFonts w:eastAsia="Times New Roman" w:cs="Arial"/>
                <w:color w:val="000000"/>
                <w:lang w:eastAsia="en-AU"/>
              </w:rPr>
            </w:pPr>
            <w:r>
              <w:rPr>
                <w:rFonts w:eastAsia="Times New Roman" w:cs="Arial"/>
                <w:color w:val="000000"/>
                <w:lang w:eastAsia="en-AU"/>
              </w:rPr>
              <w:t>Geochemical, geomechanical, and hydraulic processes associated with groundwater or formation water systems.</w:t>
            </w:r>
          </w:p>
        </w:tc>
      </w:tr>
      <w:tr w:rsidR="00E25502" w:rsidRPr="00AB6A7E" w14:paraId="3387D33B"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05001B7A" w14:textId="4C6908ED"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In</w:t>
            </w:r>
            <w:r w:rsidR="006639EB">
              <w:rPr>
                <w:rFonts w:eastAsia="Times New Roman" w:cs="Arial"/>
                <w:color w:val="000000"/>
                <w:lang w:eastAsia="en-AU"/>
              </w:rPr>
              <w:t>-</w:t>
            </w:r>
            <w:r w:rsidRPr="00AB6A7E">
              <w:rPr>
                <w:rFonts w:eastAsia="Times New Roman" w:cs="Arial"/>
                <w:color w:val="000000"/>
                <w:lang w:eastAsia="en-AU"/>
              </w:rPr>
              <w:t>situ stress</w:t>
            </w:r>
          </w:p>
        </w:tc>
        <w:tc>
          <w:tcPr>
            <w:tcW w:w="6300" w:type="dxa"/>
            <w:tcBorders>
              <w:top w:val="nil"/>
              <w:left w:val="nil"/>
              <w:bottom w:val="single" w:sz="8" w:space="0" w:color="auto"/>
              <w:right w:val="single" w:sz="8" w:space="0" w:color="auto"/>
            </w:tcBorders>
            <w:shd w:val="clear" w:color="auto" w:fill="auto"/>
            <w:vAlign w:val="center"/>
            <w:hideMark/>
          </w:tcPr>
          <w:p w14:paraId="702AC300" w14:textId="292F6E09" w:rsidR="00E25502" w:rsidRPr="00AB6A7E" w:rsidRDefault="006639EB" w:rsidP="00E25502">
            <w:pPr>
              <w:spacing w:after="0" w:line="240" w:lineRule="auto"/>
              <w:rPr>
                <w:rFonts w:eastAsia="Times New Roman" w:cs="Arial"/>
                <w:color w:val="000000"/>
                <w:lang w:eastAsia="en-AU"/>
              </w:rPr>
            </w:pPr>
            <w:r>
              <w:rPr>
                <w:rFonts w:eastAsia="Times New Roman" w:cs="Arial"/>
                <w:color w:val="000000"/>
                <w:lang w:eastAsia="en-AU"/>
              </w:rPr>
              <w:t>The stress at a point in the sub-surface.</w:t>
            </w:r>
            <w:r w:rsidR="00E25502" w:rsidRPr="00AB6A7E">
              <w:rPr>
                <w:rFonts w:eastAsia="Times New Roman" w:cs="Arial"/>
                <w:color w:val="000000"/>
                <w:lang w:eastAsia="en-AU"/>
              </w:rPr>
              <w:t> </w:t>
            </w:r>
          </w:p>
        </w:tc>
      </w:tr>
      <w:tr w:rsidR="00E25502" w:rsidRPr="00AB6A7E" w14:paraId="759148CC" w14:textId="77777777" w:rsidTr="00E25502">
        <w:trPr>
          <w:trHeight w:val="51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7CBF5E90"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Irreducible water saturation</w:t>
            </w:r>
          </w:p>
        </w:tc>
        <w:tc>
          <w:tcPr>
            <w:tcW w:w="6300" w:type="dxa"/>
            <w:tcBorders>
              <w:top w:val="nil"/>
              <w:left w:val="nil"/>
              <w:bottom w:val="single" w:sz="8" w:space="0" w:color="auto"/>
              <w:right w:val="single" w:sz="8" w:space="0" w:color="auto"/>
            </w:tcBorders>
            <w:shd w:val="clear" w:color="auto" w:fill="auto"/>
            <w:vAlign w:val="center"/>
            <w:hideMark/>
          </w:tcPr>
          <w:p w14:paraId="549BBC3D" w14:textId="04A70705" w:rsidR="00E25502" w:rsidRPr="00AB6A7E" w:rsidRDefault="006639EB" w:rsidP="00E25502">
            <w:pPr>
              <w:spacing w:after="0" w:line="240" w:lineRule="auto"/>
              <w:rPr>
                <w:rFonts w:eastAsia="Times New Roman" w:cs="Arial"/>
                <w:color w:val="000000"/>
                <w:lang w:eastAsia="en-AU"/>
              </w:rPr>
            </w:pPr>
            <w:r>
              <w:rPr>
                <w:rFonts w:eastAsia="Times New Roman" w:cs="Arial"/>
                <w:color w:val="000000"/>
                <w:lang w:eastAsia="en-AU"/>
              </w:rPr>
              <w:t>T</w:t>
            </w:r>
            <w:r>
              <w:t>he fraction of the pore space occupied by water when the hydrocarbon content is at maximum.</w:t>
            </w:r>
          </w:p>
        </w:tc>
      </w:tr>
      <w:tr w:rsidR="00E25502" w:rsidRPr="00AB6A7E" w14:paraId="6D146A18"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61A2B5BD"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Isotope</w:t>
            </w:r>
          </w:p>
        </w:tc>
        <w:tc>
          <w:tcPr>
            <w:tcW w:w="6300" w:type="dxa"/>
            <w:tcBorders>
              <w:top w:val="nil"/>
              <w:left w:val="nil"/>
              <w:bottom w:val="single" w:sz="8" w:space="0" w:color="auto"/>
              <w:right w:val="single" w:sz="8" w:space="0" w:color="auto"/>
            </w:tcBorders>
            <w:shd w:val="clear" w:color="auto" w:fill="auto"/>
            <w:vAlign w:val="center"/>
            <w:hideMark/>
          </w:tcPr>
          <w:p w14:paraId="3A2308C6" w14:textId="3B118ED8" w:rsidR="00E25502" w:rsidRPr="006639EB" w:rsidRDefault="006639EB" w:rsidP="00E25502">
            <w:pPr>
              <w:spacing w:after="0" w:line="240" w:lineRule="auto"/>
              <w:rPr>
                <w:rFonts w:eastAsia="Times New Roman" w:cs="Arial"/>
                <w:color w:val="000000"/>
                <w:lang w:eastAsia="en-AU"/>
              </w:rPr>
            </w:pPr>
            <w:r w:rsidRPr="006639EB">
              <w:t xml:space="preserve">Atoms that have the same number of </w:t>
            </w:r>
            <w:hyperlink r:id="rId29" w:history="1">
              <w:r w:rsidRPr="006639EB">
                <w:rPr>
                  <w:rStyle w:val="Hyperlink"/>
                  <w:color w:val="auto"/>
                  <w:u w:val="none"/>
                </w:rPr>
                <w:t>protons</w:t>
              </w:r>
            </w:hyperlink>
            <w:r w:rsidRPr="006639EB">
              <w:t xml:space="preserve"> but different numbers of </w:t>
            </w:r>
            <w:hyperlink r:id="rId30" w:history="1">
              <w:r w:rsidRPr="006639EB">
                <w:rPr>
                  <w:rStyle w:val="Hyperlink"/>
                  <w:color w:val="auto"/>
                  <w:u w:val="none"/>
                </w:rPr>
                <w:t>neutrons</w:t>
              </w:r>
            </w:hyperlink>
            <w:r w:rsidRPr="006639EB">
              <w:t xml:space="preserve"> are called isotopes. The element </w:t>
            </w:r>
            <w:hyperlink r:id="rId31" w:history="1">
              <w:r w:rsidRPr="006639EB">
                <w:rPr>
                  <w:rStyle w:val="Hyperlink"/>
                  <w:color w:val="auto"/>
                  <w:u w:val="none"/>
                </w:rPr>
                <w:t>hydrogen</w:t>
              </w:r>
            </w:hyperlink>
            <w:r w:rsidRPr="006639EB">
              <w:t xml:space="preserve">, for example, has three commonly known isotopes: protium, </w:t>
            </w:r>
            <w:hyperlink r:id="rId32" w:history="1">
              <w:r w:rsidRPr="006639EB">
                <w:rPr>
                  <w:rStyle w:val="Hyperlink"/>
                  <w:color w:val="auto"/>
                  <w:u w:val="none"/>
                </w:rPr>
                <w:t>deuterium</w:t>
              </w:r>
            </w:hyperlink>
            <w:r w:rsidRPr="006639EB">
              <w:t xml:space="preserve"> and </w:t>
            </w:r>
            <w:hyperlink r:id="rId33" w:history="1">
              <w:r w:rsidRPr="006639EB">
                <w:rPr>
                  <w:rStyle w:val="Hyperlink"/>
                  <w:color w:val="auto"/>
                  <w:u w:val="none"/>
                </w:rPr>
                <w:t>tritium</w:t>
              </w:r>
            </w:hyperlink>
          </w:p>
        </w:tc>
      </w:tr>
      <w:tr w:rsidR="00E25502" w:rsidRPr="00AB6A7E" w14:paraId="011BCE63"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43371693"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Juxtaposition analysis</w:t>
            </w:r>
          </w:p>
        </w:tc>
        <w:tc>
          <w:tcPr>
            <w:tcW w:w="6300" w:type="dxa"/>
            <w:tcBorders>
              <w:top w:val="nil"/>
              <w:left w:val="nil"/>
              <w:bottom w:val="single" w:sz="8" w:space="0" w:color="auto"/>
              <w:right w:val="single" w:sz="8" w:space="0" w:color="auto"/>
            </w:tcBorders>
            <w:shd w:val="clear" w:color="auto" w:fill="auto"/>
            <w:vAlign w:val="center"/>
            <w:hideMark/>
          </w:tcPr>
          <w:p w14:paraId="3369E8FC" w14:textId="786EEA23" w:rsidR="00E25502" w:rsidRPr="00AB6A7E" w:rsidRDefault="006639EB" w:rsidP="00E25502">
            <w:pPr>
              <w:spacing w:after="0" w:line="240" w:lineRule="auto"/>
              <w:rPr>
                <w:rFonts w:eastAsia="Times New Roman" w:cs="Arial"/>
                <w:color w:val="000000"/>
                <w:lang w:eastAsia="en-AU"/>
              </w:rPr>
            </w:pPr>
            <w:r>
              <w:rPr>
                <w:rFonts w:eastAsia="Times New Roman" w:cs="Arial"/>
                <w:color w:val="000000"/>
                <w:lang w:eastAsia="en-AU"/>
              </w:rPr>
              <w:t>An assessment of the strata located directly across a fault plane from one another.</w:t>
            </w:r>
          </w:p>
        </w:tc>
      </w:tr>
      <w:tr w:rsidR="00E25502" w:rsidRPr="00AB6A7E" w14:paraId="6702EBC9"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22C96058"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Kinematic analysis</w:t>
            </w:r>
          </w:p>
        </w:tc>
        <w:tc>
          <w:tcPr>
            <w:tcW w:w="6300" w:type="dxa"/>
            <w:tcBorders>
              <w:top w:val="nil"/>
              <w:left w:val="nil"/>
              <w:bottom w:val="single" w:sz="8" w:space="0" w:color="auto"/>
              <w:right w:val="single" w:sz="8" w:space="0" w:color="auto"/>
            </w:tcBorders>
            <w:shd w:val="clear" w:color="auto" w:fill="auto"/>
            <w:vAlign w:val="center"/>
            <w:hideMark/>
          </w:tcPr>
          <w:p w14:paraId="2281C22D" w14:textId="601C64E7" w:rsidR="00E25502" w:rsidRPr="00AB6A7E" w:rsidRDefault="002B28F5" w:rsidP="00E25502">
            <w:pPr>
              <w:spacing w:after="0" w:line="240" w:lineRule="auto"/>
              <w:rPr>
                <w:rFonts w:eastAsia="Times New Roman" w:cs="Arial"/>
                <w:color w:val="000000"/>
                <w:lang w:eastAsia="en-AU"/>
              </w:rPr>
            </w:pPr>
            <w:r>
              <w:rPr>
                <w:rFonts w:eastAsia="Times New Roman" w:cs="Arial"/>
                <w:color w:val="000000"/>
                <w:lang w:eastAsia="en-AU"/>
              </w:rPr>
              <w:t>Kinematic analysis yields information on the orientation and shape of the stress ellipsoid.</w:t>
            </w:r>
          </w:p>
        </w:tc>
      </w:tr>
      <w:tr w:rsidR="00E25502" w:rsidRPr="00AB6A7E" w14:paraId="22BA16B0"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761C5F63"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Lateral ramp</w:t>
            </w:r>
          </w:p>
        </w:tc>
        <w:tc>
          <w:tcPr>
            <w:tcW w:w="6300" w:type="dxa"/>
            <w:tcBorders>
              <w:top w:val="nil"/>
              <w:left w:val="nil"/>
              <w:bottom w:val="single" w:sz="8" w:space="0" w:color="auto"/>
              <w:right w:val="single" w:sz="8" w:space="0" w:color="auto"/>
            </w:tcBorders>
            <w:shd w:val="clear" w:color="auto" w:fill="auto"/>
            <w:vAlign w:val="center"/>
            <w:hideMark/>
          </w:tcPr>
          <w:p w14:paraId="3984478F" w14:textId="644B4D91" w:rsidR="00E25502" w:rsidRPr="002B28F5" w:rsidRDefault="002B28F5" w:rsidP="00E25502">
            <w:pPr>
              <w:spacing w:after="0" w:line="240" w:lineRule="auto"/>
              <w:rPr>
                <w:rFonts w:eastAsia="Times New Roman" w:cs="Arial"/>
                <w:color w:val="000000"/>
                <w:lang w:eastAsia="en-AU"/>
              </w:rPr>
            </w:pPr>
            <w:r w:rsidRPr="002B28F5">
              <w:t xml:space="preserve">Lateral ramps have a strike parallel to the displacement direction, and can be considered </w:t>
            </w:r>
            <w:hyperlink r:id="rId34" w:history="1">
              <w:r w:rsidRPr="002B28F5">
                <w:rPr>
                  <w:rStyle w:val="Hyperlink"/>
                  <w:color w:val="auto"/>
                  <w:u w:val="none"/>
                </w:rPr>
                <w:t>tear faults</w:t>
              </w:r>
            </w:hyperlink>
          </w:p>
        </w:tc>
      </w:tr>
      <w:tr w:rsidR="00E25502" w:rsidRPr="00AB6A7E" w14:paraId="027BB418"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58051A54"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Leak-off tests</w:t>
            </w:r>
          </w:p>
        </w:tc>
        <w:tc>
          <w:tcPr>
            <w:tcW w:w="6300" w:type="dxa"/>
            <w:tcBorders>
              <w:top w:val="nil"/>
              <w:left w:val="nil"/>
              <w:bottom w:val="single" w:sz="8" w:space="0" w:color="auto"/>
              <w:right w:val="single" w:sz="8" w:space="0" w:color="auto"/>
            </w:tcBorders>
            <w:shd w:val="clear" w:color="auto" w:fill="auto"/>
            <w:vAlign w:val="center"/>
            <w:hideMark/>
          </w:tcPr>
          <w:p w14:paraId="56CFF1CA" w14:textId="251E0CA2" w:rsidR="00E25502" w:rsidRPr="00BA499D" w:rsidRDefault="002B28F5" w:rsidP="00BA499D">
            <w:pPr>
              <w:spacing w:after="0" w:line="240" w:lineRule="auto"/>
              <w:rPr>
                <w:rFonts w:eastAsia="Times New Roman" w:cs="Arial"/>
                <w:color w:val="000000"/>
                <w:lang w:eastAsia="en-AU"/>
              </w:rPr>
            </w:pPr>
            <w:r w:rsidRPr="00BA499D">
              <w:t>Leak Off Testing is to determine the strength of the rock, commonly</w:t>
            </w:r>
            <w:r w:rsidR="00BA499D" w:rsidRPr="00BA499D">
              <w:t xml:space="preserve"> also</w:t>
            </w:r>
            <w:r w:rsidRPr="00BA499D">
              <w:t xml:space="preserve"> called a </w:t>
            </w:r>
            <w:hyperlink r:id="rId35" w:history="1">
              <w:r w:rsidRPr="00BA499D">
                <w:rPr>
                  <w:rStyle w:val="Hyperlink"/>
                  <w:color w:val="auto"/>
                  <w:u w:val="none"/>
                </w:rPr>
                <w:t>pressure integrity test</w:t>
              </w:r>
            </w:hyperlink>
            <w:r w:rsidRPr="00BA499D">
              <w:t xml:space="preserve"> (</w:t>
            </w:r>
            <w:hyperlink r:id="rId36" w:history="1">
              <w:r w:rsidRPr="00BA499D">
                <w:rPr>
                  <w:rStyle w:val="Hyperlink"/>
                  <w:color w:val="auto"/>
                  <w:u w:val="none"/>
                </w:rPr>
                <w:t>PIT</w:t>
              </w:r>
            </w:hyperlink>
            <w:r w:rsidRPr="00BA499D">
              <w:t xml:space="preserve">). During the test, a real-time plot of injected fluid versus fluid pressure is plotted. The initial stable portion of this plot for most wellbores is a straight line, within the limits of the measurements. The leakoff is the point of permanent deflection from that straight portion. </w:t>
            </w:r>
          </w:p>
        </w:tc>
      </w:tr>
      <w:tr w:rsidR="00E25502" w:rsidRPr="00AB6A7E" w14:paraId="7A6C1D01"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5EB8AACC"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Lithology</w:t>
            </w:r>
          </w:p>
        </w:tc>
        <w:tc>
          <w:tcPr>
            <w:tcW w:w="6300" w:type="dxa"/>
            <w:tcBorders>
              <w:top w:val="nil"/>
              <w:left w:val="nil"/>
              <w:bottom w:val="single" w:sz="8" w:space="0" w:color="auto"/>
              <w:right w:val="single" w:sz="8" w:space="0" w:color="auto"/>
            </w:tcBorders>
            <w:shd w:val="clear" w:color="auto" w:fill="auto"/>
            <w:vAlign w:val="center"/>
            <w:hideMark/>
          </w:tcPr>
          <w:p w14:paraId="6D7D4926" w14:textId="731A5602" w:rsidR="00E25502" w:rsidRPr="00AB6A7E" w:rsidRDefault="00BA499D" w:rsidP="00E25502">
            <w:pPr>
              <w:spacing w:after="0" w:line="240" w:lineRule="auto"/>
              <w:rPr>
                <w:rFonts w:eastAsia="Times New Roman" w:cs="Arial"/>
                <w:color w:val="000000"/>
                <w:lang w:eastAsia="en-AU"/>
              </w:rPr>
            </w:pPr>
            <w:r>
              <w:t>The study of the general physical characteristics of rocks.</w:t>
            </w:r>
          </w:p>
        </w:tc>
      </w:tr>
      <w:tr w:rsidR="00E25502" w:rsidRPr="00AB6A7E" w14:paraId="3B7C0827" w14:textId="77777777" w:rsidTr="00E25502">
        <w:trPr>
          <w:trHeight w:val="51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20A1A647"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lastRenderedPageBreak/>
              <w:t>Local groundwater model</w:t>
            </w:r>
          </w:p>
        </w:tc>
        <w:tc>
          <w:tcPr>
            <w:tcW w:w="6300" w:type="dxa"/>
            <w:tcBorders>
              <w:top w:val="nil"/>
              <w:left w:val="nil"/>
              <w:bottom w:val="single" w:sz="8" w:space="0" w:color="auto"/>
              <w:right w:val="single" w:sz="8" w:space="0" w:color="auto"/>
            </w:tcBorders>
            <w:shd w:val="clear" w:color="auto" w:fill="auto"/>
            <w:vAlign w:val="center"/>
            <w:hideMark/>
          </w:tcPr>
          <w:p w14:paraId="7474AF75" w14:textId="62142E3E" w:rsidR="00E25502" w:rsidRPr="00AB6A7E" w:rsidRDefault="00BA499D" w:rsidP="00E25502">
            <w:pPr>
              <w:spacing w:after="0" w:line="240" w:lineRule="auto"/>
              <w:rPr>
                <w:rFonts w:eastAsia="Times New Roman" w:cs="Arial"/>
                <w:color w:val="000000"/>
                <w:lang w:eastAsia="en-AU"/>
              </w:rPr>
            </w:pPr>
            <w:r>
              <w:rPr>
                <w:rFonts w:eastAsia="Times New Roman" w:cs="Arial"/>
                <w:color w:val="000000"/>
                <w:lang w:eastAsia="en-AU"/>
              </w:rPr>
              <w:t>A model of groundwater for a local area.</w:t>
            </w:r>
          </w:p>
        </w:tc>
      </w:tr>
      <w:tr w:rsidR="00E25502" w:rsidRPr="00AB6A7E" w14:paraId="472D3CFF"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20518255"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Matrix (rock matrix)</w:t>
            </w:r>
          </w:p>
        </w:tc>
        <w:tc>
          <w:tcPr>
            <w:tcW w:w="6300" w:type="dxa"/>
            <w:tcBorders>
              <w:top w:val="nil"/>
              <w:left w:val="nil"/>
              <w:bottom w:val="single" w:sz="8" w:space="0" w:color="auto"/>
              <w:right w:val="single" w:sz="8" w:space="0" w:color="auto"/>
            </w:tcBorders>
            <w:shd w:val="clear" w:color="auto" w:fill="auto"/>
            <w:vAlign w:val="center"/>
            <w:hideMark/>
          </w:tcPr>
          <w:p w14:paraId="7201B943"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The finer grained mass of rock material in which larger grains/crystals are embedded</w:t>
            </w:r>
          </w:p>
        </w:tc>
      </w:tr>
      <w:tr w:rsidR="00E25502" w:rsidRPr="00AB6A7E" w14:paraId="7568D44F"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2D89CDA4"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Membrane</w:t>
            </w:r>
          </w:p>
        </w:tc>
        <w:tc>
          <w:tcPr>
            <w:tcW w:w="6300" w:type="dxa"/>
            <w:tcBorders>
              <w:top w:val="nil"/>
              <w:left w:val="nil"/>
              <w:bottom w:val="single" w:sz="8" w:space="0" w:color="auto"/>
              <w:right w:val="single" w:sz="8" w:space="0" w:color="auto"/>
            </w:tcBorders>
            <w:shd w:val="clear" w:color="auto" w:fill="auto"/>
            <w:vAlign w:val="center"/>
            <w:hideMark/>
          </w:tcPr>
          <w:p w14:paraId="1AA2DF9A" w14:textId="7B8C2D01" w:rsidR="00E25502" w:rsidRPr="00AB6A7E" w:rsidRDefault="00AF63C0" w:rsidP="00E25502">
            <w:pPr>
              <w:spacing w:after="0" w:line="240" w:lineRule="auto"/>
              <w:rPr>
                <w:rFonts w:eastAsia="Times New Roman" w:cs="Arial"/>
                <w:color w:val="000000"/>
                <w:lang w:eastAsia="en-AU"/>
              </w:rPr>
            </w:pPr>
            <w:r>
              <w:rPr>
                <w:rFonts w:eastAsia="Times New Roman" w:cs="Arial"/>
                <w:color w:val="000000"/>
                <w:lang w:eastAsia="en-AU"/>
              </w:rPr>
              <w:t xml:space="preserve">A </w:t>
            </w:r>
            <w:r>
              <w:t>sheet-like structure acting as a boundary or barrier.</w:t>
            </w:r>
          </w:p>
        </w:tc>
      </w:tr>
      <w:tr w:rsidR="00E25502" w:rsidRPr="00AB6A7E" w14:paraId="19C0AA38"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51A5D1D6"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Membrane seal</w:t>
            </w:r>
          </w:p>
        </w:tc>
        <w:tc>
          <w:tcPr>
            <w:tcW w:w="6300" w:type="dxa"/>
            <w:tcBorders>
              <w:top w:val="nil"/>
              <w:left w:val="nil"/>
              <w:bottom w:val="single" w:sz="8" w:space="0" w:color="auto"/>
              <w:right w:val="single" w:sz="8" w:space="0" w:color="auto"/>
            </w:tcBorders>
            <w:shd w:val="clear" w:color="auto" w:fill="auto"/>
            <w:vAlign w:val="center"/>
            <w:hideMark/>
          </w:tcPr>
          <w:p w14:paraId="616FD163" w14:textId="00894644"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 </w:t>
            </w:r>
            <w:r w:rsidR="00AF63C0">
              <w:rPr>
                <w:rFonts w:eastAsia="Times New Roman" w:cs="Arial"/>
                <w:color w:val="000000"/>
                <w:lang w:eastAsia="en-AU"/>
              </w:rPr>
              <w:t>Synonymous with Capillary Seal: A rock layer with sufficiently low permeability as to provide a capillary barrier to the upwards migration of a non-wetting fluid phase.</w:t>
            </w:r>
          </w:p>
        </w:tc>
      </w:tr>
      <w:tr w:rsidR="00E25502" w:rsidRPr="00AB6A7E" w14:paraId="05974FEC" w14:textId="77777777" w:rsidTr="00E25502">
        <w:trPr>
          <w:trHeight w:val="32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0F4EE55D"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Methane</w:t>
            </w:r>
          </w:p>
        </w:tc>
        <w:tc>
          <w:tcPr>
            <w:tcW w:w="6300" w:type="dxa"/>
            <w:tcBorders>
              <w:top w:val="nil"/>
              <w:left w:val="nil"/>
              <w:bottom w:val="single" w:sz="8" w:space="0" w:color="auto"/>
              <w:right w:val="single" w:sz="8" w:space="0" w:color="auto"/>
            </w:tcBorders>
            <w:shd w:val="clear" w:color="auto" w:fill="auto"/>
            <w:vAlign w:val="center"/>
            <w:hideMark/>
          </w:tcPr>
          <w:p w14:paraId="60C1CB0B"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The flammable gas (CH</w:t>
            </w:r>
            <w:r w:rsidRPr="00AB6A7E">
              <w:rPr>
                <w:rFonts w:eastAsia="Times New Roman" w:cs="Arial"/>
                <w:color w:val="000000"/>
                <w:vertAlign w:val="subscript"/>
                <w:lang w:eastAsia="en-AU"/>
              </w:rPr>
              <w:t>4</w:t>
            </w:r>
            <w:r w:rsidRPr="00AB6A7E">
              <w:rPr>
                <w:rFonts w:eastAsia="Times New Roman" w:cs="Arial"/>
                <w:color w:val="000000"/>
                <w:lang w:eastAsia="en-AU"/>
              </w:rPr>
              <w:t>), which forms the largest component of natural gas</w:t>
            </w:r>
          </w:p>
        </w:tc>
      </w:tr>
      <w:tr w:rsidR="00E25502" w:rsidRPr="00AB6A7E" w14:paraId="5D921402"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18E1CBEE"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Milli Darcy (mD)</w:t>
            </w:r>
          </w:p>
        </w:tc>
        <w:tc>
          <w:tcPr>
            <w:tcW w:w="6300" w:type="dxa"/>
            <w:tcBorders>
              <w:top w:val="nil"/>
              <w:left w:val="nil"/>
              <w:bottom w:val="single" w:sz="8" w:space="0" w:color="auto"/>
              <w:right w:val="single" w:sz="8" w:space="0" w:color="auto"/>
            </w:tcBorders>
            <w:shd w:val="clear" w:color="auto" w:fill="auto"/>
            <w:vAlign w:val="center"/>
            <w:hideMark/>
          </w:tcPr>
          <w:p w14:paraId="29592FF8"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Me</w:t>
            </w:r>
            <w:r>
              <w:rPr>
                <w:rFonts w:eastAsia="Times New Roman" w:cs="Arial"/>
                <w:color w:val="000000"/>
                <w:lang w:eastAsia="en-AU"/>
              </w:rPr>
              <w:t>asurement unit for permeability</w:t>
            </w:r>
            <w:r w:rsidRPr="00AB6A7E">
              <w:rPr>
                <w:rFonts w:eastAsia="Times New Roman" w:cs="Arial"/>
                <w:color w:val="000000"/>
                <w:lang w:eastAsia="en-AU"/>
              </w:rPr>
              <w:t xml:space="preserve"> </w:t>
            </w:r>
          </w:p>
        </w:tc>
      </w:tr>
      <w:tr w:rsidR="00E25502" w:rsidRPr="00AB6A7E" w14:paraId="664F2E5C" w14:textId="77777777" w:rsidTr="00E25502">
        <w:trPr>
          <w:trHeight w:val="51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4816858A"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Mohr - Coulomb failure envelope</w:t>
            </w:r>
          </w:p>
        </w:tc>
        <w:tc>
          <w:tcPr>
            <w:tcW w:w="6300" w:type="dxa"/>
            <w:tcBorders>
              <w:top w:val="nil"/>
              <w:left w:val="nil"/>
              <w:bottom w:val="single" w:sz="8" w:space="0" w:color="auto"/>
              <w:right w:val="single" w:sz="8" w:space="0" w:color="auto"/>
            </w:tcBorders>
            <w:shd w:val="clear" w:color="auto" w:fill="auto"/>
            <w:vAlign w:val="center"/>
            <w:hideMark/>
          </w:tcPr>
          <w:p w14:paraId="230DDFCB" w14:textId="2596660D" w:rsidR="00E25502" w:rsidRPr="00AB6A7E" w:rsidRDefault="00AF63C0" w:rsidP="00E25502">
            <w:pPr>
              <w:spacing w:after="0" w:line="240" w:lineRule="auto"/>
              <w:rPr>
                <w:rFonts w:eastAsia="Times New Roman" w:cs="Arial"/>
                <w:color w:val="000000"/>
                <w:lang w:eastAsia="en-AU"/>
              </w:rPr>
            </w:pPr>
            <w:r>
              <w:rPr>
                <w:rFonts w:eastAsia="Times New Roman" w:cs="Arial"/>
                <w:color w:val="000000"/>
                <w:lang w:eastAsia="en-AU"/>
              </w:rPr>
              <w:t>T</w:t>
            </w:r>
            <w:r>
              <w:t>he linear envelope that is obtained from a plot of the shear strength of a material versus the applied normal stress.</w:t>
            </w:r>
          </w:p>
        </w:tc>
      </w:tr>
      <w:tr w:rsidR="00E25502" w:rsidRPr="00AB6A7E" w14:paraId="1FBB2F90" w14:textId="77777777" w:rsidTr="00E25502">
        <w:trPr>
          <w:trHeight w:val="51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06B2616F"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Molecular diffusion</w:t>
            </w:r>
          </w:p>
        </w:tc>
        <w:tc>
          <w:tcPr>
            <w:tcW w:w="6300" w:type="dxa"/>
            <w:tcBorders>
              <w:top w:val="nil"/>
              <w:left w:val="nil"/>
              <w:bottom w:val="single" w:sz="8" w:space="0" w:color="auto"/>
              <w:right w:val="single" w:sz="8" w:space="0" w:color="auto"/>
            </w:tcBorders>
            <w:shd w:val="clear" w:color="auto" w:fill="auto"/>
            <w:vAlign w:val="center"/>
            <w:hideMark/>
          </w:tcPr>
          <w:p w14:paraId="045082EB" w14:textId="15D5BA32"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The process whereby solutes are transported at the microscopic level due to variations in the solute concentrations within the fluid phases</w:t>
            </w:r>
            <w:r w:rsidR="00AF63C0">
              <w:rPr>
                <w:rFonts w:eastAsia="Times New Roman" w:cs="Arial"/>
                <w:color w:val="000000"/>
                <w:lang w:eastAsia="en-AU"/>
              </w:rPr>
              <w:t>.</w:t>
            </w:r>
          </w:p>
        </w:tc>
      </w:tr>
      <w:tr w:rsidR="00E25502" w:rsidRPr="00AB6A7E" w14:paraId="0C1A48D6"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6B1C7802"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Multi-phase flow</w:t>
            </w:r>
          </w:p>
        </w:tc>
        <w:tc>
          <w:tcPr>
            <w:tcW w:w="6300" w:type="dxa"/>
            <w:tcBorders>
              <w:top w:val="nil"/>
              <w:left w:val="nil"/>
              <w:bottom w:val="single" w:sz="8" w:space="0" w:color="auto"/>
              <w:right w:val="single" w:sz="8" w:space="0" w:color="auto"/>
            </w:tcBorders>
            <w:shd w:val="clear" w:color="auto" w:fill="auto"/>
            <w:vAlign w:val="center"/>
            <w:hideMark/>
          </w:tcPr>
          <w:p w14:paraId="3E34D69E" w14:textId="2A03A8D2" w:rsidR="00E25502" w:rsidRPr="00AB6A7E" w:rsidRDefault="00AF63C0" w:rsidP="00E25502">
            <w:pPr>
              <w:spacing w:after="0" w:line="240" w:lineRule="auto"/>
              <w:rPr>
                <w:rFonts w:eastAsia="Times New Roman" w:cs="Arial"/>
                <w:color w:val="000000"/>
                <w:lang w:eastAsia="en-AU"/>
              </w:rPr>
            </w:pPr>
            <w:r>
              <w:rPr>
                <w:rFonts w:eastAsia="Times New Roman" w:cs="Arial"/>
                <w:color w:val="000000"/>
                <w:lang w:eastAsia="en-AU"/>
              </w:rPr>
              <w:t>The concurrent flux of more than one fluid phase (e.g. methane and water) through a porous media.</w:t>
            </w:r>
          </w:p>
        </w:tc>
      </w:tr>
      <w:tr w:rsidR="00E25502" w:rsidRPr="00AB6A7E" w14:paraId="245E4787"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6769009F"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Nested model</w:t>
            </w:r>
          </w:p>
        </w:tc>
        <w:tc>
          <w:tcPr>
            <w:tcW w:w="6300" w:type="dxa"/>
            <w:tcBorders>
              <w:top w:val="nil"/>
              <w:left w:val="nil"/>
              <w:bottom w:val="single" w:sz="8" w:space="0" w:color="auto"/>
              <w:right w:val="single" w:sz="8" w:space="0" w:color="auto"/>
            </w:tcBorders>
            <w:shd w:val="clear" w:color="auto" w:fill="auto"/>
            <w:vAlign w:val="center"/>
            <w:hideMark/>
          </w:tcPr>
          <w:p w14:paraId="4249CD85" w14:textId="5EAA6D3F" w:rsidR="00E25502" w:rsidRPr="00AB6A7E" w:rsidRDefault="00AF63C0" w:rsidP="00E25502">
            <w:pPr>
              <w:spacing w:after="0" w:line="240" w:lineRule="auto"/>
              <w:rPr>
                <w:rFonts w:eastAsia="Times New Roman" w:cs="Arial"/>
                <w:color w:val="000000"/>
                <w:lang w:eastAsia="en-AU"/>
              </w:rPr>
            </w:pPr>
            <w:r>
              <w:rPr>
                <w:rFonts w:eastAsia="Times New Roman" w:cs="Arial"/>
                <w:color w:val="000000"/>
                <w:lang w:eastAsia="en-AU"/>
              </w:rPr>
              <w:t>A finely discretised detailed numerical simulation set within a coarser discretised regional numerical simulation.</w:t>
            </w:r>
          </w:p>
        </w:tc>
      </w:tr>
      <w:tr w:rsidR="00E25502" w:rsidRPr="00AB6A7E" w14:paraId="5B3A629D" w14:textId="77777777" w:rsidTr="00E25502">
        <w:trPr>
          <w:trHeight w:val="51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4FEAC236"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Non-Aqueous-Phase-Liquids</w:t>
            </w:r>
          </w:p>
        </w:tc>
        <w:tc>
          <w:tcPr>
            <w:tcW w:w="6300" w:type="dxa"/>
            <w:tcBorders>
              <w:top w:val="nil"/>
              <w:left w:val="nil"/>
              <w:bottom w:val="single" w:sz="8" w:space="0" w:color="auto"/>
              <w:right w:val="single" w:sz="8" w:space="0" w:color="auto"/>
            </w:tcBorders>
            <w:shd w:val="clear" w:color="auto" w:fill="auto"/>
            <w:vAlign w:val="center"/>
            <w:hideMark/>
          </w:tcPr>
          <w:p w14:paraId="7C2965FC" w14:textId="4B2DE11A" w:rsidR="00E25502" w:rsidRPr="00AB6A7E" w:rsidRDefault="00AF63C0" w:rsidP="00E25502">
            <w:pPr>
              <w:spacing w:after="0" w:line="240" w:lineRule="auto"/>
              <w:rPr>
                <w:rFonts w:eastAsia="Times New Roman" w:cs="Arial"/>
                <w:color w:val="000000"/>
                <w:lang w:eastAsia="en-AU"/>
              </w:rPr>
            </w:pPr>
            <w:r>
              <w:rPr>
                <w:rFonts w:eastAsia="Times New Roman" w:cs="Arial"/>
                <w:color w:val="000000"/>
                <w:lang w:eastAsia="en-AU"/>
              </w:rPr>
              <w:t>A liquid that is not miscible in formation water</w:t>
            </w:r>
          </w:p>
        </w:tc>
      </w:tr>
      <w:tr w:rsidR="00E25502" w:rsidRPr="00AB6A7E" w14:paraId="53EA1C2C"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69E61ACB"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Non-wetting phase</w:t>
            </w:r>
          </w:p>
        </w:tc>
        <w:tc>
          <w:tcPr>
            <w:tcW w:w="6300" w:type="dxa"/>
            <w:tcBorders>
              <w:top w:val="nil"/>
              <w:left w:val="nil"/>
              <w:bottom w:val="single" w:sz="8" w:space="0" w:color="auto"/>
              <w:right w:val="single" w:sz="8" w:space="0" w:color="auto"/>
            </w:tcBorders>
            <w:shd w:val="clear" w:color="auto" w:fill="auto"/>
            <w:vAlign w:val="center"/>
            <w:hideMark/>
          </w:tcPr>
          <w:p w14:paraId="3B9EBDF4" w14:textId="536DBB82" w:rsidR="00E25502" w:rsidRPr="00AB6A7E" w:rsidRDefault="00BC3807" w:rsidP="00BC3807">
            <w:pPr>
              <w:spacing w:after="0" w:line="240" w:lineRule="auto"/>
              <w:rPr>
                <w:rFonts w:eastAsia="Times New Roman" w:cs="Arial"/>
                <w:color w:val="000000"/>
                <w:lang w:eastAsia="en-AU"/>
              </w:rPr>
            </w:pPr>
            <w:r>
              <w:rPr>
                <w:rFonts w:eastAsia="Times New Roman" w:cs="Arial"/>
                <w:color w:val="000000"/>
                <w:lang w:eastAsia="en-AU"/>
              </w:rPr>
              <w:t>A phase (water or hydrocarbon or other gas) that in combination with a mineral surface has a contact angle of greater than 90 degrees.</w:t>
            </w:r>
          </w:p>
        </w:tc>
      </w:tr>
      <w:tr w:rsidR="00E25502" w:rsidRPr="00AB6A7E" w14:paraId="29ED0C86"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5747985A"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Normal stress</w:t>
            </w:r>
          </w:p>
        </w:tc>
        <w:tc>
          <w:tcPr>
            <w:tcW w:w="6300" w:type="dxa"/>
            <w:tcBorders>
              <w:top w:val="nil"/>
              <w:left w:val="nil"/>
              <w:bottom w:val="single" w:sz="8" w:space="0" w:color="auto"/>
              <w:right w:val="single" w:sz="8" w:space="0" w:color="auto"/>
            </w:tcBorders>
            <w:shd w:val="clear" w:color="auto" w:fill="auto"/>
            <w:vAlign w:val="center"/>
            <w:hideMark/>
          </w:tcPr>
          <w:p w14:paraId="70ACA2C3" w14:textId="1E116188" w:rsidR="00E25502" w:rsidRPr="00AB6A7E" w:rsidRDefault="00653000" w:rsidP="00E25502">
            <w:pPr>
              <w:spacing w:after="0" w:line="240" w:lineRule="auto"/>
              <w:rPr>
                <w:rFonts w:eastAsia="Times New Roman" w:cs="Arial"/>
                <w:color w:val="000000"/>
                <w:lang w:eastAsia="en-AU"/>
              </w:rPr>
            </w:pPr>
            <w:r w:rsidRPr="00653000">
              <w:rPr>
                <w:rStyle w:val="st"/>
              </w:rPr>
              <w:t xml:space="preserve">The </w:t>
            </w:r>
            <w:r w:rsidRPr="00BC3807">
              <w:rPr>
                <w:rStyle w:val="Emphasis"/>
                <w:i w:val="0"/>
              </w:rPr>
              <w:t>stress</w:t>
            </w:r>
            <w:r w:rsidRPr="00653000">
              <w:rPr>
                <w:rStyle w:val="st"/>
              </w:rPr>
              <w:t xml:space="preserve"> which</w:t>
            </w:r>
            <w:r>
              <w:rPr>
                <w:rStyle w:val="st"/>
              </w:rPr>
              <w:t xml:space="preserve"> acts perpendicularly to the plane to which a force has been applied.</w:t>
            </w:r>
          </w:p>
        </w:tc>
      </w:tr>
      <w:tr w:rsidR="00E25502" w:rsidRPr="00AB6A7E" w14:paraId="75D0F12C" w14:textId="77777777" w:rsidTr="00E25502">
        <w:trPr>
          <w:trHeight w:val="51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060649EC"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Numerical groundwater model</w:t>
            </w:r>
          </w:p>
        </w:tc>
        <w:tc>
          <w:tcPr>
            <w:tcW w:w="6300" w:type="dxa"/>
            <w:tcBorders>
              <w:top w:val="nil"/>
              <w:left w:val="nil"/>
              <w:bottom w:val="single" w:sz="8" w:space="0" w:color="auto"/>
              <w:right w:val="single" w:sz="8" w:space="0" w:color="auto"/>
            </w:tcBorders>
            <w:shd w:val="clear" w:color="auto" w:fill="auto"/>
            <w:vAlign w:val="center"/>
            <w:hideMark/>
          </w:tcPr>
          <w:p w14:paraId="3A4EA306" w14:textId="3E996DCE" w:rsidR="00E25502" w:rsidRPr="00653000" w:rsidRDefault="00653000" w:rsidP="00E25502">
            <w:pPr>
              <w:spacing w:after="0" w:line="240" w:lineRule="auto"/>
              <w:rPr>
                <w:rFonts w:eastAsia="Times New Roman" w:cs="Arial"/>
                <w:color w:val="000000"/>
                <w:lang w:eastAsia="en-AU"/>
              </w:rPr>
            </w:pPr>
            <w:r w:rsidRPr="00653000">
              <w:t>A numerical groundwater model divides space and/or time into discrete pieces. Features of the governing equations and boundary conditions (e.g. aquifer geometry, hydrogeologogical properties, pumping rates or sources of solute) can be specified as varying over space and time. This enables more complex, and potentially more realistic, representation of a groundwater system than could be achieved with an analytical model. Numerical models are usually solved by a computer and are usually more computationally demanding than analytical models</w:t>
            </w:r>
            <w:r>
              <w:t>.</w:t>
            </w:r>
          </w:p>
        </w:tc>
      </w:tr>
      <w:tr w:rsidR="00E25502" w:rsidRPr="00AB6A7E" w14:paraId="381C86F5" w14:textId="77777777" w:rsidTr="00E25502">
        <w:trPr>
          <w:trHeight w:val="76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6BC11693"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Permeability</w:t>
            </w:r>
          </w:p>
        </w:tc>
        <w:tc>
          <w:tcPr>
            <w:tcW w:w="6300" w:type="dxa"/>
            <w:tcBorders>
              <w:top w:val="nil"/>
              <w:left w:val="nil"/>
              <w:bottom w:val="single" w:sz="8" w:space="0" w:color="auto"/>
              <w:right w:val="single" w:sz="8" w:space="0" w:color="auto"/>
            </w:tcBorders>
            <w:shd w:val="clear" w:color="auto" w:fill="auto"/>
            <w:vAlign w:val="center"/>
            <w:hideMark/>
          </w:tcPr>
          <w:p w14:paraId="698BED53" w14:textId="4FCA3000"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The measure of the ability of a rock, soil or sediment to yield or transmit a fluid. The magnitude of permeability depends largely on the porosity and the interconnectivity of pores and spaces in the ground</w:t>
            </w:r>
            <w:r w:rsidR="00653000">
              <w:rPr>
                <w:rFonts w:eastAsia="Times New Roman" w:cs="Arial"/>
                <w:color w:val="000000"/>
                <w:lang w:eastAsia="en-AU"/>
              </w:rPr>
              <w:t>.</w:t>
            </w:r>
          </w:p>
        </w:tc>
      </w:tr>
      <w:tr w:rsidR="00E25502" w:rsidRPr="00AB6A7E" w14:paraId="4A81FBE3"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39723DDF"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Petroliferous basin</w:t>
            </w:r>
          </w:p>
        </w:tc>
        <w:tc>
          <w:tcPr>
            <w:tcW w:w="6300" w:type="dxa"/>
            <w:tcBorders>
              <w:top w:val="nil"/>
              <w:left w:val="nil"/>
              <w:bottom w:val="single" w:sz="8" w:space="0" w:color="auto"/>
              <w:right w:val="single" w:sz="8" w:space="0" w:color="auto"/>
            </w:tcBorders>
            <w:shd w:val="clear" w:color="auto" w:fill="auto"/>
            <w:vAlign w:val="center"/>
            <w:hideMark/>
          </w:tcPr>
          <w:p w14:paraId="6EBC57D2" w14:textId="487BC891" w:rsidR="00E25502" w:rsidRPr="00AB6A7E" w:rsidRDefault="00653000" w:rsidP="00E25502">
            <w:pPr>
              <w:spacing w:after="0" w:line="240" w:lineRule="auto"/>
              <w:rPr>
                <w:rFonts w:eastAsia="Times New Roman" w:cs="Arial"/>
                <w:color w:val="000000"/>
                <w:lang w:eastAsia="en-AU"/>
              </w:rPr>
            </w:pPr>
            <w:r>
              <w:rPr>
                <w:rFonts w:eastAsia="Times New Roman" w:cs="Arial"/>
                <w:color w:val="000000"/>
                <w:lang w:eastAsia="en-AU"/>
              </w:rPr>
              <w:t>A sedimentary basin that contains hydrocarbons.</w:t>
            </w:r>
          </w:p>
        </w:tc>
      </w:tr>
      <w:tr w:rsidR="00E25502" w:rsidRPr="00AB6A7E" w14:paraId="53E55D57" w14:textId="77777777" w:rsidTr="00E25502">
        <w:trPr>
          <w:trHeight w:val="51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77A9232E"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Porosity</w:t>
            </w:r>
          </w:p>
        </w:tc>
        <w:tc>
          <w:tcPr>
            <w:tcW w:w="6300" w:type="dxa"/>
            <w:tcBorders>
              <w:top w:val="nil"/>
              <w:left w:val="nil"/>
              <w:bottom w:val="single" w:sz="8" w:space="0" w:color="auto"/>
              <w:right w:val="single" w:sz="8" w:space="0" w:color="auto"/>
            </w:tcBorders>
            <w:shd w:val="clear" w:color="auto" w:fill="auto"/>
            <w:vAlign w:val="center"/>
            <w:hideMark/>
          </w:tcPr>
          <w:p w14:paraId="2EB7953F" w14:textId="1AA05B3A"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The proportion of the volume of rock consisting of pores, usually expressed as a percentage of the total rock or soil mass</w:t>
            </w:r>
            <w:r w:rsidR="00653000">
              <w:rPr>
                <w:rFonts w:eastAsia="Times New Roman" w:cs="Arial"/>
                <w:color w:val="000000"/>
                <w:lang w:eastAsia="en-AU"/>
              </w:rPr>
              <w:t>.</w:t>
            </w:r>
          </w:p>
        </w:tc>
      </w:tr>
      <w:tr w:rsidR="00E25502" w:rsidRPr="00AB6A7E" w14:paraId="3EE37F4D"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213AA913"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Power-law distribution</w:t>
            </w:r>
          </w:p>
        </w:tc>
        <w:tc>
          <w:tcPr>
            <w:tcW w:w="6300" w:type="dxa"/>
            <w:tcBorders>
              <w:top w:val="nil"/>
              <w:left w:val="nil"/>
              <w:bottom w:val="single" w:sz="8" w:space="0" w:color="auto"/>
              <w:right w:val="single" w:sz="8" w:space="0" w:color="auto"/>
            </w:tcBorders>
            <w:shd w:val="clear" w:color="auto" w:fill="auto"/>
            <w:vAlign w:val="center"/>
            <w:hideMark/>
          </w:tcPr>
          <w:p w14:paraId="627508E7" w14:textId="5AC62AB1" w:rsidR="00E25502" w:rsidRPr="00AB6A7E" w:rsidRDefault="00653000" w:rsidP="00653000">
            <w:pPr>
              <w:spacing w:after="0" w:line="240" w:lineRule="auto"/>
              <w:rPr>
                <w:rFonts w:eastAsia="Times New Roman" w:cs="Arial"/>
                <w:color w:val="000000"/>
                <w:lang w:eastAsia="en-AU"/>
              </w:rPr>
            </w:pPr>
            <w:r>
              <w:rPr>
                <w:rFonts w:eastAsia="Times New Roman" w:cs="Arial"/>
                <w:color w:val="000000"/>
                <w:lang w:eastAsia="en-AU"/>
              </w:rPr>
              <w:t>A straight line correlation on a log-normal graph.</w:t>
            </w:r>
          </w:p>
        </w:tc>
      </w:tr>
      <w:tr w:rsidR="00E25502" w:rsidRPr="00AB6A7E" w14:paraId="4A7A396D"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5A3283CD"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Protolith</w:t>
            </w:r>
          </w:p>
        </w:tc>
        <w:tc>
          <w:tcPr>
            <w:tcW w:w="6300" w:type="dxa"/>
            <w:tcBorders>
              <w:top w:val="nil"/>
              <w:left w:val="nil"/>
              <w:bottom w:val="single" w:sz="8" w:space="0" w:color="auto"/>
              <w:right w:val="single" w:sz="8" w:space="0" w:color="auto"/>
            </w:tcBorders>
            <w:shd w:val="clear" w:color="auto" w:fill="auto"/>
            <w:vAlign w:val="center"/>
            <w:hideMark/>
          </w:tcPr>
          <w:p w14:paraId="5EF72603" w14:textId="7F60B624" w:rsidR="00E25502" w:rsidRPr="00AB6A7E" w:rsidRDefault="00653000" w:rsidP="00E25502">
            <w:pPr>
              <w:spacing w:after="0" w:line="240" w:lineRule="auto"/>
              <w:rPr>
                <w:rFonts w:eastAsia="Times New Roman" w:cs="Arial"/>
                <w:color w:val="000000"/>
                <w:lang w:eastAsia="en-AU"/>
              </w:rPr>
            </w:pPr>
            <w:r>
              <w:rPr>
                <w:rStyle w:val="tgc"/>
              </w:rPr>
              <w:t xml:space="preserve">A </w:t>
            </w:r>
            <w:r w:rsidRPr="00653000">
              <w:rPr>
                <w:rStyle w:val="tgc"/>
                <w:bCs/>
              </w:rPr>
              <w:t>protolith</w:t>
            </w:r>
            <w:r>
              <w:rPr>
                <w:rStyle w:val="tgc"/>
              </w:rPr>
              <w:t xml:space="preserve"> is the original, unmetamorphosed rock from which a given metamorphic rock is formed.</w:t>
            </w:r>
          </w:p>
        </w:tc>
      </w:tr>
      <w:tr w:rsidR="00E25502" w:rsidRPr="00AB6A7E" w14:paraId="481734C6"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4DF9D97F"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Reactivation potential</w:t>
            </w:r>
          </w:p>
        </w:tc>
        <w:tc>
          <w:tcPr>
            <w:tcW w:w="6300" w:type="dxa"/>
            <w:tcBorders>
              <w:top w:val="nil"/>
              <w:left w:val="nil"/>
              <w:bottom w:val="single" w:sz="8" w:space="0" w:color="auto"/>
              <w:right w:val="single" w:sz="8" w:space="0" w:color="auto"/>
            </w:tcBorders>
            <w:shd w:val="clear" w:color="auto" w:fill="auto"/>
            <w:vAlign w:val="center"/>
            <w:hideMark/>
          </w:tcPr>
          <w:p w14:paraId="0519C13F" w14:textId="06A633BD" w:rsidR="00E25502" w:rsidRPr="00AB6A7E" w:rsidRDefault="00653000" w:rsidP="00E25502">
            <w:pPr>
              <w:spacing w:after="0" w:line="240" w:lineRule="auto"/>
              <w:rPr>
                <w:rFonts w:eastAsia="Times New Roman" w:cs="Arial"/>
                <w:color w:val="000000"/>
                <w:lang w:eastAsia="en-AU"/>
              </w:rPr>
            </w:pPr>
            <w:r>
              <w:rPr>
                <w:rFonts w:eastAsia="Times New Roman" w:cs="Arial"/>
                <w:color w:val="000000"/>
                <w:lang w:eastAsia="en-AU"/>
              </w:rPr>
              <w:t>The likelihood that a fault will experience a seismic event at a given stress condition.</w:t>
            </w:r>
          </w:p>
        </w:tc>
      </w:tr>
      <w:tr w:rsidR="00E25502" w:rsidRPr="00AB6A7E" w14:paraId="7B448859" w14:textId="77777777" w:rsidTr="00E25502">
        <w:trPr>
          <w:trHeight w:val="51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3D50742F"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Recharge</w:t>
            </w:r>
          </w:p>
        </w:tc>
        <w:tc>
          <w:tcPr>
            <w:tcW w:w="6300" w:type="dxa"/>
            <w:tcBorders>
              <w:top w:val="nil"/>
              <w:left w:val="nil"/>
              <w:bottom w:val="single" w:sz="8" w:space="0" w:color="auto"/>
              <w:right w:val="single" w:sz="8" w:space="0" w:color="auto"/>
            </w:tcBorders>
            <w:shd w:val="clear" w:color="auto" w:fill="auto"/>
            <w:vAlign w:val="center"/>
            <w:hideMark/>
          </w:tcPr>
          <w:p w14:paraId="52860A43"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Groundwater recharge is the process whereby surface water (such as from rainfall runoff) percolates through the ground to the water table</w:t>
            </w:r>
          </w:p>
        </w:tc>
      </w:tr>
      <w:tr w:rsidR="00E25502" w:rsidRPr="00AB6A7E" w14:paraId="66E9C03F" w14:textId="77777777" w:rsidTr="00E25502">
        <w:trPr>
          <w:trHeight w:val="51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0F2FC0A3"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Regional groundwater model</w:t>
            </w:r>
          </w:p>
        </w:tc>
        <w:tc>
          <w:tcPr>
            <w:tcW w:w="6300" w:type="dxa"/>
            <w:tcBorders>
              <w:top w:val="nil"/>
              <w:left w:val="nil"/>
              <w:bottom w:val="single" w:sz="8" w:space="0" w:color="auto"/>
              <w:right w:val="single" w:sz="8" w:space="0" w:color="auto"/>
            </w:tcBorders>
            <w:shd w:val="clear" w:color="auto" w:fill="auto"/>
            <w:vAlign w:val="center"/>
            <w:hideMark/>
          </w:tcPr>
          <w:p w14:paraId="35FDDBE5" w14:textId="6CBA8E51" w:rsidR="00E25502" w:rsidRPr="00AB6A7E" w:rsidRDefault="004C651E" w:rsidP="00E25502">
            <w:pPr>
              <w:spacing w:after="0" w:line="240" w:lineRule="auto"/>
              <w:rPr>
                <w:rFonts w:eastAsia="Times New Roman" w:cs="Arial"/>
                <w:color w:val="000000"/>
                <w:lang w:eastAsia="en-AU"/>
              </w:rPr>
            </w:pPr>
            <w:r>
              <w:rPr>
                <w:rFonts w:eastAsia="Times New Roman" w:cs="Arial"/>
                <w:color w:val="000000"/>
                <w:lang w:eastAsia="en-AU"/>
              </w:rPr>
              <w:t>A model of groundwater for a regional area.</w:t>
            </w:r>
          </w:p>
        </w:tc>
      </w:tr>
      <w:tr w:rsidR="00E25502" w:rsidRPr="00AB6A7E" w14:paraId="386A1E96"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30812BD8"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Relative permeability</w:t>
            </w:r>
          </w:p>
        </w:tc>
        <w:tc>
          <w:tcPr>
            <w:tcW w:w="6300" w:type="dxa"/>
            <w:tcBorders>
              <w:top w:val="nil"/>
              <w:left w:val="nil"/>
              <w:bottom w:val="single" w:sz="8" w:space="0" w:color="auto"/>
              <w:right w:val="single" w:sz="8" w:space="0" w:color="auto"/>
            </w:tcBorders>
            <w:shd w:val="clear" w:color="auto" w:fill="auto"/>
            <w:vAlign w:val="center"/>
            <w:hideMark/>
          </w:tcPr>
          <w:p w14:paraId="667BDA14" w14:textId="7F737F08" w:rsidR="00E25502" w:rsidRPr="00AB6A7E" w:rsidRDefault="004C651E" w:rsidP="00E25502">
            <w:pPr>
              <w:spacing w:after="0" w:line="240" w:lineRule="auto"/>
              <w:rPr>
                <w:rFonts w:eastAsia="Times New Roman" w:cs="Arial"/>
                <w:color w:val="000000"/>
                <w:lang w:eastAsia="en-AU"/>
              </w:rPr>
            </w:pPr>
            <w:r>
              <w:rPr>
                <w:rFonts w:eastAsia="Times New Roman" w:cs="Arial"/>
                <w:color w:val="000000"/>
                <w:lang w:eastAsia="en-AU"/>
              </w:rPr>
              <w:t>A ratio of the total permeability attributable to the wetting and non-wetting phases at a given saturation.</w:t>
            </w:r>
          </w:p>
        </w:tc>
      </w:tr>
      <w:tr w:rsidR="00E25502" w:rsidRPr="00AB6A7E" w14:paraId="0DAEFFDA"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5A243ADB"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Relay ramp</w:t>
            </w:r>
          </w:p>
        </w:tc>
        <w:tc>
          <w:tcPr>
            <w:tcW w:w="6300" w:type="dxa"/>
            <w:tcBorders>
              <w:top w:val="nil"/>
              <w:left w:val="nil"/>
              <w:bottom w:val="single" w:sz="8" w:space="0" w:color="auto"/>
              <w:right w:val="single" w:sz="8" w:space="0" w:color="auto"/>
            </w:tcBorders>
            <w:shd w:val="clear" w:color="auto" w:fill="auto"/>
            <w:vAlign w:val="center"/>
            <w:hideMark/>
          </w:tcPr>
          <w:p w14:paraId="3AF2BFA5" w14:textId="2D595A38" w:rsidR="00E25502" w:rsidRPr="00AB6A7E" w:rsidRDefault="004C651E" w:rsidP="00E25502">
            <w:pPr>
              <w:spacing w:after="0" w:line="240" w:lineRule="auto"/>
              <w:rPr>
                <w:rFonts w:eastAsia="Times New Roman" w:cs="Arial"/>
                <w:color w:val="000000"/>
                <w:lang w:eastAsia="en-AU"/>
              </w:rPr>
            </w:pPr>
            <w:r>
              <w:rPr>
                <w:rStyle w:val="Emphasis"/>
                <w:i w:val="0"/>
              </w:rPr>
              <w:t>A</w:t>
            </w:r>
            <w:r>
              <w:rPr>
                <w:rStyle w:val="st"/>
              </w:rPr>
              <w:t xml:space="preserve"> type of displacement transfer structure between overlapping normal fault segments.</w:t>
            </w:r>
          </w:p>
        </w:tc>
      </w:tr>
      <w:tr w:rsidR="00E25502" w:rsidRPr="00AB6A7E" w14:paraId="6D227477"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507C0BA0"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Reservoir</w:t>
            </w:r>
          </w:p>
        </w:tc>
        <w:tc>
          <w:tcPr>
            <w:tcW w:w="6300" w:type="dxa"/>
            <w:tcBorders>
              <w:top w:val="nil"/>
              <w:left w:val="nil"/>
              <w:bottom w:val="single" w:sz="8" w:space="0" w:color="auto"/>
              <w:right w:val="single" w:sz="8" w:space="0" w:color="auto"/>
            </w:tcBorders>
            <w:shd w:val="clear" w:color="auto" w:fill="auto"/>
            <w:vAlign w:val="center"/>
            <w:hideMark/>
          </w:tcPr>
          <w:p w14:paraId="41D6EBD7" w14:textId="7693493B"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 </w:t>
            </w:r>
            <w:r w:rsidR="004C651E">
              <w:rPr>
                <w:rFonts w:eastAsia="Times New Roman" w:cs="Arial"/>
                <w:color w:val="000000"/>
                <w:lang w:eastAsia="en-AU"/>
              </w:rPr>
              <w:t>A stratigraphic layer that has accumulated hydrocarbons.</w:t>
            </w:r>
          </w:p>
        </w:tc>
      </w:tr>
      <w:tr w:rsidR="00E25502" w:rsidRPr="00AB6A7E" w14:paraId="6A9219BA" w14:textId="77777777" w:rsidTr="00E25502">
        <w:trPr>
          <w:trHeight w:val="51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5DDADF82"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lastRenderedPageBreak/>
              <w:t>Rheology</w:t>
            </w:r>
          </w:p>
        </w:tc>
        <w:tc>
          <w:tcPr>
            <w:tcW w:w="6300" w:type="dxa"/>
            <w:tcBorders>
              <w:top w:val="nil"/>
              <w:left w:val="nil"/>
              <w:bottom w:val="single" w:sz="8" w:space="0" w:color="auto"/>
              <w:right w:val="single" w:sz="8" w:space="0" w:color="auto"/>
            </w:tcBorders>
            <w:shd w:val="clear" w:color="auto" w:fill="auto"/>
            <w:vAlign w:val="center"/>
            <w:hideMark/>
          </w:tcPr>
          <w:p w14:paraId="30BD55D2" w14:textId="061549AA" w:rsidR="00E25502" w:rsidRPr="004C651E" w:rsidRDefault="004C651E" w:rsidP="004C651E">
            <w:pPr>
              <w:spacing w:after="0" w:line="240" w:lineRule="auto"/>
              <w:rPr>
                <w:rFonts w:eastAsia="Times New Roman" w:cs="Arial"/>
                <w:lang w:eastAsia="en-AU"/>
              </w:rPr>
            </w:pPr>
            <w:r>
              <w:rPr>
                <w:rFonts w:eastAsia="Times New Roman" w:cs="Arial"/>
                <w:lang w:eastAsia="en-AU"/>
              </w:rPr>
              <w:t>The science of deformation and flow of matter including solids, like</w:t>
            </w:r>
            <w:r w:rsidRPr="004C651E">
              <w:rPr>
                <w:rFonts w:eastAsia="Times New Roman" w:cs="Arial"/>
                <w:lang w:eastAsia="en-AU"/>
              </w:rPr>
              <w:t> rocks.</w:t>
            </w:r>
          </w:p>
        </w:tc>
      </w:tr>
      <w:tr w:rsidR="00E25502" w:rsidRPr="00AB6A7E" w14:paraId="473E1224"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0C3E2953"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Seal capacity / potential</w:t>
            </w:r>
          </w:p>
        </w:tc>
        <w:tc>
          <w:tcPr>
            <w:tcW w:w="6300" w:type="dxa"/>
            <w:tcBorders>
              <w:top w:val="nil"/>
              <w:left w:val="nil"/>
              <w:bottom w:val="single" w:sz="8" w:space="0" w:color="auto"/>
              <w:right w:val="single" w:sz="8" w:space="0" w:color="auto"/>
            </w:tcBorders>
            <w:shd w:val="clear" w:color="auto" w:fill="auto"/>
            <w:vAlign w:val="center"/>
            <w:hideMark/>
          </w:tcPr>
          <w:p w14:paraId="47C40D46" w14:textId="3E8A9E08" w:rsidR="00E25502" w:rsidRPr="00AB6A7E" w:rsidRDefault="004C651E" w:rsidP="00C7214E">
            <w:pPr>
              <w:spacing w:after="0" w:line="240" w:lineRule="auto"/>
              <w:rPr>
                <w:rFonts w:eastAsia="Times New Roman" w:cs="Arial"/>
                <w:color w:val="000000"/>
                <w:lang w:eastAsia="en-AU"/>
              </w:rPr>
            </w:pPr>
            <w:r>
              <w:rPr>
                <w:rFonts w:eastAsia="Times New Roman" w:cs="Arial"/>
                <w:color w:val="000000"/>
                <w:lang w:eastAsia="en-AU"/>
              </w:rPr>
              <w:t xml:space="preserve">The ability of a low permeability geological feature (top or fault seal) to </w:t>
            </w:r>
            <w:r w:rsidR="00896B34">
              <w:rPr>
                <w:rFonts w:eastAsia="Times New Roman" w:cs="Arial"/>
                <w:color w:val="000000"/>
                <w:lang w:eastAsia="en-AU"/>
              </w:rPr>
              <w:t>accumulate</w:t>
            </w:r>
            <w:r w:rsidR="00C7214E">
              <w:rPr>
                <w:rFonts w:eastAsia="Times New Roman" w:cs="Arial"/>
                <w:color w:val="000000"/>
                <w:lang w:eastAsia="en-AU"/>
              </w:rPr>
              <w:t xml:space="preserve"> and retain</w:t>
            </w:r>
            <w:r w:rsidR="00CA6BD2">
              <w:rPr>
                <w:rFonts w:eastAsia="Times New Roman" w:cs="Arial"/>
                <w:color w:val="000000"/>
                <w:lang w:eastAsia="en-AU"/>
              </w:rPr>
              <w:t xml:space="preserve"> </w:t>
            </w:r>
            <w:r w:rsidR="00896B34">
              <w:rPr>
                <w:rFonts w:eastAsia="Times New Roman" w:cs="Arial"/>
                <w:color w:val="000000"/>
                <w:lang w:eastAsia="en-AU"/>
              </w:rPr>
              <w:t>hydrocarbons.</w:t>
            </w:r>
          </w:p>
        </w:tc>
      </w:tr>
      <w:tr w:rsidR="00E25502" w:rsidRPr="00AB6A7E" w14:paraId="2E6C4A05"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334AD582"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Seismic</w:t>
            </w:r>
          </w:p>
        </w:tc>
        <w:tc>
          <w:tcPr>
            <w:tcW w:w="6300" w:type="dxa"/>
            <w:tcBorders>
              <w:top w:val="nil"/>
              <w:left w:val="nil"/>
              <w:bottom w:val="single" w:sz="8" w:space="0" w:color="auto"/>
              <w:right w:val="single" w:sz="8" w:space="0" w:color="auto"/>
            </w:tcBorders>
            <w:shd w:val="clear" w:color="auto" w:fill="auto"/>
            <w:vAlign w:val="center"/>
            <w:hideMark/>
          </w:tcPr>
          <w:p w14:paraId="58ED9B51" w14:textId="3685EE05" w:rsidR="00E25502" w:rsidRPr="00AB6A7E" w:rsidRDefault="00896B34" w:rsidP="00E25502">
            <w:pPr>
              <w:spacing w:after="0" w:line="240" w:lineRule="auto"/>
              <w:rPr>
                <w:rFonts w:eastAsia="Times New Roman" w:cs="Arial"/>
                <w:color w:val="000000"/>
                <w:lang w:eastAsia="en-AU"/>
              </w:rPr>
            </w:pPr>
            <w:r>
              <w:rPr>
                <w:rFonts w:eastAsia="Times New Roman" w:cs="Arial"/>
                <w:color w:val="000000"/>
                <w:lang w:eastAsia="en-AU"/>
              </w:rPr>
              <w:t>R</w:t>
            </w:r>
            <w:r>
              <w:t>elating to earthquakes or other vibrations of the earth and its crust.</w:t>
            </w:r>
          </w:p>
        </w:tc>
      </w:tr>
      <w:tr w:rsidR="00896B34" w:rsidRPr="00AB6A7E" w14:paraId="398E53F3"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tcPr>
          <w:p w14:paraId="4D5E1F01" w14:textId="36BFFC32" w:rsidR="00896B34" w:rsidRPr="00AB6A7E" w:rsidRDefault="00896B34" w:rsidP="00E25502">
            <w:pPr>
              <w:spacing w:after="0" w:line="240" w:lineRule="auto"/>
              <w:rPr>
                <w:rFonts w:eastAsia="Times New Roman" w:cs="Arial"/>
                <w:color w:val="000000"/>
                <w:lang w:eastAsia="en-AU"/>
              </w:rPr>
            </w:pPr>
            <w:r>
              <w:rPr>
                <w:rFonts w:eastAsia="Times New Roman" w:cs="Arial"/>
                <w:color w:val="000000"/>
                <w:lang w:eastAsia="en-AU"/>
              </w:rPr>
              <w:t>Seismic lines/data and interpretation</w:t>
            </w:r>
          </w:p>
        </w:tc>
        <w:tc>
          <w:tcPr>
            <w:tcW w:w="6300" w:type="dxa"/>
            <w:tcBorders>
              <w:top w:val="nil"/>
              <w:left w:val="nil"/>
              <w:bottom w:val="single" w:sz="8" w:space="0" w:color="auto"/>
              <w:right w:val="single" w:sz="8" w:space="0" w:color="auto"/>
            </w:tcBorders>
            <w:shd w:val="clear" w:color="auto" w:fill="auto"/>
            <w:vAlign w:val="center"/>
          </w:tcPr>
          <w:p w14:paraId="2ED842FB" w14:textId="54723DBF" w:rsidR="00896B34" w:rsidRPr="00896B34" w:rsidRDefault="00896B34" w:rsidP="00896B34">
            <w:pPr>
              <w:rPr>
                <w:rFonts w:eastAsia="Times New Roman" w:cs="Times New Roman"/>
                <w:lang w:eastAsia="en-AU"/>
              </w:rPr>
            </w:pPr>
            <w:r w:rsidRPr="00896B34">
              <w:rPr>
                <w:rFonts w:eastAsia="Times New Roman" w:cs="Times New Roman"/>
                <w:lang w:eastAsia="en-AU"/>
              </w:rPr>
              <w:t>Seismic Interpretation is the extraction of subsurface geologic information from seismic data. The seismic wavelet starts as the</w:t>
            </w:r>
            <w:r>
              <w:rPr>
                <w:rFonts w:eastAsia="Times New Roman" w:cs="Times New Roman"/>
                <w:lang w:eastAsia="en-AU"/>
              </w:rPr>
              <w:t xml:space="preserve"> pulse of seismic energy</w:t>
            </w:r>
            <w:r w:rsidR="004926C9">
              <w:rPr>
                <w:rFonts w:eastAsia="Times New Roman" w:cs="Times New Roman"/>
                <w:lang w:eastAsia="en-AU"/>
              </w:rPr>
              <w:t xml:space="preserve"> generated by an</w:t>
            </w:r>
            <w:r w:rsidRPr="00896B34">
              <w:rPr>
                <w:rFonts w:eastAsia="Times New Roman" w:cs="Times New Roman"/>
                <w:lang w:eastAsia="en-AU"/>
              </w:rPr>
              <w:t xml:space="preserve"> energy source,</w:t>
            </w:r>
            <w:r w:rsidR="004926C9">
              <w:rPr>
                <w:rFonts w:eastAsia="Times New Roman" w:cs="Times New Roman"/>
                <w:lang w:eastAsia="en-AU"/>
              </w:rPr>
              <w:t xml:space="preserve"> it</w:t>
            </w:r>
            <w:r w:rsidRPr="00896B34">
              <w:rPr>
                <w:rFonts w:eastAsia="Times New Roman" w:cs="Times New Roman"/>
                <w:lang w:eastAsia="en-AU"/>
              </w:rPr>
              <w:t xml:space="preserve"> travels down through the earth, is reflected and travels back up to the surface receivers carrying the geological information with it</w:t>
            </w:r>
            <w:r>
              <w:rPr>
                <w:rFonts w:eastAsia="Times New Roman" w:cs="Times New Roman"/>
                <w:lang w:eastAsia="en-AU"/>
              </w:rPr>
              <w:t xml:space="preserve">. </w:t>
            </w:r>
            <w:r w:rsidRPr="00896B34">
              <w:t xml:space="preserve">Seismic data is recorded into what is termed the </w:t>
            </w:r>
            <w:r w:rsidRPr="00896B34">
              <w:rPr>
                <w:i/>
                <w:iCs/>
              </w:rPr>
              <w:t>time-domain</w:t>
            </w:r>
            <w:r w:rsidRPr="00896B34">
              <w:t xml:space="preserve">. Several common processing routines transform the data into a </w:t>
            </w:r>
            <w:r w:rsidR="004926C9">
              <w:t>new domain (such as depth), perform various</w:t>
            </w:r>
            <w:r w:rsidRPr="00896B34">
              <w:t xml:space="preserve"> operation and then the inverse routine is used to reverse the transform.</w:t>
            </w:r>
          </w:p>
        </w:tc>
      </w:tr>
      <w:tr w:rsidR="00E25502" w:rsidRPr="00AB6A7E" w14:paraId="02FA72D9"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0B606242"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Shale content</w:t>
            </w:r>
          </w:p>
        </w:tc>
        <w:tc>
          <w:tcPr>
            <w:tcW w:w="6300" w:type="dxa"/>
            <w:tcBorders>
              <w:top w:val="nil"/>
              <w:left w:val="nil"/>
              <w:bottom w:val="single" w:sz="8" w:space="0" w:color="auto"/>
              <w:right w:val="single" w:sz="8" w:space="0" w:color="auto"/>
            </w:tcBorders>
            <w:shd w:val="clear" w:color="auto" w:fill="auto"/>
            <w:vAlign w:val="center"/>
            <w:hideMark/>
          </w:tcPr>
          <w:p w14:paraId="0BA6398C" w14:textId="38A34CDB" w:rsidR="00E25502" w:rsidRPr="00AB6A7E" w:rsidRDefault="004926C9" w:rsidP="00E25502">
            <w:pPr>
              <w:spacing w:after="0" w:line="240" w:lineRule="auto"/>
              <w:rPr>
                <w:rFonts w:eastAsia="Times New Roman" w:cs="Arial"/>
                <w:color w:val="000000"/>
                <w:lang w:eastAsia="en-AU"/>
              </w:rPr>
            </w:pPr>
            <w:r>
              <w:rPr>
                <w:rFonts w:eastAsia="Times New Roman" w:cs="Arial"/>
                <w:color w:val="000000"/>
                <w:lang w:eastAsia="en-AU"/>
              </w:rPr>
              <w:t>The volume of shale or clay minerals per volume of rock.</w:t>
            </w:r>
          </w:p>
        </w:tc>
      </w:tr>
      <w:tr w:rsidR="00E25502" w:rsidRPr="00AB6A7E" w14:paraId="15434D42"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5D14B124"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Shear stress</w:t>
            </w:r>
          </w:p>
        </w:tc>
        <w:tc>
          <w:tcPr>
            <w:tcW w:w="6300" w:type="dxa"/>
            <w:tcBorders>
              <w:top w:val="nil"/>
              <w:left w:val="nil"/>
              <w:bottom w:val="single" w:sz="8" w:space="0" w:color="auto"/>
              <w:right w:val="single" w:sz="8" w:space="0" w:color="auto"/>
            </w:tcBorders>
            <w:shd w:val="clear" w:color="auto" w:fill="auto"/>
            <w:vAlign w:val="center"/>
            <w:hideMark/>
          </w:tcPr>
          <w:p w14:paraId="7DDCA8C3" w14:textId="7990D1F4" w:rsidR="00E25502" w:rsidRPr="004926C9" w:rsidRDefault="004926C9" w:rsidP="00E25502">
            <w:pPr>
              <w:spacing w:after="0" w:line="240" w:lineRule="auto"/>
              <w:rPr>
                <w:rFonts w:eastAsia="Times New Roman" w:cs="Arial"/>
                <w:color w:val="000000"/>
                <w:lang w:eastAsia="en-AU"/>
              </w:rPr>
            </w:pPr>
            <w:r w:rsidRPr="004926C9">
              <w:rPr>
                <w:rStyle w:val="tgc"/>
                <w:bCs/>
              </w:rPr>
              <w:t>Shear stress</w:t>
            </w:r>
            <w:r w:rsidRPr="004926C9">
              <w:rPr>
                <w:rStyle w:val="tgc"/>
              </w:rPr>
              <w:t xml:space="preserve"> is the </w:t>
            </w:r>
            <w:r w:rsidRPr="004926C9">
              <w:rPr>
                <w:rStyle w:val="tgc"/>
                <w:bCs/>
              </w:rPr>
              <w:t>stress</w:t>
            </w:r>
            <w:r w:rsidRPr="004926C9">
              <w:rPr>
                <w:rStyle w:val="tgc"/>
              </w:rPr>
              <w:t xml:space="preserve"> component parallel to a given surface, such as a fault plane, that results from forces applied parallel to the surface</w:t>
            </w:r>
            <w:r>
              <w:rPr>
                <w:rStyle w:val="tgc"/>
              </w:rPr>
              <w:t>.</w:t>
            </w:r>
          </w:p>
        </w:tc>
      </w:tr>
      <w:tr w:rsidR="00E25502" w:rsidRPr="00AB6A7E" w14:paraId="6182FDA5"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51F79FBD"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Silliciclastic strata</w:t>
            </w:r>
          </w:p>
        </w:tc>
        <w:tc>
          <w:tcPr>
            <w:tcW w:w="6300" w:type="dxa"/>
            <w:tcBorders>
              <w:top w:val="nil"/>
              <w:left w:val="nil"/>
              <w:bottom w:val="single" w:sz="8" w:space="0" w:color="auto"/>
              <w:right w:val="single" w:sz="8" w:space="0" w:color="auto"/>
            </w:tcBorders>
            <w:shd w:val="clear" w:color="auto" w:fill="auto"/>
            <w:vAlign w:val="center"/>
            <w:hideMark/>
          </w:tcPr>
          <w:p w14:paraId="23B7E96F" w14:textId="28D337C6" w:rsidR="00E25502" w:rsidRPr="00AB6A7E" w:rsidRDefault="00CA6BD2" w:rsidP="00E25502">
            <w:pPr>
              <w:spacing w:after="0" w:line="240" w:lineRule="auto"/>
              <w:rPr>
                <w:rFonts w:eastAsia="Times New Roman" w:cs="Arial"/>
                <w:color w:val="000000"/>
                <w:lang w:eastAsia="en-AU"/>
              </w:rPr>
            </w:pPr>
            <w:r>
              <w:rPr>
                <w:rFonts w:eastAsia="Times New Roman" w:cs="Arial"/>
                <w:color w:val="000000"/>
                <w:lang w:eastAsia="en-AU"/>
              </w:rPr>
              <w:t xml:space="preserve">Strata </w:t>
            </w:r>
            <w:r>
              <w:t>relating to or denoting clastic rocks consisting largely of silica or silicates.</w:t>
            </w:r>
          </w:p>
        </w:tc>
      </w:tr>
      <w:tr w:rsidR="00E25502" w:rsidRPr="00AB6A7E" w14:paraId="61F73162" w14:textId="77777777" w:rsidTr="00E25502">
        <w:trPr>
          <w:trHeight w:val="32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7949973A"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SO</w:t>
            </w:r>
            <w:r w:rsidRPr="00AB6A7E">
              <w:rPr>
                <w:rFonts w:eastAsia="Times New Roman" w:cs="Arial"/>
                <w:color w:val="000000"/>
                <w:vertAlign w:val="subscript"/>
                <w:lang w:eastAsia="en-AU"/>
              </w:rPr>
              <w:t>4</w:t>
            </w:r>
          </w:p>
        </w:tc>
        <w:tc>
          <w:tcPr>
            <w:tcW w:w="6300" w:type="dxa"/>
            <w:tcBorders>
              <w:top w:val="nil"/>
              <w:left w:val="nil"/>
              <w:bottom w:val="single" w:sz="8" w:space="0" w:color="auto"/>
              <w:right w:val="single" w:sz="8" w:space="0" w:color="auto"/>
            </w:tcBorders>
            <w:shd w:val="clear" w:color="auto" w:fill="auto"/>
            <w:vAlign w:val="center"/>
            <w:hideMark/>
          </w:tcPr>
          <w:p w14:paraId="173B88AE"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Sulphate</w:t>
            </w:r>
          </w:p>
        </w:tc>
      </w:tr>
      <w:tr w:rsidR="00E25502" w:rsidRPr="00AB6A7E" w14:paraId="0E45EC57" w14:textId="77777777" w:rsidTr="00E25502">
        <w:trPr>
          <w:trHeight w:val="76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632E62F4"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Solute</w:t>
            </w:r>
          </w:p>
        </w:tc>
        <w:tc>
          <w:tcPr>
            <w:tcW w:w="6300" w:type="dxa"/>
            <w:tcBorders>
              <w:top w:val="nil"/>
              <w:left w:val="nil"/>
              <w:bottom w:val="single" w:sz="8" w:space="0" w:color="auto"/>
              <w:right w:val="single" w:sz="8" w:space="0" w:color="auto"/>
            </w:tcBorders>
            <w:shd w:val="clear" w:color="auto" w:fill="auto"/>
            <w:vAlign w:val="center"/>
            <w:hideMark/>
          </w:tcPr>
          <w:p w14:paraId="05970921"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The substance present in a solution in the smaller amount. For convenience, water is generally considered the solvent even in concentrated solutions with water molecules in the minority</w:t>
            </w:r>
          </w:p>
        </w:tc>
      </w:tr>
      <w:tr w:rsidR="00E25502" w:rsidRPr="00AB6A7E" w14:paraId="63409CFE"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2B8885AC"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Springs</w:t>
            </w:r>
          </w:p>
        </w:tc>
        <w:tc>
          <w:tcPr>
            <w:tcW w:w="6300" w:type="dxa"/>
            <w:tcBorders>
              <w:top w:val="nil"/>
              <w:left w:val="nil"/>
              <w:bottom w:val="single" w:sz="8" w:space="0" w:color="auto"/>
              <w:right w:val="single" w:sz="8" w:space="0" w:color="auto"/>
            </w:tcBorders>
            <w:shd w:val="clear" w:color="auto" w:fill="auto"/>
            <w:vAlign w:val="center"/>
            <w:hideMark/>
          </w:tcPr>
          <w:p w14:paraId="2F7CD693" w14:textId="0CDBB1C5" w:rsidR="00E25502" w:rsidRPr="00AB6A7E" w:rsidRDefault="00CA6BD2" w:rsidP="00E25502">
            <w:pPr>
              <w:spacing w:after="0" w:line="240" w:lineRule="auto"/>
              <w:rPr>
                <w:rFonts w:eastAsia="Times New Roman" w:cs="Arial"/>
                <w:color w:val="000000"/>
                <w:lang w:eastAsia="en-AU"/>
              </w:rPr>
            </w:pPr>
            <w:r>
              <w:t>A spring is a water resource formed when the side of a hill, a valley bottom or other excavation intersects a flowing body of groundwater at or below the local water table, below which the subsurface material is saturated with water.</w:t>
            </w:r>
            <w:r w:rsidR="00E551ED">
              <w:t xml:space="preserve"> It represents groundwater discharge to surface.</w:t>
            </w:r>
          </w:p>
        </w:tc>
      </w:tr>
      <w:tr w:rsidR="00E25502" w:rsidRPr="00AB6A7E" w14:paraId="080161BB"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40D3A313"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Stratigraphic analysis</w:t>
            </w:r>
          </w:p>
        </w:tc>
        <w:tc>
          <w:tcPr>
            <w:tcW w:w="6300" w:type="dxa"/>
            <w:tcBorders>
              <w:top w:val="nil"/>
              <w:left w:val="nil"/>
              <w:bottom w:val="single" w:sz="8" w:space="0" w:color="auto"/>
              <w:right w:val="single" w:sz="8" w:space="0" w:color="auto"/>
            </w:tcBorders>
            <w:shd w:val="clear" w:color="auto" w:fill="auto"/>
            <w:vAlign w:val="center"/>
            <w:hideMark/>
          </w:tcPr>
          <w:p w14:paraId="1223F1D6" w14:textId="633F87FD" w:rsidR="00E25502" w:rsidRPr="00AB6A7E" w:rsidRDefault="00E551ED" w:rsidP="00E25502">
            <w:pPr>
              <w:spacing w:after="0" w:line="240" w:lineRule="auto"/>
              <w:rPr>
                <w:rFonts w:eastAsia="Times New Roman" w:cs="Arial"/>
                <w:color w:val="000000"/>
                <w:lang w:eastAsia="en-AU"/>
              </w:rPr>
            </w:pPr>
            <w:r>
              <w:rPr>
                <w:rFonts w:eastAsia="Times New Roman" w:cs="Arial"/>
                <w:color w:val="000000"/>
                <w:lang w:eastAsia="en-AU"/>
              </w:rPr>
              <w:t>The analysis of geological strata.</w:t>
            </w:r>
          </w:p>
        </w:tc>
      </w:tr>
      <w:tr w:rsidR="00E25502" w:rsidRPr="00AB6A7E" w14:paraId="154C70AB"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380F053F"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Strike-slip</w:t>
            </w:r>
          </w:p>
        </w:tc>
        <w:tc>
          <w:tcPr>
            <w:tcW w:w="6300" w:type="dxa"/>
            <w:tcBorders>
              <w:top w:val="nil"/>
              <w:left w:val="nil"/>
              <w:bottom w:val="single" w:sz="8" w:space="0" w:color="auto"/>
              <w:right w:val="single" w:sz="8" w:space="0" w:color="auto"/>
            </w:tcBorders>
            <w:shd w:val="clear" w:color="auto" w:fill="auto"/>
            <w:vAlign w:val="center"/>
            <w:hideMark/>
          </w:tcPr>
          <w:p w14:paraId="33491236" w14:textId="41E0C5D6" w:rsidR="00E25502" w:rsidRPr="00AB6A7E" w:rsidRDefault="00E551ED" w:rsidP="00E25502">
            <w:pPr>
              <w:spacing w:after="0" w:line="240" w:lineRule="auto"/>
              <w:rPr>
                <w:rFonts w:eastAsia="Times New Roman" w:cs="Arial"/>
                <w:color w:val="000000"/>
                <w:lang w:eastAsia="en-AU"/>
              </w:rPr>
            </w:pPr>
            <w:r>
              <w:t>A fault in which rock strata are displaced mainly in a horizontal direction, parallel to the line of the fault.</w:t>
            </w:r>
          </w:p>
        </w:tc>
      </w:tr>
      <w:tr w:rsidR="00E25502" w:rsidRPr="00AB6A7E" w14:paraId="63A0EFAF"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308B1BCD"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Sub-seismic strain</w:t>
            </w:r>
          </w:p>
        </w:tc>
        <w:tc>
          <w:tcPr>
            <w:tcW w:w="6300" w:type="dxa"/>
            <w:tcBorders>
              <w:top w:val="nil"/>
              <w:left w:val="nil"/>
              <w:bottom w:val="single" w:sz="8" w:space="0" w:color="auto"/>
              <w:right w:val="single" w:sz="8" w:space="0" w:color="auto"/>
            </w:tcBorders>
            <w:shd w:val="clear" w:color="auto" w:fill="auto"/>
            <w:vAlign w:val="center"/>
            <w:hideMark/>
          </w:tcPr>
          <w:p w14:paraId="63B64C7B" w14:textId="5A59B016" w:rsidR="00E25502" w:rsidRPr="00AB6A7E" w:rsidRDefault="00E551ED" w:rsidP="00E25502">
            <w:pPr>
              <w:spacing w:after="0" w:line="240" w:lineRule="auto"/>
              <w:rPr>
                <w:rFonts w:eastAsia="Times New Roman" w:cs="Arial"/>
                <w:color w:val="000000"/>
                <w:lang w:eastAsia="en-AU"/>
              </w:rPr>
            </w:pPr>
            <w:r>
              <w:rPr>
                <w:rFonts w:eastAsia="Times New Roman" w:cs="Arial"/>
                <w:color w:val="000000"/>
                <w:lang w:eastAsia="en-AU"/>
              </w:rPr>
              <w:t>Deformation or strain occurring at a scale too small to be discerned by seismic analysis.</w:t>
            </w:r>
          </w:p>
        </w:tc>
      </w:tr>
      <w:tr w:rsidR="00E25502" w:rsidRPr="00AB6A7E" w14:paraId="08B7106F"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30180715"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Tensile stress</w:t>
            </w:r>
          </w:p>
        </w:tc>
        <w:tc>
          <w:tcPr>
            <w:tcW w:w="6300" w:type="dxa"/>
            <w:tcBorders>
              <w:top w:val="nil"/>
              <w:left w:val="nil"/>
              <w:bottom w:val="single" w:sz="8" w:space="0" w:color="auto"/>
              <w:right w:val="single" w:sz="8" w:space="0" w:color="auto"/>
            </w:tcBorders>
            <w:shd w:val="clear" w:color="auto" w:fill="auto"/>
            <w:vAlign w:val="center"/>
            <w:hideMark/>
          </w:tcPr>
          <w:p w14:paraId="24D489CC" w14:textId="6E37E90A" w:rsidR="00E25502" w:rsidRPr="00BC3807" w:rsidRDefault="00E551ED" w:rsidP="00E25502">
            <w:pPr>
              <w:spacing w:after="0" w:line="240" w:lineRule="auto"/>
              <w:rPr>
                <w:rFonts w:eastAsia="Times New Roman" w:cs="Arial"/>
                <w:lang w:eastAsia="en-AU"/>
              </w:rPr>
            </w:pPr>
            <w:r w:rsidRPr="00BC3807">
              <w:t xml:space="preserve">A </w:t>
            </w:r>
            <w:hyperlink r:id="rId37" w:history="1">
              <w:r w:rsidRPr="00BC3807">
                <w:rPr>
                  <w:rStyle w:val="Hyperlink"/>
                  <w:color w:val="auto"/>
                  <w:u w:val="none"/>
                </w:rPr>
                <w:t>normal stress</w:t>
              </w:r>
            </w:hyperlink>
            <w:r w:rsidRPr="00BC3807">
              <w:t xml:space="preserve"> (negative compressive stress) which pulls apart the material on either side of a plane. Tensile stress greatly weakens rocks, reducing the amount of </w:t>
            </w:r>
            <w:hyperlink r:id="rId38" w:history="1">
              <w:r w:rsidRPr="00BC3807">
                <w:rPr>
                  <w:rStyle w:val="Hyperlink"/>
                  <w:color w:val="auto"/>
                  <w:u w:val="none"/>
                </w:rPr>
                <w:t>shear stress</w:t>
              </w:r>
            </w:hyperlink>
            <w:r w:rsidRPr="00BC3807">
              <w:t xml:space="preserve"> that is needed to produce failure in them.</w:t>
            </w:r>
          </w:p>
        </w:tc>
      </w:tr>
      <w:tr w:rsidR="00E25502" w:rsidRPr="00AB6A7E" w14:paraId="44E8106C"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71FE2413"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Top-seal</w:t>
            </w:r>
          </w:p>
        </w:tc>
        <w:tc>
          <w:tcPr>
            <w:tcW w:w="6300" w:type="dxa"/>
            <w:tcBorders>
              <w:top w:val="nil"/>
              <w:left w:val="nil"/>
              <w:bottom w:val="single" w:sz="8" w:space="0" w:color="auto"/>
              <w:right w:val="single" w:sz="8" w:space="0" w:color="auto"/>
            </w:tcBorders>
            <w:shd w:val="clear" w:color="auto" w:fill="auto"/>
            <w:vAlign w:val="center"/>
            <w:hideMark/>
          </w:tcPr>
          <w:p w14:paraId="3DBADE1F" w14:textId="4098C2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 </w:t>
            </w:r>
            <w:r w:rsidR="00C7214E">
              <w:rPr>
                <w:rFonts w:eastAsia="Times New Roman" w:cs="Arial"/>
                <w:color w:val="000000"/>
                <w:lang w:eastAsia="en-AU"/>
              </w:rPr>
              <w:t>A stratigraphic horizon with sufficiently low permeability to accumulate and retain hydrocarbons.</w:t>
            </w:r>
          </w:p>
        </w:tc>
      </w:tr>
      <w:tr w:rsidR="00E25502" w:rsidRPr="00AB6A7E" w14:paraId="49D9CD25" w14:textId="77777777" w:rsidTr="00E25502">
        <w:trPr>
          <w:trHeight w:val="51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15CACBD0"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Unconventional gas</w:t>
            </w:r>
          </w:p>
        </w:tc>
        <w:tc>
          <w:tcPr>
            <w:tcW w:w="6300" w:type="dxa"/>
            <w:tcBorders>
              <w:top w:val="nil"/>
              <w:left w:val="nil"/>
              <w:bottom w:val="single" w:sz="8" w:space="0" w:color="auto"/>
              <w:right w:val="single" w:sz="8" w:space="0" w:color="auto"/>
            </w:tcBorders>
            <w:shd w:val="clear" w:color="auto" w:fill="auto"/>
            <w:vAlign w:val="center"/>
            <w:hideMark/>
          </w:tcPr>
          <w:p w14:paraId="1FF9B678" w14:textId="623C766B" w:rsidR="00E25502" w:rsidRPr="00AB6A7E" w:rsidRDefault="00912A33" w:rsidP="00E25502">
            <w:pPr>
              <w:spacing w:after="0" w:line="240" w:lineRule="auto"/>
              <w:rPr>
                <w:rFonts w:eastAsia="Times New Roman" w:cs="Arial"/>
                <w:color w:val="000000"/>
                <w:lang w:eastAsia="en-AU"/>
              </w:rPr>
            </w:pPr>
            <w:r>
              <w:t>Unconventional gas does not rely on buoyancy and trap geometry as the primary trapping mechanism.  Rather, low permeability strata hold gas in place via capillarity or adsorption. In these cases the gas occurs as a continuous phase over large areas independent of trap geometry.</w:t>
            </w:r>
          </w:p>
        </w:tc>
      </w:tr>
      <w:tr w:rsidR="00E25502" w:rsidRPr="00AB6A7E" w14:paraId="50C69D27"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439FDD15"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Validation</w:t>
            </w:r>
          </w:p>
        </w:tc>
        <w:tc>
          <w:tcPr>
            <w:tcW w:w="6300" w:type="dxa"/>
            <w:tcBorders>
              <w:top w:val="nil"/>
              <w:left w:val="nil"/>
              <w:bottom w:val="single" w:sz="8" w:space="0" w:color="auto"/>
              <w:right w:val="single" w:sz="8" w:space="0" w:color="auto"/>
            </w:tcBorders>
            <w:shd w:val="clear" w:color="auto" w:fill="auto"/>
            <w:vAlign w:val="center"/>
            <w:hideMark/>
          </w:tcPr>
          <w:p w14:paraId="66F143E5" w14:textId="7B235837" w:rsidR="00E25502" w:rsidRPr="00AB6A7E" w:rsidRDefault="00C7214E" w:rsidP="00E25502">
            <w:pPr>
              <w:spacing w:after="0" w:line="240" w:lineRule="auto"/>
              <w:rPr>
                <w:rFonts w:eastAsia="Times New Roman" w:cs="Arial"/>
                <w:color w:val="000000"/>
                <w:lang w:eastAsia="en-AU"/>
              </w:rPr>
            </w:pPr>
            <w:r>
              <w:rPr>
                <w:rFonts w:eastAsia="Times New Roman" w:cs="Arial"/>
                <w:color w:val="000000"/>
                <w:lang w:eastAsia="en-AU"/>
              </w:rPr>
              <w:t>T</w:t>
            </w:r>
            <w:r>
              <w:rPr>
                <w:rStyle w:val="tgc"/>
              </w:rPr>
              <w:t>o prove that something is based on truth or fact.</w:t>
            </w:r>
          </w:p>
        </w:tc>
      </w:tr>
      <w:tr w:rsidR="00E25502" w:rsidRPr="00AB6A7E" w14:paraId="36256F3C"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6E87CFC2"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Wettability</w:t>
            </w:r>
          </w:p>
        </w:tc>
        <w:tc>
          <w:tcPr>
            <w:tcW w:w="6300" w:type="dxa"/>
            <w:tcBorders>
              <w:top w:val="nil"/>
              <w:left w:val="nil"/>
              <w:bottom w:val="single" w:sz="8" w:space="0" w:color="auto"/>
              <w:right w:val="single" w:sz="8" w:space="0" w:color="auto"/>
            </w:tcBorders>
            <w:shd w:val="clear" w:color="auto" w:fill="auto"/>
            <w:vAlign w:val="center"/>
            <w:hideMark/>
          </w:tcPr>
          <w:p w14:paraId="6B3A4993" w14:textId="5FD9E913" w:rsidR="00E25502" w:rsidRPr="00BC3807" w:rsidRDefault="00BC3807" w:rsidP="00BC3807">
            <w:pPr>
              <w:spacing w:after="0" w:line="240" w:lineRule="auto"/>
              <w:rPr>
                <w:rFonts w:eastAsia="Times New Roman" w:cs="Arial"/>
                <w:color w:val="000000"/>
                <w:lang w:eastAsia="en-AU"/>
              </w:rPr>
            </w:pPr>
            <w:r w:rsidRPr="00BC3807">
              <w:rPr>
                <w:rStyle w:val="tgc"/>
                <w:bCs/>
              </w:rPr>
              <w:t>Wettability</w:t>
            </w:r>
            <w:r w:rsidRPr="00BC3807">
              <w:rPr>
                <w:rStyle w:val="tgc"/>
              </w:rPr>
              <w:t xml:space="preserve"> refers to the interaction between fluid and solid phases. In a reservoir rock the liquid phase can be water or oil or gas, and the solid phase is the rock mineral assemblage. </w:t>
            </w:r>
            <w:r w:rsidRPr="00BC3807">
              <w:rPr>
                <w:rStyle w:val="tgc"/>
                <w:bCs/>
              </w:rPr>
              <w:t>Wettability</w:t>
            </w:r>
            <w:r w:rsidRPr="00BC3807">
              <w:rPr>
                <w:rStyle w:val="tgc"/>
              </w:rPr>
              <w:t xml:space="preserve"> is </w:t>
            </w:r>
            <w:r w:rsidRPr="00BC3807">
              <w:rPr>
                <w:rStyle w:val="tgc"/>
                <w:bCs/>
              </w:rPr>
              <w:t>defined</w:t>
            </w:r>
            <w:r w:rsidRPr="00BC3807">
              <w:rPr>
                <w:rStyle w:val="tgc"/>
              </w:rPr>
              <w:t xml:space="preserve"> by the contact angle </w:t>
            </w:r>
            <w:r>
              <w:rPr>
                <w:rStyle w:val="tgc"/>
              </w:rPr>
              <w:t>between two</w:t>
            </w:r>
            <w:r w:rsidRPr="00BC3807">
              <w:rPr>
                <w:rStyle w:val="tgc"/>
              </w:rPr>
              <w:t xml:space="preserve"> fluid</w:t>
            </w:r>
            <w:r>
              <w:rPr>
                <w:rStyle w:val="tgc"/>
              </w:rPr>
              <w:t>s</w:t>
            </w:r>
            <w:r w:rsidRPr="00BC3807">
              <w:rPr>
                <w:rStyle w:val="tgc"/>
              </w:rPr>
              <w:t xml:space="preserve"> with the solid phase.</w:t>
            </w:r>
          </w:p>
        </w:tc>
      </w:tr>
      <w:tr w:rsidR="00E25502" w:rsidRPr="00AB6A7E" w14:paraId="43EEAD09" w14:textId="77777777" w:rsidTr="00E25502">
        <w:trPr>
          <w:trHeight w:val="300"/>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55291AC0" w14:textId="77777777" w:rsidR="00E25502" w:rsidRPr="00AB6A7E" w:rsidRDefault="00E25502" w:rsidP="00E25502">
            <w:pPr>
              <w:spacing w:after="0" w:line="240" w:lineRule="auto"/>
              <w:rPr>
                <w:rFonts w:eastAsia="Times New Roman" w:cs="Arial"/>
                <w:color w:val="000000"/>
                <w:lang w:eastAsia="en-AU"/>
              </w:rPr>
            </w:pPr>
            <w:r w:rsidRPr="00AB6A7E">
              <w:rPr>
                <w:rFonts w:eastAsia="Times New Roman" w:cs="Arial"/>
                <w:color w:val="000000"/>
                <w:lang w:eastAsia="en-AU"/>
              </w:rPr>
              <w:t>Wetting phase</w:t>
            </w:r>
          </w:p>
        </w:tc>
        <w:tc>
          <w:tcPr>
            <w:tcW w:w="6300" w:type="dxa"/>
            <w:tcBorders>
              <w:top w:val="nil"/>
              <w:left w:val="nil"/>
              <w:bottom w:val="single" w:sz="8" w:space="0" w:color="auto"/>
              <w:right w:val="single" w:sz="8" w:space="0" w:color="auto"/>
            </w:tcBorders>
            <w:shd w:val="clear" w:color="auto" w:fill="auto"/>
            <w:vAlign w:val="center"/>
            <w:hideMark/>
          </w:tcPr>
          <w:p w14:paraId="24F41C4E" w14:textId="216E80E6" w:rsidR="00E25502" w:rsidRPr="00AB6A7E" w:rsidRDefault="00BC3807" w:rsidP="00BC3807">
            <w:pPr>
              <w:spacing w:after="0" w:line="240" w:lineRule="auto"/>
              <w:rPr>
                <w:rFonts w:eastAsia="Times New Roman" w:cs="Arial"/>
                <w:color w:val="000000"/>
                <w:lang w:eastAsia="en-AU"/>
              </w:rPr>
            </w:pPr>
            <w:r>
              <w:rPr>
                <w:rFonts w:eastAsia="Times New Roman" w:cs="Arial"/>
                <w:color w:val="000000"/>
                <w:lang w:eastAsia="en-AU"/>
              </w:rPr>
              <w:t>A phase (water or hydrocarbon or other gas) that in combination with a mineral surface has a contact angle of less than 90 degrees.</w:t>
            </w:r>
          </w:p>
        </w:tc>
      </w:tr>
    </w:tbl>
    <w:p w14:paraId="023F3E6A" w14:textId="205D8889" w:rsidR="007D1AB3" w:rsidRDefault="009809B7" w:rsidP="0077194F">
      <w:pPr>
        <w:pStyle w:val="Heading1"/>
        <w:rPr>
          <w:rFonts w:eastAsia="Times New Roman"/>
          <w:lang w:eastAsia="en-AU"/>
        </w:rPr>
      </w:pPr>
      <w:bookmarkStart w:id="437" w:name="_Toc442351500"/>
      <w:r>
        <w:rPr>
          <w:rFonts w:eastAsia="Times New Roman"/>
          <w:lang w:eastAsia="en-AU"/>
        </w:rPr>
        <w:lastRenderedPageBreak/>
        <w:t>Introduction</w:t>
      </w:r>
      <w:bookmarkEnd w:id="437"/>
    </w:p>
    <w:p w14:paraId="7AA4133E" w14:textId="2F03C288" w:rsidR="00EE1AAF" w:rsidRDefault="00563887" w:rsidP="00E25502">
      <w:pPr>
        <w:autoSpaceDE w:val="0"/>
        <w:autoSpaceDN w:val="0"/>
        <w:adjustRightInd w:val="0"/>
        <w:spacing w:after="0" w:line="240" w:lineRule="auto"/>
      </w:pPr>
      <w:r>
        <w:t>The hydraulic influence of faults on groundwater flow has long been recognized by humans because faults often provide a focus of groundwater discharge in the form of springs. Yet the representation of faults and their hydraulic properties are rarely included in regional groundwater models.</w:t>
      </w:r>
    </w:p>
    <w:p w14:paraId="68DD0D96" w14:textId="77777777" w:rsidR="00563887" w:rsidRDefault="00563887" w:rsidP="00E25502">
      <w:pPr>
        <w:autoSpaceDE w:val="0"/>
        <w:autoSpaceDN w:val="0"/>
        <w:adjustRightInd w:val="0"/>
        <w:spacing w:after="0" w:line="240" w:lineRule="auto"/>
      </w:pPr>
    </w:p>
    <w:p w14:paraId="73481021" w14:textId="168743E2" w:rsidR="00563887" w:rsidRDefault="00563887" w:rsidP="00563887">
      <w:pPr>
        <w:autoSpaceDE w:val="0"/>
        <w:autoSpaceDN w:val="0"/>
        <w:adjustRightInd w:val="0"/>
        <w:spacing w:after="0" w:line="240" w:lineRule="auto"/>
        <w:rPr>
          <w:rFonts w:cs="Arial"/>
        </w:rPr>
      </w:pPr>
      <w:r>
        <w:rPr>
          <w:rFonts w:cs="Arial"/>
        </w:rPr>
        <w:t xml:space="preserve">There is an extensive body of scientific literature on fault characteristics and their genesis in structural geology journals, however, the understanding of fault hydraulic properties and their transmission </w:t>
      </w:r>
      <w:r w:rsidR="006565D2">
        <w:rPr>
          <w:rFonts w:cs="Arial"/>
        </w:rPr>
        <w:t>(</w:t>
      </w:r>
      <w:r>
        <w:rPr>
          <w:rFonts w:cs="Arial"/>
        </w:rPr>
        <w:t>or not</w:t>
      </w:r>
      <w:r w:rsidR="006565D2">
        <w:rPr>
          <w:rFonts w:cs="Arial"/>
        </w:rPr>
        <w:t>)</w:t>
      </w:r>
      <w:r>
        <w:rPr>
          <w:rFonts w:cs="Arial"/>
        </w:rPr>
        <w:t xml:space="preserve"> of fluids in sedimentary sequences primarily comes from two domains of research: 1) conventional oil and gas exploration and production geology where faults can either allow hydrocarbons to accumulate in commercial volumes, or to leak rendering an otherwise valid trap to be “dry” or sub-economic, and 2) hydrogeological and ecological research on groundwater springs occurring along faults that come to surface.  The economic imperative of having pre drill-predictive capability in estimating fault seal capac</w:t>
      </w:r>
      <w:r w:rsidR="006565D2">
        <w:rPr>
          <w:rFonts w:cs="Arial"/>
        </w:rPr>
        <w:t>ity to conventional hydrocarbon</w:t>
      </w:r>
      <w:r>
        <w:rPr>
          <w:rFonts w:cs="Arial"/>
        </w:rPr>
        <w:t xml:space="preserve"> accumulations has led to the development of several procedures and techniques that evaluate various aspects of fault zone hydraulic characteristics at various in-situ environmental conditions (pressure, temperature, stress, wettability). These include: fault zone architecture and juxtaposition analysis, mechanical seal capacity and fault reactivation potential, capillary fault seal capacity and hydrodynamic analysis, and sub-seismic strain analysis.  The oil and gas indust</w:t>
      </w:r>
      <w:r w:rsidR="006565D2">
        <w:rPr>
          <w:rFonts w:cs="Arial"/>
        </w:rPr>
        <w:t>ry uses field production histories</w:t>
      </w:r>
      <w:r>
        <w:rPr>
          <w:rFonts w:cs="Arial"/>
        </w:rPr>
        <w:t xml:space="preserve"> and observed field compartmentalisation to calibrate and validate methodologies for predicting fault seal capacity and the representative hydraulic parameters of fault zones.  In the domain of groundwater hydrogeology, surface water hydrology and ecology, observations of groundwater spring temperature, flux and geochemical characteristics for springs occurring along faults are used to infer fault zone hydraulic properties. </w:t>
      </w:r>
    </w:p>
    <w:p w14:paraId="40B61150" w14:textId="77777777" w:rsidR="00563887" w:rsidRDefault="00563887" w:rsidP="00563887">
      <w:pPr>
        <w:autoSpaceDE w:val="0"/>
        <w:autoSpaceDN w:val="0"/>
        <w:adjustRightInd w:val="0"/>
        <w:spacing w:after="0" w:line="240" w:lineRule="auto"/>
        <w:rPr>
          <w:rFonts w:cs="Arial"/>
        </w:rPr>
      </w:pPr>
    </w:p>
    <w:p w14:paraId="035F2DA1" w14:textId="4C4D4C74" w:rsidR="00563887" w:rsidRPr="004D712D" w:rsidRDefault="00563887" w:rsidP="00E25502">
      <w:pPr>
        <w:autoSpaceDE w:val="0"/>
        <w:autoSpaceDN w:val="0"/>
        <w:adjustRightInd w:val="0"/>
        <w:spacing w:after="0" w:line="240" w:lineRule="auto"/>
        <w:rPr>
          <w:rFonts w:ascii="Calibri" w:hAnsi="Calibri" w:cs="Calibri"/>
        </w:rPr>
      </w:pPr>
      <w:r>
        <w:t>Concerns of aquifer pressure depletion, fugitive methane migration and degradation of aquifer water quality due</w:t>
      </w:r>
      <w:r w:rsidR="009C69C0">
        <w:t xml:space="preserve"> to</w:t>
      </w:r>
      <w:r>
        <w:t xml:space="preserve"> CSG development effects propagating up faults can be investigated through the use of regional groundwater models if they are appropriately parameterised. This literature review highlights</w:t>
      </w:r>
      <w:r w:rsidR="008C068F">
        <w:t xml:space="preserve"> established methodologies of fault zone characterisation that can be adopted and adapted</w:t>
      </w:r>
      <w:r>
        <w:t xml:space="preserve"> </w:t>
      </w:r>
      <w:r w:rsidR="008C068F">
        <w:t xml:space="preserve">into a workflow for accurately representing fault zone hydraulic properties in regional groundwater models. </w:t>
      </w:r>
      <w:r>
        <w:t xml:space="preserve"> </w:t>
      </w:r>
    </w:p>
    <w:p w14:paraId="5973D133" w14:textId="77777777" w:rsidR="005A6DF0" w:rsidRDefault="005A6DF0" w:rsidP="005A6DF0">
      <w:pPr>
        <w:pStyle w:val="Heading1"/>
        <w:rPr>
          <w:rFonts w:eastAsia="Times New Roman"/>
          <w:lang w:eastAsia="en-AU"/>
        </w:rPr>
      </w:pPr>
      <w:bookmarkStart w:id="438" w:name="_Toc442351501"/>
      <w:r>
        <w:rPr>
          <w:rFonts w:eastAsia="Times New Roman"/>
          <w:lang w:eastAsia="en-AU"/>
        </w:rPr>
        <w:t>Context</w:t>
      </w:r>
      <w:bookmarkEnd w:id="438"/>
    </w:p>
    <w:p w14:paraId="4B2D65BF" w14:textId="7AF9003D" w:rsidR="00E21FEF" w:rsidRPr="00DB5CE8" w:rsidRDefault="00E21FEF" w:rsidP="00A63B9F">
      <w:pPr>
        <w:spacing w:line="240" w:lineRule="auto"/>
        <w:rPr>
          <w:rFonts w:cs="Arial"/>
        </w:rPr>
      </w:pPr>
      <w:r>
        <w:t>The overall project “</w:t>
      </w:r>
      <w:r w:rsidRPr="00DB5CE8">
        <w:rPr>
          <w:rFonts w:cs="Arial"/>
          <w:i/>
        </w:rPr>
        <w:t>Research to improve treatment of faults and aquitards in Australian regional groundwater models to improve assessment of impacts of CSG extraction</w:t>
      </w:r>
      <w:r>
        <w:t xml:space="preserve">” </w:t>
      </w:r>
      <w:r w:rsidRPr="00DB5CE8">
        <w:rPr>
          <w:rFonts w:cs="Arial"/>
        </w:rPr>
        <w:t xml:space="preserve">focuses on identifying and assessing </w:t>
      </w:r>
      <w:r w:rsidR="008C068F">
        <w:rPr>
          <w:rFonts w:cs="Arial"/>
        </w:rPr>
        <w:t>technical uncertainty</w:t>
      </w:r>
      <w:r w:rsidRPr="00DB5CE8">
        <w:rPr>
          <w:rFonts w:cs="Arial"/>
        </w:rPr>
        <w:t xml:space="preserve"> associated with deep groundwater extraction and depressurisation. Recent research, discussion</w:t>
      </w:r>
      <w:r>
        <w:rPr>
          <w:rFonts w:cs="Arial"/>
        </w:rPr>
        <w:t>s</w:t>
      </w:r>
      <w:r w:rsidRPr="00DB5CE8">
        <w:rPr>
          <w:rFonts w:cs="Arial"/>
        </w:rPr>
        <w:t xml:space="preserve"> with the I</w:t>
      </w:r>
      <w:r>
        <w:rPr>
          <w:rFonts w:cs="Arial"/>
        </w:rPr>
        <w:t xml:space="preserve">ndependent </w:t>
      </w:r>
      <w:r w:rsidRPr="00DB5CE8">
        <w:rPr>
          <w:rFonts w:cs="Arial"/>
        </w:rPr>
        <w:t>E</w:t>
      </w:r>
      <w:r>
        <w:rPr>
          <w:rFonts w:cs="Arial"/>
        </w:rPr>
        <w:t xml:space="preserve">xpert </w:t>
      </w:r>
      <w:r w:rsidRPr="00DB5CE8">
        <w:rPr>
          <w:rFonts w:cs="Arial"/>
        </w:rPr>
        <w:t>S</w:t>
      </w:r>
      <w:r>
        <w:rPr>
          <w:rFonts w:cs="Arial"/>
        </w:rPr>
        <w:t xml:space="preserve">cientific </w:t>
      </w:r>
      <w:r w:rsidRPr="00DB5CE8">
        <w:rPr>
          <w:rFonts w:cs="Arial"/>
        </w:rPr>
        <w:t>C</w:t>
      </w:r>
      <w:r>
        <w:rPr>
          <w:rFonts w:cs="Arial"/>
        </w:rPr>
        <w:t>ommittee on</w:t>
      </w:r>
      <w:r w:rsidRPr="00DB5CE8">
        <w:rPr>
          <w:rFonts w:cs="Arial"/>
        </w:rPr>
        <w:t xml:space="preserve"> </w:t>
      </w:r>
      <w:r>
        <w:rPr>
          <w:rFonts w:cs="Arial"/>
        </w:rPr>
        <w:t xml:space="preserve">coal seam gas and large coal mines (IESC) </w:t>
      </w:r>
      <w:r w:rsidRPr="00DB5CE8">
        <w:rPr>
          <w:rFonts w:cs="Arial"/>
        </w:rPr>
        <w:t>and consultation with industry stakeholders identified the need for a project to specifically add</w:t>
      </w:r>
      <w:r w:rsidR="00AE726F">
        <w:rPr>
          <w:rFonts w:cs="Arial"/>
        </w:rPr>
        <w:t>ress the following three issues:</w:t>
      </w:r>
    </w:p>
    <w:p w14:paraId="27A53086" w14:textId="47FECDDB" w:rsidR="00E21FEF" w:rsidRPr="00E25502" w:rsidRDefault="00E21FEF" w:rsidP="00A63B9F">
      <w:pPr>
        <w:pStyle w:val="ListParagraph"/>
        <w:numPr>
          <w:ilvl w:val="0"/>
          <w:numId w:val="14"/>
        </w:numPr>
        <w:spacing w:after="200" w:line="240" w:lineRule="auto"/>
        <w:ind w:left="567" w:hanging="567"/>
        <w:rPr>
          <w:rFonts w:cs="Arial"/>
        </w:rPr>
      </w:pPr>
      <w:r w:rsidRPr="00E25502">
        <w:rPr>
          <w:rFonts w:cs="Arial"/>
          <w:b/>
        </w:rPr>
        <w:t>Aquitards:</w:t>
      </w:r>
      <w:r w:rsidRPr="00E25502">
        <w:rPr>
          <w:rFonts w:cs="Arial"/>
        </w:rPr>
        <w:t xml:space="preserve"> Improving understanding of vertical hydraulic conductivity in aquitards to examine the </w:t>
      </w:r>
      <w:r w:rsidR="008C068F">
        <w:rPr>
          <w:rFonts w:cs="Arial"/>
        </w:rPr>
        <w:t>nature</w:t>
      </w:r>
      <w:r w:rsidRPr="00E25502">
        <w:rPr>
          <w:rFonts w:cs="Arial"/>
        </w:rPr>
        <w:t xml:space="preserve"> of depressurisation at a range of scales.</w:t>
      </w:r>
    </w:p>
    <w:p w14:paraId="074339E2" w14:textId="266AF85C" w:rsidR="00E21FEF" w:rsidRPr="00E25502" w:rsidRDefault="00E21FEF" w:rsidP="00A63B9F">
      <w:pPr>
        <w:pStyle w:val="ListParagraph"/>
        <w:numPr>
          <w:ilvl w:val="0"/>
          <w:numId w:val="14"/>
        </w:numPr>
        <w:spacing w:after="200" w:line="240" w:lineRule="auto"/>
        <w:ind w:left="567" w:hanging="567"/>
        <w:rPr>
          <w:rFonts w:cs="Arial"/>
        </w:rPr>
      </w:pPr>
      <w:r w:rsidRPr="00E25502">
        <w:rPr>
          <w:rFonts w:cs="Arial"/>
          <w:b/>
        </w:rPr>
        <w:t>Faults:</w:t>
      </w:r>
      <w:r w:rsidRPr="00E25502">
        <w:rPr>
          <w:rFonts w:cs="Arial"/>
        </w:rPr>
        <w:t xml:space="preserve"> Improving methods and processes for assessing fault properties (including sub-seismic) in coal seam gas (CSG) reservoirs and their impact on production performance.  Improving understanding of faults at various scales and their influence on propagating depressurisation to linked aquifers and surface environments. In addition, how do fault properties in the CSG reservoir and adjacent strata impact the</w:t>
      </w:r>
      <w:r w:rsidR="008C068F">
        <w:rPr>
          <w:rFonts w:cs="Arial"/>
        </w:rPr>
        <w:t xml:space="preserve"> nature</w:t>
      </w:r>
      <w:r w:rsidRPr="00E25502">
        <w:rPr>
          <w:rFonts w:cs="Arial"/>
        </w:rPr>
        <w:t xml:space="preserve"> of pressure propagation to adjacent aquifers or even surface </w:t>
      </w:r>
      <w:r w:rsidR="003B1DC9" w:rsidRPr="00E25502">
        <w:rPr>
          <w:rFonts w:cs="Arial"/>
        </w:rPr>
        <w:t>environments?</w:t>
      </w:r>
    </w:p>
    <w:p w14:paraId="3910453B" w14:textId="77777777" w:rsidR="00E21FEF" w:rsidRPr="00E25502" w:rsidRDefault="00E21FEF" w:rsidP="00A63B9F">
      <w:pPr>
        <w:pStyle w:val="ListParagraph"/>
        <w:numPr>
          <w:ilvl w:val="0"/>
          <w:numId w:val="14"/>
        </w:numPr>
        <w:spacing w:after="200" w:line="240" w:lineRule="auto"/>
        <w:ind w:left="567" w:hanging="567"/>
        <w:rPr>
          <w:rFonts w:cs="Arial"/>
        </w:rPr>
      </w:pPr>
      <w:r w:rsidRPr="00E25502">
        <w:rPr>
          <w:rFonts w:cs="Arial"/>
          <w:b/>
        </w:rPr>
        <w:t>Modelling:</w:t>
      </w:r>
      <w:r w:rsidRPr="00E25502">
        <w:rPr>
          <w:rFonts w:cs="Arial"/>
        </w:rPr>
        <w:t xml:space="preserve"> Improved conceptualisation, representation and parameterisation of aquitards and faults in regional groundwater models to improve quantification of predictive uncertainty in regional groundwater flow and pressure simulation.</w:t>
      </w:r>
    </w:p>
    <w:p w14:paraId="403CAFC4" w14:textId="77777777" w:rsidR="001E1768" w:rsidRDefault="00E21FEF" w:rsidP="00A63B9F">
      <w:pPr>
        <w:spacing w:line="240" w:lineRule="auto"/>
      </w:pPr>
      <w:r>
        <w:t xml:space="preserve">This report forms the literature and methodology review of part 2 on Faults. </w:t>
      </w:r>
      <w:r w:rsidRPr="004B1619">
        <w:rPr>
          <w:rFonts w:cs="Arial"/>
          <w:iCs/>
        </w:rPr>
        <w:t xml:space="preserve">For the </w:t>
      </w:r>
      <w:r>
        <w:rPr>
          <w:rFonts w:cs="Arial"/>
          <w:iCs/>
        </w:rPr>
        <w:t>faults component, the project aims to:</w:t>
      </w:r>
    </w:p>
    <w:p w14:paraId="732FC90B" w14:textId="77777777" w:rsidR="00E21FEF" w:rsidRPr="004B1619" w:rsidRDefault="00E21FEF" w:rsidP="00A63B9F">
      <w:pPr>
        <w:pStyle w:val="ListParagraph"/>
        <w:numPr>
          <w:ilvl w:val="0"/>
          <w:numId w:val="15"/>
        </w:numPr>
        <w:spacing w:after="200" w:line="240" w:lineRule="auto"/>
        <w:ind w:left="567" w:hanging="567"/>
        <w:rPr>
          <w:rFonts w:cs="Arial"/>
          <w:sz w:val="22"/>
          <w:szCs w:val="22"/>
        </w:rPr>
      </w:pPr>
      <w:r w:rsidRPr="004B1619">
        <w:rPr>
          <w:rFonts w:cs="Arial"/>
          <w:sz w:val="22"/>
          <w:szCs w:val="22"/>
        </w:rPr>
        <w:t>Develop conceptual representations of different groundwater flow conditions associated with faults in sedimentary basins, including their influence on connectivity within individual formations, between formations, and between groundwater and surface water environments</w:t>
      </w:r>
      <w:r>
        <w:rPr>
          <w:rFonts w:cs="Arial"/>
          <w:sz w:val="22"/>
          <w:szCs w:val="22"/>
        </w:rPr>
        <w:t>;</w:t>
      </w:r>
    </w:p>
    <w:p w14:paraId="0B4098D8" w14:textId="77777777" w:rsidR="00E21FEF" w:rsidRPr="004B1619" w:rsidRDefault="00E21FEF" w:rsidP="00A63B9F">
      <w:pPr>
        <w:pStyle w:val="ListParagraph"/>
        <w:numPr>
          <w:ilvl w:val="0"/>
          <w:numId w:val="15"/>
        </w:numPr>
        <w:spacing w:after="200" w:line="240" w:lineRule="auto"/>
        <w:ind w:left="567" w:hanging="567"/>
        <w:rPr>
          <w:rFonts w:cs="Arial"/>
          <w:sz w:val="22"/>
          <w:szCs w:val="22"/>
        </w:rPr>
      </w:pPr>
      <w:r w:rsidRPr="004B1619">
        <w:rPr>
          <w:rFonts w:cs="Arial"/>
          <w:sz w:val="22"/>
          <w:szCs w:val="22"/>
        </w:rPr>
        <w:t xml:space="preserve">Demonstrate new methods for </w:t>
      </w:r>
      <w:r>
        <w:rPr>
          <w:rFonts w:cs="Arial"/>
          <w:sz w:val="22"/>
          <w:szCs w:val="22"/>
        </w:rPr>
        <w:t xml:space="preserve">generating </w:t>
      </w:r>
      <w:r w:rsidRPr="004B1619">
        <w:rPr>
          <w:rFonts w:cs="Arial"/>
          <w:sz w:val="22"/>
          <w:szCs w:val="22"/>
        </w:rPr>
        <w:t xml:space="preserve">fault </w:t>
      </w:r>
      <w:r>
        <w:rPr>
          <w:rFonts w:cs="Arial"/>
          <w:sz w:val="22"/>
          <w:szCs w:val="22"/>
        </w:rPr>
        <w:t>architecture and frequency in regional scale reservoir-type models;</w:t>
      </w:r>
    </w:p>
    <w:p w14:paraId="48345509" w14:textId="77777777" w:rsidR="00E21FEF" w:rsidRPr="004B1619" w:rsidRDefault="00E21FEF" w:rsidP="00A63B9F">
      <w:pPr>
        <w:pStyle w:val="ListParagraph"/>
        <w:numPr>
          <w:ilvl w:val="0"/>
          <w:numId w:val="15"/>
        </w:numPr>
        <w:spacing w:after="200" w:line="240" w:lineRule="auto"/>
        <w:ind w:left="567" w:hanging="567"/>
        <w:rPr>
          <w:rFonts w:cs="Arial"/>
          <w:sz w:val="22"/>
          <w:szCs w:val="22"/>
        </w:rPr>
      </w:pPr>
      <w:r w:rsidRPr="004B1619">
        <w:rPr>
          <w:rFonts w:cs="Arial"/>
          <w:sz w:val="22"/>
          <w:szCs w:val="22"/>
        </w:rPr>
        <w:lastRenderedPageBreak/>
        <w:t xml:space="preserve">Demonstrate new methods for characterizing </w:t>
      </w:r>
      <w:r>
        <w:rPr>
          <w:rFonts w:cs="Arial"/>
          <w:sz w:val="22"/>
          <w:szCs w:val="22"/>
        </w:rPr>
        <w:t xml:space="preserve">hydraulic behaviour of </w:t>
      </w:r>
      <w:r w:rsidRPr="004B1619">
        <w:rPr>
          <w:rFonts w:cs="Arial"/>
          <w:sz w:val="22"/>
          <w:szCs w:val="22"/>
        </w:rPr>
        <w:t xml:space="preserve">fault zones and their representation in </w:t>
      </w:r>
      <w:r>
        <w:rPr>
          <w:rFonts w:cs="Arial"/>
          <w:sz w:val="22"/>
          <w:szCs w:val="22"/>
        </w:rPr>
        <w:t>reservoir-type models;</w:t>
      </w:r>
    </w:p>
    <w:p w14:paraId="1AAF0773" w14:textId="77777777" w:rsidR="00E21FEF" w:rsidRPr="004B1619" w:rsidRDefault="00E21FEF" w:rsidP="00A63B9F">
      <w:pPr>
        <w:pStyle w:val="ListParagraph"/>
        <w:numPr>
          <w:ilvl w:val="0"/>
          <w:numId w:val="15"/>
        </w:numPr>
        <w:spacing w:after="200" w:line="240" w:lineRule="auto"/>
        <w:ind w:left="567" w:hanging="567"/>
        <w:rPr>
          <w:rFonts w:cs="Arial"/>
          <w:sz w:val="22"/>
          <w:szCs w:val="22"/>
        </w:rPr>
      </w:pPr>
      <w:r w:rsidRPr="004B1619">
        <w:rPr>
          <w:rFonts w:cs="Arial"/>
          <w:sz w:val="22"/>
          <w:szCs w:val="22"/>
        </w:rPr>
        <w:t xml:space="preserve">Predict hydraulic behaviour of fault and fracture systems in </w:t>
      </w:r>
      <w:r>
        <w:rPr>
          <w:rFonts w:cs="Arial"/>
          <w:sz w:val="22"/>
          <w:szCs w:val="22"/>
        </w:rPr>
        <w:t>reservoir-type</w:t>
      </w:r>
      <w:r w:rsidRPr="004B1619">
        <w:rPr>
          <w:rFonts w:cs="Arial"/>
          <w:sz w:val="22"/>
          <w:szCs w:val="22"/>
        </w:rPr>
        <w:t xml:space="preserve"> models incorporating stress field analysis</w:t>
      </w:r>
      <w:r>
        <w:rPr>
          <w:rFonts w:cs="Arial"/>
          <w:sz w:val="22"/>
          <w:szCs w:val="22"/>
        </w:rPr>
        <w:t xml:space="preserve"> and effect of stress changes on fault hydraulic behaviour;</w:t>
      </w:r>
    </w:p>
    <w:p w14:paraId="3B865634" w14:textId="61965066" w:rsidR="00C51988" w:rsidRPr="003B1DC9" w:rsidRDefault="006F273C" w:rsidP="00A63B9F">
      <w:pPr>
        <w:pStyle w:val="ListParagraph"/>
        <w:numPr>
          <w:ilvl w:val="0"/>
          <w:numId w:val="15"/>
        </w:numPr>
        <w:spacing w:after="200" w:line="240" w:lineRule="auto"/>
        <w:ind w:left="567" w:hanging="567"/>
        <w:rPr>
          <w:rFonts w:cs="Arial"/>
          <w:sz w:val="22"/>
          <w:szCs w:val="22"/>
        </w:rPr>
      </w:pPr>
      <w:r>
        <w:rPr>
          <w:rFonts w:cs="Arial"/>
          <w:sz w:val="22"/>
          <w:szCs w:val="22"/>
        </w:rPr>
        <w:t>Undertake n</w:t>
      </w:r>
      <w:r w:rsidR="00E21FEF" w:rsidRPr="004B1619">
        <w:rPr>
          <w:rFonts w:cs="Arial"/>
          <w:sz w:val="22"/>
          <w:szCs w:val="22"/>
        </w:rPr>
        <w:t xml:space="preserve">umerical simulations and upscaling of </w:t>
      </w:r>
      <w:r w:rsidR="00E21FEF">
        <w:rPr>
          <w:rFonts w:cs="Arial"/>
          <w:sz w:val="22"/>
          <w:szCs w:val="22"/>
        </w:rPr>
        <w:t xml:space="preserve">the high-resolution </w:t>
      </w:r>
      <w:r w:rsidR="00E21FEF" w:rsidRPr="004B1619">
        <w:rPr>
          <w:rFonts w:cs="Arial"/>
          <w:sz w:val="22"/>
          <w:szCs w:val="22"/>
        </w:rPr>
        <w:t>fault and fracture systems</w:t>
      </w:r>
      <w:r w:rsidR="00E21FEF">
        <w:rPr>
          <w:rFonts w:cs="Arial"/>
          <w:sz w:val="22"/>
          <w:szCs w:val="22"/>
        </w:rPr>
        <w:t xml:space="preserve"> architecture and hydraulic behaviour into a cellular groundwater flow model.</w:t>
      </w:r>
    </w:p>
    <w:p w14:paraId="2BA5CA01" w14:textId="6C242309" w:rsidR="00BF2B08" w:rsidRDefault="009D733F" w:rsidP="00A63B9F">
      <w:pPr>
        <w:spacing w:line="240" w:lineRule="auto"/>
      </w:pPr>
      <w:r>
        <w:t>There are two categories of potential impact to groundwater resources</w:t>
      </w:r>
      <w:r w:rsidR="00A90192">
        <w:t xml:space="preserve"> via faults</w:t>
      </w:r>
      <w:r>
        <w:t xml:space="preserve"> from CSG development that we consider: 1) aquifer pressure depletion, and 2) increased meth</w:t>
      </w:r>
      <w:r w:rsidR="00A90192">
        <w:t xml:space="preserve">ane either dissolved in groundwater or as a free phase. </w:t>
      </w:r>
      <w:r w:rsidR="00676C38">
        <w:t xml:space="preserve">The physical drivers for these </w:t>
      </w:r>
      <w:r w:rsidR="00A90192">
        <w:t>potential impacts</w:t>
      </w:r>
      <w:r w:rsidR="00676C38">
        <w:t xml:space="preserve"> </w:t>
      </w:r>
      <w:r w:rsidR="00A90192">
        <w:t>are</w:t>
      </w:r>
      <w:r w:rsidR="00A440CE">
        <w:t xml:space="preserve"> forces derived from variations in </w:t>
      </w:r>
      <w:r w:rsidR="00676C38">
        <w:t xml:space="preserve">pressure, buoyancy (density), </w:t>
      </w:r>
      <w:r w:rsidR="00A440CE">
        <w:t>wettability (</w:t>
      </w:r>
      <w:r w:rsidR="008319F8">
        <w:t>capillarity</w:t>
      </w:r>
      <w:r w:rsidR="00A440CE">
        <w:t>)</w:t>
      </w:r>
      <w:r w:rsidR="008319F8">
        <w:t xml:space="preserve"> </w:t>
      </w:r>
      <w:r w:rsidR="00676C38">
        <w:t>or concentration</w:t>
      </w:r>
      <w:r w:rsidR="00C81968">
        <w:t>;</w:t>
      </w:r>
      <w:r w:rsidR="00676C38">
        <w:t xml:space="preserve"> the rate of transmission</w:t>
      </w:r>
      <w:r w:rsidR="008319F8">
        <w:t xml:space="preserve"> is dependent on the transient distribution of rock and fluid properties.  </w:t>
      </w:r>
      <w:r w:rsidR="00BF2B08">
        <w:t xml:space="preserve">The </w:t>
      </w:r>
      <w:r w:rsidR="00331A3F">
        <w:t>magnitude of any one of these driving forces</w:t>
      </w:r>
      <w:r w:rsidR="00BF2B08">
        <w:t xml:space="preserve"> necessarily increases with proximity to the</w:t>
      </w:r>
      <w:r w:rsidR="008319F8">
        <w:t xml:space="preserve"> </w:t>
      </w:r>
      <w:r w:rsidR="00F277E7">
        <w:t xml:space="preserve">produced </w:t>
      </w:r>
      <w:r w:rsidR="008319F8">
        <w:t xml:space="preserve">CSG reservoir along </w:t>
      </w:r>
      <w:r w:rsidR="00BF2B08">
        <w:t>the transmission vector.</w:t>
      </w:r>
    </w:p>
    <w:p w14:paraId="12435C49" w14:textId="39F47AC8" w:rsidR="008319F8" w:rsidRDefault="00C51988" w:rsidP="00A63B9F">
      <w:pPr>
        <w:spacing w:line="240" w:lineRule="auto"/>
      </w:pPr>
      <w:r>
        <w:t>T</w:t>
      </w:r>
      <w:r w:rsidR="008319F8">
        <w:t xml:space="preserve">he nature of </w:t>
      </w:r>
      <w:r w:rsidR="00846019">
        <w:t xml:space="preserve">fault transmission </w:t>
      </w:r>
      <w:r w:rsidR="00E72BC0">
        <w:t>pathways is</w:t>
      </w:r>
      <w:r w:rsidR="008319F8">
        <w:t xml:space="preserve"> investigated in this literature review and summary.  In order to </w:t>
      </w:r>
      <w:r w:rsidR="00AE50D9">
        <w:t xml:space="preserve">improve our ability to represent faults in regional groundwater flow models we </w:t>
      </w:r>
      <w:r w:rsidR="000820FD">
        <w:t xml:space="preserve">must </w:t>
      </w:r>
      <w:r w:rsidR="00AE50D9">
        <w:t xml:space="preserve">first understand the physical characteristics of faults in different geological settings and the data required to characterise them.  We then link this with the various fluid properties (water and its constituents, hydrocarbons and non-hydrocarbon gas) and the transient processes important </w:t>
      </w:r>
      <w:r w:rsidR="008C0916">
        <w:t xml:space="preserve">in </w:t>
      </w:r>
      <w:r w:rsidR="00AE50D9">
        <w:t>governing the movement of various fluids within the faulted rock framework.  With this theoretical understanding of faults and fluids</w:t>
      </w:r>
      <w:r w:rsidR="00A440CE">
        <w:t xml:space="preserve"> established with the best current knowledge</w:t>
      </w:r>
      <w:r w:rsidR="00AE50D9">
        <w:t xml:space="preserve">, we can then a) examine case studies with example data sets </w:t>
      </w:r>
      <w:r w:rsidR="004D712D">
        <w:t>having</w:t>
      </w:r>
      <w:r w:rsidR="00734652">
        <w:t xml:space="preserve"> an eye to understanding </w:t>
      </w:r>
      <w:r w:rsidR="00A440CE">
        <w:t xml:space="preserve">the utilisation of </w:t>
      </w:r>
      <w:r w:rsidR="00734652">
        <w:t>data and field observations to validate and calibrate the conceptual</w:t>
      </w:r>
      <w:r w:rsidR="008C0916">
        <w:t xml:space="preserve"> fault</w:t>
      </w:r>
      <w:r w:rsidR="00734652">
        <w:t xml:space="preserve"> model</w:t>
      </w:r>
      <w:r w:rsidR="00A440CE">
        <w:t>s</w:t>
      </w:r>
      <w:r w:rsidR="00734652">
        <w:t xml:space="preserve">; and b) </w:t>
      </w:r>
      <w:r w:rsidR="00AE50D9">
        <w:t xml:space="preserve">contemplate which methodologies and </w:t>
      </w:r>
      <w:r w:rsidR="00734652">
        <w:t>procedures</w:t>
      </w:r>
      <w:r w:rsidR="00A440CE">
        <w:t xml:space="preserve"> </w:t>
      </w:r>
      <w:r w:rsidR="00AE50D9">
        <w:t xml:space="preserve">are most appropriate for </w:t>
      </w:r>
      <w:r w:rsidR="00734652">
        <w:t>incorporating fault zone characteristics into predictive regional groundwater flow simulators.</w:t>
      </w:r>
    </w:p>
    <w:p w14:paraId="3D3820C8" w14:textId="1FDD3C75" w:rsidR="00734652" w:rsidRDefault="005B0C74" w:rsidP="00A63B9F">
      <w:pPr>
        <w:spacing w:line="240" w:lineRule="auto"/>
      </w:pPr>
      <w:r>
        <w:t xml:space="preserve">The literature review conducted here recognises that </w:t>
      </w:r>
      <w:r w:rsidR="0066745A">
        <w:t>the majority</w:t>
      </w:r>
      <w:r>
        <w:t xml:space="preserve"> of research on</w:t>
      </w:r>
      <w:r w:rsidR="00FA2DCD">
        <w:t xml:space="preserve"> predicting</w:t>
      </w:r>
      <w:r>
        <w:t xml:space="preserve"> fault</w:t>
      </w:r>
      <w:r w:rsidR="00FA2DCD">
        <w:t xml:space="preserve"> seal</w:t>
      </w:r>
      <w:r w:rsidR="008C0916">
        <w:t xml:space="preserve"> characteristics</w:t>
      </w:r>
      <w:r>
        <w:t xml:space="preserve"> comes from the conventional oil and gas domain.</w:t>
      </w:r>
      <w:r w:rsidR="00FA2DCD">
        <w:t xml:space="preserve"> It should also be noted that there is an even larger historical body of work related to structural geology upon which </w:t>
      </w:r>
      <w:r w:rsidR="008C0916">
        <w:t>most</w:t>
      </w:r>
      <w:r w:rsidR="00FA2DCD">
        <w:t xml:space="preserve"> fault seal analysis research is based.</w:t>
      </w:r>
      <w:r w:rsidR="002018D4">
        <w:t xml:space="preserve"> Finally, there is a body of work related to the characterisation of groundwater springs and how these may relate to discharge up faults.</w:t>
      </w:r>
      <w:r w:rsidR="0020078E">
        <w:t xml:space="preserve"> In the conventional oil and gas domain the primary objective is to understand and predict fault seal capacity to hydrocarbons in advance of drilling.  However to do this</w:t>
      </w:r>
      <w:r w:rsidR="002018D4">
        <w:t>,</w:t>
      </w:r>
      <w:r w:rsidR="0020078E">
        <w:t xml:space="preserve"> relies fundamentally on predicting fault rock</w:t>
      </w:r>
      <w:r w:rsidR="00185803">
        <w:t xml:space="preserve"> properties such as permeability</w:t>
      </w:r>
      <w:r w:rsidR="0020078E">
        <w:t>.  We can</w:t>
      </w:r>
      <w:r w:rsidR="004D712D">
        <w:t xml:space="preserve"> use the same approaches</w:t>
      </w:r>
      <w:r w:rsidR="0020078E">
        <w:t xml:space="preserve"> for predicting fault rock permeability but then apply this knowledge to characterising the degree of compartmentalisation or connectedness of aquifer systems </w:t>
      </w:r>
      <w:r w:rsidR="00185803">
        <w:t>with</w:t>
      </w:r>
      <w:r w:rsidR="0020078E">
        <w:t xml:space="preserve"> coal seam gas strata.  This knowledge will aid in realistic parameterisation of regional groundwater flow models</w:t>
      </w:r>
      <w:r w:rsidR="00185803">
        <w:t>.</w:t>
      </w:r>
    </w:p>
    <w:p w14:paraId="32860699" w14:textId="77777777" w:rsidR="001E1768" w:rsidRDefault="0005659B" w:rsidP="00E25502">
      <w:pPr>
        <w:pStyle w:val="Heading1"/>
      </w:pPr>
      <w:bookmarkStart w:id="439" w:name="_Toc442351502"/>
      <w:r>
        <w:t>Assumptions</w:t>
      </w:r>
      <w:r w:rsidR="0046521F">
        <w:t xml:space="preserve"> and Methodology</w:t>
      </w:r>
      <w:bookmarkEnd w:id="439"/>
    </w:p>
    <w:p w14:paraId="5AB7F100" w14:textId="77777777" w:rsidR="0005659B" w:rsidRDefault="0005659B" w:rsidP="00A63B9F">
      <w:pPr>
        <w:spacing w:line="240" w:lineRule="auto"/>
      </w:pPr>
      <w:r>
        <w:t>In this review we assume that the primary intent is to try and more accurately estimate the hydraulic properties and characteristics of faults and that we need to do this for a multiphase system that contains both formation water and hydrocarbons.</w:t>
      </w:r>
    </w:p>
    <w:p w14:paraId="5DA56989" w14:textId="77777777" w:rsidR="0005659B" w:rsidRDefault="0005659B" w:rsidP="00A63B9F">
      <w:pPr>
        <w:spacing w:line="240" w:lineRule="auto"/>
      </w:pPr>
      <w:r>
        <w:t>In order to assess the hydraulic properties of faults it is important to first consider</w:t>
      </w:r>
      <w:r w:rsidR="00B92752">
        <w:t xml:space="preserve"> the time-scale in question and which type of data apply to </w:t>
      </w:r>
      <w:r w:rsidR="00185803">
        <w:t>each</w:t>
      </w:r>
      <w:r w:rsidR="00B92752">
        <w:t xml:space="preserve"> time-scale.  These could be:</w:t>
      </w:r>
    </w:p>
    <w:p w14:paraId="2DCE931F" w14:textId="4812A50F" w:rsidR="001E1768" w:rsidRDefault="00B92752" w:rsidP="00A63B9F">
      <w:pPr>
        <w:pStyle w:val="ListParagraph"/>
        <w:numPr>
          <w:ilvl w:val="0"/>
          <w:numId w:val="12"/>
        </w:numPr>
        <w:spacing w:line="240" w:lineRule="auto"/>
      </w:pPr>
      <w:r>
        <w:t>Geological time-scale where we use data that has not been affected by production of water or hydrocarbon</w:t>
      </w:r>
      <w:r w:rsidR="00185803">
        <w:t>s</w:t>
      </w:r>
      <w:r w:rsidR="00E02058">
        <w:t>; and</w:t>
      </w:r>
    </w:p>
    <w:p w14:paraId="68EEEABE" w14:textId="0CBD0A76" w:rsidR="001E1768" w:rsidRDefault="00B92752" w:rsidP="00A63B9F">
      <w:pPr>
        <w:pStyle w:val="ListParagraph"/>
        <w:numPr>
          <w:ilvl w:val="0"/>
          <w:numId w:val="12"/>
        </w:numPr>
        <w:spacing w:line="240" w:lineRule="auto"/>
      </w:pPr>
      <w:r>
        <w:t xml:space="preserve">Human time-scale where we are interested in fault seal performance </w:t>
      </w:r>
      <w:r w:rsidR="00E72BC0">
        <w:t>over periods of years to tens of years</w:t>
      </w:r>
      <w:r>
        <w:t>.</w:t>
      </w:r>
    </w:p>
    <w:p w14:paraId="30B07D1A" w14:textId="11B3458E" w:rsidR="008B5BDA" w:rsidRDefault="008B5BDA" w:rsidP="00A63B9F">
      <w:pPr>
        <w:spacing w:line="240" w:lineRule="auto"/>
      </w:pPr>
      <w:r>
        <w:t>In order to gain an understanding of the fault systems we take the approach of first examining data (pre-Production) that can provide information</w:t>
      </w:r>
      <w:r w:rsidR="002C49C5">
        <w:t>/evidence</w:t>
      </w:r>
      <w:r>
        <w:t xml:space="preserve"> on the hydraulic properties of faults at the geological time scale.  With this characterisation, we can then consider how these hydraulic properties will manifest in human time-scale fault seal performance and if the rock properties themselves are transiently affected by anthropogenic</w:t>
      </w:r>
      <w:r w:rsidR="00056F98">
        <w:t xml:space="preserve"> changes o</w:t>
      </w:r>
      <w:r w:rsidR="00185803">
        <w:t xml:space="preserve">f formation pressure. </w:t>
      </w:r>
      <w:r w:rsidR="00185803" w:rsidRPr="00185803">
        <w:t xml:space="preserve"> </w:t>
      </w:r>
      <w:r w:rsidR="00185803">
        <w:t xml:space="preserve">In the situation where formation pressure may be changing over time, this results in changes to the effective stress in the sub-surface and a change in effective stress can result in a change in permeability.  To understand fluid flow in regional groundwater models in a situation </w:t>
      </w:r>
      <w:r w:rsidR="00185803">
        <w:lastRenderedPageBreak/>
        <w:t>where both in-situ stress and permeability are transient</w:t>
      </w:r>
      <w:r w:rsidR="004D712D">
        <w:t>, it</w:t>
      </w:r>
      <w:r w:rsidR="00185803">
        <w:t xml:space="preserve"> may require a dynamic permeability update at certain time steps of the</w:t>
      </w:r>
      <w:r w:rsidR="004D712D">
        <w:t xml:space="preserve"> groundwater</w:t>
      </w:r>
      <w:r w:rsidR="00185803">
        <w:t xml:space="preserve"> flow model.</w:t>
      </w:r>
    </w:p>
    <w:p w14:paraId="7DBC0E81" w14:textId="6AD9FB70" w:rsidR="008B5BDA" w:rsidRDefault="008B5BDA" w:rsidP="00A63B9F">
      <w:pPr>
        <w:spacing w:line="240" w:lineRule="auto"/>
      </w:pPr>
      <w:r>
        <w:t>To gain an understanding</w:t>
      </w:r>
      <w:r w:rsidR="00F30430">
        <w:t xml:space="preserve"> of</w:t>
      </w:r>
      <w:r>
        <w:t xml:space="preserve"> fault hydraulic properties</w:t>
      </w:r>
      <w:r w:rsidR="002C49C5">
        <w:t xml:space="preserve"> there are two main sets of observations that provide direct evidence: 1) </w:t>
      </w:r>
      <w:r>
        <w:t>observations of hydroca</w:t>
      </w:r>
      <w:r w:rsidR="00056F98">
        <w:t>rbon interactions with faults at</w:t>
      </w:r>
      <w:r>
        <w:t xml:space="preserve"> geological time-scales</w:t>
      </w:r>
      <w:r w:rsidR="002C49C5">
        <w:t xml:space="preserve">, and </w:t>
      </w:r>
      <w:r w:rsidR="003E67C2">
        <w:t xml:space="preserve">2) </w:t>
      </w:r>
      <w:r w:rsidR="002C49C5">
        <w:t>observations of springs that discharge to surface along faults</w:t>
      </w:r>
      <w:r w:rsidR="00056F98">
        <w:t xml:space="preserve"> at human time scales</w:t>
      </w:r>
      <w:r>
        <w:t>.  We therefore have a strong focus of utilising these systems to define our analytic</w:t>
      </w:r>
      <w:r w:rsidR="002C49C5">
        <w:t>al methodologies.  T</w:t>
      </w:r>
      <w:r>
        <w:t>he rock properties that we can estimate</w:t>
      </w:r>
      <w:r w:rsidR="00C771FF">
        <w:t xml:space="preserve"> with these methodologies </w:t>
      </w:r>
      <w:r w:rsidR="00056F98">
        <w:t>can</w:t>
      </w:r>
      <w:r w:rsidR="00C771FF">
        <w:t xml:space="preserve"> then also </w:t>
      </w:r>
      <w:r w:rsidR="00056F98">
        <w:t>be applied</w:t>
      </w:r>
      <w:r w:rsidR="00C771FF">
        <w:t xml:space="preserve"> to</w:t>
      </w:r>
      <w:r w:rsidR="00D65E41">
        <w:t xml:space="preserve"> faults within</w:t>
      </w:r>
      <w:r w:rsidR="00C771FF">
        <w:t xml:space="preserve"> formation water</w:t>
      </w:r>
      <w:r w:rsidR="00D65E41">
        <w:t xml:space="preserve"> flow systems represented by</w:t>
      </w:r>
      <w:r w:rsidR="00C771FF">
        <w:t xml:space="preserve"> regional groundwater models.</w:t>
      </w:r>
    </w:p>
    <w:p w14:paraId="7BF80703" w14:textId="5E973CB5" w:rsidR="00F30430" w:rsidRDefault="00B92752" w:rsidP="003B1DC9">
      <w:pPr>
        <w:pStyle w:val="Heading1"/>
      </w:pPr>
      <w:r>
        <w:t xml:space="preserve"> </w:t>
      </w:r>
      <w:bookmarkStart w:id="440" w:name="_Toc442351503"/>
      <w:r w:rsidR="00F30430">
        <w:t>Definitions and Terminology</w:t>
      </w:r>
      <w:bookmarkEnd w:id="440"/>
    </w:p>
    <w:p w14:paraId="7531FE24" w14:textId="4B470A7D" w:rsidR="001E1768" w:rsidRDefault="00F30430" w:rsidP="00A63B9F">
      <w:pPr>
        <w:spacing w:line="240" w:lineRule="auto"/>
      </w:pPr>
      <w:r>
        <w:t xml:space="preserve">This report is aimed </w:t>
      </w:r>
      <w:r w:rsidR="00D65E41">
        <w:t xml:space="preserve">at </w:t>
      </w:r>
      <w:r>
        <w:t>understanding techniques and methodologies that can be used, adapted or developed to improve the characterisation of fault</w:t>
      </w:r>
      <w:r w:rsidR="00E72BC0">
        <w:t>s</w:t>
      </w:r>
      <w:r>
        <w:t xml:space="preserve"> and their inclusion in regional groundwater models.</w:t>
      </w:r>
      <w:r w:rsidR="00E05BEF">
        <w:t xml:space="preserve"> Much of the previous work on prediction of fault properties comes from the petroleum engineering or oil and gas exploration literature. Groundwater resources professionals often use terminology that is</w:t>
      </w:r>
      <w:r w:rsidR="00D65E41">
        <w:t xml:space="preserve"> equivalent but</w:t>
      </w:r>
      <w:r w:rsidR="00E05BEF">
        <w:t xml:space="preserve"> different from engineers and geologists working in the oil and gas industry.  As such, it is worth-while to clarify some terminology that will be used in this report.</w:t>
      </w:r>
    </w:p>
    <w:p w14:paraId="19EF9541" w14:textId="5498765B" w:rsidR="001E1768" w:rsidRDefault="000D25CA" w:rsidP="00A63B9F">
      <w:pPr>
        <w:spacing w:line="240" w:lineRule="auto"/>
      </w:pPr>
      <w:r w:rsidRPr="00C261E4">
        <w:rPr>
          <w:b/>
        </w:rPr>
        <w:t>Reservoir vs Aquifer</w:t>
      </w:r>
      <w:r>
        <w:t>: Hydrogeologists use the</w:t>
      </w:r>
      <w:r w:rsidR="0030466A">
        <w:t xml:space="preserve"> generic</w:t>
      </w:r>
      <w:r>
        <w:t xml:space="preserve"> term “Aquifer” to refer to a stratigraphic rock unit</w:t>
      </w:r>
      <w:r w:rsidR="00D65E41">
        <w:t xml:space="preserve"> having hydraulic properties such that</w:t>
      </w:r>
      <w:r>
        <w:t xml:space="preserve"> useable groundwater volumes can be produced.  This is roughly equivalent to the</w:t>
      </w:r>
      <w:r w:rsidR="0030466A">
        <w:t xml:space="preserve"> generic</w:t>
      </w:r>
      <w:r>
        <w:t xml:space="preserve"> term “Conventional Reservoir” </w:t>
      </w:r>
      <w:r w:rsidR="0030466A">
        <w:t>used by</w:t>
      </w:r>
      <w:r>
        <w:t xml:space="preserve"> oil and gas professionals where the reservoir rock has hydraulic properties from which oil or gas can be economically extracted.  Both reservoir and aquifer terminology can have modifier descriptors that indicate a range of characteristics such as “good aquifer” or “poor aquifer”</w:t>
      </w:r>
      <w:r w:rsidR="0030466A">
        <w:t xml:space="preserve"> or “excellent reservoir” or “marginal reservoir”.</w:t>
      </w:r>
    </w:p>
    <w:p w14:paraId="69E58BC4" w14:textId="2701D901" w:rsidR="00535FAA" w:rsidRDefault="000D25CA" w:rsidP="00A63B9F">
      <w:pPr>
        <w:spacing w:line="240" w:lineRule="auto"/>
      </w:pPr>
      <w:r w:rsidRPr="00C261E4">
        <w:rPr>
          <w:b/>
        </w:rPr>
        <w:t>Seal vs Aquitard</w:t>
      </w:r>
      <w:r>
        <w:t>: Hydrogeologists use the</w:t>
      </w:r>
      <w:r w:rsidR="0030466A">
        <w:t xml:space="preserve"> generic</w:t>
      </w:r>
      <w:r>
        <w:t xml:space="preserve"> term “Aquitard” to refer to a stratigraphic unit</w:t>
      </w:r>
      <w:r w:rsidR="00535FAA">
        <w:t xml:space="preserve"> having hydraulic properties such that</w:t>
      </w:r>
      <w:r>
        <w:t xml:space="preserve"> no appreciable groundwater can be produced but which allows</w:t>
      </w:r>
      <w:r w:rsidR="00535FAA">
        <w:t xml:space="preserve"> formation water</w:t>
      </w:r>
      <w:r>
        <w:t xml:space="preserve"> leakage over longer time-scales.  This is roughly equivalent</w:t>
      </w:r>
      <w:r w:rsidR="0030466A">
        <w:t xml:space="preserve"> to the generic term “Seal” used by oil and gas professionals where the seal rock has hydraulic properties which trap or prevent the migration of oil or gas. Both aquitard and seal terminology can have modifier descriptors that indicate a range of characteristics such as “strong aquitard” or “weak aquitard” or “tight seal” or “leaky seal”.</w:t>
      </w:r>
      <w:r w:rsidR="00535FAA">
        <w:t xml:space="preserve">  Additionally, hydrogeologists often refer to an “Aquiclude” as a stratigraphic unit with such low permeability that no leakage of formation water can occur across it.  Given long enough observational time-scales very few strata can be considered aquicludes by the strict definition however strata such as ev</w:t>
      </w:r>
      <w:r w:rsidR="00E72BC0">
        <w:t>apori</w:t>
      </w:r>
      <w:r w:rsidR="00535FAA">
        <w:t>te horizons may qualify.</w:t>
      </w:r>
    </w:p>
    <w:p w14:paraId="3253746C" w14:textId="202372B2" w:rsidR="00972E77" w:rsidRDefault="00972E77" w:rsidP="00A63B9F">
      <w:pPr>
        <w:spacing w:line="240" w:lineRule="auto"/>
      </w:pPr>
      <w:r w:rsidRPr="00C261E4">
        <w:rPr>
          <w:b/>
        </w:rPr>
        <w:t>Multi-Phase Flow vs NAPL or DNAPL</w:t>
      </w:r>
      <w:r>
        <w:t>: Contaminant hydrogeologists often deal with Non-Aqueous-Phase-Liquids (NAPL’s) or Dense-Non-Aqueous-Phase-Liquids (DNAPL’s) where fluid viscosity and surface tension are important to understand capillary forces.  The equivalent for Oil and Gas industry professionals is multi-phase flow where the wettability (contact angle between the formation water, the hydrocarbon and the mineral surfac</w:t>
      </w:r>
      <w:r w:rsidR="00B71996">
        <w:t>e) of the oil or gas phase</w:t>
      </w:r>
      <w:r w:rsidR="00535FAA">
        <w:t xml:space="preserve"> relative to formation</w:t>
      </w:r>
      <w:r>
        <w:t xml:space="preserve"> water and the surface tension is related to capillarity. This is often expressed as a “relative permeability” where the permeability of a particular rock </w:t>
      </w:r>
      <w:r w:rsidR="00E72BC0">
        <w:t>differs</w:t>
      </w:r>
      <w:r>
        <w:t xml:space="preserve"> depending on the characteristics and physical properties of the fluid in question.</w:t>
      </w:r>
    </w:p>
    <w:p w14:paraId="46A62249" w14:textId="04093F42" w:rsidR="00972E77" w:rsidRDefault="00972E77" w:rsidP="00A63B9F">
      <w:pPr>
        <w:spacing w:line="240" w:lineRule="auto"/>
      </w:pPr>
      <w:r w:rsidRPr="00C261E4">
        <w:rPr>
          <w:b/>
        </w:rPr>
        <w:t>Formation Pressure vs Water Level</w:t>
      </w:r>
      <w:r w:rsidR="009C69C0">
        <w:t>: H</w:t>
      </w:r>
      <w:r>
        <w:t>ydrogeologists dealing with water bores often</w:t>
      </w:r>
      <w:r w:rsidR="00E67504">
        <w:t xml:space="preserve"> have</w:t>
      </w:r>
      <w:r w:rsidR="00AF08DE">
        <w:t xml:space="preserve"> physical access to the well-</w:t>
      </w:r>
      <w:r w:rsidR="00E67504">
        <w:t>head and</w:t>
      </w:r>
      <w:r w:rsidR="003E67C2">
        <w:t xml:space="preserve"> can</w:t>
      </w:r>
      <w:r>
        <w:t xml:space="preserve"> measure the standing water level</w:t>
      </w:r>
      <w:r w:rsidR="00E67504">
        <w:t xml:space="preserve"> in a bore</w:t>
      </w:r>
      <w:r w:rsidR="00056F98">
        <w:t xml:space="preserve">. This </w:t>
      </w:r>
      <w:r w:rsidR="003E67C2">
        <w:t xml:space="preserve">value </w:t>
      </w:r>
      <w:r w:rsidR="00056F98">
        <w:t>can be</w:t>
      </w:r>
      <w:r w:rsidR="00E67504">
        <w:t xml:space="preserve"> correct</w:t>
      </w:r>
      <w:r w:rsidR="003E67C2">
        <w:t>ed for density effects and converted to a</w:t>
      </w:r>
      <w:r w:rsidR="00E67504">
        <w:t xml:space="preserve"> hydraulic head </w:t>
      </w:r>
      <w:r w:rsidR="00606AD1">
        <w:t>representative of</w:t>
      </w:r>
      <w:r w:rsidR="00E67504">
        <w:t xml:space="preserve"> the aquifer </w:t>
      </w:r>
      <w:r w:rsidR="00606AD1">
        <w:t>at</w:t>
      </w:r>
      <w:r w:rsidR="00E67504">
        <w:t xml:space="preserve"> the screened interval.  Oil and Gas wells have m</w:t>
      </w:r>
      <w:r w:rsidR="00606AD1">
        <w:t>ultiple</w:t>
      </w:r>
      <w:r w:rsidR="00E67504">
        <w:t xml:space="preserve"> levels of well control to make them safe in the presence of (or potential for the presence of) buoyant and flammable hydrocarbon phases.  </w:t>
      </w:r>
      <w:r w:rsidR="00122354">
        <w:t>For oil and gas wells the formation pressure is measured by downhole devices such as Drill Stem Tests (DST’s)</w:t>
      </w:r>
      <w:r w:rsidR="00777C41">
        <w:t>,</w:t>
      </w:r>
      <w:r w:rsidR="00122354">
        <w:t xml:space="preserve"> Wireline Tests </w:t>
      </w:r>
      <w:r w:rsidR="00606AD1">
        <w:t>(WLT’s such as Modular Dynamic T</w:t>
      </w:r>
      <w:r w:rsidR="00122354">
        <w:t xml:space="preserve">ests (MDT’s) or Repeat Formation Tests (RFT’s)), </w:t>
      </w:r>
      <w:r w:rsidR="00777C41">
        <w:t xml:space="preserve">and </w:t>
      </w:r>
      <w:r w:rsidR="00122354">
        <w:t>production tests or from pressure kicks</w:t>
      </w:r>
      <w:r w:rsidR="00606AD1">
        <w:t xml:space="preserve"> recorded</w:t>
      </w:r>
      <w:r w:rsidR="00122354">
        <w:t xml:space="preserve"> during drilling.  These type</w:t>
      </w:r>
      <w:r w:rsidR="003E67C2">
        <w:t>s</w:t>
      </w:r>
      <w:r w:rsidR="00122354">
        <w:t xml:space="preserve"> of pressure test</w:t>
      </w:r>
      <w:r w:rsidR="003E67C2">
        <w:t>s</w:t>
      </w:r>
      <w:r w:rsidR="00122354">
        <w:t xml:space="preserve"> are often conducted </w:t>
      </w:r>
      <w:r w:rsidR="00E72BC0">
        <w:t>as part of a temporary well completion</w:t>
      </w:r>
      <w:r w:rsidR="00122354">
        <w:t xml:space="preserve"> where a flow and pressure build-up is collected over multiple cycles.  The pressure</w:t>
      </w:r>
      <w:r w:rsidR="00777C41">
        <w:t>-</w:t>
      </w:r>
      <w:r w:rsidR="00122354">
        <w:t>time data often requires extrapolation in a Horner type analysis to estimate the in-situ formation pressure.  The extrapolated formation pressure can be subsequently converted to hydraulic head to understand the fluid potential</w:t>
      </w:r>
      <w:r w:rsidR="003E67C2">
        <w:t xml:space="preserve"> of the aquifer at the completed interval</w:t>
      </w:r>
      <w:r w:rsidR="00122354">
        <w:t>.  These type of test</w:t>
      </w:r>
      <w:r w:rsidR="003E67C2">
        <w:t>s</w:t>
      </w:r>
      <w:r w:rsidR="00122354">
        <w:t xml:space="preserve"> also often provide a fluid sample that can be analysed in the laboratory.</w:t>
      </w:r>
    </w:p>
    <w:p w14:paraId="6E7E1632" w14:textId="71CA092A" w:rsidR="00DC06C3" w:rsidRDefault="00DC06C3" w:rsidP="00A63B9F">
      <w:pPr>
        <w:spacing w:line="240" w:lineRule="auto"/>
      </w:pPr>
      <w:r w:rsidRPr="00C261E4">
        <w:rPr>
          <w:b/>
        </w:rPr>
        <w:lastRenderedPageBreak/>
        <w:t>Membrane Seal vs Capillary Seal</w:t>
      </w:r>
      <w:r>
        <w:t xml:space="preserve">:  These two terms are used interchangeably in the fault seal analysis literature but for simplicity we </w:t>
      </w:r>
      <w:r w:rsidR="00606AD1">
        <w:t>use</w:t>
      </w:r>
      <w:r>
        <w:t xml:space="preserve"> capillary terminology in this report.  All aspects of capillarity are explained in relation to fault seal and multi-phase flow within the text</w:t>
      </w:r>
      <w:r w:rsidR="00606AD1">
        <w:t xml:space="preserve"> to follow</w:t>
      </w:r>
      <w:r>
        <w:t>.</w:t>
      </w:r>
    </w:p>
    <w:p w14:paraId="76266789" w14:textId="1A101324" w:rsidR="0030466A" w:rsidRDefault="00377F94" w:rsidP="00A63B9F">
      <w:pPr>
        <w:spacing w:line="240" w:lineRule="auto"/>
      </w:pPr>
      <w:r w:rsidRPr="00C261E4">
        <w:rPr>
          <w:b/>
        </w:rPr>
        <w:t>Water Bore or Monitoring Bore vs Oil or Gas Well</w:t>
      </w:r>
      <w:r>
        <w:t>:  The groundwater industry normally refers to “bores” and the oil and gas industry refers to “wells”.  Whilst basically the same concept they tend to have very different design.  Water bores m</w:t>
      </w:r>
      <w:r w:rsidR="00B71996">
        <w:t>ay or may not be cased, they</w:t>
      </w:r>
      <w:r>
        <w:t xml:space="preserve"> may or may not have a well head that can control pressure, and they more than likely have a </w:t>
      </w:r>
      <w:r w:rsidR="00F3295D">
        <w:t>filter pack and</w:t>
      </w:r>
      <w:r>
        <w:t xml:space="preserve"> screened interval that allows formation water to enter the bore</w:t>
      </w:r>
      <w:r w:rsidR="00F3295D">
        <w:t xml:space="preserve"> without the bore clogging</w:t>
      </w:r>
      <w:r>
        <w:t xml:space="preserve">. </w:t>
      </w:r>
      <w:r w:rsidR="00F3295D">
        <w:t xml:space="preserve">Oil and gas wells are designed to provide multiple barriers between the hydrocarbon and </w:t>
      </w:r>
      <w:r w:rsidR="00A9534A">
        <w:t>formation water</w:t>
      </w:r>
      <w:r w:rsidR="00606AD1">
        <w:t xml:space="preserve"> aquifers</w:t>
      </w:r>
      <w:r w:rsidR="00A9534A">
        <w:t>. These often include multiple casings and well head feature</w:t>
      </w:r>
      <w:r w:rsidR="00B71996">
        <w:t>s to control well head pressure</w:t>
      </w:r>
      <w:r w:rsidR="00A9534A">
        <w:t>.</w:t>
      </w:r>
    </w:p>
    <w:p w14:paraId="78FB4AD3" w14:textId="76B6F4FC" w:rsidR="00777C41" w:rsidRPr="009501C9" w:rsidRDefault="00AF08DE" w:rsidP="00A63B9F">
      <w:pPr>
        <w:spacing w:line="240" w:lineRule="auto"/>
      </w:pPr>
      <w:r w:rsidRPr="00C261E4">
        <w:rPr>
          <w:b/>
        </w:rPr>
        <w:t xml:space="preserve">Fault </w:t>
      </w:r>
      <w:r w:rsidR="00B55882" w:rsidRPr="00C261E4">
        <w:rPr>
          <w:b/>
        </w:rPr>
        <w:t>R</w:t>
      </w:r>
      <w:r w:rsidR="00C261E4" w:rsidRPr="00C261E4">
        <w:rPr>
          <w:b/>
        </w:rPr>
        <w:t>eactivation</w:t>
      </w:r>
      <w:r w:rsidR="009C69C0">
        <w:rPr>
          <w:b/>
        </w:rPr>
        <w:t>:</w:t>
      </w:r>
      <w:r w:rsidR="009C69C0">
        <w:t xml:space="preserve"> R</w:t>
      </w:r>
      <w:r>
        <w:t xml:space="preserve">efers to the mechanical strength of a fault being overcome by </w:t>
      </w:r>
      <w:r w:rsidR="00B55882">
        <w:t>changes in</w:t>
      </w:r>
      <w:r>
        <w:t xml:space="preserve"> pore pressure that </w:t>
      </w:r>
      <w:r w:rsidR="00606AD1">
        <w:t>alter</w:t>
      </w:r>
      <w:r>
        <w:t xml:space="preserve"> the effective stress.</w:t>
      </w:r>
      <w:r w:rsidR="00B55882">
        <w:t xml:space="preserve"> The term “induced seismicity” refers to the seismic energy (earth quake) that results from a</w:t>
      </w:r>
      <w:r w:rsidR="00B71996">
        <w:t>n anthropogenic</w:t>
      </w:r>
      <w:r w:rsidR="00B55882">
        <w:t xml:space="preserve"> fault reactivation event. </w:t>
      </w:r>
    </w:p>
    <w:p w14:paraId="5B7282F4" w14:textId="77777777" w:rsidR="00A37AC2" w:rsidRDefault="00C51988" w:rsidP="005B0C74">
      <w:pPr>
        <w:pStyle w:val="Heading1"/>
      </w:pPr>
      <w:bookmarkStart w:id="441" w:name="_Toc442351504"/>
      <w:r>
        <w:t>Fault Zone Physical Characteristics</w:t>
      </w:r>
      <w:bookmarkEnd w:id="441"/>
    </w:p>
    <w:p w14:paraId="53169FAF" w14:textId="29493517" w:rsidR="000E3CFA" w:rsidRPr="00493164" w:rsidRDefault="00AF08DE" w:rsidP="00493164">
      <w:pPr>
        <w:spacing w:line="240" w:lineRule="auto"/>
        <w:rPr>
          <w:rFonts w:cs="Times New Roman"/>
        </w:rPr>
      </w:pPr>
      <w:r>
        <w:rPr>
          <w:rFonts w:cs="Times New Roman"/>
        </w:rPr>
        <w:t>An</w:t>
      </w:r>
      <w:r w:rsidR="006E33BF">
        <w:rPr>
          <w:rFonts w:cs="Times New Roman"/>
        </w:rPr>
        <w:t xml:space="preserve"> overarching goal of</w:t>
      </w:r>
      <w:r w:rsidR="00A37AC2" w:rsidRPr="00A37AC2">
        <w:rPr>
          <w:rFonts w:cs="Times New Roman"/>
        </w:rPr>
        <w:t xml:space="preserve"> fault zone analysis is to accurately estimate fault zone hydraulic properties that may influence </w:t>
      </w:r>
      <w:r w:rsidR="00A37AC2">
        <w:rPr>
          <w:rFonts w:cs="Times New Roman"/>
        </w:rPr>
        <w:t>the hydraulic</w:t>
      </w:r>
      <w:r w:rsidR="00A37AC2" w:rsidRPr="00A37AC2">
        <w:rPr>
          <w:rFonts w:cs="Times New Roman"/>
        </w:rPr>
        <w:t xml:space="preserve"> connectivity</w:t>
      </w:r>
      <w:r w:rsidR="00A37AC2">
        <w:rPr>
          <w:rFonts w:cs="Times New Roman"/>
        </w:rPr>
        <w:t xml:space="preserve"> either across a fault</w:t>
      </w:r>
      <w:r w:rsidR="00E72BC0">
        <w:rPr>
          <w:rFonts w:cs="Times New Roman"/>
        </w:rPr>
        <w:t xml:space="preserve"> </w:t>
      </w:r>
      <w:r w:rsidR="00D04498">
        <w:rPr>
          <w:rFonts w:cs="Times New Roman"/>
        </w:rPr>
        <w:t>at a single elevation</w:t>
      </w:r>
      <w:r w:rsidR="00E72BC0">
        <w:rPr>
          <w:rFonts w:cs="Times New Roman"/>
        </w:rPr>
        <w:t xml:space="preserve"> (i.e. in a direction perpendicular to the fault plane surface</w:t>
      </w:r>
      <w:r w:rsidR="00D04498">
        <w:rPr>
          <w:rFonts w:cs="Times New Roman"/>
        </w:rPr>
        <w:t>)</w:t>
      </w:r>
      <w:r w:rsidR="00A37AC2">
        <w:rPr>
          <w:rFonts w:cs="Times New Roman"/>
        </w:rPr>
        <w:t xml:space="preserve"> or along</w:t>
      </w:r>
      <w:r w:rsidR="00E72BC0">
        <w:rPr>
          <w:rFonts w:cs="Times New Roman"/>
        </w:rPr>
        <w:t xml:space="preserve"> or up</w:t>
      </w:r>
      <w:r w:rsidR="00A37AC2">
        <w:rPr>
          <w:rFonts w:cs="Times New Roman"/>
        </w:rPr>
        <w:t xml:space="preserve"> a fault</w:t>
      </w:r>
      <w:r w:rsidR="00C96F40">
        <w:rPr>
          <w:rFonts w:cs="Times New Roman"/>
        </w:rPr>
        <w:t xml:space="preserve"> plane</w:t>
      </w:r>
      <w:r w:rsidR="00A37AC2">
        <w:rPr>
          <w:rFonts w:cs="Times New Roman"/>
        </w:rPr>
        <w:t xml:space="preserve"> between aquifers</w:t>
      </w:r>
      <w:r w:rsidR="00E72BC0">
        <w:rPr>
          <w:rFonts w:cs="Times New Roman"/>
        </w:rPr>
        <w:t xml:space="preserve"> (i.e.</w:t>
      </w:r>
      <w:r w:rsidR="00C96F40">
        <w:rPr>
          <w:rFonts w:cs="Times New Roman"/>
        </w:rPr>
        <w:t xml:space="preserve"> within the fault plane surface)</w:t>
      </w:r>
      <w:r w:rsidR="00A37AC2" w:rsidRPr="00A37AC2">
        <w:rPr>
          <w:rFonts w:cs="Times New Roman"/>
        </w:rPr>
        <w:t xml:space="preserve">. </w:t>
      </w:r>
      <w:r w:rsidR="00A37AC2" w:rsidRPr="00A37AC2">
        <w:rPr>
          <w:rFonts w:cs="Times New Roman"/>
          <w:i/>
        </w:rPr>
        <w:t>Fault seal capacity</w:t>
      </w:r>
      <w:r w:rsidR="00A37AC2" w:rsidRPr="00A37AC2">
        <w:rPr>
          <w:rFonts w:cs="Times New Roman"/>
        </w:rPr>
        <w:t xml:space="preserve"> is the term used to describe th</w:t>
      </w:r>
      <w:r w:rsidR="00A37AC2">
        <w:rPr>
          <w:rFonts w:cs="Times New Roman"/>
        </w:rPr>
        <w:t>e capacity of the fault to impede</w:t>
      </w:r>
      <w:r w:rsidR="00A37AC2" w:rsidRPr="00A37AC2">
        <w:rPr>
          <w:rFonts w:cs="Times New Roman"/>
        </w:rPr>
        <w:t xml:space="preserve"> </w:t>
      </w:r>
      <w:r w:rsidR="00D04498">
        <w:rPr>
          <w:rFonts w:cs="Times New Roman"/>
        </w:rPr>
        <w:t>the flux</w:t>
      </w:r>
      <w:r w:rsidR="000E3CFA">
        <w:rPr>
          <w:rFonts w:cs="Times New Roman"/>
        </w:rPr>
        <w:t xml:space="preserve"> of one or more fluid types</w:t>
      </w:r>
      <w:r w:rsidR="00A37AC2" w:rsidRPr="00A37AC2">
        <w:rPr>
          <w:rFonts w:cs="Times New Roman"/>
        </w:rPr>
        <w:t xml:space="preserve">. </w:t>
      </w:r>
      <w:r w:rsidR="00A37AC2" w:rsidRPr="00A37AC2">
        <w:rPr>
          <w:rFonts w:cs="Arial"/>
          <w:bCs/>
          <w:lang w:eastAsia="en-AU"/>
        </w:rPr>
        <w:t>State of the art fault seal capacity analysis requir</w:t>
      </w:r>
      <w:r w:rsidR="000E3CFA">
        <w:rPr>
          <w:rFonts w:cs="Arial"/>
          <w:bCs/>
          <w:lang w:eastAsia="en-AU"/>
        </w:rPr>
        <w:t>es an evaluation of the</w:t>
      </w:r>
      <w:r w:rsidR="00A37AC2" w:rsidRPr="00A37AC2">
        <w:rPr>
          <w:rFonts w:cs="Arial"/>
          <w:bCs/>
          <w:lang w:eastAsia="en-AU"/>
        </w:rPr>
        <w:t xml:space="preserve"> stratigraphic heterogeneity</w:t>
      </w:r>
      <w:r w:rsidR="000E3CFA">
        <w:rPr>
          <w:rFonts w:cs="Arial"/>
          <w:bCs/>
          <w:lang w:eastAsia="en-AU"/>
        </w:rPr>
        <w:t xml:space="preserve"> of the broader host rock</w:t>
      </w:r>
      <w:r w:rsidR="00FD66DE">
        <w:rPr>
          <w:rFonts w:cs="Arial"/>
          <w:bCs/>
          <w:lang w:eastAsia="en-AU"/>
        </w:rPr>
        <w:t xml:space="preserve"> (on either side of the fault)</w:t>
      </w:r>
      <w:r w:rsidR="000E3CFA">
        <w:rPr>
          <w:rFonts w:cs="Arial"/>
          <w:bCs/>
          <w:lang w:eastAsia="en-AU"/>
        </w:rPr>
        <w:t>,</w:t>
      </w:r>
      <w:r w:rsidR="00A37AC2" w:rsidRPr="00A37AC2">
        <w:rPr>
          <w:rFonts w:cs="Arial"/>
          <w:bCs/>
          <w:lang w:eastAsia="en-AU"/>
        </w:rPr>
        <w:t xml:space="preserve"> linked with associated rock</w:t>
      </w:r>
      <w:r w:rsidR="006E33BF">
        <w:rPr>
          <w:rFonts w:cs="Arial"/>
          <w:bCs/>
          <w:lang w:eastAsia="en-AU"/>
        </w:rPr>
        <w:t xml:space="preserve"> and fluid properties. </w:t>
      </w:r>
      <w:r w:rsidR="00FD66DE">
        <w:rPr>
          <w:rFonts w:cs="Arial"/>
          <w:bCs/>
          <w:lang w:eastAsia="en-AU"/>
        </w:rPr>
        <w:t>U</w:t>
      </w:r>
      <w:r w:rsidR="006E33BF">
        <w:rPr>
          <w:rFonts w:cs="Arial"/>
          <w:bCs/>
          <w:lang w:eastAsia="en-AU"/>
        </w:rPr>
        <w:t>ncertainty in these parameters</w:t>
      </w:r>
      <w:r w:rsidR="00A37AC2">
        <w:rPr>
          <w:rFonts w:cs="Arial"/>
          <w:bCs/>
          <w:lang w:eastAsia="en-AU"/>
        </w:rPr>
        <w:t xml:space="preserve"> directly impacts the accuracy of determining fault rock properties.</w:t>
      </w:r>
      <w:r w:rsidR="00A37AC2" w:rsidRPr="00A37AC2">
        <w:rPr>
          <w:rFonts w:cs="Arial"/>
          <w:bCs/>
          <w:lang w:eastAsia="en-AU"/>
        </w:rPr>
        <w:t xml:space="preserve"> </w:t>
      </w:r>
      <w:r w:rsidR="00A37AC2" w:rsidRPr="00A37AC2">
        <w:t>Fault zones may either compart</w:t>
      </w:r>
      <w:r w:rsidR="00C96F40">
        <w:t>mentalise strata horizontally,</w:t>
      </w:r>
      <w:r w:rsidR="00A37AC2" w:rsidRPr="00A37AC2">
        <w:t xml:space="preserve"> cause localised vertical hydraulic connectivity between stratigraphic levels</w:t>
      </w:r>
      <w:r w:rsidR="00C96F40">
        <w:t xml:space="preserve"> or both</w:t>
      </w:r>
      <w:r w:rsidR="00A37AC2" w:rsidRPr="00A37AC2">
        <w:t xml:space="preserve">. There are several aspects of fault zones that can either allow for this hydraulic communication or prevent it.  These require different </w:t>
      </w:r>
      <w:r w:rsidR="00A37AC2">
        <w:t>assessment methods</w:t>
      </w:r>
      <w:r w:rsidR="00A37AC2" w:rsidRPr="00A37AC2">
        <w:t>, which generally rely on similar underpinning data sets. Integration of these analytical processes, supported by hydrodynam</w:t>
      </w:r>
      <w:r w:rsidR="00A37AC2">
        <w:t xml:space="preserve">ic and </w:t>
      </w:r>
      <w:r w:rsidR="001E1768">
        <w:t>hydro</w:t>
      </w:r>
      <w:r w:rsidR="00A37AC2">
        <w:t>chemistry data</w:t>
      </w:r>
      <w:r w:rsidR="00A37AC2" w:rsidRPr="00A37AC2">
        <w:t xml:space="preserve"> is required to assess the fault seal capacity and assign </w:t>
      </w:r>
      <w:r w:rsidR="00D04498">
        <w:t xml:space="preserve">fault zone </w:t>
      </w:r>
      <w:r w:rsidR="00A37AC2" w:rsidRPr="00A37AC2">
        <w:t>hydraulic prop</w:t>
      </w:r>
      <w:r w:rsidR="006A28CD">
        <w:t>erties to</w:t>
      </w:r>
      <w:r w:rsidR="00A37AC2" w:rsidRPr="00A37AC2">
        <w:t xml:space="preserve"> groundwater models</w:t>
      </w:r>
      <w:r w:rsidR="000E3CFA">
        <w:t>.</w:t>
      </w:r>
    </w:p>
    <w:p w14:paraId="25F8DCA2" w14:textId="03C183B5" w:rsidR="00493164" w:rsidRDefault="00014698" w:rsidP="00493164">
      <w:pPr>
        <w:spacing w:line="240" w:lineRule="auto"/>
      </w:pPr>
      <w:r>
        <w:t>In many petroliferous basins, fault seal effectiveness has proven to be a significant</w:t>
      </w:r>
      <w:r w:rsidR="00D04498">
        <w:t xml:space="preserve"> uncertainty affecting</w:t>
      </w:r>
      <w:r>
        <w:t xml:space="preserve"> exploration success, and </w:t>
      </w:r>
      <w:r w:rsidR="00D04498">
        <w:t>this translates to</w:t>
      </w:r>
      <w:r>
        <w:t xml:space="preserve"> uncertainty in predicting reservoir and seal performance within the oil and gas industry. </w:t>
      </w:r>
      <w:r w:rsidR="00493164">
        <w:t>Faults can be leaky simply by virtue of the detailed fault zone architecture within the prevailing stress regime, or f</w:t>
      </w:r>
      <w:r>
        <w:t xml:space="preserve">ault seals can be breached by capillary leakage or fault reactivation. </w:t>
      </w:r>
      <w:r w:rsidR="00D04498">
        <w:t>V</w:t>
      </w:r>
      <w:r>
        <w:t xml:space="preserve">arious authors have classified seals according to the sealing mechanism (e.g. Watts 1987; Heum 1996; Bretan </w:t>
      </w:r>
      <w:r w:rsidRPr="00DF523E">
        <w:rPr>
          <w:i/>
        </w:rPr>
        <w:t>et al.</w:t>
      </w:r>
      <w:r>
        <w:t xml:space="preserve"> 2003; Brown 2003).</w:t>
      </w:r>
      <w:r w:rsidR="00493164">
        <w:t xml:space="preserve"> </w:t>
      </w:r>
      <w:r>
        <w:t xml:space="preserve">  </w:t>
      </w:r>
    </w:p>
    <w:p w14:paraId="6AF09EF2" w14:textId="788679DC" w:rsidR="00C70CB1" w:rsidRDefault="00014698" w:rsidP="00C70CB1">
      <w:pPr>
        <w:spacing w:line="240" w:lineRule="auto"/>
      </w:pPr>
      <w:r>
        <w:t xml:space="preserve">Faults can provide </w:t>
      </w:r>
      <w:r w:rsidR="00606AD1">
        <w:t xml:space="preserve">capillary </w:t>
      </w:r>
      <w:r>
        <w:t xml:space="preserve">seal capacity either through juxtaposition of reservoir against a seal, or by the low permeability of the gouge and cataclastic material in the fault zone itself (Watts 1987). When the fault </w:t>
      </w:r>
      <w:r w:rsidR="00606AD1">
        <w:t xml:space="preserve">capillary </w:t>
      </w:r>
      <w:r>
        <w:t>seal capacity is exceeded, leakage of hydrocarbon</w:t>
      </w:r>
      <w:r w:rsidR="00C96F40">
        <w:t>s</w:t>
      </w:r>
      <w:r>
        <w:t xml:space="preserve"> can occur across or along the fault depending on the fault zone architecture. If the formation pressure exceeds the mechanical strength of the fault rock then the seal may fail due to fault reactivation. To help standardise the nomenclature for various aspects of hydrogeology and capillary seal terminology discussed in this </w:t>
      </w:r>
      <w:r w:rsidR="001E1768">
        <w:t>report</w:t>
      </w:r>
      <w:r>
        <w:t xml:space="preserve">, </w:t>
      </w:r>
      <w:r w:rsidR="001E1768">
        <w:t>a t</w:t>
      </w:r>
      <w:r>
        <w:t xml:space="preserve">able of symbols </w:t>
      </w:r>
      <w:r w:rsidR="001E1768">
        <w:t>and a glossary</w:t>
      </w:r>
      <w:r>
        <w:t xml:space="preserve"> </w:t>
      </w:r>
      <w:r w:rsidR="001E1768">
        <w:t>is provided</w:t>
      </w:r>
      <w:r w:rsidR="006770CE">
        <w:t xml:space="preserve"> at the start of this report</w:t>
      </w:r>
      <w:r w:rsidR="00C70CB1">
        <w:t xml:space="preserve">. </w:t>
      </w:r>
    </w:p>
    <w:p w14:paraId="0674F589" w14:textId="77777777" w:rsidR="00A37AC2" w:rsidRDefault="005B0C74" w:rsidP="00493164">
      <w:pPr>
        <w:pStyle w:val="Heading2"/>
      </w:pPr>
      <w:bookmarkStart w:id="442" w:name="_Toc442351505"/>
      <w:r>
        <w:t>Fault Zone Architecture and in-Situ Stress</w:t>
      </w:r>
      <w:bookmarkEnd w:id="442"/>
    </w:p>
    <w:p w14:paraId="4FFC4A2E" w14:textId="59FDEA33" w:rsidR="007B7582" w:rsidRPr="00362E90" w:rsidRDefault="00D230AD" w:rsidP="007B7582">
      <w:pPr>
        <w:autoSpaceDE w:val="0"/>
        <w:autoSpaceDN w:val="0"/>
        <w:adjustRightInd w:val="0"/>
        <w:spacing w:after="0" w:line="240" w:lineRule="auto"/>
        <w:rPr>
          <w:rFonts w:cs="Times New Roman"/>
        </w:rPr>
      </w:pPr>
      <w:r>
        <w:rPr>
          <w:rFonts w:cs="Times New Roman"/>
        </w:rPr>
        <w:t>Faults can be classified according to their geometry and relative sense of movement</w:t>
      </w:r>
      <w:r w:rsidR="00A52D05">
        <w:rPr>
          <w:rFonts w:cs="Times New Roman"/>
        </w:rPr>
        <w:t xml:space="preserve"> into a) </w:t>
      </w:r>
      <w:r w:rsidR="006852AE">
        <w:rPr>
          <w:rFonts w:cs="Times New Roman"/>
        </w:rPr>
        <w:t>normal</w:t>
      </w:r>
      <w:r w:rsidR="00A52D05">
        <w:rPr>
          <w:rFonts w:cs="Times New Roman"/>
        </w:rPr>
        <w:t>, b)</w:t>
      </w:r>
      <w:r w:rsidR="006852AE">
        <w:rPr>
          <w:rFonts w:cs="Times New Roman"/>
        </w:rPr>
        <w:t xml:space="preserve"> reverse</w:t>
      </w:r>
      <w:r w:rsidR="00A52D05">
        <w:rPr>
          <w:rFonts w:cs="Times New Roman"/>
        </w:rPr>
        <w:t xml:space="preserve">, </w:t>
      </w:r>
      <w:r w:rsidR="006852AE">
        <w:rPr>
          <w:rFonts w:cs="Times New Roman"/>
        </w:rPr>
        <w:t>c) strike-slip</w:t>
      </w:r>
      <w:r w:rsidR="00A52D05">
        <w:rPr>
          <w:rFonts w:cs="Times New Roman"/>
        </w:rPr>
        <w:t>, and d)</w:t>
      </w:r>
      <w:r w:rsidR="005A5ED8">
        <w:rPr>
          <w:rFonts w:cs="Times New Roman"/>
        </w:rPr>
        <w:t xml:space="preserve"> oblique</w:t>
      </w:r>
      <w:r w:rsidR="006770CE">
        <w:rPr>
          <w:rFonts w:cs="Times New Roman"/>
        </w:rPr>
        <w:t>,</w:t>
      </w:r>
      <w:r w:rsidR="00A52D05">
        <w:rPr>
          <w:rFonts w:cs="Times New Roman"/>
        </w:rPr>
        <w:t xml:space="preserve"> </w:t>
      </w:r>
      <w:r w:rsidR="005A5ED8">
        <w:rPr>
          <w:rFonts w:cs="Times New Roman"/>
        </w:rPr>
        <w:t>coupled with various amounts of rotation of scissor relative movement (</w:t>
      </w:r>
      <w:r w:rsidR="009501C9">
        <w:rPr>
          <w:rFonts w:cs="Times New Roman"/>
        </w:rPr>
        <w:fldChar w:fldCharType="begin"/>
      </w:r>
      <w:r w:rsidR="009501C9">
        <w:rPr>
          <w:rFonts w:cs="Times New Roman"/>
        </w:rPr>
        <w:instrText xml:space="preserve"> REF _Ref437523331 \h </w:instrText>
      </w:r>
      <w:r w:rsidR="009501C9">
        <w:rPr>
          <w:rFonts w:cs="Times New Roman"/>
        </w:rPr>
      </w:r>
      <w:r w:rsidR="009501C9">
        <w:rPr>
          <w:rFonts w:cs="Times New Roman"/>
        </w:rPr>
        <w:fldChar w:fldCharType="separate"/>
      </w:r>
      <w:r w:rsidR="00ED1412">
        <w:t xml:space="preserve">Figure </w:t>
      </w:r>
      <w:r w:rsidR="00ED1412">
        <w:rPr>
          <w:noProof/>
        </w:rPr>
        <w:t>1</w:t>
      </w:r>
      <w:r w:rsidR="009501C9">
        <w:rPr>
          <w:rFonts w:cs="Times New Roman"/>
        </w:rPr>
        <w:fldChar w:fldCharType="end"/>
      </w:r>
      <w:r w:rsidR="005A5ED8">
        <w:rPr>
          <w:rFonts w:cs="Times New Roman"/>
        </w:rPr>
        <w:t>)</w:t>
      </w:r>
      <w:r w:rsidR="00A52D05">
        <w:rPr>
          <w:rFonts w:cs="Times New Roman"/>
        </w:rPr>
        <w:t>.</w:t>
      </w:r>
      <w:r>
        <w:rPr>
          <w:rFonts w:cs="Times New Roman"/>
        </w:rPr>
        <w:t xml:space="preserve"> </w:t>
      </w:r>
      <w:r w:rsidR="007F3604">
        <w:rPr>
          <w:rFonts w:cs="Times New Roman"/>
        </w:rPr>
        <w:t>Uncertainty</w:t>
      </w:r>
      <w:r w:rsidR="009D2F38">
        <w:rPr>
          <w:rFonts w:cs="Times New Roman"/>
        </w:rPr>
        <w:t xml:space="preserve"> regarding</w:t>
      </w:r>
      <w:r w:rsidR="007B7582" w:rsidRPr="007B7582">
        <w:rPr>
          <w:rFonts w:cs="Times New Roman"/>
        </w:rPr>
        <w:t xml:space="preserve"> seal leakage can be </w:t>
      </w:r>
      <w:r w:rsidR="007F3604">
        <w:rPr>
          <w:rFonts w:cs="Times New Roman"/>
        </w:rPr>
        <w:t>reduced</w:t>
      </w:r>
      <w:r w:rsidR="007B7582" w:rsidRPr="007B7582">
        <w:rPr>
          <w:rFonts w:cs="Times New Roman"/>
        </w:rPr>
        <w:t xml:space="preserve"> by analysing key leak</w:t>
      </w:r>
      <w:r w:rsidR="007F3604">
        <w:rPr>
          <w:rFonts w:cs="Times New Roman"/>
        </w:rPr>
        <w:t xml:space="preserve"> risk</w:t>
      </w:r>
      <w:r w:rsidR="007B7582" w:rsidRPr="007B7582">
        <w:rPr>
          <w:rFonts w:cs="Times New Roman"/>
        </w:rPr>
        <w:t xml:space="preserve"> points on fault systems (e.g. Gartrell et al</w:t>
      </w:r>
      <w:r w:rsidR="001E1768">
        <w:rPr>
          <w:rFonts w:cs="Times New Roman"/>
        </w:rPr>
        <w:t>.</w:t>
      </w:r>
      <w:r w:rsidR="007B7582" w:rsidRPr="007B7582">
        <w:rPr>
          <w:rFonts w:cs="Times New Roman"/>
        </w:rPr>
        <w:t xml:space="preserve"> 2002</w:t>
      </w:r>
      <w:r w:rsidR="007B7582">
        <w:rPr>
          <w:rFonts w:cs="Times New Roman"/>
        </w:rPr>
        <w:t xml:space="preserve"> and Gartrell et al 2006</w:t>
      </w:r>
      <w:r w:rsidR="007B7582" w:rsidRPr="007B7582">
        <w:rPr>
          <w:rFonts w:cs="Times New Roman"/>
        </w:rPr>
        <w:t>). These often occur at the intersection of high angle steeply dipping faul</w:t>
      </w:r>
      <w:r w:rsidR="004C651E">
        <w:rPr>
          <w:rFonts w:cs="Times New Roman"/>
        </w:rPr>
        <w:t>ts (Craw 2000) or at relay ramps</w:t>
      </w:r>
      <w:r w:rsidR="007B7582" w:rsidRPr="007B7582">
        <w:rPr>
          <w:rFonts w:cs="Times New Roman"/>
        </w:rPr>
        <w:t xml:space="preserve"> (Underschultz et al. 2003) </w:t>
      </w:r>
      <w:r w:rsidR="009D2F38">
        <w:rPr>
          <w:rFonts w:cs="Times New Roman"/>
        </w:rPr>
        <w:t xml:space="preserve">as shown in </w:t>
      </w:r>
      <w:r w:rsidR="009501C9">
        <w:rPr>
          <w:rFonts w:cs="Times New Roman"/>
        </w:rPr>
        <w:fldChar w:fldCharType="begin"/>
      </w:r>
      <w:r w:rsidR="009501C9">
        <w:rPr>
          <w:rFonts w:cs="Times New Roman"/>
        </w:rPr>
        <w:instrText xml:space="preserve"> REF _Ref437523461 \h </w:instrText>
      </w:r>
      <w:r w:rsidR="009501C9">
        <w:rPr>
          <w:rFonts w:cs="Times New Roman"/>
        </w:rPr>
      </w:r>
      <w:r w:rsidR="009501C9">
        <w:rPr>
          <w:rFonts w:cs="Times New Roman"/>
        </w:rPr>
        <w:fldChar w:fldCharType="separate"/>
      </w:r>
      <w:r w:rsidR="00ED1412">
        <w:t xml:space="preserve">Figure </w:t>
      </w:r>
      <w:r w:rsidR="00ED1412">
        <w:rPr>
          <w:noProof/>
        </w:rPr>
        <w:t>2</w:t>
      </w:r>
      <w:r w:rsidR="009501C9">
        <w:rPr>
          <w:rFonts w:cs="Times New Roman"/>
        </w:rPr>
        <w:fldChar w:fldCharType="end"/>
      </w:r>
      <w:r w:rsidR="009501C9">
        <w:rPr>
          <w:rFonts w:cs="Times New Roman"/>
        </w:rPr>
        <w:t xml:space="preserve"> and </w:t>
      </w:r>
      <w:r w:rsidR="009501C9">
        <w:rPr>
          <w:rFonts w:cs="Times New Roman"/>
        </w:rPr>
        <w:fldChar w:fldCharType="begin"/>
      </w:r>
      <w:r w:rsidR="009501C9">
        <w:rPr>
          <w:rFonts w:cs="Times New Roman"/>
        </w:rPr>
        <w:instrText xml:space="preserve"> REF _Ref437523490 \h </w:instrText>
      </w:r>
      <w:r w:rsidR="009501C9">
        <w:rPr>
          <w:rFonts w:cs="Times New Roman"/>
        </w:rPr>
      </w:r>
      <w:r w:rsidR="009501C9">
        <w:rPr>
          <w:rFonts w:cs="Times New Roman"/>
        </w:rPr>
        <w:fldChar w:fldCharType="separate"/>
      </w:r>
      <w:r w:rsidR="00ED1412">
        <w:t xml:space="preserve">Figure </w:t>
      </w:r>
      <w:r w:rsidR="00ED1412">
        <w:rPr>
          <w:noProof/>
        </w:rPr>
        <w:t>3</w:t>
      </w:r>
      <w:r w:rsidR="009501C9">
        <w:rPr>
          <w:rFonts w:cs="Times New Roman"/>
        </w:rPr>
        <w:fldChar w:fldCharType="end"/>
      </w:r>
      <w:r w:rsidR="009D2F38">
        <w:rPr>
          <w:rFonts w:cs="Times New Roman"/>
        </w:rPr>
        <w:t xml:space="preserve">, </w:t>
      </w:r>
      <w:r w:rsidR="007B7582" w:rsidRPr="007B7582">
        <w:rPr>
          <w:rFonts w:cs="Times New Roman"/>
        </w:rPr>
        <w:t>where the continuity of the fault plane is interrupted</w:t>
      </w:r>
      <w:r w:rsidR="007B7582">
        <w:rPr>
          <w:rFonts w:cs="Times New Roman"/>
        </w:rPr>
        <w:t xml:space="preserve"> (Gartrell et al., 2004</w:t>
      </w:r>
      <w:r w:rsidR="007B7582" w:rsidRPr="00117D6B">
        <w:rPr>
          <w:rFonts w:cs="Times New Roman"/>
        </w:rPr>
        <w:t>; Cowley and O’Brien, 2000)</w:t>
      </w:r>
      <w:r w:rsidR="005A5ED8">
        <w:rPr>
          <w:rFonts w:cs="Times New Roman"/>
        </w:rPr>
        <w:t xml:space="preserve"> and there is structural complexity</w:t>
      </w:r>
      <w:r w:rsidR="007B7582" w:rsidRPr="007B7582">
        <w:rPr>
          <w:rFonts w:cs="Times New Roman"/>
        </w:rPr>
        <w:t>.</w:t>
      </w:r>
      <w:r w:rsidR="00600127">
        <w:rPr>
          <w:rFonts w:cs="Times New Roman"/>
        </w:rPr>
        <w:t xml:space="preserve"> </w:t>
      </w:r>
      <w:r w:rsidR="00C70CB1">
        <w:rPr>
          <w:rFonts w:cs="Times New Roman"/>
        </w:rPr>
        <w:t>It is also at these locations where f</w:t>
      </w:r>
      <w:r w:rsidR="00600127">
        <w:rPr>
          <w:rFonts w:cs="Times New Roman"/>
        </w:rPr>
        <w:t>ault segment</w:t>
      </w:r>
      <w:r w:rsidR="00C70CB1">
        <w:rPr>
          <w:rFonts w:cs="Times New Roman"/>
        </w:rPr>
        <w:t>s</w:t>
      </w:r>
      <w:r w:rsidR="00600127">
        <w:rPr>
          <w:rFonts w:cs="Times New Roman"/>
        </w:rPr>
        <w:t xml:space="preserve"> </w:t>
      </w:r>
      <w:r w:rsidR="00C70CB1">
        <w:rPr>
          <w:rFonts w:cs="Times New Roman"/>
        </w:rPr>
        <w:t xml:space="preserve">often have an </w:t>
      </w:r>
      <w:r w:rsidR="00600127">
        <w:rPr>
          <w:rFonts w:cs="Times New Roman"/>
        </w:rPr>
        <w:t>orientation relative to the stress field</w:t>
      </w:r>
      <w:r w:rsidR="00C70CB1">
        <w:rPr>
          <w:rFonts w:cs="Times New Roman"/>
        </w:rPr>
        <w:t xml:space="preserve"> that result</w:t>
      </w:r>
      <w:r w:rsidR="00C96F40">
        <w:rPr>
          <w:rFonts w:cs="Times New Roman"/>
        </w:rPr>
        <w:t>s</w:t>
      </w:r>
      <w:r w:rsidR="00C70CB1">
        <w:rPr>
          <w:rFonts w:cs="Times New Roman"/>
        </w:rPr>
        <w:t xml:space="preserve"> in dilatant conditions. Fault or fracture orientation relative to the stress field</w:t>
      </w:r>
      <w:r w:rsidR="00600127">
        <w:rPr>
          <w:rFonts w:cs="Times New Roman"/>
        </w:rPr>
        <w:t xml:space="preserve"> can be characterised in terms of </w:t>
      </w:r>
      <w:r w:rsidR="007F3604">
        <w:rPr>
          <w:rFonts w:cs="Times New Roman"/>
        </w:rPr>
        <w:t>“</w:t>
      </w:r>
      <w:r w:rsidR="00600127">
        <w:rPr>
          <w:rFonts w:cs="Times New Roman"/>
        </w:rPr>
        <w:t>Dilatancy Potential</w:t>
      </w:r>
      <w:r w:rsidR="007F3604">
        <w:rPr>
          <w:rFonts w:cs="Times New Roman"/>
        </w:rPr>
        <w:t>”</w:t>
      </w:r>
      <w:r w:rsidR="00600127">
        <w:rPr>
          <w:rFonts w:cs="Times New Roman"/>
        </w:rPr>
        <w:t xml:space="preserve"> which may </w:t>
      </w:r>
      <w:r w:rsidR="007F3604">
        <w:rPr>
          <w:rFonts w:cs="Times New Roman"/>
        </w:rPr>
        <w:t xml:space="preserve">in turn </w:t>
      </w:r>
      <w:r w:rsidR="00600127">
        <w:rPr>
          <w:rFonts w:cs="Times New Roman"/>
        </w:rPr>
        <w:t>be associated with</w:t>
      </w:r>
      <w:r w:rsidR="006770CE">
        <w:rPr>
          <w:rFonts w:cs="Times New Roman"/>
        </w:rPr>
        <w:t xml:space="preserve"> a</w:t>
      </w:r>
      <w:r w:rsidR="00600127">
        <w:rPr>
          <w:rFonts w:cs="Times New Roman"/>
        </w:rPr>
        <w:t xml:space="preserve"> permeability</w:t>
      </w:r>
      <w:r w:rsidR="006770CE">
        <w:rPr>
          <w:rFonts w:cs="Times New Roman"/>
        </w:rPr>
        <w:t xml:space="preserve"> estimate</w:t>
      </w:r>
      <w:r w:rsidR="00600127">
        <w:rPr>
          <w:rFonts w:cs="Times New Roman"/>
        </w:rPr>
        <w:t>.</w:t>
      </w:r>
      <w:r w:rsidR="007B7582" w:rsidRPr="007B7582">
        <w:rPr>
          <w:rFonts w:cs="Times New Roman"/>
        </w:rPr>
        <w:t xml:space="preserve"> These</w:t>
      </w:r>
      <w:r w:rsidR="00600127">
        <w:rPr>
          <w:rFonts w:cs="Times New Roman"/>
        </w:rPr>
        <w:t xml:space="preserve"> higher permeability zones or</w:t>
      </w:r>
      <w:r w:rsidR="007B7582" w:rsidRPr="007B7582">
        <w:rPr>
          <w:rFonts w:cs="Times New Roman"/>
        </w:rPr>
        <w:t xml:space="preserve"> leak points have characteristic signatures, often identifiable with hydrodynamic analysis (Underschultz et al. 2005), where they form anomalies in the pressure, water chemistry </w:t>
      </w:r>
      <w:r w:rsidR="007B7582" w:rsidRPr="007B7582">
        <w:rPr>
          <w:rFonts w:cs="Times New Roman"/>
        </w:rPr>
        <w:lastRenderedPageBreak/>
        <w:t>and</w:t>
      </w:r>
      <w:r w:rsidR="001E1768">
        <w:rPr>
          <w:rFonts w:cs="Times New Roman"/>
        </w:rPr>
        <w:t>/or</w:t>
      </w:r>
      <w:r w:rsidR="007B7582" w:rsidRPr="007B7582">
        <w:rPr>
          <w:rFonts w:cs="Times New Roman"/>
        </w:rPr>
        <w:t xml:space="preserve"> temperature distributions.</w:t>
      </w:r>
      <w:r w:rsidR="007B7582" w:rsidRPr="00DD77A1">
        <w:rPr>
          <w:rFonts w:cs="Times New Roman"/>
        </w:rPr>
        <w:t xml:space="preserve"> </w:t>
      </w:r>
      <w:r w:rsidR="007B7582">
        <w:rPr>
          <w:rFonts w:cs="Times New Roman"/>
        </w:rPr>
        <w:t xml:space="preserve">The following analysis method can be used, drawing on </w:t>
      </w:r>
      <w:r w:rsidR="007B7582">
        <w:rPr>
          <w:rFonts w:cs="Arial"/>
          <w:bCs/>
          <w:lang w:eastAsia="en-AU"/>
        </w:rPr>
        <w:t>f</w:t>
      </w:r>
      <w:r w:rsidR="007B7582" w:rsidRPr="00362E90">
        <w:rPr>
          <w:rFonts w:cs="Arial"/>
          <w:bCs/>
          <w:lang w:eastAsia="en-AU"/>
        </w:rPr>
        <w:t xml:space="preserve">ault zone architecture </w:t>
      </w:r>
      <w:r w:rsidR="0066745A">
        <w:rPr>
          <w:rFonts w:cs="Arial"/>
          <w:bCs/>
          <w:lang w:eastAsia="en-AU"/>
        </w:rPr>
        <w:t>and in-situ stress:</w:t>
      </w:r>
    </w:p>
    <w:p w14:paraId="1CB6B682" w14:textId="77777777" w:rsidR="007B7582" w:rsidRDefault="007B7582" w:rsidP="007B7582">
      <w:pPr>
        <w:pStyle w:val="ListParagraph"/>
        <w:ind w:left="360"/>
        <w:rPr>
          <w:rFonts w:cs="Arial"/>
          <w:bCs/>
          <w:lang w:eastAsia="en-AU"/>
        </w:rPr>
      </w:pPr>
    </w:p>
    <w:p w14:paraId="28844D01" w14:textId="49A2128A" w:rsidR="00BB188C" w:rsidRPr="00BB188C" w:rsidRDefault="007B7582" w:rsidP="00AC119B">
      <w:pPr>
        <w:pStyle w:val="ListParagraph"/>
        <w:numPr>
          <w:ilvl w:val="0"/>
          <w:numId w:val="4"/>
        </w:numPr>
        <w:rPr>
          <w:rFonts w:cs="Arial"/>
          <w:bCs/>
          <w:lang w:eastAsia="en-AU"/>
        </w:rPr>
      </w:pPr>
      <w:r>
        <w:rPr>
          <w:rFonts w:cs="Arial"/>
          <w:bCs/>
          <w:lang w:eastAsia="en-AU"/>
        </w:rPr>
        <w:t>G</w:t>
      </w:r>
      <w:r w:rsidRPr="006D0EB3">
        <w:rPr>
          <w:rFonts w:cs="Arial"/>
          <w:bCs/>
          <w:lang w:eastAsia="en-AU"/>
        </w:rPr>
        <w:t>eometric analysis of kin</w:t>
      </w:r>
      <w:r>
        <w:rPr>
          <w:rFonts w:cs="Arial"/>
          <w:bCs/>
          <w:lang w:eastAsia="en-AU"/>
        </w:rPr>
        <w:t>e</w:t>
      </w:r>
      <w:r w:rsidRPr="006D0EB3">
        <w:rPr>
          <w:rFonts w:cs="Arial"/>
          <w:bCs/>
          <w:lang w:eastAsia="en-AU"/>
        </w:rPr>
        <w:t xml:space="preserve">matically </w:t>
      </w:r>
      <w:r w:rsidR="00600127">
        <w:rPr>
          <w:rFonts w:cs="Arial"/>
          <w:bCs/>
          <w:lang w:eastAsia="en-AU"/>
        </w:rPr>
        <w:t>realistic</w:t>
      </w:r>
      <w:r w:rsidRPr="006D0EB3">
        <w:rPr>
          <w:rFonts w:cs="Arial"/>
          <w:bCs/>
          <w:lang w:eastAsia="en-AU"/>
        </w:rPr>
        <w:t xml:space="preserve"> fault</w:t>
      </w:r>
      <w:r>
        <w:rPr>
          <w:rFonts w:cs="Arial"/>
          <w:bCs/>
          <w:lang w:eastAsia="en-AU"/>
        </w:rPr>
        <w:t xml:space="preserve"> interpretations within a three-</w:t>
      </w:r>
      <w:r w:rsidRPr="00005086">
        <w:rPr>
          <w:rFonts w:cs="Arial"/>
          <w:bCs/>
          <w:lang w:eastAsia="en-AU"/>
        </w:rPr>
        <w:t>dimensional anisotropic stress field</w:t>
      </w:r>
      <w:r>
        <w:rPr>
          <w:rFonts w:cs="Arial"/>
          <w:bCs/>
          <w:lang w:eastAsia="en-AU"/>
        </w:rPr>
        <w:t xml:space="preserve">.  This determines the locations along the fault zone and on various fault segments where the fault geometry is in tension, compression or shear.  </w:t>
      </w:r>
      <w:r w:rsidR="00B55882">
        <w:rPr>
          <w:rFonts w:cs="Arial"/>
          <w:bCs/>
          <w:lang w:eastAsia="en-AU"/>
        </w:rPr>
        <w:t>Within this context,</w:t>
      </w:r>
      <w:r>
        <w:rPr>
          <w:rFonts w:cs="Arial"/>
          <w:bCs/>
          <w:lang w:eastAsia="en-AU"/>
        </w:rPr>
        <w:t xml:space="preserve"> the dilatant tendency of the fault and associated damage zone</w:t>
      </w:r>
      <w:r w:rsidR="00B55882">
        <w:rPr>
          <w:rFonts w:cs="Arial"/>
          <w:bCs/>
          <w:lang w:eastAsia="en-AU"/>
        </w:rPr>
        <w:t xml:space="preserve"> can be determined</w:t>
      </w:r>
      <w:r>
        <w:rPr>
          <w:rFonts w:cs="Arial"/>
          <w:bCs/>
          <w:lang w:eastAsia="en-AU"/>
        </w:rPr>
        <w:t xml:space="preserve">, which </w:t>
      </w:r>
      <w:r w:rsidR="00B55882">
        <w:rPr>
          <w:rFonts w:cs="Arial"/>
          <w:bCs/>
          <w:lang w:eastAsia="en-AU"/>
        </w:rPr>
        <w:t>affects</w:t>
      </w:r>
      <w:r>
        <w:rPr>
          <w:rFonts w:cs="Arial"/>
          <w:bCs/>
          <w:lang w:eastAsia="en-AU"/>
        </w:rPr>
        <w:t xml:space="preserve"> </w:t>
      </w:r>
      <w:r w:rsidR="00B55882">
        <w:rPr>
          <w:rFonts w:cs="Arial"/>
          <w:bCs/>
          <w:lang w:eastAsia="en-AU"/>
        </w:rPr>
        <w:t>hydraulic</w:t>
      </w:r>
      <w:r>
        <w:rPr>
          <w:rFonts w:cs="Arial"/>
          <w:bCs/>
          <w:lang w:eastAsia="en-AU"/>
        </w:rPr>
        <w:t xml:space="preserve"> transmissivity. This work can be conducted in the first instance simply by using the fault plane statistics from the seismic interpretation and the in-situ stress analysis.  A</w:t>
      </w:r>
      <w:r w:rsidR="00B55882">
        <w:rPr>
          <w:rFonts w:cs="Arial"/>
          <w:bCs/>
          <w:lang w:eastAsia="en-AU"/>
        </w:rPr>
        <w:t xml:space="preserve"> more</w:t>
      </w:r>
      <w:r>
        <w:rPr>
          <w:rFonts w:cs="Arial"/>
          <w:bCs/>
          <w:lang w:eastAsia="en-AU"/>
        </w:rPr>
        <w:t xml:space="preserve"> rigorous analysis could be conducted using </w:t>
      </w:r>
      <w:r>
        <w:t>software such as FaultRisk</w:t>
      </w:r>
      <w:r w:rsidR="00B55882">
        <w:t xml:space="preserve"> (</w:t>
      </w:r>
      <w:r w:rsidR="00B55882" w:rsidRPr="00B55882">
        <w:t>https://www.faultseal.com/</w:t>
      </w:r>
      <w:r w:rsidR="00B55882">
        <w:t>)</w:t>
      </w:r>
      <w:r>
        <w:t>, FAST</w:t>
      </w:r>
      <w:r w:rsidR="00682428">
        <w:t xml:space="preserve"> </w:t>
      </w:r>
      <w:r w:rsidR="006C0FFD">
        <w:fldChar w:fldCharType="begin"/>
      </w:r>
      <w:r w:rsidR="00E25502">
        <w:instrText xml:space="preserve"> ADDIN EN.CITE &lt;EndNote&gt;&lt;Cite&gt;&lt;Author&gt;S.D.&lt;/Author&gt;&lt;Year&gt;2002&lt;/Year&gt;&lt;RecNum&gt;414&lt;/RecNum&gt;&lt;DisplayText&gt;(Mildren &amp;amp; Hillis, 2002)&lt;/DisplayText&gt;&lt;record&gt;&lt;rec-number&gt;414&lt;/rec-number&gt;&lt;foreign-keys&gt;&lt;key app="EN" db-id="wdw955e570trvge00ws5rpw1rf9dp9saxd29" timestamp="1440387912"&gt;414&lt;/key&gt;&lt;key app="ENWeb" db-id=""&gt;0&lt;/key&gt;&lt;/foreign-keys&gt;&lt;ref-type name="Conference Paper"&gt;47&lt;/ref-type&gt;&lt;contributors&gt;&lt;authors&gt;&lt;author&gt;S.D. Mildren&lt;/author&gt;&lt;author&gt;R.R. Hillis&lt;/author&gt;&lt;/authors&gt;&lt;/contributors&gt;&lt;titles&gt;&lt;title&gt;FAST: A new approach to risking fault reactivation and related seal breach&lt;/title&gt;&lt;secondary-title&gt;AAPG Hedberg Research Conference&lt;/secondary-title&gt;&lt;/titles&gt;&lt;pages&gt;101-103&lt;/pages&gt;&lt;dates&gt;&lt;year&gt;2002&lt;/year&gt;&lt;pub-dates&gt;&lt;date&gt;December 2002&lt;/date&gt;&lt;/pub-dates&gt;&lt;/dates&gt;&lt;pub-location&gt;Borossa Valley, South Australia&lt;/pub-location&gt;&lt;publisher&gt;American Assocciation of Petroleum Geologists&lt;/publisher&gt;&lt;urls&gt;&lt;/urls&gt;&lt;/record&gt;&lt;/Cite&gt;&lt;/EndNote&gt;</w:instrText>
      </w:r>
      <w:r w:rsidR="006C0FFD">
        <w:fldChar w:fldCharType="separate"/>
      </w:r>
      <w:r w:rsidR="00E25502">
        <w:rPr>
          <w:noProof/>
        </w:rPr>
        <w:t>(Mildren &amp; Hillis, 2002)</w:t>
      </w:r>
      <w:r w:rsidR="006C0FFD">
        <w:fldChar w:fldCharType="end"/>
      </w:r>
      <w:r>
        <w:t xml:space="preserve"> or TrapTester</w:t>
      </w:r>
      <w:r w:rsidR="00E9349B">
        <w:rPr>
          <w:rStyle w:val="FootnoteReference"/>
        </w:rPr>
        <w:footnoteReference w:id="1"/>
      </w:r>
      <w:r w:rsidR="0066745A">
        <w:t>; and</w:t>
      </w:r>
    </w:p>
    <w:p w14:paraId="3CB0485E" w14:textId="2D7F06CA" w:rsidR="00A52D05" w:rsidRPr="001A5F4C" w:rsidRDefault="00A37AC2" w:rsidP="00A52D05">
      <w:pPr>
        <w:pStyle w:val="ListParagraph"/>
        <w:numPr>
          <w:ilvl w:val="0"/>
          <w:numId w:val="4"/>
        </w:numPr>
        <w:rPr>
          <w:rFonts w:cs="Arial"/>
          <w:bCs/>
          <w:lang w:eastAsia="en-AU"/>
        </w:rPr>
      </w:pPr>
      <w:r>
        <w:t>Fault and fracture orientation and intensity may be inferred to some extent by</w:t>
      </w:r>
      <w:r w:rsidR="007B7582">
        <w:t xml:space="preserve"> analysis of the data from</w:t>
      </w:r>
      <w:r>
        <w:t xml:space="preserve"> seismic lines. Walsh and Watterson (1988) and Gillespie et al</w:t>
      </w:r>
      <w:r w:rsidR="001E1768">
        <w:t>.</w:t>
      </w:r>
      <w:r>
        <w:t xml:space="preserve"> (1993) identified a fractal relationship between fracture populations at different scales, which has be</w:t>
      </w:r>
      <w:r w:rsidR="007B7582">
        <w:t>en</w:t>
      </w:r>
      <w:r>
        <w:t xml:space="preserve"> shown to be valid for sub-populations at different azimuths. This suggests that a careful quantitative analysis of the observable faults can lead to a prediction of the population of smaller faults at different orientations</w:t>
      </w:r>
      <w:r w:rsidR="001E1768">
        <w:t xml:space="preserve"> (see Section 5.3)</w:t>
      </w:r>
      <w:r>
        <w:t xml:space="preserve">. </w:t>
      </w:r>
    </w:p>
    <w:p w14:paraId="65079699" w14:textId="158B7419" w:rsidR="00A52D05" w:rsidRPr="00A52D05" w:rsidRDefault="00A63B9F" w:rsidP="00E9349B">
      <w:pPr>
        <w:jc w:val="center"/>
        <w:rPr>
          <w:rFonts w:cs="Arial"/>
          <w:bCs/>
          <w:lang w:eastAsia="en-AU"/>
        </w:rPr>
      </w:pPr>
      <w:r>
        <w:rPr>
          <w:noProof/>
          <w:lang w:eastAsia="en-AU"/>
        </w:rPr>
        <w:drawing>
          <wp:inline distT="0" distB="0" distL="0" distR="0" wp14:anchorId="21F19570" wp14:editId="26F8496F">
            <wp:extent cx="5799008" cy="4986338"/>
            <wp:effectExtent l="0" t="0" r="0" b="5080"/>
            <wp:docPr id="6" name="Picture 6" descr="Diagram of various fault types."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l="58518" t="16929" r="15435" b="15748"/>
                    <a:stretch>
                      <a:fillRect/>
                    </a:stretch>
                  </pic:blipFill>
                  <pic:spPr bwMode="auto">
                    <a:xfrm>
                      <a:off x="0" y="0"/>
                      <a:ext cx="5814338" cy="4999520"/>
                    </a:xfrm>
                    <a:prstGeom prst="rect">
                      <a:avLst/>
                    </a:prstGeom>
                    <a:noFill/>
                    <a:ln w="9525">
                      <a:noFill/>
                      <a:miter lim="800000"/>
                      <a:headEnd/>
                      <a:tailEnd/>
                    </a:ln>
                  </pic:spPr>
                </pic:pic>
              </a:graphicData>
            </a:graphic>
          </wp:inline>
        </w:drawing>
      </w:r>
    </w:p>
    <w:p w14:paraId="583AFAD6" w14:textId="2A8E26EB" w:rsidR="009501C9" w:rsidRDefault="009501C9" w:rsidP="009501C9">
      <w:pPr>
        <w:pStyle w:val="Caption"/>
      </w:pPr>
      <w:bookmarkStart w:id="443" w:name="_Ref437523331"/>
      <w:bookmarkStart w:id="444" w:name="_Toc437524537"/>
      <w:bookmarkStart w:id="445" w:name="_Toc442353782"/>
      <w:r>
        <w:t xml:space="preserve">Figure </w:t>
      </w:r>
      <w:fldSimple w:instr=" SEQ Figure \* ARABIC ">
        <w:r w:rsidR="00ED1412">
          <w:rPr>
            <w:noProof/>
          </w:rPr>
          <w:t>1</w:t>
        </w:r>
      </w:fldSimple>
      <w:bookmarkEnd w:id="443"/>
      <w:r>
        <w:t>.</w:t>
      </w:r>
      <w:r w:rsidRPr="009501C9">
        <w:t xml:space="preserve"> </w:t>
      </w:r>
      <w:r w:rsidR="00C96F40">
        <w:t>Fault style</w:t>
      </w:r>
      <w:r>
        <w:t xml:space="preserve"> sketches showing</w:t>
      </w:r>
      <w:r w:rsidR="00C96F40">
        <w:t xml:space="preserve"> the</w:t>
      </w:r>
      <w:r>
        <w:t xml:space="preserve"> principal stress axes and slip classifications of various faults. Note that in theory all faults have a</w:t>
      </w:r>
      <w:r w:rsidR="00C96F40">
        <w:t xml:space="preserve"> certain amount of</w:t>
      </w:r>
      <w:r>
        <w:t xml:space="preserve"> rotational component because displacement</w:t>
      </w:r>
      <w:r w:rsidR="00C96F40">
        <w:t>,</w:t>
      </w:r>
      <w:r>
        <w:t xml:space="preserve"> even in a dip-slip fault</w:t>
      </w:r>
      <w:r w:rsidR="00C96F40">
        <w:t>,</w:t>
      </w:r>
      <w:r>
        <w:t xml:space="preserve"> varies along the fault length. However, in a rotational fault the variation is great</w:t>
      </w:r>
      <w:r w:rsidR="00C96F40">
        <w:t>er</w:t>
      </w:r>
      <w:r>
        <w:t xml:space="preserve"> between two nearby points along the fault strike</w:t>
      </w:r>
      <w:r w:rsidR="00C96F40">
        <w:t xml:space="preserve"> than can be accounted for simply by the fault plane geometry</w:t>
      </w:r>
      <w:r>
        <w:t>.  (Sorkhabi, 2013).</w:t>
      </w:r>
      <w:bookmarkEnd w:id="444"/>
      <w:bookmarkEnd w:id="445"/>
    </w:p>
    <w:p w14:paraId="323C9C01" w14:textId="3B5791B3" w:rsidR="00606611" w:rsidRDefault="009D2F38" w:rsidP="00E9349B">
      <w:pPr>
        <w:spacing w:before="240" w:after="0" w:line="240" w:lineRule="auto"/>
        <w:jc w:val="center"/>
      </w:pPr>
      <w:r>
        <w:rPr>
          <w:noProof/>
          <w:lang w:eastAsia="en-AU"/>
        </w:rPr>
        <w:lastRenderedPageBreak/>
        <w:drawing>
          <wp:inline distT="0" distB="0" distL="0" distR="0" wp14:anchorId="297D5D2A" wp14:editId="785957EA">
            <wp:extent cx="2963082" cy="4222750"/>
            <wp:effectExtent l="0" t="0" r="8890" b="6350"/>
            <wp:docPr id="36" name="Picture 36" descr="Schematic diagram of relay ramp evolution."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eolmag.geoscienceworld.org/content/144/4/687/F2.larg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68293" cy="4230177"/>
                    </a:xfrm>
                    <a:prstGeom prst="rect">
                      <a:avLst/>
                    </a:prstGeom>
                    <a:noFill/>
                    <a:ln>
                      <a:noFill/>
                    </a:ln>
                  </pic:spPr>
                </pic:pic>
              </a:graphicData>
            </a:graphic>
          </wp:inline>
        </w:drawing>
      </w:r>
    </w:p>
    <w:p w14:paraId="4B55355E" w14:textId="2747DC00" w:rsidR="009D2F38" w:rsidRPr="00D1739E" w:rsidRDefault="009501C9" w:rsidP="009501C9">
      <w:pPr>
        <w:pStyle w:val="Caption"/>
        <w:rPr>
          <w:rFonts w:eastAsia="Times New Roman" w:cs="Times New Roman"/>
          <w:lang w:eastAsia="en-AU"/>
        </w:rPr>
      </w:pPr>
      <w:bookmarkStart w:id="446" w:name="_Ref437523461"/>
      <w:bookmarkStart w:id="447" w:name="_Toc437524538"/>
      <w:bookmarkStart w:id="448" w:name="_Toc442353783"/>
      <w:r>
        <w:t xml:space="preserve">Figure </w:t>
      </w:r>
      <w:fldSimple w:instr=" SEQ Figure \* ARABIC ">
        <w:r w:rsidR="00ED1412">
          <w:rPr>
            <w:noProof/>
          </w:rPr>
          <w:t>2</w:t>
        </w:r>
      </w:fldSimple>
      <w:bookmarkEnd w:id="446"/>
      <w:r w:rsidR="00C70CB1" w:rsidRPr="00C70CB1">
        <w:t>.  S</w:t>
      </w:r>
      <w:r w:rsidR="00C70CB1" w:rsidRPr="00C70CB1">
        <w:rPr>
          <w:rFonts w:eastAsia="Times New Roman" w:cs="Times New Roman"/>
          <w:lang w:eastAsia="en-AU"/>
        </w:rPr>
        <w:t>chematic diagram showing evolutionary stages of a relay ramp. Tick marks on the map view depict the down-thrown block</w:t>
      </w:r>
      <w:r w:rsidR="00C70CB1">
        <w:rPr>
          <w:rFonts w:eastAsia="Times New Roman" w:cs="Times New Roman"/>
          <w:lang w:eastAsia="en-AU"/>
        </w:rPr>
        <w:t xml:space="preserve"> </w:t>
      </w:r>
      <w:r w:rsidR="00C70CB1" w:rsidRPr="00C70CB1">
        <w:rPr>
          <w:rFonts w:eastAsia="Times New Roman" w:cs="Times New Roman"/>
          <w:lang w:eastAsia="en-AU"/>
        </w:rPr>
        <w:t>of normal faults. (a) Stage I: the faults do not interact. (b) Stage II: the faults have started to interact and a relay ramp has developed to</w:t>
      </w:r>
      <w:r w:rsidR="00C70CB1">
        <w:rPr>
          <w:rFonts w:eastAsia="Times New Roman" w:cs="Times New Roman"/>
          <w:lang w:eastAsia="en-AU"/>
        </w:rPr>
        <w:t xml:space="preserve"> </w:t>
      </w:r>
      <w:r w:rsidR="00C70CB1" w:rsidRPr="00C70CB1">
        <w:rPr>
          <w:rFonts w:eastAsia="Times New Roman" w:cs="Times New Roman"/>
          <w:lang w:eastAsia="en-AU"/>
        </w:rPr>
        <w:t>transfer the displacement among the segments. (c) Stage III: accumulated strain in the relay ramp has resulted in initiation of fracturing.</w:t>
      </w:r>
      <w:r w:rsidR="00C70CB1">
        <w:rPr>
          <w:rFonts w:eastAsia="Times New Roman" w:cs="Times New Roman"/>
          <w:lang w:eastAsia="en-AU"/>
        </w:rPr>
        <w:t xml:space="preserve"> </w:t>
      </w:r>
      <w:r w:rsidR="00C70CB1" w:rsidRPr="00C70CB1">
        <w:rPr>
          <w:rFonts w:eastAsia="Times New Roman" w:cs="Times New Roman"/>
          <w:lang w:eastAsia="en-AU"/>
        </w:rPr>
        <w:t>(d) Stage IV: the relay ramp is broken by a breaching fault to form a single fault zone with strike irregularity. (e) Upper bench is</w:t>
      </w:r>
      <w:r w:rsidR="00D1739E">
        <w:rPr>
          <w:rFonts w:eastAsia="Times New Roman" w:cs="Times New Roman"/>
          <w:lang w:eastAsia="en-AU"/>
        </w:rPr>
        <w:t xml:space="preserve"> </w:t>
      </w:r>
      <w:r w:rsidR="00C70CB1" w:rsidRPr="00C70CB1">
        <w:rPr>
          <w:rFonts w:eastAsia="Times New Roman" w:cs="Times New Roman"/>
          <w:lang w:eastAsia="en-AU"/>
        </w:rPr>
        <w:t>abandoned and two segments joined through breaching of lower ramp that form an along-strike bend on the course of the main fault.</w:t>
      </w:r>
      <w:r w:rsidR="00D1739E">
        <w:rPr>
          <w:rFonts w:eastAsia="Times New Roman" w:cs="Times New Roman"/>
          <w:lang w:eastAsia="en-AU"/>
        </w:rPr>
        <w:t xml:space="preserve"> Ciftci and Bozkurt (2007) m</w:t>
      </w:r>
      <w:r w:rsidR="00C70CB1" w:rsidRPr="00C70CB1">
        <w:rPr>
          <w:rFonts w:eastAsia="Times New Roman" w:cs="Times New Roman"/>
          <w:lang w:eastAsia="en-AU"/>
        </w:rPr>
        <w:t>odified from Peacock &amp; Sanderson (1994).</w:t>
      </w:r>
      <w:bookmarkEnd w:id="447"/>
      <w:bookmarkEnd w:id="448"/>
    </w:p>
    <w:p w14:paraId="0D38032E" w14:textId="38468BD5" w:rsidR="009D2F38" w:rsidRDefault="009D2F38" w:rsidP="00E9349B">
      <w:pPr>
        <w:spacing w:before="240" w:after="0" w:line="240" w:lineRule="auto"/>
        <w:jc w:val="center"/>
      </w:pPr>
      <w:r>
        <w:rPr>
          <w:noProof/>
          <w:lang w:eastAsia="en-AU"/>
        </w:rPr>
        <w:drawing>
          <wp:inline distT="0" distB="0" distL="0" distR="0" wp14:anchorId="6573631C" wp14:editId="0088D361">
            <wp:extent cx="3765550" cy="2529101"/>
            <wp:effectExtent l="0" t="0" r="6350" b="5080"/>
            <wp:docPr id="37" name="Picture 37" descr="Image of relay ramp fault system."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ault-analysis-group.ucd.ie/gallery/Kilve_small_relay_mats_small.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95474" cy="2549199"/>
                    </a:xfrm>
                    <a:prstGeom prst="rect">
                      <a:avLst/>
                    </a:prstGeom>
                    <a:noFill/>
                    <a:ln>
                      <a:noFill/>
                    </a:ln>
                  </pic:spPr>
                </pic:pic>
              </a:graphicData>
            </a:graphic>
          </wp:inline>
        </w:drawing>
      </w:r>
    </w:p>
    <w:p w14:paraId="2A6A7B78" w14:textId="5E9D045B" w:rsidR="00606611" w:rsidRDefault="009501C9" w:rsidP="009501C9">
      <w:pPr>
        <w:pStyle w:val="Caption"/>
      </w:pPr>
      <w:bookmarkStart w:id="449" w:name="_Ref437523490"/>
      <w:bookmarkStart w:id="450" w:name="_Toc437524539"/>
      <w:bookmarkStart w:id="451" w:name="_Toc442353784"/>
      <w:r>
        <w:t xml:space="preserve">Figure </w:t>
      </w:r>
      <w:fldSimple w:instr=" SEQ Figure \* ARABIC ">
        <w:r w:rsidR="00ED1412">
          <w:rPr>
            <w:noProof/>
          </w:rPr>
          <w:t>3</w:t>
        </w:r>
      </w:fldSimple>
      <w:bookmarkEnd w:id="449"/>
      <w:r w:rsidR="00D1739E">
        <w:t>. A photo of a relay ramp between ~8cm displacement normal fault segments in the Liassic limestones and shales of Kilve, Somerset, UK (Fault Analysis Group, Dublin</w:t>
      </w:r>
      <w:r w:rsidR="00BE3A91">
        <w:rPr>
          <w:rStyle w:val="FootnoteReference"/>
        </w:rPr>
        <w:footnoteReference w:id="2"/>
      </w:r>
      <w:bookmarkEnd w:id="450"/>
      <w:r w:rsidR="009C69C0">
        <w:t>).</w:t>
      </w:r>
      <w:bookmarkEnd w:id="451"/>
      <w:r w:rsidR="00D1739E">
        <w:t xml:space="preserve"> </w:t>
      </w:r>
    </w:p>
    <w:p w14:paraId="520F6E67" w14:textId="77777777" w:rsidR="00A37AC2" w:rsidRDefault="00A37AC2" w:rsidP="00A63B9F">
      <w:pPr>
        <w:spacing w:before="240" w:after="0" w:line="240" w:lineRule="auto"/>
      </w:pPr>
      <w:r>
        <w:lastRenderedPageBreak/>
        <w:t>T</w:t>
      </w:r>
      <w:r w:rsidR="007B7582">
        <w:t>he seismic characterisation should</w:t>
      </w:r>
      <w:r>
        <w:t xml:space="preserve"> consist of:</w:t>
      </w:r>
    </w:p>
    <w:p w14:paraId="350B4E05" w14:textId="1BC246A9" w:rsidR="00A37AC2" w:rsidRPr="002851F2" w:rsidRDefault="00A37AC2" w:rsidP="00A63B9F">
      <w:pPr>
        <w:pStyle w:val="ListParagraph"/>
        <w:numPr>
          <w:ilvl w:val="0"/>
          <w:numId w:val="2"/>
        </w:numPr>
        <w:spacing w:before="240" w:after="0" w:line="240" w:lineRule="auto"/>
      </w:pPr>
      <w:r w:rsidRPr="002851F2">
        <w:rPr>
          <w:rFonts w:cs="Arial"/>
        </w:rPr>
        <w:t>Review of available data and existing interpretations about type, extent</w:t>
      </w:r>
      <w:r>
        <w:rPr>
          <w:rFonts w:cs="Arial"/>
        </w:rPr>
        <w:t>, displacement</w:t>
      </w:r>
      <w:r w:rsidRPr="002851F2">
        <w:rPr>
          <w:rFonts w:cs="Arial"/>
        </w:rPr>
        <w:t xml:space="preserve"> and location of faults</w:t>
      </w:r>
      <w:r w:rsidR="007F3604">
        <w:rPr>
          <w:rFonts w:cs="Arial"/>
        </w:rPr>
        <w:t>;</w:t>
      </w:r>
    </w:p>
    <w:p w14:paraId="0DBCDF2D" w14:textId="2001A4B3" w:rsidR="00A37AC2" w:rsidRPr="002851F2" w:rsidRDefault="00A37AC2" w:rsidP="00A63B9F">
      <w:pPr>
        <w:pStyle w:val="ListParagraph"/>
        <w:numPr>
          <w:ilvl w:val="0"/>
          <w:numId w:val="2"/>
        </w:numPr>
        <w:spacing w:line="240" w:lineRule="auto"/>
        <w:rPr>
          <w:rFonts w:cs="Arial"/>
        </w:rPr>
      </w:pPr>
      <w:r w:rsidRPr="002851F2">
        <w:rPr>
          <w:rFonts w:cs="Arial"/>
          <w:color w:val="000000" w:themeColor="text1"/>
        </w:rPr>
        <w:t xml:space="preserve">Interpretation of seismic line data using </w:t>
      </w:r>
      <w:r w:rsidR="00682428">
        <w:rPr>
          <w:rFonts w:cs="Arial"/>
          <w:color w:val="000000" w:themeColor="text1"/>
        </w:rPr>
        <w:t>well</w:t>
      </w:r>
      <w:r w:rsidR="00682428" w:rsidRPr="002851F2">
        <w:rPr>
          <w:rFonts w:cs="Arial"/>
          <w:color w:val="000000" w:themeColor="text1"/>
        </w:rPr>
        <w:t xml:space="preserve"> </w:t>
      </w:r>
      <w:r w:rsidRPr="002851F2">
        <w:rPr>
          <w:rFonts w:cs="Arial"/>
          <w:color w:val="000000" w:themeColor="text1"/>
        </w:rPr>
        <w:t xml:space="preserve">logs and </w:t>
      </w:r>
      <w:r w:rsidRPr="002851F2">
        <w:rPr>
          <w:rFonts w:cs="Arial"/>
        </w:rPr>
        <w:t>ki</w:t>
      </w:r>
      <w:r w:rsidRPr="002851F2">
        <w:rPr>
          <w:rFonts w:cs="Arial"/>
          <w:color w:val="000000" w:themeColor="text1"/>
        </w:rPr>
        <w:t>nematic analysis to constrain correlation</w:t>
      </w:r>
      <w:r w:rsidR="007B7582">
        <w:rPr>
          <w:rFonts w:cs="Arial"/>
          <w:color w:val="000000" w:themeColor="text1"/>
        </w:rPr>
        <w:t>s</w:t>
      </w:r>
      <w:r w:rsidR="001E1768">
        <w:rPr>
          <w:rFonts w:cs="Arial"/>
          <w:color w:val="000000" w:themeColor="text1"/>
        </w:rPr>
        <w:t xml:space="preserve"> </w:t>
      </w:r>
      <w:r w:rsidR="007F3604">
        <w:rPr>
          <w:rFonts w:cs="Arial"/>
          <w:color w:val="000000" w:themeColor="text1"/>
        </w:rPr>
        <w:t>of fault intersections between various seismic lines</w:t>
      </w:r>
      <w:r w:rsidRPr="002851F2">
        <w:rPr>
          <w:rFonts w:cs="Arial"/>
          <w:color w:val="000000" w:themeColor="text1"/>
        </w:rPr>
        <w:t xml:space="preserve"> including </w:t>
      </w:r>
      <w:r w:rsidRPr="002851F2">
        <w:t>assessing the fault throw and the fa</w:t>
      </w:r>
      <w:r w:rsidR="00BB188C">
        <w:t>ult vertical extent</w:t>
      </w:r>
      <w:r>
        <w:t>.</w:t>
      </w:r>
      <w:r w:rsidR="007F3604">
        <w:t xml:space="preserve"> Use of 3D seismic volumes (where available) can reduce the fault correlation uncertainty;</w:t>
      </w:r>
    </w:p>
    <w:p w14:paraId="21CA6E28" w14:textId="7A183D91" w:rsidR="00A37AC2" w:rsidRDefault="00A37AC2" w:rsidP="00A63B9F">
      <w:pPr>
        <w:pStyle w:val="ListParagraph"/>
        <w:numPr>
          <w:ilvl w:val="0"/>
          <w:numId w:val="2"/>
        </w:numPr>
        <w:spacing w:line="240" w:lineRule="auto"/>
      </w:pPr>
      <w:r>
        <w:t>Construct a</w:t>
      </w:r>
      <w:r w:rsidRPr="002851F2">
        <w:t xml:space="preserve"> 3D fault model consisting of 3D surfaces representing the interpreted faults</w:t>
      </w:r>
      <w:r w:rsidR="007F3604">
        <w:t>;</w:t>
      </w:r>
    </w:p>
    <w:p w14:paraId="6DF0BFD5" w14:textId="0EFEDC04" w:rsidR="00A37AC2" w:rsidRDefault="00A37AC2" w:rsidP="00A63B9F">
      <w:pPr>
        <w:pStyle w:val="ListParagraph"/>
        <w:numPr>
          <w:ilvl w:val="0"/>
          <w:numId w:val="2"/>
        </w:numPr>
        <w:spacing w:line="240" w:lineRule="auto"/>
      </w:pPr>
      <w:r w:rsidRPr="002851F2">
        <w:t>Assess the sufficiency of the existing seismic surveys to adequately characterise f</w:t>
      </w:r>
      <w:r w:rsidR="007B7582">
        <w:t>racture intensities</w:t>
      </w:r>
      <w:r w:rsidRPr="002851F2">
        <w:t xml:space="preserve"> and to estimate different fault orientations, considering the direction and spacing of seismic lines relative to expected fault orientations</w:t>
      </w:r>
      <w:r w:rsidR="0026766B">
        <w:t>; and</w:t>
      </w:r>
    </w:p>
    <w:p w14:paraId="47FC3D46" w14:textId="77777777" w:rsidR="00D77D84" w:rsidRDefault="00D77D84" w:rsidP="00A63B9F">
      <w:pPr>
        <w:pStyle w:val="ListParagraph"/>
        <w:numPr>
          <w:ilvl w:val="0"/>
          <w:numId w:val="2"/>
        </w:numPr>
        <w:spacing w:line="240" w:lineRule="auto"/>
      </w:pPr>
      <w:r>
        <w:t>Review the interpreted fault architecture in the context of outcrop analogues</w:t>
      </w:r>
      <w:r w:rsidR="001E1768">
        <w:t>.</w:t>
      </w:r>
    </w:p>
    <w:p w14:paraId="2993B41F" w14:textId="7D34382A" w:rsidR="00CF68C6" w:rsidRDefault="004A55C6" w:rsidP="001A5F4C">
      <w:pPr>
        <w:spacing w:line="240" w:lineRule="auto"/>
      </w:pPr>
      <w:r>
        <w:t>An e</w:t>
      </w:r>
      <w:r w:rsidR="00BB188C">
        <w:t>xample of fault zone architecture can be</w:t>
      </w:r>
      <w:r w:rsidR="00CF68C6">
        <w:t xml:space="preserve"> gained from outcrop analogue studies</w:t>
      </w:r>
      <w:r w:rsidR="00BB188C">
        <w:t xml:space="preserve"> such as</w:t>
      </w:r>
      <w:r w:rsidR="00CF68C6">
        <w:t xml:space="preserve"> that shown in</w:t>
      </w:r>
      <w:r>
        <w:t xml:space="preserve"> Figure</w:t>
      </w:r>
      <w:r w:rsidR="00BB188C">
        <w:t xml:space="preserve"> </w:t>
      </w:r>
      <w:r w:rsidR="009626D8">
        <w:t>4</w:t>
      </w:r>
      <w:r w:rsidR="00BB188C">
        <w:t>.</w:t>
      </w:r>
      <w:r w:rsidR="00CF68C6">
        <w:t xml:space="preserve">  These can be related back to </w:t>
      </w:r>
      <w:r w:rsidR="0026766B">
        <w:t xml:space="preserve">a </w:t>
      </w:r>
      <w:r w:rsidR="00CF68C6">
        <w:t>subsurface characterisation constructed</w:t>
      </w:r>
      <w:r w:rsidR="006A28CD">
        <w:t xml:space="preserve"> f</w:t>
      </w:r>
      <w:r w:rsidR="00CF68C6">
        <w:t>r</w:t>
      </w:r>
      <w:r w:rsidR="006A28CD">
        <w:t>o</w:t>
      </w:r>
      <w:r w:rsidR="00CF68C6">
        <w:t>m seismic interpretation.</w:t>
      </w:r>
    </w:p>
    <w:p w14:paraId="2271CDAC" w14:textId="77777777" w:rsidR="00CF68C6" w:rsidRDefault="00CF68C6" w:rsidP="00E9349B">
      <w:pPr>
        <w:jc w:val="center"/>
        <w:rPr>
          <w:lang w:eastAsia="en-AU"/>
        </w:rPr>
      </w:pPr>
      <w:r>
        <w:rPr>
          <w:noProof/>
          <w:lang w:eastAsia="en-AU"/>
        </w:rPr>
        <w:drawing>
          <wp:inline distT="0" distB="0" distL="0" distR="0" wp14:anchorId="79B2A733" wp14:editId="4278F320">
            <wp:extent cx="5570290" cy="3457209"/>
            <wp:effectExtent l="0" t="0" r="0" b="0"/>
            <wp:docPr id="13" name="Picture 13" descr="Image and diagram of conjugatefault system."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utcrop hourglass.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570819" cy="3457538"/>
                    </a:xfrm>
                    <a:prstGeom prst="rect">
                      <a:avLst/>
                    </a:prstGeom>
                  </pic:spPr>
                </pic:pic>
              </a:graphicData>
            </a:graphic>
          </wp:inline>
        </w:drawing>
      </w:r>
    </w:p>
    <w:p w14:paraId="32FF611F" w14:textId="7861879F" w:rsidR="00CF68C6" w:rsidRDefault="00391D3A" w:rsidP="00391D3A">
      <w:pPr>
        <w:pStyle w:val="Caption"/>
        <w:rPr>
          <w:rFonts w:cs="Times New Roman"/>
        </w:rPr>
      </w:pPr>
      <w:bookmarkStart w:id="452" w:name="_Ref432604726"/>
      <w:bookmarkStart w:id="453" w:name="_Toc442353785"/>
      <w:r>
        <w:t xml:space="preserve">Figure </w:t>
      </w:r>
      <w:fldSimple w:instr=" SEQ Figure \* ARABIC ">
        <w:r w:rsidR="00ED1412">
          <w:rPr>
            <w:noProof/>
          </w:rPr>
          <w:t>4</w:t>
        </w:r>
      </w:fldSimple>
      <w:bookmarkEnd w:id="452"/>
      <w:r>
        <w:t>.</w:t>
      </w:r>
      <w:r w:rsidR="00CF68C6" w:rsidRPr="00CF68C6">
        <w:rPr>
          <w:rFonts w:cs="Times New Roman"/>
        </w:rPr>
        <w:t xml:space="preserve"> Conjugate fault system exposed in a 60 m high vertical cliff section of Liassic</w:t>
      </w:r>
      <w:r w:rsidR="009501C9">
        <w:rPr>
          <w:rFonts w:cs="Times New Roman"/>
        </w:rPr>
        <w:t xml:space="preserve"> </w:t>
      </w:r>
      <w:r w:rsidR="00CF68C6" w:rsidRPr="00CF68C6">
        <w:rPr>
          <w:rFonts w:cs="Times New Roman"/>
        </w:rPr>
        <w:t>Limestone, Nash Point, South Wales. From Watterson et al. (1998) and images provided by Fault Analysis Group, Dublin</w:t>
      </w:r>
      <w:r w:rsidR="00F54327" w:rsidRPr="00F54327">
        <w:rPr>
          <w:rFonts w:cs="Times New Roman"/>
          <w:vertAlign w:val="superscript"/>
        </w:rPr>
        <w:t>1</w:t>
      </w:r>
      <w:r w:rsidR="00CF68C6" w:rsidRPr="00CF68C6">
        <w:rPr>
          <w:rFonts w:cs="Times New Roman"/>
        </w:rPr>
        <w:t>.</w:t>
      </w:r>
      <w:bookmarkEnd w:id="453"/>
    </w:p>
    <w:p w14:paraId="2B1B9E79" w14:textId="77777777" w:rsidR="00E9349B" w:rsidRPr="00E9349B" w:rsidRDefault="00E9349B" w:rsidP="00E9349B"/>
    <w:p w14:paraId="0A3DA866" w14:textId="427BC0F4" w:rsidR="00BB188C" w:rsidRDefault="003B42D7" w:rsidP="00BB188C">
      <w:pPr>
        <w:pStyle w:val="Heading2"/>
      </w:pPr>
      <w:bookmarkStart w:id="454" w:name="_Toc442351506"/>
      <w:r>
        <w:t>Mechanical Seal Capacity of Faults and Fault R</w:t>
      </w:r>
      <w:r w:rsidR="00BB188C">
        <w:t>eactivation</w:t>
      </w:r>
      <w:bookmarkEnd w:id="454"/>
    </w:p>
    <w:p w14:paraId="5ACD52ED" w14:textId="70BC719B" w:rsidR="00606611" w:rsidRDefault="00E66C44" w:rsidP="00A63B9F">
      <w:pPr>
        <w:spacing w:line="240" w:lineRule="auto"/>
        <w:rPr>
          <w:rFonts w:cs="Times New Roman"/>
        </w:rPr>
      </w:pPr>
      <w:r>
        <w:rPr>
          <w:rFonts w:cs="Times New Roman"/>
        </w:rPr>
        <w:t xml:space="preserve">In </w:t>
      </w:r>
      <w:r w:rsidR="005A60D3">
        <w:rPr>
          <w:rFonts w:cs="Times New Roman"/>
        </w:rPr>
        <w:t>the context of this</w:t>
      </w:r>
      <w:r w:rsidR="004321C0">
        <w:rPr>
          <w:rFonts w:cs="Times New Roman"/>
        </w:rPr>
        <w:t xml:space="preserve"> literature</w:t>
      </w:r>
      <w:r w:rsidR="005A60D3">
        <w:rPr>
          <w:rFonts w:cs="Times New Roman"/>
        </w:rPr>
        <w:t xml:space="preserve"> review it is important to consider the transient component of the CSG development cycle and how </w:t>
      </w:r>
      <w:r w:rsidR="0020078E">
        <w:rPr>
          <w:rFonts w:cs="Times New Roman"/>
        </w:rPr>
        <w:t xml:space="preserve">this </w:t>
      </w:r>
      <w:r w:rsidR="005A60D3">
        <w:rPr>
          <w:rFonts w:cs="Times New Roman"/>
        </w:rPr>
        <w:t xml:space="preserve">may relate to changing fault seal </w:t>
      </w:r>
      <w:r w:rsidR="0026766B">
        <w:rPr>
          <w:rFonts w:cs="Times New Roman"/>
        </w:rPr>
        <w:t xml:space="preserve">capacity </w:t>
      </w:r>
      <w:r w:rsidR="005A60D3">
        <w:rPr>
          <w:rFonts w:cs="Times New Roman"/>
        </w:rPr>
        <w:t xml:space="preserve">over time.  Primarily this is the result of the </w:t>
      </w:r>
      <w:r w:rsidR="009626D8">
        <w:rPr>
          <w:rFonts w:cs="Times New Roman"/>
        </w:rPr>
        <w:t xml:space="preserve">transient induced pressure conditions that occasionally includes a short period of increased pressure during reservoir stimulation but is dominated by </w:t>
      </w:r>
      <w:r w:rsidR="005A60D3">
        <w:rPr>
          <w:rFonts w:cs="Times New Roman"/>
        </w:rPr>
        <w:t xml:space="preserve">progressive pressure decline of the CSG reservoir and the related changes to effective stress.  </w:t>
      </w:r>
      <w:r w:rsidR="0026766B">
        <w:rPr>
          <w:rFonts w:cs="Times New Roman"/>
        </w:rPr>
        <w:t>The pressure decline</w:t>
      </w:r>
      <w:r w:rsidR="009626D8">
        <w:rPr>
          <w:rFonts w:cs="Times New Roman"/>
        </w:rPr>
        <w:t xml:space="preserve"> phase</w:t>
      </w:r>
      <w:r w:rsidR="0026766B">
        <w:rPr>
          <w:rFonts w:cs="Times New Roman"/>
        </w:rPr>
        <w:t xml:space="preserve"> could occur over a 30-40 year development p</w:t>
      </w:r>
      <w:r w:rsidR="00F51123">
        <w:rPr>
          <w:rFonts w:cs="Times New Roman"/>
        </w:rPr>
        <w:t>lan and then recovery could occur over</w:t>
      </w:r>
      <w:r w:rsidR="0026766B">
        <w:rPr>
          <w:rFonts w:cs="Times New Roman"/>
        </w:rPr>
        <w:t xml:space="preserve"> that much again</w:t>
      </w:r>
      <w:r w:rsidR="009626D8">
        <w:rPr>
          <w:rFonts w:cs="Times New Roman"/>
        </w:rPr>
        <w:t xml:space="preserve"> or longer</w:t>
      </w:r>
      <w:r w:rsidR="004C49B8">
        <w:rPr>
          <w:rFonts w:cs="Times New Roman"/>
        </w:rPr>
        <w:t xml:space="preserve"> (CH2MHILL, 2013)</w:t>
      </w:r>
      <w:r w:rsidR="0026766B">
        <w:rPr>
          <w:rFonts w:cs="Times New Roman"/>
        </w:rPr>
        <w:t xml:space="preserve">. </w:t>
      </w:r>
      <w:r w:rsidR="005A60D3">
        <w:rPr>
          <w:rFonts w:cs="Times New Roman"/>
        </w:rPr>
        <w:t>To incorporate this in regional grou</w:t>
      </w:r>
      <w:r w:rsidR="004321C0">
        <w:rPr>
          <w:rFonts w:cs="Times New Roman"/>
        </w:rPr>
        <w:t>ndwater models may require</w:t>
      </w:r>
      <w:r w:rsidR="005A60D3">
        <w:rPr>
          <w:rFonts w:cs="Times New Roman"/>
        </w:rPr>
        <w:t xml:space="preserve"> a novel approach </w:t>
      </w:r>
      <w:r w:rsidR="00F51123">
        <w:rPr>
          <w:rFonts w:cs="Times New Roman"/>
        </w:rPr>
        <w:t>of coupling with</w:t>
      </w:r>
      <w:r w:rsidR="005A60D3">
        <w:rPr>
          <w:rFonts w:cs="Times New Roman"/>
        </w:rPr>
        <w:t xml:space="preserve"> geomechanical modelling. The end result is that a transient permeability field may require consideration.</w:t>
      </w:r>
      <w:r w:rsidR="00BD0B12">
        <w:rPr>
          <w:rFonts w:cs="Times New Roman"/>
        </w:rPr>
        <w:t xml:space="preserve">  To accomplish this a coupled modelling process could be designed where at each time step the change in formation pressure</w:t>
      </w:r>
      <w:r w:rsidR="00EA59A3">
        <w:rPr>
          <w:rFonts w:cs="Times New Roman"/>
        </w:rPr>
        <w:t xml:space="preserve"> (P)</w:t>
      </w:r>
      <w:r w:rsidR="00BD0B12">
        <w:rPr>
          <w:rFonts w:cs="Times New Roman"/>
        </w:rPr>
        <w:t xml:space="preserve"> could be input to a geomechanical model </w:t>
      </w:r>
      <w:r w:rsidR="00645A96">
        <w:rPr>
          <w:rFonts w:cs="Times New Roman"/>
        </w:rPr>
        <w:t>(e.g. FLAC</w:t>
      </w:r>
      <w:r w:rsidR="0026766B">
        <w:rPr>
          <w:rFonts w:cs="Times New Roman"/>
        </w:rPr>
        <w:t xml:space="preserve"> or COMSOL multiphysics</w:t>
      </w:r>
      <w:r w:rsidR="00645A96">
        <w:rPr>
          <w:rFonts w:cs="Times New Roman"/>
        </w:rPr>
        <w:t xml:space="preserve">) </w:t>
      </w:r>
      <w:r w:rsidR="00BD0B12">
        <w:rPr>
          <w:rFonts w:cs="Times New Roman"/>
        </w:rPr>
        <w:t>that</w:t>
      </w:r>
      <w:r w:rsidR="00F51123">
        <w:rPr>
          <w:rFonts w:cs="Times New Roman"/>
        </w:rPr>
        <w:t xml:space="preserve"> updates</w:t>
      </w:r>
      <w:r w:rsidR="00BD0B12">
        <w:rPr>
          <w:rFonts w:cs="Times New Roman"/>
        </w:rPr>
        <w:t xml:space="preserve"> the permeability distribution based on the new effective stress. This new permeability distribution could </w:t>
      </w:r>
      <w:r w:rsidR="007B04DD">
        <w:rPr>
          <w:rFonts w:cs="Times New Roman"/>
        </w:rPr>
        <w:t>in turn</w:t>
      </w:r>
      <w:r w:rsidR="00BD0B12">
        <w:rPr>
          <w:rFonts w:cs="Times New Roman"/>
        </w:rPr>
        <w:t xml:space="preserve"> be used to update the groundwater flow model for the proceeding time-step.  These coupled </w:t>
      </w:r>
      <w:r w:rsidR="00BD0B12">
        <w:rPr>
          <w:rFonts w:cs="Times New Roman"/>
        </w:rPr>
        <w:lastRenderedPageBreak/>
        <w:t xml:space="preserve">approaches have been used at the hydrocarbon field-scale </w:t>
      </w:r>
      <w:r w:rsidR="006C0FFD">
        <w:rPr>
          <w:rFonts w:cs="Times New Roman"/>
        </w:rPr>
        <w:fldChar w:fldCharType="begin"/>
      </w:r>
      <w:r w:rsidR="00BD0B12">
        <w:rPr>
          <w:rFonts w:cs="Times New Roman"/>
        </w:rPr>
        <w:instrText xml:space="preserve"> ADDIN EN.CITE &lt;EndNote&gt;&lt;Cite&gt;&lt;Author&gt;Zhang&lt;/Author&gt;&lt;Year&gt;2011&lt;/Year&gt;&lt;RecNum&gt;16&lt;/RecNum&gt;&lt;DisplayText&gt;(Zhang et al., 2011)&lt;/DisplayText&gt;&lt;record&gt;&lt;rec-number&gt;16&lt;/rec-number&gt;&lt;foreign-keys&gt;&lt;key app="EN" db-id="wdw955e570trvge00ws5rpw1rf9dp9saxd29" timestamp="1436146406"&gt;16&lt;/key&gt;&lt;/foreign-keys&gt;&lt;ref-type name="Journal Article"&gt;17&lt;/ref-type&gt;&lt;contributors&gt;&lt;authors&gt;&lt;author&gt;Zhang, Y.&lt;/author&gt;&lt;author&gt;Underschultz, J. R.&lt;/author&gt;&lt;author&gt;Gartrell, A.&lt;/author&gt;&lt;author&gt;Dewhurst, D. N.&lt;/author&gt;&lt;author&gt;Langhi, L.&lt;/author&gt;&lt;/authors&gt;&lt;/contributors&gt;&lt;titles&gt;&lt;title&gt;Effects of regional fluid pressure gradients on strain localisation and fluid flow during extensional fault reactivation&lt;/title&gt;&lt;secondary-title&gt;Marine and Petroleum Geology&lt;/secondary-title&gt;&lt;/titles&gt;&lt;periodical&gt;&lt;full-title&gt;Marine and Petroleum Geology&lt;/full-title&gt;&lt;/periodical&gt;&lt;pages&gt;1703-1713&lt;/pages&gt;&lt;volume&gt;28&lt;/volume&gt;&lt;number&gt;9&lt;/number&gt;&lt;dates&gt;&lt;year&gt;2011&lt;/year&gt;&lt;pub-dates&gt;&lt;date&gt;Sep&lt;/date&gt;&lt;/pub-dates&gt;&lt;/dates&gt;&lt;isbn&gt;0264-8172&lt;/isbn&gt;&lt;accession-num&gt;WOS:000295345900009&lt;/accession-num&gt;&lt;urls&gt;&lt;related-urls&gt;&lt;url&gt;&amp;lt;Go to ISI&amp;gt;://WOS:000295345900009&lt;/url&gt;&lt;url&gt;http://ac.els-cdn.com/S0264817211001711/1-s2.0-S0264817211001711-main.pdf?_tid=c774435a-2380-11e5-8fd2-00000aab0f02&amp;amp;acdnat=1436147351_357ff35f633ccc97c2c2b04b7a0e7702&lt;/url&gt;&lt;/related-urls&gt;&lt;/urls&gt;&lt;electronic-resource-num&gt;10.1016/j.marpetgeo.2011.07.006&lt;/electronic-resource-num&gt;&lt;/record&gt;&lt;/Cite&gt;&lt;/EndNote&gt;</w:instrText>
      </w:r>
      <w:r w:rsidR="006C0FFD">
        <w:rPr>
          <w:rFonts w:cs="Times New Roman"/>
        </w:rPr>
        <w:fldChar w:fldCharType="separate"/>
      </w:r>
      <w:r w:rsidR="00BD0B12">
        <w:rPr>
          <w:rFonts w:cs="Times New Roman"/>
          <w:noProof/>
        </w:rPr>
        <w:t>(Zhang et al., 2011)</w:t>
      </w:r>
      <w:r w:rsidR="006C0FFD">
        <w:rPr>
          <w:rFonts w:cs="Times New Roman"/>
        </w:rPr>
        <w:fldChar w:fldCharType="end"/>
      </w:r>
      <w:r w:rsidR="00BD0B12">
        <w:rPr>
          <w:rFonts w:cs="Times New Roman"/>
        </w:rPr>
        <w:t xml:space="preserve"> but not to our knowledge i</w:t>
      </w:r>
      <w:r w:rsidR="004C49B8">
        <w:rPr>
          <w:rFonts w:cs="Times New Roman"/>
        </w:rPr>
        <w:t>n a regional groundwater model.</w:t>
      </w:r>
    </w:p>
    <w:p w14:paraId="11F34503" w14:textId="437AF536" w:rsidR="00BB188C" w:rsidRDefault="004321C0" w:rsidP="00A63B9F">
      <w:pPr>
        <w:spacing w:line="240" w:lineRule="auto"/>
        <w:rPr>
          <w:rFonts w:cs="Times New Roman"/>
        </w:rPr>
      </w:pPr>
      <w:r>
        <w:rPr>
          <w:rFonts w:cs="Times New Roman"/>
        </w:rPr>
        <w:t>The r</w:t>
      </w:r>
      <w:r w:rsidR="00BB188C" w:rsidRPr="00AB2E89">
        <w:rPr>
          <w:rFonts w:cs="Times New Roman"/>
        </w:rPr>
        <w:t>eactivation</w:t>
      </w:r>
      <w:r w:rsidR="00BB188C" w:rsidRPr="00F143CC">
        <w:rPr>
          <w:rFonts w:cs="Times New Roman"/>
        </w:rPr>
        <w:t xml:space="preserve"> </w:t>
      </w:r>
      <w:r w:rsidR="00BB188C">
        <w:rPr>
          <w:rFonts w:cs="Times New Roman"/>
        </w:rPr>
        <w:t xml:space="preserve">potential </w:t>
      </w:r>
      <w:r w:rsidR="00BB188C" w:rsidRPr="00F143CC">
        <w:rPr>
          <w:rFonts w:cs="Times New Roman"/>
        </w:rPr>
        <w:t>can be evaluated by examining the fault zone orientation</w:t>
      </w:r>
      <w:r w:rsidR="00BB188C">
        <w:rPr>
          <w:rFonts w:cs="Times New Roman"/>
        </w:rPr>
        <w:t xml:space="preserve"> in combination with</w:t>
      </w:r>
      <w:r w:rsidR="00BB188C" w:rsidRPr="00F143CC">
        <w:rPr>
          <w:rFonts w:cs="Times New Roman"/>
        </w:rPr>
        <w:t xml:space="preserve"> the</w:t>
      </w:r>
      <w:r w:rsidR="00BB188C" w:rsidRPr="0085141C">
        <w:rPr>
          <w:rFonts w:cs="Times New Roman"/>
        </w:rPr>
        <w:t xml:space="preserve"> m</w:t>
      </w:r>
      <w:r w:rsidR="00BB188C">
        <w:rPr>
          <w:rFonts w:cs="Times New Roman"/>
        </w:rPr>
        <w:t xml:space="preserve">echanical strength of the fault, the </w:t>
      </w:r>
      <w:r w:rsidR="00BB188C" w:rsidRPr="00F143CC">
        <w:rPr>
          <w:rFonts w:cs="Times New Roman"/>
        </w:rPr>
        <w:t xml:space="preserve">in-situ stress and the pore pressure (Mildren et al. 2002). The areas </w:t>
      </w:r>
      <w:r w:rsidR="007B04DD">
        <w:rPr>
          <w:rFonts w:cs="Times New Roman"/>
        </w:rPr>
        <w:t>with the highest chance of reactivation</w:t>
      </w:r>
      <w:r w:rsidR="00BB188C">
        <w:rPr>
          <w:rFonts w:cs="Times New Roman"/>
        </w:rPr>
        <w:t xml:space="preserve"> are fault bends </w:t>
      </w:r>
      <w:r w:rsidR="00BB188C" w:rsidRPr="00F143CC">
        <w:rPr>
          <w:rFonts w:cs="Times New Roman"/>
        </w:rPr>
        <w:t>orientated at critical angles to the stress field</w:t>
      </w:r>
      <w:r w:rsidR="00BB188C">
        <w:rPr>
          <w:rFonts w:cs="Times New Roman"/>
        </w:rPr>
        <w:t xml:space="preserve"> (Gartrell et al., 2002)</w:t>
      </w:r>
      <w:r w:rsidR="00BB188C" w:rsidRPr="00F143CC">
        <w:rPr>
          <w:rFonts w:cs="Times New Roman"/>
        </w:rPr>
        <w:t xml:space="preserve">. </w:t>
      </w:r>
      <w:r>
        <w:rPr>
          <w:rFonts w:cs="Arial"/>
          <w:bCs/>
          <w:lang w:eastAsia="en-AU"/>
        </w:rPr>
        <w:t xml:space="preserve">As the effective stress changes due to a change in pore pressure or overburden load, it will move </w:t>
      </w:r>
      <w:r w:rsidRPr="00F143CC">
        <w:rPr>
          <w:rFonts w:cs="Times New Roman"/>
        </w:rPr>
        <w:t>the fa</w:t>
      </w:r>
      <w:r>
        <w:rPr>
          <w:rFonts w:cs="Times New Roman"/>
        </w:rPr>
        <w:t>ult zone</w:t>
      </w:r>
      <w:r w:rsidR="00F95B0C">
        <w:rPr>
          <w:rFonts w:cs="Times New Roman"/>
        </w:rPr>
        <w:t xml:space="preserve"> stress condition</w:t>
      </w:r>
      <w:r>
        <w:rPr>
          <w:rFonts w:cs="Arial"/>
          <w:bCs/>
          <w:lang w:eastAsia="en-AU"/>
        </w:rPr>
        <w:t xml:space="preserve"> relative to the failure condition (either closer or further away).  The distribution of effective stress relative to the failure criteria</w:t>
      </w:r>
      <w:r w:rsidR="003B42D7">
        <w:rPr>
          <w:rFonts w:cs="Arial"/>
          <w:bCs/>
          <w:lang w:eastAsia="en-AU"/>
        </w:rPr>
        <w:t xml:space="preserve"> </w:t>
      </w:r>
      <w:r>
        <w:rPr>
          <w:rFonts w:cs="Arial"/>
          <w:bCs/>
          <w:lang w:eastAsia="en-AU"/>
        </w:rPr>
        <w:t xml:space="preserve">under various transient conditions can be used to map relative </w:t>
      </w:r>
      <w:r w:rsidR="007B04DD">
        <w:rPr>
          <w:rFonts w:cs="Arial"/>
          <w:bCs/>
          <w:lang w:eastAsia="en-AU"/>
        </w:rPr>
        <w:t xml:space="preserve">liklihood </w:t>
      </w:r>
      <w:r>
        <w:rPr>
          <w:rFonts w:cs="Arial"/>
          <w:bCs/>
          <w:lang w:eastAsia="en-AU"/>
        </w:rPr>
        <w:t>of fault reactivation on the fault plane.</w:t>
      </w:r>
      <w:r w:rsidRPr="00F143CC">
        <w:rPr>
          <w:rFonts w:cs="Times New Roman"/>
        </w:rPr>
        <w:t xml:space="preserve"> </w:t>
      </w:r>
      <w:r w:rsidR="00BB188C">
        <w:rPr>
          <w:rFonts w:cs="Times New Roman"/>
        </w:rPr>
        <w:t xml:space="preserve">This can be examined with a Mohr-Coulomb type analysis. </w:t>
      </w:r>
      <w:r>
        <w:rPr>
          <w:rFonts w:cs="Times New Roman"/>
        </w:rPr>
        <w:t>Additionally, h</w:t>
      </w:r>
      <w:r w:rsidR="00BB188C" w:rsidRPr="00F143CC">
        <w:rPr>
          <w:rFonts w:cs="Times New Roman"/>
        </w:rPr>
        <w:t>ydrodynamic techniques can be employed to characterise the pore pressure distribution, and the change in pore pressure over time</w:t>
      </w:r>
      <w:r w:rsidR="00BB188C">
        <w:rPr>
          <w:rFonts w:cs="Times New Roman"/>
        </w:rPr>
        <w:t xml:space="preserve"> (Underschultz, 2005).</w:t>
      </w:r>
    </w:p>
    <w:p w14:paraId="3CAB41AE" w14:textId="77777777" w:rsidR="00BB188C" w:rsidRDefault="00BB188C" w:rsidP="00A63B9F">
      <w:pPr>
        <w:spacing w:line="240" w:lineRule="auto"/>
        <w:rPr>
          <w:rFonts w:cs="Times New Roman"/>
        </w:rPr>
      </w:pPr>
      <w:r>
        <w:rPr>
          <w:rFonts w:cs="Times New Roman"/>
        </w:rPr>
        <w:t>The mechanical fault reactivation potential analysis should consist of:</w:t>
      </w:r>
    </w:p>
    <w:p w14:paraId="110395E4" w14:textId="62A7A565" w:rsidR="00BB188C" w:rsidRPr="00A14815" w:rsidRDefault="004321C0" w:rsidP="00A63B9F">
      <w:pPr>
        <w:pStyle w:val="ListParagraph"/>
        <w:numPr>
          <w:ilvl w:val="0"/>
          <w:numId w:val="3"/>
        </w:numPr>
        <w:spacing w:line="240" w:lineRule="auto"/>
        <w:rPr>
          <w:rFonts w:cs="Arial"/>
          <w:bCs/>
          <w:lang w:eastAsia="en-AU"/>
        </w:rPr>
      </w:pPr>
      <w:r>
        <w:rPr>
          <w:rFonts w:cs="Arial"/>
          <w:bCs/>
          <w:lang w:eastAsia="en-AU"/>
        </w:rPr>
        <w:t>Obtaining</w:t>
      </w:r>
      <w:r w:rsidR="00BB188C">
        <w:rPr>
          <w:rFonts w:cs="Arial"/>
          <w:bCs/>
          <w:lang w:eastAsia="en-AU"/>
        </w:rPr>
        <w:t xml:space="preserve"> in-situ stress and the degree of its anisotropy evaluated from borehole image logs, wireline calliper logs, leak off tests (if available regionally), and other geophysical measurements</w:t>
      </w:r>
      <w:r w:rsidR="007B04DD">
        <w:rPr>
          <w:rFonts w:cs="Arial"/>
          <w:bCs/>
          <w:lang w:eastAsia="en-AU"/>
        </w:rPr>
        <w:t>;</w:t>
      </w:r>
    </w:p>
    <w:p w14:paraId="519A11F6" w14:textId="25511414" w:rsidR="00BB188C" w:rsidRPr="006636D8" w:rsidRDefault="00BB188C" w:rsidP="00A63B9F">
      <w:pPr>
        <w:pStyle w:val="ListParagraph"/>
        <w:numPr>
          <w:ilvl w:val="0"/>
          <w:numId w:val="3"/>
        </w:numPr>
        <w:spacing w:line="240" w:lineRule="auto"/>
        <w:rPr>
          <w:rFonts w:cs="Arial"/>
          <w:bCs/>
          <w:lang w:eastAsia="en-AU"/>
        </w:rPr>
      </w:pPr>
      <w:r>
        <w:rPr>
          <w:rFonts w:cs="Arial"/>
          <w:bCs/>
          <w:lang w:eastAsia="en-AU"/>
        </w:rPr>
        <w:t>Obtaining a p</w:t>
      </w:r>
      <w:r w:rsidRPr="006636D8">
        <w:rPr>
          <w:rFonts w:cs="Arial"/>
          <w:bCs/>
          <w:lang w:eastAsia="en-AU"/>
        </w:rPr>
        <w:t>ore pressure distribution</w:t>
      </w:r>
      <w:r>
        <w:rPr>
          <w:rFonts w:cs="Arial"/>
          <w:bCs/>
          <w:lang w:eastAsia="en-AU"/>
        </w:rPr>
        <w:t xml:space="preserve"> from hydrogeological bores</w:t>
      </w:r>
      <w:r w:rsidR="00F277E7">
        <w:rPr>
          <w:rFonts w:cs="Arial"/>
          <w:bCs/>
          <w:lang w:eastAsia="en-AU"/>
        </w:rPr>
        <w:t xml:space="preserve"> and O&amp;G wells where the formation pressure is estimated on either side of faults across multiple hydrostratigraphic units</w:t>
      </w:r>
      <w:r w:rsidR="007B04DD">
        <w:rPr>
          <w:rFonts w:cs="Arial"/>
          <w:bCs/>
          <w:lang w:eastAsia="en-AU"/>
        </w:rPr>
        <w:t>;</w:t>
      </w:r>
    </w:p>
    <w:p w14:paraId="1EAFE4CF" w14:textId="327C0C9F" w:rsidR="00BB188C" w:rsidRPr="0085141C" w:rsidRDefault="00BB188C" w:rsidP="00A63B9F">
      <w:pPr>
        <w:pStyle w:val="ListParagraph"/>
        <w:numPr>
          <w:ilvl w:val="0"/>
          <w:numId w:val="3"/>
        </w:numPr>
        <w:spacing w:line="240" w:lineRule="auto"/>
        <w:rPr>
          <w:rFonts w:cs="Arial"/>
          <w:bCs/>
          <w:lang w:eastAsia="en-AU"/>
        </w:rPr>
      </w:pPr>
      <w:r>
        <w:rPr>
          <w:rFonts w:cs="Arial"/>
          <w:bCs/>
          <w:lang w:eastAsia="en-AU"/>
        </w:rPr>
        <w:t>Rock strength data obtained from laboratory geomechanical and rock physics measurements on core</w:t>
      </w:r>
      <w:r w:rsidR="007B04DD">
        <w:rPr>
          <w:rFonts w:cs="Arial"/>
          <w:bCs/>
          <w:lang w:eastAsia="en-AU"/>
        </w:rPr>
        <w:t>;</w:t>
      </w:r>
      <w:r>
        <w:rPr>
          <w:rFonts w:cs="Arial"/>
          <w:bCs/>
          <w:lang w:eastAsia="en-AU"/>
        </w:rPr>
        <w:t xml:space="preserve">  </w:t>
      </w:r>
    </w:p>
    <w:p w14:paraId="5CE995E4" w14:textId="5BFD02EE" w:rsidR="00BB188C" w:rsidRPr="00EB440A" w:rsidRDefault="00BB188C" w:rsidP="00A63B9F">
      <w:pPr>
        <w:pStyle w:val="ListParagraph"/>
        <w:numPr>
          <w:ilvl w:val="0"/>
          <w:numId w:val="3"/>
        </w:numPr>
        <w:spacing w:line="240" w:lineRule="auto"/>
        <w:rPr>
          <w:rFonts w:cs="Arial"/>
          <w:bCs/>
          <w:lang w:eastAsia="en-AU"/>
        </w:rPr>
      </w:pPr>
      <w:r>
        <w:rPr>
          <w:rFonts w:cs="Arial"/>
          <w:bCs/>
          <w:lang w:eastAsia="en-AU"/>
        </w:rPr>
        <w:t>T</w:t>
      </w:r>
      <w:r w:rsidRPr="00C26CC2">
        <w:rPr>
          <w:color w:val="000000" w:themeColor="text1"/>
        </w:rPr>
        <w:t xml:space="preserve">he detailed orientation of the </w:t>
      </w:r>
      <w:r>
        <w:rPr>
          <w:color w:val="000000" w:themeColor="text1"/>
        </w:rPr>
        <w:t>fault zone and its relation to the in-situ stress</w:t>
      </w:r>
      <w:r w:rsidR="007B04DD">
        <w:rPr>
          <w:color w:val="000000" w:themeColor="text1"/>
        </w:rPr>
        <w:t>; and</w:t>
      </w:r>
    </w:p>
    <w:p w14:paraId="08282A9E" w14:textId="77777777" w:rsidR="00BB188C" w:rsidRPr="00EB440A" w:rsidRDefault="00BB188C" w:rsidP="00A63B9F">
      <w:pPr>
        <w:pStyle w:val="ListParagraph"/>
        <w:numPr>
          <w:ilvl w:val="0"/>
          <w:numId w:val="3"/>
        </w:numPr>
        <w:spacing w:line="240" w:lineRule="auto"/>
        <w:rPr>
          <w:rFonts w:cs="Arial"/>
          <w:bCs/>
          <w:lang w:eastAsia="en-AU"/>
        </w:rPr>
      </w:pPr>
      <w:r>
        <w:rPr>
          <w:rFonts w:cs="Arial"/>
          <w:bCs/>
          <w:lang w:eastAsia="en-AU"/>
        </w:rPr>
        <w:t>Creation of</w:t>
      </w:r>
      <w:r w:rsidRPr="00EB440A">
        <w:rPr>
          <w:rFonts w:cs="Arial"/>
          <w:bCs/>
          <w:lang w:eastAsia="en-AU"/>
        </w:rPr>
        <w:t xml:space="preserve"> </w:t>
      </w:r>
      <w:r>
        <w:rPr>
          <w:rFonts w:cs="Arial"/>
          <w:bCs/>
          <w:lang w:eastAsia="en-AU"/>
        </w:rPr>
        <w:t>reactivation p</w:t>
      </w:r>
      <w:r w:rsidRPr="00EB440A">
        <w:rPr>
          <w:rFonts w:cs="Arial"/>
          <w:bCs/>
          <w:lang w:eastAsia="en-AU"/>
        </w:rPr>
        <w:t>otential</w:t>
      </w:r>
      <w:r w:rsidR="00F277E7">
        <w:rPr>
          <w:rFonts w:cs="Arial"/>
          <w:bCs/>
          <w:lang w:eastAsia="en-AU"/>
        </w:rPr>
        <w:t xml:space="preserve"> and slip tendency</w:t>
      </w:r>
      <w:r w:rsidRPr="00EB440A">
        <w:rPr>
          <w:rFonts w:cs="Arial"/>
          <w:bCs/>
          <w:lang w:eastAsia="en-AU"/>
        </w:rPr>
        <w:t xml:space="preserve"> maps</w:t>
      </w:r>
      <w:r w:rsidRPr="00E81E5F">
        <w:rPr>
          <w:rFonts w:cs="Arial"/>
          <w:bCs/>
          <w:lang w:eastAsia="en-AU"/>
        </w:rPr>
        <w:t xml:space="preserve"> using Mohr-Coulomb</w:t>
      </w:r>
      <w:r>
        <w:rPr>
          <w:rFonts w:cs="Arial"/>
          <w:bCs/>
          <w:lang w:eastAsia="en-AU"/>
        </w:rPr>
        <w:t xml:space="preserve"> analysis.</w:t>
      </w:r>
    </w:p>
    <w:p w14:paraId="07F79A43" w14:textId="31B29E4A" w:rsidR="00BB188C" w:rsidRDefault="00BB188C" w:rsidP="00A63B9F">
      <w:pPr>
        <w:spacing w:line="240" w:lineRule="auto"/>
        <w:rPr>
          <w:lang w:eastAsia="en-AU"/>
        </w:rPr>
      </w:pPr>
      <w:r>
        <w:rPr>
          <w:lang w:eastAsia="en-AU"/>
        </w:rPr>
        <w:t>The reactivation potential</w:t>
      </w:r>
      <w:r w:rsidR="00F277E7">
        <w:rPr>
          <w:lang w:eastAsia="en-AU"/>
        </w:rPr>
        <w:t xml:space="preserve"> and slip tendency</w:t>
      </w:r>
      <w:r>
        <w:rPr>
          <w:lang w:eastAsia="en-AU"/>
        </w:rPr>
        <w:t xml:space="preserve"> evaluation</w:t>
      </w:r>
      <w:r w:rsidR="004321C0">
        <w:rPr>
          <w:lang w:eastAsia="en-AU"/>
        </w:rPr>
        <w:t xml:space="preserve"> for faults</w:t>
      </w:r>
      <w:r>
        <w:rPr>
          <w:lang w:eastAsia="en-AU"/>
        </w:rPr>
        <w:t xml:space="preserve"> can</w:t>
      </w:r>
      <w:r w:rsidR="004321C0">
        <w:rPr>
          <w:lang w:eastAsia="en-AU"/>
        </w:rPr>
        <w:t xml:space="preserve"> </w:t>
      </w:r>
      <w:r>
        <w:rPr>
          <w:lang w:eastAsia="en-AU"/>
        </w:rPr>
        <w:t>be conducted using software such as the Fault Analysis Software Tool (FAST)</w:t>
      </w:r>
      <w:r w:rsidR="004321C0">
        <w:rPr>
          <w:lang w:eastAsia="en-AU"/>
        </w:rPr>
        <w:t xml:space="preserve"> developed by the University of Adelaide</w:t>
      </w:r>
      <w:r w:rsidR="00682428">
        <w:rPr>
          <w:lang w:eastAsia="en-AU"/>
        </w:rPr>
        <w:t xml:space="preserve"> </w:t>
      </w:r>
      <w:r w:rsidR="006C0FFD">
        <w:rPr>
          <w:lang w:eastAsia="en-AU"/>
        </w:rPr>
        <w:fldChar w:fldCharType="begin"/>
      </w:r>
      <w:r w:rsidR="00E25502">
        <w:rPr>
          <w:lang w:eastAsia="en-AU"/>
        </w:rPr>
        <w:instrText xml:space="preserve"> ADDIN EN.CITE &lt;EndNote&gt;&lt;Cite&gt;&lt;Author&gt;Mildren&lt;/Author&gt;&lt;Year&gt;2002&lt;/Year&gt;&lt;RecNum&gt;414&lt;/RecNum&gt;&lt;DisplayText&gt;(Mildren &amp;amp; Hillis, 2002)&lt;/DisplayText&gt;&lt;record&gt;&lt;rec-number&gt;414&lt;/rec-number&gt;&lt;foreign-keys&gt;&lt;key app="EN" db-id="wdw955e570trvge00ws5rpw1rf9dp9saxd29" timestamp="1440387912"&gt;414&lt;/key&gt;&lt;key app="ENWeb" db-id=""&gt;0&lt;/key&gt;&lt;/foreign-keys&gt;&lt;ref-type name="Conference Paper"&gt;47&lt;/ref-type&gt;&lt;contributors&gt;&lt;authors&gt;&lt;author&gt;S.D. Mildren&lt;/author&gt;&lt;author&gt;R.R. Hillis&lt;/author&gt;&lt;/authors&gt;&lt;/contributors&gt;&lt;titles&gt;&lt;title&gt;FAST: A new approach to risking fault reactivation and related seal breach&lt;/title&gt;&lt;secondary-title&gt;AAPG Hedberg Research Conference&lt;/secondary-title&gt;&lt;/titles&gt;&lt;pages&gt;101-103&lt;/pages&gt;&lt;dates&gt;&lt;year&gt;2002&lt;/year&gt;&lt;pub-dates&gt;&lt;date&gt;December 2002&lt;/date&gt;&lt;/pub-dates&gt;&lt;/dates&gt;&lt;pub-location&gt;Borossa Valley, South Australia&lt;/pub-location&gt;&lt;publisher&gt;American Assocciation of Petroleum Geologists&lt;/publisher&gt;&lt;urls&gt;&lt;/urls&gt;&lt;/record&gt;&lt;/Cite&gt;&lt;/EndNote&gt;</w:instrText>
      </w:r>
      <w:r w:rsidR="006C0FFD">
        <w:rPr>
          <w:lang w:eastAsia="en-AU"/>
        </w:rPr>
        <w:fldChar w:fldCharType="separate"/>
      </w:r>
      <w:r w:rsidR="00E25502">
        <w:rPr>
          <w:noProof/>
          <w:lang w:eastAsia="en-AU"/>
        </w:rPr>
        <w:t>(Mildren &amp; Hillis, 2002)</w:t>
      </w:r>
      <w:r w:rsidR="006C0FFD">
        <w:rPr>
          <w:lang w:eastAsia="en-AU"/>
        </w:rPr>
        <w:fldChar w:fldCharType="end"/>
      </w:r>
      <w:r w:rsidR="004321C0">
        <w:rPr>
          <w:lang w:eastAsia="en-AU"/>
        </w:rPr>
        <w:t>.  R</w:t>
      </w:r>
      <w:r>
        <w:rPr>
          <w:lang w:eastAsia="en-AU"/>
        </w:rPr>
        <w:t xml:space="preserve">esults can be used to </w:t>
      </w:r>
      <w:r w:rsidR="0066745A">
        <w:rPr>
          <w:lang w:eastAsia="en-AU"/>
        </w:rPr>
        <w:t>understand the</w:t>
      </w:r>
      <w:r w:rsidR="00BD0B12">
        <w:rPr>
          <w:lang w:eastAsia="en-AU"/>
        </w:rPr>
        <w:t xml:space="preserve"> magnitude of</w:t>
      </w:r>
      <w:r>
        <w:rPr>
          <w:lang w:eastAsia="en-AU"/>
        </w:rPr>
        <w:t xml:space="preserve"> stress</w:t>
      </w:r>
      <w:r w:rsidR="00BD0B12">
        <w:rPr>
          <w:lang w:eastAsia="en-AU"/>
        </w:rPr>
        <w:t xml:space="preserve"> change</w:t>
      </w:r>
      <w:r w:rsidR="00F54327">
        <w:rPr>
          <w:lang w:eastAsia="en-AU"/>
        </w:rPr>
        <w:t xml:space="preserve"> (equivalent to a pore pressure change)</w:t>
      </w:r>
      <w:r w:rsidR="00BD0B12">
        <w:rPr>
          <w:lang w:eastAsia="en-AU"/>
        </w:rPr>
        <w:t xml:space="preserve"> that</w:t>
      </w:r>
      <w:r>
        <w:rPr>
          <w:lang w:eastAsia="en-AU"/>
        </w:rPr>
        <w:t xml:space="preserve"> can be accommodated prior to </w:t>
      </w:r>
      <w:r w:rsidR="00BD0B12">
        <w:rPr>
          <w:lang w:eastAsia="en-AU"/>
        </w:rPr>
        <w:t xml:space="preserve">fault </w:t>
      </w:r>
      <w:r>
        <w:rPr>
          <w:lang w:eastAsia="en-AU"/>
        </w:rPr>
        <w:t>reactivation</w:t>
      </w:r>
      <w:r w:rsidR="00BD0B12">
        <w:rPr>
          <w:lang w:eastAsia="en-AU"/>
        </w:rPr>
        <w:t>.</w:t>
      </w:r>
      <w:r>
        <w:rPr>
          <w:lang w:eastAsia="en-AU"/>
        </w:rPr>
        <w:t xml:space="preserve"> </w:t>
      </w:r>
      <w:r w:rsidR="00BD0B12">
        <w:rPr>
          <w:lang w:eastAsia="en-AU"/>
        </w:rPr>
        <w:t xml:space="preserve">It </w:t>
      </w:r>
      <w:r>
        <w:rPr>
          <w:lang w:eastAsia="en-AU"/>
        </w:rPr>
        <w:t xml:space="preserve">can also be used to identify the highest </w:t>
      </w:r>
      <w:r w:rsidR="0066745A" w:rsidRPr="0066745A">
        <w:rPr>
          <w:lang w:eastAsia="en-AU"/>
        </w:rPr>
        <w:t>likelihood</w:t>
      </w:r>
      <w:r w:rsidR="00F95B0C">
        <w:rPr>
          <w:lang w:eastAsia="en-AU"/>
        </w:rPr>
        <w:t xml:space="preserve"> orientation</w:t>
      </w:r>
      <w:r w:rsidR="00BD0B12">
        <w:rPr>
          <w:lang w:eastAsia="en-AU"/>
        </w:rPr>
        <w:t xml:space="preserve"> within a </w:t>
      </w:r>
      <w:r w:rsidR="00F95B0C">
        <w:rPr>
          <w:lang w:eastAsia="en-AU"/>
        </w:rPr>
        <w:t xml:space="preserve">fault </w:t>
      </w:r>
      <w:r w:rsidR="00BD0B12">
        <w:rPr>
          <w:lang w:eastAsia="en-AU"/>
        </w:rPr>
        <w:t>population</w:t>
      </w:r>
      <w:r w:rsidR="007B04DD">
        <w:rPr>
          <w:lang w:eastAsia="en-AU"/>
        </w:rPr>
        <w:t xml:space="preserve"> to be reactivated</w:t>
      </w:r>
      <w:r>
        <w:rPr>
          <w:lang w:eastAsia="en-AU"/>
        </w:rPr>
        <w:t xml:space="preserve"> or</w:t>
      </w:r>
      <w:r w:rsidR="00BD0B12">
        <w:rPr>
          <w:lang w:eastAsia="en-AU"/>
        </w:rPr>
        <w:t xml:space="preserve"> particular</w:t>
      </w:r>
      <w:r>
        <w:rPr>
          <w:lang w:eastAsia="en-AU"/>
        </w:rPr>
        <w:t xml:space="preserve"> fault segments</w:t>
      </w:r>
      <w:r w:rsidR="00BD0B12">
        <w:rPr>
          <w:lang w:eastAsia="en-AU"/>
        </w:rPr>
        <w:t xml:space="preserve"> of higher reactivation potential</w:t>
      </w:r>
      <w:r w:rsidR="007B04DD">
        <w:rPr>
          <w:lang w:eastAsia="en-AU"/>
        </w:rPr>
        <w:t>. This could be used</w:t>
      </w:r>
      <w:r>
        <w:rPr>
          <w:lang w:eastAsia="en-AU"/>
        </w:rPr>
        <w:t xml:space="preserve"> as a guide to monitoring design.</w:t>
      </w:r>
      <w:r w:rsidR="0032189F">
        <w:rPr>
          <w:lang w:eastAsia="en-AU"/>
        </w:rPr>
        <w:t xml:space="preserve"> An</w:t>
      </w:r>
      <w:r w:rsidR="00DC61C4">
        <w:rPr>
          <w:lang w:eastAsia="en-AU"/>
        </w:rPr>
        <w:t xml:space="preserve"> example is shown in </w:t>
      </w:r>
      <w:r w:rsidR="00B35CE3">
        <w:rPr>
          <w:lang w:eastAsia="en-AU"/>
        </w:rPr>
        <w:fldChar w:fldCharType="begin"/>
      </w:r>
      <w:r w:rsidR="00B35CE3">
        <w:rPr>
          <w:lang w:eastAsia="en-AU"/>
        </w:rPr>
        <w:instrText xml:space="preserve"> REF _Ref432604742 \h </w:instrText>
      </w:r>
      <w:r w:rsidR="00B35CE3">
        <w:rPr>
          <w:lang w:eastAsia="en-AU"/>
        </w:rPr>
      </w:r>
      <w:r w:rsidR="00B35CE3">
        <w:rPr>
          <w:lang w:eastAsia="en-AU"/>
        </w:rPr>
        <w:fldChar w:fldCharType="separate"/>
      </w:r>
      <w:r w:rsidR="00ED1412">
        <w:t xml:space="preserve">Figure </w:t>
      </w:r>
      <w:r w:rsidR="00ED1412">
        <w:rPr>
          <w:noProof/>
        </w:rPr>
        <w:t>5</w:t>
      </w:r>
      <w:r w:rsidR="00B35CE3">
        <w:rPr>
          <w:lang w:eastAsia="en-AU"/>
        </w:rPr>
        <w:fldChar w:fldCharType="end"/>
      </w:r>
      <w:r w:rsidR="0032189F">
        <w:rPr>
          <w:lang w:eastAsia="en-AU"/>
        </w:rPr>
        <w:t xml:space="preserve"> (Bailey et al. 2006)</w:t>
      </w:r>
      <w:r w:rsidR="00F277E7">
        <w:rPr>
          <w:lang w:eastAsia="en-AU"/>
        </w:rPr>
        <w:t xml:space="preserve"> where Mohr-Coulomb analysis is conducted for a range of fault segment orientations</w:t>
      </w:r>
      <w:r w:rsidR="0032189F">
        <w:rPr>
          <w:lang w:eastAsia="en-AU"/>
        </w:rPr>
        <w:t>.</w:t>
      </w:r>
    </w:p>
    <w:p w14:paraId="40E5ABEB" w14:textId="77777777" w:rsidR="0032189F" w:rsidRDefault="0032189F" w:rsidP="00E9349B">
      <w:pPr>
        <w:jc w:val="center"/>
        <w:rPr>
          <w:lang w:eastAsia="en-AU"/>
        </w:rPr>
      </w:pPr>
      <w:r>
        <w:rPr>
          <w:noProof/>
          <w:lang w:eastAsia="en-AU"/>
        </w:rPr>
        <w:drawing>
          <wp:inline distT="0" distB="0" distL="0" distR="0" wp14:anchorId="78B1A691" wp14:editId="6374EC80">
            <wp:extent cx="4600575" cy="2285506"/>
            <wp:effectExtent l="0" t="0" r="0" b="635"/>
            <wp:docPr id="27" name="Picture 27" descr="Diagram of the FAST method for risking the likelihood of fault reactivation."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activation potential bailey etal 200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48748" cy="2359117"/>
                    </a:xfrm>
                    <a:prstGeom prst="rect">
                      <a:avLst/>
                    </a:prstGeom>
                  </pic:spPr>
                </pic:pic>
              </a:graphicData>
            </a:graphic>
          </wp:inline>
        </w:drawing>
      </w:r>
    </w:p>
    <w:p w14:paraId="46013D53" w14:textId="3CE8FD0A" w:rsidR="0032189F" w:rsidRPr="0032189F" w:rsidRDefault="00391D3A" w:rsidP="00391D3A">
      <w:pPr>
        <w:pStyle w:val="Caption"/>
        <w:rPr>
          <w:rFonts w:cs="AdvPS6F00"/>
          <w:color w:val="000000"/>
        </w:rPr>
      </w:pPr>
      <w:bookmarkStart w:id="455" w:name="_Ref432604742"/>
      <w:bookmarkStart w:id="456" w:name="_Toc442353786"/>
      <w:r>
        <w:t xml:space="preserve">Figure </w:t>
      </w:r>
      <w:fldSimple w:instr=" SEQ Figure \* ARABIC ">
        <w:r w:rsidR="00ED1412">
          <w:rPr>
            <w:noProof/>
          </w:rPr>
          <w:t>5</w:t>
        </w:r>
      </w:fldSimple>
      <w:bookmarkEnd w:id="455"/>
      <w:r w:rsidR="001E0F17" w:rsidRPr="00F54327">
        <w:t>.</w:t>
      </w:r>
      <w:r w:rsidR="0032189F" w:rsidRPr="00F54327">
        <w:rPr>
          <w:lang w:eastAsia="en-AU"/>
        </w:rPr>
        <w:t xml:space="preserve"> </w:t>
      </w:r>
      <w:r w:rsidR="0032189F" w:rsidRPr="00F54327">
        <w:rPr>
          <w:rFonts w:cs="AdvPS6F00"/>
        </w:rPr>
        <w:t>(a) Graphical representation of the FAST method for risking the likelihood of fault reactivation</w:t>
      </w:r>
      <w:r w:rsidR="00F54327" w:rsidRPr="00F54327">
        <w:rPr>
          <w:rFonts w:cs="AdvPS6F00"/>
        </w:rPr>
        <w:t xml:space="preserve"> using a </w:t>
      </w:r>
      <w:r w:rsidR="00F54327" w:rsidRPr="00F54327">
        <w:rPr>
          <w:rFonts w:cs="Times New Roman"/>
        </w:rPr>
        <w:t>Mohr-Coulomb diagram</w:t>
      </w:r>
      <w:r w:rsidR="0032189F" w:rsidRPr="00F54327">
        <w:rPr>
          <w:rFonts w:cs="AdvPS6F00"/>
        </w:rPr>
        <w:t xml:space="preserve"> (after Mildren et al., 2002). </w:t>
      </w:r>
      <w:r w:rsidR="00F54327" w:rsidRPr="00F54327">
        <w:rPr>
          <w:rFonts w:cs="AdvPS6F00"/>
        </w:rPr>
        <w:t>The smaller</w:t>
      </w:r>
      <w:r w:rsidR="0032189F" w:rsidRPr="00F54327">
        <w:rPr>
          <w:rFonts w:cs="AdvPS6F00"/>
        </w:rPr>
        <w:t xml:space="preserve"> the </w:t>
      </w:r>
      <w:r w:rsidR="0032189F" w:rsidRPr="00F54327">
        <w:rPr>
          <w:rFonts w:ascii="Symbol" w:hAnsi="Symbol" w:cs="AdvPS3F4C13"/>
        </w:rPr>
        <w:t></w:t>
      </w:r>
      <w:r w:rsidR="0032189F" w:rsidRPr="00F54327">
        <w:rPr>
          <w:rFonts w:cs="AdvPS6F0B"/>
        </w:rPr>
        <w:t xml:space="preserve">P </w:t>
      </w:r>
      <w:r w:rsidR="0032189F" w:rsidRPr="00F54327">
        <w:rPr>
          <w:rFonts w:cs="AdvPS6F00"/>
        </w:rPr>
        <w:t>values</w:t>
      </w:r>
      <w:r w:rsidR="003B42D7">
        <w:rPr>
          <w:rFonts w:cs="AdvPS6F00"/>
        </w:rPr>
        <w:t xml:space="preserve"> (difference between </w:t>
      </w:r>
      <w:r w:rsidR="003B42D7">
        <w:rPr>
          <w:rFonts w:cs="Arial"/>
          <w:bCs w:val="0"/>
          <w:lang w:eastAsia="en-AU"/>
        </w:rPr>
        <w:t>effective stress and the failure criteria)</w:t>
      </w:r>
      <w:r w:rsidR="0032189F" w:rsidRPr="00F54327">
        <w:rPr>
          <w:rFonts w:cs="AdvPS6F00"/>
        </w:rPr>
        <w:t xml:space="preserve">, the higher the risk of reactivation. (b) Polar plot showing the distribution of </w:t>
      </w:r>
      <w:r w:rsidR="0032189F" w:rsidRPr="00F54327">
        <w:rPr>
          <w:rFonts w:ascii="Symbol" w:hAnsi="Symbol" w:cs="AdvPS3F4C13"/>
        </w:rPr>
        <w:t></w:t>
      </w:r>
      <w:r w:rsidR="0032189F" w:rsidRPr="00F54327">
        <w:rPr>
          <w:rFonts w:cs="AdvPS6F0B"/>
        </w:rPr>
        <w:t xml:space="preserve">P </w:t>
      </w:r>
      <w:r w:rsidR="0032189F" w:rsidRPr="00F54327">
        <w:rPr>
          <w:rFonts w:cs="AdvPS6F00"/>
        </w:rPr>
        <w:t xml:space="preserve">values for poles to fault planes from </w:t>
      </w:r>
      <w:r w:rsidR="00856631" w:rsidRPr="00F54327">
        <w:rPr>
          <w:rFonts w:cs="AdvPS6F00"/>
        </w:rPr>
        <w:t xml:space="preserve">the </w:t>
      </w:r>
      <w:r w:rsidR="0032189F" w:rsidRPr="00F54327">
        <w:rPr>
          <w:rFonts w:cs="AdvPS6F00"/>
        </w:rPr>
        <w:t>P</w:t>
      </w:r>
      <w:r w:rsidR="00856631" w:rsidRPr="00F54327">
        <w:rPr>
          <w:rFonts w:cs="AdvPS6F00"/>
        </w:rPr>
        <w:t>yrenees-</w:t>
      </w:r>
      <w:r w:rsidR="0032189F" w:rsidRPr="00F54327">
        <w:rPr>
          <w:rFonts w:cs="AdvPS6F00"/>
        </w:rPr>
        <w:t>M</w:t>
      </w:r>
      <w:r w:rsidR="00856631" w:rsidRPr="00F54327">
        <w:rPr>
          <w:rFonts w:cs="AdvPS6F00"/>
        </w:rPr>
        <w:t>acedon oil and gas fields</w:t>
      </w:r>
      <w:r w:rsidR="0032189F" w:rsidRPr="00F54327">
        <w:rPr>
          <w:rFonts w:cs="AdvPS6F00"/>
        </w:rPr>
        <w:t xml:space="preserve">. The highest risk of reactivation (lowest </w:t>
      </w:r>
      <w:r w:rsidR="0032189F" w:rsidRPr="00F54327">
        <w:rPr>
          <w:rFonts w:ascii="Symbol" w:hAnsi="Symbol" w:cs="AdvPS3F4C13"/>
        </w:rPr>
        <w:t></w:t>
      </w:r>
      <w:r w:rsidR="0032189F" w:rsidRPr="00F54327">
        <w:rPr>
          <w:rFonts w:cs="AdvPS6F0B"/>
        </w:rPr>
        <w:t>P</w:t>
      </w:r>
      <w:r w:rsidR="0032189F" w:rsidRPr="00F54327">
        <w:rPr>
          <w:rFonts w:cs="AdvPS6F00"/>
        </w:rPr>
        <w:t>; dark red) is on steeply dipping faults striking 060</w:t>
      </w:r>
      <w:r w:rsidR="00EF0884" w:rsidRPr="00F54327">
        <w:rPr>
          <w:rFonts w:cs="AdvPS6F00"/>
          <w:vertAlign w:val="superscript"/>
        </w:rPr>
        <w:t>o</w:t>
      </w:r>
      <w:r w:rsidR="0032189F" w:rsidRPr="00F54327">
        <w:rPr>
          <w:rFonts w:cs="AdvPS7DA6"/>
        </w:rPr>
        <w:t xml:space="preserve"> </w:t>
      </w:r>
      <w:r w:rsidR="0032189F" w:rsidRPr="00F54327">
        <w:rPr>
          <w:rFonts w:cs="AdvPS6F00"/>
        </w:rPr>
        <w:t>and 120</w:t>
      </w:r>
      <w:r w:rsidR="00EF0884" w:rsidRPr="00F54327">
        <w:rPr>
          <w:rFonts w:cs="AdvPS6F00"/>
          <w:vertAlign w:val="superscript"/>
        </w:rPr>
        <w:t xml:space="preserve"> o</w:t>
      </w:r>
      <w:r w:rsidR="0032189F" w:rsidRPr="00F54327">
        <w:rPr>
          <w:rFonts w:cs="AdvPS6F00"/>
        </w:rPr>
        <w:t>, and E–W faults dipping at 60</w:t>
      </w:r>
      <w:r w:rsidR="00EF0884" w:rsidRPr="00F54327">
        <w:rPr>
          <w:rFonts w:cs="AdvPS6F00"/>
          <w:vertAlign w:val="superscript"/>
        </w:rPr>
        <w:t xml:space="preserve"> o</w:t>
      </w:r>
      <w:r w:rsidR="0032189F" w:rsidRPr="00F54327">
        <w:rPr>
          <w:rFonts w:cs="AdvPS7DA6"/>
        </w:rPr>
        <w:t xml:space="preserve"> (Bailey et al. 2006)</w:t>
      </w:r>
      <w:r w:rsidR="0032189F" w:rsidRPr="00F54327">
        <w:rPr>
          <w:rFonts w:cs="AdvPS6F00"/>
        </w:rPr>
        <w:t>.</w:t>
      </w:r>
      <w:bookmarkEnd w:id="456"/>
    </w:p>
    <w:p w14:paraId="0478FBA1" w14:textId="7D4199D6" w:rsidR="006A28CD" w:rsidRDefault="00CF68C6" w:rsidP="00A63B9F">
      <w:pPr>
        <w:spacing w:line="240" w:lineRule="auto"/>
        <w:rPr>
          <w:rFonts w:cs="Times New Roman"/>
        </w:rPr>
      </w:pPr>
      <w:r>
        <w:rPr>
          <w:lang w:eastAsia="en-AU"/>
        </w:rPr>
        <w:t xml:space="preserve">The reactivation of faults can also be influenced by the overall </w:t>
      </w:r>
      <w:r w:rsidR="00D85048">
        <w:rPr>
          <w:lang w:eastAsia="en-AU"/>
        </w:rPr>
        <w:t>fault zone architecture. Gartel</w:t>
      </w:r>
      <w:r>
        <w:rPr>
          <w:lang w:eastAsia="en-AU"/>
        </w:rPr>
        <w:t xml:space="preserve"> et al. (2005) exam</w:t>
      </w:r>
      <w:r w:rsidR="00856631">
        <w:rPr>
          <w:lang w:eastAsia="en-AU"/>
        </w:rPr>
        <w:t>ined how strain localisation can</w:t>
      </w:r>
      <w:r>
        <w:rPr>
          <w:lang w:eastAsia="en-AU"/>
        </w:rPr>
        <w:t xml:space="preserve"> be controlled by the distribution of pre-existing large and smal</w:t>
      </w:r>
      <w:r w:rsidR="00E371FB">
        <w:rPr>
          <w:lang w:eastAsia="en-AU"/>
        </w:rPr>
        <w:t>l faults (</w:t>
      </w:r>
      <w:r w:rsidR="001A5F4C">
        <w:rPr>
          <w:lang w:eastAsia="en-AU"/>
        </w:rPr>
        <w:t>Figure 6</w:t>
      </w:r>
      <w:r>
        <w:rPr>
          <w:lang w:eastAsia="en-AU"/>
        </w:rPr>
        <w:t xml:space="preserve">) based on case studies from the Laminaria High </w:t>
      </w:r>
      <w:r w:rsidR="00CC34E3">
        <w:rPr>
          <w:lang w:eastAsia="en-AU"/>
        </w:rPr>
        <w:t>o</w:t>
      </w:r>
      <w:r>
        <w:rPr>
          <w:lang w:eastAsia="en-AU"/>
        </w:rPr>
        <w:t>n Australia’s North West Shelf.</w:t>
      </w:r>
      <w:r w:rsidR="00401585">
        <w:rPr>
          <w:lang w:eastAsia="en-AU"/>
        </w:rPr>
        <w:t xml:space="preserve"> Langhi et al (2009), Zhang et al. (2009), Langhi et al (2010) and Zhang et al. (2011) follow this up with geomechanical modelling for the impact of extension on a rock volume with different geometries of pre-existing fault populations under </w:t>
      </w:r>
      <w:r w:rsidR="00401585">
        <w:rPr>
          <w:lang w:eastAsia="en-AU"/>
        </w:rPr>
        <w:lastRenderedPageBreak/>
        <w:t>various fluid pressure conditions. These were variously fashioned on observed fault population</w:t>
      </w:r>
      <w:r w:rsidR="003E5AC8">
        <w:rPr>
          <w:lang w:eastAsia="en-AU"/>
        </w:rPr>
        <w:t>s</w:t>
      </w:r>
      <w:r w:rsidR="00401585">
        <w:rPr>
          <w:lang w:eastAsia="en-AU"/>
        </w:rPr>
        <w:t xml:space="preserve"> in the North West Shelf.</w:t>
      </w:r>
    </w:p>
    <w:p w14:paraId="06A3E141" w14:textId="370DE2DE" w:rsidR="006A28CD" w:rsidRPr="00A67D24" w:rsidRDefault="006A28CD" w:rsidP="00A63B9F">
      <w:pPr>
        <w:autoSpaceDE w:val="0"/>
        <w:autoSpaceDN w:val="0"/>
        <w:adjustRightInd w:val="0"/>
        <w:spacing w:after="0" w:line="240" w:lineRule="auto"/>
        <w:rPr>
          <w:rFonts w:cs="Times New Roman"/>
        </w:rPr>
      </w:pPr>
      <w:r>
        <w:rPr>
          <w:rFonts w:cs="Times New Roman"/>
        </w:rPr>
        <w:t xml:space="preserve">Reactivation potential </w:t>
      </w:r>
      <w:r w:rsidR="00856631">
        <w:rPr>
          <w:rFonts w:cs="Times New Roman"/>
        </w:rPr>
        <w:t xml:space="preserve">for faults </w:t>
      </w:r>
      <w:r>
        <w:rPr>
          <w:rFonts w:cs="Times New Roman"/>
        </w:rPr>
        <w:t>in the context of CSG development may be important over the life of field development.  As the reservoir is pressure depleted the effective stress changes and the nature of fault seal capacity could have a transient component that can be built in</w:t>
      </w:r>
      <w:r w:rsidR="0073777E">
        <w:rPr>
          <w:rFonts w:cs="Times New Roman"/>
        </w:rPr>
        <w:t>to regional groundwater models.</w:t>
      </w:r>
    </w:p>
    <w:p w14:paraId="580526E5" w14:textId="16E6FBE1" w:rsidR="00BB188C" w:rsidRDefault="003B42D7" w:rsidP="00BB188C">
      <w:pPr>
        <w:pStyle w:val="Heading2"/>
      </w:pPr>
      <w:bookmarkStart w:id="457" w:name="_Toc442351507"/>
      <w:r>
        <w:t>Sub-S</w:t>
      </w:r>
      <w:r w:rsidR="00BB188C">
        <w:t>eismic Strain</w:t>
      </w:r>
      <w:bookmarkEnd w:id="457"/>
    </w:p>
    <w:p w14:paraId="58B20671" w14:textId="171BF44A" w:rsidR="00BB188C" w:rsidRPr="003B42D7" w:rsidRDefault="00BB188C" w:rsidP="003B42D7">
      <w:pPr>
        <w:autoSpaceDE w:val="0"/>
        <w:autoSpaceDN w:val="0"/>
        <w:adjustRightInd w:val="0"/>
        <w:spacing w:after="0" w:line="240" w:lineRule="auto"/>
        <w:rPr>
          <w:rFonts w:cs="Segoe UI"/>
          <w:color w:val="000000"/>
        </w:rPr>
      </w:pPr>
      <w:r>
        <w:t>Many fault analysis approaches are criticised because they apply only to the o</w:t>
      </w:r>
      <w:r w:rsidR="00856631">
        <w:t>bservable strain (</w:t>
      </w:r>
      <w:r>
        <w:t>which can be identified on se</w:t>
      </w:r>
      <w:r w:rsidRPr="003B42D7">
        <w:t>ismic or other geophysical methods</w:t>
      </w:r>
      <w:r w:rsidR="005B4789" w:rsidRPr="003B42D7">
        <w:t xml:space="preserve"> such as gravity or electromagnetics</w:t>
      </w:r>
      <w:r w:rsidRPr="003B42D7">
        <w:t>).  There is also strain existing that is of</w:t>
      </w:r>
      <w:r w:rsidR="003B42D7" w:rsidRPr="003B42D7">
        <w:t xml:space="preserve"> a</w:t>
      </w:r>
      <w:r w:rsidRPr="003B42D7">
        <w:t xml:space="preserve"> magnitude less than what can be observed by these methods.  The sub-seismic strain</w:t>
      </w:r>
      <w:r w:rsidR="003B42D7">
        <w:t>,</w:t>
      </w:r>
      <w:r w:rsidRPr="003B42D7">
        <w:t xml:space="preserve"> </w:t>
      </w:r>
      <w:r w:rsidR="003B42D7" w:rsidRPr="003B42D7">
        <w:rPr>
          <w:rFonts w:cs="Segoe UI"/>
          <w:color w:val="000000"/>
        </w:rPr>
        <w:t>as represented by frac</w:t>
      </w:r>
      <w:r w:rsidR="003B42D7">
        <w:rPr>
          <w:rFonts w:cs="Segoe UI"/>
          <w:color w:val="000000"/>
        </w:rPr>
        <w:t>turing and minor faulting, can influence</w:t>
      </w:r>
      <w:r w:rsidR="003B42D7" w:rsidRPr="003B42D7">
        <w:rPr>
          <w:rFonts w:cs="Segoe UI"/>
          <w:color w:val="000000"/>
        </w:rPr>
        <w:t xml:space="preserve"> seal capa</w:t>
      </w:r>
      <w:r w:rsidR="003B42D7">
        <w:rPr>
          <w:rFonts w:cs="Segoe UI"/>
          <w:color w:val="000000"/>
        </w:rPr>
        <w:t xml:space="preserve">city (ie aquitard permeability) </w:t>
      </w:r>
      <w:r w:rsidR="003B42D7">
        <w:t>and</w:t>
      </w:r>
      <w:r>
        <w:t xml:space="preserve"> is important to understand</w:t>
      </w:r>
      <w:r w:rsidR="00341D10">
        <w:t xml:space="preserve"> and predict</w:t>
      </w:r>
      <w:r>
        <w:t xml:space="preserve">.  </w:t>
      </w:r>
    </w:p>
    <w:p w14:paraId="5A827DC6" w14:textId="7CF4A43D" w:rsidR="000003FF" w:rsidRDefault="00BB188C" w:rsidP="000003FF">
      <w:pPr>
        <w:spacing w:before="240" w:after="0" w:line="240" w:lineRule="auto"/>
      </w:pPr>
      <w:r>
        <w:t>Fractures</w:t>
      </w:r>
      <w:r w:rsidR="00041B73">
        <w:t xml:space="preserve"> and faults exhibit a strong relationship between maximum displacement (fault throw) and fault length (</w:t>
      </w:r>
      <w:r w:rsidR="00C446DA">
        <w:t>Figure 7</w:t>
      </w:r>
      <w:r w:rsidR="00041B73">
        <w:t>). In addition, for a given volume of rock</w:t>
      </w:r>
      <w:r w:rsidR="00E914FF">
        <w:t>,</w:t>
      </w:r>
      <w:r w:rsidR="00041B73">
        <w:t xml:space="preserve"> the total strain will be taken up by faults and fractures with a range of sizes.  This population of faults and fractures</w:t>
      </w:r>
      <w:r>
        <w:t xml:space="preserve"> often </w:t>
      </w:r>
      <w:r w:rsidR="00041B73">
        <w:t>define a</w:t>
      </w:r>
      <w:r>
        <w:t xml:space="preserve"> po</w:t>
      </w:r>
      <w:r w:rsidR="00041B73">
        <w:t>wer-law throw distribution</w:t>
      </w:r>
      <w:r w:rsidR="00D91561">
        <w:t xml:space="preserve"> </w:t>
      </w:r>
      <w:r w:rsidR="00341D10">
        <w:t>where there is</w:t>
      </w:r>
      <w:r>
        <w:t xml:space="preserve"> a higher frequency of small displacement faults and a lower frequency of large displacement faults (e.g. Ackermann et al., 2001, Meyer et al., 2002; Manzocchi et al., 2009). </w:t>
      </w:r>
      <w:r w:rsidR="005B4789">
        <w:t xml:space="preserve">If only </w:t>
      </w:r>
      <w:r>
        <w:t>a portion of the total fault population can</w:t>
      </w:r>
      <w:r w:rsidR="00341D10">
        <w:t xml:space="preserve"> </w:t>
      </w:r>
      <w:r w:rsidR="005B4789">
        <w:t>be observed, the remainder of the power law distribution can</w:t>
      </w:r>
      <w:r>
        <w:t xml:space="preserve"> </w:t>
      </w:r>
      <w:r w:rsidR="00E914FF">
        <w:t xml:space="preserve">be extrapolated to predict the </w:t>
      </w:r>
      <w:r>
        <w:t>unobserved faults</w:t>
      </w:r>
      <w:r w:rsidR="005B4789">
        <w:t>’ size distribution</w:t>
      </w:r>
      <w:r>
        <w:t xml:space="preserve"> (Yielding et al., 1996).</w:t>
      </w:r>
      <w:r w:rsidR="00FF1F78">
        <w:t xml:space="preserve"> Note that this does not </w:t>
      </w:r>
      <w:r w:rsidR="0073777E">
        <w:t>elucidate the distribution of sub-seismic strain.</w:t>
      </w:r>
      <w:r>
        <w:t xml:space="preserve"> Dee et al. (2007) h</w:t>
      </w:r>
      <w:r w:rsidR="001E0F17">
        <w:t>ave</w:t>
      </w:r>
      <w:r>
        <w:t xml:space="preserve"> shown that small brittle faults are not reliably imaged by seismic reflection methods when their offset is less than the se</w:t>
      </w:r>
      <w:r w:rsidR="00E914FF">
        <w:t>ismic resolution (~ 20 m in many</w:t>
      </w:r>
      <w:r w:rsidR="003B42D7">
        <w:t xml:space="preserve"> on-shore seismic datasets).</w:t>
      </w:r>
    </w:p>
    <w:p w14:paraId="5147924A" w14:textId="77777777" w:rsidR="0073777E" w:rsidRDefault="00BB188C" w:rsidP="000003FF">
      <w:pPr>
        <w:spacing w:before="240" w:after="0" w:line="240" w:lineRule="auto"/>
      </w:pPr>
      <w:r>
        <w:t>Geomechanical approaches have</w:t>
      </w:r>
      <w:r w:rsidR="005B4789">
        <w:t xml:space="preserve"> also</w:t>
      </w:r>
      <w:r>
        <w:t xml:space="preserve"> been used to predict the likely distribution of subsurface strain </w:t>
      </w:r>
      <w:r w:rsidR="00341D10">
        <w:t>based on the orientation of in-situ</w:t>
      </w:r>
      <w:r>
        <w:t xml:space="preserve"> stresses </w:t>
      </w:r>
      <w:r w:rsidR="00341D10">
        <w:t>and the</w:t>
      </w:r>
      <w:r>
        <w:t xml:space="preserve"> intensity and nature of </w:t>
      </w:r>
      <w:r w:rsidR="00341D10">
        <w:t xml:space="preserve">observed </w:t>
      </w:r>
      <w:r>
        <w:t xml:space="preserve">brittle deformation (Bourne and Willemse 2001; Bourne et al. 2001; Maerten et al. 2002). Dee et </w:t>
      </w:r>
      <w:r w:rsidR="00856631">
        <w:t>al. (2007) demonstrate that the following</w:t>
      </w:r>
      <w:r>
        <w:t xml:space="preserve"> method is useful in providing a prediction of small-scale faults and fractures</w:t>
      </w:r>
      <w:r w:rsidR="0073777E">
        <w:t xml:space="preserve"> distribution</w:t>
      </w:r>
      <w:r>
        <w:t xml:space="preserve">. </w:t>
      </w:r>
    </w:p>
    <w:p w14:paraId="175972AA" w14:textId="77777777" w:rsidR="0073777E" w:rsidRPr="0073777E" w:rsidRDefault="00BB188C" w:rsidP="0073777E">
      <w:pPr>
        <w:spacing w:before="240" w:after="0" w:line="240" w:lineRule="auto"/>
        <w:ind w:left="720"/>
        <w:rPr>
          <w:i/>
        </w:rPr>
      </w:pPr>
      <w:r w:rsidRPr="0073777E">
        <w:rPr>
          <w:i/>
        </w:rPr>
        <w:t>The fault slip pattern mapped from seismic data is the primary input data. The algorithms of Okada (1992) can be used to compute the displacement vector and fault-related strain tensor at any observation point in the rock volume</w:t>
      </w:r>
      <w:r w:rsidR="005B4789" w:rsidRPr="0073777E">
        <w:rPr>
          <w:i/>
        </w:rPr>
        <w:t xml:space="preserve"> surrounding </w:t>
      </w:r>
      <w:r w:rsidR="00E914FF" w:rsidRPr="0073777E">
        <w:rPr>
          <w:i/>
        </w:rPr>
        <w:t>a</w:t>
      </w:r>
      <w:r w:rsidR="005B4789" w:rsidRPr="0073777E">
        <w:rPr>
          <w:i/>
        </w:rPr>
        <w:t xml:space="preserve"> fault</w:t>
      </w:r>
      <w:r w:rsidRPr="0073777E">
        <w:rPr>
          <w:i/>
        </w:rPr>
        <w:t xml:space="preserve">. The predicted rock fracturing resulting from the total stress can then be estimated by comparing the state of stress to a standard Mohr–Coulomb failure envelope defined by an appropriate coefficient of internal friction and cohesive strength. The maximum Coulomb shear stress (Jaeger and Cook 1979) can then be used as a proxy for fracture intensity (Maerten et al., 2002). </w:t>
      </w:r>
    </w:p>
    <w:p w14:paraId="6EA00695" w14:textId="5D90AA7D" w:rsidR="00BB188C" w:rsidRDefault="00BB188C" w:rsidP="00936315">
      <w:pPr>
        <w:spacing w:before="240" w:after="0" w:line="240" w:lineRule="auto"/>
      </w:pPr>
      <w:r>
        <w:t xml:space="preserve">This approach can be calibrated against fracture identification from borehole </w:t>
      </w:r>
      <w:r w:rsidRPr="000D483E">
        <w:t>image logs.</w:t>
      </w:r>
      <w:r>
        <w:t xml:space="preserve"> </w:t>
      </w:r>
      <w:r w:rsidR="003E5AC8">
        <w:t>An example of a power law and subsequent geomechanical an</w:t>
      </w:r>
      <w:r w:rsidR="00DC61C4">
        <w:t>alysis can been seen in</w:t>
      </w:r>
      <w:r w:rsidR="000003FF">
        <w:t xml:space="preserve"> </w:t>
      </w:r>
      <w:r w:rsidR="00AC030D">
        <w:t>F</w:t>
      </w:r>
      <w:r w:rsidR="002F4A1A">
        <w:t>igure 8</w:t>
      </w:r>
      <w:r w:rsidR="00854D71">
        <w:t xml:space="preserve"> as described by </w:t>
      </w:r>
      <w:r w:rsidR="003E5AC8">
        <w:t>Lan</w:t>
      </w:r>
      <w:r w:rsidR="00E914FF">
        <w:t xml:space="preserve">ghi et al. </w:t>
      </w:r>
      <w:r w:rsidR="00854D71">
        <w:t>(</w:t>
      </w:r>
      <w:r w:rsidR="00E914FF">
        <w:t>2013) for the Perth B</w:t>
      </w:r>
      <w:r w:rsidR="003E5AC8">
        <w:t>asin strata near the proposed SW Hub carbon geosequestration site.</w:t>
      </w:r>
      <w:r w:rsidR="00AC030D">
        <w:rPr>
          <w:color w:val="000000" w:themeColor="text1"/>
        </w:rPr>
        <w:t xml:space="preserve"> </w:t>
      </w:r>
    </w:p>
    <w:p w14:paraId="2C496D5B" w14:textId="6D56CD15" w:rsidR="00BB188C" w:rsidRPr="0073777E" w:rsidRDefault="00BB188C" w:rsidP="00936315">
      <w:pPr>
        <w:spacing w:before="240" w:after="0" w:line="240" w:lineRule="auto"/>
      </w:pPr>
      <w:r>
        <w:t xml:space="preserve">The </w:t>
      </w:r>
      <w:r w:rsidR="003E5AC8">
        <w:t>sub-seismic strain analysis should</w:t>
      </w:r>
      <w:r>
        <w:t xml:space="preserve"> consist of:</w:t>
      </w:r>
    </w:p>
    <w:p w14:paraId="52E257BE" w14:textId="32D58F7A" w:rsidR="0000017F" w:rsidRPr="0000017F" w:rsidRDefault="0000017F" w:rsidP="00936315">
      <w:pPr>
        <w:pStyle w:val="ListParagraph"/>
        <w:numPr>
          <w:ilvl w:val="0"/>
          <w:numId w:val="5"/>
        </w:numPr>
        <w:spacing w:line="240" w:lineRule="auto"/>
        <w:rPr>
          <w:color w:val="000000" w:themeColor="text1"/>
        </w:rPr>
      </w:pPr>
      <w:r w:rsidRPr="00C26CC2">
        <w:rPr>
          <w:color w:val="000000" w:themeColor="text1"/>
        </w:rPr>
        <w:t>Power law analysis</w:t>
      </w:r>
      <w:r>
        <w:rPr>
          <w:color w:val="000000" w:themeColor="text1"/>
        </w:rPr>
        <w:t xml:space="preserve"> on observable faults to identify</w:t>
      </w:r>
      <w:r w:rsidRPr="00123093">
        <w:rPr>
          <w:color w:val="000000" w:themeColor="text1"/>
        </w:rPr>
        <w:t xml:space="preserve"> what portion of the to</w:t>
      </w:r>
      <w:r>
        <w:rPr>
          <w:color w:val="000000" w:themeColor="text1"/>
        </w:rPr>
        <w:t>t</w:t>
      </w:r>
      <w:r w:rsidRPr="00123093">
        <w:rPr>
          <w:color w:val="000000" w:themeColor="text1"/>
        </w:rPr>
        <w:t>al strain</w:t>
      </w:r>
      <w:r>
        <w:rPr>
          <w:color w:val="000000" w:themeColor="text1"/>
        </w:rPr>
        <w:t xml:space="preserve"> is sub-seismic and the likely fracture size distribution (see Figure 8). It can also indicate that larger faults might exist which having yet to be identified in the seismic analysis;</w:t>
      </w:r>
      <w:r w:rsidRPr="00C26CC2">
        <w:rPr>
          <w:color w:val="000000" w:themeColor="text1"/>
        </w:rPr>
        <w:t xml:space="preserve"> </w:t>
      </w:r>
    </w:p>
    <w:p w14:paraId="17F5098A" w14:textId="131C9CE9" w:rsidR="00BB188C" w:rsidRPr="00D71012" w:rsidRDefault="00BB188C" w:rsidP="00936315">
      <w:pPr>
        <w:pStyle w:val="ListParagraph"/>
        <w:numPr>
          <w:ilvl w:val="0"/>
          <w:numId w:val="5"/>
        </w:numPr>
        <w:spacing w:line="240" w:lineRule="auto"/>
        <w:rPr>
          <w:color w:val="000000" w:themeColor="text1"/>
        </w:rPr>
      </w:pPr>
      <w:r>
        <w:rPr>
          <w:color w:val="000000" w:themeColor="text1"/>
        </w:rPr>
        <w:t>G</w:t>
      </w:r>
      <w:r w:rsidRPr="00C26CC2">
        <w:rPr>
          <w:color w:val="000000" w:themeColor="text1"/>
        </w:rPr>
        <w:t>eomech</w:t>
      </w:r>
      <w:r>
        <w:rPr>
          <w:color w:val="000000" w:themeColor="text1"/>
        </w:rPr>
        <w:t>anic</w:t>
      </w:r>
      <w:r w:rsidR="003E5AC8">
        <w:rPr>
          <w:color w:val="000000" w:themeColor="text1"/>
        </w:rPr>
        <w:t>al analysis</w:t>
      </w:r>
      <w:r w:rsidR="00FA1CF7">
        <w:rPr>
          <w:color w:val="000000" w:themeColor="text1"/>
        </w:rPr>
        <w:t xml:space="preserve"> involving</w:t>
      </w:r>
      <w:r w:rsidR="00035E2A">
        <w:rPr>
          <w:color w:val="000000" w:themeColor="text1"/>
        </w:rPr>
        <w:t xml:space="preserve"> the identification of the most likely geographic distribution of sub-sei</w:t>
      </w:r>
      <w:r w:rsidR="00426D91">
        <w:rPr>
          <w:color w:val="000000" w:themeColor="text1"/>
        </w:rPr>
        <w:t>s</w:t>
      </w:r>
      <w:r w:rsidR="00035E2A">
        <w:rPr>
          <w:color w:val="000000" w:themeColor="text1"/>
        </w:rPr>
        <w:t>mic strain</w:t>
      </w:r>
      <w:r w:rsidR="00E914FF">
        <w:rPr>
          <w:color w:val="000000" w:themeColor="text1"/>
        </w:rPr>
        <w:t>; and</w:t>
      </w:r>
    </w:p>
    <w:p w14:paraId="2E7B9F91" w14:textId="11E9693C" w:rsidR="00BB188C" w:rsidRPr="00C26CC2" w:rsidRDefault="00BB188C" w:rsidP="00936315">
      <w:pPr>
        <w:pStyle w:val="ListParagraph"/>
        <w:numPr>
          <w:ilvl w:val="0"/>
          <w:numId w:val="5"/>
        </w:numPr>
        <w:spacing w:line="240" w:lineRule="auto"/>
        <w:rPr>
          <w:color w:val="000000" w:themeColor="text1"/>
        </w:rPr>
      </w:pPr>
      <w:r w:rsidRPr="005D5C35">
        <w:rPr>
          <w:color w:val="000000" w:themeColor="text1"/>
        </w:rPr>
        <w:t>Calibration</w:t>
      </w:r>
      <w:r w:rsidRPr="00C26CC2">
        <w:rPr>
          <w:color w:val="000000" w:themeColor="text1"/>
        </w:rPr>
        <w:t xml:space="preserve"> with well bore image logs</w:t>
      </w:r>
      <w:r>
        <w:rPr>
          <w:color w:val="000000" w:themeColor="text1"/>
        </w:rPr>
        <w:t>: the analysis of sub-seismic strain can be calibrated against observation</w:t>
      </w:r>
      <w:r w:rsidR="0073777E">
        <w:rPr>
          <w:color w:val="000000" w:themeColor="text1"/>
        </w:rPr>
        <w:t>s</w:t>
      </w:r>
      <w:r>
        <w:rPr>
          <w:color w:val="000000" w:themeColor="text1"/>
        </w:rPr>
        <w:t xml:space="preserve"> of small-scale strain identified in image logs</w:t>
      </w:r>
      <w:r w:rsidR="00035E2A">
        <w:rPr>
          <w:color w:val="000000" w:themeColor="text1"/>
        </w:rPr>
        <w:t xml:space="preserve"> (cm to m scale)</w:t>
      </w:r>
      <w:r>
        <w:rPr>
          <w:color w:val="000000" w:themeColor="text1"/>
        </w:rPr>
        <w:t>.</w:t>
      </w:r>
    </w:p>
    <w:p w14:paraId="078792C6" w14:textId="77777777" w:rsidR="006B36FF" w:rsidRDefault="006B36FF" w:rsidP="006B36FF">
      <w:pPr>
        <w:pStyle w:val="ListParagraph"/>
        <w:ind w:left="360"/>
        <w:rPr>
          <w:lang w:eastAsia="en-AU"/>
        </w:rPr>
      </w:pPr>
    </w:p>
    <w:p w14:paraId="77165FBD" w14:textId="77777777" w:rsidR="006B36FF" w:rsidRDefault="006B36FF" w:rsidP="006B36FF">
      <w:pPr>
        <w:jc w:val="center"/>
      </w:pPr>
      <w:r>
        <w:rPr>
          <w:noProof/>
          <w:lang w:eastAsia="en-AU"/>
        </w:rPr>
        <w:lastRenderedPageBreak/>
        <w:drawing>
          <wp:inline distT="0" distB="0" distL="0" distR="0" wp14:anchorId="7D5BBBB5" wp14:editId="272B0983">
            <wp:extent cx="4876800" cy="8111907"/>
            <wp:effectExtent l="0" t="0" r="0" b="3810"/>
            <wp:docPr id="12" name="Picture 12" descr="Schematic representation of typical fault reactivated trap geometries."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activation architechtur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980757" cy="8284825"/>
                    </a:xfrm>
                    <a:prstGeom prst="rect">
                      <a:avLst/>
                    </a:prstGeom>
                  </pic:spPr>
                </pic:pic>
              </a:graphicData>
            </a:graphic>
          </wp:inline>
        </w:drawing>
      </w:r>
    </w:p>
    <w:p w14:paraId="2700D8F7" w14:textId="3D3409B6" w:rsidR="006B36FF" w:rsidRDefault="006B36FF" w:rsidP="006B36FF">
      <w:pPr>
        <w:pStyle w:val="Caption"/>
        <w:rPr>
          <w:rFonts w:cs="Times New Roman"/>
        </w:rPr>
      </w:pPr>
      <w:bookmarkStart w:id="458" w:name="_Toc442353787"/>
      <w:r>
        <w:t xml:space="preserve">Figure </w:t>
      </w:r>
      <w:fldSimple w:instr=" SEQ Figure \* ARABIC ">
        <w:r w:rsidR="00ED1412">
          <w:rPr>
            <w:noProof/>
          </w:rPr>
          <w:t>6</w:t>
        </w:r>
      </w:fldSimple>
      <w:r>
        <w:t xml:space="preserve">. </w:t>
      </w:r>
      <w:r w:rsidRPr="006B36FF">
        <w:rPr>
          <w:rFonts w:cs="Times New Roman"/>
        </w:rPr>
        <w:t>Schematic representation of typical fault reactivated trap geometries and their predicted oil column preservation characteristics. Arrows depict hydrocarbon leakage along high strain faults above the critical fault-horizon intersections.  Note how certain faults are “sheltered” by reactivation of other nearby faults (Gartell et al. 2005).</w:t>
      </w:r>
      <w:bookmarkEnd w:id="458"/>
    </w:p>
    <w:p w14:paraId="7B74A7A2" w14:textId="759B9B6F" w:rsidR="00C95347" w:rsidRDefault="00BB188C" w:rsidP="00936315">
      <w:pPr>
        <w:spacing w:line="240" w:lineRule="auto"/>
      </w:pPr>
      <w:r>
        <w:rPr>
          <w:lang w:eastAsia="en-AU"/>
        </w:rPr>
        <w:lastRenderedPageBreak/>
        <w:t>The sub-seismic strain analysis can provide assurance that the entire range of strain has been considered and data included in t</w:t>
      </w:r>
      <w:r w:rsidR="003E5AC8">
        <w:rPr>
          <w:lang w:eastAsia="en-AU"/>
        </w:rPr>
        <w:t>he seal capacity analysis.</w:t>
      </w:r>
      <w:r w:rsidR="00021BF7">
        <w:rPr>
          <w:lang w:eastAsia="en-AU"/>
        </w:rPr>
        <w:t xml:space="preserve">  These estimates of sub-seismic strain and their most likely hydraulic characteristics can be taken into account in regional groundwater models </w:t>
      </w:r>
      <w:r w:rsidR="00035E2A">
        <w:rPr>
          <w:lang w:eastAsia="en-AU"/>
        </w:rPr>
        <w:t xml:space="preserve">either </w:t>
      </w:r>
      <w:r w:rsidR="00021BF7">
        <w:rPr>
          <w:lang w:eastAsia="en-AU"/>
        </w:rPr>
        <w:t xml:space="preserve">by the same stochastic or upscaling approaches that are applied to </w:t>
      </w:r>
      <w:r w:rsidR="00377F94">
        <w:rPr>
          <w:lang w:eastAsia="en-AU"/>
        </w:rPr>
        <w:t xml:space="preserve">the </w:t>
      </w:r>
      <w:r w:rsidR="00021BF7">
        <w:rPr>
          <w:lang w:eastAsia="en-AU"/>
        </w:rPr>
        <w:t>observed strain</w:t>
      </w:r>
      <w:r w:rsidR="00035E2A">
        <w:rPr>
          <w:lang w:eastAsia="en-AU"/>
        </w:rPr>
        <w:t>, or in a staged approach</w:t>
      </w:r>
      <w:r w:rsidR="00021BF7">
        <w:rPr>
          <w:lang w:eastAsia="en-AU"/>
        </w:rPr>
        <w:t>.</w:t>
      </w:r>
      <w:r w:rsidR="00035E2A">
        <w:rPr>
          <w:lang w:eastAsia="en-AU"/>
        </w:rPr>
        <w:t xml:space="preserve">  It could be that up to a certain scale of</w:t>
      </w:r>
      <w:r w:rsidR="009329B0">
        <w:rPr>
          <w:lang w:eastAsia="en-AU"/>
        </w:rPr>
        <w:t xml:space="preserve"> brittle deformation</w:t>
      </w:r>
      <w:r w:rsidR="0073777E">
        <w:rPr>
          <w:lang w:eastAsia="en-AU"/>
        </w:rPr>
        <w:t xml:space="preserve">, </w:t>
      </w:r>
      <w:r w:rsidR="00426D91">
        <w:rPr>
          <w:lang w:eastAsia="en-AU"/>
        </w:rPr>
        <w:t xml:space="preserve">fractures and small faults </w:t>
      </w:r>
      <w:r w:rsidR="0073777E">
        <w:rPr>
          <w:lang w:eastAsia="en-AU"/>
        </w:rPr>
        <w:t>(</w:t>
      </w:r>
      <w:r w:rsidR="00426D91">
        <w:rPr>
          <w:lang w:eastAsia="en-AU"/>
        </w:rPr>
        <w:t>that make up</w:t>
      </w:r>
      <w:r w:rsidR="009329B0">
        <w:rPr>
          <w:lang w:eastAsia="en-AU"/>
        </w:rPr>
        <w:t xml:space="preserve"> the damage zone of </w:t>
      </w:r>
      <w:r w:rsidR="0073777E">
        <w:rPr>
          <w:lang w:eastAsia="en-AU"/>
        </w:rPr>
        <w:t>larger faults</w:t>
      </w:r>
      <w:r w:rsidR="009329B0">
        <w:rPr>
          <w:lang w:eastAsia="en-AU"/>
        </w:rPr>
        <w:t>) are best up-scaled t</w:t>
      </w:r>
      <w:r w:rsidR="009329B0">
        <w:t>o an effective K (either into an equivalent single porous medium or a dual permeability rock depending on the distribution characteristics of the strain) using stochastic approaches.  Above a certain brittle deformation scale, the strain may be better dealt with as discrete fault/fracture model</w:t>
      </w:r>
      <w:r w:rsidR="006B36FF">
        <w:t>s</w:t>
      </w:r>
      <w:r w:rsidR="009329B0">
        <w:t>. These up-scaling strategies will be explored in the Modelling component of the project.</w:t>
      </w:r>
    </w:p>
    <w:p w14:paraId="69EC990B" w14:textId="77777777" w:rsidR="00041B73" w:rsidRDefault="00041B73" w:rsidP="00041B73">
      <w:pPr>
        <w:pStyle w:val="Caption"/>
      </w:pPr>
    </w:p>
    <w:p w14:paraId="3DF58EE1" w14:textId="3B204961" w:rsidR="001A7FBD" w:rsidRDefault="00041B73" w:rsidP="00E9349B">
      <w:pPr>
        <w:jc w:val="center"/>
      </w:pPr>
      <w:r w:rsidRPr="00FA1CF7">
        <w:rPr>
          <w:noProof/>
          <w:lang w:eastAsia="en-AU"/>
        </w:rPr>
        <w:drawing>
          <wp:inline distT="0" distB="0" distL="0" distR="0" wp14:anchorId="2211051F" wp14:editId="4A5D3A10">
            <wp:extent cx="5695265" cy="5995988"/>
            <wp:effectExtent l="0" t="0" r="1270" b="5080"/>
            <wp:docPr id="69" name="Picture 7" descr="Chart of global dataset of maximum fault displacement versus fault length."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t="635"/>
                    <a:stretch>
                      <a:fillRect/>
                    </a:stretch>
                  </pic:blipFill>
                  <pic:spPr bwMode="auto">
                    <a:xfrm>
                      <a:off x="0" y="0"/>
                      <a:ext cx="5715001" cy="6016766"/>
                    </a:xfrm>
                    <a:prstGeom prst="rect">
                      <a:avLst/>
                    </a:prstGeom>
                    <a:noFill/>
                    <a:ln w="9525">
                      <a:noFill/>
                      <a:miter lim="800000"/>
                      <a:headEnd/>
                      <a:tailEnd/>
                    </a:ln>
                  </pic:spPr>
                </pic:pic>
              </a:graphicData>
            </a:graphic>
          </wp:inline>
        </w:drawing>
      </w:r>
    </w:p>
    <w:p w14:paraId="54660C24" w14:textId="2E9A49C6" w:rsidR="00041B73" w:rsidRPr="001A7FBD" w:rsidRDefault="00391D3A" w:rsidP="00391D3A">
      <w:pPr>
        <w:pStyle w:val="Caption"/>
      </w:pPr>
      <w:bookmarkStart w:id="459" w:name="_Toc442353788"/>
      <w:r>
        <w:t xml:space="preserve">Figure </w:t>
      </w:r>
      <w:fldSimple w:instr=" SEQ Figure \* ARABIC ">
        <w:r w:rsidR="00ED1412">
          <w:rPr>
            <w:noProof/>
          </w:rPr>
          <w:t>7</w:t>
        </w:r>
      </w:fldSimple>
      <w:r w:rsidR="00041B73">
        <w:t>. Plot of multiple global data sets showing maximum displacement (</w:t>
      </w:r>
      <w:r w:rsidR="00041B73">
        <w:rPr>
          <w:rStyle w:val="Emphasis"/>
        </w:rPr>
        <w:t>d</w:t>
      </w:r>
      <w:r w:rsidR="00041B73">
        <w:rPr>
          <w:vertAlign w:val="subscript"/>
        </w:rPr>
        <w:t>max</w:t>
      </w:r>
      <w:r w:rsidR="00041B73">
        <w:t>) against fault length (</w:t>
      </w:r>
      <w:r w:rsidR="00041B73">
        <w:rPr>
          <w:rStyle w:val="Emphasis"/>
        </w:rPr>
        <w:t>L</w:t>
      </w:r>
      <w:r w:rsidR="00041B73">
        <w:t>) for normal faults</w:t>
      </w:r>
      <w:r w:rsidR="00A6255B">
        <w:t xml:space="preserve"> </w:t>
      </w:r>
      <w:r w:rsidR="00A6255B">
        <w:fldChar w:fldCharType="begin"/>
      </w:r>
      <w:r w:rsidR="00A6255B">
        <w:instrText xml:space="preserve"> ADDIN EN.CITE &lt;EndNote&gt;&lt;Cite&gt;&lt;Author&gt;Kim&lt;/Author&gt;&lt;Year&gt;2005&lt;/Year&gt;&lt;RecNum&gt;441&lt;/RecNum&gt;&lt;DisplayText&gt;(Kim &amp;amp; Sanderson, 2005)&lt;/DisplayText&gt;&lt;record&gt;&lt;rec-number&gt;441&lt;/rec-number&gt;&lt;foreign-keys&gt;&lt;key app="EN" db-id="wdw955e570trvge00ws5rpw1rf9dp9saxd29" timestamp="1450413875"&gt;441&lt;/key&gt;&lt;/foreign-keys&gt;&lt;ref-type name="Journal Article"&gt;17&lt;/ref-type&gt;&lt;contributors&gt;&lt;authors&gt;&lt;author&gt;Kim, Young-Seog&lt;/author&gt;&lt;author&gt;Sanderson, David J.&lt;/author&gt;&lt;/authors&gt;&lt;/contributors&gt;&lt;titles&gt;&lt;title&gt;The relationship between displacement and length of faults: a review&lt;/title&gt;&lt;secondary-title&gt;Earth-Science Reviews&lt;/secondary-title&gt;&lt;/titles&gt;&lt;periodical&gt;&lt;full-title&gt;Earth-Science Reviews&lt;/full-title&gt;&lt;/periodical&gt;&lt;pages&gt;317-334&lt;/pages&gt;&lt;volume&gt;68&lt;/volume&gt;&lt;number&gt;3–4&lt;/number&gt;&lt;keywords&gt;&lt;keyword&gt;Fault length&lt;/keyword&gt;&lt;keyword&gt;Maximum displacement&lt;/keyword&gt;&lt;keyword&gt;Linkage&lt;/keyword&gt;&lt;keyword&gt;Propagation&lt;/keyword&gt;&lt;keyword&gt;Scaling&lt;/keyword&gt;&lt;keyword&gt;Damage&lt;/keyword&gt;&lt;keyword&gt;Reactivation&lt;/keyword&gt;&lt;/keywords&gt;&lt;dates&gt;&lt;year&gt;2005&lt;/year&gt;&lt;pub-dates&gt;&lt;date&gt;1//&lt;/date&gt;&lt;/pub-dates&gt;&lt;/dates&gt;&lt;isbn&gt;0012-8252&lt;/isbn&gt;&lt;urls&gt;&lt;related-urls&gt;&lt;url&gt;http://www.sciencedirect.com/science/article/pii/S0012825204000856&lt;/url&gt;&lt;/related-urls&gt;&lt;/urls&gt;&lt;electronic-resource-num&gt;http://dx.doi.org/10.1016/j.earscirev.2004.06.003&lt;/electronic-resource-num&gt;&lt;/record&gt;&lt;/Cite&gt;&lt;/EndNote&gt;</w:instrText>
      </w:r>
      <w:r w:rsidR="00A6255B">
        <w:fldChar w:fldCharType="separate"/>
      </w:r>
      <w:r w:rsidR="00A6255B">
        <w:rPr>
          <w:noProof/>
        </w:rPr>
        <w:t>(Kim &amp; Sanderson, 2005)</w:t>
      </w:r>
      <w:r w:rsidR="00A6255B">
        <w:fldChar w:fldCharType="end"/>
      </w:r>
      <w:r w:rsidR="00041B73">
        <w:t>.</w:t>
      </w:r>
      <w:bookmarkEnd w:id="459"/>
    </w:p>
    <w:p w14:paraId="01990166" w14:textId="1913F396" w:rsidR="004F3B39" w:rsidRDefault="00E47885" w:rsidP="00E9349B">
      <w:pPr>
        <w:jc w:val="center"/>
      </w:pPr>
      <w:bookmarkStart w:id="460" w:name="_Ref432604766"/>
      <w:r>
        <w:rPr>
          <w:noProof/>
          <w:lang w:eastAsia="en-AU"/>
        </w:rPr>
        <w:lastRenderedPageBreak/>
        <w:drawing>
          <wp:inline distT="0" distB="0" distL="0" distR="0" wp14:anchorId="2D7492DE" wp14:editId="3C035DA5">
            <wp:extent cx="5624079" cy="4124325"/>
            <wp:effectExtent l="0" t="0" r="0" b="0"/>
            <wp:docPr id="32" name="Picture 32" descr="Chart of power law distribution; comparing cumulative fault frequency to fault throw."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anghi power law sw hub.JPG"/>
                    <pic:cNvPicPr/>
                  </pic:nvPicPr>
                  <pic:blipFill>
                    <a:blip r:embed="rId46">
                      <a:extLst>
                        <a:ext uri="{28A0092B-C50C-407E-A947-70E740481C1C}">
                          <a14:useLocalDpi xmlns:a14="http://schemas.microsoft.com/office/drawing/2010/main" val="0"/>
                        </a:ext>
                      </a:extLst>
                    </a:blip>
                    <a:stretch>
                      <a:fillRect/>
                    </a:stretch>
                  </pic:blipFill>
                  <pic:spPr>
                    <a:xfrm>
                      <a:off x="0" y="0"/>
                      <a:ext cx="5674229" cy="4161101"/>
                    </a:xfrm>
                    <a:prstGeom prst="rect">
                      <a:avLst/>
                    </a:prstGeom>
                  </pic:spPr>
                </pic:pic>
              </a:graphicData>
            </a:graphic>
          </wp:inline>
        </w:drawing>
      </w:r>
    </w:p>
    <w:p w14:paraId="64A0E023" w14:textId="41C87B64" w:rsidR="006E7680" w:rsidRPr="006E7680" w:rsidRDefault="00391D3A" w:rsidP="001635E1">
      <w:pPr>
        <w:pStyle w:val="Caption"/>
      </w:pPr>
      <w:bookmarkStart w:id="461" w:name="_Toc442353789"/>
      <w:r>
        <w:t xml:space="preserve">Figure </w:t>
      </w:r>
      <w:fldSimple w:instr=" SEQ Figure \* ARABIC ">
        <w:r w:rsidR="00ED1412">
          <w:rPr>
            <w:noProof/>
          </w:rPr>
          <w:t>8</w:t>
        </w:r>
      </w:fldSimple>
      <w:bookmarkEnd w:id="460"/>
      <w:r w:rsidR="001E0F17">
        <w:t>.</w:t>
      </w:r>
      <w:r w:rsidR="003E5AC8">
        <w:t xml:space="preserve"> Power law distribution of fault population throws</w:t>
      </w:r>
      <w:r w:rsidR="004F3B39">
        <w:t xml:space="preserve"> at the SW Hub proposed carbon storage site in Western Australia: Perth Basin</w:t>
      </w:r>
      <w:r w:rsidR="001123E5">
        <w:t xml:space="preserve"> </w:t>
      </w:r>
      <w:r w:rsidR="00FA1CF7">
        <w:t>(</w:t>
      </w:r>
      <w:r w:rsidR="001123E5">
        <w:t>Langhi et al. 2013</w:t>
      </w:r>
      <w:r w:rsidR="00FA1CF7">
        <w:t>).</w:t>
      </w:r>
      <w:bookmarkEnd w:id="461"/>
      <w:r w:rsidR="00041B73">
        <w:t xml:space="preserve"> </w:t>
      </w:r>
    </w:p>
    <w:p w14:paraId="373F52BE" w14:textId="77777777" w:rsidR="005B0C74" w:rsidRDefault="00A25435" w:rsidP="00C95347">
      <w:pPr>
        <w:pStyle w:val="Heading2"/>
      </w:pPr>
      <w:bookmarkStart w:id="462" w:name="_Toc442351508"/>
      <w:r>
        <w:t>Permeability of F</w:t>
      </w:r>
      <w:r w:rsidR="00EE4502">
        <w:t>aults,</w:t>
      </w:r>
      <w:r w:rsidR="005B0C74">
        <w:t xml:space="preserve"> </w:t>
      </w:r>
      <w:r>
        <w:t>A</w:t>
      </w:r>
      <w:r w:rsidR="005B0C74">
        <w:t>cr</w:t>
      </w:r>
      <w:r>
        <w:t>oss F</w:t>
      </w:r>
      <w:r w:rsidR="00EE4502">
        <w:t>a</w:t>
      </w:r>
      <w:r>
        <w:t>ult L</w:t>
      </w:r>
      <w:r w:rsidR="00EE4502">
        <w:t>eakage</w:t>
      </w:r>
      <w:r>
        <w:t xml:space="preserve"> and C</w:t>
      </w:r>
      <w:r w:rsidR="00EE4502">
        <w:t>apillarity</w:t>
      </w:r>
      <w:bookmarkEnd w:id="462"/>
    </w:p>
    <w:p w14:paraId="13561DEA" w14:textId="4162375A" w:rsidR="00FA1CF7" w:rsidRDefault="007A158A" w:rsidP="00936315">
      <w:pPr>
        <w:spacing w:line="240" w:lineRule="auto"/>
      </w:pPr>
      <w:r>
        <w:t>For the purposes of this</w:t>
      </w:r>
      <w:r w:rsidR="00856631">
        <w:t xml:space="preserve"> literature</w:t>
      </w:r>
      <w:r>
        <w:t xml:space="preserve"> review, capillary related processes become important when considering the movement of hydrocarbons (mainly methane) across seals in the subsurface.  </w:t>
      </w:r>
      <w:r w:rsidR="00A60C9C">
        <w:t>Unless dealing with organic rich low permeability strata</w:t>
      </w:r>
      <w:r w:rsidR="00B02C7C">
        <w:t xml:space="preserve"> (Iglauer et al. 2015)</w:t>
      </w:r>
      <w:r w:rsidR="00A60C9C">
        <w:t>,</w:t>
      </w:r>
      <w:r>
        <w:t xml:space="preserve"> we assume the hydrocarbon is the non-wetting phase</w:t>
      </w:r>
      <w:r w:rsidR="00FA1CF7">
        <w:t xml:space="preserve"> and water the wetting phase</w:t>
      </w:r>
      <w:r w:rsidR="00A60C9C">
        <w:t>.  This is normally appropriate for fault rock.</w:t>
      </w:r>
      <w:r>
        <w:t xml:space="preserve"> </w:t>
      </w:r>
      <w:r w:rsidR="00A60C9C">
        <w:t xml:space="preserve">In this wettability situation, </w:t>
      </w:r>
      <w:r>
        <w:t xml:space="preserve">any time a migrating hydrocarbon encounters a change in permeability to a lower value there will be additional capillary forces that need to be overcome prior to the hydrocarbon continuing to migrate. </w:t>
      </w:r>
      <w:r w:rsidR="00A9534A">
        <w:t xml:space="preserve">This </w:t>
      </w:r>
      <w:r w:rsidR="00A60C9C">
        <w:t>is</w:t>
      </w:r>
      <w:r w:rsidR="00A9534A">
        <w:t xml:space="preserve"> an important factor to consider if regional groundwater models are used to predict fugitive methane</w:t>
      </w:r>
      <w:r>
        <w:t xml:space="preserve"> </w:t>
      </w:r>
      <w:r w:rsidR="00A9534A">
        <w:t xml:space="preserve">migrating into shallow aquifers or to the surface as seeps or in spring discharge. </w:t>
      </w:r>
      <w:r w:rsidR="00393BEF">
        <w:t>Note that capillary barriers occur only when moving from higher to lower permeability along a migration pathway for the non-wetting phase.</w:t>
      </w:r>
      <w:r w:rsidR="00B02C7C">
        <w:t xml:space="preserve"> Current research on wettability, relative permeability and implications for multiphase flow include Iglauer et al. (2015), </w:t>
      </w:r>
      <w:r w:rsidR="0021578A">
        <w:t>Heller</w:t>
      </w:r>
      <w:r w:rsidR="00B02C7C">
        <w:t xml:space="preserve"> et al. (2014), </w:t>
      </w:r>
      <w:r w:rsidR="007730E8">
        <w:t>Pini and Benson (2015)</w:t>
      </w:r>
      <w:r w:rsidR="004452AB">
        <w:t xml:space="preserve">, </w:t>
      </w:r>
      <w:r w:rsidR="004452AB">
        <w:rPr>
          <w:rFonts w:cs="Segoe UI"/>
        </w:rPr>
        <w:t>Krause and Benson (2015), Apourvari and Arn</w:t>
      </w:r>
      <w:r w:rsidR="001635E1">
        <w:rPr>
          <w:rFonts w:cs="Segoe UI"/>
        </w:rPr>
        <w:t>s (2016</w:t>
      </w:r>
      <w:r w:rsidR="004452AB">
        <w:rPr>
          <w:rFonts w:cs="Segoe UI"/>
        </w:rPr>
        <w:t>) and</w:t>
      </w:r>
      <w:r w:rsidR="001635E1">
        <w:rPr>
          <w:rFonts w:cs="Segoe UI"/>
        </w:rPr>
        <w:t xml:space="preserve"> Herring et al. (2015).</w:t>
      </w:r>
    </w:p>
    <w:p w14:paraId="69C65A25" w14:textId="3C8C5A39" w:rsidR="007A158A" w:rsidRDefault="00C40492" w:rsidP="00936315">
      <w:pPr>
        <w:spacing w:line="240" w:lineRule="auto"/>
      </w:pPr>
      <w:r>
        <w:t xml:space="preserve">A change </w:t>
      </w:r>
      <w:r w:rsidR="00393BEF">
        <w:t>in</w:t>
      </w:r>
      <w:r>
        <w:t xml:space="preserve"> permeability that presents a capillary barrier can occur due</w:t>
      </w:r>
      <w:r w:rsidR="007A158A">
        <w:t xml:space="preserve"> to</w:t>
      </w:r>
      <w:r>
        <w:t xml:space="preserve"> a fault providing</w:t>
      </w:r>
      <w:r w:rsidR="007A158A">
        <w:t xml:space="preserve"> juxtaposition of various lithologies</w:t>
      </w:r>
      <w:r w:rsidR="001A7FBD">
        <w:t xml:space="preserve"> (</w:t>
      </w:r>
      <w:r w:rsidR="00AA51BF">
        <w:t>see Figure 9). Alternatively</w:t>
      </w:r>
      <w:r>
        <w:t>, the</w:t>
      </w:r>
      <w:r w:rsidR="007A158A">
        <w:t xml:space="preserve"> permeability of the fault material itself</w:t>
      </w:r>
      <w:r>
        <w:t xml:space="preserve"> may be lower than the host rock</w:t>
      </w:r>
      <w:r w:rsidR="007A158A">
        <w:t xml:space="preserve">. In recent years there have been several published methodologies for </w:t>
      </w:r>
      <w:r>
        <w:t xml:space="preserve">estimating </w:t>
      </w:r>
      <w:r w:rsidR="007A158A">
        <w:t xml:space="preserve">fault-derived permeability indicators. Several not entirely independent precursors to Shale Gouge Ratio (SGR) have been proposed such as CSP (Clay Smear Potential, Bouvier et al. 1989, Fulljames et al. 1997) and SSF (Shale Smear factor, Lindsay et al. 1993). SGR however, has become a commonly used approach (Yielding </w:t>
      </w:r>
      <w:r w:rsidR="007A158A" w:rsidRPr="00E25502">
        <w:t>et al.</w:t>
      </w:r>
      <w:r w:rsidR="007A158A">
        <w:t xml:space="preserve"> 1997, Manzocchi </w:t>
      </w:r>
      <w:r w:rsidR="007A158A" w:rsidRPr="00E25502">
        <w:t>et al.</w:t>
      </w:r>
      <w:r w:rsidR="007A158A">
        <w:t xml:space="preserve"> </w:t>
      </w:r>
      <w:r w:rsidR="002671BF">
        <w:t>2009</w:t>
      </w:r>
      <w:r w:rsidR="007A158A">
        <w:t xml:space="preserve">, Yielding 2002, Bretan </w:t>
      </w:r>
      <w:r w:rsidR="007A158A" w:rsidRPr="00DF523E">
        <w:rPr>
          <w:i/>
        </w:rPr>
        <w:t>et al.</w:t>
      </w:r>
      <w:r w:rsidR="007A158A">
        <w:t xml:space="preserve"> 2003), largely due to the robustness of the algorithm which estimates a SGR </w:t>
      </w:r>
      <w:r>
        <w:t>using commonly available well data such as</w:t>
      </w:r>
      <w:r w:rsidR="007A158A">
        <w:t xml:space="preserve"> a V</w:t>
      </w:r>
      <w:r w:rsidR="007A158A" w:rsidRPr="00E174D5">
        <w:rPr>
          <w:vertAlign w:val="subscript"/>
        </w:rPr>
        <w:t>shale</w:t>
      </w:r>
      <w:r w:rsidR="007A158A">
        <w:t xml:space="preserve"> l</w:t>
      </w:r>
      <w:r w:rsidR="00856631">
        <w:t>og</w:t>
      </w:r>
      <w:r w:rsidR="00C2139F">
        <w:t xml:space="preserve"> (where V</w:t>
      </w:r>
      <w:r w:rsidR="00C2139F" w:rsidRPr="00C2139F">
        <w:rPr>
          <w:vertAlign w:val="subscript"/>
        </w:rPr>
        <w:t>shale</w:t>
      </w:r>
      <w:r w:rsidR="00D22345">
        <w:t xml:space="preserve"> represents the % of clay</w:t>
      </w:r>
      <w:r w:rsidR="00C2139F">
        <w:t xml:space="preserve"> relative to sand or silt in a particular interval thickmness)</w:t>
      </w:r>
      <w:r w:rsidR="00856631">
        <w:t xml:space="preserve">. For convenience, this </w:t>
      </w:r>
      <w:r w:rsidR="00FA1CF7">
        <w:t>report</w:t>
      </w:r>
      <w:r w:rsidR="007A158A">
        <w:t xml:space="preserve"> considers </w:t>
      </w:r>
      <w:r w:rsidR="00606AD1">
        <w:t xml:space="preserve">capillary </w:t>
      </w:r>
      <w:r w:rsidR="007A158A">
        <w:t xml:space="preserve">seal capacity in the context of SGR, however, all of the </w:t>
      </w:r>
      <w:r w:rsidR="00856631">
        <w:t>methodologies</w:t>
      </w:r>
      <w:r w:rsidR="007A158A">
        <w:t xml:space="preserve"> and conclusions can equally be applied to other fault-derived permeability indicator</w:t>
      </w:r>
      <w:r w:rsidR="00856631">
        <w:t>s</w:t>
      </w:r>
      <w:r w:rsidR="007A158A">
        <w:t>.  Even if capillary forces are not an important consideration, the approaches described her</w:t>
      </w:r>
      <w:r w:rsidR="00856631">
        <w:t>e</w:t>
      </w:r>
      <w:r w:rsidR="007A158A">
        <w:t xml:space="preserve"> still provide methodologies for assessing fault zone permeability useful in </w:t>
      </w:r>
      <w:r>
        <w:t>parameterising fault properties in regional groundwater models</w:t>
      </w:r>
      <w:r w:rsidR="007A158A">
        <w:t>.</w:t>
      </w:r>
    </w:p>
    <w:p w14:paraId="07999F95" w14:textId="42299196" w:rsidR="007F337D" w:rsidRDefault="007F337D" w:rsidP="00E9349B">
      <w:pPr>
        <w:jc w:val="center"/>
      </w:pPr>
      <w:r w:rsidRPr="00832078">
        <w:rPr>
          <w:noProof/>
          <w:lang w:eastAsia="en-AU"/>
        </w:rPr>
        <w:lastRenderedPageBreak/>
        <w:drawing>
          <wp:inline distT="0" distB="0" distL="0" distR="0" wp14:anchorId="4FC304ED" wp14:editId="350271B9">
            <wp:extent cx="2382202" cy="2888718"/>
            <wp:effectExtent l="0" t="0" r="0" b="6985"/>
            <wp:docPr id="34" name="Picture 32" descr="Diagrams of various fault juxtaposition orientations."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xtaposition fig-011.jpg"/>
                    <pic:cNvPicPr/>
                  </pic:nvPicPr>
                  <pic:blipFill>
                    <a:blip r:embed="rId47"/>
                    <a:stretch>
                      <a:fillRect/>
                    </a:stretch>
                  </pic:blipFill>
                  <pic:spPr>
                    <a:xfrm>
                      <a:off x="0" y="0"/>
                      <a:ext cx="2440356" cy="2959237"/>
                    </a:xfrm>
                    <a:prstGeom prst="rect">
                      <a:avLst/>
                    </a:prstGeom>
                  </pic:spPr>
                </pic:pic>
              </a:graphicData>
            </a:graphic>
          </wp:inline>
        </w:drawing>
      </w:r>
    </w:p>
    <w:p w14:paraId="428B345D" w14:textId="264264C0" w:rsidR="007F337D" w:rsidRDefault="00391D3A" w:rsidP="00391D3A">
      <w:pPr>
        <w:pStyle w:val="Caption"/>
      </w:pPr>
      <w:bookmarkStart w:id="463" w:name="_Toc442353790"/>
      <w:r>
        <w:t xml:space="preserve">Figure </w:t>
      </w:r>
      <w:fldSimple w:instr=" SEQ Figure \* ARABIC ">
        <w:r w:rsidR="00ED1412">
          <w:rPr>
            <w:noProof/>
          </w:rPr>
          <w:t>9</w:t>
        </w:r>
      </w:fldSimple>
      <w:r w:rsidR="007F337D">
        <w:t>. Schematic diagram of various juxtaposition orientations (Neele et al. 2012).</w:t>
      </w:r>
      <w:bookmarkEnd w:id="463"/>
    </w:p>
    <w:p w14:paraId="542BE858" w14:textId="77777777" w:rsidR="001A5F4C" w:rsidRPr="001A5F4C" w:rsidRDefault="001A5F4C" w:rsidP="001A5F4C"/>
    <w:p w14:paraId="797D29DC" w14:textId="77777777" w:rsidR="005B0C74" w:rsidRDefault="00EE4502" w:rsidP="00C51988">
      <w:pPr>
        <w:pStyle w:val="Heading3"/>
      </w:pPr>
      <w:bookmarkStart w:id="464" w:name="_Toc442351509"/>
      <w:r>
        <w:t>Juxtaposition</w:t>
      </w:r>
      <w:bookmarkEnd w:id="464"/>
    </w:p>
    <w:p w14:paraId="51BBD6C1" w14:textId="24D62BAA" w:rsidR="00A37AC2" w:rsidRDefault="00A37AC2" w:rsidP="00936315">
      <w:pPr>
        <w:spacing w:line="240" w:lineRule="auto"/>
      </w:pPr>
      <w:r w:rsidRPr="00F143CC">
        <w:t>Juxtaposition diagrams</w:t>
      </w:r>
      <w:r>
        <w:t xml:space="preserve"> (</w:t>
      </w:r>
      <w:r w:rsidR="00856631">
        <w:t>or “</w:t>
      </w:r>
      <w:r>
        <w:t>Allan Diagrams</w:t>
      </w:r>
      <w:r w:rsidR="00856631">
        <w:t>”</w:t>
      </w:r>
      <w:r>
        <w:t>)</w:t>
      </w:r>
      <w:r w:rsidRPr="00F143CC">
        <w:t xml:space="preserve"> form a staple of f</w:t>
      </w:r>
      <w:r>
        <w:t>ault seal analysis</w:t>
      </w:r>
      <w:r w:rsidR="00566259">
        <w:t xml:space="preserve"> </w:t>
      </w:r>
      <w:r w:rsidR="00566259">
        <w:fldChar w:fldCharType="begin"/>
      </w:r>
      <w:r w:rsidR="00566259">
        <w:instrText xml:space="preserve"> ADDIN EN.CITE &lt;EndNote&gt;&lt;Cite&gt;&lt;Author&gt;Allan&lt;/Author&gt;&lt;Year&gt;1989&lt;/Year&gt;&lt;RecNum&gt;505&lt;/RecNum&gt;&lt;DisplayText&gt;(Allan, 1989)&lt;/DisplayText&gt;&lt;record&gt;&lt;rec-number&gt;505&lt;/rec-number&gt;&lt;foreign-keys&gt;&lt;key app="EN" db-id="wdw955e570trvge00ws5rpw1rf9dp9saxd29" timestamp="1454478689"&gt;505&lt;/key&gt;&lt;/foreign-keys&gt;&lt;ref-type name="Journal Article"&gt;17&lt;/ref-type&gt;&lt;contributors&gt;&lt;authors&gt;&lt;author&gt;Allan, Urban S&lt;/author&gt;&lt;/authors&gt;&lt;/contributors&gt;&lt;titles&gt;&lt;title&gt;Model for hydrocarbon migration and entrapment within faulted structures&lt;/title&gt;&lt;secondary-title&gt;AAPG bulletin&lt;/secondary-title&gt;&lt;/titles&gt;&lt;periodical&gt;&lt;full-title&gt;Aapg Bulletin&lt;/full-title&gt;&lt;/periodical&gt;&lt;pages&gt;803-811&lt;/pages&gt;&lt;volume&gt;73&lt;/volume&gt;&lt;number&gt;7&lt;/number&gt;&lt;dates&gt;&lt;year&gt;1989&lt;/year&gt;&lt;/dates&gt;&lt;isbn&gt;0149-1423&lt;/isbn&gt;&lt;urls&gt;&lt;/urls&gt;&lt;/record&gt;&lt;/Cite&gt;&lt;/EndNote&gt;</w:instrText>
      </w:r>
      <w:r w:rsidR="00566259">
        <w:fldChar w:fldCharType="separate"/>
      </w:r>
      <w:r w:rsidR="00566259">
        <w:rPr>
          <w:noProof/>
        </w:rPr>
        <w:t>(Allan, 1989)</w:t>
      </w:r>
      <w:r w:rsidR="00566259">
        <w:fldChar w:fldCharType="end"/>
      </w:r>
      <w:r>
        <w:t>.  These diagrams utilise information of the stratigraphy either side of a particular fault plane</w:t>
      </w:r>
      <w:r w:rsidR="00C40492">
        <w:t xml:space="preserve"> segment</w:t>
      </w:r>
      <w:r w:rsidR="007A158A">
        <w:t xml:space="preserve"> (e.g. Bailey et al. 2006)</w:t>
      </w:r>
      <w:r>
        <w:t>.  If the facies distributions and associated rock properties are known, a geometrical analysis will create a map of the fault surfaces that show which rock types are juxtaposed across the fault (e.g. sand on sand, sand on shale, shale on mud, mud on mud etc.). The nature of the rock type juxtaposition provides an estimate of the across fault leakage potential based simply from the rock properties of the host rock.  Here for example, the cross sectional areas of sand on sand contacts provide an opportunity for across fault hydraulic continuity.</w:t>
      </w:r>
    </w:p>
    <w:p w14:paraId="2E2A9171" w14:textId="107895F5" w:rsidR="00A37AC2" w:rsidRDefault="00A37AC2" w:rsidP="00936315">
      <w:pPr>
        <w:spacing w:line="240" w:lineRule="auto"/>
      </w:pPr>
      <w:r w:rsidRPr="000473CA">
        <w:t>Case studies such as Bailey et al. (2006) show that juxtaposition alone</w:t>
      </w:r>
      <w:r w:rsidR="00854D71">
        <w:t xml:space="preserve"> often</w:t>
      </w:r>
      <w:r w:rsidRPr="000473CA">
        <w:t xml:space="preserve"> does not</w:t>
      </w:r>
      <w:r w:rsidR="00854D71">
        <w:t xml:space="preserve"> adequately</w:t>
      </w:r>
      <w:r w:rsidRPr="000473CA">
        <w:t xml:space="preserve"> describe the seal potential </w:t>
      </w:r>
      <w:r w:rsidR="008457DA">
        <w:t>of a fault. Hydrodynamic and hydro</w:t>
      </w:r>
      <w:r w:rsidRPr="000473CA">
        <w:t xml:space="preserve">chemical analysis in faulted strata (Underschultz et al. 2005, and Underschultz et al. 2003) can be combined with juxtaposition diagrams </w:t>
      </w:r>
      <w:r>
        <w:t xml:space="preserve">and this </w:t>
      </w:r>
      <w:r w:rsidRPr="000473CA">
        <w:t>can help to determine if additional fault seal analysis is required for adequate assessment of seal capacity</w:t>
      </w:r>
      <w:r>
        <w:t>.  It should be noted that the s</w:t>
      </w:r>
      <w:r w:rsidRPr="000473CA">
        <w:t>tratigraphic analysis and a detailed characterisation of the internal distribution of rock types a</w:t>
      </w:r>
      <w:r w:rsidR="008457DA">
        <w:t>nd rock properties</w:t>
      </w:r>
      <w:r w:rsidRPr="000473CA">
        <w:t xml:space="preserve"> is crucial to creation of a well constrained juxtaposition analysis.</w:t>
      </w:r>
    </w:p>
    <w:p w14:paraId="321A6209" w14:textId="77777777" w:rsidR="00A37AC2" w:rsidRDefault="00A37AC2" w:rsidP="00936315">
      <w:pPr>
        <w:spacing w:line="240" w:lineRule="auto"/>
      </w:pPr>
      <w:r>
        <w:t>The juxtaposition analy</w:t>
      </w:r>
      <w:r w:rsidR="008457DA">
        <w:t>sis should</w:t>
      </w:r>
      <w:r>
        <w:t xml:space="preserve"> consist of: </w:t>
      </w:r>
    </w:p>
    <w:p w14:paraId="392FBFC6" w14:textId="77777777" w:rsidR="00A37AC2" w:rsidRDefault="00A37AC2" w:rsidP="00936315">
      <w:pPr>
        <w:pStyle w:val="ListParagraph"/>
        <w:numPr>
          <w:ilvl w:val="0"/>
          <w:numId w:val="7"/>
        </w:numPr>
        <w:spacing w:line="240" w:lineRule="auto"/>
      </w:pPr>
      <w:r>
        <w:t>Using the outputs</w:t>
      </w:r>
      <w:r w:rsidR="008457DA">
        <w:t xml:space="preserve"> of the stratigraphic and fault architecture</w:t>
      </w:r>
      <w:r>
        <w:t xml:space="preserve"> modelling in the form of a 3D static model.</w:t>
      </w:r>
    </w:p>
    <w:p w14:paraId="77DCD3DC" w14:textId="36D00965" w:rsidR="00A37AC2" w:rsidRDefault="00856631" w:rsidP="00936315">
      <w:pPr>
        <w:pStyle w:val="ListParagraph"/>
        <w:numPr>
          <w:ilvl w:val="0"/>
          <w:numId w:val="7"/>
        </w:numPr>
        <w:spacing w:line="240" w:lineRule="auto"/>
      </w:pPr>
      <w:r>
        <w:t>Development of Alla</w:t>
      </w:r>
      <w:r w:rsidR="00A37AC2">
        <w:t>n Diagrams for individual map</w:t>
      </w:r>
      <w:r w:rsidR="008457DA">
        <w:t>ped fault surfaces</w:t>
      </w:r>
      <w:r w:rsidR="00A37AC2">
        <w:t xml:space="preserve"> using software such as </w:t>
      </w:r>
      <w:r w:rsidR="00AE5A9E">
        <w:t>Petrel</w:t>
      </w:r>
      <w:r w:rsidR="0076600B">
        <w:rPr>
          <w:rStyle w:val="FootnoteReference"/>
        </w:rPr>
        <w:footnoteReference w:id="3"/>
      </w:r>
      <w:r w:rsidR="00AE5A9E">
        <w:t>, FaultRisk</w:t>
      </w:r>
      <w:r w:rsidR="0076600B">
        <w:rPr>
          <w:rStyle w:val="FootnoteReference"/>
        </w:rPr>
        <w:footnoteReference w:id="4"/>
      </w:r>
      <w:r w:rsidR="00AE5A9E">
        <w:t>, or TrapTester</w:t>
      </w:r>
      <w:r w:rsidR="0076600B">
        <w:rPr>
          <w:rStyle w:val="FootnoteReference"/>
        </w:rPr>
        <w:footnoteReference w:id="5"/>
      </w:r>
      <w:r w:rsidR="00AE5A9E">
        <w:t>.</w:t>
      </w:r>
    </w:p>
    <w:p w14:paraId="6DB8A351" w14:textId="54968AB2" w:rsidR="00A37AC2" w:rsidRDefault="00A37AC2" w:rsidP="00936315">
      <w:pPr>
        <w:spacing w:after="0" w:line="240" w:lineRule="auto"/>
        <w:rPr>
          <w:rFonts w:cs="Arial"/>
          <w:color w:val="000000" w:themeColor="text1"/>
        </w:rPr>
      </w:pPr>
      <w:r w:rsidRPr="008457DA">
        <w:t xml:space="preserve">The outcomes </w:t>
      </w:r>
      <w:r w:rsidR="00856631">
        <w:rPr>
          <w:rFonts w:cs="Arial"/>
          <w:color w:val="000000" w:themeColor="text1"/>
        </w:rPr>
        <w:t>will be Alla</w:t>
      </w:r>
      <w:r w:rsidRPr="008457DA">
        <w:rPr>
          <w:rFonts w:cs="Arial"/>
          <w:color w:val="000000" w:themeColor="text1"/>
        </w:rPr>
        <w:t>n Diagrams</w:t>
      </w:r>
      <w:r w:rsidR="00073914">
        <w:rPr>
          <w:rFonts w:cs="Arial"/>
          <w:color w:val="000000" w:themeColor="text1"/>
        </w:rPr>
        <w:t xml:space="preserve"> (Figure 11)</w:t>
      </w:r>
      <w:r w:rsidRPr="008457DA">
        <w:rPr>
          <w:rFonts w:cs="Arial"/>
          <w:color w:val="000000" w:themeColor="text1"/>
        </w:rPr>
        <w:t xml:space="preserve"> showing where sand on sand, shale on shale, or sand on shale contacts occur across each fault plane</w:t>
      </w:r>
      <w:r w:rsidR="00AA128E">
        <w:rPr>
          <w:rFonts w:cs="Arial"/>
          <w:color w:val="000000" w:themeColor="text1"/>
        </w:rPr>
        <w:t xml:space="preserve"> segment</w:t>
      </w:r>
      <w:r w:rsidRPr="008457DA">
        <w:rPr>
          <w:rFonts w:cs="Arial"/>
          <w:color w:val="000000" w:themeColor="text1"/>
        </w:rPr>
        <w:t>; and an</w:t>
      </w:r>
      <w:r w:rsidR="008457DA">
        <w:rPr>
          <w:rFonts w:cs="Arial"/>
          <w:color w:val="000000" w:themeColor="text1"/>
        </w:rPr>
        <w:t xml:space="preserve"> assessment of the distribution of across fault</w:t>
      </w:r>
      <w:r w:rsidRPr="008457DA">
        <w:rPr>
          <w:rFonts w:cs="Arial"/>
          <w:color w:val="000000" w:themeColor="text1"/>
        </w:rPr>
        <w:t xml:space="preserve"> hydraulic </w:t>
      </w:r>
      <w:r w:rsidR="008457DA">
        <w:rPr>
          <w:rFonts w:cs="Arial"/>
          <w:color w:val="000000" w:themeColor="text1"/>
        </w:rPr>
        <w:t>communication or isolation</w:t>
      </w:r>
      <w:r w:rsidRPr="008457DA">
        <w:rPr>
          <w:rFonts w:cs="Arial"/>
          <w:color w:val="000000" w:themeColor="text1"/>
        </w:rPr>
        <w:t xml:space="preserve"> on each fault </w:t>
      </w:r>
      <w:r w:rsidR="00AA128E">
        <w:rPr>
          <w:rFonts w:cs="Arial"/>
          <w:color w:val="000000" w:themeColor="text1"/>
        </w:rPr>
        <w:t>segment</w:t>
      </w:r>
      <w:r w:rsidRPr="008457DA">
        <w:rPr>
          <w:rFonts w:cs="Arial"/>
          <w:color w:val="000000" w:themeColor="text1"/>
        </w:rPr>
        <w:t>.</w:t>
      </w:r>
      <w:r w:rsidR="00832078">
        <w:rPr>
          <w:rFonts w:cs="Arial"/>
          <w:color w:val="000000" w:themeColor="text1"/>
        </w:rPr>
        <w:t xml:space="preserve"> The next step for groundwater modelling is to </w:t>
      </w:r>
      <w:r w:rsidR="00AA128E">
        <w:rPr>
          <w:rFonts w:cs="Arial"/>
          <w:color w:val="000000" w:themeColor="text1"/>
        </w:rPr>
        <w:t>account for this across fault geometry and the implications for fault transmissivity</w:t>
      </w:r>
      <w:r w:rsidR="00832078">
        <w:rPr>
          <w:rFonts w:cs="Arial"/>
          <w:color w:val="000000" w:themeColor="text1"/>
        </w:rPr>
        <w:t>.</w:t>
      </w:r>
      <w:r w:rsidR="00AA128E">
        <w:rPr>
          <w:rFonts w:cs="Arial"/>
          <w:color w:val="000000" w:themeColor="text1"/>
        </w:rPr>
        <w:t xml:space="preserve"> Note that the throw distribution on faults is often represented as a rotation rather than a planar movement and this results in particular geometric shapes for juxtaposition domains on a fault plane surface. </w:t>
      </w:r>
      <w:r w:rsidR="00832078">
        <w:rPr>
          <w:rFonts w:cs="Arial"/>
          <w:color w:val="000000" w:themeColor="text1"/>
        </w:rPr>
        <w:t xml:space="preserve"> </w:t>
      </w:r>
    </w:p>
    <w:p w14:paraId="5F5E5921" w14:textId="2465CF1B" w:rsidR="008457DA" w:rsidRDefault="00073914" w:rsidP="008457DA">
      <w:pPr>
        <w:spacing w:after="0" w:line="240" w:lineRule="auto"/>
        <w:rPr>
          <w:rFonts w:cs="Arial"/>
          <w:color w:val="000000" w:themeColor="text1"/>
        </w:rPr>
      </w:pPr>
      <w:r>
        <w:rPr>
          <w:rFonts w:cs="Arial"/>
          <w:noProof/>
          <w:color w:val="000000" w:themeColor="text1"/>
          <w:lang w:eastAsia="en-AU"/>
        </w:rPr>
        <w:lastRenderedPageBreak/>
        <w:drawing>
          <wp:inline distT="0" distB="0" distL="0" distR="0" wp14:anchorId="70C6FF52" wp14:editId="374D7566">
            <wp:extent cx="5731510" cy="2351405"/>
            <wp:effectExtent l="0" t="0" r="2540" b="0"/>
            <wp:docPr id="25" name="Picture 25" descr="Example Allan Diagrams for fault juxtaposition." title="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llan diagrams.JPG"/>
                    <pic:cNvPicPr/>
                  </pic:nvPicPr>
                  <pic:blipFill>
                    <a:blip r:embed="rId48">
                      <a:extLst>
                        <a:ext uri="{28A0092B-C50C-407E-A947-70E740481C1C}">
                          <a14:useLocalDpi xmlns:a14="http://schemas.microsoft.com/office/drawing/2010/main" val="0"/>
                        </a:ext>
                      </a:extLst>
                    </a:blip>
                    <a:stretch>
                      <a:fillRect/>
                    </a:stretch>
                  </pic:blipFill>
                  <pic:spPr>
                    <a:xfrm>
                      <a:off x="0" y="0"/>
                      <a:ext cx="5731510" cy="2351405"/>
                    </a:xfrm>
                    <a:prstGeom prst="rect">
                      <a:avLst/>
                    </a:prstGeom>
                  </pic:spPr>
                </pic:pic>
              </a:graphicData>
            </a:graphic>
          </wp:inline>
        </w:drawing>
      </w:r>
    </w:p>
    <w:p w14:paraId="2B5AC45D" w14:textId="77777777" w:rsidR="001A5F4C" w:rsidRDefault="001A5F4C" w:rsidP="00073914">
      <w:pPr>
        <w:pStyle w:val="Caption"/>
      </w:pPr>
    </w:p>
    <w:p w14:paraId="4B97584F" w14:textId="655C8833" w:rsidR="00073914" w:rsidRDefault="00073914" w:rsidP="00073914">
      <w:pPr>
        <w:pStyle w:val="Caption"/>
      </w:pPr>
      <w:bookmarkStart w:id="465" w:name="_Toc442353791"/>
      <w:r>
        <w:t xml:space="preserve">Figure </w:t>
      </w:r>
      <w:fldSimple w:instr=" SEQ Figure \* ARABIC ">
        <w:r w:rsidR="00ED1412">
          <w:rPr>
            <w:noProof/>
          </w:rPr>
          <w:t>10</w:t>
        </w:r>
      </w:fldSimple>
      <w:r>
        <w:t>. An example of an Allan diagram</w:t>
      </w:r>
      <w:r w:rsidR="00566259">
        <w:t xml:space="preserve"> (left) that shows across fault juxtapostion of multiple stacked and folded sandstone reservoir layers. the resulting across fault hydraulic communication controls the hydrocarbon spill points and hydrocarbon column heights. The plan view of the same structure (right) shows the trap geometry relative to the fault trace </w:t>
      </w:r>
      <w:r w:rsidR="00566259">
        <w:fldChar w:fldCharType="begin"/>
      </w:r>
      <w:r w:rsidR="00566259">
        <w:instrText xml:space="preserve"> ADDIN EN.CITE &lt;EndNote&gt;&lt;Cite&gt;&lt;Author&gt;Allan&lt;/Author&gt;&lt;Year&gt;1989&lt;/Year&gt;&lt;RecNum&gt;505&lt;/RecNum&gt;&lt;DisplayText&gt;(Allan, 1989)&lt;/DisplayText&gt;&lt;record&gt;&lt;rec-number&gt;505&lt;/rec-number&gt;&lt;foreign-keys&gt;&lt;key app="EN" db-id="wdw955e570trvge00ws5rpw1rf9dp9saxd29" timestamp="1454478689"&gt;505&lt;/key&gt;&lt;/foreign-keys&gt;&lt;ref-type name="Journal Article"&gt;17&lt;/ref-type&gt;&lt;contributors&gt;&lt;authors&gt;&lt;author&gt;Allan, Urban S&lt;/author&gt;&lt;/authors&gt;&lt;/contributors&gt;&lt;titles&gt;&lt;title&gt;Model for hydrocarbon migration and entrapment within faulted structures&lt;/title&gt;&lt;secondary-title&gt;AAPG bulletin&lt;/secondary-title&gt;&lt;/titles&gt;&lt;periodical&gt;&lt;full-title&gt;Aapg Bulletin&lt;/full-title&gt;&lt;/periodical&gt;&lt;pages&gt;803-811&lt;/pages&gt;&lt;volume&gt;73&lt;/volume&gt;&lt;number&gt;7&lt;/number&gt;&lt;dates&gt;&lt;year&gt;1989&lt;/year&gt;&lt;/dates&gt;&lt;isbn&gt;0149-1423&lt;/isbn&gt;&lt;urls&gt;&lt;/urls&gt;&lt;/record&gt;&lt;/Cite&gt;&lt;/EndNote&gt;</w:instrText>
      </w:r>
      <w:r w:rsidR="00566259">
        <w:fldChar w:fldCharType="separate"/>
      </w:r>
      <w:r w:rsidR="00566259">
        <w:rPr>
          <w:noProof/>
        </w:rPr>
        <w:t>(Allan, 1989)</w:t>
      </w:r>
      <w:r w:rsidR="00566259">
        <w:fldChar w:fldCharType="end"/>
      </w:r>
      <w:r w:rsidR="00566259">
        <w:t>.</w:t>
      </w:r>
      <w:bookmarkEnd w:id="465"/>
    </w:p>
    <w:p w14:paraId="58CA4E8A" w14:textId="77777777" w:rsidR="006E7680" w:rsidRPr="006E7680" w:rsidRDefault="006E7680" w:rsidP="006E7680"/>
    <w:p w14:paraId="418E26D2" w14:textId="77777777" w:rsidR="005B0C74" w:rsidRDefault="0032189F" w:rsidP="00C51988">
      <w:pPr>
        <w:pStyle w:val="Heading3"/>
      </w:pPr>
      <w:bookmarkStart w:id="466" w:name="_Toc442351510"/>
      <w:r>
        <w:t>Shale G</w:t>
      </w:r>
      <w:r w:rsidR="005B0C74">
        <w:t>ouge Ratio</w:t>
      </w:r>
      <w:r w:rsidR="00AE5A9E">
        <w:t xml:space="preserve"> (SGR)</w:t>
      </w:r>
      <w:bookmarkEnd w:id="466"/>
    </w:p>
    <w:p w14:paraId="7090A94D" w14:textId="77777777" w:rsidR="00ED1412" w:rsidRDefault="00A37AC2" w:rsidP="00391D3A">
      <w:pPr>
        <w:pStyle w:val="Caption"/>
      </w:pPr>
      <w:r w:rsidRPr="00AB2E89">
        <w:rPr>
          <w:rFonts w:cs="Times New Roman"/>
        </w:rPr>
        <w:t>For any given point on a fault surface, SGR is equal</w:t>
      </w:r>
      <w:r w:rsidR="0060387B">
        <w:rPr>
          <w:rFonts w:cs="Times New Roman"/>
        </w:rPr>
        <w:t xml:space="preserve"> to the net shale content of a given rock thickness which has moved past that</w:t>
      </w:r>
      <w:r w:rsidRPr="00AB2E89">
        <w:rPr>
          <w:rFonts w:cs="Times New Roman"/>
        </w:rPr>
        <w:t xml:space="preserve"> point. Shale Gouge Ratio calculations can be conducted</w:t>
      </w:r>
      <w:r w:rsidR="00B043AB">
        <w:rPr>
          <w:rFonts w:cs="Times New Roman"/>
        </w:rPr>
        <w:t>,</w:t>
      </w:r>
      <w:r w:rsidR="00DC61C4">
        <w:rPr>
          <w:rFonts w:cs="Times New Roman"/>
        </w:rPr>
        <w:t xml:space="preserve"> as shown in </w:t>
      </w:r>
      <w:r w:rsidR="00B35CE3">
        <w:rPr>
          <w:rFonts w:cs="Times New Roman"/>
        </w:rPr>
        <w:fldChar w:fldCharType="begin"/>
      </w:r>
      <w:r w:rsidR="00B35CE3">
        <w:rPr>
          <w:rFonts w:cs="Times New Roman"/>
        </w:rPr>
        <w:instrText xml:space="preserve"> REF _Ref432604781 \h </w:instrText>
      </w:r>
      <w:r w:rsidR="00B35CE3">
        <w:rPr>
          <w:rFonts w:cs="Times New Roman"/>
        </w:rPr>
      </w:r>
      <w:r w:rsidR="00B35CE3">
        <w:rPr>
          <w:rFonts w:cs="Times New Roman"/>
        </w:rPr>
        <w:fldChar w:fldCharType="separate"/>
      </w:r>
    </w:p>
    <w:p w14:paraId="05742C58" w14:textId="30DEFBA4" w:rsidR="00A37AC2" w:rsidRPr="00FC5AAE" w:rsidRDefault="00ED1412" w:rsidP="00A37AC2">
      <w:pPr>
        <w:spacing w:before="240" w:after="0" w:line="240" w:lineRule="auto"/>
      </w:pPr>
      <w:r>
        <w:t xml:space="preserve">Figure </w:t>
      </w:r>
      <w:r>
        <w:rPr>
          <w:noProof/>
        </w:rPr>
        <w:t>11</w:t>
      </w:r>
      <w:r w:rsidR="00B35CE3">
        <w:rPr>
          <w:rFonts w:cs="Times New Roman"/>
        </w:rPr>
        <w:fldChar w:fldCharType="end"/>
      </w:r>
      <w:r w:rsidR="00B043AB">
        <w:rPr>
          <w:rFonts w:cs="Times New Roman"/>
        </w:rPr>
        <w:t>,</w:t>
      </w:r>
      <w:r w:rsidR="00A37AC2" w:rsidRPr="00AB2E89">
        <w:rPr>
          <w:rFonts w:cs="Times New Roman"/>
        </w:rPr>
        <w:t xml:space="preserve"> a</w:t>
      </w:r>
      <w:r w:rsidR="006A187F">
        <w:rPr>
          <w:rFonts w:cs="Times New Roman"/>
        </w:rPr>
        <w:t>ccording to Yielding et al. (199</w:t>
      </w:r>
      <w:r w:rsidR="00A37AC2" w:rsidRPr="00AB2E89">
        <w:rPr>
          <w:rFonts w:cs="Times New Roman"/>
        </w:rPr>
        <w:t>7), and these can be related to fault zone permeability (Sperrevik et al. 200</w:t>
      </w:r>
      <w:r w:rsidR="000B42D8">
        <w:rPr>
          <w:rFonts w:cs="Times New Roman"/>
        </w:rPr>
        <w:t>2 and Gibson,</w:t>
      </w:r>
      <w:r w:rsidR="00A37AC2" w:rsidRPr="00AB2E89">
        <w:rPr>
          <w:rFonts w:cs="Times New Roman"/>
        </w:rPr>
        <w:t xml:space="preserve"> 1998). The standard approach for calculating across fault pressure difference is to use the pressure profile on either side of the fault as described by</w:t>
      </w:r>
      <w:r w:rsidR="00A37AC2" w:rsidRPr="00F143CC">
        <w:rPr>
          <w:rFonts w:cs="Times New Roman"/>
        </w:rPr>
        <w:t xml:space="preserve"> Undersc</w:t>
      </w:r>
      <w:r w:rsidR="00A37AC2">
        <w:rPr>
          <w:rFonts w:cs="Times New Roman"/>
        </w:rPr>
        <w:t>hultz (2007</w:t>
      </w:r>
      <w:r w:rsidR="00A37AC2" w:rsidRPr="00F143CC">
        <w:rPr>
          <w:rFonts w:cs="Times New Roman"/>
        </w:rPr>
        <w:t>).</w:t>
      </w:r>
      <w:r w:rsidR="00A37AC2">
        <w:rPr>
          <w:rFonts w:cs="Times New Roman"/>
        </w:rPr>
        <w:t xml:space="preserve"> Bense (2004) demonstrated how fault zone parameterisation such as SGR had application in understanding fault zone hydraulic properties even at shallow depths where faults come to</w:t>
      </w:r>
      <w:r w:rsidR="0060387B">
        <w:rPr>
          <w:rFonts w:cs="Times New Roman"/>
        </w:rPr>
        <w:t xml:space="preserve"> the</w:t>
      </w:r>
      <w:r w:rsidR="00A37AC2">
        <w:rPr>
          <w:rFonts w:cs="Times New Roman"/>
        </w:rPr>
        <w:t xml:space="preserve"> surface.  </w:t>
      </w:r>
      <w:r w:rsidR="00606AD1">
        <w:rPr>
          <w:rFonts w:cs="Times New Roman"/>
        </w:rPr>
        <w:t xml:space="preserve">Capillary </w:t>
      </w:r>
      <w:r w:rsidR="00A37AC2">
        <w:rPr>
          <w:rFonts w:cs="Times New Roman"/>
        </w:rPr>
        <w:t>seal capacity can be estimated with the following inputs:</w:t>
      </w:r>
    </w:p>
    <w:p w14:paraId="54D5EE94" w14:textId="77777777" w:rsidR="00A37AC2" w:rsidRDefault="00A37AC2" w:rsidP="00A37AC2">
      <w:pPr>
        <w:rPr>
          <w:lang w:eastAsia="en-AU"/>
        </w:rPr>
      </w:pPr>
    </w:p>
    <w:p w14:paraId="2E2E8FF7" w14:textId="77777777" w:rsidR="00A37AC2" w:rsidRPr="00A14815" w:rsidRDefault="00A37AC2" w:rsidP="00936315">
      <w:pPr>
        <w:pStyle w:val="ListParagraph"/>
        <w:numPr>
          <w:ilvl w:val="0"/>
          <w:numId w:val="3"/>
        </w:numPr>
        <w:spacing w:line="240" w:lineRule="auto"/>
        <w:rPr>
          <w:rFonts w:cs="Arial"/>
          <w:bCs/>
          <w:lang w:eastAsia="en-AU"/>
        </w:rPr>
      </w:pPr>
      <w:r>
        <w:rPr>
          <w:rFonts w:cs="Arial"/>
          <w:bCs/>
          <w:lang w:eastAsia="en-AU"/>
        </w:rPr>
        <w:t>S</w:t>
      </w:r>
      <w:r w:rsidRPr="00A14815">
        <w:rPr>
          <w:rFonts w:cs="Arial"/>
          <w:bCs/>
          <w:lang w:eastAsia="en-AU"/>
        </w:rPr>
        <w:t>tratigraphic heterogeneity characterisation</w:t>
      </w:r>
      <w:r>
        <w:rPr>
          <w:rFonts w:cs="Arial"/>
          <w:bCs/>
          <w:lang w:eastAsia="en-AU"/>
        </w:rPr>
        <w:t>: the different sed</w:t>
      </w:r>
      <w:r w:rsidR="008457DA">
        <w:rPr>
          <w:rFonts w:cs="Arial"/>
          <w:bCs/>
          <w:lang w:eastAsia="en-AU"/>
        </w:rPr>
        <w:t>imentary facies within the strata on either side of a fault</w:t>
      </w:r>
      <w:r>
        <w:rPr>
          <w:rFonts w:cs="Arial"/>
          <w:bCs/>
          <w:lang w:eastAsia="en-AU"/>
        </w:rPr>
        <w:t xml:space="preserve"> are important to know for SGR calculation as these relate to the volume of shale on either side of a fault. There is a correlation between this and the amount of shale gouge at any location on the fault plane</w:t>
      </w:r>
      <w:r w:rsidR="00597A00">
        <w:rPr>
          <w:rFonts w:cs="Arial"/>
          <w:bCs/>
          <w:lang w:eastAsia="en-AU"/>
        </w:rPr>
        <w:t xml:space="preserve"> as a function of throw</w:t>
      </w:r>
      <w:r w:rsidR="00C52E1F">
        <w:rPr>
          <w:rFonts w:cs="Arial"/>
          <w:bCs/>
          <w:lang w:eastAsia="en-AU"/>
        </w:rPr>
        <w:t xml:space="preserve"> </w:t>
      </w:r>
      <w:r w:rsidR="00597A00">
        <w:rPr>
          <w:lang w:eastAsia="en-AU"/>
        </w:rPr>
        <w:t>(</w:t>
      </w:r>
      <w:r w:rsidR="006C0FFD" w:rsidRPr="00E25502">
        <w:rPr>
          <w:lang w:eastAsia="en-AU"/>
        </w:rPr>
        <w:t>Yielding</w:t>
      </w:r>
      <w:r w:rsidR="00832078" w:rsidRPr="00E25502">
        <w:rPr>
          <w:lang w:eastAsia="en-AU"/>
        </w:rPr>
        <w:t xml:space="preserve"> et al.</w:t>
      </w:r>
      <w:r w:rsidR="006C0FFD" w:rsidRPr="00E25502">
        <w:rPr>
          <w:lang w:eastAsia="en-AU"/>
        </w:rPr>
        <w:t>, 1997)</w:t>
      </w:r>
      <w:r w:rsidR="006C0FFD" w:rsidRPr="00E25502">
        <w:rPr>
          <w:rFonts w:cs="Arial"/>
          <w:bCs/>
          <w:lang w:eastAsia="en-AU"/>
        </w:rPr>
        <w:t>.</w:t>
      </w:r>
    </w:p>
    <w:p w14:paraId="4B55B54C" w14:textId="77777777" w:rsidR="00A37AC2" w:rsidRDefault="00A37AC2" w:rsidP="00936315">
      <w:pPr>
        <w:pStyle w:val="ListParagraph"/>
        <w:numPr>
          <w:ilvl w:val="0"/>
          <w:numId w:val="3"/>
        </w:numPr>
        <w:spacing w:line="240" w:lineRule="auto"/>
        <w:rPr>
          <w:rFonts w:cs="Arial"/>
          <w:bCs/>
          <w:lang w:eastAsia="en-AU"/>
        </w:rPr>
      </w:pPr>
      <w:r>
        <w:rPr>
          <w:rFonts w:cs="Arial"/>
          <w:bCs/>
          <w:lang w:eastAsia="en-AU"/>
        </w:rPr>
        <w:t>F</w:t>
      </w:r>
      <w:r w:rsidRPr="006636D8">
        <w:rPr>
          <w:rFonts w:cs="Arial"/>
          <w:bCs/>
          <w:lang w:eastAsia="en-AU"/>
        </w:rPr>
        <w:t>ault zone architecture</w:t>
      </w:r>
      <w:r>
        <w:rPr>
          <w:rFonts w:cs="Arial"/>
          <w:bCs/>
          <w:lang w:eastAsia="en-AU"/>
        </w:rPr>
        <w:t>: the geometry of the fault zone and the orientation of the various fault segments forms a key input to understanding the SGR.  The distribution of throw on the fault plane needs to be mapped and this forms an input parameter to the SGR calculation.</w:t>
      </w:r>
    </w:p>
    <w:p w14:paraId="3218F1C9" w14:textId="1196A3D4" w:rsidR="00A37AC2" w:rsidRDefault="00A37AC2" w:rsidP="00936315">
      <w:pPr>
        <w:pStyle w:val="ListParagraph"/>
        <w:numPr>
          <w:ilvl w:val="0"/>
          <w:numId w:val="3"/>
        </w:numPr>
        <w:spacing w:line="240" w:lineRule="auto"/>
        <w:rPr>
          <w:rFonts w:cs="Arial"/>
          <w:bCs/>
          <w:lang w:eastAsia="en-AU"/>
        </w:rPr>
      </w:pPr>
      <w:r>
        <w:rPr>
          <w:rFonts w:cs="Arial"/>
          <w:bCs/>
          <w:lang w:eastAsia="en-AU"/>
        </w:rPr>
        <w:t>Shale Gouge Ratio map</w:t>
      </w:r>
      <w:r w:rsidR="001C7483">
        <w:rPr>
          <w:rFonts w:cs="Arial"/>
          <w:bCs/>
          <w:lang w:eastAsia="en-AU"/>
        </w:rPr>
        <w:t>ped on the fault plan</w:t>
      </w:r>
      <w:r w:rsidR="00B531FD">
        <w:rPr>
          <w:rFonts w:cs="Arial"/>
          <w:bCs/>
          <w:lang w:eastAsia="en-AU"/>
        </w:rPr>
        <w:t>e</w:t>
      </w:r>
      <w:r>
        <w:rPr>
          <w:rFonts w:cs="Arial"/>
          <w:bCs/>
          <w:lang w:eastAsia="en-AU"/>
        </w:rPr>
        <w:t>: The SGR distribution on the fault plane will be calculated as a function of the shale volume distribution and the throw distribution.</w:t>
      </w:r>
    </w:p>
    <w:p w14:paraId="0200894F" w14:textId="73C10F1A" w:rsidR="00A37AC2" w:rsidRDefault="00A37AC2" w:rsidP="00936315">
      <w:pPr>
        <w:pStyle w:val="ListParagraph"/>
        <w:numPr>
          <w:ilvl w:val="0"/>
          <w:numId w:val="3"/>
        </w:numPr>
        <w:spacing w:line="240" w:lineRule="auto"/>
        <w:rPr>
          <w:rFonts w:cs="Arial"/>
          <w:bCs/>
          <w:lang w:eastAsia="en-AU"/>
        </w:rPr>
      </w:pPr>
      <w:r>
        <w:rPr>
          <w:rFonts w:cs="Arial"/>
          <w:bCs/>
          <w:lang w:eastAsia="en-AU"/>
        </w:rPr>
        <w:t>P</w:t>
      </w:r>
      <w:r w:rsidRPr="00A14815">
        <w:rPr>
          <w:rFonts w:cs="Arial"/>
          <w:bCs/>
          <w:lang w:eastAsia="en-AU"/>
        </w:rPr>
        <w:t>ore pressure distribution</w:t>
      </w:r>
      <w:r>
        <w:rPr>
          <w:rFonts w:cs="Arial"/>
          <w:bCs/>
          <w:lang w:eastAsia="en-AU"/>
        </w:rPr>
        <w:t xml:space="preserve"> (</w:t>
      </w:r>
      <w:r w:rsidR="00A9534A">
        <w:rPr>
          <w:rFonts w:cs="Arial"/>
          <w:bCs/>
          <w:lang w:eastAsia="en-AU"/>
        </w:rPr>
        <w:t>from groundwater</w:t>
      </w:r>
      <w:r>
        <w:rPr>
          <w:rFonts w:cs="Arial"/>
          <w:bCs/>
          <w:lang w:eastAsia="en-AU"/>
        </w:rPr>
        <w:t xml:space="preserve"> bores</w:t>
      </w:r>
      <w:r w:rsidR="00A9534A">
        <w:rPr>
          <w:rFonts w:cs="Arial"/>
          <w:bCs/>
          <w:lang w:eastAsia="en-AU"/>
        </w:rPr>
        <w:t xml:space="preserve"> or oil and gas wells</w:t>
      </w:r>
      <w:r>
        <w:rPr>
          <w:rFonts w:cs="Arial"/>
          <w:bCs/>
          <w:lang w:eastAsia="en-AU"/>
        </w:rPr>
        <w:t>): the detailed pore pressure in the strata on either side of the fault forms the important calibration parameter of across fault pressure difference.  This distribution will be mapped and plotted against SGR in order to obtain a permeability estimate for given SGR values.</w:t>
      </w:r>
    </w:p>
    <w:p w14:paraId="69A054A4" w14:textId="0E36CBC4" w:rsidR="00A37AC2" w:rsidRPr="00E81E5F" w:rsidRDefault="00A37AC2" w:rsidP="00936315">
      <w:pPr>
        <w:pStyle w:val="ListParagraph"/>
        <w:numPr>
          <w:ilvl w:val="0"/>
          <w:numId w:val="3"/>
        </w:numPr>
        <w:spacing w:line="240" w:lineRule="auto"/>
        <w:rPr>
          <w:rFonts w:cs="Arial"/>
          <w:bCs/>
          <w:lang w:eastAsia="en-AU"/>
        </w:rPr>
      </w:pPr>
      <w:r>
        <w:rPr>
          <w:rFonts w:cs="Arial"/>
          <w:bCs/>
          <w:lang w:eastAsia="en-AU"/>
        </w:rPr>
        <w:t xml:space="preserve">Map the across fault pressure difference sustainable prior to </w:t>
      </w:r>
      <w:r w:rsidR="00606AD1">
        <w:rPr>
          <w:rFonts w:cs="Arial"/>
          <w:bCs/>
          <w:lang w:eastAsia="en-AU"/>
        </w:rPr>
        <w:t>capillary</w:t>
      </w:r>
      <w:r>
        <w:rPr>
          <w:rFonts w:cs="Arial"/>
          <w:bCs/>
          <w:lang w:eastAsia="en-AU"/>
        </w:rPr>
        <w:t xml:space="preserve"> seal failure and estimate the fault zone permeability distribution.</w:t>
      </w:r>
    </w:p>
    <w:p w14:paraId="46DC1995" w14:textId="0E123A16" w:rsidR="00A37AC2" w:rsidRDefault="00A37AC2" w:rsidP="00936315">
      <w:pPr>
        <w:spacing w:line="240" w:lineRule="auto"/>
        <w:rPr>
          <w:lang w:eastAsia="en-AU"/>
        </w:rPr>
      </w:pPr>
      <w:r>
        <w:t>Development of SGR data for individual mapped fault surfaces will be done using software such as Petrel</w:t>
      </w:r>
      <w:r w:rsidR="00E80F47" w:rsidRPr="00E80F47">
        <w:rPr>
          <w:vertAlign w:val="superscript"/>
        </w:rPr>
        <w:t>1</w:t>
      </w:r>
      <w:r>
        <w:t>, FaultRisk</w:t>
      </w:r>
      <w:r w:rsidR="00E80F47" w:rsidRPr="00E80F47">
        <w:rPr>
          <w:vertAlign w:val="superscript"/>
        </w:rPr>
        <w:t>2</w:t>
      </w:r>
      <w:r>
        <w:t>, or TrapTeste</w:t>
      </w:r>
      <w:r w:rsidR="008457DA">
        <w:t>r</w:t>
      </w:r>
      <w:r w:rsidR="00E80F47" w:rsidRPr="00E80F47">
        <w:rPr>
          <w:vertAlign w:val="superscript"/>
        </w:rPr>
        <w:t>3</w:t>
      </w:r>
      <w:r>
        <w:t>.</w:t>
      </w:r>
      <w:r w:rsidR="008457DA">
        <w:t xml:space="preserve"> </w:t>
      </w:r>
      <w:r>
        <w:rPr>
          <w:lang w:eastAsia="en-AU"/>
        </w:rPr>
        <w:t xml:space="preserve">The data obtained from the SGR analysis leads to an estimate of the fault zone permeability distribution </w:t>
      </w:r>
      <w:r w:rsidRPr="004742BE">
        <w:rPr>
          <w:lang w:eastAsia="en-AU"/>
        </w:rPr>
        <w:t xml:space="preserve">that can directly be utilised in </w:t>
      </w:r>
      <w:r w:rsidR="008457DA">
        <w:rPr>
          <w:lang w:eastAsia="en-AU"/>
        </w:rPr>
        <w:t>populating regional groun</w:t>
      </w:r>
      <w:r w:rsidR="00B043AB">
        <w:rPr>
          <w:lang w:eastAsia="en-AU"/>
        </w:rPr>
        <w:t>d</w:t>
      </w:r>
      <w:r w:rsidR="008457DA">
        <w:rPr>
          <w:lang w:eastAsia="en-AU"/>
        </w:rPr>
        <w:t>water models</w:t>
      </w:r>
      <w:r>
        <w:rPr>
          <w:lang w:eastAsia="en-AU"/>
        </w:rPr>
        <w:t>.</w:t>
      </w:r>
    </w:p>
    <w:p w14:paraId="04CE393B" w14:textId="77777777" w:rsidR="00B043AB" w:rsidRDefault="00B043AB" w:rsidP="00E9349B">
      <w:pPr>
        <w:jc w:val="center"/>
        <w:rPr>
          <w:lang w:eastAsia="en-AU"/>
        </w:rPr>
      </w:pPr>
      <w:r>
        <w:rPr>
          <w:noProof/>
          <w:lang w:eastAsia="en-AU"/>
        </w:rPr>
        <w:lastRenderedPageBreak/>
        <w:drawing>
          <wp:inline distT="0" distB="0" distL="0" distR="0" wp14:anchorId="6A74903C" wp14:editId="512C19B8">
            <wp:extent cx="5731510" cy="3589655"/>
            <wp:effectExtent l="0" t="0" r="2540" b="0"/>
            <wp:docPr id="26" name="Picture 26" descr="Image and schematic for an example shale gouge ratio method."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GR diagram.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31510" cy="3589655"/>
                    </a:xfrm>
                    <a:prstGeom prst="rect">
                      <a:avLst/>
                    </a:prstGeom>
                  </pic:spPr>
                </pic:pic>
              </a:graphicData>
            </a:graphic>
          </wp:inline>
        </w:drawing>
      </w:r>
    </w:p>
    <w:p w14:paraId="6433E5D6" w14:textId="77777777" w:rsidR="006E7680" w:rsidRDefault="006E7680" w:rsidP="00391D3A">
      <w:pPr>
        <w:pStyle w:val="Caption"/>
      </w:pPr>
      <w:bookmarkStart w:id="467" w:name="_Ref432604781"/>
    </w:p>
    <w:p w14:paraId="76764693" w14:textId="02172135" w:rsidR="00300DB0" w:rsidRPr="00B043AB" w:rsidRDefault="00391D3A" w:rsidP="00391D3A">
      <w:pPr>
        <w:pStyle w:val="Caption"/>
        <w:rPr>
          <w:lang w:eastAsia="en-AU"/>
        </w:rPr>
      </w:pPr>
      <w:bookmarkStart w:id="468" w:name="_Toc442353792"/>
      <w:r>
        <w:t xml:space="preserve">Figure </w:t>
      </w:r>
      <w:fldSimple w:instr=" SEQ Figure \* ARABIC ">
        <w:r w:rsidR="00ED1412">
          <w:rPr>
            <w:noProof/>
          </w:rPr>
          <w:t>11</w:t>
        </w:r>
      </w:fldSimple>
      <w:bookmarkEnd w:id="467"/>
      <w:r w:rsidR="001E0F17">
        <w:rPr>
          <w:lang w:eastAsia="en-AU"/>
        </w:rPr>
        <w:t>.</w:t>
      </w:r>
      <w:r w:rsidR="00B043AB">
        <w:rPr>
          <w:lang w:eastAsia="en-AU"/>
        </w:rPr>
        <w:t xml:space="preserve"> Example of shale gouge ratio method of calculation (Yielding</w:t>
      </w:r>
      <w:r w:rsidR="00832078">
        <w:rPr>
          <w:lang w:eastAsia="en-AU"/>
        </w:rPr>
        <w:t xml:space="preserve"> et al.</w:t>
      </w:r>
      <w:r w:rsidR="00B043AB">
        <w:rPr>
          <w:lang w:eastAsia="en-AU"/>
        </w:rPr>
        <w:t xml:space="preserve">, 1997) </w:t>
      </w:r>
      <w:r w:rsidR="00597A00">
        <w:rPr>
          <w:lang w:eastAsia="en-AU"/>
        </w:rPr>
        <w:t>where Vsh is the volume of shale expressed as a % of clay minerals</w:t>
      </w:r>
      <w:r w:rsidR="00F06C29">
        <w:rPr>
          <w:lang w:eastAsia="en-AU"/>
        </w:rPr>
        <w:t xml:space="preserve"> in a discrete bed thickness (</w:t>
      </w:r>
      <w:r w:rsidR="006C0FFD" w:rsidRPr="00E25502">
        <w:rPr>
          <w:rFonts w:ascii="Symbol" w:hAnsi="Symbol"/>
          <w:color w:val="auto"/>
          <w:lang w:eastAsia="en-AU"/>
        </w:rPr>
        <w:t></w:t>
      </w:r>
      <w:r w:rsidR="00F06C29">
        <w:rPr>
          <w:lang w:eastAsia="en-AU"/>
        </w:rPr>
        <w:t>z) and T is the fault throw.</w:t>
      </w:r>
      <w:bookmarkEnd w:id="468"/>
      <w:r w:rsidR="00F06C29">
        <w:rPr>
          <w:lang w:eastAsia="en-AU"/>
        </w:rPr>
        <w:t xml:space="preserve"> </w:t>
      </w:r>
    </w:p>
    <w:p w14:paraId="382D9029" w14:textId="77777777" w:rsidR="00C51988" w:rsidRDefault="00C51988" w:rsidP="00C51988">
      <w:pPr>
        <w:pStyle w:val="Heading1"/>
      </w:pPr>
      <w:bookmarkStart w:id="469" w:name="_Toc442351511"/>
      <w:r>
        <w:t>Movement of Fluids in Faulted Rocks</w:t>
      </w:r>
      <w:bookmarkEnd w:id="469"/>
    </w:p>
    <w:p w14:paraId="47004511" w14:textId="44C7BA46" w:rsidR="00014698" w:rsidRDefault="00014698" w:rsidP="00936315">
      <w:pPr>
        <w:spacing w:line="240" w:lineRule="auto"/>
      </w:pPr>
      <w:r>
        <w:t>Knowledge of the fault zone permeability allows an assessment of the capilla</w:t>
      </w:r>
      <w:r w:rsidR="00E80F47">
        <w:t>ry seal capacity for the fault (</w:t>
      </w:r>
      <w:r>
        <w:t>or the</w:t>
      </w:r>
      <w:r w:rsidR="00AE5A9E">
        <w:t xml:space="preserve"> capillary pressure</w:t>
      </w:r>
      <w:r>
        <w:t xml:space="preserve"> </w:t>
      </w:r>
      <w:r w:rsidR="00AE5A9E">
        <w:t>(</w:t>
      </w:r>
      <w:r>
        <w:t>P</w:t>
      </w:r>
      <w:r w:rsidRPr="00D060BD">
        <w:rPr>
          <w:vertAlign w:val="subscript"/>
        </w:rPr>
        <w:t>c</w:t>
      </w:r>
      <w:r w:rsidR="00AE5A9E">
        <w:t xml:space="preserve">) </w:t>
      </w:r>
      <w:r w:rsidR="0060387B">
        <w:t xml:space="preserve">that </w:t>
      </w:r>
      <w:r>
        <w:t>the fault is capable of supporting</w:t>
      </w:r>
      <w:r w:rsidR="00832078">
        <w:t xml:space="preserve"> </w:t>
      </w:r>
      <w:r w:rsidR="00DF0A9E">
        <w:t>before the</w:t>
      </w:r>
      <w:r w:rsidR="00D006E7">
        <w:t xml:space="preserve"> non-wetting phase can enter the fault pore space</w:t>
      </w:r>
      <w:r>
        <w:t xml:space="preserve">). For utilizing this relationship in pre-drill prediction of fault seal capacity, case examples of hydrocarbon pools thought to be controlled by </w:t>
      </w:r>
      <w:r w:rsidR="00D006E7">
        <w:t xml:space="preserve">capillary </w:t>
      </w:r>
      <w:r>
        <w:t>fault seal can be used to calibrate calculated SGR against measured across</w:t>
      </w:r>
      <w:r w:rsidR="00976733">
        <w:t>-</w:t>
      </w:r>
      <w:r>
        <w:t>fault pressure differences (</w:t>
      </w:r>
      <w:r w:rsidRPr="00337326">
        <w:rPr>
          <w:rFonts w:ascii="Symbol" w:hAnsi="Symbol"/>
          <w:lang w:eastAsia="en-AU"/>
        </w:rPr>
        <w:t></w:t>
      </w:r>
      <w:r>
        <w:rPr>
          <w:lang w:eastAsia="en-AU"/>
        </w:rPr>
        <w:t>P</w:t>
      </w:r>
      <w:r w:rsidRPr="00704782">
        <w:rPr>
          <w:vertAlign w:val="subscript"/>
          <w:lang w:eastAsia="en-AU"/>
        </w:rPr>
        <w:t>f</w:t>
      </w:r>
      <w:r>
        <w:t>).</w:t>
      </w:r>
      <w:r w:rsidR="0015202D">
        <w:t xml:space="preserve"> We can then use these same calibration techniques to predict fault permeability of other faults where there are no hydrocarbons trapped.</w:t>
      </w:r>
      <w:r>
        <w:t xml:space="preserve"> The standard approach previously used for calculating </w:t>
      </w:r>
      <w:r w:rsidRPr="00337326">
        <w:rPr>
          <w:rFonts w:ascii="Symbol" w:hAnsi="Symbol"/>
          <w:lang w:eastAsia="en-AU"/>
        </w:rPr>
        <w:t></w:t>
      </w:r>
      <w:r>
        <w:rPr>
          <w:lang w:eastAsia="en-AU"/>
        </w:rPr>
        <w:t>P</w:t>
      </w:r>
      <w:r w:rsidRPr="00704782">
        <w:rPr>
          <w:vertAlign w:val="subscript"/>
          <w:lang w:eastAsia="en-AU"/>
        </w:rPr>
        <w:t>f</w:t>
      </w:r>
      <w:r>
        <w:t xml:space="preserve"> is to use the pressure profile on either side of the fault and regardless of the fluid type (gas, oil or formation water), simply calculate the difference in pressur</w:t>
      </w:r>
      <w:r w:rsidR="0072724F">
        <w:t>e at a given elevation. Bretan et al. (2003</w:t>
      </w:r>
      <w:r>
        <w:t xml:space="preserve">) presents an extensive pressure dataset from fields in globally distributed basins where the </w:t>
      </w:r>
      <w:r w:rsidRPr="00337326">
        <w:rPr>
          <w:rFonts w:ascii="Symbol" w:hAnsi="Symbol"/>
          <w:lang w:eastAsia="en-AU"/>
        </w:rPr>
        <w:t></w:t>
      </w:r>
      <w:r>
        <w:rPr>
          <w:lang w:eastAsia="en-AU"/>
        </w:rPr>
        <w:t>P</w:t>
      </w:r>
      <w:r w:rsidRPr="00704782">
        <w:rPr>
          <w:vertAlign w:val="subscript"/>
          <w:lang w:eastAsia="en-AU"/>
        </w:rPr>
        <w:t>f</w:t>
      </w:r>
      <w:r>
        <w:t xml:space="preserve"> is plotted against the SGR. Fields are selected that are thought to be filled to their fault </w:t>
      </w:r>
      <w:r w:rsidR="00D006E7">
        <w:t>capillary</w:t>
      </w:r>
      <w:r>
        <w:t xml:space="preserve"> seal capacity and where other components contributing to the total seal capacity are thought to be minor. Brown (2003) and Underschultz (2007) identify that the distribution of formation pressure across the fault can have a significant contribution to the total seal capacity</w:t>
      </w:r>
      <w:r w:rsidR="00B531FD">
        <w:t xml:space="preserve"> (explained in detail below)</w:t>
      </w:r>
      <w:r>
        <w:t xml:space="preserve"> and this needs to be considered in the global </w:t>
      </w:r>
      <w:r w:rsidRPr="00337326">
        <w:rPr>
          <w:rFonts w:ascii="Symbol" w:hAnsi="Symbol"/>
          <w:lang w:eastAsia="en-AU"/>
        </w:rPr>
        <w:t></w:t>
      </w:r>
      <w:r>
        <w:rPr>
          <w:lang w:eastAsia="en-AU"/>
        </w:rPr>
        <w:t>P</w:t>
      </w:r>
      <w:r w:rsidRPr="00704782">
        <w:rPr>
          <w:vertAlign w:val="subscript"/>
          <w:lang w:eastAsia="en-AU"/>
        </w:rPr>
        <w:t>f</w:t>
      </w:r>
      <w:r w:rsidRPr="00543000">
        <w:rPr>
          <w:lang w:eastAsia="en-AU"/>
        </w:rPr>
        <w:t xml:space="preserve"> </w:t>
      </w:r>
      <w:r>
        <w:rPr>
          <w:lang w:eastAsia="en-AU"/>
        </w:rPr>
        <w:t>–</w:t>
      </w:r>
      <w:r w:rsidRPr="00543000">
        <w:rPr>
          <w:lang w:eastAsia="en-AU"/>
        </w:rPr>
        <w:t xml:space="preserve"> SGR</w:t>
      </w:r>
      <w:r>
        <w:t xml:space="preserve"> calibration data.</w:t>
      </w:r>
      <w:r w:rsidR="00DA28E5">
        <w:t xml:space="preserve"> The </w:t>
      </w:r>
      <w:r w:rsidR="0060387B">
        <w:t xml:space="preserve">presence of a </w:t>
      </w:r>
      <w:r w:rsidR="00DA28E5">
        <w:t xml:space="preserve">water pressure differential across a fault also indicates, in itself, that the fault is of sufficiently low permeability to sustain that pressure gradient over time. </w:t>
      </w:r>
      <w:r>
        <w:t xml:space="preserve"> Underschultz (2007) provided a means to assess and correct global calibration datasets based on formation pressure distribution. Yielding et al. (2010) used the principles outlined in Underschultz (2007) and revisited the global compilation of across fault pressure differences correlated with SGR (Breton et al., 2003) and applied a correction for those data that had sufficient information to do so. Yielding et al. (2010) discovered that the corrected data now define curved fault seal correlation envelopes that mimicked the theoretical curves derived by Sperrevik et al. (2002) from laboratory based experimentation. Several important implications are derived from Yielding et al. (2010):</w:t>
      </w:r>
    </w:p>
    <w:p w14:paraId="706684A6" w14:textId="35227FD6" w:rsidR="00014698" w:rsidRDefault="00014698" w:rsidP="00936315">
      <w:pPr>
        <w:pStyle w:val="ListParagraph"/>
        <w:numPr>
          <w:ilvl w:val="0"/>
          <w:numId w:val="11"/>
        </w:numPr>
        <w:spacing w:line="240" w:lineRule="auto"/>
      </w:pPr>
      <w:r>
        <w:t>Above</w:t>
      </w:r>
      <w:r w:rsidR="00976733">
        <w:t xml:space="preserve"> SGR values of</w:t>
      </w:r>
      <w:r>
        <w:t xml:space="preserve"> ~</w:t>
      </w:r>
      <w:r w:rsidR="00B531FD">
        <w:t>0.</w:t>
      </w:r>
      <w:r>
        <w:t>5</w:t>
      </w:r>
      <w:r w:rsidR="00976733">
        <w:t>,</w:t>
      </w:r>
      <w:r>
        <w:t xml:space="preserve"> </w:t>
      </w:r>
      <w:r w:rsidR="00976733">
        <w:t xml:space="preserve">further </w:t>
      </w:r>
      <w:r>
        <w:t>increas</w:t>
      </w:r>
      <w:r w:rsidR="00976733">
        <w:t xml:space="preserve">e </w:t>
      </w:r>
      <w:r>
        <w:t>in SGR has progressively less impact on added seal capacity</w:t>
      </w:r>
      <w:r w:rsidR="00DF0A9E">
        <w:t>;</w:t>
      </w:r>
    </w:p>
    <w:p w14:paraId="27FBCE97" w14:textId="078F12A2" w:rsidR="00014698" w:rsidRDefault="00014698" w:rsidP="00936315">
      <w:pPr>
        <w:pStyle w:val="ListParagraph"/>
        <w:numPr>
          <w:ilvl w:val="0"/>
          <w:numId w:val="11"/>
        </w:numPr>
        <w:spacing w:line="240" w:lineRule="auto"/>
      </w:pPr>
      <w:r>
        <w:lastRenderedPageBreak/>
        <w:t>At lower SGR values (the cut off value is dependent on fault depth)</w:t>
      </w:r>
      <w:r w:rsidR="00976733">
        <w:t>,</w:t>
      </w:r>
      <w:r>
        <w:t xml:space="preserve"> </w:t>
      </w:r>
      <w:r w:rsidR="00976733">
        <w:t xml:space="preserve">lateral </w:t>
      </w:r>
      <w:r>
        <w:t>seal capacity is effectively lost</w:t>
      </w:r>
      <w:r w:rsidR="00DF0A9E">
        <w:t>;</w:t>
      </w:r>
    </w:p>
    <w:p w14:paraId="02313B1F" w14:textId="16CA74D2" w:rsidR="00014698" w:rsidRDefault="00014698" w:rsidP="00936315">
      <w:pPr>
        <w:pStyle w:val="ListParagraph"/>
        <w:numPr>
          <w:ilvl w:val="0"/>
          <w:numId w:val="11"/>
        </w:numPr>
        <w:spacing w:line="240" w:lineRule="auto"/>
      </w:pPr>
      <w:r>
        <w:t>There is general agreement between laboratory  and field  observations</w:t>
      </w:r>
      <w:r w:rsidR="00DF0A9E">
        <w:t>; and</w:t>
      </w:r>
    </w:p>
    <w:p w14:paraId="35B5B395" w14:textId="6FF056F5" w:rsidR="00014698" w:rsidRPr="00DF49DE" w:rsidRDefault="00014698" w:rsidP="00936315">
      <w:pPr>
        <w:pStyle w:val="ListParagraph"/>
        <w:numPr>
          <w:ilvl w:val="0"/>
          <w:numId w:val="11"/>
        </w:numPr>
        <w:spacing w:line="240" w:lineRule="auto"/>
        <w:rPr>
          <w:rFonts w:ascii="Arial" w:hAnsi="Arial" w:cs="Arial"/>
          <w:b/>
        </w:rPr>
      </w:pPr>
      <w:r>
        <w:t>More robust global correlation data sets may further improve the definition of the seal capacity calibration envelopes (particularly at high and low SGR)</w:t>
      </w:r>
      <w:r w:rsidR="00DF0A9E">
        <w:t>.</w:t>
      </w:r>
    </w:p>
    <w:p w14:paraId="16B73220" w14:textId="5DC75F3C" w:rsidR="00DF49DE" w:rsidRPr="00DF49DE" w:rsidRDefault="00DF49DE" w:rsidP="00936315">
      <w:pPr>
        <w:spacing w:line="240" w:lineRule="auto"/>
      </w:pPr>
      <w:r>
        <w:t xml:space="preserve">In order to evaluate fault zone permeability for input to regional groundwater models, a geological model is required that can estimate the volume of clay material in the stratigraphic layers either side of the fault.  The fault throw distribution is </w:t>
      </w:r>
      <w:r w:rsidR="0060387B">
        <w:t>also required and</w:t>
      </w:r>
      <w:r>
        <w:t xml:space="preserve"> can be obtained from seismic data analysis.  Finally the vertical formation pressure distribution is required on either side of the fault and this can be gained directly from multi-level monitoring bores or oil and gas wells with</w:t>
      </w:r>
      <w:r w:rsidR="0015202D">
        <w:t xml:space="preserve"> wireline test data or indirectly from</w:t>
      </w:r>
      <w:r w:rsidR="00364CD5">
        <w:t xml:space="preserve"> formation water</w:t>
      </w:r>
      <w:r w:rsidR="0015202D">
        <w:t xml:space="preserve"> hydraulic head </w:t>
      </w:r>
      <w:r w:rsidR="00364CD5">
        <w:t>(H</w:t>
      </w:r>
      <w:r w:rsidR="006C0FFD" w:rsidRPr="00E25502">
        <w:rPr>
          <w:vertAlign w:val="subscript"/>
        </w:rPr>
        <w:t>w</w:t>
      </w:r>
      <w:r w:rsidR="00364CD5">
        <w:t xml:space="preserve">) </w:t>
      </w:r>
      <w:r w:rsidR="0015202D">
        <w:t>distribution maps.</w:t>
      </w:r>
    </w:p>
    <w:p w14:paraId="0D0ABBB0" w14:textId="77777777" w:rsidR="00014698" w:rsidRDefault="00A25435" w:rsidP="00EE4502">
      <w:pPr>
        <w:pStyle w:val="Heading2"/>
      </w:pPr>
      <w:bookmarkStart w:id="470" w:name="_Toc442351512"/>
      <w:r>
        <w:t>Multi-P</w:t>
      </w:r>
      <w:r w:rsidR="00EE4502">
        <w:t>hase Fluids and Capillarity</w:t>
      </w:r>
      <w:bookmarkEnd w:id="470"/>
    </w:p>
    <w:p w14:paraId="6FCEFC0B" w14:textId="179A1786" w:rsidR="00014698" w:rsidRDefault="00014698" w:rsidP="00936315">
      <w:pPr>
        <w:spacing w:line="240" w:lineRule="auto"/>
      </w:pPr>
      <w:r>
        <w:t>For the purpose of SGR-</w:t>
      </w:r>
      <w:r>
        <w:rPr>
          <w:rFonts w:ascii="Symbol" w:hAnsi="Symbol"/>
          <w:lang w:eastAsia="en-AU"/>
        </w:rPr>
        <w:t></w:t>
      </w:r>
      <w:r>
        <w:rPr>
          <w:lang w:eastAsia="en-AU"/>
        </w:rPr>
        <w:t>P</w:t>
      </w:r>
      <w:r>
        <w:rPr>
          <w:vertAlign w:val="subscript"/>
          <w:lang w:eastAsia="en-AU"/>
        </w:rPr>
        <w:t>f</w:t>
      </w:r>
      <w:r>
        <w:t xml:space="preserve"> calibration, Underschultz (2007) shows that </w:t>
      </w:r>
      <w:r w:rsidRPr="00E63AA2">
        <w:rPr>
          <w:rFonts w:ascii="Symbol" w:hAnsi="Symbol"/>
        </w:rPr>
        <w:t></w:t>
      </w:r>
      <w:r>
        <w:t>P</w:t>
      </w:r>
      <w:r w:rsidRPr="00364CD5">
        <w:t xml:space="preserve"> </w:t>
      </w:r>
      <w:r>
        <w:t>across the entire seal thickness</w:t>
      </w:r>
      <w:r w:rsidR="0033370D">
        <w:t xml:space="preserve"> (top seal or fault seal)</w:t>
      </w:r>
      <w:r>
        <w:t xml:space="preserve"> has to be accounted for (not just the reservoir seal interface) or it could lead to an erroneous calibration. Schematic </w:t>
      </w:r>
      <w:r w:rsidR="00B35CE3">
        <w:fldChar w:fldCharType="begin"/>
      </w:r>
      <w:r w:rsidR="00B35CE3">
        <w:instrText xml:space="preserve"> REF _Ref432604792 \h </w:instrText>
      </w:r>
      <w:r w:rsidR="00B35CE3">
        <w:fldChar w:fldCharType="separate"/>
      </w:r>
      <w:r w:rsidR="00ED1412">
        <w:t xml:space="preserve">Figure </w:t>
      </w:r>
      <w:r w:rsidR="00ED1412">
        <w:rPr>
          <w:noProof/>
        </w:rPr>
        <w:t>12</w:t>
      </w:r>
      <w:r w:rsidR="00B35CE3">
        <w:fldChar w:fldCharType="end"/>
      </w:r>
      <w:r>
        <w:t>A shows a simple trap geometry</w:t>
      </w:r>
      <w:r w:rsidR="0033370D">
        <w:t xml:space="preserve"> in order to demonstrate the principle of total seal capacity being effected by hydraulic head</w:t>
      </w:r>
      <w:r>
        <w:t>.</w:t>
      </w:r>
      <w:r w:rsidR="0033370D">
        <w:t xml:space="preserve">  A real fault will have a much more complicated permeability distribution.</w:t>
      </w:r>
      <w:r>
        <w:t xml:space="preserve"> The reservoir, fault and top seal are considered isotropic and reservoir permeability (k</w:t>
      </w:r>
      <w:r>
        <w:rPr>
          <w:vertAlign w:val="subscript"/>
        </w:rPr>
        <w:t>res</w:t>
      </w:r>
      <w:r>
        <w:t>) &gt;&gt; fault zone permeability (k</w:t>
      </w:r>
      <w:r>
        <w:rPr>
          <w:vertAlign w:val="subscript"/>
        </w:rPr>
        <w:t>fz</w:t>
      </w:r>
      <w:r>
        <w:t>) &gt;&gt; top seal permeability (k</w:t>
      </w:r>
      <w:r>
        <w:rPr>
          <w:vertAlign w:val="subscript"/>
        </w:rPr>
        <w:t>ts</w:t>
      </w:r>
      <w:r w:rsidR="00E371FB">
        <w:t xml:space="preserve">). </w:t>
      </w:r>
      <w:r w:rsidR="00B35CE3">
        <w:fldChar w:fldCharType="begin"/>
      </w:r>
      <w:r w:rsidR="00B35CE3">
        <w:instrText xml:space="preserve"> REF _Ref432604792 \h </w:instrText>
      </w:r>
      <w:r w:rsidR="00B35CE3">
        <w:fldChar w:fldCharType="separate"/>
      </w:r>
      <w:r w:rsidR="00ED1412">
        <w:t xml:space="preserve">Figure </w:t>
      </w:r>
      <w:r w:rsidR="00ED1412">
        <w:rPr>
          <w:noProof/>
        </w:rPr>
        <w:t>12</w:t>
      </w:r>
      <w:r w:rsidR="00B35CE3">
        <w:fldChar w:fldCharType="end"/>
      </w:r>
      <w:r>
        <w:t>B and C consider the details of the reservoir adjacent to the fault with high H</w:t>
      </w:r>
      <w:r w:rsidRPr="00044936">
        <w:rPr>
          <w:vertAlign w:val="subscript"/>
        </w:rPr>
        <w:t>w</w:t>
      </w:r>
      <w:r>
        <w:t xml:space="preserve"> on the left and right sides respectively and each with a complementary capillary pressure curve for the fault rock.</w:t>
      </w:r>
    </w:p>
    <w:p w14:paraId="72A8192B" w14:textId="4C205379" w:rsidR="00014698" w:rsidRDefault="00DC61C4" w:rsidP="00936315">
      <w:pPr>
        <w:spacing w:line="240" w:lineRule="auto"/>
      </w:pPr>
      <w:r>
        <w:t xml:space="preserve">In </w:t>
      </w:r>
      <w:r w:rsidR="00B35CE3">
        <w:fldChar w:fldCharType="begin"/>
      </w:r>
      <w:r w:rsidR="00B35CE3">
        <w:instrText xml:space="preserve"> REF _Ref432604792 \h </w:instrText>
      </w:r>
      <w:r w:rsidR="00B35CE3">
        <w:fldChar w:fldCharType="separate"/>
      </w:r>
      <w:r w:rsidR="00ED1412">
        <w:t xml:space="preserve">Figure </w:t>
      </w:r>
      <w:r w:rsidR="00ED1412">
        <w:rPr>
          <w:noProof/>
        </w:rPr>
        <w:t>12</w:t>
      </w:r>
      <w:r w:rsidR="00B35CE3">
        <w:fldChar w:fldCharType="end"/>
      </w:r>
      <w:r w:rsidR="00014698">
        <w:t>B, H</w:t>
      </w:r>
      <w:r w:rsidR="00014698" w:rsidRPr="00B821A9">
        <w:rPr>
          <w:vertAlign w:val="subscript"/>
        </w:rPr>
        <w:t>w</w:t>
      </w:r>
      <w:r w:rsidR="00014698">
        <w:t xml:space="preserve"> on the left side of the fault is higher than on the right. Once the hydrocarbon column reaches a height where the capillary pressure (P</w:t>
      </w:r>
      <w:r w:rsidR="00014698" w:rsidRPr="00027869">
        <w:rPr>
          <w:vertAlign w:val="subscript"/>
        </w:rPr>
        <w:t>c</w:t>
      </w:r>
      <w:r w:rsidR="00014698">
        <w:t>) is equal to the P</w:t>
      </w:r>
      <w:r w:rsidR="00014698" w:rsidRPr="00C7766B">
        <w:rPr>
          <w:vertAlign w:val="subscript"/>
        </w:rPr>
        <w:t>t</w:t>
      </w:r>
      <w:r w:rsidR="00014698">
        <w:t xml:space="preserve"> of the </w:t>
      </w:r>
      <w:r w:rsidR="00D006E7">
        <w:t>capillary</w:t>
      </w:r>
      <w:r w:rsidR="00014698">
        <w:t xml:space="preserve"> seal, the </w:t>
      </w:r>
      <w:r w:rsidR="00014698" w:rsidRPr="0033370D">
        <w:t>first pore</w:t>
      </w:r>
      <w:r w:rsidR="00014698">
        <w:t xml:space="preserve"> of the fault is breached. Note that the H</w:t>
      </w:r>
      <w:r w:rsidR="00014698" w:rsidRPr="00B821A9">
        <w:rPr>
          <w:vertAlign w:val="subscript"/>
        </w:rPr>
        <w:t>w</w:t>
      </w:r>
      <w:r w:rsidR="00014698">
        <w:t xml:space="preserve"> within the fault decreases towards the right; therefore once the first pore of the seal is breached</w:t>
      </w:r>
      <w:r w:rsidR="007A7CD4">
        <w:t>,</w:t>
      </w:r>
      <w:r w:rsidR="00014698">
        <w:t xml:space="preserve"> the hydrocarbon column has sufficient P</w:t>
      </w:r>
      <w:r w:rsidR="00014698" w:rsidRPr="00027869">
        <w:rPr>
          <w:vertAlign w:val="subscript"/>
        </w:rPr>
        <w:t>c</w:t>
      </w:r>
      <w:r w:rsidR="00014698">
        <w:t xml:space="preserve"> to penetrate the entire fault zone. Also, </w:t>
      </w:r>
      <w:r w:rsidR="00976733">
        <w:t xml:space="preserve">in this example </w:t>
      </w:r>
      <w:r w:rsidR="00014698">
        <w:t>P</w:t>
      </w:r>
      <w:r w:rsidR="00014698" w:rsidRPr="00027869">
        <w:rPr>
          <w:vertAlign w:val="subscript"/>
        </w:rPr>
        <w:t>c</w:t>
      </w:r>
      <w:r w:rsidR="00014698">
        <w:t xml:space="preserve"> never greatly exceeds the</w:t>
      </w:r>
      <w:r w:rsidR="00364CD5">
        <w:t xml:space="preserve"> threshold pressure</w:t>
      </w:r>
      <w:r w:rsidR="00014698">
        <w:t xml:space="preserve"> </w:t>
      </w:r>
      <w:r w:rsidR="00364CD5">
        <w:t>(</w:t>
      </w:r>
      <w:r w:rsidR="00014698">
        <w:t>P</w:t>
      </w:r>
      <w:r w:rsidR="00014698" w:rsidRPr="00C7766B">
        <w:rPr>
          <w:vertAlign w:val="subscript"/>
        </w:rPr>
        <w:t>t</w:t>
      </w:r>
      <w:r w:rsidR="00364CD5">
        <w:t>),</w:t>
      </w:r>
      <w:r w:rsidR="00014698">
        <w:t xml:space="preserve"> thus the hydrocarbon saturation (S</w:t>
      </w:r>
      <w:r w:rsidR="00014698">
        <w:rPr>
          <w:vertAlign w:val="subscript"/>
        </w:rPr>
        <w:t>h</w:t>
      </w:r>
      <w:r w:rsidR="00014698">
        <w:t xml:space="preserve">) within the fault zone remains low. </w:t>
      </w:r>
    </w:p>
    <w:p w14:paraId="35DA8B78" w14:textId="54676B9C" w:rsidR="00014698" w:rsidRDefault="00B35CE3" w:rsidP="00936315">
      <w:pPr>
        <w:spacing w:line="240" w:lineRule="auto"/>
      </w:pPr>
      <w:r>
        <w:fldChar w:fldCharType="begin"/>
      </w:r>
      <w:r>
        <w:instrText xml:space="preserve"> REF _Ref432604792 \h </w:instrText>
      </w:r>
      <w:r>
        <w:fldChar w:fldCharType="separate"/>
      </w:r>
      <w:r w:rsidR="00ED1412">
        <w:t xml:space="preserve">Figure </w:t>
      </w:r>
      <w:r w:rsidR="00ED1412">
        <w:rPr>
          <w:noProof/>
        </w:rPr>
        <w:t>12</w:t>
      </w:r>
      <w:r>
        <w:fldChar w:fldCharType="end"/>
      </w:r>
      <w:r w:rsidR="00E371FB">
        <w:t xml:space="preserve">C differs from the </w:t>
      </w:r>
      <w:r>
        <w:fldChar w:fldCharType="begin"/>
      </w:r>
      <w:r>
        <w:instrText xml:space="preserve"> REF _Ref432604792 \h </w:instrText>
      </w:r>
      <w:r>
        <w:fldChar w:fldCharType="separate"/>
      </w:r>
      <w:r w:rsidR="00ED1412">
        <w:t xml:space="preserve">Figure </w:t>
      </w:r>
      <w:r w:rsidR="00ED1412">
        <w:rPr>
          <w:noProof/>
        </w:rPr>
        <w:t>12</w:t>
      </w:r>
      <w:r>
        <w:fldChar w:fldCharType="end"/>
      </w:r>
      <w:r w:rsidR="00014698">
        <w:t>B only in that the H</w:t>
      </w:r>
      <w:r w:rsidR="00014698" w:rsidRPr="00B821A9">
        <w:rPr>
          <w:vertAlign w:val="subscript"/>
        </w:rPr>
        <w:t>w</w:t>
      </w:r>
      <w:r w:rsidR="00014698">
        <w:t xml:space="preserve"> on the left side of the fault is less than on the right. In this case, once the hydrocarbon column reaches a height such that the P</w:t>
      </w:r>
      <w:r w:rsidR="00014698" w:rsidRPr="00027869">
        <w:rPr>
          <w:vertAlign w:val="subscript"/>
        </w:rPr>
        <w:t>c</w:t>
      </w:r>
      <w:r w:rsidR="00014698">
        <w:t xml:space="preserve"> is equal to the P</w:t>
      </w:r>
      <w:r w:rsidR="00014698" w:rsidRPr="00C7766B">
        <w:rPr>
          <w:vertAlign w:val="subscript"/>
        </w:rPr>
        <w:t>t</w:t>
      </w:r>
      <w:r w:rsidR="007A7CD4">
        <w:t xml:space="preserve">, </w:t>
      </w:r>
      <w:r w:rsidR="00014698">
        <w:t>the first pore of the fault is breached. In order to breach the second and subsequent pores</w:t>
      </w:r>
      <w:r w:rsidR="007A7CD4">
        <w:t>,</w:t>
      </w:r>
      <w:r w:rsidR="00014698">
        <w:t xml:space="preserve"> however, the P</w:t>
      </w:r>
      <w:r w:rsidR="00014698" w:rsidRPr="00027869">
        <w:rPr>
          <w:vertAlign w:val="subscript"/>
        </w:rPr>
        <w:t>c</w:t>
      </w:r>
      <w:r w:rsidR="00014698">
        <w:t xml:space="preserve"> must increase to match the increasing excess pore pressure within the fault zone. The higher H</w:t>
      </w:r>
      <w:r w:rsidR="00014698" w:rsidRPr="00B821A9">
        <w:rPr>
          <w:vertAlign w:val="subscript"/>
        </w:rPr>
        <w:t>w</w:t>
      </w:r>
      <w:r w:rsidR="00014698">
        <w:t xml:space="preserve"> on the right side of the fault zone effectively increases the total </w:t>
      </w:r>
      <w:r w:rsidR="00D006E7">
        <w:t>capillary</w:t>
      </w:r>
      <w:r w:rsidR="00364CD5">
        <w:t xml:space="preserve"> </w:t>
      </w:r>
      <w:r w:rsidR="00014698">
        <w:t>seal capacity (P</w:t>
      </w:r>
      <w:r w:rsidR="00014698" w:rsidRPr="00000038">
        <w:rPr>
          <w:vertAlign w:val="subscript"/>
        </w:rPr>
        <w:t>t</w:t>
      </w:r>
      <w:r w:rsidR="00D006E7">
        <w:rPr>
          <w:vertAlign w:val="subscript"/>
        </w:rPr>
        <w:t>c</w:t>
      </w:r>
      <w:r w:rsidR="00014698">
        <w:t>) allowing a larger hydrocarbon column to be trapped by the same permeability contrast. Under these conditions, note that the P</w:t>
      </w:r>
      <w:r w:rsidR="00014698" w:rsidRPr="00027869">
        <w:rPr>
          <w:vertAlign w:val="subscript"/>
        </w:rPr>
        <w:t>c</w:t>
      </w:r>
      <w:r w:rsidR="00014698">
        <w:t xml:space="preserve"> required to breach the entire fault zone exceeds the P</w:t>
      </w:r>
      <w:r w:rsidR="00014698" w:rsidRPr="00C7766B">
        <w:rPr>
          <w:vertAlign w:val="subscript"/>
        </w:rPr>
        <w:t>t</w:t>
      </w:r>
      <w:r w:rsidR="00014698">
        <w:t xml:space="preserve"> </w:t>
      </w:r>
      <w:r w:rsidR="007A7CD4">
        <w:t>(by ΔP, the total increase in hydraulic head H</w:t>
      </w:r>
      <w:r w:rsidR="007A7CD4" w:rsidRPr="00E25502">
        <w:rPr>
          <w:vertAlign w:val="subscript"/>
        </w:rPr>
        <w:t>w</w:t>
      </w:r>
      <w:r w:rsidR="007A7CD4">
        <w:t xml:space="preserve"> across the fault zone) </w:t>
      </w:r>
      <w:r w:rsidR="00014698">
        <w:t xml:space="preserve">and thus it is expected that </w:t>
      </w:r>
      <w:r w:rsidR="007A7CD4">
        <w:t xml:space="preserve">the hydrocarbon saturation </w:t>
      </w:r>
      <w:r w:rsidR="00014698">
        <w:t>S</w:t>
      </w:r>
      <w:r w:rsidR="00014698">
        <w:rPr>
          <w:vertAlign w:val="subscript"/>
        </w:rPr>
        <w:t>h</w:t>
      </w:r>
      <w:r w:rsidR="00014698">
        <w:t xml:space="preserve"> in the fault zone will be higher than in the previous case</w:t>
      </w:r>
      <w:r w:rsidR="007A7CD4">
        <w:t>. Or in other words, the water saturation S</w:t>
      </w:r>
      <w:r w:rsidR="007A7CD4" w:rsidRPr="00E25502">
        <w:rPr>
          <w:vertAlign w:val="subscript"/>
        </w:rPr>
        <w:t>w</w:t>
      </w:r>
      <w:r w:rsidR="007A7CD4">
        <w:t xml:space="preserve"> will be lower, as gas and water saturation are related by S</w:t>
      </w:r>
      <w:r w:rsidR="007A7CD4" w:rsidRPr="00E25502">
        <w:rPr>
          <w:vertAlign w:val="subscript"/>
        </w:rPr>
        <w:t>h</w:t>
      </w:r>
      <w:r w:rsidR="007A7CD4">
        <w:t xml:space="preserve"> + S</w:t>
      </w:r>
      <w:r w:rsidR="007A7CD4" w:rsidRPr="00E25502">
        <w:rPr>
          <w:vertAlign w:val="subscript"/>
        </w:rPr>
        <w:t>w</w:t>
      </w:r>
      <w:r w:rsidR="007A7CD4">
        <w:t xml:space="preserve"> = 1.</w:t>
      </w:r>
    </w:p>
    <w:p w14:paraId="23758E91" w14:textId="27F98799" w:rsidR="008C06EE" w:rsidRDefault="008C06EE" w:rsidP="00936315">
      <w:pPr>
        <w:spacing w:line="240" w:lineRule="auto"/>
      </w:pPr>
      <w:r>
        <w:t>While the theoretical examination of hydrodynamics and capillary seal capacity by Underschultz (2007) helps in the understanding of total fault seal capacity rather than just the P</w:t>
      </w:r>
      <w:r w:rsidRPr="008254DD">
        <w:rPr>
          <w:vertAlign w:val="subscript"/>
        </w:rPr>
        <w:t>t</w:t>
      </w:r>
      <w:r>
        <w:rPr>
          <w:vertAlign w:val="subscript"/>
        </w:rPr>
        <w:t xml:space="preserve"> </w:t>
      </w:r>
      <w:r>
        <w:t>for a given permeability contrast, it only considers the case of hydrocarbons on one side of a fault. Underschultz (2007) limited the analysis to hydrocarbons on one side of the fault because it remained unclear if formation water pressure was likely to be transmitted through the hydrocarbon column at irreducible water saturation (S</w:t>
      </w:r>
      <w:r w:rsidRPr="00C7766B">
        <w:rPr>
          <w:vertAlign w:val="subscript"/>
        </w:rPr>
        <w:t>wi</w:t>
      </w:r>
      <w:r>
        <w:t xml:space="preserve">). In recent years various authors (e.g. </w:t>
      </w:r>
      <w:r>
        <w:rPr>
          <w:lang w:eastAsia="en-AU"/>
        </w:rPr>
        <w:t xml:space="preserve">Teige et al., 2006; Moria 2011; </w:t>
      </w:r>
      <w:r>
        <w:t xml:space="preserve">Manzocchi and Childs 2013) have begun to address this question with current thinking suggesting that for water wet systems, the relative water permeability may become very small, but in practice never reach zero even towards the top of a hydrocarbon column. </w:t>
      </w:r>
    </w:p>
    <w:p w14:paraId="1C255662" w14:textId="77777777" w:rsidR="00DC61C4" w:rsidRDefault="00DC61C4" w:rsidP="00E9349B">
      <w:pPr>
        <w:spacing w:line="360" w:lineRule="auto"/>
        <w:jc w:val="center"/>
      </w:pPr>
      <w:r>
        <w:rPr>
          <w:noProof/>
          <w:lang w:eastAsia="en-AU"/>
        </w:rPr>
        <w:lastRenderedPageBreak/>
        <w:drawing>
          <wp:inline distT="0" distB="0" distL="0" distR="0" wp14:anchorId="44FB7C91" wp14:editId="56D54769">
            <wp:extent cx="5374557" cy="7572375"/>
            <wp:effectExtent l="0" t="0" r="0" b="0"/>
            <wp:docPr id="5" name="Picture 5" descr="Schematic representation fo a fault zone."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ult seal and hydro diagram.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62814" cy="7696723"/>
                    </a:xfrm>
                    <a:prstGeom prst="rect">
                      <a:avLst/>
                    </a:prstGeom>
                  </pic:spPr>
                </pic:pic>
              </a:graphicData>
            </a:graphic>
          </wp:inline>
        </w:drawing>
      </w:r>
    </w:p>
    <w:p w14:paraId="5F6FB4A2" w14:textId="586B8A36" w:rsidR="00DC61C4" w:rsidRDefault="00391D3A" w:rsidP="00391D3A">
      <w:pPr>
        <w:pStyle w:val="Caption"/>
      </w:pPr>
      <w:bookmarkStart w:id="471" w:name="_Ref432604792"/>
      <w:bookmarkStart w:id="472" w:name="_Toc442353793"/>
      <w:r>
        <w:t xml:space="preserve">Figure </w:t>
      </w:r>
      <w:fldSimple w:instr=" SEQ Figure \* ARABIC ">
        <w:r w:rsidR="00ED1412">
          <w:rPr>
            <w:noProof/>
          </w:rPr>
          <w:t>12</w:t>
        </w:r>
      </w:fldSimple>
      <w:bookmarkEnd w:id="471"/>
      <w:r w:rsidR="001E0F17">
        <w:t>.</w:t>
      </w:r>
      <w:r w:rsidR="00DC61C4">
        <w:t xml:space="preserve"> Schematic presentation of</w:t>
      </w:r>
      <w:r w:rsidR="00DC61C4" w:rsidRPr="00061C82">
        <w:t xml:space="preserve"> a fault zone at its </w:t>
      </w:r>
      <w:r w:rsidR="00D006E7">
        <w:t>capillary</w:t>
      </w:r>
      <w:r w:rsidR="00DC61C4" w:rsidRPr="00061C82">
        <w:t xml:space="preserve"> seal capacity</w:t>
      </w:r>
      <w:r w:rsidR="00E371FB">
        <w:t xml:space="preserve"> (</w:t>
      </w:r>
      <w:r w:rsidR="00DC61C4">
        <w:t>A)</w:t>
      </w:r>
      <w:r w:rsidR="00DC61C4" w:rsidRPr="00061C82">
        <w:t xml:space="preserve"> trapping a hydrocarbon pool</w:t>
      </w:r>
      <w:r w:rsidR="00E371FB">
        <w:t xml:space="preserve">. B and </w:t>
      </w:r>
      <w:r w:rsidR="00DC61C4">
        <w:t>C depict a zoom in of the fault zone-reservoir interface</w:t>
      </w:r>
      <w:r w:rsidR="00DC61C4" w:rsidRPr="00061C82">
        <w:t xml:space="preserve"> under different hydrodynamic conditions with a corresponding capillary pressure curve of the fault rock</w:t>
      </w:r>
      <w:r w:rsidR="00DC61C4">
        <w:t xml:space="preserve"> in question</w:t>
      </w:r>
      <w:r w:rsidR="00DC61C4" w:rsidRPr="00061C82">
        <w:t>.  The rock properties of the reservoir and fault seal are constant but the total seal capacity</w:t>
      </w:r>
      <w:r w:rsidR="00DC61C4">
        <w:t xml:space="preserve"> (P</w:t>
      </w:r>
      <w:r w:rsidR="00DC61C4" w:rsidRPr="00D27B7B">
        <w:rPr>
          <w:vertAlign w:val="subscript"/>
        </w:rPr>
        <w:t>t</w:t>
      </w:r>
      <w:r w:rsidR="00D006E7">
        <w:rPr>
          <w:vertAlign w:val="subscript"/>
        </w:rPr>
        <w:t>c</w:t>
      </w:r>
      <w:r w:rsidR="00DC61C4">
        <w:t>)</w:t>
      </w:r>
      <w:r w:rsidR="00DC61C4" w:rsidRPr="00061C82">
        <w:t xml:space="preserve"> i</w:t>
      </w:r>
      <w:r w:rsidR="00DC61C4">
        <w:t>s demonstrated to change where in B</w:t>
      </w:r>
      <w:r w:rsidR="00DC61C4" w:rsidRPr="00061C82">
        <w:t xml:space="preserve">) the hydrocarbon is pooled on the high hydraulic head side of the fault, </w:t>
      </w:r>
      <w:r w:rsidR="00DC61C4">
        <w:t xml:space="preserve">and in C) </w:t>
      </w:r>
      <w:r w:rsidR="00DC61C4" w:rsidRPr="00061C82">
        <w:t>the hydrocarbon is pooled on the low hyd</w:t>
      </w:r>
      <w:r w:rsidR="00DC61C4">
        <w:t>raulic head side of the fault (U</w:t>
      </w:r>
      <w:r w:rsidR="00EC65BE">
        <w:t>nderschultz and Strand, 2016</w:t>
      </w:r>
      <w:r w:rsidR="00DC61C4">
        <w:t>).</w:t>
      </w:r>
      <w:bookmarkEnd w:id="472"/>
    </w:p>
    <w:p w14:paraId="2E1BBF0B" w14:textId="077D7E4A" w:rsidR="00554444" w:rsidRDefault="00554444" w:rsidP="00936315">
      <w:pPr>
        <w:spacing w:line="240" w:lineRule="auto"/>
        <w:rPr>
          <w:lang w:eastAsia="en-AU"/>
        </w:rPr>
      </w:pPr>
      <w:r>
        <w:rPr>
          <w:lang w:eastAsia="en-AU"/>
        </w:rPr>
        <w:lastRenderedPageBreak/>
        <w:t>There has been</w:t>
      </w:r>
      <w:r w:rsidRPr="00D83ECC">
        <w:rPr>
          <w:lang w:eastAsia="en-AU"/>
        </w:rPr>
        <w:t xml:space="preserve"> debate in the literature </w:t>
      </w:r>
      <w:r>
        <w:rPr>
          <w:lang w:eastAsia="en-AU"/>
        </w:rPr>
        <w:t>regarding the implication of excess pressure (</w:t>
      </w:r>
      <w:r w:rsidRPr="00A52EB6">
        <w:rPr>
          <w:rFonts w:ascii="Symbol" w:hAnsi="Symbol"/>
          <w:lang w:eastAsia="en-AU"/>
        </w:rPr>
        <w:t></w:t>
      </w:r>
      <w:r>
        <w:rPr>
          <w:lang w:eastAsia="en-AU"/>
        </w:rPr>
        <w:t xml:space="preserve">P) and estimation of </w:t>
      </w:r>
      <w:r>
        <w:t>P</w:t>
      </w:r>
      <w:r w:rsidRPr="00C7766B">
        <w:rPr>
          <w:vertAlign w:val="subscript"/>
        </w:rPr>
        <w:t>t</w:t>
      </w:r>
      <w:r>
        <w:rPr>
          <w:lang w:eastAsia="en-AU"/>
        </w:rPr>
        <w:t xml:space="preserve"> for a seal using field data</w:t>
      </w:r>
      <w:r w:rsidR="00596334">
        <w:rPr>
          <w:lang w:eastAsia="en-AU"/>
        </w:rPr>
        <w:t xml:space="preserve"> where a hydrocarbon pool is thought to be at the capillary seal capacity of its seal</w:t>
      </w:r>
      <w:r>
        <w:rPr>
          <w:lang w:eastAsia="en-AU"/>
        </w:rPr>
        <w:t xml:space="preserve"> (Eq</w:t>
      </w:r>
      <w:r w:rsidR="00217427">
        <w:rPr>
          <w:lang w:eastAsia="en-AU"/>
        </w:rPr>
        <w:t>uation</w:t>
      </w:r>
      <w:r>
        <w:rPr>
          <w:lang w:eastAsia="en-AU"/>
        </w:rPr>
        <w:t xml:space="preserve"> 1)</w:t>
      </w:r>
      <w:r w:rsidRPr="00D83ECC">
        <w:rPr>
          <w:lang w:eastAsia="en-AU"/>
        </w:rPr>
        <w:t xml:space="preserve">, and if </w:t>
      </w:r>
      <w:r>
        <w:rPr>
          <w:lang w:eastAsia="en-AU"/>
        </w:rPr>
        <w:t>modification to Equation (2</w:t>
      </w:r>
      <w:r w:rsidRPr="00D83ECC">
        <w:rPr>
          <w:lang w:eastAsia="en-AU"/>
        </w:rPr>
        <w:t>)</w:t>
      </w:r>
      <w:r>
        <w:rPr>
          <w:lang w:eastAsia="en-AU"/>
        </w:rPr>
        <w:t xml:space="preserve"> </w:t>
      </w:r>
      <w:r w:rsidRPr="00D83ECC">
        <w:rPr>
          <w:lang w:eastAsia="en-AU"/>
        </w:rPr>
        <w:t>is required (Bjorkum et al. 1998; Clayton 1999; Rodgers 1999; Brown 2003; Teige et al. 2005</w:t>
      </w:r>
      <w:r>
        <w:rPr>
          <w:lang w:eastAsia="en-AU"/>
        </w:rPr>
        <w:t>;</w:t>
      </w:r>
      <w:r w:rsidR="00217427">
        <w:rPr>
          <w:lang w:eastAsia="en-AU"/>
        </w:rPr>
        <w:t xml:space="preserve"> </w:t>
      </w:r>
      <w:r>
        <w:rPr>
          <w:lang w:eastAsia="en-AU"/>
        </w:rPr>
        <w:t xml:space="preserve">Moria 2011; </w:t>
      </w:r>
      <w:r>
        <w:t>Manzocchi and Childs 2013</w:t>
      </w:r>
      <w:r w:rsidRPr="00D83ECC">
        <w:rPr>
          <w:lang w:eastAsia="en-AU"/>
        </w:rPr>
        <w:t xml:space="preserve">). </w:t>
      </w:r>
    </w:p>
    <w:p w14:paraId="797CC5E9" w14:textId="77777777" w:rsidR="00554444" w:rsidRDefault="00554444" w:rsidP="00554444">
      <w:pPr>
        <w:autoSpaceDE w:val="0"/>
        <w:autoSpaceDN w:val="0"/>
        <w:adjustRightInd w:val="0"/>
        <w:spacing w:after="0" w:line="360" w:lineRule="auto"/>
        <w:rPr>
          <w:lang w:eastAsia="en-AU"/>
        </w:rPr>
      </w:pPr>
    </w:p>
    <w:p w14:paraId="42C16F55" w14:textId="74628185" w:rsidR="00554444" w:rsidRPr="00D83ECC" w:rsidRDefault="00217427" w:rsidP="00E25502">
      <w:pPr>
        <w:tabs>
          <w:tab w:val="center" w:pos="3969"/>
        </w:tabs>
        <w:autoSpaceDE w:val="0"/>
        <w:autoSpaceDN w:val="0"/>
        <w:adjustRightInd w:val="0"/>
        <w:spacing w:after="0" w:line="360" w:lineRule="auto"/>
        <w:rPr>
          <w:lang w:eastAsia="en-AU"/>
        </w:rPr>
      </w:pPr>
      <w:r>
        <w:rPr>
          <w:lang w:eastAsia="en-AU"/>
        </w:rPr>
        <w:tab/>
      </w:r>
      <w:r w:rsidR="00554444">
        <w:t>P</w:t>
      </w:r>
      <w:r w:rsidR="00554444" w:rsidRPr="00C7766B">
        <w:rPr>
          <w:vertAlign w:val="subscript"/>
        </w:rPr>
        <w:t>t</w:t>
      </w:r>
      <w:r w:rsidR="00554444">
        <w:rPr>
          <w:lang w:eastAsia="en-AU"/>
        </w:rPr>
        <w:t xml:space="preserve"> =</w:t>
      </w:r>
      <w:r w:rsidR="00554444" w:rsidRPr="00D83ECC">
        <w:rPr>
          <w:lang w:eastAsia="en-AU"/>
        </w:rPr>
        <w:t xml:space="preserve"> </w:t>
      </w:r>
      <w:r w:rsidR="00554444">
        <w:rPr>
          <w:lang w:eastAsia="en-AU"/>
        </w:rPr>
        <w:t>g</w:t>
      </w:r>
      <w:r w:rsidR="00554444" w:rsidRPr="00D83ECC">
        <w:rPr>
          <w:rFonts w:ascii="Symbol" w:hAnsi="Symbol"/>
          <w:lang w:eastAsia="en-AU"/>
        </w:rPr>
        <w:t></w:t>
      </w:r>
      <w:r w:rsidR="00554444">
        <w:rPr>
          <w:rFonts w:ascii="Symbol" w:hAnsi="Symbol"/>
          <w:lang w:eastAsia="en-AU"/>
        </w:rPr>
        <w:t></w:t>
      </w:r>
      <w:r w:rsidR="00554444">
        <w:rPr>
          <w:lang w:eastAsia="en-AU"/>
        </w:rPr>
        <w:t>h</w:t>
      </w:r>
      <w:r w:rsidR="00554444" w:rsidRPr="00D83ECC">
        <w:rPr>
          <w:lang w:eastAsia="en-AU"/>
        </w:rPr>
        <w:t xml:space="preserve"> </w:t>
      </w:r>
      <w:r>
        <w:rPr>
          <w:lang w:eastAsia="en-AU"/>
        </w:rPr>
        <w:t>(Equation 1)</w:t>
      </w:r>
    </w:p>
    <w:p w14:paraId="11D8FB1B" w14:textId="77777777" w:rsidR="00554444" w:rsidRDefault="00554444" w:rsidP="00554444">
      <w:pPr>
        <w:autoSpaceDE w:val="0"/>
        <w:autoSpaceDN w:val="0"/>
        <w:adjustRightInd w:val="0"/>
        <w:spacing w:after="0" w:line="360" w:lineRule="auto"/>
        <w:rPr>
          <w:lang w:eastAsia="en-AU"/>
        </w:rPr>
      </w:pPr>
    </w:p>
    <w:p w14:paraId="4C25EB83" w14:textId="7D81E2FF" w:rsidR="00554444" w:rsidRPr="00D83ECC" w:rsidRDefault="00554444" w:rsidP="00936315">
      <w:pPr>
        <w:spacing w:line="240" w:lineRule="auto"/>
        <w:rPr>
          <w:lang w:eastAsia="en-AU"/>
        </w:rPr>
      </w:pPr>
      <w:r w:rsidRPr="00D83ECC">
        <w:rPr>
          <w:lang w:eastAsia="en-AU"/>
        </w:rPr>
        <w:t xml:space="preserve">For </w:t>
      </w:r>
      <w:r>
        <w:rPr>
          <w:lang w:eastAsia="en-AU"/>
        </w:rPr>
        <w:t>our</w:t>
      </w:r>
      <w:r w:rsidRPr="00D83ECC">
        <w:rPr>
          <w:lang w:eastAsia="en-AU"/>
        </w:rPr>
        <w:t xml:space="preserve"> purpose</w:t>
      </w:r>
      <w:r>
        <w:rPr>
          <w:lang w:eastAsia="en-AU"/>
        </w:rPr>
        <w:t xml:space="preserve"> here</w:t>
      </w:r>
      <w:r w:rsidRPr="00D83ECC">
        <w:rPr>
          <w:lang w:eastAsia="en-AU"/>
        </w:rPr>
        <w:t xml:space="preserve"> </w:t>
      </w:r>
      <w:r w:rsidRPr="00D83ECC">
        <w:rPr>
          <w:rFonts w:ascii="Symbol" w:hAnsi="Symbol"/>
          <w:lang w:eastAsia="en-AU"/>
        </w:rPr>
        <w:t></w:t>
      </w:r>
      <w:r w:rsidRPr="00D83ECC">
        <w:rPr>
          <w:lang w:eastAsia="en-AU"/>
        </w:rPr>
        <w:t>P is</w:t>
      </w:r>
      <w:r>
        <w:rPr>
          <w:lang w:eastAsia="en-AU"/>
        </w:rPr>
        <w:t xml:space="preserve"> considered</w:t>
      </w:r>
      <w:r w:rsidRPr="00D83ECC">
        <w:rPr>
          <w:lang w:eastAsia="en-AU"/>
        </w:rPr>
        <w:t xml:space="preserve"> the difference between the </w:t>
      </w:r>
      <w:r>
        <w:rPr>
          <w:lang w:eastAsia="en-AU"/>
        </w:rPr>
        <w:t>excess pressure in the aquifer</w:t>
      </w:r>
      <w:r w:rsidRPr="00D83ECC">
        <w:rPr>
          <w:lang w:eastAsia="en-AU"/>
        </w:rPr>
        <w:t xml:space="preserve"> </w:t>
      </w:r>
      <w:r>
        <w:rPr>
          <w:lang w:eastAsia="en-AU"/>
        </w:rPr>
        <w:t>below</w:t>
      </w:r>
      <w:r w:rsidRPr="00D83ECC">
        <w:rPr>
          <w:lang w:eastAsia="en-AU"/>
        </w:rPr>
        <w:t xml:space="preserve"> the </w:t>
      </w:r>
      <w:r w:rsidR="00217427">
        <w:rPr>
          <w:lang w:eastAsia="en-AU"/>
        </w:rPr>
        <w:t>free water level (</w:t>
      </w:r>
      <w:r w:rsidRPr="00D83ECC">
        <w:rPr>
          <w:lang w:eastAsia="en-AU"/>
        </w:rPr>
        <w:t>FWL</w:t>
      </w:r>
      <w:r w:rsidR="00217427">
        <w:rPr>
          <w:lang w:eastAsia="en-AU"/>
        </w:rPr>
        <w:t>)</w:t>
      </w:r>
      <w:r w:rsidRPr="00D83ECC">
        <w:rPr>
          <w:lang w:eastAsia="en-AU"/>
        </w:rPr>
        <w:t xml:space="preserve"> and</w:t>
      </w:r>
      <w:r>
        <w:rPr>
          <w:lang w:eastAsia="en-AU"/>
        </w:rPr>
        <w:t xml:space="preserve"> that</w:t>
      </w:r>
      <w:r w:rsidRPr="00D83ECC">
        <w:rPr>
          <w:lang w:eastAsia="en-AU"/>
        </w:rPr>
        <w:t xml:space="preserve"> </w:t>
      </w:r>
      <w:r>
        <w:rPr>
          <w:lang w:eastAsia="en-AU"/>
        </w:rPr>
        <w:t xml:space="preserve">within </w:t>
      </w:r>
      <w:r w:rsidRPr="00D83ECC">
        <w:rPr>
          <w:lang w:eastAsia="en-AU"/>
        </w:rPr>
        <w:t>the</w:t>
      </w:r>
      <w:r>
        <w:rPr>
          <w:lang w:eastAsia="en-AU"/>
        </w:rPr>
        <w:t xml:space="preserve"> first</w:t>
      </w:r>
      <w:r w:rsidRPr="00D83ECC">
        <w:rPr>
          <w:lang w:eastAsia="en-AU"/>
        </w:rPr>
        <w:t xml:space="preserve"> pores of the seal</w:t>
      </w:r>
      <w:r w:rsidR="004C2FA3">
        <w:rPr>
          <w:lang w:eastAsia="en-AU"/>
        </w:rPr>
        <w:t xml:space="preserve">, </w:t>
      </w:r>
      <w:r w:rsidR="00217427" w:rsidRPr="00D83ECC">
        <w:rPr>
          <w:rFonts w:ascii="Symbol" w:hAnsi="Symbol"/>
          <w:lang w:eastAsia="en-AU"/>
        </w:rPr>
        <w:t></w:t>
      </w:r>
      <w:r w:rsidR="00217427">
        <w:rPr>
          <w:lang w:eastAsia="en-AU"/>
        </w:rPr>
        <w:t>ρ</w:t>
      </w:r>
      <w:r w:rsidR="004C2FA3">
        <w:rPr>
          <w:lang w:eastAsia="en-AU"/>
        </w:rPr>
        <w:t xml:space="preserve"> is the in situ density difference between the hydrocarbon and formation water, g is the gravitational constant and h is the height of the hydrocarbon column</w:t>
      </w:r>
      <w:r w:rsidRPr="00D83ECC">
        <w:rPr>
          <w:lang w:eastAsia="en-AU"/>
        </w:rPr>
        <w:t xml:space="preserve">. In the case of fault seals, Brown (2003), and in the case of top seals, Clayton (1999), </w:t>
      </w:r>
      <w:r>
        <w:rPr>
          <w:lang w:eastAsia="en-AU"/>
        </w:rPr>
        <w:t>accept that towards the top of the hydrocarbon column</w:t>
      </w:r>
      <w:r w:rsidR="00A66746">
        <w:rPr>
          <w:lang w:eastAsia="en-AU"/>
        </w:rPr>
        <w:t>,</w:t>
      </w:r>
      <w:r w:rsidRPr="00D83ECC">
        <w:rPr>
          <w:lang w:eastAsia="en-AU"/>
        </w:rPr>
        <w:t xml:space="preserve"> water saturation</w:t>
      </w:r>
      <w:r>
        <w:rPr>
          <w:lang w:eastAsia="en-AU"/>
        </w:rPr>
        <w:t xml:space="preserve"> (</w:t>
      </w:r>
      <w:r>
        <w:t>S</w:t>
      </w:r>
      <w:r w:rsidRPr="00C7766B">
        <w:rPr>
          <w:vertAlign w:val="subscript"/>
        </w:rPr>
        <w:t>w</w:t>
      </w:r>
      <w:r>
        <w:rPr>
          <w:lang w:eastAsia="en-AU"/>
        </w:rPr>
        <w:t xml:space="preserve">) </w:t>
      </w:r>
      <w:r w:rsidRPr="00D83ECC">
        <w:rPr>
          <w:lang w:eastAsia="en-AU"/>
        </w:rPr>
        <w:t>approach</w:t>
      </w:r>
      <w:r>
        <w:rPr>
          <w:lang w:eastAsia="en-AU"/>
        </w:rPr>
        <w:t>es</w:t>
      </w:r>
      <w:r w:rsidR="00A66746">
        <w:rPr>
          <w:lang w:eastAsia="en-AU"/>
        </w:rPr>
        <w:t xml:space="preserve"> irreducible water saturation</w:t>
      </w:r>
      <w:r w:rsidRPr="00FB164C">
        <w:t xml:space="preserve"> </w:t>
      </w:r>
      <w:r w:rsidR="00A66746">
        <w:t>(</w:t>
      </w:r>
      <w:r>
        <w:t>S</w:t>
      </w:r>
      <w:r w:rsidRPr="00C7766B">
        <w:rPr>
          <w:vertAlign w:val="subscript"/>
        </w:rPr>
        <w:t>wi</w:t>
      </w:r>
      <w:r w:rsidR="00A66746">
        <w:rPr>
          <w:lang w:eastAsia="en-AU"/>
        </w:rPr>
        <w:t xml:space="preserve">) </w:t>
      </w:r>
      <w:r>
        <w:rPr>
          <w:lang w:eastAsia="en-AU"/>
        </w:rPr>
        <w:t>and</w:t>
      </w:r>
      <w:r w:rsidR="00A66746">
        <w:rPr>
          <w:lang w:eastAsia="en-AU"/>
        </w:rPr>
        <w:t xml:space="preserve"> relative permeability to water (</w:t>
      </w:r>
      <w:r>
        <w:t>k</w:t>
      </w:r>
      <w:r w:rsidRPr="00FB164C">
        <w:rPr>
          <w:rFonts w:ascii="b" w:hAnsi="b"/>
          <w:vertAlign w:val="subscript"/>
        </w:rPr>
        <w:t>rw</w:t>
      </w:r>
      <w:r w:rsidR="00A66746">
        <w:rPr>
          <w:lang w:eastAsia="en-AU"/>
        </w:rPr>
        <w:t xml:space="preserve">) </w:t>
      </w:r>
      <w:r w:rsidRPr="00D83ECC">
        <w:rPr>
          <w:lang w:eastAsia="en-AU"/>
        </w:rPr>
        <w:t>approaches zero. As a result,</w:t>
      </w:r>
      <w:r w:rsidR="00A66746">
        <w:rPr>
          <w:lang w:eastAsia="en-AU"/>
        </w:rPr>
        <w:t xml:space="preserve"> excess pressure (</w:t>
      </w:r>
      <w:r w:rsidRPr="00D83ECC">
        <w:rPr>
          <w:rFonts w:ascii="Symbol" w:hAnsi="Symbol"/>
          <w:lang w:eastAsia="en-AU"/>
        </w:rPr>
        <w:t></w:t>
      </w:r>
      <w:r w:rsidRPr="00D83ECC">
        <w:rPr>
          <w:lang w:eastAsia="en-AU"/>
        </w:rPr>
        <w:t>P</w:t>
      </w:r>
      <w:r w:rsidR="00A66746">
        <w:rPr>
          <w:lang w:eastAsia="en-AU"/>
        </w:rPr>
        <w:t>)</w:t>
      </w:r>
      <w:r w:rsidRPr="00D83ECC">
        <w:rPr>
          <w:lang w:eastAsia="en-AU"/>
        </w:rPr>
        <w:t xml:space="preserve"> must be incorporated into equation </w:t>
      </w:r>
      <w:r>
        <w:rPr>
          <w:lang w:eastAsia="en-AU"/>
        </w:rPr>
        <w:t xml:space="preserve">(2) </w:t>
      </w:r>
      <w:r w:rsidRPr="00D83ECC">
        <w:rPr>
          <w:lang w:eastAsia="en-AU"/>
        </w:rPr>
        <w:t xml:space="preserve">as: </w:t>
      </w:r>
    </w:p>
    <w:p w14:paraId="65C8DCF9" w14:textId="77777777" w:rsidR="00554444" w:rsidRPr="00D83ECC" w:rsidRDefault="00554444" w:rsidP="00936315">
      <w:pPr>
        <w:autoSpaceDE w:val="0"/>
        <w:autoSpaceDN w:val="0"/>
        <w:adjustRightInd w:val="0"/>
        <w:spacing w:after="0" w:line="240" w:lineRule="auto"/>
        <w:rPr>
          <w:lang w:eastAsia="en-AU"/>
        </w:rPr>
      </w:pPr>
    </w:p>
    <w:p w14:paraId="65D23B3C" w14:textId="7AEE3F14" w:rsidR="00554444" w:rsidRPr="00D83ECC" w:rsidRDefault="00217427" w:rsidP="00936315">
      <w:pPr>
        <w:tabs>
          <w:tab w:val="center" w:pos="3969"/>
        </w:tabs>
        <w:autoSpaceDE w:val="0"/>
        <w:autoSpaceDN w:val="0"/>
        <w:adjustRightInd w:val="0"/>
        <w:spacing w:after="0" w:line="240" w:lineRule="auto"/>
        <w:rPr>
          <w:lang w:eastAsia="en-AU"/>
        </w:rPr>
      </w:pPr>
      <w:r>
        <w:rPr>
          <w:lang w:eastAsia="en-AU"/>
        </w:rPr>
        <w:tab/>
      </w:r>
      <w:r w:rsidR="00554444">
        <w:t>P</w:t>
      </w:r>
      <w:r w:rsidR="00554444" w:rsidRPr="00C7766B">
        <w:rPr>
          <w:vertAlign w:val="subscript"/>
        </w:rPr>
        <w:t>t</w:t>
      </w:r>
      <w:r w:rsidR="00554444">
        <w:rPr>
          <w:lang w:eastAsia="en-AU"/>
        </w:rPr>
        <w:t xml:space="preserve"> =</w:t>
      </w:r>
      <w:r w:rsidR="00554444" w:rsidRPr="00D83ECC">
        <w:rPr>
          <w:lang w:eastAsia="en-AU"/>
        </w:rPr>
        <w:t xml:space="preserve"> </w:t>
      </w:r>
      <w:r w:rsidR="00554444">
        <w:rPr>
          <w:lang w:eastAsia="en-AU"/>
        </w:rPr>
        <w:t>g</w:t>
      </w:r>
      <w:r w:rsidR="00554444" w:rsidRPr="00D83ECC">
        <w:rPr>
          <w:rFonts w:ascii="Symbol" w:hAnsi="Symbol"/>
          <w:lang w:eastAsia="en-AU"/>
        </w:rPr>
        <w:t></w:t>
      </w:r>
      <w:r w:rsidR="00554444">
        <w:rPr>
          <w:rFonts w:ascii="Symbol" w:hAnsi="Symbol"/>
          <w:lang w:eastAsia="en-AU"/>
        </w:rPr>
        <w:t></w:t>
      </w:r>
      <w:r w:rsidR="00554444">
        <w:rPr>
          <w:lang w:eastAsia="en-AU"/>
        </w:rPr>
        <w:t>h</w:t>
      </w:r>
      <w:r w:rsidR="00554444" w:rsidRPr="00D83ECC">
        <w:rPr>
          <w:lang w:eastAsia="en-AU"/>
        </w:rPr>
        <w:t xml:space="preserve"> </w:t>
      </w:r>
      <w:r w:rsidR="00554444">
        <w:rPr>
          <w:lang w:eastAsia="en-AU"/>
        </w:rPr>
        <w:t>-</w:t>
      </w:r>
      <w:r w:rsidR="00554444" w:rsidRPr="00D83ECC">
        <w:rPr>
          <w:lang w:eastAsia="en-AU"/>
        </w:rPr>
        <w:t xml:space="preserve"> </w:t>
      </w:r>
      <w:r w:rsidR="00554444" w:rsidRPr="00D83ECC">
        <w:rPr>
          <w:rFonts w:ascii="Symbol" w:hAnsi="Symbol"/>
          <w:lang w:eastAsia="en-AU"/>
        </w:rPr>
        <w:t></w:t>
      </w:r>
      <w:r w:rsidR="00554444" w:rsidRPr="00D83ECC">
        <w:rPr>
          <w:lang w:eastAsia="en-AU"/>
        </w:rPr>
        <w:t xml:space="preserve">P </w:t>
      </w:r>
      <w:r>
        <w:rPr>
          <w:lang w:eastAsia="en-AU"/>
        </w:rPr>
        <w:t>(Equation 2)</w:t>
      </w:r>
    </w:p>
    <w:p w14:paraId="4D375386" w14:textId="77777777" w:rsidR="00554444" w:rsidRPr="00D83ECC" w:rsidRDefault="00554444" w:rsidP="00936315">
      <w:pPr>
        <w:autoSpaceDE w:val="0"/>
        <w:autoSpaceDN w:val="0"/>
        <w:adjustRightInd w:val="0"/>
        <w:spacing w:after="0" w:line="240" w:lineRule="auto"/>
        <w:rPr>
          <w:lang w:eastAsia="en-AU"/>
        </w:rPr>
      </w:pPr>
    </w:p>
    <w:p w14:paraId="5E8C16A4" w14:textId="55F953DB" w:rsidR="00217427" w:rsidRPr="003F5D74" w:rsidRDefault="00554444" w:rsidP="00936315">
      <w:pPr>
        <w:spacing w:line="240" w:lineRule="auto"/>
        <w:rPr>
          <w:rFonts w:cs="Times New Roman"/>
        </w:rPr>
      </w:pPr>
      <w:r>
        <w:rPr>
          <w:lang w:eastAsia="en-AU"/>
        </w:rPr>
        <w:t xml:space="preserve">where </w:t>
      </w:r>
      <w:r w:rsidRPr="00074E2F">
        <w:rPr>
          <w:rFonts w:ascii="Symbol" w:hAnsi="Symbol"/>
          <w:lang w:eastAsia="en-AU"/>
        </w:rPr>
        <w:t></w:t>
      </w:r>
      <w:r>
        <w:rPr>
          <w:lang w:eastAsia="en-AU"/>
        </w:rPr>
        <w:t>P is defined by the aquifer pressure on the opposite side of the seal (</w:t>
      </w:r>
      <w:r w:rsidR="00E371FB">
        <w:rPr>
          <w:lang w:eastAsia="en-AU"/>
        </w:rPr>
        <w:t xml:space="preserve">depicted graphically in </w:t>
      </w:r>
      <w:r w:rsidR="00B35CE3">
        <w:rPr>
          <w:lang w:eastAsia="en-AU"/>
        </w:rPr>
        <w:fldChar w:fldCharType="begin"/>
      </w:r>
      <w:r w:rsidR="00B35CE3">
        <w:rPr>
          <w:lang w:eastAsia="en-AU"/>
        </w:rPr>
        <w:instrText xml:space="preserve"> REF _Ref432604851 \h </w:instrText>
      </w:r>
      <w:r w:rsidR="00B35CE3">
        <w:rPr>
          <w:lang w:eastAsia="en-AU"/>
        </w:rPr>
      </w:r>
      <w:r w:rsidR="00B35CE3">
        <w:rPr>
          <w:lang w:eastAsia="en-AU"/>
        </w:rPr>
        <w:fldChar w:fldCharType="separate"/>
      </w:r>
      <w:r w:rsidR="00ED1412">
        <w:t xml:space="preserve">Figure </w:t>
      </w:r>
      <w:r w:rsidR="00ED1412">
        <w:rPr>
          <w:noProof/>
        </w:rPr>
        <w:t>13</w:t>
      </w:r>
      <w:r w:rsidR="00B35CE3">
        <w:rPr>
          <w:lang w:eastAsia="en-AU"/>
        </w:rPr>
        <w:fldChar w:fldCharType="end"/>
      </w:r>
      <w:r>
        <w:rPr>
          <w:lang w:eastAsia="en-AU"/>
        </w:rPr>
        <w:t xml:space="preserve">). </w:t>
      </w:r>
      <w:r w:rsidRPr="00D83ECC">
        <w:rPr>
          <w:lang w:eastAsia="en-AU"/>
        </w:rPr>
        <w:t xml:space="preserve">Bjorkum et al. (1998) </w:t>
      </w:r>
      <w:r>
        <w:rPr>
          <w:lang w:eastAsia="en-AU"/>
        </w:rPr>
        <w:t>suggest</w:t>
      </w:r>
      <w:r w:rsidRPr="00D83ECC">
        <w:rPr>
          <w:lang w:eastAsia="en-AU"/>
        </w:rPr>
        <w:t xml:space="preserve"> that in a water-wet system, there </w:t>
      </w:r>
      <w:r>
        <w:rPr>
          <w:lang w:eastAsia="en-AU"/>
        </w:rPr>
        <w:t>exists</w:t>
      </w:r>
      <w:r w:rsidRPr="00D83ECC">
        <w:rPr>
          <w:lang w:eastAsia="en-AU"/>
        </w:rPr>
        <w:t xml:space="preserve"> a vertical</w:t>
      </w:r>
      <w:r>
        <w:rPr>
          <w:lang w:eastAsia="en-AU"/>
        </w:rPr>
        <w:t xml:space="preserve"> water</w:t>
      </w:r>
      <w:r w:rsidRPr="00D83ECC">
        <w:rPr>
          <w:lang w:eastAsia="en-AU"/>
        </w:rPr>
        <w:t xml:space="preserve"> pressure gradient between the aquifer at the FWL and the top of the reservoir, even within the irreducible</w:t>
      </w:r>
      <w:r>
        <w:rPr>
          <w:lang w:eastAsia="en-AU"/>
        </w:rPr>
        <w:t xml:space="preserve"> </w:t>
      </w:r>
      <w:r w:rsidRPr="00D83ECC">
        <w:rPr>
          <w:lang w:eastAsia="en-AU"/>
        </w:rPr>
        <w:t xml:space="preserve">water phase and thus </w:t>
      </w:r>
      <w:r w:rsidRPr="00D83ECC">
        <w:rPr>
          <w:rFonts w:ascii="Symbol" w:hAnsi="Symbol"/>
          <w:lang w:eastAsia="en-AU"/>
        </w:rPr>
        <w:t></w:t>
      </w:r>
      <w:r w:rsidRPr="00D83ECC">
        <w:rPr>
          <w:lang w:eastAsia="en-AU"/>
        </w:rPr>
        <w:t xml:space="preserve">P has no effect on calculated </w:t>
      </w:r>
      <w:r>
        <w:t>P</w:t>
      </w:r>
      <w:r w:rsidRPr="00C7766B">
        <w:rPr>
          <w:vertAlign w:val="subscript"/>
        </w:rPr>
        <w:t>t</w:t>
      </w:r>
      <w:r w:rsidRPr="00D83ECC">
        <w:rPr>
          <w:lang w:eastAsia="en-AU"/>
        </w:rPr>
        <w:t xml:space="preserve">. Rodgers (1999) pointed out that </w:t>
      </w:r>
      <w:r>
        <w:rPr>
          <w:lang w:eastAsia="en-AU"/>
        </w:rPr>
        <w:t>even if not zero,</w:t>
      </w:r>
      <w:r w:rsidRPr="00D83ECC">
        <w:rPr>
          <w:lang w:eastAsia="en-AU"/>
        </w:rPr>
        <w:t xml:space="preserve"> </w:t>
      </w:r>
      <w:r>
        <w:t>k</w:t>
      </w:r>
      <w:r w:rsidRPr="00FB164C">
        <w:rPr>
          <w:rFonts w:ascii="b" w:hAnsi="b"/>
          <w:vertAlign w:val="subscript"/>
        </w:rPr>
        <w:t>rw</w:t>
      </w:r>
      <w:r w:rsidRPr="00D83ECC">
        <w:rPr>
          <w:lang w:eastAsia="en-AU"/>
        </w:rPr>
        <w:t xml:space="preserve"> at the top of the reservoir would be much less than that in the aquifer</w:t>
      </w:r>
      <w:r>
        <w:rPr>
          <w:lang w:eastAsia="en-AU"/>
        </w:rPr>
        <w:t>, and that</w:t>
      </w:r>
      <w:r w:rsidRPr="00D83ECC">
        <w:rPr>
          <w:lang w:eastAsia="en-AU"/>
        </w:rPr>
        <w:t xml:space="preserve"> </w:t>
      </w:r>
      <w:r w:rsidRPr="00D83ECC">
        <w:rPr>
          <w:rFonts w:ascii="Symbol" w:hAnsi="Symbol"/>
          <w:lang w:eastAsia="en-AU"/>
        </w:rPr>
        <w:t></w:t>
      </w:r>
      <w:r w:rsidRPr="00D83ECC">
        <w:rPr>
          <w:lang w:eastAsia="en-AU"/>
        </w:rPr>
        <w:t>P</w:t>
      </w:r>
      <w:r>
        <w:rPr>
          <w:lang w:eastAsia="en-AU"/>
        </w:rPr>
        <w:t xml:space="preserve"> is still required to understand P</w:t>
      </w:r>
      <w:r w:rsidRPr="00FF3822">
        <w:rPr>
          <w:vertAlign w:val="subscript"/>
          <w:lang w:eastAsia="en-AU"/>
        </w:rPr>
        <w:t>t</w:t>
      </w:r>
      <w:r>
        <w:rPr>
          <w:lang w:eastAsia="en-AU"/>
        </w:rPr>
        <w:t xml:space="preserve"> (depicted at the seal-reservoir interface on </w:t>
      </w:r>
      <w:r w:rsidR="00B35CE3">
        <w:rPr>
          <w:lang w:eastAsia="en-AU"/>
        </w:rPr>
        <w:fldChar w:fldCharType="begin"/>
      </w:r>
      <w:r w:rsidR="00B35CE3">
        <w:rPr>
          <w:lang w:eastAsia="en-AU"/>
        </w:rPr>
        <w:instrText xml:space="preserve"> REF _Ref432604851 \h </w:instrText>
      </w:r>
      <w:r w:rsidR="00B35CE3">
        <w:rPr>
          <w:lang w:eastAsia="en-AU"/>
        </w:rPr>
      </w:r>
      <w:r w:rsidR="00B35CE3">
        <w:rPr>
          <w:lang w:eastAsia="en-AU"/>
        </w:rPr>
        <w:fldChar w:fldCharType="separate"/>
      </w:r>
      <w:r w:rsidR="00ED1412">
        <w:t xml:space="preserve">Figure </w:t>
      </w:r>
      <w:r w:rsidR="00ED1412">
        <w:rPr>
          <w:noProof/>
        </w:rPr>
        <w:t>13</w:t>
      </w:r>
      <w:r w:rsidR="00B35CE3">
        <w:rPr>
          <w:lang w:eastAsia="en-AU"/>
        </w:rPr>
        <w:fldChar w:fldCharType="end"/>
      </w:r>
      <w:r>
        <w:rPr>
          <w:lang w:eastAsia="en-AU"/>
        </w:rPr>
        <w:t>).</w:t>
      </w:r>
      <w:r w:rsidRPr="00D83ECC">
        <w:rPr>
          <w:lang w:eastAsia="en-AU"/>
        </w:rPr>
        <w:t xml:space="preserve"> T</w:t>
      </w:r>
      <w:r>
        <w:rPr>
          <w:lang w:eastAsia="en-AU"/>
        </w:rPr>
        <w:t>eige et al. 2005</w:t>
      </w:r>
      <w:r w:rsidRPr="00D83ECC">
        <w:rPr>
          <w:lang w:eastAsia="en-AU"/>
        </w:rPr>
        <w:t xml:space="preserve"> suggest</w:t>
      </w:r>
      <w:r>
        <w:rPr>
          <w:lang w:eastAsia="en-AU"/>
        </w:rPr>
        <w:t xml:space="preserve"> (based on one experiment with a highly permeable core plug)</w:t>
      </w:r>
      <w:r w:rsidRPr="00D83ECC">
        <w:rPr>
          <w:lang w:eastAsia="en-AU"/>
        </w:rPr>
        <w:t xml:space="preserve"> that the </w:t>
      </w:r>
      <w:r w:rsidRPr="00D83ECC">
        <w:rPr>
          <w:rFonts w:ascii="Symbol" w:hAnsi="Symbol"/>
          <w:lang w:eastAsia="en-AU"/>
        </w:rPr>
        <w:t></w:t>
      </w:r>
      <w:r w:rsidRPr="00D83ECC">
        <w:rPr>
          <w:lang w:eastAsia="en-AU"/>
        </w:rPr>
        <w:t xml:space="preserve">P effect described by Rodgers (1999) </w:t>
      </w:r>
      <w:r>
        <w:rPr>
          <w:lang w:eastAsia="en-AU"/>
        </w:rPr>
        <w:t>is</w:t>
      </w:r>
      <w:r w:rsidRPr="00D83ECC">
        <w:rPr>
          <w:lang w:eastAsia="en-AU"/>
        </w:rPr>
        <w:t xml:space="preserve"> negligible</w:t>
      </w:r>
      <w:r>
        <w:rPr>
          <w:lang w:eastAsia="en-AU"/>
        </w:rPr>
        <w:t>. Teige et al. (2006) subsequently tested a range of plugs with variable reservoir properties and found that low permeability reservoirs at high P</w:t>
      </w:r>
      <w:r w:rsidRPr="00F06089">
        <w:rPr>
          <w:vertAlign w:val="subscript"/>
          <w:lang w:eastAsia="en-AU"/>
        </w:rPr>
        <w:t>c</w:t>
      </w:r>
      <w:r>
        <w:rPr>
          <w:lang w:eastAsia="en-AU"/>
        </w:rPr>
        <w:t xml:space="preserve"> could sustain a significant </w:t>
      </w:r>
      <w:r w:rsidRPr="00D83ECC">
        <w:rPr>
          <w:rFonts w:ascii="Symbol" w:hAnsi="Symbol"/>
          <w:lang w:eastAsia="en-AU"/>
        </w:rPr>
        <w:t></w:t>
      </w:r>
      <w:r w:rsidRPr="00D83ECC">
        <w:rPr>
          <w:lang w:eastAsia="en-AU"/>
        </w:rPr>
        <w:t>P effect</w:t>
      </w:r>
      <w:r>
        <w:rPr>
          <w:lang w:eastAsia="en-AU"/>
        </w:rPr>
        <w:t xml:space="preserve"> as</w:t>
      </w:r>
      <w:r w:rsidRPr="00D83ECC">
        <w:rPr>
          <w:lang w:eastAsia="en-AU"/>
        </w:rPr>
        <w:t xml:space="preserve"> described by Rodgers (1999</w:t>
      </w:r>
      <w:r>
        <w:rPr>
          <w:lang w:eastAsia="en-AU"/>
        </w:rPr>
        <w:t>) but the core plug still transmitted water at low S</w:t>
      </w:r>
      <w:r w:rsidRPr="009459CB">
        <w:rPr>
          <w:vertAlign w:val="subscript"/>
          <w:lang w:eastAsia="en-AU"/>
        </w:rPr>
        <w:t>w</w:t>
      </w:r>
      <w:r>
        <w:rPr>
          <w:lang w:eastAsia="en-AU"/>
        </w:rPr>
        <w:t>. The results of Teige et al. (2006) imply that in some situations (e.g. low H</w:t>
      </w:r>
      <w:r w:rsidRPr="00900B8D">
        <w:rPr>
          <w:vertAlign w:val="subscript"/>
          <w:lang w:eastAsia="en-AU"/>
        </w:rPr>
        <w:t>w</w:t>
      </w:r>
      <w:r>
        <w:rPr>
          <w:lang w:eastAsia="en-AU"/>
        </w:rPr>
        <w:t xml:space="preserve"> on the opposite side of a seal from a low k</w:t>
      </w:r>
      <w:r w:rsidRPr="00900B8D">
        <w:rPr>
          <w:vertAlign w:val="subscript"/>
          <w:lang w:eastAsia="en-AU"/>
        </w:rPr>
        <w:t>res</w:t>
      </w:r>
      <w:r>
        <w:rPr>
          <w:lang w:eastAsia="en-AU"/>
        </w:rPr>
        <w:t>) the P</w:t>
      </w:r>
      <w:r w:rsidRPr="00900B8D">
        <w:rPr>
          <w:vertAlign w:val="subscript"/>
          <w:lang w:eastAsia="en-AU"/>
        </w:rPr>
        <w:t>t</w:t>
      </w:r>
      <w:r w:rsidR="00D006E7">
        <w:rPr>
          <w:vertAlign w:val="subscript"/>
          <w:lang w:eastAsia="en-AU"/>
        </w:rPr>
        <w:t>c</w:t>
      </w:r>
      <w:r>
        <w:rPr>
          <w:lang w:eastAsia="en-AU"/>
        </w:rPr>
        <w:t xml:space="preserve"> will be reduced by the effect of </w:t>
      </w:r>
      <w:r w:rsidRPr="00900B8D">
        <w:rPr>
          <w:rFonts w:ascii="Symbol" w:hAnsi="Symbol"/>
          <w:lang w:eastAsia="en-AU"/>
        </w:rPr>
        <w:t></w:t>
      </w:r>
      <w:r>
        <w:rPr>
          <w:lang w:eastAsia="en-AU"/>
        </w:rPr>
        <w:t>P at the reservoir-seal interface.  Underschultz (2007) show</w:t>
      </w:r>
      <w:r w:rsidR="0060387B">
        <w:rPr>
          <w:lang w:eastAsia="en-AU"/>
        </w:rPr>
        <w:t>s</w:t>
      </w:r>
      <w:r>
        <w:rPr>
          <w:lang w:eastAsia="en-AU"/>
        </w:rPr>
        <w:t xml:space="preserve"> that seal breach needs to be considered across the entire seal thickness and that consideration of </w:t>
      </w:r>
      <w:r w:rsidRPr="00D83ECC">
        <w:rPr>
          <w:rFonts w:ascii="Symbol" w:hAnsi="Symbol"/>
          <w:lang w:eastAsia="en-AU"/>
        </w:rPr>
        <w:t></w:t>
      </w:r>
      <w:r w:rsidRPr="00D83ECC">
        <w:rPr>
          <w:lang w:eastAsia="en-AU"/>
        </w:rPr>
        <w:t>P</w:t>
      </w:r>
      <w:r>
        <w:rPr>
          <w:lang w:eastAsia="en-AU"/>
        </w:rPr>
        <w:t xml:space="preserve"> only at the reservoir-seal interface is insufficient. </w:t>
      </w:r>
      <w:r w:rsidR="00B35CE3">
        <w:rPr>
          <w:lang w:eastAsia="en-AU"/>
        </w:rPr>
        <w:fldChar w:fldCharType="begin"/>
      </w:r>
      <w:r w:rsidR="00B35CE3">
        <w:rPr>
          <w:lang w:eastAsia="en-AU"/>
        </w:rPr>
        <w:instrText xml:space="preserve"> REF _Ref432604872 \h </w:instrText>
      </w:r>
      <w:r w:rsidR="00B35CE3">
        <w:rPr>
          <w:lang w:eastAsia="en-AU"/>
        </w:rPr>
      </w:r>
      <w:r w:rsidR="00B35CE3">
        <w:rPr>
          <w:lang w:eastAsia="en-AU"/>
        </w:rPr>
        <w:fldChar w:fldCharType="separate"/>
      </w:r>
      <w:r w:rsidR="00ED1412">
        <w:t xml:space="preserve">Figure </w:t>
      </w:r>
      <w:r w:rsidR="00ED1412">
        <w:rPr>
          <w:noProof/>
        </w:rPr>
        <w:t>14</w:t>
      </w:r>
      <w:r w:rsidR="00B35CE3">
        <w:rPr>
          <w:lang w:eastAsia="en-AU"/>
        </w:rPr>
        <w:fldChar w:fldCharType="end"/>
      </w:r>
      <w:r>
        <w:rPr>
          <w:lang w:eastAsia="en-AU"/>
        </w:rPr>
        <w:t xml:space="preserve"> shows a schematic capillary pressure curve for both a reservoir and seal rock on the same plot. The reservoir rock only requires a small amount of P</w:t>
      </w:r>
      <w:r w:rsidRPr="00427AD0">
        <w:rPr>
          <w:vertAlign w:val="subscript"/>
          <w:lang w:eastAsia="en-AU"/>
        </w:rPr>
        <w:t>c</w:t>
      </w:r>
      <w:r>
        <w:rPr>
          <w:lang w:eastAsia="en-AU"/>
        </w:rPr>
        <w:t xml:space="preserve"> to significantly reduce the S</w:t>
      </w:r>
      <w:r w:rsidRPr="00427AD0">
        <w:rPr>
          <w:vertAlign w:val="subscript"/>
          <w:lang w:eastAsia="en-AU"/>
        </w:rPr>
        <w:t>w</w:t>
      </w:r>
      <w:r>
        <w:rPr>
          <w:lang w:eastAsia="en-AU"/>
        </w:rPr>
        <w:t xml:space="preserve"> but then a significant P</w:t>
      </w:r>
      <w:r w:rsidRPr="00427AD0">
        <w:rPr>
          <w:vertAlign w:val="subscript"/>
          <w:lang w:eastAsia="en-AU"/>
        </w:rPr>
        <w:t>c</w:t>
      </w:r>
      <w:r>
        <w:rPr>
          <w:lang w:eastAsia="en-AU"/>
        </w:rPr>
        <w:t xml:space="preserve"> is required to achieve S</w:t>
      </w:r>
      <w:r w:rsidRPr="00427AD0">
        <w:rPr>
          <w:vertAlign w:val="subscript"/>
          <w:lang w:eastAsia="en-AU"/>
        </w:rPr>
        <w:t>wi</w:t>
      </w:r>
      <w:r>
        <w:rPr>
          <w:lang w:eastAsia="en-AU"/>
        </w:rPr>
        <w:t>. Once the hy</w:t>
      </w:r>
      <w:r w:rsidR="00217427">
        <w:rPr>
          <w:lang w:eastAsia="en-AU"/>
        </w:rPr>
        <w:t>drocar</w:t>
      </w:r>
      <w:r>
        <w:rPr>
          <w:lang w:eastAsia="en-AU"/>
        </w:rPr>
        <w:t xml:space="preserve">bon column is sufficiently </w:t>
      </w:r>
      <w:r w:rsidR="00217427">
        <w:rPr>
          <w:lang w:eastAsia="en-AU"/>
        </w:rPr>
        <w:t xml:space="preserve">large </w:t>
      </w:r>
      <w:r>
        <w:rPr>
          <w:lang w:eastAsia="en-AU"/>
        </w:rPr>
        <w:t>to induce a P</w:t>
      </w:r>
      <w:r w:rsidRPr="00427AD0">
        <w:rPr>
          <w:vertAlign w:val="subscript"/>
          <w:lang w:eastAsia="en-AU"/>
        </w:rPr>
        <w:t>c</w:t>
      </w:r>
      <w:r>
        <w:rPr>
          <w:lang w:eastAsia="en-AU"/>
        </w:rPr>
        <w:t xml:space="preserve"> equal to the P</w:t>
      </w:r>
      <w:r w:rsidRPr="0098213B">
        <w:rPr>
          <w:vertAlign w:val="subscript"/>
          <w:lang w:eastAsia="en-AU"/>
        </w:rPr>
        <w:t>t</w:t>
      </w:r>
      <w:r>
        <w:rPr>
          <w:lang w:eastAsia="en-AU"/>
        </w:rPr>
        <w:t xml:space="preserve"> of the seal rock, the reservoir rock has a very low S</w:t>
      </w:r>
      <w:r w:rsidRPr="0098213B">
        <w:rPr>
          <w:vertAlign w:val="subscript"/>
          <w:lang w:eastAsia="en-AU"/>
        </w:rPr>
        <w:t>w</w:t>
      </w:r>
      <w:r>
        <w:rPr>
          <w:lang w:eastAsia="en-AU"/>
        </w:rPr>
        <w:t xml:space="preserve"> but not S</w:t>
      </w:r>
      <w:r w:rsidRPr="0098213B">
        <w:rPr>
          <w:vertAlign w:val="subscript"/>
          <w:lang w:eastAsia="en-AU"/>
        </w:rPr>
        <w:t>wi</w:t>
      </w:r>
      <w:r>
        <w:rPr>
          <w:lang w:eastAsia="en-AU"/>
        </w:rPr>
        <w:t>. Tei</w:t>
      </w:r>
      <w:r w:rsidRPr="00D83ECC">
        <w:rPr>
          <w:lang w:eastAsia="en-AU"/>
        </w:rPr>
        <w:t>ge et al. (2005</w:t>
      </w:r>
      <w:r>
        <w:rPr>
          <w:lang w:eastAsia="en-AU"/>
        </w:rPr>
        <w:t xml:space="preserve"> and 2006</w:t>
      </w:r>
      <w:r w:rsidRPr="00D83ECC">
        <w:rPr>
          <w:lang w:eastAsia="en-AU"/>
        </w:rPr>
        <w:t xml:space="preserve">) </w:t>
      </w:r>
      <w:r>
        <w:rPr>
          <w:lang w:eastAsia="en-AU"/>
        </w:rPr>
        <w:t>found that k</w:t>
      </w:r>
      <w:r w:rsidRPr="00570B78">
        <w:rPr>
          <w:vertAlign w:val="subscript"/>
          <w:lang w:eastAsia="en-AU"/>
        </w:rPr>
        <w:t>rw</w:t>
      </w:r>
      <w:r w:rsidRPr="00D83ECC">
        <w:rPr>
          <w:lang w:eastAsia="en-AU"/>
        </w:rPr>
        <w:t xml:space="preserve"> </w:t>
      </w:r>
      <w:r>
        <w:rPr>
          <w:lang w:eastAsia="en-AU"/>
        </w:rPr>
        <w:t>in the reservoir rock remained</w:t>
      </w:r>
      <w:r w:rsidRPr="00D83ECC">
        <w:rPr>
          <w:lang w:eastAsia="en-AU"/>
        </w:rPr>
        <w:t xml:space="preserve"> higher than the</w:t>
      </w:r>
      <w:r>
        <w:rPr>
          <w:lang w:eastAsia="en-AU"/>
        </w:rPr>
        <w:t xml:space="preserve"> k</w:t>
      </w:r>
      <w:r w:rsidRPr="00570B78">
        <w:rPr>
          <w:vertAlign w:val="subscript"/>
          <w:lang w:eastAsia="en-AU"/>
        </w:rPr>
        <w:t>ts</w:t>
      </w:r>
      <w:r w:rsidRPr="00D83ECC">
        <w:rPr>
          <w:lang w:eastAsia="en-AU"/>
        </w:rPr>
        <w:t xml:space="preserve"> required to hold back </w:t>
      </w:r>
      <w:r>
        <w:rPr>
          <w:lang w:eastAsia="en-AU"/>
        </w:rPr>
        <w:t>a</w:t>
      </w:r>
      <w:r w:rsidRPr="00D83ECC">
        <w:rPr>
          <w:lang w:eastAsia="en-AU"/>
        </w:rPr>
        <w:t xml:space="preserve"> hydrocarbon column</w:t>
      </w:r>
      <w:r>
        <w:rPr>
          <w:lang w:eastAsia="en-AU"/>
        </w:rPr>
        <w:t xml:space="preserve"> of sufficient height to obtain the low S</w:t>
      </w:r>
      <w:r>
        <w:rPr>
          <w:vertAlign w:val="subscript"/>
          <w:lang w:eastAsia="en-AU"/>
        </w:rPr>
        <w:t>w</w:t>
      </w:r>
      <w:r w:rsidRPr="00D83ECC">
        <w:rPr>
          <w:lang w:eastAsia="en-AU"/>
        </w:rPr>
        <w:t>.</w:t>
      </w:r>
      <w:r>
        <w:rPr>
          <w:lang w:eastAsia="en-AU"/>
        </w:rPr>
        <w:t xml:space="preserve"> Moria (2011) use an alternative adapted </w:t>
      </w:r>
      <w:r w:rsidR="00ED7B6E">
        <w:rPr>
          <w:lang w:eastAsia="en-AU"/>
        </w:rPr>
        <w:t>Mercury Injection Capillary Pressure (</w:t>
      </w:r>
      <w:r>
        <w:rPr>
          <w:lang w:eastAsia="en-AU"/>
        </w:rPr>
        <w:t>MICP</w:t>
      </w:r>
      <w:r w:rsidR="00ED7B6E">
        <w:rPr>
          <w:lang w:eastAsia="en-AU"/>
        </w:rPr>
        <w:t>)</w:t>
      </w:r>
      <w:r>
        <w:rPr>
          <w:lang w:eastAsia="en-AU"/>
        </w:rPr>
        <w:t xml:space="preserve"> approach and concluded that the effective </w:t>
      </w:r>
      <w:r>
        <w:t>k</w:t>
      </w:r>
      <w:r w:rsidRPr="00FB164C">
        <w:rPr>
          <w:rFonts w:ascii="b" w:hAnsi="b"/>
          <w:vertAlign w:val="subscript"/>
        </w:rPr>
        <w:t>rw</w:t>
      </w:r>
      <w:r w:rsidRPr="00D83ECC">
        <w:rPr>
          <w:lang w:eastAsia="en-AU"/>
        </w:rPr>
        <w:t xml:space="preserve"> </w:t>
      </w:r>
      <w:r>
        <w:rPr>
          <w:lang w:eastAsia="en-AU"/>
        </w:rPr>
        <w:t>remained on the order of 10</w:t>
      </w:r>
      <w:r w:rsidRPr="00522929">
        <w:rPr>
          <w:vertAlign w:val="superscript"/>
          <w:lang w:eastAsia="en-AU"/>
        </w:rPr>
        <w:t>-2</w:t>
      </w:r>
      <w:r>
        <w:rPr>
          <w:lang w:eastAsia="en-AU"/>
        </w:rPr>
        <w:t xml:space="preserve"> to 10</w:t>
      </w:r>
      <w:r w:rsidRPr="00522929">
        <w:rPr>
          <w:vertAlign w:val="superscript"/>
          <w:lang w:eastAsia="en-AU"/>
        </w:rPr>
        <w:t>-3</w:t>
      </w:r>
      <w:r>
        <w:rPr>
          <w:lang w:eastAsia="en-AU"/>
        </w:rPr>
        <w:t xml:space="preserve"> mD even at several hundred metres above the FWL (assuming a water wet reservoir for the samples tested) independently corroborating the findings of Teige (2005 and 2006)</w:t>
      </w:r>
      <w:r>
        <w:rPr>
          <w:rFonts w:ascii="TimesNRMT" w:hAnsi="TimesNRMT" w:cs="TimesNRMT"/>
          <w:sz w:val="18"/>
          <w:szCs w:val="18"/>
          <w:lang w:eastAsia="en-AU"/>
        </w:rPr>
        <w:t>.</w:t>
      </w:r>
      <w:r>
        <w:rPr>
          <w:lang w:eastAsia="en-AU"/>
        </w:rPr>
        <w:t xml:space="preserve"> It follows, that the </w:t>
      </w:r>
      <w:r w:rsidR="00D006E7">
        <w:rPr>
          <w:lang w:eastAsia="en-AU"/>
        </w:rPr>
        <w:t>capillary</w:t>
      </w:r>
      <w:r>
        <w:rPr>
          <w:lang w:eastAsia="en-AU"/>
        </w:rPr>
        <w:t xml:space="preserve"> seal will typically be breached prior to the hydrocarbon column in the reservoir being </w:t>
      </w:r>
      <w:r w:rsidR="00217427">
        <w:rPr>
          <w:lang w:eastAsia="en-AU"/>
        </w:rPr>
        <w:t xml:space="preserve">large </w:t>
      </w:r>
      <w:r>
        <w:rPr>
          <w:lang w:eastAsia="en-AU"/>
        </w:rPr>
        <w:t>enough to reach S</w:t>
      </w:r>
      <w:r w:rsidRPr="00C77C95">
        <w:rPr>
          <w:vertAlign w:val="subscript"/>
          <w:lang w:eastAsia="en-AU"/>
        </w:rPr>
        <w:t>wi</w:t>
      </w:r>
      <w:r>
        <w:rPr>
          <w:lang w:eastAsia="en-AU"/>
        </w:rPr>
        <w:t>.</w:t>
      </w:r>
      <w:r w:rsidRPr="00D83ECC">
        <w:rPr>
          <w:lang w:eastAsia="en-AU"/>
        </w:rPr>
        <w:t xml:space="preserve"> </w:t>
      </w:r>
      <w:r>
        <w:rPr>
          <w:lang w:eastAsia="en-AU"/>
        </w:rPr>
        <w:t>From the point of view of reservoir engineering that considers reservoir performance on the human time-scale, the semantics of S</w:t>
      </w:r>
      <w:r w:rsidRPr="00D543E7">
        <w:rPr>
          <w:vertAlign w:val="subscript"/>
          <w:lang w:eastAsia="en-AU"/>
        </w:rPr>
        <w:t>w</w:t>
      </w:r>
      <w:r>
        <w:rPr>
          <w:lang w:eastAsia="en-AU"/>
        </w:rPr>
        <w:t xml:space="preserve"> being very low but not absolutely S</w:t>
      </w:r>
      <w:r w:rsidRPr="00D543E7">
        <w:rPr>
          <w:vertAlign w:val="subscript"/>
          <w:lang w:eastAsia="en-AU"/>
        </w:rPr>
        <w:t>wi</w:t>
      </w:r>
      <w:r>
        <w:rPr>
          <w:lang w:eastAsia="en-AU"/>
        </w:rPr>
        <w:t xml:space="preserve"> is normally inconsequential and the assumption of S</w:t>
      </w:r>
      <w:r w:rsidRPr="00D543E7">
        <w:rPr>
          <w:vertAlign w:val="subscript"/>
          <w:lang w:eastAsia="en-AU"/>
        </w:rPr>
        <w:t>wi</w:t>
      </w:r>
      <w:r>
        <w:rPr>
          <w:lang w:eastAsia="en-AU"/>
        </w:rPr>
        <w:t xml:space="preserve"> is normally valid. When characterizing seal capacity and reservoir behaviour at the geological time-scales of trapping however, very low but non-zero k</w:t>
      </w:r>
      <w:r w:rsidRPr="00D543E7">
        <w:rPr>
          <w:vertAlign w:val="subscript"/>
          <w:lang w:eastAsia="en-AU"/>
        </w:rPr>
        <w:t>rw</w:t>
      </w:r>
      <w:r>
        <w:rPr>
          <w:lang w:eastAsia="en-AU"/>
        </w:rPr>
        <w:t xml:space="preserve"> has an important implication for predicting </w:t>
      </w:r>
      <w:r w:rsidR="00D006E7">
        <w:rPr>
          <w:lang w:eastAsia="en-AU"/>
        </w:rPr>
        <w:t>capillary</w:t>
      </w:r>
      <w:r>
        <w:rPr>
          <w:lang w:eastAsia="en-AU"/>
        </w:rPr>
        <w:t xml:space="preserve"> seal capacity. </w:t>
      </w:r>
      <w:r>
        <w:t xml:space="preserve">With evidence mounting that the formation water phase likely transmits a continuous pressure gradient </w:t>
      </w:r>
      <w:r w:rsidR="00217427">
        <w:t xml:space="preserve">even for low degrees of water saturation (i.e. </w:t>
      </w:r>
      <w:r>
        <w:t>near</w:t>
      </w:r>
      <w:r>
        <w:rPr>
          <w:lang w:eastAsia="en-AU"/>
        </w:rPr>
        <w:t xml:space="preserve"> S</w:t>
      </w:r>
      <w:r w:rsidRPr="00D543E7">
        <w:rPr>
          <w:vertAlign w:val="subscript"/>
          <w:lang w:eastAsia="en-AU"/>
        </w:rPr>
        <w:t>wi</w:t>
      </w:r>
      <w:r w:rsidR="00217427">
        <w:t>)</w:t>
      </w:r>
      <w:r w:rsidR="00217427">
        <w:rPr>
          <w:lang w:eastAsia="en-AU"/>
        </w:rPr>
        <w:t xml:space="preserve">, </w:t>
      </w:r>
      <w:r>
        <w:t>we can now take the results of Underschultz (2007) and extend them to other hydrocarbon fault seal cases that make up global fault seal calibration datasets even more robust</w:t>
      </w:r>
      <w:r w:rsidR="0046202F">
        <w:t xml:space="preserve"> (U</w:t>
      </w:r>
      <w:r w:rsidR="00ED7B6E">
        <w:t>n</w:t>
      </w:r>
      <w:r w:rsidR="00EC65BE">
        <w:t>derschultz and Strand, 2016</w:t>
      </w:r>
      <w:r w:rsidR="0046202F">
        <w:t>)</w:t>
      </w:r>
      <w:r>
        <w:t xml:space="preserve">. </w:t>
      </w:r>
      <w:r w:rsidR="00217427">
        <w:rPr>
          <w:lang w:eastAsia="en-AU"/>
        </w:rPr>
        <w:t>The notion of non-zero S</w:t>
      </w:r>
      <w:r w:rsidR="00217427" w:rsidRPr="00D543E7">
        <w:rPr>
          <w:vertAlign w:val="subscript"/>
          <w:lang w:eastAsia="en-AU"/>
        </w:rPr>
        <w:t>wi</w:t>
      </w:r>
      <w:r w:rsidR="009C69C0">
        <w:rPr>
          <w:lang w:eastAsia="en-AU"/>
        </w:rPr>
        <w:t xml:space="preserve"> is of crucial importance for</w:t>
      </w:r>
      <w:r w:rsidR="00217427">
        <w:rPr>
          <w:lang w:eastAsia="en-AU"/>
        </w:rPr>
        <w:t xml:space="preserve"> using SGR global calibration data to estimate fault zone permeability.</w:t>
      </w:r>
    </w:p>
    <w:p w14:paraId="1B0FD7AA" w14:textId="77777777" w:rsidR="00014698" w:rsidRDefault="00014698" w:rsidP="00B430F9">
      <w:pPr>
        <w:autoSpaceDE w:val="0"/>
        <w:autoSpaceDN w:val="0"/>
        <w:adjustRightInd w:val="0"/>
        <w:spacing w:after="0" w:line="240" w:lineRule="auto"/>
        <w:rPr>
          <w:rFonts w:ascii="Times New Roman" w:hAnsi="Times New Roman" w:cs="Times New Roman"/>
          <w:sz w:val="24"/>
          <w:szCs w:val="24"/>
        </w:rPr>
      </w:pPr>
    </w:p>
    <w:p w14:paraId="49D1423D" w14:textId="77777777" w:rsidR="002B4840" w:rsidRDefault="002B4840" w:rsidP="00E9349B">
      <w:pPr>
        <w:jc w:val="center"/>
        <w:rPr>
          <w:rFonts w:ascii="Times New Roman" w:hAnsi="Times New Roman" w:cs="Times New Roman"/>
          <w:sz w:val="24"/>
          <w:szCs w:val="24"/>
        </w:rPr>
      </w:pPr>
      <w:r>
        <w:rPr>
          <w:rFonts w:ascii="Times New Roman" w:hAnsi="Times New Roman" w:cs="Times New Roman"/>
          <w:noProof/>
          <w:sz w:val="24"/>
          <w:szCs w:val="24"/>
          <w:lang w:eastAsia="en-AU"/>
        </w:rPr>
        <w:lastRenderedPageBreak/>
        <w:drawing>
          <wp:inline distT="0" distB="0" distL="0" distR="0" wp14:anchorId="70389EAB" wp14:editId="256B3208">
            <wp:extent cx="3162740" cy="3444240"/>
            <wp:effectExtent l="0" t="0" r="0" b="3810"/>
            <wp:docPr id="3" name="Picture 3" descr="Chart of pressure versus depth."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ssure profile through seal.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163844" cy="3445442"/>
                    </a:xfrm>
                    <a:prstGeom prst="rect">
                      <a:avLst/>
                    </a:prstGeom>
                  </pic:spPr>
                </pic:pic>
              </a:graphicData>
            </a:graphic>
          </wp:inline>
        </w:drawing>
      </w:r>
    </w:p>
    <w:p w14:paraId="7BE701D0" w14:textId="0949C1D6" w:rsidR="00554444" w:rsidRDefault="00391D3A" w:rsidP="00391D3A">
      <w:pPr>
        <w:pStyle w:val="Caption"/>
        <w:rPr>
          <w:lang w:eastAsia="en-AU"/>
        </w:rPr>
      </w:pPr>
      <w:bookmarkStart w:id="473" w:name="_Ref432604851"/>
      <w:bookmarkStart w:id="474" w:name="_Toc442353794"/>
      <w:r>
        <w:t xml:space="preserve">Figure </w:t>
      </w:r>
      <w:fldSimple w:instr=" SEQ Figure \* ARABIC ">
        <w:r w:rsidR="00ED1412">
          <w:rPr>
            <w:noProof/>
          </w:rPr>
          <w:t>13</w:t>
        </w:r>
      </w:fldSimple>
      <w:bookmarkEnd w:id="473"/>
      <w:r w:rsidR="001E0F17">
        <w:rPr>
          <w:rFonts w:cs="Times New Roman"/>
        </w:rPr>
        <w:t>.</w:t>
      </w:r>
      <w:r w:rsidR="00554444">
        <w:rPr>
          <w:rFonts w:cs="Times New Roman"/>
        </w:rPr>
        <w:t xml:space="preserve"> </w:t>
      </w:r>
      <w:r w:rsidR="00554444">
        <w:rPr>
          <w:lang w:eastAsia="en-AU"/>
        </w:rPr>
        <w:t xml:space="preserve">Pressure-Depth plot with a hydrocarbon column equal to top seal </w:t>
      </w:r>
      <w:r w:rsidR="00554444">
        <w:t>P</w:t>
      </w:r>
      <w:r w:rsidR="00554444" w:rsidRPr="00C7766B">
        <w:rPr>
          <w:vertAlign w:val="subscript"/>
        </w:rPr>
        <w:t>t</w:t>
      </w:r>
      <w:r w:rsidR="00554444">
        <w:rPr>
          <w:vertAlign w:val="subscript"/>
        </w:rPr>
        <w:t>.</w:t>
      </w:r>
      <w:r w:rsidR="00554444">
        <w:rPr>
          <w:lang w:eastAsia="en-AU"/>
        </w:rPr>
        <w:t xml:space="preserve"> In this case </w:t>
      </w:r>
      <w:r w:rsidR="00554444">
        <w:t>P</w:t>
      </w:r>
      <w:r w:rsidR="00554444" w:rsidRPr="00C7766B">
        <w:rPr>
          <w:vertAlign w:val="subscript"/>
        </w:rPr>
        <w:t>t</w:t>
      </w:r>
      <w:r w:rsidR="00554444">
        <w:rPr>
          <w:lang w:eastAsia="en-AU"/>
        </w:rPr>
        <w:t xml:space="preserve"> is estimated to be the difference in the hydrocarbon and water pressure at the top of the column. </w:t>
      </w:r>
      <w:r w:rsidR="00554444" w:rsidRPr="00FA21F8">
        <w:rPr>
          <w:rFonts w:ascii="Symbol" w:hAnsi="Symbol"/>
          <w:lang w:eastAsia="en-AU"/>
        </w:rPr>
        <w:t></w:t>
      </w:r>
      <w:r w:rsidR="00554444">
        <w:rPr>
          <w:lang w:eastAsia="en-AU"/>
        </w:rPr>
        <w:t xml:space="preserve">P is the equivalent pressure difference between </w:t>
      </w:r>
      <w:r w:rsidR="00554444">
        <w:t>H</w:t>
      </w:r>
      <w:r w:rsidR="00554444" w:rsidRPr="00B821A9">
        <w:rPr>
          <w:vertAlign w:val="subscript"/>
        </w:rPr>
        <w:t>w</w:t>
      </w:r>
      <w:r w:rsidR="00554444">
        <w:rPr>
          <w:lang w:eastAsia="en-AU"/>
        </w:rPr>
        <w:t xml:space="preserve"> on either side of the seal (after Rodgers, 1999).</w:t>
      </w:r>
      <w:bookmarkEnd w:id="474"/>
    </w:p>
    <w:p w14:paraId="683D78BA" w14:textId="77777777" w:rsidR="00554444" w:rsidRDefault="00554444" w:rsidP="00E9349B">
      <w:pPr>
        <w:jc w:val="center"/>
        <w:rPr>
          <w:rFonts w:cs="Times New Roman"/>
        </w:rPr>
      </w:pPr>
      <w:r>
        <w:rPr>
          <w:rFonts w:cs="Times New Roman"/>
          <w:noProof/>
          <w:lang w:eastAsia="en-AU"/>
        </w:rPr>
        <w:drawing>
          <wp:inline distT="0" distB="0" distL="0" distR="0" wp14:anchorId="7A442636" wp14:editId="2E98FAE9">
            <wp:extent cx="1755871" cy="2528454"/>
            <wp:effectExtent l="0" t="0" r="0" b="5715"/>
            <wp:docPr id="28" name="Picture 28" descr="Chart of idealised capillary pressure against water saturation."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 pressure curves.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73495" cy="2553833"/>
                    </a:xfrm>
                    <a:prstGeom prst="rect">
                      <a:avLst/>
                    </a:prstGeom>
                  </pic:spPr>
                </pic:pic>
              </a:graphicData>
            </a:graphic>
          </wp:inline>
        </w:drawing>
      </w:r>
    </w:p>
    <w:p w14:paraId="52F76876" w14:textId="67609354" w:rsidR="00F75329" w:rsidRDefault="00391D3A" w:rsidP="008F635A">
      <w:pPr>
        <w:pStyle w:val="Caption"/>
        <w:rPr>
          <w:lang w:eastAsia="en-AU"/>
        </w:rPr>
      </w:pPr>
      <w:bookmarkStart w:id="475" w:name="_Ref432604872"/>
      <w:bookmarkStart w:id="476" w:name="_Toc442353795"/>
      <w:r>
        <w:t xml:space="preserve">Figure </w:t>
      </w:r>
      <w:fldSimple w:instr=" SEQ Figure \* ARABIC ">
        <w:r w:rsidR="00ED1412">
          <w:rPr>
            <w:noProof/>
          </w:rPr>
          <w:t>14</w:t>
        </w:r>
      </w:fldSimple>
      <w:bookmarkEnd w:id="475"/>
      <w:r w:rsidR="001E0F17">
        <w:rPr>
          <w:rFonts w:cs="Times New Roman"/>
        </w:rPr>
        <w:t>.</w:t>
      </w:r>
      <w:r w:rsidR="003F5D74">
        <w:rPr>
          <w:rFonts w:cs="Times New Roman"/>
        </w:rPr>
        <w:t xml:space="preserve"> </w:t>
      </w:r>
      <w:r w:rsidR="003F5D74">
        <w:rPr>
          <w:lang w:eastAsia="en-AU"/>
        </w:rPr>
        <w:t>A schematic capillary pressure graph</w:t>
      </w:r>
      <w:r w:rsidR="008F635A">
        <w:rPr>
          <w:lang w:eastAsia="en-AU"/>
        </w:rPr>
        <w:t xml:space="preserve"> plotted against water saturation</w:t>
      </w:r>
      <w:r w:rsidR="003F5D74">
        <w:rPr>
          <w:lang w:eastAsia="en-AU"/>
        </w:rPr>
        <w:t xml:space="preserve"> for both a typical reservoir (solid curve) and seal rock (dashed curve).</w:t>
      </w:r>
      <w:r w:rsidR="008F635A">
        <w:rPr>
          <w:lang w:eastAsia="en-AU"/>
        </w:rPr>
        <w:t xml:space="preserve"> P</w:t>
      </w:r>
      <w:r w:rsidR="008F635A" w:rsidRPr="008F635A">
        <w:rPr>
          <w:vertAlign w:val="subscript"/>
          <w:lang w:eastAsia="en-AU"/>
        </w:rPr>
        <w:t>ce</w:t>
      </w:r>
      <w:r w:rsidR="008F635A">
        <w:rPr>
          <w:lang w:eastAsia="en-AU"/>
        </w:rPr>
        <w:t xml:space="preserve"> is the capillary entry pressure and P</w:t>
      </w:r>
      <w:r w:rsidR="008F635A" w:rsidRPr="008F635A">
        <w:rPr>
          <w:vertAlign w:val="subscript"/>
          <w:lang w:eastAsia="en-AU"/>
        </w:rPr>
        <w:t>t</w:t>
      </w:r>
      <w:r w:rsidR="008F635A">
        <w:rPr>
          <w:lang w:eastAsia="en-AU"/>
        </w:rPr>
        <w:t xml:space="preserve"> is the threshold pressure. S</w:t>
      </w:r>
      <w:r w:rsidR="008F635A" w:rsidRPr="008F635A">
        <w:rPr>
          <w:vertAlign w:val="subscript"/>
          <w:lang w:eastAsia="en-AU"/>
        </w:rPr>
        <w:t>wi</w:t>
      </w:r>
      <w:r w:rsidR="008F635A">
        <w:rPr>
          <w:lang w:eastAsia="en-AU"/>
        </w:rPr>
        <w:t xml:space="preserve"> is irreducible water saturation.</w:t>
      </w:r>
      <w:bookmarkEnd w:id="476"/>
    </w:p>
    <w:p w14:paraId="3D53B325" w14:textId="77777777" w:rsidR="008C06EE" w:rsidRPr="008C06EE" w:rsidRDefault="008C06EE" w:rsidP="008C06EE">
      <w:pPr>
        <w:rPr>
          <w:lang w:eastAsia="en-AU"/>
        </w:rPr>
      </w:pPr>
    </w:p>
    <w:p w14:paraId="4FF019F3" w14:textId="538C9330" w:rsidR="00886CB9" w:rsidRDefault="0015202D" w:rsidP="006A28CD">
      <w:pPr>
        <w:pStyle w:val="Heading2"/>
      </w:pPr>
      <w:bookmarkStart w:id="477" w:name="_Toc442351513"/>
      <w:r>
        <w:t>Consideration of Aquitards that are Hydrocarbon Wetting</w:t>
      </w:r>
      <w:bookmarkEnd w:id="477"/>
    </w:p>
    <w:p w14:paraId="49206BD9" w14:textId="3C1726F6" w:rsidR="004742B8" w:rsidRDefault="004742B8" w:rsidP="00936315">
      <w:pPr>
        <w:spacing w:line="240" w:lineRule="auto"/>
        <w:rPr>
          <w:lang w:eastAsia="en-AU"/>
        </w:rPr>
      </w:pPr>
      <w:r>
        <w:rPr>
          <w:lang w:eastAsia="en-AU"/>
        </w:rPr>
        <w:t xml:space="preserve">It is interesting to note that in all of this report we consider systems where the hydrocarbon phase is assumed to be non-wetting.  In unconventional reservoirs where the </w:t>
      </w:r>
      <w:r w:rsidR="0015202D">
        <w:rPr>
          <w:lang w:eastAsia="en-AU"/>
        </w:rPr>
        <w:t>strata</w:t>
      </w:r>
      <w:r>
        <w:rPr>
          <w:lang w:eastAsia="en-AU"/>
        </w:rPr>
        <w:t xml:space="preserve"> is </w:t>
      </w:r>
      <w:r w:rsidR="0015202D">
        <w:rPr>
          <w:lang w:eastAsia="en-AU"/>
        </w:rPr>
        <w:t>both</w:t>
      </w:r>
      <w:r>
        <w:rPr>
          <w:lang w:eastAsia="en-AU"/>
        </w:rPr>
        <w:t xml:space="preserve"> the source rock for the hydrocarbon and the reservoir, the reservoir itself is normally</w:t>
      </w:r>
      <w:r w:rsidR="00F1503C">
        <w:rPr>
          <w:lang w:eastAsia="en-AU"/>
        </w:rPr>
        <w:t xml:space="preserve"> high in organic content and</w:t>
      </w:r>
      <w:r w:rsidR="00F40F1B">
        <w:rPr>
          <w:lang w:eastAsia="en-AU"/>
        </w:rPr>
        <w:t xml:space="preserve"> is</w:t>
      </w:r>
      <w:r w:rsidR="00F26074">
        <w:rPr>
          <w:lang w:eastAsia="en-AU"/>
        </w:rPr>
        <w:t xml:space="preserve"> </w:t>
      </w:r>
      <w:r w:rsidR="0001107A">
        <w:rPr>
          <w:lang w:eastAsia="en-AU"/>
        </w:rPr>
        <w:t>often either mixed wetting or</w:t>
      </w:r>
      <w:r>
        <w:rPr>
          <w:lang w:eastAsia="en-AU"/>
        </w:rPr>
        <w:t xml:space="preserve"> hydrocarbon wetting.  This is true for most coal seam gas and shale gas reservoirs.  In this case, the</w:t>
      </w:r>
      <w:r w:rsidR="00F1503C">
        <w:rPr>
          <w:lang w:eastAsia="en-AU"/>
        </w:rPr>
        <w:t xml:space="preserve"> reservoir is normally very low permeability (acting as an aquitard) and the</w:t>
      </w:r>
      <w:r w:rsidR="0001107A">
        <w:rPr>
          <w:lang w:eastAsia="en-AU"/>
        </w:rPr>
        <w:t xml:space="preserve"> formation water is either mixed wetting or the</w:t>
      </w:r>
      <w:r>
        <w:rPr>
          <w:lang w:eastAsia="en-AU"/>
        </w:rPr>
        <w:t xml:space="preserve"> non</w:t>
      </w:r>
      <w:r w:rsidR="0097789C">
        <w:rPr>
          <w:lang w:eastAsia="en-AU"/>
        </w:rPr>
        <w:t>-wetting phase</w:t>
      </w:r>
      <w:r w:rsidR="00F1503C">
        <w:rPr>
          <w:lang w:eastAsia="en-AU"/>
        </w:rPr>
        <w:t>.</w:t>
      </w:r>
      <w:r w:rsidR="0097789C">
        <w:rPr>
          <w:lang w:eastAsia="en-AU"/>
        </w:rPr>
        <w:t xml:space="preserve"> </w:t>
      </w:r>
      <w:r w:rsidR="00F1503C">
        <w:rPr>
          <w:lang w:eastAsia="en-AU"/>
        </w:rPr>
        <w:t>Here the formation water</w:t>
      </w:r>
      <w:r w:rsidR="0097789C">
        <w:rPr>
          <w:lang w:eastAsia="en-AU"/>
        </w:rPr>
        <w:t xml:space="preserve"> must overcome capillary displacement pressure to migrate through the pore space. In the case of regional groundwater models, a regionally extensive unconventional gas </w:t>
      </w:r>
      <w:r w:rsidR="0097789C">
        <w:rPr>
          <w:lang w:eastAsia="en-AU"/>
        </w:rPr>
        <w:lastRenderedPageBreak/>
        <w:t>reservoir that is hydrocarbon wet has profound implicati</w:t>
      </w:r>
      <w:r w:rsidR="0015202D">
        <w:rPr>
          <w:lang w:eastAsia="en-AU"/>
        </w:rPr>
        <w:t>ons for hydraulic communication across these strata</w:t>
      </w:r>
      <w:r w:rsidR="0097789C">
        <w:rPr>
          <w:lang w:eastAsia="en-AU"/>
        </w:rPr>
        <w:t>.</w:t>
      </w:r>
      <w:r w:rsidR="0001107A">
        <w:rPr>
          <w:lang w:eastAsia="en-AU"/>
        </w:rPr>
        <w:t xml:space="preserve"> </w:t>
      </w:r>
      <w:r w:rsidR="0097789C">
        <w:rPr>
          <w:lang w:eastAsia="en-AU"/>
        </w:rPr>
        <w:t xml:space="preserve">  Relative permeability curves for the groundwater need to be considered and implemented in a modelling code that can handle multiphase flow.</w:t>
      </w:r>
      <w:r w:rsidR="00F40F1B">
        <w:rPr>
          <w:lang w:eastAsia="en-AU"/>
        </w:rPr>
        <w:t xml:space="preserve">  These data are normally obtained in laboratory experiments using core plug samples.  Since absolute permeability is highly variable, the relative</w:t>
      </w:r>
      <w:r w:rsidR="00B07FD3">
        <w:rPr>
          <w:lang w:eastAsia="en-AU"/>
        </w:rPr>
        <w:t xml:space="preserve"> permeability values are too;</w:t>
      </w:r>
      <w:r w:rsidR="00F40F1B">
        <w:rPr>
          <w:lang w:eastAsia="en-AU"/>
        </w:rPr>
        <w:t xml:space="preserve"> meaning that a large number of samples are required to gain confidence that the permeability is adequately represented.  </w:t>
      </w:r>
      <w:r w:rsidR="0001107A">
        <w:rPr>
          <w:lang w:eastAsia="en-AU"/>
        </w:rPr>
        <w:t>Both the American Association of Petroleum Geologists and the Society of Petroleum Engineers are professional organisations that host web sites with general background information on “wettability” and “relative permeability” that serve as g</w:t>
      </w:r>
      <w:r w:rsidR="00F40F1B">
        <w:rPr>
          <w:lang w:eastAsia="en-AU"/>
        </w:rPr>
        <w:t>eneral reference</w:t>
      </w:r>
      <w:r w:rsidR="0001107A">
        <w:rPr>
          <w:lang w:eastAsia="en-AU"/>
        </w:rPr>
        <w:t>s</w:t>
      </w:r>
      <w:r w:rsidR="0001107A">
        <w:rPr>
          <w:rStyle w:val="FootnoteReference"/>
          <w:lang w:eastAsia="en-AU"/>
        </w:rPr>
        <w:footnoteReference w:id="6"/>
      </w:r>
      <w:r w:rsidR="0001107A">
        <w:rPr>
          <w:rStyle w:val="FootnoteReference"/>
          <w:lang w:eastAsia="en-AU"/>
        </w:rPr>
        <w:footnoteReference w:id="7"/>
      </w:r>
      <w:r w:rsidR="0001107A">
        <w:rPr>
          <w:rStyle w:val="FootnoteReference"/>
          <w:lang w:eastAsia="en-AU"/>
        </w:rPr>
        <w:footnoteReference w:id="8"/>
      </w:r>
      <w:r w:rsidR="00625A04">
        <w:rPr>
          <w:lang w:eastAsia="en-AU"/>
        </w:rPr>
        <w:t xml:space="preserve">. </w:t>
      </w:r>
      <w:r w:rsidR="0001107A">
        <w:rPr>
          <w:lang w:eastAsia="en-AU"/>
        </w:rPr>
        <w:t xml:space="preserve">Historical early references to </w:t>
      </w:r>
      <w:r w:rsidR="00953A46">
        <w:rPr>
          <w:lang w:eastAsia="en-AU"/>
        </w:rPr>
        <w:t xml:space="preserve">wettability and relative permeability include </w:t>
      </w:r>
      <w:r w:rsidR="002C6D9D">
        <w:rPr>
          <w:lang w:eastAsia="en-AU"/>
        </w:rPr>
        <w:t>Corey (1955)</w:t>
      </w:r>
      <w:r w:rsidR="00953A46">
        <w:rPr>
          <w:lang w:eastAsia="en-AU"/>
        </w:rPr>
        <w:t xml:space="preserve"> and Brooks and Cory (1966). </w:t>
      </w:r>
      <w:r w:rsidR="00625A04">
        <w:rPr>
          <w:lang w:eastAsia="en-AU"/>
        </w:rPr>
        <w:t>There are a number of laboratory procedures that can be employed to measure relative permeability</w:t>
      </w:r>
      <w:r w:rsidR="00953A46">
        <w:rPr>
          <w:lang w:eastAsia="en-AU"/>
        </w:rPr>
        <w:t xml:space="preserve"> on core samples</w:t>
      </w:r>
      <w:r w:rsidR="00625A04">
        <w:rPr>
          <w:lang w:eastAsia="en-AU"/>
        </w:rPr>
        <w:t xml:space="preserve"> as </w:t>
      </w:r>
      <w:r w:rsidR="00953A46">
        <w:rPr>
          <w:lang w:eastAsia="en-AU"/>
        </w:rPr>
        <w:t>describe</w:t>
      </w:r>
      <w:r w:rsidR="00625A04">
        <w:rPr>
          <w:lang w:eastAsia="en-AU"/>
        </w:rPr>
        <w:t>d by</w:t>
      </w:r>
      <w:r w:rsidR="00B07FD3">
        <w:rPr>
          <w:lang w:eastAsia="en-AU"/>
        </w:rPr>
        <w:t xml:space="preserve"> Josh et al. (2012), Pini and Bens</w:t>
      </w:r>
      <w:r w:rsidR="00410BD2">
        <w:rPr>
          <w:lang w:eastAsia="en-AU"/>
        </w:rPr>
        <w:t>on (2013) and Donaldson and Alam</w:t>
      </w:r>
      <w:r w:rsidR="00B07FD3">
        <w:rPr>
          <w:lang w:eastAsia="en-AU"/>
        </w:rPr>
        <w:t xml:space="preserve"> (2013).</w:t>
      </w:r>
    </w:p>
    <w:p w14:paraId="662B1418" w14:textId="77777777" w:rsidR="00886CB9" w:rsidRDefault="006A28CD" w:rsidP="00886CB9">
      <w:pPr>
        <w:pStyle w:val="Heading1"/>
      </w:pPr>
      <w:bookmarkStart w:id="478" w:name="_Toc442351514"/>
      <w:r>
        <w:t>Case Studies and C</w:t>
      </w:r>
      <w:r w:rsidR="00C51988">
        <w:t>onceptual Flow Models in Faulted Rock</w:t>
      </w:r>
      <w:bookmarkEnd w:id="478"/>
    </w:p>
    <w:p w14:paraId="2C16E04F" w14:textId="77777777" w:rsidR="008C06EE" w:rsidRPr="008C06EE" w:rsidRDefault="008C06EE" w:rsidP="008C06EE"/>
    <w:p w14:paraId="1DAEBBF4" w14:textId="0CF405DC" w:rsidR="007D1AB3" w:rsidRDefault="007D1AB3" w:rsidP="00936315">
      <w:pPr>
        <w:autoSpaceDE w:val="0"/>
        <w:autoSpaceDN w:val="0"/>
        <w:adjustRightInd w:val="0"/>
        <w:spacing w:line="240" w:lineRule="auto"/>
        <w:rPr>
          <w:rFonts w:cs="Times New Roman"/>
        </w:rPr>
      </w:pPr>
      <w:r>
        <w:rPr>
          <w:rFonts w:cs="Times New Roman"/>
        </w:rPr>
        <w:t>It is extremely rare to have sub-surface hydrodynamic data (formation pressure, temperature, or fluid chemistry) from within a fault zone</w:t>
      </w:r>
      <w:r w:rsidR="00ED7B6E">
        <w:rPr>
          <w:rFonts w:cs="Times New Roman"/>
        </w:rPr>
        <w:t xml:space="preserve"> </w:t>
      </w:r>
      <w:r w:rsidR="00ED7B6E">
        <w:t>(a notable exception is Seebeck et al. (2014))</w:t>
      </w:r>
      <w:r>
        <w:rPr>
          <w:rFonts w:cs="Times New Roman"/>
        </w:rPr>
        <w:t>.  As such, i</w:t>
      </w:r>
      <w:r w:rsidR="005C5B2D">
        <w:rPr>
          <w:rFonts w:cs="Times New Roman"/>
        </w:rPr>
        <w:t>n order to use our theoretical knowledge</w:t>
      </w:r>
      <w:r>
        <w:rPr>
          <w:rFonts w:cs="Times New Roman"/>
        </w:rPr>
        <w:t xml:space="preserve"> of fluid behaviour within</w:t>
      </w:r>
      <w:r w:rsidR="005C5B2D">
        <w:rPr>
          <w:rFonts w:cs="Times New Roman"/>
        </w:rPr>
        <w:t xml:space="preserve"> various fault zone architectures under certain conditions of stress, we need to derive conceptual hydrodynamic models grounded in hydrodynamic data th</w:t>
      </w:r>
      <w:r w:rsidR="00133D2F">
        <w:rPr>
          <w:rFonts w:cs="Times New Roman"/>
        </w:rPr>
        <w:t>at</w:t>
      </w:r>
      <w:r w:rsidR="005C5B2D">
        <w:rPr>
          <w:rFonts w:cs="Times New Roman"/>
        </w:rPr>
        <w:t xml:space="preserve"> </w:t>
      </w:r>
      <w:r w:rsidR="00625A04">
        <w:rPr>
          <w:rFonts w:cs="Times New Roman"/>
        </w:rPr>
        <w:t xml:space="preserve">are </w:t>
      </w:r>
      <w:r w:rsidR="005C5B2D">
        <w:rPr>
          <w:rFonts w:cs="Times New Roman"/>
        </w:rPr>
        <w:t>located in the vicinity of faults.  With a characterisation of the fault zone physical characteristics and an appropriate conceptual hydrodynamic model, we can then have a process to constrain a realistic interpretation of the fault zone hydraulic characteristics to be upscaled into a regional groundwater model.  In this section we use case study examples to illustrate how a well-informed conceptual hydrodynamic model of faulted strata can be developed.</w:t>
      </w:r>
      <w:r w:rsidR="00133D2F">
        <w:rPr>
          <w:rFonts w:cs="Times New Roman"/>
        </w:rPr>
        <w:t xml:space="preserve"> </w:t>
      </w:r>
      <w:r w:rsidR="00625A04">
        <w:rPr>
          <w:rFonts w:cs="Times New Roman"/>
        </w:rPr>
        <w:t>W</w:t>
      </w:r>
      <w:r w:rsidR="00133D2F">
        <w:rPr>
          <w:rFonts w:cs="Times New Roman"/>
        </w:rPr>
        <w:t>e draw on the public domain literature for examples of how others have approached this problem and ma</w:t>
      </w:r>
      <w:r w:rsidR="0061563B">
        <w:rPr>
          <w:rFonts w:cs="Times New Roman"/>
        </w:rPr>
        <w:t>ny of these involve conventional hydrocarbon pools as part of the characterisation.  As stated earlier, often the motivation for these studies is to better understand the seal performance of retaining hydrocarbons in conventional faulted reservoirs, however to do this all methods ultimately rely on a characterisation of the fault rock property prediction.  For this reason, it is appropriate to use the same approaches and techniques and apply them in the context of unconventional reservoirs to understand the role of faults in unconventional gas development and how faults may influence cumulative effects of adjacent aquifers.  Armed with methodology for characterising fault zone rock properties we then have the basis of up-scaling representative fault zone hydraulic characteristics to parameterise regional groundwater models.</w:t>
      </w:r>
    </w:p>
    <w:p w14:paraId="536D544F" w14:textId="77777777" w:rsidR="007D1AB3" w:rsidRDefault="007D1AB3" w:rsidP="00936315">
      <w:pPr>
        <w:autoSpaceDE w:val="0"/>
        <w:autoSpaceDN w:val="0"/>
        <w:adjustRightInd w:val="0"/>
        <w:spacing w:after="0" w:line="240" w:lineRule="auto"/>
        <w:rPr>
          <w:rFonts w:cs="Times New Roman"/>
        </w:rPr>
      </w:pPr>
    </w:p>
    <w:p w14:paraId="24483E48" w14:textId="7C9564D0" w:rsidR="008A7B31" w:rsidRDefault="00886CB9" w:rsidP="00936315">
      <w:pPr>
        <w:autoSpaceDE w:val="0"/>
        <w:autoSpaceDN w:val="0"/>
        <w:adjustRightInd w:val="0"/>
        <w:spacing w:line="240" w:lineRule="auto"/>
        <w:rPr>
          <w:rFonts w:cs="Times New Roman"/>
        </w:rPr>
      </w:pPr>
      <w:r w:rsidRPr="006164F4">
        <w:rPr>
          <w:rFonts w:cs="Times New Roman"/>
        </w:rPr>
        <w:t>Standard hydrodynamic approaches to character</w:t>
      </w:r>
      <w:r w:rsidR="005A60D3" w:rsidRPr="006164F4">
        <w:rPr>
          <w:rFonts w:cs="Times New Roman"/>
        </w:rPr>
        <w:t xml:space="preserve">izing flow systems in </w:t>
      </w:r>
      <w:r w:rsidR="005A60D3" w:rsidRPr="00363E1F">
        <w:rPr>
          <w:rFonts w:cs="Times New Roman"/>
        </w:rPr>
        <w:t>unfaulted</w:t>
      </w:r>
      <w:r w:rsidR="00363E1F" w:rsidRPr="00363E1F">
        <w:rPr>
          <w:rFonts w:cs="Times New Roman"/>
        </w:rPr>
        <w:t xml:space="preserve"> confined</w:t>
      </w:r>
      <w:r w:rsidR="005A60D3" w:rsidRPr="006164F4">
        <w:rPr>
          <w:rFonts w:cs="Times New Roman"/>
        </w:rPr>
        <w:t xml:space="preserve"> </w:t>
      </w:r>
      <w:r w:rsidRPr="006164F4">
        <w:rPr>
          <w:rFonts w:cs="Times New Roman"/>
        </w:rPr>
        <w:t>aquifers include the analysis of pressure data, both in vertical profile (e.g. pressure</w:t>
      </w:r>
      <w:r w:rsidR="005A60D3" w:rsidRPr="006164F4">
        <w:rPr>
          <w:rFonts w:cs="Times New Roman"/>
        </w:rPr>
        <w:t xml:space="preserve">-elevation </w:t>
      </w:r>
      <w:r w:rsidRPr="006164F4">
        <w:rPr>
          <w:rFonts w:cs="Times New Roman"/>
        </w:rPr>
        <w:t>plot), and within the plane of the aquifer afte</w:t>
      </w:r>
      <w:r w:rsidR="005A60D3" w:rsidRPr="006164F4">
        <w:rPr>
          <w:rFonts w:cs="Times New Roman"/>
        </w:rPr>
        <w:t>r conversion to hydraulic head.</w:t>
      </w:r>
      <w:r w:rsidR="00CA164D">
        <w:rPr>
          <w:rFonts w:cs="Times New Roman"/>
        </w:rPr>
        <w:t xml:space="preserve">  Monitoring bore data can also be used if water level data is corrected for density effects.  All data of course need to pass through a quality assurance process.</w:t>
      </w:r>
      <w:r w:rsidR="005A60D3" w:rsidRPr="006164F4">
        <w:rPr>
          <w:rFonts w:cs="Times New Roman"/>
        </w:rPr>
        <w:t xml:space="preserve"> </w:t>
      </w:r>
      <w:r w:rsidRPr="006164F4">
        <w:rPr>
          <w:rFonts w:cs="Times New Roman"/>
        </w:rPr>
        <w:t>Pressure data are supplemented with formati</w:t>
      </w:r>
      <w:r w:rsidR="005A60D3" w:rsidRPr="006164F4">
        <w:rPr>
          <w:rFonts w:cs="Times New Roman"/>
        </w:rPr>
        <w:t xml:space="preserve">on water analysis and formation </w:t>
      </w:r>
      <w:r w:rsidRPr="006164F4">
        <w:rPr>
          <w:rFonts w:cs="Times New Roman"/>
        </w:rPr>
        <w:t>temperature data to aid in the evaluation of the</w:t>
      </w:r>
      <w:r w:rsidR="005A60D3" w:rsidRPr="006164F4">
        <w:rPr>
          <w:rFonts w:cs="Times New Roman"/>
        </w:rPr>
        <w:t xml:space="preserve"> flow system. Bachu and Michael </w:t>
      </w:r>
      <w:r w:rsidRPr="006164F4">
        <w:rPr>
          <w:rFonts w:cs="Times New Roman"/>
        </w:rPr>
        <w:t>(2002), Otto et al. (2001), Bachu (1995), and Dahlb</w:t>
      </w:r>
      <w:r w:rsidR="00BA7B5D">
        <w:rPr>
          <w:rFonts w:cs="Times New Roman"/>
        </w:rPr>
        <w:t>e</w:t>
      </w:r>
      <w:r w:rsidRPr="006164F4">
        <w:rPr>
          <w:rFonts w:cs="Times New Roman"/>
        </w:rPr>
        <w:t>r</w:t>
      </w:r>
      <w:r w:rsidR="005A60D3" w:rsidRPr="006164F4">
        <w:rPr>
          <w:rFonts w:cs="Times New Roman"/>
        </w:rPr>
        <w:t xml:space="preserve">g (1995) provide an overview of </w:t>
      </w:r>
      <w:r w:rsidRPr="006164F4">
        <w:rPr>
          <w:rFonts w:cs="Times New Roman"/>
        </w:rPr>
        <w:t>hydrodynamic analysis techniques. Evaluation techniqu</w:t>
      </w:r>
      <w:r w:rsidR="005A60D3" w:rsidRPr="006164F4">
        <w:rPr>
          <w:rFonts w:cs="Times New Roman"/>
        </w:rPr>
        <w:t xml:space="preserve">es for the culling and analysis </w:t>
      </w:r>
      <w:r w:rsidRPr="006164F4">
        <w:rPr>
          <w:rFonts w:cs="Times New Roman"/>
        </w:rPr>
        <w:t>of formation water samples are described by Undersch</w:t>
      </w:r>
      <w:r w:rsidR="005A60D3" w:rsidRPr="006164F4">
        <w:rPr>
          <w:rFonts w:cs="Times New Roman"/>
        </w:rPr>
        <w:t xml:space="preserve">ultz et al. (2002), and Hitchon </w:t>
      </w:r>
      <w:r w:rsidRPr="006164F4">
        <w:rPr>
          <w:rFonts w:cs="Times New Roman"/>
        </w:rPr>
        <w:t>and Brulotte (1994). Techniques for the evaluati</w:t>
      </w:r>
      <w:r w:rsidR="005A60D3" w:rsidRPr="006164F4">
        <w:rPr>
          <w:rFonts w:cs="Times New Roman"/>
        </w:rPr>
        <w:t xml:space="preserve">on of formation temperature are </w:t>
      </w:r>
      <w:r w:rsidRPr="006164F4">
        <w:rPr>
          <w:rFonts w:cs="Times New Roman"/>
        </w:rPr>
        <w:t>described by Bachu et al. (1995)</w:t>
      </w:r>
      <w:r w:rsidR="005A60D3" w:rsidRPr="006164F4">
        <w:rPr>
          <w:rFonts w:cs="Times New Roman"/>
        </w:rPr>
        <w:t xml:space="preserve">, and Bachu and Burwash (1991). </w:t>
      </w:r>
    </w:p>
    <w:p w14:paraId="028A12FF" w14:textId="77777777" w:rsidR="008A7B31" w:rsidRDefault="008A7B31" w:rsidP="00936315">
      <w:pPr>
        <w:autoSpaceDE w:val="0"/>
        <w:autoSpaceDN w:val="0"/>
        <w:adjustRightInd w:val="0"/>
        <w:spacing w:after="0" w:line="240" w:lineRule="auto"/>
        <w:rPr>
          <w:rFonts w:cs="Times New Roman"/>
        </w:rPr>
      </w:pPr>
    </w:p>
    <w:p w14:paraId="06077504" w14:textId="0A4984A4" w:rsidR="00886CB9" w:rsidRPr="008A7B31" w:rsidRDefault="008A7B31" w:rsidP="00936315">
      <w:pPr>
        <w:autoSpaceDE w:val="0"/>
        <w:autoSpaceDN w:val="0"/>
        <w:adjustRightInd w:val="0"/>
        <w:spacing w:line="240" w:lineRule="auto"/>
      </w:pPr>
      <w:r>
        <w:t xml:space="preserve">The characterization of formation pressure in faulted aquifers requires careful analysis. </w:t>
      </w:r>
      <w:r w:rsidR="00ED7B6E">
        <w:t>I</w:t>
      </w:r>
      <w:r>
        <w:t xml:space="preserve">nferences about the fault zone hydraulic characteristics </w:t>
      </w:r>
      <w:r w:rsidRPr="00BA7B5D">
        <w:rPr>
          <w:rFonts w:cs="Times New Roman"/>
        </w:rPr>
        <w:t>need</w:t>
      </w:r>
      <w:r>
        <w:t xml:space="preserve"> to be made by evaluating formation pressure data from reservoir</w:t>
      </w:r>
      <w:r w:rsidR="00CA164D">
        <w:t xml:space="preserve"> or aquifer</w:t>
      </w:r>
      <w:r>
        <w:t xml:space="preserve"> quality rock adjacent to the fault. Yassir and Otto (1997) and Underschultz et al. (2005) describe some theoretical patterns of H</w:t>
      </w:r>
      <w:r w:rsidRPr="00B821A9">
        <w:rPr>
          <w:vertAlign w:val="subscript"/>
        </w:rPr>
        <w:t>w</w:t>
      </w:r>
      <w:r>
        <w:t xml:space="preserve"> in faulted aquifers for various flow conditions, and pressure gradients on pressure elevation plots for faults with various hydraulic properties. </w:t>
      </w:r>
      <w:r w:rsidR="005A60D3" w:rsidRPr="006164F4">
        <w:rPr>
          <w:rFonts w:cs="Times New Roman"/>
        </w:rPr>
        <w:t xml:space="preserve">For faulted </w:t>
      </w:r>
      <w:r w:rsidR="00886CB9" w:rsidRPr="006164F4">
        <w:rPr>
          <w:rFonts w:cs="Times New Roman"/>
        </w:rPr>
        <w:t>aquifers, the hydraulic head distribution is first chara</w:t>
      </w:r>
      <w:r w:rsidR="005A60D3" w:rsidRPr="006164F4">
        <w:rPr>
          <w:rFonts w:cs="Times New Roman"/>
        </w:rPr>
        <w:t xml:space="preserve">cterised in unfaulted blocks of </w:t>
      </w:r>
      <w:r w:rsidR="00886CB9" w:rsidRPr="006164F4">
        <w:rPr>
          <w:rFonts w:cs="Times New Roman"/>
        </w:rPr>
        <w:t>the aquifer. Then the hydraulic head distributions i</w:t>
      </w:r>
      <w:r w:rsidR="005A60D3" w:rsidRPr="006164F4">
        <w:rPr>
          <w:rFonts w:cs="Times New Roman"/>
        </w:rPr>
        <w:t xml:space="preserve">n adjacent blocks </w:t>
      </w:r>
      <w:r w:rsidR="005A60D3" w:rsidRPr="006164F4">
        <w:rPr>
          <w:rFonts w:cs="Times New Roman"/>
        </w:rPr>
        <w:lastRenderedPageBreak/>
        <w:t xml:space="preserve">are compared, </w:t>
      </w:r>
      <w:r w:rsidR="00886CB9" w:rsidRPr="006164F4">
        <w:rPr>
          <w:rFonts w:cs="Times New Roman"/>
        </w:rPr>
        <w:t>and built as a patchwork into a flow model that is represent</w:t>
      </w:r>
      <w:r w:rsidR="005A60D3" w:rsidRPr="006164F4">
        <w:rPr>
          <w:rFonts w:cs="Times New Roman"/>
        </w:rPr>
        <w:t xml:space="preserve">ative of the faulted strata </w:t>
      </w:r>
      <w:r w:rsidR="00886CB9" w:rsidRPr="006164F4">
        <w:rPr>
          <w:rFonts w:cs="Times New Roman"/>
        </w:rPr>
        <w:t>as a whole (Underschultz et al. 2005, and Underschultz et al. 2003).</w:t>
      </w:r>
      <w:r w:rsidR="005436E8">
        <w:rPr>
          <w:rFonts w:cs="Times New Roman"/>
        </w:rPr>
        <w:t xml:space="preserve">  At this stage the patterns in both hydraulic head and formation water chemistry or formation temperature can be assessed relative to the theoretical distributions one would expect given certain fault sealing or conduit characteristics. </w:t>
      </w:r>
    </w:p>
    <w:p w14:paraId="6720CCA8" w14:textId="77777777" w:rsidR="00886CB9" w:rsidRPr="006164F4" w:rsidRDefault="00886CB9" w:rsidP="00936315">
      <w:pPr>
        <w:autoSpaceDE w:val="0"/>
        <w:autoSpaceDN w:val="0"/>
        <w:adjustRightInd w:val="0"/>
        <w:spacing w:after="0" w:line="240" w:lineRule="auto"/>
        <w:rPr>
          <w:rFonts w:cs="Times New Roman"/>
        </w:rPr>
      </w:pPr>
    </w:p>
    <w:p w14:paraId="70582E53" w14:textId="5932F79F" w:rsidR="005436E8" w:rsidRPr="005436E8" w:rsidRDefault="008B6D70" w:rsidP="00936315">
      <w:pPr>
        <w:autoSpaceDE w:val="0"/>
        <w:autoSpaceDN w:val="0"/>
        <w:adjustRightInd w:val="0"/>
        <w:spacing w:line="240" w:lineRule="auto"/>
        <w:rPr>
          <w:rFonts w:cs="AdvP264F"/>
        </w:rPr>
      </w:pPr>
      <w:r>
        <w:rPr>
          <w:rFonts w:cs="AdvP264F"/>
        </w:rPr>
        <w:t>Underschultz et al. (2005) describe that i</w:t>
      </w:r>
      <w:r w:rsidR="005436E8" w:rsidRPr="005436E8">
        <w:rPr>
          <w:rFonts w:cs="AdvP264F"/>
        </w:rPr>
        <w:t xml:space="preserve">f a fault is acting as a conduit, with higher permeability along the fault than the aquifer it crosscuts, and if the fault zone permeability pathway is vertically continuous to either a separate aquifer or the land surface (or seabed), then the aquifer will </w:t>
      </w:r>
      <w:r w:rsidR="00CA164D">
        <w:rPr>
          <w:rFonts w:cs="AdvP264F"/>
        </w:rPr>
        <w:t>“</w:t>
      </w:r>
      <w:r w:rsidR="005436E8" w:rsidRPr="005436E8">
        <w:rPr>
          <w:rFonts w:cs="AdvP264F"/>
        </w:rPr>
        <w:t>see</w:t>
      </w:r>
      <w:r w:rsidR="00CA164D">
        <w:rPr>
          <w:rFonts w:cs="AdvP264F"/>
        </w:rPr>
        <w:t>”</w:t>
      </w:r>
      <w:r w:rsidR="005436E8" w:rsidRPr="005436E8">
        <w:rPr>
          <w:rFonts w:cs="AdvP264F"/>
        </w:rPr>
        <w:t xml:space="preserve"> the fault as either a source or a sink for fluids. The hydraulic head distribution in the aquifer will form either a closed high or low against the fault surface, indicating that formation water is either emanating from the fault zone into the aquifer </w:t>
      </w:r>
      <w:r w:rsidR="00BA7B5D">
        <w:rPr>
          <w:rFonts w:cs="AdvP264F"/>
        </w:rPr>
        <w:t xml:space="preserve">(fault = source) </w:t>
      </w:r>
      <w:r w:rsidR="005436E8" w:rsidRPr="005436E8">
        <w:rPr>
          <w:rFonts w:cs="AdvP264F"/>
        </w:rPr>
        <w:t>or flowing from the aquifer into the fault zone</w:t>
      </w:r>
      <w:r w:rsidR="00BA7B5D">
        <w:rPr>
          <w:rFonts w:cs="AdvP264F"/>
        </w:rPr>
        <w:t xml:space="preserve"> (fault = sink)</w:t>
      </w:r>
      <w:r w:rsidR="005436E8" w:rsidRPr="005436E8">
        <w:rPr>
          <w:rFonts w:cs="AdvP264F"/>
        </w:rPr>
        <w:t>, respectively (</w:t>
      </w:r>
      <w:r w:rsidR="00B35CE3">
        <w:rPr>
          <w:rFonts w:cs="AdvP264F"/>
        </w:rPr>
        <w:fldChar w:fldCharType="begin"/>
      </w:r>
      <w:r w:rsidR="00B35CE3">
        <w:rPr>
          <w:rFonts w:cs="AdvP264F"/>
        </w:rPr>
        <w:instrText xml:space="preserve"> REF _Ref432604884 \h </w:instrText>
      </w:r>
      <w:r w:rsidR="00B35CE3">
        <w:rPr>
          <w:rFonts w:cs="AdvP264F"/>
        </w:rPr>
      </w:r>
      <w:r w:rsidR="00B35CE3">
        <w:rPr>
          <w:rFonts w:cs="AdvP264F"/>
        </w:rPr>
        <w:fldChar w:fldCharType="separate"/>
      </w:r>
      <w:r w:rsidR="00ED1412">
        <w:t xml:space="preserve">Figure </w:t>
      </w:r>
      <w:r w:rsidR="00ED1412">
        <w:rPr>
          <w:noProof/>
        </w:rPr>
        <w:t>15</w:t>
      </w:r>
      <w:r w:rsidR="00B35CE3">
        <w:rPr>
          <w:rFonts w:cs="AdvP264F"/>
        </w:rPr>
        <w:fldChar w:fldCharType="end"/>
      </w:r>
      <w:r w:rsidR="005436E8" w:rsidRPr="005436E8">
        <w:rPr>
          <w:rFonts w:cs="AdvP264F"/>
        </w:rPr>
        <w:t>a). This analysis can be supplemented by evidence such as thermal springs at the land surface</w:t>
      </w:r>
      <w:r w:rsidR="00B21953">
        <w:rPr>
          <w:rFonts w:cs="AdvP264F"/>
        </w:rPr>
        <w:t xml:space="preserve"> </w:t>
      </w:r>
      <w:r w:rsidR="00CA164D">
        <w:rPr>
          <w:rFonts w:cs="AdvP264F"/>
        </w:rPr>
        <w:t>or pock marks</w:t>
      </w:r>
      <w:r w:rsidR="00B21953">
        <w:rPr>
          <w:rFonts w:cs="AdvP264F"/>
        </w:rPr>
        <w:t xml:space="preserve"> and seeps</w:t>
      </w:r>
      <w:r w:rsidR="00CA164D">
        <w:rPr>
          <w:rFonts w:cs="AdvP264F"/>
        </w:rPr>
        <w:t xml:space="preserve"> on the sea floor</w:t>
      </w:r>
      <w:r w:rsidR="00B21953">
        <w:rPr>
          <w:rFonts w:cs="AdvP264F"/>
        </w:rPr>
        <w:t xml:space="preserve"> (Talukder et al. 2013</w:t>
      </w:r>
      <w:r w:rsidR="00CA164D">
        <w:rPr>
          <w:rFonts w:cs="AdvP264F"/>
        </w:rPr>
        <w:t>)</w:t>
      </w:r>
      <w:r w:rsidR="00B21953">
        <w:rPr>
          <w:rFonts w:cs="AdvP264F"/>
        </w:rPr>
        <w:t>,</w:t>
      </w:r>
      <w:r w:rsidR="005436E8" w:rsidRPr="005436E8">
        <w:rPr>
          <w:rFonts w:cs="AdvP264F"/>
        </w:rPr>
        <w:t xml:space="preserve"> or thermal and chemical anomalies of the formation water in the aquifer adjacent to the fault. If, for example, a fault zone is acting as a conduit recharging an aquifer at depth, it is expected that the formation water in the aquifer would be relatively fresh and have a meteoric ionic signature, such as elevated HCO</w:t>
      </w:r>
      <w:r w:rsidR="005436E8" w:rsidRPr="008B6D70">
        <w:rPr>
          <w:rFonts w:cs="AdvP264F"/>
          <w:vertAlign w:val="subscript"/>
        </w:rPr>
        <w:t>3</w:t>
      </w:r>
      <w:r w:rsidR="005436E8" w:rsidRPr="005436E8">
        <w:rPr>
          <w:rFonts w:cs="AdvP264F"/>
        </w:rPr>
        <w:t xml:space="preserve"> and/or SO</w:t>
      </w:r>
      <w:r w:rsidR="005436E8" w:rsidRPr="008B6D70">
        <w:rPr>
          <w:rFonts w:cs="AdvP264F"/>
          <w:vertAlign w:val="subscript"/>
        </w:rPr>
        <w:t>4</w:t>
      </w:r>
      <w:r w:rsidR="005436E8" w:rsidRPr="005436E8">
        <w:rPr>
          <w:rFonts w:cs="AdvP264F"/>
        </w:rPr>
        <w:t>. The likelihood of an aquifer being in hydraulic communication with the land surface can be deduced by comparing the hydraulic head in the aquifer with the elevation of the water table (commonly similar to the topographic elevation</w:t>
      </w:r>
      <w:r w:rsidR="00A61B72">
        <w:rPr>
          <w:rFonts w:cs="AdvP264F"/>
        </w:rPr>
        <w:t xml:space="preserve"> in many parts of the world but in arid regions such as parts of Australia this may not be true</w:t>
      </w:r>
      <w:r w:rsidR="005436E8" w:rsidRPr="005436E8">
        <w:rPr>
          <w:rFonts w:cs="AdvP264F"/>
        </w:rPr>
        <w:t xml:space="preserve">). If the hydraulic head in the aquifer is similar to </w:t>
      </w:r>
      <w:r w:rsidR="00A61B72">
        <w:rPr>
          <w:rFonts w:cs="AdvP264F"/>
        </w:rPr>
        <w:t>the water table elevation</w:t>
      </w:r>
      <w:r w:rsidR="005436E8" w:rsidRPr="005436E8">
        <w:rPr>
          <w:rFonts w:cs="AdvP264F"/>
        </w:rPr>
        <w:t>, it is possible that the water table elevation is in hydraulic communication with the aquifer.</w:t>
      </w:r>
    </w:p>
    <w:p w14:paraId="01F606E4" w14:textId="77777777" w:rsidR="005436E8" w:rsidRPr="005436E8" w:rsidRDefault="005436E8" w:rsidP="00936315">
      <w:pPr>
        <w:autoSpaceDE w:val="0"/>
        <w:autoSpaceDN w:val="0"/>
        <w:adjustRightInd w:val="0"/>
        <w:spacing w:after="0" w:line="240" w:lineRule="auto"/>
        <w:rPr>
          <w:rFonts w:cs="AdvP264F"/>
        </w:rPr>
      </w:pPr>
    </w:p>
    <w:p w14:paraId="5672F91F" w14:textId="6B013499" w:rsidR="005436E8" w:rsidRDefault="005436E8" w:rsidP="00936315">
      <w:pPr>
        <w:autoSpaceDE w:val="0"/>
        <w:autoSpaceDN w:val="0"/>
        <w:adjustRightInd w:val="0"/>
        <w:spacing w:line="240" w:lineRule="auto"/>
        <w:rPr>
          <w:rFonts w:cs="AdvP264F"/>
        </w:rPr>
      </w:pPr>
      <w:r w:rsidRPr="005436E8">
        <w:rPr>
          <w:rFonts w:cs="AdvP264F"/>
        </w:rPr>
        <w:t>At any one location, the vertical hydraulic communication can be examined by pressure-elevation plot analysis. If two vertically separated aquifers are in hydraulic communication via a fault zone conduit, the pressure data from the two aquifers near the fault should define a near-common hydrostatic gradient on a pressure-elevation plot</w:t>
      </w:r>
      <w:r w:rsidR="008B6D70">
        <w:rPr>
          <w:rFonts w:cs="AdvP264F"/>
        </w:rPr>
        <w:t xml:space="preserve"> (</w:t>
      </w:r>
      <w:r w:rsidR="00B35CE3">
        <w:rPr>
          <w:rFonts w:cs="AdvP264F"/>
        </w:rPr>
        <w:fldChar w:fldCharType="begin"/>
      </w:r>
      <w:r w:rsidR="00B35CE3">
        <w:rPr>
          <w:rFonts w:cs="AdvP264F"/>
        </w:rPr>
        <w:instrText xml:space="preserve"> REF _Ref432604884 \h </w:instrText>
      </w:r>
      <w:r w:rsidR="00B35CE3">
        <w:rPr>
          <w:rFonts w:cs="AdvP264F"/>
        </w:rPr>
      </w:r>
      <w:r w:rsidR="00B35CE3">
        <w:rPr>
          <w:rFonts w:cs="AdvP264F"/>
        </w:rPr>
        <w:fldChar w:fldCharType="separate"/>
      </w:r>
      <w:r w:rsidR="00ED1412">
        <w:t xml:space="preserve">Figure </w:t>
      </w:r>
      <w:r w:rsidR="00ED1412">
        <w:rPr>
          <w:noProof/>
        </w:rPr>
        <w:t>15</w:t>
      </w:r>
      <w:r w:rsidR="00B35CE3">
        <w:rPr>
          <w:rFonts w:cs="AdvP264F"/>
        </w:rPr>
        <w:fldChar w:fldCharType="end"/>
      </w:r>
      <w:r w:rsidRPr="005436E8">
        <w:rPr>
          <w:rFonts w:cs="AdvP264F"/>
        </w:rPr>
        <w:t>b). In this schematic example, the hydraulic head in the deeper aquifer is slightly higher than the shallower aquifer, which allows for the flow up the fault zone. For this reason, the</w:t>
      </w:r>
      <w:r w:rsidR="00ED7B6E">
        <w:rPr>
          <w:rFonts w:cs="AdvP264F"/>
        </w:rPr>
        <w:t xml:space="preserve"> Wire Line Test </w:t>
      </w:r>
      <w:r w:rsidRPr="005436E8">
        <w:rPr>
          <w:rFonts w:cs="AdvP264F"/>
        </w:rPr>
        <w:t xml:space="preserve"> </w:t>
      </w:r>
      <w:r w:rsidR="00ED7B6E">
        <w:rPr>
          <w:rFonts w:cs="AdvP264F"/>
        </w:rPr>
        <w:t>(</w:t>
      </w:r>
      <w:r w:rsidRPr="005436E8">
        <w:rPr>
          <w:rFonts w:cs="AdvP264F"/>
        </w:rPr>
        <w:t>WLT</w:t>
      </w:r>
      <w:r w:rsidR="00ED7B6E">
        <w:rPr>
          <w:rFonts w:cs="AdvP264F"/>
        </w:rPr>
        <w:t>)</w:t>
      </w:r>
      <w:r w:rsidRPr="005436E8">
        <w:rPr>
          <w:rFonts w:cs="AdvP264F"/>
        </w:rPr>
        <w:t xml:space="preserve"> pressure data in aquifer 2 fall slightly above the pressure gradient defined by the data in aquifer 1 on the pressure-elevation plot (</w:t>
      </w:r>
      <w:r w:rsidR="00B35CE3">
        <w:rPr>
          <w:rFonts w:cs="AdvP264F"/>
        </w:rPr>
        <w:fldChar w:fldCharType="begin"/>
      </w:r>
      <w:r w:rsidR="00B35CE3">
        <w:rPr>
          <w:rFonts w:cs="AdvP264F"/>
        </w:rPr>
        <w:instrText xml:space="preserve"> REF _Ref432604884 \h </w:instrText>
      </w:r>
      <w:r w:rsidR="00B35CE3">
        <w:rPr>
          <w:rFonts w:cs="AdvP264F"/>
        </w:rPr>
      </w:r>
      <w:r w:rsidR="00B35CE3">
        <w:rPr>
          <w:rFonts w:cs="AdvP264F"/>
        </w:rPr>
        <w:fldChar w:fldCharType="separate"/>
      </w:r>
      <w:r w:rsidR="00ED1412">
        <w:t xml:space="preserve">Figure </w:t>
      </w:r>
      <w:r w:rsidR="00ED1412">
        <w:rPr>
          <w:noProof/>
        </w:rPr>
        <w:t>15</w:t>
      </w:r>
      <w:r w:rsidR="00B35CE3">
        <w:rPr>
          <w:rFonts w:cs="AdvP264F"/>
        </w:rPr>
        <w:fldChar w:fldCharType="end"/>
      </w:r>
      <w:r w:rsidRPr="005436E8">
        <w:rPr>
          <w:rFonts w:cs="AdvP264F"/>
        </w:rPr>
        <w:t>b).</w:t>
      </w:r>
      <w:r w:rsidR="00A61B72">
        <w:rPr>
          <w:rFonts w:cs="AdvP264F"/>
        </w:rPr>
        <w:t xml:space="preserve">  It should be note</w:t>
      </w:r>
      <w:r w:rsidR="00FE0F57">
        <w:rPr>
          <w:rFonts w:cs="AdvP264F"/>
        </w:rPr>
        <w:t>d</w:t>
      </w:r>
      <w:r w:rsidR="00A61B72">
        <w:rPr>
          <w:rFonts w:cs="AdvP264F"/>
        </w:rPr>
        <w:t xml:space="preserve"> that vertical continuity of a hydrostatic pressure gradient between two aquifers may</w:t>
      </w:r>
      <w:r w:rsidR="00B21953">
        <w:rPr>
          <w:rFonts w:cs="AdvP264F"/>
        </w:rPr>
        <w:t xml:space="preserve"> also</w:t>
      </w:r>
      <w:r w:rsidR="00A61B72">
        <w:rPr>
          <w:rFonts w:cs="AdvP264F"/>
        </w:rPr>
        <w:t xml:space="preserve"> simply be coincidental</w:t>
      </w:r>
      <w:r w:rsidR="00FE0F57">
        <w:rPr>
          <w:rFonts w:cs="AdvP264F"/>
        </w:rPr>
        <w:t>.  This observation on its own is not conclusive evidence of vertical hydraulic communication between the two zones. It also assumes that pressures being observed are pre-production.  Even if on geological time-scales there is hydraulic communication, a pressure transient induced by producing one aquifer  will take some time (dependent on the permeability and cross sectional area) to propagate up a fault to another aquifer level.</w:t>
      </w:r>
    </w:p>
    <w:p w14:paraId="45DF8702" w14:textId="77777777" w:rsidR="00560B6C" w:rsidRDefault="00560B6C" w:rsidP="00936315">
      <w:pPr>
        <w:autoSpaceDE w:val="0"/>
        <w:autoSpaceDN w:val="0"/>
        <w:adjustRightInd w:val="0"/>
        <w:spacing w:line="240" w:lineRule="auto"/>
        <w:rPr>
          <w:rFonts w:cs="AdvP264F"/>
        </w:rPr>
      </w:pPr>
    </w:p>
    <w:p w14:paraId="13CBFF1F" w14:textId="7BB3EC1E" w:rsidR="004357C6" w:rsidRDefault="00560B6C" w:rsidP="00936315">
      <w:pPr>
        <w:autoSpaceDE w:val="0"/>
        <w:autoSpaceDN w:val="0"/>
        <w:adjustRightInd w:val="0"/>
        <w:spacing w:line="240" w:lineRule="auto"/>
        <w:rPr>
          <w:rFonts w:cs="AdvP264F"/>
        </w:rPr>
      </w:pPr>
      <w:r>
        <w:rPr>
          <w:rFonts w:cs="AdvP264F"/>
        </w:rPr>
        <w:t xml:space="preserve">An actual example of this type of fault characteristic resulting in a closed hydraulic head high or low against a fault intersecting an aquifer can be seen in </w:t>
      </w:r>
      <w:r>
        <w:rPr>
          <w:rFonts w:cs="AdvP264F"/>
        </w:rPr>
        <w:fldChar w:fldCharType="begin"/>
      </w:r>
      <w:r>
        <w:rPr>
          <w:rFonts w:cs="AdvP264F"/>
        </w:rPr>
        <w:instrText xml:space="preserve"> REF _Ref432604926 \h </w:instrText>
      </w:r>
      <w:r>
        <w:rPr>
          <w:rFonts w:cs="AdvP264F"/>
        </w:rPr>
      </w:r>
      <w:r>
        <w:rPr>
          <w:rFonts w:cs="AdvP264F"/>
        </w:rPr>
        <w:fldChar w:fldCharType="separate"/>
      </w:r>
      <w:r w:rsidR="00ED1412">
        <w:t xml:space="preserve">Figure </w:t>
      </w:r>
      <w:r w:rsidR="00ED1412">
        <w:rPr>
          <w:noProof/>
        </w:rPr>
        <w:t>16</w:t>
      </w:r>
      <w:r>
        <w:rPr>
          <w:rFonts w:cs="AdvP264F"/>
        </w:rPr>
        <w:fldChar w:fldCharType="end"/>
      </w:r>
      <w:r>
        <w:rPr>
          <w:rFonts w:cs="AdvP264F"/>
        </w:rPr>
        <w:t xml:space="preserve">. In this case there is a discontinuity in hydraulic head across the </w:t>
      </w:r>
      <w:r w:rsidRPr="00BA7B5D">
        <w:t>Challis</w:t>
      </w:r>
      <w:r>
        <w:rPr>
          <w:rFonts w:cs="AdvP264F"/>
        </w:rPr>
        <w:t xml:space="preserve"> field bounding fault with lower values on the north side.  On the south side of the fault there is a closed hydraulic head high against the field bounding fault indicating the formation water is migrating up the fault and then out into the Challis aquifer migrating to the south underneath the hydrocarbon accumulation.</w:t>
      </w:r>
    </w:p>
    <w:p w14:paraId="1406FF1D" w14:textId="77777777" w:rsidR="004357C6" w:rsidRPr="005436E8" w:rsidRDefault="004357C6" w:rsidP="00E9349B">
      <w:pPr>
        <w:autoSpaceDE w:val="0"/>
        <w:autoSpaceDN w:val="0"/>
        <w:adjustRightInd w:val="0"/>
        <w:spacing w:after="0" w:line="240" w:lineRule="auto"/>
        <w:jc w:val="center"/>
        <w:rPr>
          <w:rFonts w:cs="AdvP264F"/>
        </w:rPr>
      </w:pPr>
      <w:r>
        <w:rPr>
          <w:noProof/>
          <w:lang w:eastAsia="en-AU"/>
        </w:rPr>
        <w:lastRenderedPageBreak/>
        <w:drawing>
          <wp:inline distT="0" distB="0" distL="0" distR="0" wp14:anchorId="3E76081A" wp14:editId="1EBA9473">
            <wp:extent cx="3698084" cy="3225800"/>
            <wp:effectExtent l="0" t="0" r="0" b="0"/>
            <wp:docPr id="8" name="Picture 8" descr="Schematic of fault hydrodynamics." title="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ad patterns faults.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49588" cy="3270726"/>
                    </a:xfrm>
                    <a:prstGeom prst="rect">
                      <a:avLst/>
                    </a:prstGeom>
                  </pic:spPr>
                </pic:pic>
              </a:graphicData>
            </a:graphic>
          </wp:inline>
        </w:drawing>
      </w:r>
    </w:p>
    <w:p w14:paraId="6B75AD83" w14:textId="77777777" w:rsidR="00C95347" w:rsidRPr="00C95347" w:rsidRDefault="00C95347" w:rsidP="00C95347"/>
    <w:p w14:paraId="1C8E5A5A" w14:textId="5E2A6265" w:rsidR="005436E8" w:rsidRDefault="00391D3A" w:rsidP="00391D3A">
      <w:pPr>
        <w:pStyle w:val="Caption"/>
        <w:rPr>
          <w:rFonts w:cs="AdvP264F"/>
        </w:rPr>
      </w:pPr>
      <w:bookmarkStart w:id="479" w:name="_Ref432604884"/>
      <w:bookmarkStart w:id="480" w:name="_Toc442353796"/>
      <w:r>
        <w:t xml:space="preserve">Figure </w:t>
      </w:r>
      <w:fldSimple w:instr=" SEQ Figure \* ARABIC ">
        <w:r w:rsidR="00ED1412">
          <w:rPr>
            <w:noProof/>
          </w:rPr>
          <w:t>15</w:t>
        </w:r>
      </w:fldSimple>
      <w:bookmarkEnd w:id="479"/>
      <w:r w:rsidR="001E0F17">
        <w:rPr>
          <w:rFonts w:cs="AdvP2660"/>
        </w:rPr>
        <w:t>.</w:t>
      </w:r>
      <w:r w:rsidR="005436E8" w:rsidRPr="005436E8">
        <w:rPr>
          <w:rFonts w:cs="AdvP2660"/>
        </w:rPr>
        <w:t xml:space="preserve"> </w:t>
      </w:r>
      <w:r w:rsidR="005436E8" w:rsidRPr="005436E8">
        <w:rPr>
          <w:rFonts w:cs="AdvP264F"/>
        </w:rPr>
        <w:t>Schematic fault hydrodynamics (modified from Otto et al., 2001). (a) Hydraulic head distributions in two stacked aquifers connected by a crosscutting conduit fault; (b) cross section of the conduit fault in (a) with upfault flow, and the corresponding pressure-elevation plot of WLT data from the two aquifers at the well location</w:t>
      </w:r>
      <w:r w:rsidR="001123E5">
        <w:rPr>
          <w:rFonts w:cs="AdvP264F"/>
        </w:rPr>
        <w:t xml:space="preserve"> </w:t>
      </w:r>
      <w:r w:rsidR="00BA7B5D">
        <w:rPr>
          <w:rFonts w:cs="AdvP264F"/>
        </w:rPr>
        <w:t>(</w:t>
      </w:r>
      <w:r w:rsidR="001123E5">
        <w:rPr>
          <w:rFonts w:cs="AdvP264F"/>
        </w:rPr>
        <w:t>Underschultz et al. 2005)</w:t>
      </w:r>
      <w:r w:rsidR="00A61B72">
        <w:rPr>
          <w:rFonts w:cs="AdvP264F"/>
        </w:rPr>
        <w:t>.</w:t>
      </w:r>
      <w:bookmarkEnd w:id="480"/>
    </w:p>
    <w:p w14:paraId="1C2CE792" w14:textId="77777777" w:rsidR="008B6D70" w:rsidRDefault="008B6D70" w:rsidP="005436E8">
      <w:pPr>
        <w:autoSpaceDE w:val="0"/>
        <w:autoSpaceDN w:val="0"/>
        <w:adjustRightInd w:val="0"/>
        <w:spacing w:after="0" w:line="240" w:lineRule="auto"/>
        <w:rPr>
          <w:rFonts w:cs="AdvP264F"/>
        </w:rPr>
      </w:pPr>
    </w:p>
    <w:p w14:paraId="08B55232" w14:textId="77777777" w:rsidR="008B6D70" w:rsidRDefault="008B6D70" w:rsidP="00E9349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n-AU"/>
        </w:rPr>
        <w:drawing>
          <wp:inline distT="0" distB="0" distL="0" distR="0" wp14:anchorId="1094AA4B" wp14:editId="5A913D4C">
            <wp:extent cx="5731510" cy="3710305"/>
            <wp:effectExtent l="0" t="0" r="2540" b="4445"/>
            <wp:docPr id="15" name="Picture 15" descr="Diagram of hydraulic head across the Challis Aquifer." title="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allis head.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31510" cy="3710305"/>
                    </a:xfrm>
                    <a:prstGeom prst="rect">
                      <a:avLst/>
                    </a:prstGeom>
                  </pic:spPr>
                </pic:pic>
              </a:graphicData>
            </a:graphic>
          </wp:inline>
        </w:drawing>
      </w:r>
    </w:p>
    <w:p w14:paraId="2F1EF14D" w14:textId="27EBD514" w:rsidR="008B6D70" w:rsidRPr="00A25435" w:rsidRDefault="00391D3A" w:rsidP="00391D3A">
      <w:pPr>
        <w:pStyle w:val="Caption"/>
        <w:rPr>
          <w:rFonts w:cs="Times New Roman"/>
        </w:rPr>
      </w:pPr>
      <w:bookmarkStart w:id="481" w:name="_Ref432604926"/>
      <w:bookmarkStart w:id="482" w:name="_Toc442353797"/>
      <w:r>
        <w:t xml:space="preserve">Figure </w:t>
      </w:r>
      <w:fldSimple w:instr=" SEQ Figure \* ARABIC ">
        <w:r w:rsidR="00ED1412">
          <w:rPr>
            <w:noProof/>
          </w:rPr>
          <w:t>16</w:t>
        </w:r>
      </w:fldSimple>
      <w:bookmarkEnd w:id="481"/>
      <w:r w:rsidR="001E0F17">
        <w:rPr>
          <w:rFonts w:cs="Times New Roman"/>
        </w:rPr>
        <w:t>.</w:t>
      </w:r>
      <w:r w:rsidR="008B6D70" w:rsidRPr="00A25435">
        <w:rPr>
          <w:rFonts w:cs="Times New Roman"/>
        </w:rPr>
        <w:t xml:space="preserve"> Hydraulic head in the Challis aquifer supporting the Challis hydrocarbon accumulation on Australia’s North West Shelf. </w:t>
      </w:r>
      <w:r w:rsidR="00672DAE">
        <w:rPr>
          <w:rFonts w:cs="Times New Roman"/>
        </w:rPr>
        <w:t>Blue contours are fresh water hydraulic head (m), orange arrows represent flow directions, pink dashed lines represent fault traces</w:t>
      </w:r>
      <w:r w:rsidR="00750F67">
        <w:rPr>
          <w:rFonts w:cs="Times New Roman"/>
        </w:rPr>
        <w:t>, the black line is the approximate edge of the oil pool with an oil water contact at ~-1417m elevation,</w:t>
      </w:r>
      <w:r w:rsidR="00672DAE">
        <w:rPr>
          <w:rFonts w:cs="Times New Roman"/>
        </w:rPr>
        <w:t xml:space="preserve"> green dots are oil wells and blue dots are wells with formation water recovery</w:t>
      </w:r>
      <w:r w:rsidR="00BA7B5D" w:rsidRPr="00BA7B5D">
        <w:rPr>
          <w:rFonts w:cs="Times New Roman"/>
        </w:rPr>
        <w:t xml:space="preserve"> </w:t>
      </w:r>
      <w:r w:rsidR="00BA7B5D" w:rsidRPr="00A25435">
        <w:rPr>
          <w:rFonts w:cs="Times New Roman"/>
        </w:rPr>
        <w:t>(Unpublished Underschultz et al. CSIRO IPETS consortia).</w:t>
      </w:r>
      <w:bookmarkEnd w:id="482"/>
    </w:p>
    <w:p w14:paraId="511BE619" w14:textId="77777777" w:rsidR="008B6D70" w:rsidRDefault="008B6D70" w:rsidP="005436E8">
      <w:pPr>
        <w:autoSpaceDE w:val="0"/>
        <w:autoSpaceDN w:val="0"/>
        <w:adjustRightInd w:val="0"/>
        <w:spacing w:after="0" w:line="240" w:lineRule="auto"/>
        <w:rPr>
          <w:rFonts w:cs="AdvP264F"/>
        </w:rPr>
      </w:pPr>
    </w:p>
    <w:p w14:paraId="23AAA2AB" w14:textId="1E9F07E6" w:rsidR="008B6D70" w:rsidRPr="0026198A" w:rsidRDefault="008B6D70" w:rsidP="008B6D70">
      <w:pPr>
        <w:autoSpaceDE w:val="0"/>
        <w:autoSpaceDN w:val="0"/>
        <w:adjustRightInd w:val="0"/>
        <w:spacing w:after="0" w:line="240" w:lineRule="auto"/>
        <w:rPr>
          <w:rFonts w:cs="AdvP264F"/>
        </w:rPr>
      </w:pPr>
      <w:r w:rsidRPr="0026198A">
        <w:rPr>
          <w:rFonts w:cs="AdvP264F"/>
        </w:rPr>
        <w:t xml:space="preserve">When a fault zone </w:t>
      </w:r>
      <w:r w:rsidR="0026198A" w:rsidRPr="0026198A">
        <w:rPr>
          <w:rFonts w:cs="AdvP264F"/>
        </w:rPr>
        <w:t xml:space="preserve">has lower permeability than the </w:t>
      </w:r>
      <w:r w:rsidRPr="0026198A">
        <w:rPr>
          <w:rFonts w:cs="AdvP264F"/>
        </w:rPr>
        <w:t>aquifer it crosscuts, th</w:t>
      </w:r>
      <w:r w:rsidR="0026198A" w:rsidRPr="0026198A">
        <w:rPr>
          <w:rFonts w:cs="AdvP264F"/>
        </w:rPr>
        <w:t xml:space="preserve">e flow direction in the aquifer </w:t>
      </w:r>
      <w:r w:rsidRPr="0026198A">
        <w:rPr>
          <w:rFonts w:cs="AdvP264F"/>
        </w:rPr>
        <w:t>adjacent to the fault will t</w:t>
      </w:r>
      <w:r w:rsidR="0026198A" w:rsidRPr="0026198A">
        <w:rPr>
          <w:rFonts w:cs="AdvP264F"/>
        </w:rPr>
        <w:t xml:space="preserve">end to be parallel to the plane </w:t>
      </w:r>
      <w:r w:rsidR="0026198A">
        <w:rPr>
          <w:rFonts w:cs="AdvP264F"/>
        </w:rPr>
        <w:t>of the fault (</w:t>
      </w:r>
      <w:r w:rsidR="00B35CE3">
        <w:rPr>
          <w:rFonts w:cs="AdvP264F"/>
        </w:rPr>
        <w:fldChar w:fldCharType="begin"/>
      </w:r>
      <w:r w:rsidR="00B35CE3">
        <w:rPr>
          <w:rFonts w:cs="AdvP264F"/>
        </w:rPr>
        <w:instrText xml:space="preserve"> REF _Ref432604937 \h </w:instrText>
      </w:r>
      <w:r w:rsidR="00B35CE3">
        <w:rPr>
          <w:rFonts w:cs="AdvP264F"/>
        </w:rPr>
      </w:r>
      <w:r w:rsidR="00B35CE3">
        <w:rPr>
          <w:rFonts w:cs="AdvP264F"/>
        </w:rPr>
        <w:fldChar w:fldCharType="separate"/>
      </w:r>
      <w:r w:rsidR="00ED1412">
        <w:t xml:space="preserve">Figure </w:t>
      </w:r>
      <w:r w:rsidR="00ED1412">
        <w:rPr>
          <w:noProof/>
        </w:rPr>
        <w:t>17</w:t>
      </w:r>
      <w:r w:rsidR="00B35CE3">
        <w:rPr>
          <w:rFonts w:cs="AdvP264F"/>
        </w:rPr>
        <w:fldChar w:fldCharType="end"/>
      </w:r>
      <w:r w:rsidRPr="0026198A">
        <w:rPr>
          <w:rFonts w:cs="AdvP264F"/>
        </w:rPr>
        <w:t>a). Thi</w:t>
      </w:r>
      <w:r w:rsidR="0026198A" w:rsidRPr="0026198A">
        <w:rPr>
          <w:rFonts w:cs="AdvP264F"/>
        </w:rPr>
        <w:t xml:space="preserve">s nature of the flow </w:t>
      </w:r>
      <w:r w:rsidR="00A237A9">
        <w:rPr>
          <w:rFonts w:cs="AdvP264F"/>
        </w:rPr>
        <w:t xml:space="preserve">often </w:t>
      </w:r>
      <w:r w:rsidR="0026198A" w:rsidRPr="0026198A">
        <w:rPr>
          <w:rFonts w:cs="AdvP264F"/>
        </w:rPr>
        <w:t xml:space="preserve">leads to a </w:t>
      </w:r>
      <w:r w:rsidRPr="0026198A">
        <w:rPr>
          <w:rFonts w:cs="AdvP264F"/>
        </w:rPr>
        <w:t>relatively abrupt contr</w:t>
      </w:r>
      <w:r w:rsidR="0026198A" w:rsidRPr="0026198A">
        <w:rPr>
          <w:rFonts w:cs="AdvP264F"/>
        </w:rPr>
        <w:t xml:space="preserve">ast in hydraulic head values in </w:t>
      </w:r>
      <w:r w:rsidRPr="0026198A">
        <w:rPr>
          <w:rFonts w:cs="AdvP264F"/>
        </w:rPr>
        <w:t>the aquifer directly acr</w:t>
      </w:r>
      <w:r w:rsidR="0026198A" w:rsidRPr="0026198A">
        <w:rPr>
          <w:rFonts w:cs="AdvP264F"/>
        </w:rPr>
        <w:t xml:space="preserve">oss the fault (a hydraulic head </w:t>
      </w:r>
      <w:r w:rsidRPr="0026198A">
        <w:rPr>
          <w:rFonts w:cs="AdvP264F"/>
        </w:rPr>
        <w:t>discontinuity). The mor</w:t>
      </w:r>
      <w:r w:rsidR="0026198A" w:rsidRPr="0026198A">
        <w:rPr>
          <w:rFonts w:cs="AdvP264F"/>
        </w:rPr>
        <w:t xml:space="preserve">e significant the fault is as a </w:t>
      </w:r>
      <w:r w:rsidRPr="0026198A">
        <w:rPr>
          <w:rFonts w:cs="AdvP264F"/>
        </w:rPr>
        <w:t xml:space="preserve">barrier, either because of </w:t>
      </w:r>
      <w:r w:rsidR="0026198A" w:rsidRPr="0026198A">
        <w:rPr>
          <w:rFonts w:cs="AdvP264F"/>
        </w:rPr>
        <w:t xml:space="preserve">juxtaposition or low fault rock </w:t>
      </w:r>
      <w:r w:rsidR="00A17BF9">
        <w:rPr>
          <w:rFonts w:cs="AdvP264F"/>
        </w:rPr>
        <w:t>permeability, the more severe</w:t>
      </w:r>
      <w:r w:rsidRPr="0026198A">
        <w:rPr>
          <w:rFonts w:cs="AdvP264F"/>
        </w:rPr>
        <w:t xml:space="preserve"> the hydraulic h</w:t>
      </w:r>
      <w:r w:rsidR="0026198A" w:rsidRPr="0026198A">
        <w:rPr>
          <w:rFonts w:cs="AdvP264F"/>
        </w:rPr>
        <w:t xml:space="preserve">ead </w:t>
      </w:r>
      <w:r w:rsidRPr="0026198A">
        <w:rPr>
          <w:rFonts w:cs="AdvP264F"/>
        </w:rPr>
        <w:t>discontinuity</w:t>
      </w:r>
      <w:r w:rsidR="0026198A">
        <w:rPr>
          <w:rFonts w:cs="AdvP264F"/>
        </w:rPr>
        <w:t xml:space="preserve"> potentially could be, although </w:t>
      </w:r>
      <w:r w:rsidR="00A17BF9">
        <w:rPr>
          <w:rFonts w:cs="AdvP264F"/>
        </w:rPr>
        <w:t>this is not a necessary criterion</w:t>
      </w:r>
      <w:r w:rsidRPr="0026198A">
        <w:rPr>
          <w:rFonts w:cs="AdvP264F"/>
        </w:rPr>
        <w:t>. In this</w:t>
      </w:r>
      <w:r w:rsidR="0026198A" w:rsidRPr="0026198A">
        <w:rPr>
          <w:rFonts w:cs="AdvP264F"/>
        </w:rPr>
        <w:t xml:space="preserve"> schematic example (</w:t>
      </w:r>
      <w:r w:rsidR="00B35CE3">
        <w:rPr>
          <w:rFonts w:cs="AdvP264F"/>
        </w:rPr>
        <w:fldChar w:fldCharType="begin"/>
      </w:r>
      <w:r w:rsidR="00B35CE3">
        <w:rPr>
          <w:rFonts w:cs="AdvP264F"/>
        </w:rPr>
        <w:instrText xml:space="preserve"> REF _Ref432604937 \h </w:instrText>
      </w:r>
      <w:r w:rsidR="00B35CE3">
        <w:rPr>
          <w:rFonts w:cs="AdvP264F"/>
        </w:rPr>
      </w:r>
      <w:r w:rsidR="00B35CE3">
        <w:rPr>
          <w:rFonts w:cs="AdvP264F"/>
        </w:rPr>
        <w:fldChar w:fldCharType="separate"/>
      </w:r>
      <w:r w:rsidR="00ED1412">
        <w:t xml:space="preserve">Figure </w:t>
      </w:r>
      <w:r w:rsidR="00ED1412">
        <w:rPr>
          <w:noProof/>
        </w:rPr>
        <w:t>17</w:t>
      </w:r>
      <w:r w:rsidR="00B35CE3">
        <w:rPr>
          <w:rFonts w:cs="AdvP264F"/>
        </w:rPr>
        <w:fldChar w:fldCharType="end"/>
      </w:r>
      <w:r w:rsidR="0026198A" w:rsidRPr="0026198A">
        <w:rPr>
          <w:rFonts w:cs="AdvP264F"/>
        </w:rPr>
        <w:t xml:space="preserve">a), </w:t>
      </w:r>
      <w:r w:rsidRPr="0026198A">
        <w:rPr>
          <w:rFonts w:cs="AdvP264F"/>
        </w:rPr>
        <w:t xml:space="preserve">there is a 70 m drop in </w:t>
      </w:r>
      <w:r w:rsidR="0026198A" w:rsidRPr="0026198A">
        <w:rPr>
          <w:rFonts w:cs="AdvP264F"/>
        </w:rPr>
        <w:t xml:space="preserve">hydraulic head across the fault </w:t>
      </w:r>
      <w:r w:rsidRPr="0026198A">
        <w:rPr>
          <w:rFonts w:cs="AdvP264F"/>
        </w:rPr>
        <w:t>zone. If the fault zo</w:t>
      </w:r>
      <w:r w:rsidR="0026198A" w:rsidRPr="0026198A">
        <w:rPr>
          <w:rFonts w:cs="AdvP264F"/>
        </w:rPr>
        <w:t xml:space="preserve">ne could be examined at a small </w:t>
      </w:r>
      <w:r w:rsidRPr="0026198A">
        <w:rPr>
          <w:rFonts w:cs="AdvP264F"/>
        </w:rPr>
        <w:t>scale, the discon</w:t>
      </w:r>
      <w:r w:rsidR="0026198A" w:rsidRPr="0026198A">
        <w:rPr>
          <w:rFonts w:cs="AdvP264F"/>
        </w:rPr>
        <w:t xml:space="preserve">tinuity in hydraulic head would </w:t>
      </w:r>
      <w:r w:rsidRPr="0026198A">
        <w:rPr>
          <w:rFonts w:cs="AdvP264F"/>
        </w:rPr>
        <w:t xml:space="preserve">actually be a very steep hydraulic head </w:t>
      </w:r>
      <w:r w:rsidR="0026198A" w:rsidRPr="0026198A">
        <w:rPr>
          <w:rFonts w:cs="AdvP264F"/>
        </w:rPr>
        <w:t xml:space="preserve">gradient along </w:t>
      </w:r>
      <w:r w:rsidRPr="0026198A">
        <w:rPr>
          <w:rFonts w:cs="AdvP264F"/>
        </w:rPr>
        <w:t>the plane of the fault</w:t>
      </w:r>
      <w:r w:rsidR="0026198A">
        <w:rPr>
          <w:rFonts w:cs="AdvP264F"/>
        </w:rPr>
        <w:t xml:space="preserve"> (see </w:t>
      </w:r>
      <w:r w:rsidR="00B35CE3">
        <w:rPr>
          <w:rFonts w:cs="AdvP264F"/>
        </w:rPr>
        <w:fldChar w:fldCharType="begin"/>
      </w:r>
      <w:r w:rsidR="00B35CE3">
        <w:rPr>
          <w:rFonts w:cs="AdvP264F"/>
        </w:rPr>
        <w:instrText xml:space="preserve"> REF _Ref432604955 \h </w:instrText>
      </w:r>
      <w:r w:rsidR="00B35CE3">
        <w:rPr>
          <w:rFonts w:cs="AdvP264F"/>
        </w:rPr>
      </w:r>
      <w:r w:rsidR="00B35CE3">
        <w:rPr>
          <w:rFonts w:cs="AdvP264F"/>
        </w:rPr>
        <w:fldChar w:fldCharType="separate"/>
      </w:r>
      <w:r w:rsidR="00ED1412">
        <w:t xml:space="preserve">Figure </w:t>
      </w:r>
      <w:r w:rsidR="00ED1412">
        <w:rPr>
          <w:noProof/>
        </w:rPr>
        <w:t>18</w:t>
      </w:r>
      <w:r w:rsidR="00B35CE3">
        <w:rPr>
          <w:rFonts w:cs="AdvP264F"/>
        </w:rPr>
        <w:fldChar w:fldCharType="end"/>
      </w:r>
      <w:r w:rsidR="0026198A">
        <w:rPr>
          <w:rFonts w:cs="AdvP264F"/>
        </w:rPr>
        <w:t>)</w:t>
      </w:r>
      <w:r w:rsidRPr="0026198A">
        <w:rPr>
          <w:rFonts w:cs="AdvP264F"/>
        </w:rPr>
        <w:t>, t</w:t>
      </w:r>
      <w:r w:rsidR="00A237A9">
        <w:rPr>
          <w:rFonts w:cs="AdvP264F"/>
        </w:rPr>
        <w:t>hus leading to some leakage</w:t>
      </w:r>
      <w:r w:rsidR="0026198A" w:rsidRPr="0026198A">
        <w:rPr>
          <w:rFonts w:cs="AdvP264F"/>
        </w:rPr>
        <w:t xml:space="preserve"> across </w:t>
      </w:r>
      <w:r w:rsidRPr="0026198A">
        <w:rPr>
          <w:rFonts w:cs="AdvP264F"/>
        </w:rPr>
        <w:t>the fault plane, but the fl</w:t>
      </w:r>
      <w:r w:rsidR="0026198A" w:rsidRPr="0026198A">
        <w:rPr>
          <w:rFonts w:cs="AdvP264F"/>
        </w:rPr>
        <w:t xml:space="preserve">ux would be negligible compared </w:t>
      </w:r>
      <w:r w:rsidRPr="0026198A">
        <w:rPr>
          <w:rFonts w:cs="AdvP264F"/>
        </w:rPr>
        <w:t>to that moving par</w:t>
      </w:r>
      <w:r w:rsidR="0026198A" w:rsidRPr="0026198A">
        <w:rPr>
          <w:rFonts w:cs="AdvP264F"/>
        </w:rPr>
        <w:t xml:space="preserve">allel to the fault plane in the </w:t>
      </w:r>
      <w:r w:rsidRPr="0026198A">
        <w:rPr>
          <w:rFonts w:cs="AdvP264F"/>
        </w:rPr>
        <w:t>adjacent aquifer.</w:t>
      </w:r>
      <w:r w:rsidR="00A237A9" w:rsidRPr="00A237A9">
        <w:rPr>
          <w:rFonts w:cs="Times New Roman"/>
        </w:rPr>
        <w:t xml:space="preserve"> </w:t>
      </w:r>
      <w:r w:rsidR="00A237A9">
        <w:rPr>
          <w:rFonts w:cs="Times New Roman"/>
        </w:rPr>
        <w:fldChar w:fldCharType="begin"/>
      </w:r>
      <w:r w:rsidR="00A237A9">
        <w:rPr>
          <w:rFonts w:cs="Times New Roman"/>
        </w:rPr>
        <w:instrText xml:space="preserve"> REF _Ref432604955 \h </w:instrText>
      </w:r>
      <w:r w:rsidR="00A237A9">
        <w:rPr>
          <w:rFonts w:cs="Times New Roman"/>
        </w:rPr>
      </w:r>
      <w:r w:rsidR="00A237A9">
        <w:rPr>
          <w:rFonts w:cs="Times New Roman"/>
        </w:rPr>
        <w:fldChar w:fldCharType="separate"/>
      </w:r>
      <w:r w:rsidR="00ED1412">
        <w:t xml:space="preserve">Figure </w:t>
      </w:r>
      <w:r w:rsidR="00ED1412">
        <w:rPr>
          <w:noProof/>
        </w:rPr>
        <w:t>18</w:t>
      </w:r>
      <w:r w:rsidR="00A237A9">
        <w:rPr>
          <w:rFonts w:cs="Times New Roman"/>
        </w:rPr>
        <w:fldChar w:fldCharType="end"/>
      </w:r>
      <w:r w:rsidR="00A237A9">
        <w:rPr>
          <w:rFonts w:cs="Times New Roman"/>
        </w:rPr>
        <w:t xml:space="preserve"> shows a schematic cross section perpendicular to a sealing fault.  In this direction there is a hydraulic gradient from right to left with a steep gradient through the fault.  The flux through the fault will be relatively small due to the low permeability whilst in and out of the line of section the flux will be relatively higher. The shape of the hydraulic head contours through the </w:t>
      </w:r>
      <w:r w:rsidR="00A237A9" w:rsidRPr="00BA7B5D">
        <w:rPr>
          <w:rFonts w:cs="AdvP264F"/>
        </w:rPr>
        <w:t>hydrocarbon</w:t>
      </w:r>
      <w:r w:rsidR="00A237A9">
        <w:rPr>
          <w:rFonts w:cs="Times New Roman"/>
        </w:rPr>
        <w:t xml:space="preserve"> reservoir demonstrates the effect of the reducing relative permeability to the water phase with height up the hydrocarbon column (see </w:t>
      </w:r>
      <w:r w:rsidR="00A237A9">
        <w:rPr>
          <w:rFonts w:cs="Times New Roman"/>
        </w:rPr>
        <w:fldChar w:fldCharType="begin"/>
      </w:r>
      <w:r w:rsidR="00A237A9">
        <w:rPr>
          <w:rFonts w:cs="Times New Roman"/>
        </w:rPr>
        <w:instrText xml:space="preserve"> REF _Ref432604851 \h </w:instrText>
      </w:r>
      <w:r w:rsidR="00A237A9">
        <w:rPr>
          <w:rFonts w:cs="Times New Roman"/>
        </w:rPr>
      </w:r>
      <w:r w:rsidR="00A237A9">
        <w:rPr>
          <w:rFonts w:cs="Times New Roman"/>
        </w:rPr>
        <w:fldChar w:fldCharType="separate"/>
      </w:r>
      <w:r w:rsidR="00ED1412">
        <w:t xml:space="preserve">Figure </w:t>
      </w:r>
      <w:r w:rsidR="00ED1412">
        <w:rPr>
          <w:noProof/>
        </w:rPr>
        <w:t>13</w:t>
      </w:r>
      <w:r w:rsidR="00A237A9">
        <w:rPr>
          <w:rFonts w:cs="Times New Roman"/>
        </w:rPr>
        <w:fldChar w:fldCharType="end"/>
      </w:r>
      <w:r w:rsidR="00A237A9">
        <w:rPr>
          <w:rFonts w:cs="Times New Roman"/>
        </w:rPr>
        <w:t xml:space="preserve"> and </w:t>
      </w:r>
      <w:r w:rsidR="00A237A9">
        <w:rPr>
          <w:rFonts w:cs="Times New Roman"/>
        </w:rPr>
        <w:fldChar w:fldCharType="begin"/>
      </w:r>
      <w:r w:rsidR="00A237A9">
        <w:rPr>
          <w:rFonts w:cs="Times New Roman"/>
        </w:rPr>
        <w:instrText xml:space="preserve"> REF _Ref432604872 \h </w:instrText>
      </w:r>
      <w:r w:rsidR="00A237A9">
        <w:rPr>
          <w:rFonts w:cs="Times New Roman"/>
        </w:rPr>
      </w:r>
      <w:r w:rsidR="00A237A9">
        <w:rPr>
          <w:rFonts w:cs="Times New Roman"/>
        </w:rPr>
        <w:fldChar w:fldCharType="separate"/>
      </w:r>
      <w:r w:rsidR="00ED1412">
        <w:t xml:space="preserve">Figure </w:t>
      </w:r>
      <w:r w:rsidR="00ED1412">
        <w:rPr>
          <w:noProof/>
        </w:rPr>
        <w:t>14</w:t>
      </w:r>
      <w:r w:rsidR="00A237A9">
        <w:rPr>
          <w:rFonts w:cs="Times New Roman"/>
        </w:rPr>
        <w:fldChar w:fldCharType="end"/>
      </w:r>
      <w:r w:rsidR="00A237A9">
        <w:rPr>
          <w:rFonts w:cs="Times New Roman"/>
        </w:rPr>
        <w:t xml:space="preserve"> as discussed previously).</w:t>
      </w:r>
      <w:r w:rsidRPr="0026198A">
        <w:rPr>
          <w:rFonts w:cs="AdvP264F"/>
        </w:rPr>
        <w:t xml:space="preserve"> Corrob</w:t>
      </w:r>
      <w:r w:rsidR="0026198A" w:rsidRPr="0026198A">
        <w:rPr>
          <w:rFonts w:cs="AdvP264F"/>
        </w:rPr>
        <w:t xml:space="preserve">orating evidence for fault zone </w:t>
      </w:r>
      <w:r w:rsidRPr="0026198A">
        <w:rPr>
          <w:rFonts w:cs="AdvP264F"/>
        </w:rPr>
        <w:t>barriers are the accu</w:t>
      </w:r>
      <w:r w:rsidR="0026198A" w:rsidRPr="0026198A">
        <w:rPr>
          <w:rFonts w:cs="AdvP264F"/>
        </w:rPr>
        <w:t xml:space="preserve">mulations of hydrocarbon on one </w:t>
      </w:r>
      <w:r w:rsidRPr="0026198A">
        <w:rPr>
          <w:rFonts w:cs="AdvP264F"/>
        </w:rPr>
        <w:t>side of the fault, and d</w:t>
      </w:r>
      <w:r w:rsidR="0026198A" w:rsidRPr="0026198A">
        <w:rPr>
          <w:rFonts w:cs="AdvP264F"/>
        </w:rPr>
        <w:t xml:space="preserve">iscontinuities in the formation </w:t>
      </w:r>
      <w:r w:rsidRPr="0026198A">
        <w:rPr>
          <w:rFonts w:cs="AdvP264F"/>
        </w:rPr>
        <w:t>water chemistry across the fault.</w:t>
      </w:r>
      <w:r w:rsidR="00A237A9">
        <w:rPr>
          <w:rFonts w:cs="AdvP264F"/>
        </w:rPr>
        <w:t xml:space="preserve"> </w:t>
      </w:r>
      <w:r w:rsidRPr="0026198A">
        <w:rPr>
          <w:rFonts w:cs="AdvP264F"/>
        </w:rPr>
        <w:t>At any one location, the v</w:t>
      </w:r>
      <w:r w:rsidR="0026198A" w:rsidRPr="0026198A">
        <w:rPr>
          <w:rFonts w:cs="AdvP264F"/>
        </w:rPr>
        <w:t xml:space="preserve">ertical hydraulic communication </w:t>
      </w:r>
      <w:r w:rsidRPr="0026198A">
        <w:rPr>
          <w:rFonts w:cs="AdvP264F"/>
        </w:rPr>
        <w:t>can be examined by pressure-elevation</w:t>
      </w:r>
      <w:r w:rsidR="0026198A" w:rsidRPr="0026198A">
        <w:rPr>
          <w:rFonts w:cs="AdvP264F"/>
        </w:rPr>
        <w:t xml:space="preserve"> </w:t>
      </w:r>
      <w:r w:rsidRPr="0026198A">
        <w:rPr>
          <w:rFonts w:cs="AdvP264F"/>
        </w:rPr>
        <w:t xml:space="preserve">plot analysis for a well </w:t>
      </w:r>
      <w:r w:rsidR="0026198A" w:rsidRPr="0026198A">
        <w:rPr>
          <w:rFonts w:cs="AdvP264F"/>
        </w:rPr>
        <w:t>near to, or crosscut by a fault (</w:t>
      </w:r>
      <w:r w:rsidRPr="0026198A">
        <w:rPr>
          <w:rFonts w:cs="AdvP264F"/>
        </w:rPr>
        <w:t>b). Zones of low hy</w:t>
      </w:r>
      <w:r w:rsidR="0026198A" w:rsidRPr="0026198A">
        <w:rPr>
          <w:rFonts w:cs="AdvP264F"/>
        </w:rPr>
        <w:t xml:space="preserve">draulic transmissivity manifest </w:t>
      </w:r>
      <w:r w:rsidRPr="0026198A">
        <w:rPr>
          <w:rFonts w:cs="AdvP264F"/>
        </w:rPr>
        <w:t>themselves as a break in</w:t>
      </w:r>
      <w:r w:rsidR="0026198A" w:rsidRPr="0026198A">
        <w:rPr>
          <w:rFonts w:cs="AdvP264F"/>
        </w:rPr>
        <w:t xml:space="preserve"> the observed pressure gradient </w:t>
      </w:r>
      <w:r w:rsidRPr="0026198A">
        <w:rPr>
          <w:rFonts w:cs="AdvP264F"/>
        </w:rPr>
        <w:t>with depth (Dahlberg, 1995).</w:t>
      </w:r>
    </w:p>
    <w:p w14:paraId="642F4ABE" w14:textId="77777777" w:rsidR="008B6D70" w:rsidRPr="0026198A" w:rsidRDefault="008B6D70" w:rsidP="005436E8">
      <w:pPr>
        <w:autoSpaceDE w:val="0"/>
        <w:autoSpaceDN w:val="0"/>
        <w:adjustRightInd w:val="0"/>
        <w:spacing w:after="0" w:line="240" w:lineRule="auto"/>
        <w:rPr>
          <w:rFonts w:cs="AdvP264F"/>
        </w:rPr>
      </w:pPr>
    </w:p>
    <w:p w14:paraId="055345F3" w14:textId="77777777" w:rsidR="005436E8" w:rsidRDefault="005436E8" w:rsidP="00E9349B">
      <w:pPr>
        <w:jc w:val="center"/>
      </w:pPr>
      <w:r>
        <w:rPr>
          <w:noProof/>
          <w:lang w:eastAsia="en-AU"/>
        </w:rPr>
        <w:drawing>
          <wp:inline distT="0" distB="0" distL="0" distR="0" wp14:anchorId="1D9F0A68" wp14:editId="0790E536">
            <wp:extent cx="3990975" cy="3581400"/>
            <wp:effectExtent l="0" t="0" r="9525" b="0"/>
            <wp:docPr id="9" name="Picture 9" descr="Diagrams of two types of fault hydrodynamics." title="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d patterns faults 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990975" cy="3581400"/>
                    </a:xfrm>
                    <a:prstGeom prst="rect">
                      <a:avLst/>
                    </a:prstGeom>
                  </pic:spPr>
                </pic:pic>
              </a:graphicData>
            </a:graphic>
          </wp:inline>
        </w:drawing>
      </w:r>
    </w:p>
    <w:p w14:paraId="66AF3678" w14:textId="71D96F08" w:rsidR="005436E8" w:rsidRPr="005436E8" w:rsidRDefault="00391D3A" w:rsidP="00391D3A">
      <w:pPr>
        <w:pStyle w:val="Caption"/>
        <w:rPr>
          <w:rFonts w:cs="AdvP264F"/>
        </w:rPr>
      </w:pPr>
      <w:bookmarkStart w:id="483" w:name="_Ref432604937"/>
      <w:bookmarkStart w:id="484" w:name="_Toc442353798"/>
      <w:r>
        <w:t xml:space="preserve">Figure </w:t>
      </w:r>
      <w:fldSimple w:instr=" SEQ Figure \* ARABIC ">
        <w:r w:rsidR="00ED1412">
          <w:rPr>
            <w:noProof/>
          </w:rPr>
          <w:t>17</w:t>
        </w:r>
      </w:fldSimple>
      <w:bookmarkEnd w:id="483"/>
      <w:r w:rsidR="001E0F17">
        <w:rPr>
          <w:rFonts w:cs="AdvP2660"/>
        </w:rPr>
        <w:t>.</w:t>
      </w:r>
      <w:r w:rsidR="005436E8" w:rsidRPr="005436E8">
        <w:rPr>
          <w:rFonts w:cs="AdvP2660"/>
        </w:rPr>
        <w:t xml:space="preserve"> </w:t>
      </w:r>
      <w:r w:rsidR="005436E8" w:rsidRPr="005436E8">
        <w:rPr>
          <w:rFonts w:cs="AdvP264F"/>
        </w:rPr>
        <w:t>Schematic fault hydrodynamics (modified from Otto et al., 2001). (a) Hydraulic head distributions in two stacked aquifers crosscut by a barrier fault; and (b) cross section of the barrier fault in (a) with no upfault flow and the corresponding pressure-elevation plot of WLT data from the two aquifers at the well location.</w:t>
      </w:r>
      <w:r w:rsidR="001123E5">
        <w:rPr>
          <w:rFonts w:cs="AdvP264F"/>
        </w:rPr>
        <w:t xml:space="preserve"> Underschultz et al. (2005)</w:t>
      </w:r>
      <w:bookmarkEnd w:id="484"/>
    </w:p>
    <w:p w14:paraId="6AC98676" w14:textId="77777777" w:rsidR="003D542A" w:rsidRDefault="003D542A" w:rsidP="00F40D1B">
      <w:pPr>
        <w:autoSpaceDE w:val="0"/>
        <w:autoSpaceDN w:val="0"/>
        <w:adjustRightInd w:val="0"/>
        <w:spacing w:after="0" w:line="240" w:lineRule="auto"/>
        <w:rPr>
          <w:rFonts w:cs="Times New Roman"/>
        </w:rPr>
      </w:pPr>
    </w:p>
    <w:p w14:paraId="7D32E50A" w14:textId="70BD410F" w:rsidR="00000382" w:rsidRDefault="002F59AA" w:rsidP="00F40D1B">
      <w:pPr>
        <w:autoSpaceDE w:val="0"/>
        <w:autoSpaceDN w:val="0"/>
        <w:adjustRightInd w:val="0"/>
        <w:spacing w:after="0" w:line="240" w:lineRule="auto"/>
        <w:rPr>
          <w:rFonts w:cs="Times New Roman"/>
        </w:rPr>
      </w:pPr>
      <w:r>
        <w:rPr>
          <w:rFonts w:cs="Times New Roman"/>
        </w:rPr>
        <w:t>There are multiple case study examples of faults compartmentalising aquifer</w:t>
      </w:r>
      <w:r w:rsidR="00BA7B5D">
        <w:rPr>
          <w:rFonts w:cs="Times New Roman"/>
        </w:rPr>
        <w:t>s</w:t>
      </w:r>
      <w:r>
        <w:rPr>
          <w:rFonts w:cs="Times New Roman"/>
        </w:rPr>
        <w:t xml:space="preserve"> where the hydraulic head is represented as a discontinuity.  </w:t>
      </w:r>
      <w:r w:rsidR="00B35CE3">
        <w:rPr>
          <w:rFonts w:cs="Times New Roman"/>
        </w:rPr>
        <w:fldChar w:fldCharType="begin"/>
      </w:r>
      <w:r w:rsidR="00B35CE3">
        <w:rPr>
          <w:rFonts w:cs="Times New Roman"/>
        </w:rPr>
        <w:instrText xml:space="preserve"> REF _Ref432605017 \h </w:instrText>
      </w:r>
      <w:r w:rsidR="00B35CE3">
        <w:rPr>
          <w:rFonts w:cs="Times New Roman"/>
        </w:rPr>
      </w:r>
      <w:r w:rsidR="00B35CE3">
        <w:rPr>
          <w:rFonts w:cs="Times New Roman"/>
        </w:rPr>
        <w:fldChar w:fldCharType="separate"/>
      </w:r>
      <w:r w:rsidR="00ED1412">
        <w:t xml:space="preserve">Figure </w:t>
      </w:r>
      <w:r w:rsidR="00ED1412">
        <w:rPr>
          <w:noProof/>
        </w:rPr>
        <w:t>19</w:t>
      </w:r>
      <w:r w:rsidR="00B35CE3">
        <w:rPr>
          <w:rFonts w:cs="Times New Roman"/>
        </w:rPr>
        <w:fldChar w:fldCharType="end"/>
      </w:r>
      <w:r w:rsidR="00000382">
        <w:rPr>
          <w:rFonts w:cs="Times New Roman"/>
        </w:rPr>
        <w:t xml:space="preserve"> shows an example of regionally mapped hydraulic head in faulted Plover strata in the Vulcan sub-basin (Underschultz et al. 2002).  Similarly,</w:t>
      </w:r>
      <w:r w:rsidR="0006110D">
        <w:rPr>
          <w:rFonts w:cs="Times New Roman"/>
        </w:rPr>
        <w:t xml:space="preserve"> </w:t>
      </w:r>
      <w:r w:rsidR="00B35CE3">
        <w:rPr>
          <w:rFonts w:cs="Times New Roman"/>
        </w:rPr>
        <w:fldChar w:fldCharType="begin"/>
      </w:r>
      <w:r w:rsidR="00B35CE3">
        <w:rPr>
          <w:rFonts w:cs="Times New Roman"/>
        </w:rPr>
        <w:instrText xml:space="preserve"> REF _Ref432605029 \h </w:instrText>
      </w:r>
      <w:r w:rsidR="00B35CE3">
        <w:rPr>
          <w:rFonts w:cs="Times New Roman"/>
        </w:rPr>
      </w:r>
      <w:r w:rsidR="00B35CE3">
        <w:rPr>
          <w:rFonts w:cs="Times New Roman"/>
        </w:rPr>
        <w:fldChar w:fldCharType="separate"/>
      </w:r>
      <w:r w:rsidR="00ED1412">
        <w:t xml:space="preserve">Figure </w:t>
      </w:r>
      <w:r w:rsidR="00ED1412">
        <w:rPr>
          <w:noProof/>
        </w:rPr>
        <w:t>20</w:t>
      </w:r>
      <w:r w:rsidR="00B35CE3">
        <w:rPr>
          <w:rFonts w:cs="Times New Roman"/>
        </w:rPr>
        <w:fldChar w:fldCharType="end"/>
      </w:r>
      <w:r w:rsidR="0006110D">
        <w:rPr>
          <w:rFonts w:cs="Times New Roman"/>
        </w:rPr>
        <w:t xml:space="preserve"> is</w:t>
      </w:r>
      <w:r w:rsidR="00000382">
        <w:rPr>
          <w:rFonts w:cs="Times New Roman"/>
        </w:rPr>
        <w:t xml:space="preserve"> </w:t>
      </w:r>
      <w:r w:rsidR="0006110D">
        <w:rPr>
          <w:rFonts w:cs="Times New Roman"/>
        </w:rPr>
        <w:t>a hydraulic head distribution</w:t>
      </w:r>
      <w:r w:rsidR="00000382">
        <w:rPr>
          <w:rFonts w:cs="Times New Roman"/>
        </w:rPr>
        <w:t xml:space="preserve"> mapped for the Barrow aquifer in the vicinity of the Pyrenese-Macedon oil and gas fields (Bailey et al. 2006).  In these cases, accurate understanding of the hydraulic head and seal capacity allows for predictive </w:t>
      </w:r>
      <w:r w:rsidR="00000382">
        <w:rPr>
          <w:rFonts w:cs="Times New Roman"/>
        </w:rPr>
        <w:lastRenderedPageBreak/>
        <w:t xml:space="preserve">estimation of hydrocarbon pressure distributions, hydrocarbon compartmentalisation and reservoir performance that can be calibrated with historical production data. </w:t>
      </w:r>
      <w:r w:rsidR="008C46A7">
        <w:rPr>
          <w:rFonts w:cs="Times New Roman"/>
        </w:rPr>
        <w:t xml:space="preserve">The notion of hydraulic connectivity and fault architecture also relates to how strain is </w:t>
      </w:r>
      <w:r w:rsidR="007C5879">
        <w:rPr>
          <w:rFonts w:cs="Times New Roman"/>
        </w:rPr>
        <w:t>transferred</w:t>
      </w:r>
      <w:r w:rsidR="008C46A7">
        <w:rPr>
          <w:rFonts w:cs="Times New Roman"/>
        </w:rPr>
        <w:t xml:space="preserve"> from one fault to the next through what are normally </w:t>
      </w:r>
      <w:r w:rsidR="007C5879">
        <w:rPr>
          <w:rFonts w:cs="Times New Roman"/>
        </w:rPr>
        <w:t>described</w:t>
      </w:r>
      <w:r w:rsidR="008C46A7">
        <w:rPr>
          <w:rFonts w:cs="Times New Roman"/>
        </w:rPr>
        <w:t xml:space="preserve"> a</w:t>
      </w:r>
      <w:r w:rsidR="004C651E">
        <w:rPr>
          <w:rFonts w:cs="Times New Roman"/>
        </w:rPr>
        <w:t>s relay ramps</w:t>
      </w:r>
      <w:r w:rsidR="007C5879">
        <w:rPr>
          <w:rFonts w:cs="Times New Roman"/>
        </w:rPr>
        <w:t xml:space="preserve"> (</w:t>
      </w:r>
      <w:r w:rsidR="00B35CE3">
        <w:rPr>
          <w:rFonts w:cs="Times New Roman"/>
        </w:rPr>
        <w:fldChar w:fldCharType="begin"/>
      </w:r>
      <w:r w:rsidR="00B35CE3">
        <w:rPr>
          <w:rFonts w:cs="Times New Roman"/>
        </w:rPr>
        <w:instrText xml:space="preserve"> REF _Ref432605040 \h </w:instrText>
      </w:r>
      <w:r w:rsidR="00B35CE3">
        <w:rPr>
          <w:rFonts w:cs="Times New Roman"/>
        </w:rPr>
      </w:r>
      <w:r w:rsidR="00B35CE3">
        <w:rPr>
          <w:rFonts w:cs="Times New Roman"/>
        </w:rPr>
        <w:fldChar w:fldCharType="separate"/>
      </w:r>
      <w:r w:rsidR="00ED1412">
        <w:t xml:space="preserve">Figure </w:t>
      </w:r>
      <w:r w:rsidR="00ED1412">
        <w:rPr>
          <w:noProof/>
        </w:rPr>
        <w:t>21</w:t>
      </w:r>
      <w:r w:rsidR="00B35CE3">
        <w:rPr>
          <w:rFonts w:cs="Times New Roman"/>
        </w:rPr>
        <w:fldChar w:fldCharType="end"/>
      </w:r>
      <w:r w:rsidR="007C5879">
        <w:rPr>
          <w:rFonts w:cs="Times New Roman"/>
        </w:rPr>
        <w:t>)</w:t>
      </w:r>
      <w:r w:rsidR="008C46A7">
        <w:rPr>
          <w:rFonts w:cs="Times New Roman"/>
        </w:rPr>
        <w:t>.</w:t>
      </w:r>
      <w:r w:rsidR="007C5879">
        <w:rPr>
          <w:rFonts w:cs="Times New Roman"/>
        </w:rPr>
        <w:t xml:space="preserve"> These relay ramps ca</w:t>
      </w:r>
      <w:r w:rsidR="00BA7B5D">
        <w:rPr>
          <w:rFonts w:cs="Times New Roman"/>
        </w:rPr>
        <w:t>n</w:t>
      </w:r>
      <w:r w:rsidR="007C5879">
        <w:rPr>
          <w:rFonts w:cs="Times New Roman"/>
        </w:rPr>
        <w:t xml:space="preserve"> provide a path of hydraulic continuity that can be mapped</w:t>
      </w:r>
      <w:r w:rsidR="000A56C5">
        <w:rPr>
          <w:rFonts w:cs="Times New Roman"/>
        </w:rPr>
        <w:t xml:space="preserve"> (Bense and Van Balen, 2004)</w:t>
      </w:r>
      <w:r w:rsidR="007C5879">
        <w:rPr>
          <w:rFonts w:cs="Times New Roman"/>
        </w:rPr>
        <w:t xml:space="preserve"> in terms of hydraulic head (</w:t>
      </w:r>
      <w:r w:rsidR="00B35CE3">
        <w:rPr>
          <w:rFonts w:cs="Times New Roman"/>
        </w:rPr>
        <w:fldChar w:fldCharType="begin"/>
      </w:r>
      <w:r w:rsidR="00B35CE3">
        <w:rPr>
          <w:rFonts w:cs="Times New Roman"/>
        </w:rPr>
        <w:instrText xml:space="preserve"> REF _Ref432605046 \h </w:instrText>
      </w:r>
      <w:r w:rsidR="00B35CE3">
        <w:rPr>
          <w:rFonts w:cs="Times New Roman"/>
        </w:rPr>
      </w:r>
      <w:r w:rsidR="00B35CE3">
        <w:rPr>
          <w:rFonts w:cs="Times New Roman"/>
        </w:rPr>
        <w:fldChar w:fldCharType="separate"/>
      </w:r>
      <w:r w:rsidR="00ED1412">
        <w:t xml:space="preserve">Figure </w:t>
      </w:r>
      <w:r w:rsidR="00ED1412">
        <w:rPr>
          <w:noProof/>
        </w:rPr>
        <w:t>22</w:t>
      </w:r>
      <w:r w:rsidR="00B35CE3">
        <w:rPr>
          <w:rFonts w:cs="Times New Roman"/>
        </w:rPr>
        <w:fldChar w:fldCharType="end"/>
      </w:r>
      <w:r w:rsidR="007C5879">
        <w:rPr>
          <w:rFonts w:cs="Times New Roman"/>
        </w:rPr>
        <w:t>).</w:t>
      </w:r>
    </w:p>
    <w:p w14:paraId="6D43B79E" w14:textId="77777777" w:rsidR="00A532A6" w:rsidRDefault="00A532A6" w:rsidP="00F40D1B">
      <w:pPr>
        <w:autoSpaceDE w:val="0"/>
        <w:autoSpaceDN w:val="0"/>
        <w:adjustRightInd w:val="0"/>
        <w:spacing w:after="0" w:line="240" w:lineRule="auto"/>
        <w:rPr>
          <w:rFonts w:cs="Times New Roman"/>
        </w:rPr>
      </w:pPr>
    </w:p>
    <w:p w14:paraId="528E0543" w14:textId="77777777" w:rsidR="0026198A" w:rsidRDefault="0026198A" w:rsidP="00E9349B">
      <w:pPr>
        <w:jc w:val="center"/>
        <w:rPr>
          <w:rFonts w:ascii="Times New Roman" w:hAnsi="Times New Roman" w:cs="Times New Roman"/>
          <w:sz w:val="24"/>
          <w:szCs w:val="24"/>
        </w:rPr>
      </w:pPr>
      <w:r>
        <w:rPr>
          <w:rFonts w:ascii="Times New Roman" w:hAnsi="Times New Roman" w:cs="Times New Roman"/>
          <w:noProof/>
          <w:sz w:val="24"/>
          <w:szCs w:val="24"/>
          <w:lang w:eastAsia="en-AU"/>
        </w:rPr>
        <w:drawing>
          <wp:inline distT="0" distB="0" distL="0" distR="0" wp14:anchorId="4B1AA1A3" wp14:editId="3BEA176B">
            <wp:extent cx="4971981" cy="3248025"/>
            <wp:effectExtent l="0" t="0" r="635" b="0"/>
            <wp:docPr id="23" name="Picture 23" descr="Diagram of a sealing fault and hydraulic head distribution." title="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ult and fluid flow below swi.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104499" cy="3334595"/>
                    </a:xfrm>
                    <a:prstGeom prst="rect">
                      <a:avLst/>
                    </a:prstGeom>
                  </pic:spPr>
                </pic:pic>
              </a:graphicData>
            </a:graphic>
          </wp:inline>
        </w:drawing>
      </w:r>
    </w:p>
    <w:p w14:paraId="2D6CC2BE" w14:textId="6E9F09BF" w:rsidR="002F59AA" w:rsidRPr="0006110D" w:rsidRDefault="00391D3A" w:rsidP="00391D3A">
      <w:pPr>
        <w:pStyle w:val="Caption"/>
        <w:rPr>
          <w:rFonts w:cs="Times New Roman"/>
        </w:rPr>
      </w:pPr>
      <w:bookmarkStart w:id="485" w:name="_Ref432604955"/>
      <w:bookmarkStart w:id="486" w:name="_Toc442353799"/>
      <w:r>
        <w:t xml:space="preserve">Figure </w:t>
      </w:r>
      <w:fldSimple w:instr=" SEQ Figure \* ARABIC ">
        <w:r w:rsidR="00ED1412">
          <w:rPr>
            <w:noProof/>
          </w:rPr>
          <w:t>18</w:t>
        </w:r>
      </w:fldSimple>
      <w:bookmarkEnd w:id="485"/>
      <w:r w:rsidR="001E0F17">
        <w:rPr>
          <w:rFonts w:cs="Times New Roman"/>
        </w:rPr>
        <w:t>.</w:t>
      </w:r>
      <w:r w:rsidR="0026198A" w:rsidRPr="0026198A">
        <w:rPr>
          <w:rFonts w:cs="Times New Roman"/>
        </w:rPr>
        <w:t xml:space="preserve">  Schematic cross section across a sealing fault with a theoretical hydraulic head distribution</w:t>
      </w:r>
      <w:r w:rsidR="00672DAE">
        <w:rPr>
          <w:rFonts w:cs="Times New Roman"/>
        </w:rPr>
        <w:t xml:space="preserve"> (black contours lines)</w:t>
      </w:r>
      <w:r w:rsidR="0026198A" w:rsidRPr="0026198A">
        <w:rPr>
          <w:rFonts w:cs="Times New Roman"/>
        </w:rPr>
        <w:t xml:space="preserve"> in this dimension.  </w:t>
      </w:r>
      <w:r w:rsidR="00672DAE">
        <w:rPr>
          <w:rFonts w:cs="Times New Roman"/>
        </w:rPr>
        <w:t xml:space="preserve">Flow paths are marked with arrows. </w:t>
      </w:r>
      <w:r w:rsidR="0026198A" w:rsidRPr="0026198A">
        <w:rPr>
          <w:rFonts w:cs="Times New Roman"/>
        </w:rPr>
        <w:t>The bulk of the flux is likely occurring perpendicular to the line of section</w:t>
      </w:r>
      <w:r w:rsidR="00672DAE">
        <w:rPr>
          <w:rFonts w:cs="Times New Roman"/>
        </w:rPr>
        <w:t xml:space="preserve"> because the fault zone </w:t>
      </w:r>
      <w:r w:rsidR="00BA7B5D">
        <w:rPr>
          <w:rFonts w:cs="Times New Roman"/>
        </w:rPr>
        <w:t>has a very low</w:t>
      </w:r>
      <w:r w:rsidR="00672DAE">
        <w:rPr>
          <w:rFonts w:cs="Times New Roman"/>
        </w:rPr>
        <w:t xml:space="preserve"> permeability resulting in the tight hydraulic head gradient</w:t>
      </w:r>
      <w:r w:rsidR="0026198A" w:rsidRPr="0026198A">
        <w:rPr>
          <w:rFonts w:cs="Times New Roman"/>
        </w:rPr>
        <w:t>.</w:t>
      </w:r>
      <w:bookmarkEnd w:id="486"/>
    </w:p>
    <w:p w14:paraId="4077BFFA" w14:textId="5F46891E" w:rsidR="002F59AA" w:rsidRPr="00A532A6" w:rsidRDefault="00A532A6" w:rsidP="00E9349B">
      <w:pPr>
        <w:autoSpaceDE w:val="0"/>
        <w:autoSpaceDN w:val="0"/>
        <w:adjustRightInd w:val="0"/>
        <w:spacing w:after="0" w:line="240" w:lineRule="auto"/>
        <w:jc w:val="center"/>
        <w:rPr>
          <w:rFonts w:ascii="AGaramond-Italic" w:hAnsi="AGaramond-Italic" w:cs="AGaramond-Italic"/>
          <w:iCs/>
          <w:sz w:val="18"/>
          <w:szCs w:val="18"/>
        </w:rPr>
      </w:pPr>
      <w:r>
        <w:rPr>
          <w:rFonts w:ascii="AGaramond-Italic" w:hAnsi="AGaramond-Italic" w:cs="AGaramond-Italic"/>
          <w:iCs/>
          <w:noProof/>
          <w:sz w:val="18"/>
          <w:szCs w:val="18"/>
          <w:lang w:eastAsia="en-AU"/>
        </w:rPr>
        <w:lastRenderedPageBreak/>
        <w:drawing>
          <wp:inline distT="0" distB="0" distL="0" distR="0" wp14:anchorId="30072156" wp14:editId="2300A552">
            <wp:extent cx="5731510" cy="5688965"/>
            <wp:effectExtent l="0" t="0" r="2540" b="6985"/>
            <wp:docPr id="29" name="Picture 29" descr="Map of freshwater hydraulic head in the Plover aquifer system." title="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lover head.JPG"/>
                    <pic:cNvPicPr/>
                  </pic:nvPicPr>
                  <pic:blipFill>
                    <a:blip r:embed="rId57">
                      <a:extLst>
                        <a:ext uri="{28A0092B-C50C-407E-A947-70E740481C1C}">
                          <a14:useLocalDpi xmlns:a14="http://schemas.microsoft.com/office/drawing/2010/main" val="0"/>
                        </a:ext>
                      </a:extLst>
                    </a:blip>
                    <a:stretch>
                      <a:fillRect/>
                    </a:stretch>
                  </pic:blipFill>
                  <pic:spPr>
                    <a:xfrm>
                      <a:off x="0" y="0"/>
                      <a:ext cx="5731510" cy="5688965"/>
                    </a:xfrm>
                    <a:prstGeom prst="rect">
                      <a:avLst/>
                    </a:prstGeom>
                  </pic:spPr>
                </pic:pic>
              </a:graphicData>
            </a:graphic>
          </wp:inline>
        </w:drawing>
      </w:r>
    </w:p>
    <w:p w14:paraId="4D0CA233" w14:textId="3FB249EB" w:rsidR="002F59AA" w:rsidRDefault="00391D3A" w:rsidP="00391D3A">
      <w:pPr>
        <w:pStyle w:val="Caption"/>
        <w:rPr>
          <w:rFonts w:cs="AGaramond-Italic"/>
          <w:iCs/>
        </w:rPr>
      </w:pPr>
      <w:bookmarkStart w:id="487" w:name="_Ref432605017"/>
      <w:bookmarkStart w:id="488" w:name="_Toc442353800"/>
      <w:r>
        <w:t xml:space="preserve">Figure </w:t>
      </w:r>
      <w:fldSimple w:instr=" SEQ Figure \* ARABIC ">
        <w:r w:rsidR="00ED1412">
          <w:rPr>
            <w:noProof/>
          </w:rPr>
          <w:t>19</w:t>
        </w:r>
      </w:fldSimple>
      <w:bookmarkEnd w:id="487"/>
      <w:r w:rsidR="001E0F17">
        <w:rPr>
          <w:rFonts w:cs="AGaramond-Italic"/>
          <w:iCs/>
        </w:rPr>
        <w:t>.</w:t>
      </w:r>
      <w:r w:rsidR="002F59AA" w:rsidRPr="00000382">
        <w:rPr>
          <w:rFonts w:cs="AGaramond-Italic"/>
          <w:iCs/>
        </w:rPr>
        <w:t xml:space="preserve"> Fresh-water hydraulic head (m) distribution for the Plover aquifer system, Vulcan Sub-basin (Underschultz et al. </w:t>
      </w:r>
      <w:r w:rsidR="00000382" w:rsidRPr="00000382">
        <w:rPr>
          <w:rFonts w:cs="AGaramond-Italic"/>
          <w:iCs/>
        </w:rPr>
        <w:t>2002)</w:t>
      </w:r>
      <w:r w:rsidR="00672DAE">
        <w:rPr>
          <w:rFonts w:cs="AGaramond-Italic"/>
          <w:iCs/>
        </w:rPr>
        <w:t>.</w:t>
      </w:r>
      <w:bookmarkEnd w:id="488"/>
      <w:r w:rsidR="00672DAE">
        <w:rPr>
          <w:rFonts w:cs="AGaramond-Italic"/>
          <w:iCs/>
        </w:rPr>
        <w:t xml:space="preserve">  </w:t>
      </w:r>
    </w:p>
    <w:p w14:paraId="5589194E" w14:textId="77777777" w:rsidR="00A532A6" w:rsidRPr="00A532A6" w:rsidRDefault="00A532A6" w:rsidP="00A532A6"/>
    <w:p w14:paraId="2F72010B" w14:textId="6DD2D91B" w:rsidR="00000382" w:rsidRPr="000A2781" w:rsidRDefault="00F75329" w:rsidP="002F59AA">
      <w:pPr>
        <w:autoSpaceDE w:val="0"/>
        <w:autoSpaceDN w:val="0"/>
        <w:adjustRightInd w:val="0"/>
        <w:spacing w:after="0" w:line="240" w:lineRule="auto"/>
        <w:rPr>
          <w:rFonts w:cs="Times New Roman"/>
        </w:rPr>
      </w:pPr>
      <w:r>
        <w:rPr>
          <w:rFonts w:cs="Times New Roman"/>
        </w:rPr>
        <w:t>Hydraulic head discontinuity is however not restricted to the deep subsurface.  Bense and Van Balen (2004) examined shallow groundwater systems in the lower Rhine Graben of the Roer Valley Graben and they noticed hydraulic head discontinuities controlled by fault distributions (</w:t>
      </w:r>
      <w:r>
        <w:rPr>
          <w:rFonts w:cs="Times New Roman"/>
        </w:rPr>
        <w:fldChar w:fldCharType="begin"/>
      </w:r>
      <w:r>
        <w:rPr>
          <w:rFonts w:cs="Times New Roman"/>
        </w:rPr>
        <w:instrText xml:space="preserve"> REF _Ref432605053 \h </w:instrText>
      </w:r>
      <w:r>
        <w:rPr>
          <w:rFonts w:cs="Times New Roman"/>
        </w:rPr>
      </w:r>
      <w:r>
        <w:rPr>
          <w:rFonts w:cs="Times New Roman"/>
        </w:rPr>
        <w:fldChar w:fldCharType="separate"/>
      </w:r>
      <w:r w:rsidR="00ED1412">
        <w:t xml:space="preserve">Figure </w:t>
      </w:r>
      <w:r w:rsidR="00ED1412">
        <w:rPr>
          <w:noProof/>
        </w:rPr>
        <w:t>23</w:t>
      </w:r>
      <w:r>
        <w:rPr>
          <w:rFonts w:cs="Times New Roman"/>
        </w:rPr>
        <w:fldChar w:fldCharType="end"/>
      </w:r>
      <w:r>
        <w:rPr>
          <w:rFonts w:cs="Times New Roman"/>
        </w:rPr>
        <w:t>).  Here the faults appear to be acting mainly as barriers where hydraulic head discontinuities occur across fault traces and flow is parallel to the fault trace.</w:t>
      </w:r>
    </w:p>
    <w:p w14:paraId="439EC6A8" w14:textId="77777777" w:rsidR="00000382" w:rsidRPr="00000382" w:rsidRDefault="00000382" w:rsidP="002F59AA">
      <w:pPr>
        <w:autoSpaceDE w:val="0"/>
        <w:autoSpaceDN w:val="0"/>
        <w:adjustRightInd w:val="0"/>
        <w:spacing w:after="0" w:line="240" w:lineRule="auto"/>
        <w:rPr>
          <w:rFonts w:cs="Frutiger-Bold"/>
          <w:b/>
          <w:bCs/>
        </w:rPr>
      </w:pPr>
    </w:p>
    <w:p w14:paraId="3D37F5B2" w14:textId="77777777" w:rsidR="002F59AA" w:rsidRDefault="002F59AA" w:rsidP="00E9349B">
      <w:pPr>
        <w:jc w:val="center"/>
        <w:rPr>
          <w:rFonts w:ascii="Times New Roman" w:hAnsi="Times New Roman" w:cs="Times New Roman"/>
          <w:sz w:val="24"/>
          <w:szCs w:val="24"/>
        </w:rPr>
      </w:pPr>
      <w:r>
        <w:rPr>
          <w:rFonts w:ascii="Times New Roman" w:hAnsi="Times New Roman" w:cs="Times New Roman"/>
          <w:noProof/>
          <w:sz w:val="24"/>
          <w:szCs w:val="24"/>
          <w:lang w:eastAsia="en-AU"/>
        </w:rPr>
        <w:lastRenderedPageBreak/>
        <w:drawing>
          <wp:inline distT="0" distB="0" distL="0" distR="0" wp14:anchorId="2DE0F48F" wp14:editId="41D30799">
            <wp:extent cx="5600700" cy="3767195"/>
            <wp:effectExtent l="0" t="0" r="0" b="5080"/>
            <wp:docPr id="7" name="Picture 7" descr="Map of hydraulic head distribution for the Barrow aquifer." title="Fig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yrenese macedon head faulted.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663717" cy="3809582"/>
                    </a:xfrm>
                    <a:prstGeom prst="rect">
                      <a:avLst/>
                    </a:prstGeom>
                  </pic:spPr>
                </pic:pic>
              </a:graphicData>
            </a:graphic>
          </wp:inline>
        </w:drawing>
      </w:r>
    </w:p>
    <w:p w14:paraId="26D97F43" w14:textId="3B70F20B" w:rsidR="002F59AA" w:rsidRDefault="00391D3A" w:rsidP="00391D3A">
      <w:pPr>
        <w:pStyle w:val="Caption"/>
        <w:rPr>
          <w:rFonts w:cs="AdvPS6F00"/>
        </w:rPr>
      </w:pPr>
      <w:bookmarkStart w:id="489" w:name="_Ref432605029"/>
      <w:bookmarkStart w:id="490" w:name="_Toc442353801"/>
      <w:r>
        <w:t xml:space="preserve">Figure </w:t>
      </w:r>
      <w:fldSimple w:instr=" SEQ Figure \* ARABIC ">
        <w:r w:rsidR="00ED1412">
          <w:rPr>
            <w:noProof/>
          </w:rPr>
          <w:t>20</w:t>
        </w:r>
      </w:fldSimple>
      <w:bookmarkEnd w:id="489"/>
      <w:r w:rsidR="001E0F17">
        <w:rPr>
          <w:rFonts w:cs="AdvPS6F00"/>
        </w:rPr>
        <w:t>.</w:t>
      </w:r>
      <w:r w:rsidR="002F59AA" w:rsidRPr="00000382">
        <w:rPr>
          <w:rFonts w:cs="AdvPS6F00"/>
        </w:rPr>
        <w:t xml:space="preserve"> Hydraulic head distribution map for the Barrow aquifer for the P–M fields. Inset shows alternative interpretation for head </w:t>
      </w:r>
      <w:r w:rsidR="00000382" w:rsidRPr="00000382">
        <w:rPr>
          <w:rFonts w:cs="AdvPS6F00"/>
        </w:rPr>
        <w:t xml:space="preserve">distribution in the compartment </w:t>
      </w:r>
      <w:r w:rsidR="002F59AA" w:rsidRPr="00000382">
        <w:rPr>
          <w:rFonts w:cs="AdvPS6F00"/>
        </w:rPr>
        <w:t>between Pyrenees-2 and West Muiron-5</w:t>
      </w:r>
      <w:r w:rsidR="00BA7B5D">
        <w:rPr>
          <w:rFonts w:cs="AdvPS6F00"/>
        </w:rPr>
        <w:t>.</w:t>
      </w:r>
      <w:r w:rsidR="00000382" w:rsidRPr="00000382">
        <w:rPr>
          <w:rFonts w:cs="AdvPS6F00"/>
        </w:rPr>
        <w:t xml:space="preserve"> </w:t>
      </w:r>
      <w:r w:rsidR="00672DAE">
        <w:rPr>
          <w:rFonts w:cs="AdvPS6F00"/>
        </w:rPr>
        <w:t>Grey shading that define the contours representing fresh water hydraulic head (m).  Heavy black lines represent major fault traces</w:t>
      </w:r>
      <w:r w:rsidR="00BA7B5D" w:rsidRPr="00BA7B5D">
        <w:rPr>
          <w:rFonts w:cs="AdvPS6F00"/>
        </w:rPr>
        <w:t xml:space="preserve"> </w:t>
      </w:r>
      <w:r w:rsidR="00BA7B5D" w:rsidRPr="00000382">
        <w:rPr>
          <w:rFonts w:cs="AdvPS6F00"/>
        </w:rPr>
        <w:t>(Bailey et al. 2006).</w:t>
      </w:r>
      <w:bookmarkEnd w:id="490"/>
    </w:p>
    <w:p w14:paraId="00F3FFC4" w14:textId="77777777" w:rsidR="007C5879" w:rsidRDefault="007C5879" w:rsidP="00000382">
      <w:pPr>
        <w:autoSpaceDE w:val="0"/>
        <w:autoSpaceDN w:val="0"/>
        <w:adjustRightInd w:val="0"/>
        <w:spacing w:after="0" w:line="240" w:lineRule="auto"/>
        <w:rPr>
          <w:rFonts w:cs="AdvPS6F00"/>
        </w:rPr>
      </w:pPr>
    </w:p>
    <w:p w14:paraId="2BA7AE30" w14:textId="77777777" w:rsidR="007C5879" w:rsidRPr="00000382" w:rsidRDefault="007C5879" w:rsidP="00E9349B">
      <w:pPr>
        <w:autoSpaceDE w:val="0"/>
        <w:autoSpaceDN w:val="0"/>
        <w:adjustRightInd w:val="0"/>
        <w:spacing w:after="0" w:line="240" w:lineRule="auto"/>
        <w:jc w:val="center"/>
        <w:rPr>
          <w:rFonts w:cs="AdvPS6F00"/>
        </w:rPr>
      </w:pPr>
      <w:r>
        <w:rPr>
          <w:noProof/>
          <w:lang w:eastAsia="en-AU"/>
        </w:rPr>
        <w:drawing>
          <wp:inline distT="0" distB="0" distL="0" distR="0" wp14:anchorId="2EB9666D" wp14:editId="3C490485">
            <wp:extent cx="4394200" cy="2802272"/>
            <wp:effectExtent l="0" t="0" r="6350" b="0"/>
            <wp:docPr id="2" name="Picture 2" descr="Diagram of relay ramp." title="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sabulletin.gsapubs.org/content/118/3-4/430/F1.large.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451293" cy="2838681"/>
                    </a:xfrm>
                    <a:prstGeom prst="rect">
                      <a:avLst/>
                    </a:prstGeom>
                    <a:noFill/>
                    <a:ln>
                      <a:noFill/>
                    </a:ln>
                  </pic:spPr>
                </pic:pic>
              </a:graphicData>
            </a:graphic>
          </wp:inline>
        </w:drawing>
      </w:r>
    </w:p>
    <w:p w14:paraId="5AD232D1" w14:textId="77777777" w:rsidR="0006110D" w:rsidRDefault="0006110D" w:rsidP="0006110D">
      <w:pPr>
        <w:autoSpaceDE w:val="0"/>
        <w:autoSpaceDN w:val="0"/>
        <w:adjustRightInd w:val="0"/>
        <w:spacing w:after="0" w:line="240" w:lineRule="auto"/>
        <w:rPr>
          <w:rFonts w:ascii="Times New Roman" w:hAnsi="Times New Roman" w:cs="Times New Roman"/>
          <w:sz w:val="24"/>
          <w:szCs w:val="24"/>
        </w:rPr>
      </w:pPr>
    </w:p>
    <w:p w14:paraId="4CF456ED" w14:textId="02CE96D0" w:rsidR="007C5879" w:rsidRDefault="00391D3A" w:rsidP="00391D3A">
      <w:pPr>
        <w:pStyle w:val="Caption"/>
        <w:rPr>
          <w:rFonts w:ascii="Times New Roman" w:hAnsi="Times New Roman" w:cs="Times New Roman"/>
          <w:sz w:val="24"/>
          <w:szCs w:val="24"/>
        </w:rPr>
      </w:pPr>
      <w:bookmarkStart w:id="491" w:name="_Ref432605040"/>
      <w:bookmarkStart w:id="492" w:name="_Toc442353802"/>
      <w:r>
        <w:t xml:space="preserve">Figure </w:t>
      </w:r>
      <w:fldSimple w:instr=" SEQ Figure \* ARABIC ">
        <w:r w:rsidR="00ED1412">
          <w:rPr>
            <w:noProof/>
          </w:rPr>
          <w:t>21</w:t>
        </w:r>
      </w:fldSimple>
      <w:bookmarkEnd w:id="491"/>
      <w:r w:rsidR="001E0F17">
        <w:rPr>
          <w:rFonts w:ascii="Times New Roman" w:hAnsi="Times New Roman" w:cs="Times New Roman"/>
          <w:sz w:val="24"/>
          <w:szCs w:val="24"/>
        </w:rPr>
        <w:t>.</w:t>
      </w:r>
      <w:r w:rsidR="007C5879">
        <w:rPr>
          <w:rFonts w:ascii="Times New Roman" w:hAnsi="Times New Roman" w:cs="Times New Roman"/>
          <w:sz w:val="24"/>
          <w:szCs w:val="24"/>
        </w:rPr>
        <w:t xml:space="preserve"> </w:t>
      </w:r>
      <w:r w:rsidR="007C5879" w:rsidRPr="00E25502">
        <w:rPr>
          <w:rFonts w:cs="AdvPS6F00"/>
        </w:rPr>
        <w:t>A schematic diagram of the main features of a structural relay ramp (</w:t>
      </w:r>
      <w:r w:rsidR="0075022D" w:rsidRPr="00E25502">
        <w:rPr>
          <w:rFonts w:cs="AdvPS6F00"/>
        </w:rPr>
        <w:t>Di Bucci et al. 2006</w:t>
      </w:r>
      <w:r w:rsidR="007C5879" w:rsidRPr="00E25502">
        <w:rPr>
          <w:rFonts w:cs="AdvPS6F00"/>
        </w:rPr>
        <w:t>).</w:t>
      </w:r>
      <w:bookmarkEnd w:id="492"/>
    </w:p>
    <w:p w14:paraId="54B79FE8" w14:textId="77777777" w:rsidR="007C5879" w:rsidRDefault="007C5879" w:rsidP="0006110D">
      <w:pPr>
        <w:autoSpaceDE w:val="0"/>
        <w:autoSpaceDN w:val="0"/>
        <w:adjustRightInd w:val="0"/>
        <w:spacing w:after="0" w:line="240" w:lineRule="auto"/>
        <w:rPr>
          <w:rFonts w:ascii="Times New Roman" w:hAnsi="Times New Roman" w:cs="Times New Roman"/>
          <w:sz w:val="24"/>
          <w:szCs w:val="24"/>
        </w:rPr>
      </w:pPr>
    </w:p>
    <w:p w14:paraId="237E7102" w14:textId="77777777" w:rsidR="007C5879" w:rsidRDefault="007C5879" w:rsidP="00E9349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n-AU"/>
        </w:rPr>
        <w:lastRenderedPageBreak/>
        <w:drawing>
          <wp:inline distT="0" distB="0" distL="0" distR="0" wp14:anchorId="6EC27AB5" wp14:editId="20AAD4D4">
            <wp:extent cx="4373093" cy="3524250"/>
            <wp:effectExtent l="0" t="0" r="8890" b="0"/>
            <wp:docPr id="4" name="Picture 4" descr="Diagram of modelled groundwater flow in a relay ramp system." title="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nse relay head.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397585" cy="3543988"/>
                    </a:xfrm>
                    <a:prstGeom prst="rect">
                      <a:avLst/>
                    </a:prstGeom>
                  </pic:spPr>
                </pic:pic>
              </a:graphicData>
            </a:graphic>
          </wp:inline>
        </w:drawing>
      </w:r>
    </w:p>
    <w:p w14:paraId="44C21884" w14:textId="5B55C07E" w:rsidR="007C5879" w:rsidRPr="006F74F0" w:rsidRDefault="00391D3A" w:rsidP="00391D3A">
      <w:pPr>
        <w:pStyle w:val="Caption"/>
        <w:rPr>
          <w:rFonts w:eastAsia="AdvT571" w:cs="AdvT571"/>
        </w:rPr>
      </w:pPr>
      <w:bookmarkStart w:id="493" w:name="_Ref432605046"/>
      <w:bookmarkStart w:id="494" w:name="_Toc442353803"/>
      <w:r>
        <w:t xml:space="preserve">Figure </w:t>
      </w:r>
      <w:fldSimple w:instr=" SEQ Figure \* ARABIC ">
        <w:r w:rsidR="00ED1412">
          <w:rPr>
            <w:noProof/>
          </w:rPr>
          <w:t>22</w:t>
        </w:r>
      </w:fldSimple>
      <w:bookmarkEnd w:id="493"/>
      <w:r w:rsidR="001E0F17">
        <w:rPr>
          <w:rFonts w:cs="Times New Roman"/>
        </w:rPr>
        <w:t>.</w:t>
      </w:r>
      <w:r w:rsidR="007C5879" w:rsidRPr="006F74F0">
        <w:rPr>
          <w:rFonts w:cs="Times New Roman"/>
        </w:rPr>
        <w:t xml:space="preserve"> </w:t>
      </w:r>
      <w:r w:rsidR="007C5879" w:rsidRPr="006F74F0">
        <w:rPr>
          <w:rFonts w:eastAsia="AdvT571" w:cs="AdvT571"/>
        </w:rPr>
        <w:t>Detail of the model showing the groundwater flow patterns</w:t>
      </w:r>
      <w:r w:rsidR="00672DAE">
        <w:rPr>
          <w:rFonts w:eastAsia="AdvT571" w:cs="AdvT571"/>
        </w:rPr>
        <w:t xml:space="preserve"> (black lines with arrows)</w:t>
      </w:r>
      <w:r w:rsidR="007C5879" w:rsidRPr="006F74F0">
        <w:rPr>
          <w:rFonts w:eastAsia="AdvT571" w:cs="AdvT571"/>
        </w:rPr>
        <w:t xml:space="preserve"> around the fault relay. Contour interval is 10m</w:t>
      </w:r>
      <w:r w:rsidR="00BA7B5D" w:rsidRPr="00BA7B5D">
        <w:rPr>
          <w:rFonts w:cs="Times New Roman"/>
        </w:rPr>
        <w:t xml:space="preserve"> </w:t>
      </w:r>
      <w:r w:rsidR="00BA7B5D">
        <w:rPr>
          <w:rFonts w:cs="Times New Roman"/>
        </w:rPr>
        <w:t>(</w:t>
      </w:r>
      <w:r w:rsidR="00BA7B5D" w:rsidRPr="006F74F0">
        <w:rPr>
          <w:rFonts w:cs="Times New Roman"/>
        </w:rPr>
        <w:t>Bense and Van Balen 2004</w:t>
      </w:r>
      <w:r w:rsidR="00BA7B5D">
        <w:rPr>
          <w:rFonts w:cs="Times New Roman"/>
        </w:rPr>
        <w:t>)</w:t>
      </w:r>
      <w:r w:rsidR="007C5879" w:rsidRPr="006F74F0">
        <w:rPr>
          <w:rFonts w:eastAsia="AdvT571" w:cs="AdvT571"/>
        </w:rPr>
        <w:t>.</w:t>
      </w:r>
      <w:bookmarkEnd w:id="494"/>
      <w:r w:rsidR="00672DAE">
        <w:rPr>
          <w:rFonts w:eastAsia="AdvT571" w:cs="AdvT571"/>
        </w:rPr>
        <w:t xml:space="preserve"> </w:t>
      </w:r>
    </w:p>
    <w:p w14:paraId="65336208" w14:textId="77777777" w:rsidR="007C5879" w:rsidRPr="006F74F0" w:rsidRDefault="007C5879" w:rsidP="007C5879">
      <w:pPr>
        <w:autoSpaceDE w:val="0"/>
        <w:autoSpaceDN w:val="0"/>
        <w:adjustRightInd w:val="0"/>
        <w:spacing w:after="0" w:line="240" w:lineRule="auto"/>
        <w:rPr>
          <w:rFonts w:eastAsia="AdvT571" w:cs="AdvT571"/>
        </w:rPr>
      </w:pPr>
    </w:p>
    <w:p w14:paraId="7F44C430" w14:textId="77777777" w:rsidR="0006110D" w:rsidRDefault="0006110D" w:rsidP="00E9349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n-AU"/>
        </w:rPr>
        <w:drawing>
          <wp:inline distT="0" distB="0" distL="0" distR="0" wp14:anchorId="7DEED813" wp14:editId="63ADFC06">
            <wp:extent cx="3992880" cy="3999074"/>
            <wp:effectExtent l="0" t="0" r="7620" b="1905"/>
            <wp:docPr id="14" name="Picture 14" descr="Map of hydraulic head in a shallow aquifer of the lower rhine embayment." title="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nse roer map 2004.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026120" cy="4032365"/>
                    </a:xfrm>
                    <a:prstGeom prst="rect">
                      <a:avLst/>
                    </a:prstGeom>
                  </pic:spPr>
                </pic:pic>
              </a:graphicData>
            </a:graphic>
          </wp:inline>
        </w:drawing>
      </w:r>
    </w:p>
    <w:p w14:paraId="0C276C3D" w14:textId="2FC637E7" w:rsidR="0006110D" w:rsidRDefault="00391D3A" w:rsidP="00391D3A">
      <w:pPr>
        <w:pStyle w:val="Caption"/>
        <w:rPr>
          <w:rFonts w:cs="Times New Roman"/>
        </w:rPr>
      </w:pPr>
      <w:bookmarkStart w:id="495" w:name="_Ref432605053"/>
      <w:bookmarkStart w:id="496" w:name="_Toc442353804"/>
      <w:r>
        <w:t xml:space="preserve">Figure </w:t>
      </w:r>
      <w:fldSimple w:instr=" SEQ Figure \* ARABIC ">
        <w:r w:rsidR="00ED1412">
          <w:rPr>
            <w:noProof/>
          </w:rPr>
          <w:t>23</w:t>
        </w:r>
      </w:fldSimple>
      <w:bookmarkEnd w:id="495"/>
      <w:r w:rsidR="001E0F17">
        <w:rPr>
          <w:rFonts w:cs="Times New Roman"/>
        </w:rPr>
        <w:t>.</w:t>
      </w:r>
      <w:r w:rsidR="0006110D" w:rsidRPr="0006110D">
        <w:rPr>
          <w:rFonts w:cs="Times New Roman"/>
        </w:rPr>
        <w:t xml:space="preserve"> </w:t>
      </w:r>
      <w:r w:rsidR="0006110D">
        <w:rPr>
          <w:rFonts w:cs="Times New Roman"/>
        </w:rPr>
        <w:t>Hydraulic head in a shallow aquifer of the Lower Rhine Embay</w:t>
      </w:r>
      <w:r>
        <w:rPr>
          <w:rFonts w:cs="Times New Roman"/>
        </w:rPr>
        <w:t>ment of the Roer Valley Graben.</w:t>
      </w:r>
      <w:r w:rsidR="00672DAE">
        <w:rPr>
          <w:rFonts w:cs="Times New Roman"/>
        </w:rPr>
        <w:t xml:space="preserve"> Contour lines are fresh water hydraulic head (m) and heavy black lines with tick marks are major fault traces.  Well locations are indicated by open circles</w:t>
      </w:r>
      <w:r w:rsidR="00BA7B5D" w:rsidRPr="00BA7B5D">
        <w:rPr>
          <w:rFonts w:cs="Times New Roman"/>
        </w:rPr>
        <w:t xml:space="preserve"> </w:t>
      </w:r>
      <w:r w:rsidR="00BA7B5D">
        <w:rPr>
          <w:rFonts w:cs="Times New Roman"/>
        </w:rPr>
        <w:t>(Bense and Van Balen, 2004).</w:t>
      </w:r>
      <w:bookmarkEnd w:id="496"/>
    </w:p>
    <w:p w14:paraId="5F700AF1" w14:textId="38E6FCC2" w:rsidR="006F4DE0" w:rsidRDefault="006F4DE0" w:rsidP="0006110D">
      <w:pPr>
        <w:autoSpaceDE w:val="0"/>
        <w:autoSpaceDN w:val="0"/>
        <w:adjustRightInd w:val="0"/>
        <w:spacing w:after="0" w:line="240" w:lineRule="auto"/>
        <w:rPr>
          <w:rFonts w:cs="Times New Roman"/>
        </w:rPr>
      </w:pPr>
      <w:r>
        <w:rPr>
          <w:rFonts w:cs="Times New Roman"/>
        </w:rPr>
        <w:lastRenderedPageBreak/>
        <w:t>Similarly, hydraulic h</w:t>
      </w:r>
      <w:r w:rsidR="009C69C0">
        <w:rPr>
          <w:rFonts w:cs="Times New Roman"/>
        </w:rPr>
        <w:t>ead and salinity distribution in</w:t>
      </w:r>
      <w:r>
        <w:rPr>
          <w:rFonts w:cs="Times New Roman"/>
        </w:rPr>
        <w:t xml:space="preserve"> the foothills of the Western Canadian Sedimentary basin mapped by Underschultz et al</w:t>
      </w:r>
      <w:r w:rsidR="009C69C0">
        <w:rPr>
          <w:rFonts w:cs="Times New Roman"/>
        </w:rPr>
        <w:t>.</w:t>
      </w:r>
      <w:r>
        <w:rPr>
          <w:rFonts w:cs="Times New Roman"/>
        </w:rPr>
        <w:t xml:space="preserve"> (2005) show compartmentalisation and hydraulic head discontinuities across thrust faults that displace Mississippian strata, but vertical hydraulic communication at lateral ramp</w:t>
      </w:r>
      <w:r w:rsidR="00A532A6">
        <w:rPr>
          <w:rFonts w:cs="Times New Roman"/>
        </w:rPr>
        <w:t>s</w:t>
      </w:r>
      <w:r>
        <w:rPr>
          <w:rFonts w:cs="Times New Roman"/>
        </w:rPr>
        <w:t xml:space="preserve"> with faults acting a</w:t>
      </w:r>
      <w:r w:rsidR="009C69C0">
        <w:rPr>
          <w:rFonts w:cs="Times New Roman"/>
        </w:rPr>
        <w:t>s</w:t>
      </w:r>
      <w:r w:rsidR="00A532A6">
        <w:rPr>
          <w:rFonts w:cs="Times New Roman"/>
        </w:rPr>
        <w:t xml:space="preserve"> conduits creating</w:t>
      </w:r>
      <w:r>
        <w:rPr>
          <w:rFonts w:cs="Times New Roman"/>
        </w:rPr>
        <w:t xml:space="preserve"> vertical </w:t>
      </w:r>
      <w:r w:rsidR="00A17BF9">
        <w:rPr>
          <w:rFonts w:cs="Times New Roman"/>
        </w:rPr>
        <w:t>transmissivity</w:t>
      </w:r>
      <w:r>
        <w:rPr>
          <w:rFonts w:cs="Times New Roman"/>
        </w:rPr>
        <w:t xml:space="preserve"> between Mississippian </w:t>
      </w:r>
      <w:r w:rsidR="00A532A6">
        <w:rPr>
          <w:rFonts w:cs="Times New Roman"/>
        </w:rPr>
        <w:t>and Devonian aquifers</w:t>
      </w:r>
      <w:r>
        <w:rPr>
          <w:rFonts w:cs="Times New Roman"/>
        </w:rPr>
        <w:t>. This data is also supported by the location of thermal springs at some lateral ramp locations.  In this case</w:t>
      </w:r>
      <w:r w:rsidR="0070347B">
        <w:rPr>
          <w:rFonts w:cs="Times New Roman"/>
        </w:rPr>
        <w:t>,</w:t>
      </w:r>
      <w:r>
        <w:rPr>
          <w:rFonts w:cs="Times New Roman"/>
        </w:rPr>
        <w:t xml:space="preserve"> the fault zone orientation relative to the prevailing stress regime correlates to sealing and dilatant fa</w:t>
      </w:r>
      <w:r w:rsidR="00B55126">
        <w:rPr>
          <w:rFonts w:cs="Times New Roman"/>
        </w:rPr>
        <w:t xml:space="preserve">ult segments. Finally, </w:t>
      </w:r>
      <w:r w:rsidR="00B35CE3">
        <w:rPr>
          <w:rFonts w:cs="Times New Roman"/>
        </w:rPr>
        <w:fldChar w:fldCharType="begin"/>
      </w:r>
      <w:r w:rsidR="00B35CE3">
        <w:rPr>
          <w:rFonts w:cs="Times New Roman"/>
        </w:rPr>
        <w:instrText xml:space="preserve"> REF _Ref432605070 \h </w:instrText>
      </w:r>
      <w:r w:rsidR="00B35CE3">
        <w:rPr>
          <w:rFonts w:cs="Times New Roman"/>
        </w:rPr>
      </w:r>
      <w:r w:rsidR="00B35CE3">
        <w:rPr>
          <w:rFonts w:cs="Times New Roman"/>
        </w:rPr>
        <w:fldChar w:fldCharType="separate"/>
      </w:r>
      <w:r w:rsidR="00ED1412">
        <w:t xml:space="preserve">Figure </w:t>
      </w:r>
      <w:r w:rsidR="00ED1412">
        <w:rPr>
          <w:noProof/>
        </w:rPr>
        <w:t>24</w:t>
      </w:r>
      <w:r w:rsidR="00B35CE3">
        <w:rPr>
          <w:rFonts w:cs="Times New Roman"/>
        </w:rPr>
        <w:fldChar w:fldCharType="end"/>
      </w:r>
      <w:r w:rsidR="00B35CE3">
        <w:rPr>
          <w:rFonts w:cs="Times New Roman"/>
        </w:rPr>
        <w:t xml:space="preserve"> </w:t>
      </w:r>
      <w:r>
        <w:rPr>
          <w:rFonts w:cs="Times New Roman"/>
        </w:rPr>
        <w:t xml:space="preserve">also shows the en-echelon fault architecture in the foothills east of </w:t>
      </w:r>
      <w:r w:rsidR="00A532A6">
        <w:rPr>
          <w:rFonts w:cs="Times New Roman"/>
        </w:rPr>
        <w:t>the Rocky Mountain</w:t>
      </w:r>
      <w:r>
        <w:rPr>
          <w:rFonts w:cs="Times New Roman"/>
        </w:rPr>
        <w:t xml:space="preserve"> main ranges and the nature of flow systems in this region where hydraulic continuity is achieved around fault tips where strain is shifted to the next sub-parallel fault.  A schematic NW-SE oriented cross-section of the Brazeau thrust sheet across the lateral ramp that terminates its</w:t>
      </w:r>
      <w:r w:rsidR="00B55126">
        <w:rPr>
          <w:rFonts w:cs="Times New Roman"/>
        </w:rPr>
        <w:t xml:space="preserve"> extent (see</w:t>
      </w:r>
      <w:r w:rsidR="00B35CE3">
        <w:rPr>
          <w:rFonts w:cs="Times New Roman"/>
        </w:rPr>
        <w:t xml:space="preserve"> </w:t>
      </w:r>
      <w:r w:rsidR="00B35CE3">
        <w:rPr>
          <w:rFonts w:cs="Times New Roman"/>
        </w:rPr>
        <w:fldChar w:fldCharType="begin"/>
      </w:r>
      <w:r w:rsidR="00B35CE3">
        <w:rPr>
          <w:rFonts w:cs="Times New Roman"/>
        </w:rPr>
        <w:instrText xml:space="preserve"> REF _Ref432605070 \h </w:instrText>
      </w:r>
      <w:r w:rsidR="00B35CE3">
        <w:rPr>
          <w:rFonts w:cs="Times New Roman"/>
        </w:rPr>
      </w:r>
      <w:r w:rsidR="00B35CE3">
        <w:rPr>
          <w:rFonts w:cs="Times New Roman"/>
        </w:rPr>
        <w:fldChar w:fldCharType="separate"/>
      </w:r>
      <w:r w:rsidR="00ED1412">
        <w:t xml:space="preserve">Figure </w:t>
      </w:r>
      <w:r w:rsidR="00ED1412">
        <w:rPr>
          <w:noProof/>
        </w:rPr>
        <w:t>24</w:t>
      </w:r>
      <w:r w:rsidR="00B35CE3">
        <w:rPr>
          <w:rFonts w:cs="Times New Roman"/>
        </w:rPr>
        <w:fldChar w:fldCharType="end"/>
      </w:r>
      <w:r w:rsidR="003A46FC">
        <w:rPr>
          <w:rFonts w:cs="Times New Roman"/>
        </w:rPr>
        <w:t>)</w:t>
      </w:r>
      <w:r w:rsidR="00B55126">
        <w:rPr>
          <w:rFonts w:cs="Times New Roman"/>
        </w:rPr>
        <w:t xml:space="preserve"> is displayed in</w:t>
      </w:r>
      <w:r w:rsidR="00B35CE3">
        <w:rPr>
          <w:rFonts w:cs="Times New Roman"/>
        </w:rPr>
        <w:t xml:space="preserve"> </w:t>
      </w:r>
      <w:r w:rsidR="00B35CE3">
        <w:rPr>
          <w:rFonts w:cs="Times New Roman"/>
        </w:rPr>
        <w:fldChar w:fldCharType="begin"/>
      </w:r>
      <w:r w:rsidR="00B35CE3">
        <w:rPr>
          <w:rFonts w:cs="Times New Roman"/>
        </w:rPr>
        <w:instrText xml:space="preserve"> REF _Ref432605087 \h </w:instrText>
      </w:r>
      <w:r w:rsidR="00B35CE3">
        <w:rPr>
          <w:rFonts w:cs="Times New Roman"/>
        </w:rPr>
      </w:r>
      <w:r w:rsidR="00B35CE3">
        <w:rPr>
          <w:rFonts w:cs="Times New Roman"/>
        </w:rPr>
        <w:fldChar w:fldCharType="separate"/>
      </w:r>
      <w:r w:rsidR="00ED1412">
        <w:t xml:space="preserve">Figure </w:t>
      </w:r>
      <w:r w:rsidR="00ED1412">
        <w:rPr>
          <w:noProof/>
        </w:rPr>
        <w:t>25</w:t>
      </w:r>
      <w:r w:rsidR="00B35CE3">
        <w:rPr>
          <w:rFonts w:cs="Times New Roman"/>
        </w:rPr>
        <w:fldChar w:fldCharType="end"/>
      </w:r>
      <w:r>
        <w:rPr>
          <w:rFonts w:cs="Times New Roman"/>
        </w:rPr>
        <w:t>.</w:t>
      </w:r>
      <w:r w:rsidR="0086389E">
        <w:rPr>
          <w:rFonts w:cs="Times New Roman"/>
        </w:rPr>
        <w:t xml:space="preserve"> It demonstrates the geometry of the flow systems (head and salinity) in the Mississipian and Devonian Woodbend aquifers in relation to the lateral ramp.</w:t>
      </w:r>
    </w:p>
    <w:p w14:paraId="6860B4E3" w14:textId="735446BC" w:rsidR="00000382" w:rsidRPr="00000382" w:rsidRDefault="00000382" w:rsidP="00000382">
      <w:pPr>
        <w:autoSpaceDE w:val="0"/>
        <w:autoSpaceDN w:val="0"/>
        <w:adjustRightInd w:val="0"/>
        <w:spacing w:after="0" w:line="240" w:lineRule="auto"/>
        <w:rPr>
          <w:rFonts w:cs="AdvPS6F00"/>
        </w:rPr>
      </w:pPr>
    </w:p>
    <w:p w14:paraId="61085389" w14:textId="6A54880D" w:rsidR="002F59AA" w:rsidRDefault="00F7362C" w:rsidP="00E9349B">
      <w:pPr>
        <w:jc w:val="center"/>
        <w:rPr>
          <w:rFonts w:ascii="AdvP264F" w:hAnsi="AdvP264F" w:cs="AdvP264F"/>
          <w:sz w:val="18"/>
          <w:szCs w:val="18"/>
        </w:rPr>
      </w:pPr>
      <w:r>
        <w:rPr>
          <w:rFonts w:ascii="AdvP264F" w:hAnsi="AdvP264F" w:cs="AdvP264F"/>
          <w:noProof/>
          <w:sz w:val="18"/>
          <w:szCs w:val="18"/>
          <w:lang w:eastAsia="en-AU"/>
        </w:rPr>
        <w:drawing>
          <wp:inline distT="0" distB="0" distL="0" distR="0" wp14:anchorId="47F44D96" wp14:editId="617547DA">
            <wp:extent cx="5731510" cy="5381625"/>
            <wp:effectExtent l="0" t="0" r="2540" b="9525"/>
            <wp:docPr id="43" name="Picture 43" descr="Map of the hydraulic head distributions for the Mississippian Aquifer, Western Canada." title="Fig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ississippi map and x sec.jpg"/>
                    <pic:cNvPicPr/>
                  </pic:nvPicPr>
                  <pic:blipFill>
                    <a:blip r:embed="rId62">
                      <a:extLst>
                        <a:ext uri="{28A0092B-C50C-407E-A947-70E740481C1C}">
                          <a14:useLocalDpi xmlns:a14="http://schemas.microsoft.com/office/drawing/2010/main" val="0"/>
                        </a:ext>
                      </a:extLst>
                    </a:blip>
                    <a:stretch>
                      <a:fillRect/>
                    </a:stretch>
                  </pic:blipFill>
                  <pic:spPr>
                    <a:xfrm>
                      <a:off x="0" y="0"/>
                      <a:ext cx="5731510" cy="5381625"/>
                    </a:xfrm>
                    <a:prstGeom prst="rect">
                      <a:avLst/>
                    </a:prstGeom>
                  </pic:spPr>
                </pic:pic>
              </a:graphicData>
            </a:graphic>
          </wp:inline>
        </w:drawing>
      </w:r>
    </w:p>
    <w:p w14:paraId="17799E44" w14:textId="5E64C60C" w:rsidR="002F59AA" w:rsidRPr="006F4DE0" w:rsidRDefault="00391D3A" w:rsidP="00391D3A">
      <w:pPr>
        <w:pStyle w:val="Caption"/>
        <w:rPr>
          <w:rFonts w:cs="AdvP264F"/>
        </w:rPr>
      </w:pPr>
      <w:bookmarkStart w:id="497" w:name="_Ref432605070"/>
      <w:bookmarkStart w:id="498" w:name="_Toc442353805"/>
      <w:r>
        <w:t xml:space="preserve">Figure </w:t>
      </w:r>
      <w:fldSimple w:instr=" SEQ Figure \* ARABIC ">
        <w:r w:rsidR="00ED1412">
          <w:rPr>
            <w:noProof/>
          </w:rPr>
          <w:t>24</w:t>
        </w:r>
      </w:fldSimple>
      <w:bookmarkEnd w:id="497"/>
      <w:r w:rsidR="001E0F17">
        <w:rPr>
          <w:rFonts w:cs="AdvP2660"/>
        </w:rPr>
        <w:t>.</w:t>
      </w:r>
      <w:r w:rsidR="002F59AA" w:rsidRPr="006F4DE0">
        <w:rPr>
          <w:rFonts w:cs="AdvP2660"/>
        </w:rPr>
        <w:t xml:space="preserve"> </w:t>
      </w:r>
      <w:r w:rsidR="002F59AA" w:rsidRPr="006F4DE0">
        <w:rPr>
          <w:rFonts w:cs="AdvP264F"/>
        </w:rPr>
        <w:t>Hydraulic head (m) distribution for the Mississippian aquifer</w:t>
      </w:r>
      <w:r w:rsidR="006F4DE0" w:rsidRPr="006F4DE0">
        <w:rPr>
          <w:rFonts w:cs="AdvP264F"/>
        </w:rPr>
        <w:t xml:space="preserve"> western Canada </w:t>
      </w:r>
      <w:r w:rsidR="00BA7B5D">
        <w:rPr>
          <w:rFonts w:cs="AdvP264F"/>
        </w:rPr>
        <w:t>(</w:t>
      </w:r>
      <w:r w:rsidR="006F4DE0" w:rsidRPr="006F4DE0">
        <w:rPr>
          <w:rFonts w:cs="AdvP264F"/>
        </w:rPr>
        <w:t>Underschultz et al. 2005</w:t>
      </w:r>
      <w:r w:rsidR="00BA7B5D">
        <w:rPr>
          <w:rFonts w:cs="AdvP264F"/>
        </w:rPr>
        <w:t>)</w:t>
      </w:r>
      <w:r w:rsidR="006F4DE0" w:rsidRPr="006F4DE0">
        <w:rPr>
          <w:rFonts w:cs="AdvP264F"/>
        </w:rPr>
        <w:t>.</w:t>
      </w:r>
      <w:r w:rsidR="00F7362C">
        <w:rPr>
          <w:rFonts w:cs="AdvP264F"/>
        </w:rPr>
        <w:t xml:space="preserve"> The white line in the SE corner of the map is the location of the cross section depicted in Figure 25 to follow.</w:t>
      </w:r>
      <w:bookmarkEnd w:id="498"/>
    </w:p>
    <w:p w14:paraId="2FB954F8" w14:textId="77777777" w:rsidR="002F59AA" w:rsidRDefault="002F59AA" w:rsidP="00E9349B">
      <w:pPr>
        <w:jc w:val="center"/>
      </w:pPr>
      <w:r>
        <w:rPr>
          <w:noProof/>
          <w:lang w:eastAsia="en-AU"/>
        </w:rPr>
        <w:lastRenderedPageBreak/>
        <w:drawing>
          <wp:inline distT="0" distB="0" distL="0" distR="0" wp14:anchorId="0C0D83E1" wp14:editId="34EC5B16">
            <wp:extent cx="3445663" cy="2382982"/>
            <wp:effectExtent l="0" t="0" r="2540" b="0"/>
            <wp:docPr id="11" name="Picture 11" descr="Schematic cross-section of the Brazeau thrust sheet." title="Fig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ateral ramps.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465468" cy="2396679"/>
                    </a:xfrm>
                    <a:prstGeom prst="rect">
                      <a:avLst/>
                    </a:prstGeom>
                  </pic:spPr>
                </pic:pic>
              </a:graphicData>
            </a:graphic>
          </wp:inline>
        </w:drawing>
      </w:r>
    </w:p>
    <w:p w14:paraId="73FD85C2" w14:textId="35CF9227" w:rsidR="002F59AA" w:rsidRDefault="00391D3A" w:rsidP="00391D3A">
      <w:pPr>
        <w:pStyle w:val="Caption"/>
        <w:rPr>
          <w:rFonts w:cs="AdvP264F"/>
        </w:rPr>
      </w:pPr>
      <w:bookmarkStart w:id="499" w:name="_Ref432605087"/>
      <w:bookmarkStart w:id="500" w:name="_Toc442353806"/>
      <w:r>
        <w:t xml:space="preserve">Figure </w:t>
      </w:r>
      <w:fldSimple w:instr=" SEQ Figure \* ARABIC ">
        <w:r w:rsidR="00ED1412">
          <w:rPr>
            <w:noProof/>
          </w:rPr>
          <w:t>25</w:t>
        </w:r>
      </w:fldSimple>
      <w:bookmarkEnd w:id="499"/>
      <w:r w:rsidR="001E0F17">
        <w:rPr>
          <w:rFonts w:cs="AdvP2660"/>
        </w:rPr>
        <w:t>.</w:t>
      </w:r>
      <w:r w:rsidR="002F59AA" w:rsidRPr="0086389E">
        <w:rPr>
          <w:rFonts w:cs="AdvP2660"/>
        </w:rPr>
        <w:t xml:space="preserve"> </w:t>
      </w:r>
      <w:r w:rsidR="002F59AA" w:rsidRPr="0086389E">
        <w:rPr>
          <w:rFonts w:cs="AdvP264F"/>
        </w:rPr>
        <w:t>Schematic stri</w:t>
      </w:r>
      <w:r w:rsidR="003A46FC" w:rsidRPr="0086389E">
        <w:rPr>
          <w:rFonts w:cs="AdvP264F"/>
        </w:rPr>
        <w:t xml:space="preserve">ke cross section of the Brazeau </w:t>
      </w:r>
      <w:r w:rsidR="002F59AA" w:rsidRPr="0086389E">
        <w:rPr>
          <w:rFonts w:cs="AdvP264F"/>
        </w:rPr>
        <w:t xml:space="preserve">thrust sheet </w:t>
      </w:r>
      <w:r w:rsidR="00BA7B5D">
        <w:rPr>
          <w:rFonts w:cs="AdvP264F"/>
        </w:rPr>
        <w:t>(</w:t>
      </w:r>
      <w:r w:rsidR="0086389E" w:rsidRPr="0086389E">
        <w:rPr>
          <w:rFonts w:cs="AdvP264F"/>
        </w:rPr>
        <w:t>Underschultz et al. 2005</w:t>
      </w:r>
      <w:r w:rsidR="00BA7B5D">
        <w:rPr>
          <w:rFonts w:cs="AdvP264F"/>
        </w:rPr>
        <w:t xml:space="preserve">, </w:t>
      </w:r>
      <w:r w:rsidR="00BA7B5D" w:rsidRPr="0086389E">
        <w:rPr>
          <w:rFonts w:cs="AdvP264F"/>
        </w:rPr>
        <w:t>based on Begin and Spratt, 2002)</w:t>
      </w:r>
      <w:r w:rsidR="00F7362C">
        <w:rPr>
          <w:rFonts w:cs="AdvP264F"/>
        </w:rPr>
        <w:t xml:space="preserve"> the location of which is marked by a white line in the SE corner of Figure 24.</w:t>
      </w:r>
      <w:r w:rsidR="0086389E" w:rsidRPr="0086389E">
        <w:rPr>
          <w:rFonts w:cs="AdvP264F"/>
        </w:rPr>
        <w:t>.</w:t>
      </w:r>
      <w:bookmarkEnd w:id="500"/>
    </w:p>
    <w:p w14:paraId="6001513F" w14:textId="77777777" w:rsidR="00DB42E7" w:rsidRDefault="00DB42E7" w:rsidP="003A46FC">
      <w:pPr>
        <w:autoSpaceDE w:val="0"/>
        <w:autoSpaceDN w:val="0"/>
        <w:adjustRightInd w:val="0"/>
        <w:spacing w:after="0" w:line="240" w:lineRule="auto"/>
        <w:rPr>
          <w:rFonts w:cs="AdvP264F"/>
        </w:rPr>
      </w:pPr>
    </w:p>
    <w:p w14:paraId="2D96BBC6" w14:textId="6013CE62" w:rsidR="00DB42E7" w:rsidRDefault="00F7362C" w:rsidP="003A46FC">
      <w:pPr>
        <w:autoSpaceDE w:val="0"/>
        <w:autoSpaceDN w:val="0"/>
        <w:adjustRightInd w:val="0"/>
        <w:spacing w:after="0" w:line="240" w:lineRule="auto"/>
        <w:rPr>
          <w:rFonts w:cs="AdvP264F"/>
        </w:rPr>
      </w:pPr>
      <w:r>
        <w:rPr>
          <w:rFonts w:cs="AdvP264F"/>
          <w:noProof/>
          <w:lang w:eastAsia="en-AU"/>
        </w:rPr>
        <mc:AlternateContent>
          <mc:Choice Requires="wps">
            <w:drawing>
              <wp:anchor distT="0" distB="0" distL="114300" distR="114300" simplePos="0" relativeHeight="251661312" behindDoc="0" locked="0" layoutInCell="1" allowOverlap="1" wp14:anchorId="72E16283" wp14:editId="4B057EFA">
                <wp:simplePos x="0" y="0"/>
                <wp:positionH relativeFrom="column">
                  <wp:posOffset>4491287</wp:posOffset>
                </wp:positionH>
                <wp:positionV relativeFrom="paragraph">
                  <wp:posOffset>270342</wp:posOffset>
                </wp:positionV>
                <wp:extent cx="563312" cy="665143"/>
                <wp:effectExtent l="19050" t="19050" r="27305" b="20955"/>
                <wp:wrapNone/>
                <wp:docPr id="39" name="Straight Connector 39"/>
                <wp:cNvGraphicFramePr/>
                <a:graphic xmlns:a="http://schemas.openxmlformats.org/drawingml/2006/main">
                  <a:graphicData uri="http://schemas.microsoft.com/office/word/2010/wordprocessingShape">
                    <wps:wsp>
                      <wps:cNvCnPr/>
                      <wps:spPr>
                        <a:xfrm>
                          <a:off x="0" y="0"/>
                          <a:ext cx="563312" cy="665143"/>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32B673" id="Straight Connector 3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53.65pt,21.3pt" to="398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" strokecolor="white [3212]" strokeweight="2.5pt">
                <v:stroke joinstyle="miter"/>
              </v:line>
            </w:pict>
          </mc:Fallback>
        </mc:AlternateContent>
      </w:r>
      <w:r w:rsidR="00DB42E7">
        <w:rPr>
          <w:rFonts w:cs="AdvP264F"/>
        </w:rPr>
        <w:t>While Underschultz et al. (2005) considers both head and salinity data, Bense et al. (2013)</w:t>
      </w:r>
      <w:r w:rsidR="00577FF0">
        <w:rPr>
          <w:rFonts w:cs="AdvP264F"/>
        </w:rPr>
        <w:t xml:space="preserve"> describe temperature anomalies associated with up and do</w:t>
      </w:r>
      <w:r w:rsidR="00B55126">
        <w:rPr>
          <w:rFonts w:cs="AdvP264F"/>
        </w:rPr>
        <w:t>wn fault flow systems (</w:t>
      </w:r>
      <w:r w:rsidR="00B35CE3">
        <w:rPr>
          <w:rFonts w:cs="AdvP264F"/>
        </w:rPr>
        <w:fldChar w:fldCharType="begin"/>
      </w:r>
      <w:r w:rsidR="00B35CE3">
        <w:rPr>
          <w:rFonts w:cs="AdvP264F"/>
        </w:rPr>
        <w:instrText xml:space="preserve"> REF _Ref432605100 \h </w:instrText>
      </w:r>
      <w:r w:rsidR="00B35CE3">
        <w:rPr>
          <w:rFonts w:cs="AdvP264F"/>
        </w:rPr>
      </w:r>
      <w:r w:rsidR="00B35CE3">
        <w:rPr>
          <w:rFonts w:cs="AdvP264F"/>
        </w:rPr>
        <w:fldChar w:fldCharType="separate"/>
      </w:r>
      <w:r w:rsidR="00ED1412">
        <w:t xml:space="preserve">Figure </w:t>
      </w:r>
      <w:r w:rsidR="00ED1412">
        <w:rPr>
          <w:noProof/>
        </w:rPr>
        <w:t>26</w:t>
      </w:r>
      <w:r w:rsidR="00B35CE3">
        <w:rPr>
          <w:rFonts w:cs="AdvP264F"/>
        </w:rPr>
        <w:fldChar w:fldCharType="end"/>
      </w:r>
      <w:r w:rsidR="00577FF0">
        <w:rPr>
          <w:rFonts w:cs="AdvP264F"/>
        </w:rPr>
        <w:t>).  The distribution of multiple independent data sets each associated with the flux of formation water can be utilised to decipher flow system geometry in the vicinity of fault systems.</w:t>
      </w:r>
    </w:p>
    <w:p w14:paraId="0AAE6543" w14:textId="77777777" w:rsidR="00DB42E7" w:rsidRDefault="00DB42E7" w:rsidP="00DB42E7">
      <w:pPr>
        <w:autoSpaceDE w:val="0"/>
        <w:autoSpaceDN w:val="0"/>
        <w:adjustRightInd w:val="0"/>
        <w:spacing w:after="0" w:line="240" w:lineRule="auto"/>
        <w:rPr>
          <w:rFonts w:ascii="Times New Roman" w:hAnsi="Times New Roman" w:cs="Times New Roman"/>
          <w:sz w:val="24"/>
          <w:szCs w:val="24"/>
        </w:rPr>
      </w:pPr>
    </w:p>
    <w:p w14:paraId="5F6F7602" w14:textId="77777777" w:rsidR="00DB42E7" w:rsidRDefault="00DB42E7" w:rsidP="00E9349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n-AU"/>
        </w:rPr>
        <w:drawing>
          <wp:inline distT="0" distB="0" distL="0" distR="0" wp14:anchorId="0AD0B90C" wp14:editId="44D35F28">
            <wp:extent cx="1981891" cy="4724400"/>
            <wp:effectExtent l="0" t="0" r="0" b="0"/>
            <wp:docPr id="21" name="Picture 21" descr="Diagram of effects of shallow fault zone on temperature and hydraulic head." title="Fig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ense 2013 modelling shallow faults 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050215" cy="4887269"/>
                    </a:xfrm>
                    <a:prstGeom prst="rect">
                      <a:avLst/>
                    </a:prstGeom>
                  </pic:spPr>
                </pic:pic>
              </a:graphicData>
            </a:graphic>
          </wp:inline>
        </w:drawing>
      </w:r>
    </w:p>
    <w:p w14:paraId="520F0D2E" w14:textId="188E8E99" w:rsidR="002F59AA" w:rsidRDefault="00391D3A" w:rsidP="00391D3A">
      <w:pPr>
        <w:pStyle w:val="Caption"/>
        <w:rPr>
          <w:rFonts w:cs="AdvTT5235d5a9"/>
        </w:rPr>
      </w:pPr>
      <w:bookmarkStart w:id="501" w:name="_Ref432605100"/>
      <w:bookmarkStart w:id="502" w:name="_Toc442353807"/>
      <w:r>
        <w:t xml:space="preserve">Figure </w:t>
      </w:r>
      <w:fldSimple w:instr=" SEQ Figure \* ARABIC ">
        <w:r w:rsidR="00ED1412">
          <w:rPr>
            <w:noProof/>
          </w:rPr>
          <w:t>26</w:t>
        </w:r>
      </w:fldSimple>
      <w:bookmarkEnd w:id="501"/>
      <w:r w:rsidR="001E0F17">
        <w:rPr>
          <w:rFonts w:cs="AdvTT5235d5a9"/>
        </w:rPr>
        <w:t>.</w:t>
      </w:r>
      <w:r w:rsidR="00577FF0" w:rsidRPr="00577FF0">
        <w:rPr>
          <w:rFonts w:cs="AdvTT5235d5a9"/>
        </w:rPr>
        <w:t xml:space="preserve"> Shallow </w:t>
      </w:r>
      <w:r w:rsidR="00DB42E7" w:rsidRPr="00577FF0">
        <w:rPr>
          <w:rFonts w:cs="AdvTT5235d5a9"/>
        </w:rPr>
        <w:t xml:space="preserve">Fault zone </w:t>
      </w:r>
      <w:r w:rsidR="004F49D9">
        <w:rPr>
          <w:rFonts w:cs="AdvTT5235d5a9"/>
        </w:rPr>
        <w:t>with A) water level scenarios,</w:t>
      </w:r>
      <w:r w:rsidR="00577FF0" w:rsidRPr="00577FF0">
        <w:rPr>
          <w:rFonts w:cs="AdvTT5235d5a9"/>
        </w:rPr>
        <w:t xml:space="preserve"> and</w:t>
      </w:r>
      <w:r w:rsidR="004F49D9">
        <w:rPr>
          <w:rFonts w:cs="AdvTT5235d5a9"/>
        </w:rPr>
        <w:t xml:space="preserve"> B) and C)</w:t>
      </w:r>
      <w:r w:rsidR="00577FF0" w:rsidRPr="00577FF0">
        <w:rPr>
          <w:rFonts w:cs="AdvTT5235d5a9"/>
        </w:rPr>
        <w:t xml:space="preserve"> </w:t>
      </w:r>
      <w:r w:rsidR="004F49D9">
        <w:rPr>
          <w:rFonts w:cs="AdvTT5235d5a9"/>
        </w:rPr>
        <w:t xml:space="preserve">negative and positive </w:t>
      </w:r>
      <w:r w:rsidR="00577FF0" w:rsidRPr="00577FF0">
        <w:rPr>
          <w:rFonts w:cs="AdvTT5235d5a9"/>
        </w:rPr>
        <w:t>thermal anomalies</w:t>
      </w:r>
      <w:r w:rsidR="004F49D9">
        <w:rPr>
          <w:rFonts w:cs="AdvTT5235d5a9"/>
        </w:rPr>
        <w:t xml:space="preserve"> respectively</w:t>
      </w:r>
      <w:r w:rsidR="00DB42E7" w:rsidRPr="00577FF0">
        <w:rPr>
          <w:rFonts w:cs="AdvTT5235d5a9"/>
        </w:rPr>
        <w:t>.</w:t>
      </w:r>
      <w:r w:rsidR="00577FF0" w:rsidRPr="00577FF0">
        <w:rPr>
          <w:rFonts w:cs="AdvTT5235d5a9"/>
        </w:rPr>
        <w:t xml:space="preserve"> </w:t>
      </w:r>
      <w:r w:rsidR="00BA7B5D">
        <w:rPr>
          <w:rFonts w:cs="AdvTT5235d5a9"/>
        </w:rPr>
        <w:t>(</w:t>
      </w:r>
      <w:r w:rsidR="00577FF0" w:rsidRPr="00577FF0">
        <w:rPr>
          <w:rFonts w:cs="AdvTT5235d5a9"/>
        </w:rPr>
        <w:t>Bense et al. 2013</w:t>
      </w:r>
      <w:r w:rsidR="00BA7B5D">
        <w:rPr>
          <w:rFonts w:cs="AdvTT5235d5a9"/>
        </w:rPr>
        <w:t>)</w:t>
      </w:r>
      <w:r w:rsidR="00577FF0" w:rsidRPr="00577FF0">
        <w:rPr>
          <w:rFonts w:cs="AdvTT5235d5a9"/>
        </w:rPr>
        <w:t>.</w:t>
      </w:r>
      <w:bookmarkEnd w:id="502"/>
      <w:r w:rsidR="00DB42E7" w:rsidRPr="00577FF0">
        <w:rPr>
          <w:rFonts w:cs="AdvTT5235d5a9"/>
        </w:rPr>
        <w:t xml:space="preserve"> </w:t>
      </w:r>
    </w:p>
    <w:p w14:paraId="2679917A" w14:textId="6CA0CEF1" w:rsidR="00A15A32" w:rsidRPr="00577FF0" w:rsidRDefault="00A15A32" w:rsidP="00577FF0">
      <w:pPr>
        <w:autoSpaceDE w:val="0"/>
        <w:autoSpaceDN w:val="0"/>
        <w:adjustRightInd w:val="0"/>
        <w:spacing w:after="0" w:line="240" w:lineRule="auto"/>
        <w:rPr>
          <w:rFonts w:cs="AdvTT5235d5a9"/>
        </w:rPr>
      </w:pPr>
      <w:r>
        <w:rPr>
          <w:rFonts w:cs="AdvTT5235d5a9"/>
        </w:rPr>
        <w:lastRenderedPageBreak/>
        <w:t>This section describe</w:t>
      </w:r>
      <w:r w:rsidR="00BA7B5D">
        <w:rPr>
          <w:rFonts w:cs="AdvTT5235d5a9"/>
        </w:rPr>
        <w:t>d</w:t>
      </w:r>
      <w:r>
        <w:rPr>
          <w:rFonts w:cs="AdvTT5235d5a9"/>
        </w:rPr>
        <w:t xml:space="preserve"> the issue of scale in representing hydraulic head distributions (and other parameters such as formation water chemistry and formation temperature) in faulted strata.  Even though in reality the distribution of these parameters is represented by a continuum, at regional scale this is often not possible</w:t>
      </w:r>
      <w:r w:rsidR="004B06CF">
        <w:rPr>
          <w:rFonts w:cs="AdvTT5235d5a9"/>
        </w:rPr>
        <w:t xml:space="preserve"> to capture</w:t>
      </w:r>
      <w:r>
        <w:rPr>
          <w:rFonts w:cs="AdvTT5235d5a9"/>
        </w:rPr>
        <w:t xml:space="preserve"> and we revert to representing these parameters as a discontinuity across faults.  This is simply because there may be</w:t>
      </w:r>
      <w:r w:rsidR="004B06CF">
        <w:rPr>
          <w:rFonts w:cs="AdvTT5235d5a9"/>
        </w:rPr>
        <w:t xml:space="preserve"> such</w:t>
      </w:r>
      <w:r>
        <w:rPr>
          <w:rFonts w:cs="AdvTT5235d5a9"/>
        </w:rPr>
        <w:t xml:space="preserve"> steep gradient</w:t>
      </w:r>
      <w:r w:rsidR="004B06CF">
        <w:rPr>
          <w:rFonts w:cs="AdvTT5235d5a9"/>
        </w:rPr>
        <w:t>s</w:t>
      </w:r>
      <w:r>
        <w:rPr>
          <w:rFonts w:cs="AdvTT5235d5a9"/>
        </w:rPr>
        <w:t xml:space="preserve"> within the thickness of the fault zone that it is not possible to depict at regional scale.  A numerical simulation however needs to accommodate this continuity </w:t>
      </w:r>
      <w:r w:rsidR="00BA7B5D">
        <w:rPr>
          <w:rFonts w:cs="AdvTT5235d5a9"/>
        </w:rPr>
        <w:t>in</w:t>
      </w:r>
      <w:r>
        <w:rPr>
          <w:rFonts w:cs="AdvTT5235d5a9"/>
        </w:rPr>
        <w:t xml:space="preserve"> some way.</w:t>
      </w:r>
      <w:r w:rsidR="004B06CF">
        <w:rPr>
          <w:rFonts w:cs="AdvTT5235d5a9"/>
        </w:rPr>
        <w:t xml:space="preserve"> Strategies such as nested model grid refinement may provide at least partial solutions.  </w:t>
      </w:r>
    </w:p>
    <w:p w14:paraId="36D4A1C0" w14:textId="77777777" w:rsidR="001B6538" w:rsidRDefault="001B6538" w:rsidP="007D1AB3">
      <w:pPr>
        <w:pStyle w:val="Heading1"/>
      </w:pPr>
      <w:bookmarkStart w:id="503" w:name="_Toc442351515"/>
      <w:r>
        <w:t>Groundwater Springs and Faults</w:t>
      </w:r>
      <w:bookmarkEnd w:id="503"/>
    </w:p>
    <w:p w14:paraId="164E1F84" w14:textId="39C0D27C" w:rsidR="001E1768" w:rsidRDefault="00FA2795" w:rsidP="00A63B9F">
      <w:pPr>
        <w:spacing w:line="240" w:lineRule="auto"/>
      </w:pPr>
      <w:r>
        <w:t>Groundwater springs have been a topic of interest to humans</w:t>
      </w:r>
      <w:r w:rsidR="007315C1">
        <w:t xml:space="preserve"> for millennia</w:t>
      </w:r>
      <w:r>
        <w:t xml:space="preserve"> as they mysteriously emanate from rocks or sediments and provide a source of water at </w:t>
      </w:r>
      <w:r w:rsidR="001C227A">
        <w:t xml:space="preserve">ground </w:t>
      </w:r>
      <w:r>
        <w:t>surface</w:t>
      </w:r>
      <w:r w:rsidR="007315C1">
        <w:t xml:space="preserve"> </w:t>
      </w:r>
      <w:r w:rsidR="006C0FFD">
        <w:fldChar w:fldCharType="begin"/>
      </w:r>
      <w:r w:rsidR="007315C1">
        <w:instrText xml:space="preserve"> ADDIN EN.CITE &lt;EndNote&gt;&lt;Cite&gt;&lt;Author&gt;Fensham&lt;/Author&gt;&lt;Year&gt;2014&lt;/Year&gt;&lt;RecNum&gt;420&lt;/RecNum&gt;&lt;DisplayText&gt;(Fensham et al., 2014)&lt;/DisplayText&gt;&lt;record&gt;&lt;rec-number&gt;420&lt;/rec-number&gt;&lt;foreign-keys&gt;&lt;key app="EN" db-id="wdw955e570trvge00ws5rpw1rf9dp9saxd29" timestamp="1440575001"&gt;420&lt;/key&gt;&lt;/foreign-keys&gt;&lt;ref-type name="Report"&gt;27&lt;/ref-type&gt;&lt;contributors&gt;&lt;authors&gt;&lt;author&gt;R. Fensham&lt;/author&gt;&lt;author&gt;J. Esterle&lt;/author&gt;&lt;author&gt;S. Vink&lt;/author&gt;&lt;author&gt;A. Wolhuter&lt;/author&gt;&lt;author&gt;J. Silcock&lt;/author&gt;&lt;author&gt;K. Hines&lt;/author&gt;&lt;author&gt;J. Drimer&lt;/author&gt;&lt;/authors&gt;&lt;/contributors&gt;&lt;titles&gt;&lt;title&gt;Ecological and hydrogeological survey of the Great Artesian Basin springs - Springsure, Eulo, Bourke and Bogan River supergroups, Volume 1: history, ecology and hydrogeology&lt;/title&gt;&lt;/titles&gt;&lt;pages&gt;275&lt;/pages&gt;&lt;dates&gt;&lt;year&gt;2014&lt;/year&gt;&lt;/dates&gt;&lt;publisher&gt;Department of the Environment, Commonwealth of Australia&lt;/publisher&gt;&lt;urls&gt;&lt;/urls&gt;&lt;/record&gt;&lt;/Cite&gt;&lt;/EndNote&gt;</w:instrText>
      </w:r>
      <w:r w:rsidR="006C0FFD">
        <w:fldChar w:fldCharType="separate"/>
      </w:r>
      <w:r w:rsidR="007315C1">
        <w:rPr>
          <w:noProof/>
        </w:rPr>
        <w:t>(Fensham et al., 2014)</w:t>
      </w:r>
      <w:r w:rsidR="006C0FFD">
        <w:fldChar w:fldCharType="end"/>
      </w:r>
      <w:r>
        <w:t xml:space="preserve">.  A major category of research and reporting concerns the occurrence of groundwater springs located along faults that come to surface.  In the Australian context there has been substantial work conducted on classifying and studying springs of the GAB.  </w:t>
      </w:r>
      <w:r w:rsidR="006C0FFD">
        <w:fldChar w:fldCharType="begin"/>
      </w:r>
      <w:r w:rsidR="00E25502">
        <w:instrText xml:space="preserve"> ADDIN EN.CITE &lt;EndNote&gt;&lt;Cite&gt;&lt;Author&gt;Habermehl&lt;/Author&gt;&lt;Year&gt;1982&lt;/Year&gt;&lt;RecNum&gt;415&lt;/RecNum&gt;&lt;DisplayText&gt;(Habermehl, 1982)&lt;/DisplayText&gt;&lt;record&gt;&lt;rec-number&gt;415&lt;/rec-number&gt;&lt;foreign-keys&gt;&lt;key app="EN" db-id="wdw955e570trvge00ws5rpw1rf9dp9saxd29" timestamp="1440570734"&gt;415&lt;/key&gt;&lt;key app="ENWeb" db-id=""&gt;0&lt;/key&gt;&lt;/foreign-keys&gt;&lt;ref-type name="Report"&gt;27&lt;/ref-type&gt;&lt;contributors&gt;&lt;authors&gt;&lt;author&gt;M.A. Habermehl&lt;/author&gt;&lt;/authors&gt;&lt;/contributors&gt;&lt;titles&gt;&lt;title&gt;Springs in the Great Artesian Basin, Australia - Their Origin and Nature&lt;/title&gt;&lt;/titles&gt;&lt;pages&gt;54&lt;/pages&gt;&lt;dates&gt;&lt;year&gt;1982&lt;/year&gt;&lt;/dates&gt;&lt;pub-location&gt;Canberra&lt;/pub-location&gt;&lt;publisher&gt;Department of National Development and Energy&lt;/publisher&gt;&lt;urls&gt;&lt;/urls&gt;&lt;/record&gt;&lt;/Cite&gt;&lt;/EndNote&gt;</w:instrText>
      </w:r>
      <w:r w:rsidR="006C0FFD">
        <w:fldChar w:fldCharType="separate"/>
      </w:r>
      <w:r w:rsidR="00E25502">
        <w:rPr>
          <w:noProof/>
        </w:rPr>
        <w:t>(Habermehl, 1982)</w:t>
      </w:r>
      <w:r w:rsidR="006C0FFD">
        <w:fldChar w:fldCharType="end"/>
      </w:r>
      <w:r w:rsidR="00D5299B">
        <w:t xml:space="preserve"> describes faults as being one of three categorie</w:t>
      </w:r>
      <w:r w:rsidR="001C227A">
        <w:t xml:space="preserve">s to classify the origin of GAB </w:t>
      </w:r>
      <w:r w:rsidR="00D5299B">
        <w:t xml:space="preserve">springs and describes the first artesian bores drilled in </w:t>
      </w:r>
      <w:r w:rsidR="001C227A">
        <w:t xml:space="preserve">New South Wales and South Australia (in </w:t>
      </w:r>
      <w:r w:rsidR="00D5299B">
        <w:t>the</w:t>
      </w:r>
      <w:r w:rsidR="001C227A">
        <w:t xml:space="preserve"> south and southwest part of the</w:t>
      </w:r>
      <w:r w:rsidR="00D5299B">
        <w:t xml:space="preserve"> GAB</w:t>
      </w:r>
      <w:r w:rsidR="001C227A">
        <w:t>) to be located near springs</w:t>
      </w:r>
      <w:r w:rsidR="00D5299B">
        <w:t>.</w:t>
      </w:r>
      <w:r w:rsidR="008E1209">
        <w:t xml:space="preserve"> </w:t>
      </w:r>
      <w:r w:rsidR="00D7114B">
        <w:t xml:space="preserve"> By examining the temperature of the spring it is possible to consider the depth from which the formation water comes under various permeability assumptions </w:t>
      </w:r>
      <w:r w:rsidR="006C0FFD">
        <w:fldChar w:fldCharType="begin"/>
      </w:r>
      <w:r w:rsidR="00E25502">
        <w:instrText xml:space="preserve"> ADDIN EN.CITE &lt;EndNote&gt;&lt;Cite&gt;&lt;Author&gt;Lopez&lt;/Author&gt;&lt;Year&gt;1995&lt;/Year&gt;&lt;RecNum&gt;416&lt;/RecNum&gt;&lt;DisplayText&gt;(Lopez &amp;amp; Smith, 1995)&lt;/DisplayText&gt;&lt;record&gt;&lt;rec-number&gt;416&lt;/rec-number&gt;&lt;foreign-keys&gt;&lt;key app="EN" db-id="wdw955e570trvge00ws5rpw1rf9dp9saxd29" timestamp="1440572315"&gt;416&lt;/key&gt;&lt;key app="ENWeb" db-id=""&gt;0&lt;/key&gt;&lt;/foreign-keys&gt;&lt;ref-type name="Journal Article"&gt;17&lt;/ref-type&gt;&lt;contributors&gt;&lt;authors&gt;&lt;author&gt;D.L. Lopez&lt;/author&gt;&lt;author&gt;L. Smith&lt;/author&gt;&lt;/authors&gt;&lt;/contributors&gt;&lt;titles&gt;&lt;title&gt;Fluid flow in fault zones: Analysis of the interplay of cenvective circulation and topographically driven groundwater flow&lt;/title&gt;&lt;secondary-title&gt;Water Resources Research&lt;/secondary-title&gt;&lt;/titles&gt;&lt;periodical&gt;&lt;full-title&gt;Water Resources Research&lt;/full-title&gt;&lt;/periodical&gt;&lt;pages&gt;1489-1503&lt;/pages&gt;&lt;volume&gt;31&lt;/volume&gt;&lt;number&gt;6&lt;/number&gt;&lt;dates&gt;&lt;year&gt;1995&lt;/year&gt;&lt;/dates&gt;&lt;urls&gt;&lt;/urls&gt;&lt;/record&gt;&lt;/Cite&gt;&lt;/EndNote&gt;</w:instrText>
      </w:r>
      <w:r w:rsidR="006C0FFD">
        <w:fldChar w:fldCharType="separate"/>
      </w:r>
      <w:r w:rsidR="00E25502">
        <w:rPr>
          <w:noProof/>
        </w:rPr>
        <w:t>(Lopez &amp; Smith, 1995)</w:t>
      </w:r>
      <w:r w:rsidR="006C0FFD">
        <w:fldChar w:fldCharType="end"/>
      </w:r>
      <w:r w:rsidR="00D7114B">
        <w:t>.</w:t>
      </w:r>
      <w:r w:rsidR="009910EE">
        <w:t xml:space="preserve"> If temperature observations are coupled with geochemistry, the prediction of circulation depth can be even more accurately estimated </w:t>
      </w:r>
      <w:r w:rsidR="006C0FFD">
        <w:fldChar w:fldCharType="begin"/>
      </w:r>
      <w:r w:rsidR="00E25502">
        <w:instrText xml:space="preserve"> ADDIN EN.CITE &lt;EndNote&gt;&lt;Cite&gt;&lt;Author&gt;Grasby&lt;/Author&gt;&lt;Year&gt;2001&lt;/Year&gt;&lt;RecNum&gt;418&lt;/RecNum&gt;&lt;DisplayText&gt;(Grasby &amp;amp; Hutcheon, 2001)&lt;/DisplayText&gt;&lt;record&gt;&lt;rec-number&gt;418&lt;/rec-number&gt;&lt;foreign-keys&gt;&lt;key app="EN" db-id="wdw955e570trvge00ws5rpw1rf9dp9saxd29" timestamp="1440573460"&gt;418&lt;/key&gt;&lt;key app="ENWeb" db-id=""&gt;0&lt;/key&gt;&lt;/foreign-keys&gt;&lt;ref-type name="Journal Article"&gt;17&lt;/ref-type&gt;&lt;contributors&gt;&lt;authors&gt;&lt;author&gt;Grasby, Stephen E.&lt;/author&gt;&lt;author&gt;Hutcheon, Ian&lt;/author&gt;&lt;/authors&gt;&lt;/contributors&gt;&lt;titles&gt;&lt;title&gt;Controls on the distribution of thermal springs in the southern Canadian Cordillera&lt;/title&gt;&lt;secondary-title&gt;Canadian Journal of Earth Sciences&lt;/secondary-title&gt;&lt;/titles&gt;&lt;periodical&gt;&lt;full-title&gt;Canadian Journal of Earth Sciences&lt;/full-title&gt;&lt;abbr-1&gt;Can J Earth Sci&lt;/abbr-1&gt;&lt;/periodical&gt;&lt;pages&gt;427-440&lt;/pages&gt;&lt;volume&gt;38&lt;/volume&gt;&lt;number&gt;3&lt;/number&gt;&lt;dates&gt;&lt;year&gt;2001&lt;/year&gt;&lt;/dates&gt;&lt;isbn&gt;14803313&amp;#xD;00084077&lt;/isbn&gt;&lt;urls&gt;&lt;/urls&gt;&lt;electronic-resource-num&gt;10.1139/e00-091&lt;/electronic-resource-num&gt;&lt;/record&gt;&lt;/Cite&gt;&lt;/EndNote&gt;</w:instrText>
      </w:r>
      <w:r w:rsidR="006C0FFD">
        <w:fldChar w:fldCharType="separate"/>
      </w:r>
      <w:r w:rsidR="00E25502">
        <w:rPr>
          <w:noProof/>
        </w:rPr>
        <w:t>(Grasby &amp; Hutcheon, 2001)</w:t>
      </w:r>
      <w:r w:rsidR="006C0FFD">
        <w:fldChar w:fldCharType="end"/>
      </w:r>
      <w:r w:rsidR="009910EE">
        <w:t xml:space="preserve">. </w:t>
      </w:r>
      <w:r w:rsidR="003D5135">
        <w:t xml:space="preserve">Even further constraints can be gained by examining isotopic data </w:t>
      </w:r>
      <w:r w:rsidR="006C0FFD">
        <w:fldChar w:fldCharType="begin"/>
      </w:r>
      <w:r w:rsidR="003D5135">
        <w:instrText xml:space="preserve"> ADDIN EN.CITE &lt;EndNote&gt;&lt;Cite&gt;&lt;Author&gt;Keppel&lt;/Author&gt;&lt;Year&gt;2013&lt;/Year&gt;&lt;RecNum&gt;419&lt;/RecNum&gt;&lt;DisplayText&gt;(Keppel et al., 2013)&lt;/DisplayText&gt;&lt;record&gt;&lt;rec-number&gt;419&lt;/rec-number&gt;&lt;foreign-keys&gt;&lt;key app="EN" db-id="wdw955e570trvge00ws5rpw1rf9dp9saxd29" timestamp="1440574033"&gt;419&lt;/key&gt;&lt;key app="ENWeb" db-id=""&gt;0&lt;/key&gt;&lt;/foreign-keys&gt;&lt;ref-type name="Report"&gt;27&lt;/ref-type&gt;&lt;contributors&gt;&lt;authors&gt;&lt;author&gt;M. Keppel&lt;/author&gt;&lt;author&gt;K.E. Karlstrom&lt;/author&gt;&lt;author&gt;A.J. Love&lt;/author&gt;&lt;author&gt;S. Priestley&lt;/author&gt;&lt;author&gt;D. Wohling&lt;/author&gt;&lt;author&gt;S. de Ritter&lt;/author&gt;&lt;/authors&gt;&lt;/contributors&gt;&lt;titles&gt;&lt;title&gt;Allocating Water and Maintaining Springs in the Great Artesian Basin, Volume 1: Hydrogeological Framework of the Western Great Artesian Basin&lt;/title&gt;&lt;/titles&gt;&lt;pages&gt;50&lt;/pages&gt;&lt;volume&gt;1&lt;/volume&gt;&lt;dates&gt;&lt;year&gt;2013&lt;/year&gt;&lt;/dates&gt;&lt;pub-location&gt;Canberra&lt;/pub-location&gt;&lt;publisher&gt;National Water Commission&lt;/publisher&gt;&lt;urls&gt;&lt;/urls&gt;&lt;/record&gt;&lt;/Cite&gt;&lt;/EndNote&gt;</w:instrText>
      </w:r>
      <w:r w:rsidR="006C0FFD">
        <w:fldChar w:fldCharType="separate"/>
      </w:r>
      <w:r w:rsidR="003D5135">
        <w:rPr>
          <w:noProof/>
        </w:rPr>
        <w:t>(Keppel et al., 2013)</w:t>
      </w:r>
      <w:r w:rsidR="006C0FFD">
        <w:fldChar w:fldCharType="end"/>
      </w:r>
      <w:r w:rsidR="003D5135">
        <w:t xml:space="preserve">. </w:t>
      </w:r>
      <w:r w:rsidR="009910EE">
        <w:t xml:space="preserve">Other researchers considered the state of stress and fault zone geometry and related this to the flux of observed groundwater spring discharge at surface </w:t>
      </w:r>
      <w:r w:rsidR="006C0FFD">
        <w:fldChar w:fldCharType="begin"/>
      </w:r>
      <w:r w:rsidR="009910EE">
        <w:instrText xml:space="preserve"> ADDIN EN.CITE &lt;EndNote&gt;&lt;Cite&gt;&lt;Author&gt;Gudmundsson&lt;/Author&gt;&lt;Year&gt;2000&lt;/Year&gt;&lt;RecNum&gt;417&lt;/RecNum&gt;&lt;DisplayText&gt;(Gudmundsson, 2000)&lt;/DisplayText&gt;&lt;record&gt;&lt;rec-number&gt;417&lt;/rec-number&gt;&lt;foreign-keys&gt;&lt;key app="EN" db-id="wdw955e570trvge00ws5rpw1rf9dp9saxd29" timestamp="1440573163"&gt;417&lt;/key&gt;&lt;key app="ENWeb" db-id=""&gt;0&lt;/key&gt;&lt;/foreign-keys&gt;&lt;ref-type name="Journal Article"&gt;17&lt;/ref-type&gt;&lt;contributors&gt;&lt;authors&gt;&lt;author&gt;Gudmundsson, Agust&lt;/author&gt;&lt;/authors&gt;&lt;/contributors&gt;&lt;titles&gt;&lt;title&gt;Active fault zones and groundwater flow&lt;/title&gt;&lt;secondary-title&gt;Geophysical Research Letters&lt;/secondary-title&gt;&lt;/titles&gt;&lt;periodical&gt;&lt;full-title&gt;Geophysical Research Letters&lt;/full-title&gt;&lt;abbr-1&gt;Geophys Res Lett&lt;/abbr-1&gt;&lt;/periodical&gt;&lt;pages&gt;2993-2996&lt;/pages&gt;&lt;volume&gt;27&lt;/volume&gt;&lt;number&gt;18&lt;/number&gt;&lt;dates&gt;&lt;year&gt;2000&lt;/year&gt;&lt;/dates&gt;&lt;isbn&gt;00948276&lt;/isbn&gt;&lt;urls&gt;&lt;/urls&gt;&lt;electronic-resource-num&gt;10.1029/1999gl011266&lt;/electronic-resource-num&gt;&lt;/record&gt;&lt;/Cite&gt;&lt;/EndNote&gt;</w:instrText>
      </w:r>
      <w:r w:rsidR="006C0FFD">
        <w:fldChar w:fldCharType="separate"/>
      </w:r>
      <w:r w:rsidR="009910EE">
        <w:rPr>
          <w:noProof/>
        </w:rPr>
        <w:t>(Gudmundsson, 2000)</w:t>
      </w:r>
      <w:r w:rsidR="006C0FFD">
        <w:fldChar w:fldCharType="end"/>
      </w:r>
      <w:r w:rsidR="009910EE">
        <w:t xml:space="preserve"> and further observed that seismically active faults coincide with variable spring discharge rates coincident with slip events.</w:t>
      </w:r>
      <w:r w:rsidR="001C227A">
        <w:t xml:space="preserve"> In the Surat B</w:t>
      </w:r>
      <w:r w:rsidR="007315C1">
        <w:t xml:space="preserve">asin the Office of Groundwater Impact Assessment has done extensive work on understanding springs and the </w:t>
      </w:r>
      <w:r w:rsidR="007315C1" w:rsidRPr="00C35132">
        <w:t>risk</w:t>
      </w:r>
      <w:r w:rsidR="007315C1">
        <w:t xml:space="preserve"> of impact from coal seam gas development </w:t>
      </w:r>
      <w:r w:rsidR="006C0FFD">
        <w:fldChar w:fldCharType="begin"/>
      </w:r>
      <w:r w:rsidR="00E25502">
        <w:instrText xml:space="preserve"> ADDIN EN.CITE &lt;EndNote&gt;&lt;Cite&gt;&lt;Author&gt;Commission&lt;/Author&gt;&lt;Year&gt;2012&lt;/Year&gt;&lt;RecNum&gt;360&lt;/RecNum&gt;&lt;DisplayText&gt;(Queensland-Water-Commission, 2012)&lt;/DisplayText&gt;&lt;record&gt;&lt;rec-number&gt;360&lt;/rec-number&gt;&lt;foreign-keys&gt;&lt;key app="EN" db-id="wdw955e570trvge00ws5rpw1rf9dp9saxd29" timestamp="1437020450"&gt;360&lt;/key&gt;&lt;key app="ENWeb" db-id=""&gt;0&lt;/key&gt;&lt;/foreign-keys&gt;&lt;ref-type name="Report"&gt;27&lt;/ref-type&gt;&lt;contributors&gt;&lt;authors&gt;&lt;author&gt;Queensland-Water-Commission&lt;/author&gt;&lt;/authors&gt;&lt;tertiary-authors&gt;&lt;author&gt;Queensland Water Commission&lt;/author&gt;&lt;/tertiary-authors&gt;&lt;/contributors&gt;&lt;titles&gt;&lt;title&gt;Underground water impact report&lt;/title&gt;&lt;/titles&gt;&lt;pages&gt;224&lt;/pages&gt;&lt;dates&gt;&lt;year&gt;2012&lt;/year&gt;&lt;pub-dates&gt;&lt;date&gt;2012&lt;/date&gt;&lt;/pub-dates&gt;&lt;/dates&gt;&lt;pub-location&gt;Brisbane&lt;/pub-location&gt;&lt;publisher&gt;Queensland Water Commission&lt;/publisher&gt;&lt;urls&gt;&lt;/urls&gt;&lt;/record&gt;&lt;/Cite&gt;&lt;/EndNote&gt;</w:instrText>
      </w:r>
      <w:r w:rsidR="006C0FFD">
        <w:fldChar w:fldCharType="separate"/>
      </w:r>
      <w:r w:rsidR="00E25502">
        <w:rPr>
          <w:noProof/>
        </w:rPr>
        <w:t>(Queensland-Water-Commission, 2012)</w:t>
      </w:r>
      <w:r w:rsidR="006C0FFD">
        <w:fldChar w:fldCharType="end"/>
      </w:r>
      <w:r w:rsidR="007315C1">
        <w:t>.</w:t>
      </w:r>
      <w:r w:rsidR="00F56D48">
        <w:t xml:space="preserve">  The work on springs provides us with two useful results: 1) there is plenty of evidence that under certain conditions, faults can provide hydraulic conduits to surface capable of significant flux, and 2) the measurement of spring temperature, geochemistry and isotopic signatures can provide valuable calibration data to </w:t>
      </w:r>
      <w:r w:rsidR="009B0D6E">
        <w:t>constrain</w:t>
      </w:r>
      <w:r w:rsidR="00F56D48">
        <w:t xml:space="preserve"> fault zone hydraulic parameters and rock properties</w:t>
      </w:r>
      <w:r w:rsidR="009B0D6E">
        <w:t xml:space="preserve">.  Regional groundwater models </w:t>
      </w:r>
      <w:r w:rsidR="00BA7B5D">
        <w:t xml:space="preserve">extended to include solute transport capability </w:t>
      </w:r>
      <w:r w:rsidR="009B0D6E">
        <w:t xml:space="preserve">that incorporate fault zone hydraulic properties can be </w:t>
      </w:r>
      <w:r w:rsidR="00BA7B5D">
        <w:t xml:space="preserve">calibrated and/or </w:t>
      </w:r>
      <w:r w:rsidR="009B0D6E">
        <w:t>validated against the flux and geochemistry of observed springs.</w:t>
      </w:r>
    </w:p>
    <w:p w14:paraId="18A79C2C" w14:textId="77777777" w:rsidR="002F59AA" w:rsidRPr="00EE6728" w:rsidRDefault="002C4173" w:rsidP="007D1AB3">
      <w:pPr>
        <w:pStyle w:val="Heading1"/>
      </w:pPr>
      <w:bookmarkStart w:id="504" w:name="_Toc442351516"/>
      <w:r>
        <w:t>More Detailed Fault Representations</w:t>
      </w:r>
      <w:bookmarkEnd w:id="504"/>
    </w:p>
    <w:p w14:paraId="711EFA74" w14:textId="4950771E" w:rsidR="0026198A" w:rsidRDefault="00307AFE" w:rsidP="00F40D1B">
      <w:pPr>
        <w:autoSpaceDE w:val="0"/>
        <w:autoSpaceDN w:val="0"/>
        <w:adjustRightInd w:val="0"/>
        <w:spacing w:after="0" w:line="240" w:lineRule="auto"/>
        <w:rPr>
          <w:rFonts w:cs="Times New Roman"/>
        </w:rPr>
      </w:pPr>
      <w:r>
        <w:rPr>
          <w:rFonts w:cs="Times New Roman"/>
        </w:rPr>
        <w:t>In the examples of flow systems geometries in the vicinity of faults</w:t>
      </w:r>
      <w:r w:rsidR="00DB42E7">
        <w:rPr>
          <w:rFonts w:cs="Times New Roman"/>
        </w:rPr>
        <w:t xml:space="preserve"> that have been shown thus far</w:t>
      </w:r>
      <w:r w:rsidR="00B7357E">
        <w:rPr>
          <w:rFonts w:cs="Times New Roman"/>
        </w:rPr>
        <w:t>,</w:t>
      </w:r>
      <w:r w:rsidR="00DB42E7">
        <w:rPr>
          <w:rFonts w:cs="Times New Roman"/>
        </w:rPr>
        <w:t xml:space="preserve"> the fault zone itself is </w:t>
      </w:r>
      <w:r w:rsidR="00B7357E">
        <w:rPr>
          <w:rFonts w:cs="Times New Roman"/>
        </w:rPr>
        <w:t>generally represented</w:t>
      </w:r>
      <w:r w:rsidR="00DB42E7">
        <w:rPr>
          <w:rFonts w:cs="Times New Roman"/>
        </w:rPr>
        <w:t xml:space="preserve"> as a plane.</w:t>
      </w:r>
      <w:r w:rsidR="007D1AB3">
        <w:rPr>
          <w:rFonts w:cs="Times New Roman"/>
        </w:rPr>
        <w:t xml:space="preserve"> Faults in the subsurface are represented as simplistic planar surfaces because there is normally not enough information (wells or seismic) to understand and represent more complexity than that.</w:t>
      </w:r>
      <w:r w:rsidR="00DB42E7">
        <w:rPr>
          <w:rFonts w:cs="Times New Roman"/>
        </w:rPr>
        <w:t xml:space="preserve"> The rea</w:t>
      </w:r>
      <w:r w:rsidR="0068504C">
        <w:rPr>
          <w:rFonts w:cs="Times New Roman"/>
        </w:rPr>
        <w:t>lity is that fault systems can be much more</w:t>
      </w:r>
      <w:r w:rsidR="00DB42E7">
        <w:rPr>
          <w:rFonts w:cs="Times New Roman"/>
        </w:rPr>
        <w:t xml:space="preserve"> complex and it is important to consider if a simplistic realisation misrepresents the hydraulic processes that are actually occurring. </w:t>
      </w:r>
      <w:r w:rsidR="007D1AB3">
        <w:rPr>
          <w:rFonts w:cs="Times New Roman"/>
        </w:rPr>
        <w:t>This can be grounded in outcrop analogues where faults are exposed and we can observe the range of detailed strain that may occur in various scenarios of deformation.</w:t>
      </w:r>
      <w:r w:rsidR="00DB42E7">
        <w:rPr>
          <w:rFonts w:cs="Times New Roman"/>
        </w:rPr>
        <w:t xml:space="preserve"> Through this consideration there could be insights to up-scaling considerations that will be important for incorporating fault zone hydraulic characteristics </w:t>
      </w:r>
      <w:r w:rsidR="00BA7B5D">
        <w:rPr>
          <w:rFonts w:cs="Times New Roman"/>
        </w:rPr>
        <w:t xml:space="preserve">in </w:t>
      </w:r>
      <w:r w:rsidR="00DB42E7">
        <w:rPr>
          <w:rFonts w:cs="Times New Roman"/>
        </w:rPr>
        <w:t>regional groundwater flow models.</w:t>
      </w:r>
    </w:p>
    <w:p w14:paraId="4C7B365E" w14:textId="77777777" w:rsidR="00DB42E7" w:rsidRDefault="00DB42E7" w:rsidP="00F40D1B">
      <w:pPr>
        <w:autoSpaceDE w:val="0"/>
        <w:autoSpaceDN w:val="0"/>
        <w:adjustRightInd w:val="0"/>
        <w:spacing w:after="0" w:line="240" w:lineRule="auto"/>
        <w:rPr>
          <w:rFonts w:cs="Times New Roman"/>
        </w:rPr>
      </w:pPr>
    </w:p>
    <w:p w14:paraId="2DE1824D" w14:textId="5A65B6DB" w:rsidR="00DB42E7" w:rsidRDefault="00DB42E7" w:rsidP="00F40D1B">
      <w:pPr>
        <w:autoSpaceDE w:val="0"/>
        <w:autoSpaceDN w:val="0"/>
        <w:adjustRightInd w:val="0"/>
        <w:spacing w:after="0" w:line="240" w:lineRule="auto"/>
        <w:rPr>
          <w:rFonts w:cs="Times New Roman"/>
        </w:rPr>
      </w:pPr>
      <w:r>
        <w:rPr>
          <w:rFonts w:cs="Times New Roman"/>
        </w:rPr>
        <w:t>Bense et al</w:t>
      </w:r>
      <w:r w:rsidR="00BA7B5D">
        <w:rPr>
          <w:rFonts w:cs="Times New Roman"/>
        </w:rPr>
        <w:t>.</w:t>
      </w:r>
      <w:r>
        <w:rPr>
          <w:rFonts w:cs="Times New Roman"/>
        </w:rPr>
        <w:t xml:space="preserve"> (2013) focuses on characterising fault</w:t>
      </w:r>
      <w:r w:rsidR="00A17BF9">
        <w:rPr>
          <w:rFonts w:cs="Times New Roman"/>
        </w:rPr>
        <w:t>s</w:t>
      </w:r>
      <w:r>
        <w:rPr>
          <w:rFonts w:cs="Times New Roman"/>
        </w:rPr>
        <w:t xml:space="preserve"> in shallow aquifer systems.</w:t>
      </w:r>
      <w:r w:rsidR="00B55126">
        <w:rPr>
          <w:rFonts w:cs="Times New Roman"/>
        </w:rPr>
        <w:t xml:space="preserve"> </w:t>
      </w:r>
      <w:r w:rsidR="00B35CE3">
        <w:rPr>
          <w:rFonts w:cs="Times New Roman"/>
        </w:rPr>
        <w:fldChar w:fldCharType="begin"/>
      </w:r>
      <w:r w:rsidR="00B35CE3">
        <w:rPr>
          <w:rFonts w:cs="Times New Roman"/>
        </w:rPr>
        <w:instrText xml:space="preserve"> REF _Ref432605111 \h </w:instrText>
      </w:r>
      <w:r w:rsidR="00B35CE3">
        <w:rPr>
          <w:rFonts w:cs="Times New Roman"/>
        </w:rPr>
      </w:r>
      <w:r w:rsidR="00B35CE3">
        <w:rPr>
          <w:rFonts w:cs="Times New Roman"/>
        </w:rPr>
        <w:fldChar w:fldCharType="separate"/>
      </w:r>
      <w:r w:rsidR="00ED1412">
        <w:t xml:space="preserve">Figure </w:t>
      </w:r>
      <w:r w:rsidR="00ED1412">
        <w:rPr>
          <w:noProof/>
        </w:rPr>
        <w:t>27</w:t>
      </w:r>
      <w:r w:rsidR="00B35CE3">
        <w:rPr>
          <w:rFonts w:cs="Times New Roman"/>
        </w:rPr>
        <w:fldChar w:fldCharType="end"/>
      </w:r>
      <w:r w:rsidR="007E7A9B">
        <w:rPr>
          <w:rFonts w:cs="Times New Roman"/>
        </w:rPr>
        <w:t xml:space="preserve"> describes the type of information one might have at surface in observations of fracture permeability and how this might relate to faulting at depth. They describe how this might compare to information accessible from bore holes at depth.  This difference in detail of information relate</w:t>
      </w:r>
      <w:r w:rsidR="00BA7B5D">
        <w:rPr>
          <w:rFonts w:cs="Times New Roman"/>
        </w:rPr>
        <w:t>s</w:t>
      </w:r>
      <w:r w:rsidR="007E7A9B">
        <w:rPr>
          <w:rFonts w:cs="Times New Roman"/>
        </w:rPr>
        <w:t xml:space="preserve"> to how faults are often treated in numerical simulations.  Bense et al</w:t>
      </w:r>
      <w:r w:rsidR="00BA7B5D">
        <w:rPr>
          <w:rFonts w:cs="Times New Roman"/>
        </w:rPr>
        <w:t>.</w:t>
      </w:r>
      <w:r w:rsidR="007E7A9B">
        <w:rPr>
          <w:rFonts w:cs="Times New Roman"/>
        </w:rPr>
        <w:t xml:space="preserve"> (2013) then</w:t>
      </w:r>
      <w:r>
        <w:rPr>
          <w:rFonts w:cs="Times New Roman"/>
        </w:rPr>
        <w:t xml:space="preserve"> consider the </w:t>
      </w:r>
      <w:r w:rsidR="00064A53">
        <w:rPr>
          <w:rFonts w:cs="Times New Roman"/>
        </w:rPr>
        <w:t>distribution of fracture permeability</w:t>
      </w:r>
      <w:r w:rsidR="007E7A9B">
        <w:rPr>
          <w:rFonts w:cs="Times New Roman"/>
        </w:rPr>
        <w:t xml:space="preserve"> more holistically both in the damage zone and how that relates</w:t>
      </w:r>
      <w:r w:rsidR="00064A53">
        <w:rPr>
          <w:rFonts w:cs="Times New Roman"/>
        </w:rPr>
        <w:t xml:space="preserve"> to the clay smear in the fault core (</w:t>
      </w:r>
      <w:r w:rsidR="00B35CE3">
        <w:rPr>
          <w:rFonts w:cs="Times New Roman"/>
        </w:rPr>
        <w:fldChar w:fldCharType="begin"/>
      </w:r>
      <w:r w:rsidR="00B35CE3">
        <w:rPr>
          <w:rFonts w:cs="Times New Roman"/>
        </w:rPr>
        <w:instrText xml:space="preserve"> REF _Ref432605119 \h </w:instrText>
      </w:r>
      <w:r w:rsidR="00B35CE3">
        <w:rPr>
          <w:rFonts w:cs="Times New Roman"/>
        </w:rPr>
      </w:r>
      <w:r w:rsidR="00B35CE3">
        <w:rPr>
          <w:rFonts w:cs="Times New Roman"/>
        </w:rPr>
        <w:fldChar w:fldCharType="separate"/>
      </w:r>
      <w:r w:rsidR="00ED1412">
        <w:t xml:space="preserve">Figure </w:t>
      </w:r>
      <w:r w:rsidR="00ED1412">
        <w:rPr>
          <w:noProof/>
        </w:rPr>
        <w:t>28</w:t>
      </w:r>
      <w:r w:rsidR="00B35CE3">
        <w:rPr>
          <w:rFonts w:cs="Times New Roman"/>
        </w:rPr>
        <w:fldChar w:fldCharType="end"/>
      </w:r>
      <w:r w:rsidR="00064A53">
        <w:rPr>
          <w:rFonts w:cs="Times New Roman"/>
        </w:rPr>
        <w:t>). This distribution can be related to the amount of throw on the fault at the location of interest.</w:t>
      </w:r>
      <w:r w:rsidR="00A17BF9">
        <w:rPr>
          <w:rFonts w:cs="Times New Roman"/>
        </w:rPr>
        <w:t xml:space="preserve">  Bense et al. (2013) also </w:t>
      </w:r>
      <w:r w:rsidR="00064A53">
        <w:rPr>
          <w:rFonts w:cs="Times New Roman"/>
        </w:rPr>
        <w:t>correlate the representative permeability profile across the damage and fault core zones of a fault.  With this distribution one then considers that a fault could have a core that prevents across fault hydraulic communication however the higher permeability of the adjacent damage zone may enhance flux</w:t>
      </w:r>
      <w:r w:rsidR="001C227A">
        <w:rPr>
          <w:rFonts w:cs="Times New Roman"/>
        </w:rPr>
        <w:t xml:space="preserve"> laterally and vertically parallel to the fault plane core potentially providing</w:t>
      </w:r>
      <w:r w:rsidR="00064A53">
        <w:rPr>
          <w:rFonts w:cs="Times New Roman"/>
        </w:rPr>
        <w:t xml:space="preserve"> vertical hydraulic communication. </w:t>
      </w:r>
      <w:r w:rsidR="00B55126">
        <w:rPr>
          <w:rFonts w:cs="Times New Roman"/>
        </w:rPr>
        <w:t xml:space="preserve"> </w:t>
      </w:r>
      <w:r w:rsidR="00B35CE3">
        <w:rPr>
          <w:rFonts w:cs="Times New Roman"/>
        </w:rPr>
        <w:fldChar w:fldCharType="begin"/>
      </w:r>
      <w:r w:rsidR="00B35CE3">
        <w:rPr>
          <w:rFonts w:cs="Times New Roman"/>
        </w:rPr>
        <w:instrText xml:space="preserve"> REF _Ref432605119 \h </w:instrText>
      </w:r>
      <w:r w:rsidR="00B35CE3">
        <w:rPr>
          <w:rFonts w:cs="Times New Roman"/>
        </w:rPr>
      </w:r>
      <w:r w:rsidR="00B35CE3">
        <w:rPr>
          <w:rFonts w:cs="Times New Roman"/>
        </w:rPr>
        <w:fldChar w:fldCharType="separate"/>
      </w:r>
      <w:r w:rsidR="00ED1412">
        <w:t xml:space="preserve">Figure </w:t>
      </w:r>
      <w:r w:rsidR="00ED1412">
        <w:rPr>
          <w:noProof/>
        </w:rPr>
        <w:t>28</w:t>
      </w:r>
      <w:r w:rsidR="00B35CE3">
        <w:rPr>
          <w:rFonts w:cs="Times New Roman"/>
        </w:rPr>
        <w:fldChar w:fldCharType="end"/>
      </w:r>
      <w:r w:rsidR="00B35CE3">
        <w:rPr>
          <w:rFonts w:cs="Times New Roman"/>
        </w:rPr>
        <w:t xml:space="preserve"> </w:t>
      </w:r>
      <w:r w:rsidR="00064A53">
        <w:rPr>
          <w:rFonts w:cs="Times New Roman"/>
        </w:rPr>
        <w:t>does not, however, consider the implications of these observations in regard to the fault continuing up throu</w:t>
      </w:r>
      <w:r w:rsidR="0068504C">
        <w:rPr>
          <w:rFonts w:cs="Times New Roman"/>
        </w:rPr>
        <w:t>gh a top seal that has differen</w:t>
      </w:r>
      <w:r w:rsidR="00064A53">
        <w:rPr>
          <w:rFonts w:cs="Times New Roman"/>
        </w:rPr>
        <w:t xml:space="preserve">t </w:t>
      </w:r>
      <w:r w:rsidR="0068504C">
        <w:rPr>
          <w:rFonts w:cs="Times New Roman"/>
        </w:rPr>
        <w:lastRenderedPageBreak/>
        <w:t>rheology</w:t>
      </w:r>
      <w:r w:rsidR="00064A53">
        <w:rPr>
          <w:rFonts w:cs="Times New Roman"/>
        </w:rPr>
        <w:t>.  It only consider</w:t>
      </w:r>
      <w:r w:rsidR="00BA7B5D">
        <w:rPr>
          <w:rFonts w:cs="Times New Roman"/>
        </w:rPr>
        <w:t>s</w:t>
      </w:r>
      <w:r w:rsidR="00064A53">
        <w:rPr>
          <w:rFonts w:cs="Times New Roman"/>
        </w:rPr>
        <w:t xml:space="preserve"> the parameterisation of this complicated fault zone geometry within aquifer (reservoir) rock. Bense et al</w:t>
      </w:r>
      <w:r w:rsidR="00BA7B5D">
        <w:rPr>
          <w:rFonts w:cs="Times New Roman"/>
        </w:rPr>
        <w:t>.</w:t>
      </w:r>
      <w:r w:rsidR="00064A53">
        <w:rPr>
          <w:rFonts w:cs="Times New Roman"/>
        </w:rPr>
        <w:t xml:space="preserve"> (2013) extend this characterisation to a multi-layered system of inter bedded aquifer a</w:t>
      </w:r>
      <w:r w:rsidR="007E7A9B">
        <w:rPr>
          <w:rFonts w:cs="Times New Roman"/>
        </w:rPr>
        <w:t>nd</w:t>
      </w:r>
      <w:r w:rsidR="00B55126">
        <w:rPr>
          <w:rFonts w:cs="Times New Roman"/>
        </w:rPr>
        <w:t xml:space="preserve"> aquitard lithologies (</w:t>
      </w:r>
      <w:r w:rsidR="00B35CE3">
        <w:rPr>
          <w:rFonts w:cs="Times New Roman"/>
        </w:rPr>
        <w:fldChar w:fldCharType="begin"/>
      </w:r>
      <w:r w:rsidR="00B35CE3">
        <w:rPr>
          <w:rFonts w:cs="Times New Roman"/>
        </w:rPr>
        <w:instrText xml:space="preserve"> REF _Ref432605142 \h </w:instrText>
      </w:r>
      <w:r w:rsidR="00B35CE3">
        <w:rPr>
          <w:rFonts w:cs="Times New Roman"/>
        </w:rPr>
      </w:r>
      <w:r w:rsidR="00B35CE3">
        <w:rPr>
          <w:rFonts w:cs="Times New Roman"/>
        </w:rPr>
        <w:fldChar w:fldCharType="separate"/>
      </w:r>
      <w:r w:rsidR="00ED1412">
        <w:t xml:space="preserve">Figure </w:t>
      </w:r>
      <w:r w:rsidR="00ED1412">
        <w:rPr>
          <w:noProof/>
        </w:rPr>
        <w:t>29</w:t>
      </w:r>
      <w:r w:rsidR="00B35CE3">
        <w:rPr>
          <w:rFonts w:cs="Times New Roman"/>
        </w:rPr>
        <w:fldChar w:fldCharType="end"/>
      </w:r>
      <w:r w:rsidR="00064A53">
        <w:rPr>
          <w:rFonts w:cs="Times New Roman"/>
        </w:rPr>
        <w:t>).</w:t>
      </w:r>
    </w:p>
    <w:p w14:paraId="3F5088C2" w14:textId="77777777" w:rsidR="00487ADC" w:rsidRDefault="00487ADC" w:rsidP="00F40D1B">
      <w:pPr>
        <w:autoSpaceDE w:val="0"/>
        <w:autoSpaceDN w:val="0"/>
        <w:adjustRightInd w:val="0"/>
        <w:spacing w:after="0" w:line="240" w:lineRule="auto"/>
        <w:rPr>
          <w:rFonts w:cs="Times New Roman"/>
        </w:rPr>
      </w:pPr>
    </w:p>
    <w:p w14:paraId="0F9B4A94" w14:textId="77777777" w:rsidR="00487ADC" w:rsidRDefault="00487ADC" w:rsidP="00F40D1B">
      <w:pPr>
        <w:autoSpaceDE w:val="0"/>
        <w:autoSpaceDN w:val="0"/>
        <w:adjustRightInd w:val="0"/>
        <w:spacing w:after="0" w:line="240" w:lineRule="auto"/>
        <w:rPr>
          <w:rFonts w:cs="Times New Roman"/>
        </w:rPr>
      </w:pPr>
      <w:r>
        <w:rPr>
          <w:rFonts w:cs="Times New Roman"/>
        </w:rPr>
        <w:t>Depending on depth of the fault zone and rheology of the rock framework, Bense et al. (2013) demonstrate how the distribution of the fault core and the damage zone can be expected to be developed. They also indicate the relative permeability ellipse that can be associated with each of the zones.  In addition</w:t>
      </w:r>
      <w:r w:rsidR="0068504C">
        <w:rPr>
          <w:rFonts w:cs="Times New Roman"/>
        </w:rPr>
        <w:t>,</w:t>
      </w:r>
      <w:r>
        <w:rPr>
          <w:rFonts w:cs="Times New Roman"/>
        </w:rPr>
        <w:t xml:space="preserve"> on</w:t>
      </w:r>
      <w:r w:rsidR="0068504C">
        <w:rPr>
          <w:rFonts w:cs="Times New Roman"/>
        </w:rPr>
        <w:t>e</w:t>
      </w:r>
      <w:r>
        <w:rPr>
          <w:rFonts w:cs="Times New Roman"/>
        </w:rPr>
        <w:t xml:space="preserve"> might expect that the situation described by Bense et al. (2013) will also be dependent on the throw of the fault. It raises the question of how this complicated distribution of fault zone permeability could be up-scaled and represented in a meaningful way in regional groundwater flow models.  In the case of CSG reservoir development and impacts on adjacent aquifer systems, just considering the permeability distribution of these complex systems may not be sufficient.  The relative permeability and the associated capillary forces may also need to be considered in the case of gas transport.</w:t>
      </w:r>
    </w:p>
    <w:p w14:paraId="5388C9E9" w14:textId="77777777" w:rsidR="00487ADC" w:rsidRDefault="00487ADC" w:rsidP="00F40D1B">
      <w:pPr>
        <w:autoSpaceDE w:val="0"/>
        <w:autoSpaceDN w:val="0"/>
        <w:adjustRightInd w:val="0"/>
        <w:spacing w:after="0" w:line="240" w:lineRule="auto"/>
        <w:rPr>
          <w:rFonts w:cs="Times New Roman"/>
        </w:rPr>
      </w:pPr>
    </w:p>
    <w:p w14:paraId="41B6C7AF" w14:textId="4C42597C" w:rsidR="002D73CE" w:rsidRPr="002D73CE" w:rsidRDefault="00487ADC" w:rsidP="002D73CE">
      <w:pPr>
        <w:autoSpaceDE w:val="0"/>
        <w:autoSpaceDN w:val="0"/>
        <w:adjustRightInd w:val="0"/>
        <w:spacing w:after="0" w:line="240" w:lineRule="auto"/>
        <w:rPr>
          <w:rFonts w:cs="AdvOT863180fb"/>
        </w:rPr>
      </w:pPr>
      <w:r>
        <w:rPr>
          <w:rFonts w:cs="Times New Roman"/>
        </w:rPr>
        <w:t>Seebeck et al (2014) have made further advances in considering the details of fault zone a</w:t>
      </w:r>
      <w:r w:rsidR="002D73CE">
        <w:rPr>
          <w:rFonts w:cs="Times New Roman"/>
        </w:rPr>
        <w:t>rchitecture and how this relates</w:t>
      </w:r>
      <w:r>
        <w:rPr>
          <w:rFonts w:cs="Times New Roman"/>
        </w:rPr>
        <w:t xml:space="preserve"> to hydraulic properties.  They examined faults in New Zealand that</w:t>
      </w:r>
      <w:r w:rsidR="00F306D3">
        <w:rPr>
          <w:rFonts w:cs="Times New Roman"/>
        </w:rPr>
        <w:t xml:space="preserve"> ha</w:t>
      </w:r>
      <w:r w:rsidR="00BA7B5D">
        <w:rPr>
          <w:rFonts w:cs="Times New Roman"/>
        </w:rPr>
        <w:t>d</w:t>
      </w:r>
      <w:r w:rsidR="00F306D3">
        <w:rPr>
          <w:rFonts w:cs="Times New Roman"/>
        </w:rPr>
        <w:t xml:space="preserve"> been </w:t>
      </w:r>
      <w:r w:rsidR="0068504C">
        <w:rPr>
          <w:rFonts w:cs="Times New Roman"/>
        </w:rPr>
        <w:t>instrumented</w:t>
      </w:r>
      <w:r w:rsidR="00F306D3">
        <w:rPr>
          <w:rFonts w:cs="Times New Roman"/>
        </w:rPr>
        <w:t xml:space="preserve"> to estimate fluxes of water in different locations of the fault.  </w:t>
      </w:r>
      <w:r w:rsidR="00B35CE3">
        <w:rPr>
          <w:rFonts w:cs="Times New Roman"/>
        </w:rPr>
        <w:fldChar w:fldCharType="begin"/>
      </w:r>
      <w:r w:rsidR="00B35CE3">
        <w:rPr>
          <w:rFonts w:cs="Times New Roman"/>
        </w:rPr>
        <w:instrText xml:space="preserve"> REF _Ref432605157 \h </w:instrText>
      </w:r>
      <w:r w:rsidR="00B35CE3">
        <w:rPr>
          <w:rFonts w:cs="Times New Roman"/>
        </w:rPr>
      </w:r>
      <w:r w:rsidR="00B35CE3">
        <w:rPr>
          <w:rFonts w:cs="Times New Roman"/>
        </w:rPr>
        <w:fldChar w:fldCharType="separate"/>
      </w:r>
      <w:r w:rsidR="00ED1412">
        <w:t xml:space="preserve">Figure </w:t>
      </w:r>
      <w:r w:rsidR="00ED1412">
        <w:rPr>
          <w:noProof/>
        </w:rPr>
        <w:t>30</w:t>
      </w:r>
      <w:r w:rsidR="00B35CE3">
        <w:rPr>
          <w:rFonts w:cs="Times New Roman"/>
        </w:rPr>
        <w:fldChar w:fldCharType="end"/>
      </w:r>
      <w:r w:rsidR="002D73CE">
        <w:rPr>
          <w:rFonts w:cs="Times New Roman"/>
        </w:rPr>
        <w:t xml:space="preserve"> shows a sample of a complicated fault zone architecture and the distribution formation water flux where</w:t>
      </w:r>
      <w:r w:rsidR="00B55126">
        <w:rPr>
          <w:rFonts w:cs="AdvOT863180fb"/>
        </w:rPr>
        <w:t xml:space="preserve"> </w:t>
      </w:r>
      <w:r w:rsidR="002D73CE">
        <w:rPr>
          <w:rFonts w:cs="AdvOT863180fb"/>
        </w:rPr>
        <w:t>“f</w:t>
      </w:r>
      <w:r w:rsidR="002D73CE" w:rsidRPr="002D73CE">
        <w:rPr>
          <w:rFonts w:cs="AdvOT863180fb"/>
        </w:rPr>
        <w:t>ault and fracture networks capable of sustaining low to moderate (</w:t>
      </w:r>
      <w:r w:rsidR="002D73CE">
        <w:rPr>
          <w:rFonts w:cs="AdvP4C4E74"/>
        </w:rPr>
        <w:t>&lt;</w:t>
      </w:r>
      <w:r w:rsidR="002D73CE" w:rsidRPr="002D73CE">
        <w:rPr>
          <w:rFonts w:cs="AdvOT863180fb"/>
        </w:rPr>
        <w:t xml:space="preserve">5 </w:t>
      </w:r>
      <w:r w:rsidR="002D73CE">
        <w:rPr>
          <w:rFonts w:cs="AdvP4C4E74"/>
        </w:rPr>
        <w:t>x</w:t>
      </w:r>
      <w:r w:rsidR="002D73CE" w:rsidRPr="002D73CE">
        <w:rPr>
          <w:rFonts w:cs="AdvOT863180fb"/>
        </w:rPr>
        <w:t>10</w:t>
      </w:r>
      <w:r w:rsidR="002D73CE" w:rsidRPr="002D73CE">
        <w:rPr>
          <w:rFonts w:cs="AdvOT863180fb"/>
          <w:vertAlign w:val="superscript"/>
        </w:rPr>
        <w:t>3</w:t>
      </w:r>
      <w:r w:rsidR="002D73CE" w:rsidRPr="002D73CE">
        <w:rPr>
          <w:rFonts w:cs="AdvOT863180fb"/>
        </w:rPr>
        <w:t xml:space="preserve"> m</w:t>
      </w:r>
      <w:r w:rsidR="002D73CE" w:rsidRPr="002D73CE">
        <w:rPr>
          <w:rFonts w:cs="AdvOT863180fb"/>
          <w:vertAlign w:val="superscript"/>
        </w:rPr>
        <w:t>3</w:t>
      </w:r>
      <w:r w:rsidR="002D73CE" w:rsidRPr="002D73CE">
        <w:rPr>
          <w:rFonts w:cs="AdvOT863180fb"/>
        </w:rPr>
        <w:t>/s) and high (</w:t>
      </w:r>
      <w:r w:rsidR="002D73CE">
        <w:rPr>
          <w:rFonts w:cs="AdvP4C4E74"/>
        </w:rPr>
        <w:t>&gt;</w:t>
      </w:r>
      <w:r w:rsidR="002D73CE" w:rsidRPr="002D73CE">
        <w:rPr>
          <w:rFonts w:cs="AdvOT863180fb"/>
        </w:rPr>
        <w:t xml:space="preserve">5 </w:t>
      </w:r>
      <w:r w:rsidR="002D73CE">
        <w:rPr>
          <w:rFonts w:cs="AdvP4C4E74"/>
        </w:rPr>
        <w:t>x</w:t>
      </w:r>
      <w:r w:rsidR="002D73CE" w:rsidRPr="002D73CE">
        <w:rPr>
          <w:rFonts w:cs="AdvOT863180fb"/>
        </w:rPr>
        <w:t>10</w:t>
      </w:r>
      <w:r w:rsidR="002D73CE" w:rsidRPr="002D73CE">
        <w:rPr>
          <w:rFonts w:cs="AdvOT863180fb"/>
          <w:vertAlign w:val="superscript"/>
        </w:rPr>
        <w:t>3</w:t>
      </w:r>
      <w:r w:rsidR="002D73CE" w:rsidRPr="002D73CE">
        <w:rPr>
          <w:rFonts w:cs="AdvOT863180fb"/>
        </w:rPr>
        <w:t xml:space="preserve"> m</w:t>
      </w:r>
      <w:r w:rsidR="002D73CE" w:rsidRPr="002D73CE">
        <w:rPr>
          <w:rFonts w:cs="AdvOT863180fb"/>
          <w:vertAlign w:val="superscript"/>
        </w:rPr>
        <w:t>3</w:t>
      </w:r>
      <w:r w:rsidR="002D73CE" w:rsidRPr="002D73CE">
        <w:rPr>
          <w:rFonts w:cs="AdvOT863180fb"/>
        </w:rPr>
        <w:t xml:space="preserve">/s) </w:t>
      </w:r>
      <w:r w:rsidR="002D73CE" w:rsidRPr="002D73CE">
        <w:rPr>
          <w:rFonts w:cs="AdvOT863180fb+fb"/>
        </w:rPr>
        <w:t>fl</w:t>
      </w:r>
      <w:r w:rsidR="002D73CE" w:rsidRPr="002D73CE">
        <w:rPr>
          <w:rFonts w:cs="AdvOT863180fb"/>
        </w:rPr>
        <w:t xml:space="preserve">ow rates shown by light and dark blue shading, respectively. The location, rate, and direction of </w:t>
      </w:r>
      <w:r w:rsidR="002D73CE" w:rsidRPr="002D73CE">
        <w:rPr>
          <w:rFonts w:cs="AdvOT863180fb+fb"/>
        </w:rPr>
        <w:t>fl</w:t>
      </w:r>
      <w:r w:rsidR="002D73CE" w:rsidRPr="002D73CE">
        <w:rPr>
          <w:rFonts w:cs="AdvOT863180fb"/>
        </w:rPr>
        <w:t xml:space="preserve">ow (red </w:t>
      </w:r>
      <w:r w:rsidR="002D73CE" w:rsidRPr="002D73CE">
        <w:rPr>
          <w:rFonts w:cs="AdvOT863180fb+fb"/>
        </w:rPr>
        <w:t>fi</w:t>
      </w:r>
      <w:r w:rsidR="002D73CE" w:rsidRPr="002D73CE">
        <w:rPr>
          <w:rFonts w:cs="AdvOT863180fb"/>
        </w:rPr>
        <w:t>lled circles and arrows) in this study is considered a function of the proximity to primary slip surfaces (zones) and the connectivity of a fault and fractures to other hydraulically conductive elements within the groundwater system. The connectivity of the network is largely cont</w:t>
      </w:r>
      <w:r w:rsidR="002D73CE">
        <w:rPr>
          <w:rFonts w:cs="AdvOT863180fb"/>
        </w:rPr>
        <w:t>rolled by the longest faults”.</w:t>
      </w:r>
    </w:p>
    <w:p w14:paraId="1C176ED3" w14:textId="77777777" w:rsidR="005756B1" w:rsidRPr="002D73CE" w:rsidRDefault="005756B1" w:rsidP="00F40D1B">
      <w:pPr>
        <w:autoSpaceDE w:val="0"/>
        <w:autoSpaceDN w:val="0"/>
        <w:adjustRightInd w:val="0"/>
        <w:spacing w:after="0" w:line="240" w:lineRule="auto"/>
        <w:rPr>
          <w:rFonts w:cs="Times New Roman"/>
        </w:rPr>
      </w:pPr>
    </w:p>
    <w:p w14:paraId="4A035DDB" w14:textId="77777777" w:rsidR="005756B1" w:rsidRPr="002D73CE" w:rsidRDefault="005756B1" w:rsidP="005756B1">
      <w:pPr>
        <w:autoSpaceDE w:val="0"/>
        <w:autoSpaceDN w:val="0"/>
        <w:adjustRightInd w:val="0"/>
        <w:spacing w:after="0" w:line="240" w:lineRule="auto"/>
        <w:rPr>
          <w:rFonts w:cs="Times New Roman"/>
        </w:rPr>
      </w:pPr>
    </w:p>
    <w:p w14:paraId="7E348627" w14:textId="77777777" w:rsidR="005756B1" w:rsidRDefault="005756B1" w:rsidP="00E9349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n-AU"/>
        </w:rPr>
        <w:drawing>
          <wp:inline distT="0" distB="0" distL="0" distR="0" wp14:anchorId="3273D66B" wp14:editId="30A5B822">
            <wp:extent cx="5731510" cy="3943985"/>
            <wp:effectExtent l="0" t="0" r="2540" b="0"/>
            <wp:docPr id="18" name="Picture 18" descr="Diagrams of fault zone hydrogeological investigations, from field data to conceptual model to numerical model in:&#10;A) Surface focussed investigations&#10;B) subsurface focussed investigations" title="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ense 2013 modelling shallow faults.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31510" cy="3943985"/>
                    </a:xfrm>
                    <a:prstGeom prst="rect">
                      <a:avLst/>
                    </a:prstGeom>
                  </pic:spPr>
                </pic:pic>
              </a:graphicData>
            </a:graphic>
          </wp:inline>
        </w:drawing>
      </w:r>
    </w:p>
    <w:p w14:paraId="400B8014" w14:textId="77777777" w:rsidR="005756B1" w:rsidRDefault="005756B1" w:rsidP="005756B1">
      <w:pPr>
        <w:autoSpaceDE w:val="0"/>
        <w:autoSpaceDN w:val="0"/>
        <w:adjustRightInd w:val="0"/>
        <w:spacing w:after="0" w:line="240" w:lineRule="auto"/>
        <w:rPr>
          <w:rFonts w:ascii="Times New Roman" w:hAnsi="Times New Roman" w:cs="Times New Roman"/>
          <w:sz w:val="24"/>
          <w:szCs w:val="24"/>
        </w:rPr>
      </w:pPr>
    </w:p>
    <w:p w14:paraId="143D4720" w14:textId="1407FB33" w:rsidR="005756B1" w:rsidRPr="00064A53" w:rsidRDefault="00391D3A" w:rsidP="00391D3A">
      <w:pPr>
        <w:pStyle w:val="Caption"/>
        <w:rPr>
          <w:rFonts w:cs="AdvTT5235d5a9"/>
        </w:rPr>
      </w:pPr>
      <w:bookmarkStart w:id="505" w:name="_Ref432605111"/>
      <w:bookmarkStart w:id="506" w:name="_Toc442353808"/>
      <w:r>
        <w:t xml:space="preserve">Figure </w:t>
      </w:r>
      <w:fldSimple w:instr=" SEQ Figure \* ARABIC ">
        <w:r w:rsidR="00ED1412">
          <w:rPr>
            <w:noProof/>
          </w:rPr>
          <w:t>27</w:t>
        </w:r>
      </w:fldSimple>
      <w:bookmarkEnd w:id="505"/>
      <w:r w:rsidR="001E0F17">
        <w:rPr>
          <w:rFonts w:cs="AdvTT5235d5a9"/>
        </w:rPr>
        <w:t>.</w:t>
      </w:r>
      <w:r w:rsidR="005756B1" w:rsidRPr="00064A53">
        <w:rPr>
          <w:rFonts w:cs="AdvTT5235d5a9"/>
        </w:rPr>
        <w:t xml:space="preserve"> Complex </w:t>
      </w:r>
      <w:r w:rsidR="005756B1">
        <w:rPr>
          <w:rFonts w:cs="AdvTT5235d5a9"/>
        </w:rPr>
        <w:t>f</w:t>
      </w:r>
      <w:r w:rsidR="005756B1" w:rsidRPr="00064A53">
        <w:rPr>
          <w:rFonts w:cs="AdvTT5235d5a9"/>
        </w:rPr>
        <w:t>ault zone hydrogeology</w:t>
      </w:r>
      <w:r w:rsidR="005756B1">
        <w:rPr>
          <w:rFonts w:cs="AdvTT5235d5a9"/>
        </w:rPr>
        <w:t xml:space="preserve"> for a shallow</w:t>
      </w:r>
      <w:r w:rsidR="005756B1" w:rsidRPr="00064A53">
        <w:rPr>
          <w:rFonts w:cs="AdvTT5235d5a9"/>
        </w:rPr>
        <w:t xml:space="preserve"> aquifer horizon</w:t>
      </w:r>
      <w:r w:rsidR="004F49D9">
        <w:rPr>
          <w:rFonts w:cs="AdvTT5235d5a9"/>
        </w:rPr>
        <w:t xml:space="preserve"> where A) shows surface focused investigations and B) shows subsurface focused investigations</w:t>
      </w:r>
      <w:r w:rsidR="005756B1" w:rsidRPr="00064A53">
        <w:rPr>
          <w:rFonts w:cs="AdvTT5235d5a9"/>
        </w:rPr>
        <w:t xml:space="preserve"> </w:t>
      </w:r>
      <w:r w:rsidR="00BA7B5D">
        <w:rPr>
          <w:rFonts w:cs="AdvTT5235d5a9"/>
        </w:rPr>
        <w:t>(</w:t>
      </w:r>
      <w:r w:rsidR="005756B1" w:rsidRPr="00064A53">
        <w:rPr>
          <w:rFonts w:cs="AdvTT5235d5a9"/>
        </w:rPr>
        <w:t>Bense et al. 2013).</w:t>
      </w:r>
      <w:bookmarkEnd w:id="506"/>
      <w:r w:rsidR="005756B1" w:rsidRPr="00064A53">
        <w:rPr>
          <w:rFonts w:cs="AdvTT5235d5a9"/>
        </w:rPr>
        <w:t xml:space="preserve"> </w:t>
      </w:r>
    </w:p>
    <w:p w14:paraId="0DDE5186" w14:textId="77777777" w:rsidR="005756B1" w:rsidRDefault="005756B1" w:rsidP="005756B1">
      <w:pPr>
        <w:autoSpaceDE w:val="0"/>
        <w:autoSpaceDN w:val="0"/>
        <w:adjustRightInd w:val="0"/>
        <w:spacing w:after="0" w:line="240" w:lineRule="auto"/>
        <w:rPr>
          <w:rFonts w:ascii="AdvTT5235d5a9" w:hAnsi="AdvTT5235d5a9" w:cs="AdvTT5235d5a9"/>
          <w:color w:val="0000FF"/>
          <w:sz w:val="13"/>
          <w:szCs w:val="13"/>
        </w:rPr>
      </w:pPr>
    </w:p>
    <w:p w14:paraId="24EA2C51" w14:textId="77777777" w:rsidR="005756B1" w:rsidRDefault="005756B1" w:rsidP="005756B1">
      <w:pPr>
        <w:autoSpaceDE w:val="0"/>
        <w:autoSpaceDN w:val="0"/>
        <w:adjustRightInd w:val="0"/>
        <w:spacing w:after="0" w:line="240" w:lineRule="auto"/>
        <w:rPr>
          <w:rFonts w:ascii="Times New Roman" w:hAnsi="Times New Roman" w:cs="Times New Roman"/>
          <w:sz w:val="24"/>
          <w:szCs w:val="24"/>
        </w:rPr>
      </w:pPr>
    </w:p>
    <w:p w14:paraId="69C986CF" w14:textId="77777777" w:rsidR="003D542A" w:rsidRDefault="003D542A" w:rsidP="00E9349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n-AU"/>
        </w:rPr>
        <w:lastRenderedPageBreak/>
        <w:drawing>
          <wp:inline distT="0" distB="0" distL="0" distR="0" wp14:anchorId="06F89C43" wp14:editId="08259EFA">
            <wp:extent cx="3415658" cy="7861300"/>
            <wp:effectExtent l="0" t="0" r="0" b="6350"/>
            <wp:docPr id="16" name="Picture 16" descr="Diagrams of complex faultzone hydrogeology for aquifer horizons." title="Fig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ense 2013 modelling shallow faults 3.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453104" cy="7947483"/>
                    </a:xfrm>
                    <a:prstGeom prst="rect">
                      <a:avLst/>
                    </a:prstGeom>
                  </pic:spPr>
                </pic:pic>
              </a:graphicData>
            </a:graphic>
          </wp:inline>
        </w:drawing>
      </w:r>
    </w:p>
    <w:p w14:paraId="7345B413" w14:textId="601932AD" w:rsidR="00D65209" w:rsidRPr="00064A53" w:rsidRDefault="00391D3A" w:rsidP="00391D3A">
      <w:pPr>
        <w:pStyle w:val="Caption"/>
        <w:rPr>
          <w:rFonts w:cs="AdvTT5235d5a9"/>
        </w:rPr>
      </w:pPr>
      <w:bookmarkStart w:id="507" w:name="_Ref432605119"/>
      <w:bookmarkStart w:id="508" w:name="_Toc442353809"/>
      <w:r>
        <w:t xml:space="preserve">Figure </w:t>
      </w:r>
      <w:fldSimple w:instr=" SEQ Figure \* ARABIC ">
        <w:r w:rsidR="00ED1412">
          <w:rPr>
            <w:noProof/>
          </w:rPr>
          <w:t>28</w:t>
        </w:r>
      </w:fldSimple>
      <w:bookmarkEnd w:id="507"/>
      <w:r w:rsidR="001E0F17">
        <w:rPr>
          <w:rFonts w:cs="AdvTT5235d5a9"/>
        </w:rPr>
        <w:t>.</w:t>
      </w:r>
      <w:r w:rsidR="00064A53" w:rsidRPr="00064A53">
        <w:rPr>
          <w:rFonts w:cs="AdvTT5235d5a9"/>
        </w:rPr>
        <w:t xml:space="preserve"> Complex </w:t>
      </w:r>
      <w:r w:rsidR="00487ADC">
        <w:rPr>
          <w:rFonts w:cs="AdvTT5235d5a9"/>
        </w:rPr>
        <w:t>f</w:t>
      </w:r>
      <w:r w:rsidR="00785F15" w:rsidRPr="00064A53">
        <w:rPr>
          <w:rFonts w:cs="AdvTT5235d5a9"/>
        </w:rPr>
        <w:t>ault zone hydrogeology</w:t>
      </w:r>
      <w:r w:rsidR="00064A53" w:rsidRPr="00064A53">
        <w:rPr>
          <w:rFonts w:cs="AdvTT5235d5a9"/>
        </w:rPr>
        <w:t xml:space="preserve"> for an aquifer horizon</w:t>
      </w:r>
      <w:r w:rsidR="006857DE">
        <w:rPr>
          <w:rFonts w:cs="AdvTT5235d5a9"/>
        </w:rPr>
        <w:t xml:space="preserve"> where A) is a block model, B) is a detailed scan through one fault core, C) is a detailed scan line through three fault cores, D) is the fracture density and permeability distribution on scan line B, E)</w:t>
      </w:r>
      <w:r w:rsidR="006857DE" w:rsidRPr="006857DE">
        <w:rPr>
          <w:rFonts w:cs="AdvTT5235d5a9"/>
        </w:rPr>
        <w:t xml:space="preserve"> </w:t>
      </w:r>
      <w:r w:rsidR="006857DE">
        <w:rPr>
          <w:rFonts w:cs="AdvTT5235d5a9"/>
        </w:rPr>
        <w:t>is the fracture density and permeability distribution on scan line C, and F) categorisation matrix of damage zone width vs. permeability of fault core into flow characteristics</w:t>
      </w:r>
      <w:r w:rsidR="00064A53" w:rsidRPr="00064A53">
        <w:rPr>
          <w:rFonts w:cs="AdvTT5235d5a9"/>
        </w:rPr>
        <w:t xml:space="preserve"> </w:t>
      </w:r>
      <w:r w:rsidR="00BA7B5D">
        <w:rPr>
          <w:rFonts w:cs="AdvTT5235d5a9"/>
        </w:rPr>
        <w:t>(</w:t>
      </w:r>
      <w:r w:rsidR="00064A53" w:rsidRPr="00064A53">
        <w:rPr>
          <w:rFonts w:cs="AdvTT5235d5a9"/>
        </w:rPr>
        <w:t>Bense et al. 2013).</w:t>
      </w:r>
      <w:bookmarkEnd w:id="508"/>
      <w:r w:rsidR="00785F15" w:rsidRPr="00064A53">
        <w:rPr>
          <w:rFonts w:cs="AdvTT5235d5a9"/>
        </w:rPr>
        <w:t xml:space="preserve"> </w:t>
      </w:r>
    </w:p>
    <w:p w14:paraId="541A26ED" w14:textId="77777777" w:rsidR="00785F15" w:rsidRPr="00064A53" w:rsidRDefault="00785F15" w:rsidP="00F40D1B">
      <w:pPr>
        <w:autoSpaceDE w:val="0"/>
        <w:autoSpaceDN w:val="0"/>
        <w:adjustRightInd w:val="0"/>
        <w:spacing w:after="0" w:line="240" w:lineRule="auto"/>
        <w:rPr>
          <w:rFonts w:cs="AdvTT5235d5a9"/>
          <w:color w:val="0000FF"/>
        </w:rPr>
      </w:pPr>
    </w:p>
    <w:p w14:paraId="0A542CD7" w14:textId="77777777" w:rsidR="00785F15" w:rsidRDefault="00785F15" w:rsidP="00E9349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n-AU"/>
        </w:rPr>
        <w:drawing>
          <wp:inline distT="0" distB="0" distL="0" distR="0" wp14:anchorId="3C7935FA" wp14:editId="1D452BFA">
            <wp:extent cx="4559387" cy="4260850"/>
            <wp:effectExtent l="0" t="0" r="0" b="6350"/>
            <wp:docPr id="17" name="Picture 17" descr="Diagrams of complex fault zone hydrogeology for interbedded aquifers/aquitards." title="Fig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ense 2013 modelling shallow faults 4.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618729" cy="4316307"/>
                    </a:xfrm>
                    <a:prstGeom prst="rect">
                      <a:avLst/>
                    </a:prstGeom>
                  </pic:spPr>
                </pic:pic>
              </a:graphicData>
            </a:graphic>
          </wp:inline>
        </w:drawing>
      </w:r>
    </w:p>
    <w:p w14:paraId="5A48E64E" w14:textId="77777777" w:rsidR="00785F15" w:rsidRDefault="00785F15" w:rsidP="00F40D1B">
      <w:pPr>
        <w:autoSpaceDE w:val="0"/>
        <w:autoSpaceDN w:val="0"/>
        <w:adjustRightInd w:val="0"/>
        <w:spacing w:after="0" w:line="240" w:lineRule="auto"/>
        <w:rPr>
          <w:rFonts w:ascii="Times New Roman" w:hAnsi="Times New Roman" w:cs="Times New Roman"/>
          <w:sz w:val="24"/>
          <w:szCs w:val="24"/>
        </w:rPr>
      </w:pPr>
    </w:p>
    <w:p w14:paraId="39B83300" w14:textId="7CCF9F25" w:rsidR="00785F15" w:rsidRPr="00487ADC" w:rsidRDefault="00391D3A" w:rsidP="00391D3A">
      <w:pPr>
        <w:pStyle w:val="Caption"/>
        <w:rPr>
          <w:rFonts w:cs="AdvTT5235d5a9"/>
        </w:rPr>
      </w:pPr>
      <w:bookmarkStart w:id="509" w:name="_Ref432605142"/>
      <w:bookmarkStart w:id="510" w:name="_Toc442353810"/>
      <w:r>
        <w:t xml:space="preserve">Figure </w:t>
      </w:r>
      <w:fldSimple w:instr=" SEQ Figure \* ARABIC ">
        <w:r w:rsidR="00ED1412">
          <w:rPr>
            <w:noProof/>
          </w:rPr>
          <w:t>29</w:t>
        </w:r>
      </w:fldSimple>
      <w:bookmarkEnd w:id="509"/>
      <w:r w:rsidR="001E0F17">
        <w:rPr>
          <w:rFonts w:cs="AdvTT5235d5a9"/>
        </w:rPr>
        <w:t>.</w:t>
      </w:r>
      <w:r w:rsidR="00487ADC" w:rsidRPr="00487ADC">
        <w:rPr>
          <w:rFonts w:cs="AdvTT5235d5a9"/>
        </w:rPr>
        <w:t xml:space="preserve"> Complex f</w:t>
      </w:r>
      <w:r w:rsidR="00785F15" w:rsidRPr="00487ADC">
        <w:rPr>
          <w:rFonts w:cs="AdvTT5235d5a9"/>
        </w:rPr>
        <w:t>ault zone hydrogeology</w:t>
      </w:r>
      <w:r w:rsidR="00487ADC" w:rsidRPr="00487ADC">
        <w:rPr>
          <w:rFonts w:cs="AdvTT5235d5a9"/>
        </w:rPr>
        <w:t xml:space="preserve"> for an interbedded sequence of aquifers and aquitards</w:t>
      </w:r>
      <w:r w:rsidR="006857DE">
        <w:rPr>
          <w:rFonts w:cs="AdvTT5235d5a9"/>
        </w:rPr>
        <w:t xml:space="preserve"> where A) unlithified siliciclastic rheology, B is lithified siliciclastic rheology, C is crystalline rock rheology, and D) is carbonate rock rheology</w:t>
      </w:r>
      <w:r w:rsidR="00487ADC" w:rsidRPr="00487ADC">
        <w:rPr>
          <w:rFonts w:cs="AdvTT5235d5a9"/>
        </w:rPr>
        <w:t xml:space="preserve"> </w:t>
      </w:r>
      <w:r w:rsidR="00BA7B5D">
        <w:rPr>
          <w:rFonts w:cs="AdvTT5235d5a9"/>
        </w:rPr>
        <w:t>(</w:t>
      </w:r>
      <w:r w:rsidR="00487ADC" w:rsidRPr="00487ADC">
        <w:rPr>
          <w:rFonts w:cs="AdvTT5235d5a9"/>
        </w:rPr>
        <w:t>Bense et al. 2013).</w:t>
      </w:r>
      <w:bookmarkEnd w:id="510"/>
      <w:r w:rsidR="00785F15" w:rsidRPr="00487ADC">
        <w:rPr>
          <w:rFonts w:cs="AdvTT5235d5a9"/>
        </w:rPr>
        <w:t xml:space="preserve"> </w:t>
      </w:r>
    </w:p>
    <w:p w14:paraId="3243D610" w14:textId="77777777" w:rsidR="00487ADC" w:rsidRPr="00487ADC" w:rsidRDefault="00487ADC" w:rsidP="00785F15">
      <w:pPr>
        <w:autoSpaceDE w:val="0"/>
        <w:autoSpaceDN w:val="0"/>
        <w:adjustRightInd w:val="0"/>
        <w:spacing w:after="0" w:line="240" w:lineRule="auto"/>
        <w:rPr>
          <w:rFonts w:cs="AdvTT5235d5a9"/>
        </w:rPr>
      </w:pPr>
    </w:p>
    <w:p w14:paraId="6F780511" w14:textId="77777777" w:rsidR="00785F15" w:rsidRDefault="00785F15" w:rsidP="00E9349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n-AU"/>
        </w:rPr>
        <w:drawing>
          <wp:inline distT="0" distB="0" distL="0" distR="0" wp14:anchorId="73D5B1E1" wp14:editId="798F84F7">
            <wp:extent cx="1975892" cy="2625437"/>
            <wp:effectExtent l="0" t="0" r="5715" b="3810"/>
            <wp:docPr id="19" name="Picture 19" descr="Block diagram of fluid flow in an active rift." title="Fig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ebeck 2014 fault architecture and flow NZ 2.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09322" cy="2669856"/>
                    </a:xfrm>
                    <a:prstGeom prst="rect">
                      <a:avLst/>
                    </a:prstGeom>
                  </pic:spPr>
                </pic:pic>
              </a:graphicData>
            </a:graphic>
          </wp:inline>
        </w:drawing>
      </w:r>
    </w:p>
    <w:p w14:paraId="6A675489" w14:textId="77777777" w:rsidR="00785F15" w:rsidRDefault="00785F15" w:rsidP="00F40D1B">
      <w:pPr>
        <w:autoSpaceDE w:val="0"/>
        <w:autoSpaceDN w:val="0"/>
        <w:adjustRightInd w:val="0"/>
        <w:spacing w:after="0" w:line="240" w:lineRule="auto"/>
        <w:rPr>
          <w:rFonts w:ascii="Times New Roman" w:hAnsi="Times New Roman" w:cs="Times New Roman"/>
          <w:sz w:val="24"/>
          <w:szCs w:val="24"/>
        </w:rPr>
      </w:pPr>
    </w:p>
    <w:p w14:paraId="1922F340" w14:textId="024E75DA" w:rsidR="00785F15" w:rsidRDefault="00391D3A" w:rsidP="00391D3A">
      <w:pPr>
        <w:pStyle w:val="Caption"/>
        <w:rPr>
          <w:rFonts w:cs="AdvOT863180fb"/>
        </w:rPr>
      </w:pPr>
      <w:bookmarkStart w:id="511" w:name="_Ref432605157"/>
      <w:bookmarkStart w:id="512" w:name="_Toc442353811"/>
      <w:r>
        <w:t xml:space="preserve">Figure </w:t>
      </w:r>
      <w:fldSimple w:instr=" SEQ Figure \* ARABIC ">
        <w:r w:rsidR="00ED1412">
          <w:rPr>
            <w:noProof/>
          </w:rPr>
          <w:t>30</w:t>
        </w:r>
      </w:fldSimple>
      <w:bookmarkEnd w:id="511"/>
      <w:r w:rsidR="001E0F17">
        <w:rPr>
          <w:rFonts w:cs="AdvOT863180fb"/>
        </w:rPr>
        <w:t>.</w:t>
      </w:r>
      <w:r w:rsidR="00F306D3" w:rsidRPr="00F306D3">
        <w:rPr>
          <w:rFonts w:cs="AdvOT863180fb"/>
        </w:rPr>
        <w:t xml:space="preserve"> </w:t>
      </w:r>
      <w:r w:rsidR="00785F15" w:rsidRPr="00F306D3">
        <w:rPr>
          <w:rFonts w:cs="AdvOT863180fb"/>
        </w:rPr>
        <w:t xml:space="preserve">Fluid </w:t>
      </w:r>
      <w:r w:rsidR="00785F15" w:rsidRPr="00F306D3">
        <w:rPr>
          <w:rFonts w:cs="AdvOT863180fb+fb"/>
        </w:rPr>
        <w:t>fl</w:t>
      </w:r>
      <w:r w:rsidR="00785F15" w:rsidRPr="00F306D3">
        <w:rPr>
          <w:rFonts w:cs="AdvOT863180fb"/>
        </w:rPr>
        <w:t>ow in fault zones from an active rift</w:t>
      </w:r>
      <w:r w:rsidR="00F306D3" w:rsidRPr="00F306D3">
        <w:rPr>
          <w:rFonts w:cs="AdvOT863180fb"/>
        </w:rPr>
        <w:t>. Geometry of the detailed fault zone architecture related to the flux distribution of formation water</w:t>
      </w:r>
      <w:r w:rsidR="006857DE">
        <w:rPr>
          <w:rFonts w:cs="AdvOT863180fb"/>
        </w:rPr>
        <w:t xml:space="preserve"> where </w:t>
      </w:r>
      <w:r w:rsidR="006857DE" w:rsidRPr="002D73CE">
        <w:rPr>
          <w:rFonts w:cs="AdvOT863180fb"/>
        </w:rPr>
        <w:t>low to moderate (</w:t>
      </w:r>
      <w:r w:rsidR="006857DE">
        <w:rPr>
          <w:rFonts w:cs="AdvP4C4E74"/>
        </w:rPr>
        <w:t>&lt;</w:t>
      </w:r>
      <w:r w:rsidR="006857DE" w:rsidRPr="002D73CE">
        <w:rPr>
          <w:rFonts w:cs="AdvOT863180fb"/>
        </w:rPr>
        <w:t xml:space="preserve">5 </w:t>
      </w:r>
      <w:r w:rsidR="006857DE">
        <w:rPr>
          <w:rFonts w:cs="AdvP4C4E74"/>
        </w:rPr>
        <w:t>x</w:t>
      </w:r>
      <w:r w:rsidR="006857DE" w:rsidRPr="002D73CE">
        <w:rPr>
          <w:rFonts w:cs="AdvOT863180fb"/>
        </w:rPr>
        <w:t>10</w:t>
      </w:r>
      <w:r w:rsidR="006857DE" w:rsidRPr="002D73CE">
        <w:rPr>
          <w:rFonts w:cs="AdvOT863180fb"/>
          <w:vertAlign w:val="superscript"/>
        </w:rPr>
        <w:t>3</w:t>
      </w:r>
      <w:r w:rsidR="006857DE" w:rsidRPr="002D73CE">
        <w:rPr>
          <w:rFonts w:cs="AdvOT863180fb"/>
        </w:rPr>
        <w:t xml:space="preserve"> m</w:t>
      </w:r>
      <w:r w:rsidR="006857DE" w:rsidRPr="002D73CE">
        <w:rPr>
          <w:rFonts w:cs="AdvOT863180fb"/>
          <w:vertAlign w:val="superscript"/>
        </w:rPr>
        <w:t>3</w:t>
      </w:r>
      <w:r w:rsidR="006857DE" w:rsidRPr="002D73CE">
        <w:rPr>
          <w:rFonts w:cs="AdvOT863180fb"/>
        </w:rPr>
        <w:t>/s) and high (</w:t>
      </w:r>
      <w:r w:rsidR="006857DE">
        <w:rPr>
          <w:rFonts w:cs="AdvP4C4E74"/>
        </w:rPr>
        <w:t>&gt;</w:t>
      </w:r>
      <w:r w:rsidR="006857DE" w:rsidRPr="002D73CE">
        <w:rPr>
          <w:rFonts w:cs="AdvOT863180fb"/>
        </w:rPr>
        <w:t xml:space="preserve">5 </w:t>
      </w:r>
      <w:r w:rsidR="006857DE">
        <w:rPr>
          <w:rFonts w:cs="AdvP4C4E74"/>
        </w:rPr>
        <w:t>x</w:t>
      </w:r>
      <w:r w:rsidR="006857DE" w:rsidRPr="002D73CE">
        <w:rPr>
          <w:rFonts w:cs="AdvOT863180fb"/>
        </w:rPr>
        <w:t>10</w:t>
      </w:r>
      <w:r w:rsidR="006857DE" w:rsidRPr="002D73CE">
        <w:rPr>
          <w:rFonts w:cs="AdvOT863180fb"/>
          <w:vertAlign w:val="superscript"/>
        </w:rPr>
        <w:t>3</w:t>
      </w:r>
      <w:r w:rsidR="006857DE" w:rsidRPr="002D73CE">
        <w:rPr>
          <w:rFonts w:cs="AdvOT863180fb"/>
        </w:rPr>
        <w:t xml:space="preserve"> m</w:t>
      </w:r>
      <w:r w:rsidR="006857DE" w:rsidRPr="002D73CE">
        <w:rPr>
          <w:rFonts w:cs="AdvOT863180fb"/>
          <w:vertAlign w:val="superscript"/>
        </w:rPr>
        <w:t>3</w:t>
      </w:r>
      <w:r w:rsidR="006857DE" w:rsidRPr="002D73CE">
        <w:rPr>
          <w:rFonts w:cs="AdvOT863180fb"/>
        </w:rPr>
        <w:t xml:space="preserve">/s) </w:t>
      </w:r>
      <w:r w:rsidR="006857DE" w:rsidRPr="002D73CE">
        <w:rPr>
          <w:rFonts w:cs="AdvOT863180fb+fb"/>
        </w:rPr>
        <w:t>fl</w:t>
      </w:r>
      <w:r w:rsidR="006857DE" w:rsidRPr="002D73CE">
        <w:rPr>
          <w:rFonts w:cs="AdvOT863180fb"/>
        </w:rPr>
        <w:t>ow rates shown by light and dark blue shading, respectively</w:t>
      </w:r>
      <w:r w:rsidR="006857DE">
        <w:rPr>
          <w:rFonts w:cs="AdvOT863180fb"/>
        </w:rPr>
        <w:t>. The red dots show</w:t>
      </w:r>
      <w:r w:rsidR="004F49D9">
        <w:rPr>
          <w:rFonts w:cs="AdvOT863180fb"/>
        </w:rPr>
        <w:t xml:space="preserve"> </w:t>
      </w:r>
      <w:r w:rsidR="006857DE">
        <w:rPr>
          <w:rFonts w:cs="AdvOT863180fb"/>
        </w:rPr>
        <w:t>location and direction</w:t>
      </w:r>
      <w:r w:rsidR="004F49D9">
        <w:rPr>
          <w:rFonts w:cs="AdvOT863180fb"/>
        </w:rPr>
        <w:t xml:space="preserve"> and relative rate of flow</w:t>
      </w:r>
      <w:r w:rsidR="00F306D3" w:rsidRPr="00F306D3">
        <w:rPr>
          <w:rFonts w:cs="AdvOT863180fb"/>
        </w:rPr>
        <w:t xml:space="preserve"> </w:t>
      </w:r>
      <w:r w:rsidR="00BA7B5D">
        <w:rPr>
          <w:rFonts w:cs="AdvOT863180fb"/>
        </w:rPr>
        <w:t>(</w:t>
      </w:r>
      <w:r w:rsidR="00F306D3" w:rsidRPr="00F306D3">
        <w:rPr>
          <w:rFonts w:cs="AdvOT863180fb"/>
        </w:rPr>
        <w:t>Seebeck et al. 2014</w:t>
      </w:r>
      <w:r w:rsidR="00BA7B5D">
        <w:rPr>
          <w:rFonts w:cs="AdvOT863180fb"/>
        </w:rPr>
        <w:t>)</w:t>
      </w:r>
      <w:r w:rsidR="00F306D3" w:rsidRPr="00F306D3">
        <w:rPr>
          <w:rFonts w:cs="AdvOT863180fb"/>
        </w:rPr>
        <w:t>.</w:t>
      </w:r>
      <w:bookmarkEnd w:id="512"/>
    </w:p>
    <w:p w14:paraId="59C0366D" w14:textId="6095A5D6" w:rsidR="00DF0A9E" w:rsidRDefault="00DF0A9E" w:rsidP="00DF0A9E">
      <w:pPr>
        <w:autoSpaceDE w:val="0"/>
        <w:autoSpaceDN w:val="0"/>
        <w:adjustRightInd w:val="0"/>
        <w:spacing w:after="0" w:line="240" w:lineRule="auto"/>
        <w:rPr>
          <w:rFonts w:cs="AdvOT863180fb"/>
        </w:rPr>
      </w:pPr>
      <w:r>
        <w:rPr>
          <w:rFonts w:cs="AdvOTb83ee1dd.B"/>
        </w:rPr>
        <w:lastRenderedPageBreak/>
        <w:t>The three dimensional model of Seebeck et al</w:t>
      </w:r>
      <w:r w:rsidR="009C69C0">
        <w:rPr>
          <w:rFonts w:cs="AdvOTb83ee1dd.B"/>
        </w:rPr>
        <w:t>.</w:t>
      </w:r>
      <w:r>
        <w:rPr>
          <w:rFonts w:cs="AdvOTb83ee1dd.B"/>
        </w:rPr>
        <w:t xml:space="preserve"> (2014) can be analysed in cross section through the fault as a series of high a</w:t>
      </w:r>
      <w:r w:rsidR="009C69C0">
        <w:rPr>
          <w:rFonts w:cs="AdvOTb83ee1dd.B"/>
        </w:rPr>
        <w:t>nd</w:t>
      </w:r>
      <w:r>
        <w:rPr>
          <w:rFonts w:cs="AdvOTb83ee1dd.B"/>
        </w:rPr>
        <w:t xml:space="preserve"> low permeability zones that have associated fluxes and fracture densities. </w:t>
      </w:r>
      <w:r>
        <w:rPr>
          <w:rFonts w:cs="AdvOTb83ee1dd.B"/>
        </w:rPr>
        <w:fldChar w:fldCharType="begin"/>
      </w:r>
      <w:r>
        <w:rPr>
          <w:rFonts w:cs="AdvOTb83ee1dd.B"/>
        </w:rPr>
        <w:instrText xml:space="preserve"> REF _Ref432605167 \h </w:instrText>
      </w:r>
      <w:r>
        <w:rPr>
          <w:rFonts w:cs="AdvOTb83ee1dd.B"/>
        </w:rPr>
      </w:r>
      <w:r>
        <w:rPr>
          <w:rFonts w:cs="AdvOTb83ee1dd.B"/>
        </w:rPr>
        <w:fldChar w:fldCharType="separate"/>
      </w:r>
      <w:r w:rsidR="00ED1412">
        <w:t xml:space="preserve">Figure </w:t>
      </w:r>
      <w:r w:rsidR="00ED1412">
        <w:rPr>
          <w:noProof/>
        </w:rPr>
        <w:t>31</w:t>
      </w:r>
      <w:r>
        <w:rPr>
          <w:rFonts w:cs="AdvOTb83ee1dd.B"/>
        </w:rPr>
        <w:fldChar w:fldCharType="end"/>
      </w:r>
      <w:r>
        <w:rPr>
          <w:rFonts w:cs="AdvOTb83ee1dd.B"/>
        </w:rPr>
        <w:t xml:space="preserve"> shows a</w:t>
      </w:r>
      <w:r w:rsidRPr="005111D5">
        <w:rPr>
          <w:rFonts w:cs="AdvOTb83ee1dd.B"/>
        </w:rPr>
        <w:t xml:space="preserve"> </w:t>
      </w:r>
      <w:r>
        <w:rPr>
          <w:rFonts w:cs="AdvOT863180fb"/>
        </w:rPr>
        <w:t>s</w:t>
      </w:r>
      <w:r w:rsidRPr="005111D5">
        <w:rPr>
          <w:rFonts w:cs="AdvOT863180fb"/>
        </w:rPr>
        <w:t>chematic</w:t>
      </w:r>
      <w:r>
        <w:rPr>
          <w:rFonts w:cs="AdvOT863180fb"/>
        </w:rPr>
        <w:t xml:space="preserve"> distribution of hydrogeological properties for a complicated</w:t>
      </w:r>
      <w:r w:rsidRPr="005111D5">
        <w:rPr>
          <w:rFonts w:cs="AdvOT863180fb"/>
        </w:rPr>
        <w:t xml:space="preserve"> fault zone architecture (after Faulkner et al., 2010</w:t>
      </w:r>
      <w:r>
        <w:rPr>
          <w:rFonts w:cs="AdvOT863180fb"/>
        </w:rPr>
        <w:t>) where: “(a) is a</w:t>
      </w:r>
      <w:r w:rsidRPr="005111D5">
        <w:rPr>
          <w:rFonts w:cs="AdvOT863180fb"/>
        </w:rPr>
        <w:t xml:space="preserve"> single high strain slip zone surrounded by a lower strain damage zone (e.g. Chester and Logan, 1986</w:t>
      </w:r>
      <w:r>
        <w:rPr>
          <w:rFonts w:cs="AdvOT863180fb"/>
        </w:rPr>
        <w:t>);</w:t>
      </w:r>
      <w:r w:rsidRPr="005111D5">
        <w:rPr>
          <w:rFonts w:cs="AdvOT863180fb"/>
        </w:rPr>
        <w:t xml:space="preserve"> (b) </w:t>
      </w:r>
      <w:r>
        <w:rPr>
          <w:rFonts w:cs="AdvOT863180fb"/>
        </w:rPr>
        <w:t>is an a</w:t>
      </w:r>
      <w:r w:rsidRPr="005111D5">
        <w:rPr>
          <w:rFonts w:cs="AdvOT863180fb"/>
        </w:rPr>
        <w:t xml:space="preserve">nastomosing pattern of multiple high strain slip zones bounding variably strained protolith (e.g. Wallace and Morris, 1986). The bulk physical properties of these two end-members is dependent on the scale of observation. A critical fracture density (Cf) is required before macro-scale permeability occurs. Fault zone architecture </w:t>
      </w:r>
      <w:r>
        <w:rPr>
          <w:rFonts w:cs="AdvOT863180fb"/>
        </w:rPr>
        <w:t xml:space="preserve">is </w:t>
      </w:r>
      <w:r w:rsidRPr="005111D5">
        <w:rPr>
          <w:rFonts w:cs="AdvOT863180fb"/>
        </w:rPr>
        <w:t>comprised</w:t>
      </w:r>
      <w:r>
        <w:rPr>
          <w:rFonts w:cs="AdvOT863180fb"/>
        </w:rPr>
        <w:t xml:space="preserve"> of</w:t>
      </w:r>
      <w:r w:rsidRPr="005111D5">
        <w:rPr>
          <w:rFonts w:cs="AdvOT863180fb"/>
        </w:rPr>
        <w:t xml:space="preserve"> four main elements; 1) Fault rock (gouge, breccia, cataclasite), 2) Fault bound lenses of variably strained wall rock, 3) Fractured wall rock and 4) Protolith. Filled blue circles indicate locations of water </w:t>
      </w:r>
      <w:r w:rsidRPr="005111D5">
        <w:rPr>
          <w:rFonts w:cs="AdvOT863180fb+fb"/>
        </w:rPr>
        <w:t>fl</w:t>
      </w:r>
      <w:r w:rsidRPr="005111D5">
        <w:rPr>
          <w:rFonts w:cs="AdvOT863180fb"/>
        </w:rPr>
        <w:t>ow</w:t>
      </w:r>
      <w:r>
        <w:rPr>
          <w:rFonts w:cs="AdvOT863180fb"/>
        </w:rPr>
        <w:t>”</w:t>
      </w:r>
      <w:r w:rsidRPr="005111D5">
        <w:rPr>
          <w:rFonts w:cs="AdvOT863180fb"/>
        </w:rPr>
        <w:t xml:space="preserve">. </w:t>
      </w:r>
    </w:p>
    <w:p w14:paraId="3DF4D7A1" w14:textId="77777777" w:rsidR="00DF0A9E" w:rsidRDefault="00DF0A9E" w:rsidP="00DF0A9E">
      <w:pPr>
        <w:autoSpaceDE w:val="0"/>
        <w:autoSpaceDN w:val="0"/>
        <w:adjustRightInd w:val="0"/>
        <w:spacing w:after="0" w:line="240" w:lineRule="auto"/>
        <w:rPr>
          <w:rFonts w:cs="AdvOT863180fb"/>
        </w:rPr>
      </w:pPr>
    </w:p>
    <w:p w14:paraId="75010D3B" w14:textId="6F452547" w:rsidR="00DF0A9E" w:rsidRPr="005111D5" w:rsidRDefault="00DF0A9E" w:rsidP="00DF0A9E">
      <w:pPr>
        <w:autoSpaceDE w:val="0"/>
        <w:autoSpaceDN w:val="0"/>
        <w:adjustRightInd w:val="0"/>
        <w:spacing w:after="0" w:line="240" w:lineRule="auto"/>
        <w:rPr>
          <w:rFonts w:cs="AdvOT863180fb"/>
        </w:rPr>
      </w:pPr>
      <w:r>
        <w:rPr>
          <w:rFonts w:cs="AdvOT863180fb"/>
        </w:rPr>
        <w:t>The complex distribution of permeability and flux associated with fault zone architecture and supported by field data described by Seebeck et al. (2013) is mainly related to basement rheologies, however it compliments similar concepts described by Bense et al. (2013) and highlights the challenges of characterising fault zone hydraulic properties in regional groundwater flow models.  In many cases detailed nested models may be required to understand key hydraulic processes that can then be used to upscale certain properties to regional scale groundwater flow models</w:t>
      </w:r>
      <w:r w:rsidR="002059E0">
        <w:rPr>
          <w:rFonts w:cs="AdvOT863180fb"/>
        </w:rPr>
        <w:t>.</w:t>
      </w:r>
      <w:r>
        <w:rPr>
          <w:rFonts w:cs="AdvOT863180fb"/>
        </w:rPr>
        <w:t xml:space="preserve"> Traditional approaches of examining hydrocarbon systems that have either been sealed or not by fault zones provide an interesting estimate of bulk fault zone hydraulic properties.  The differences between these two scales may be related to the nature of</w:t>
      </w:r>
      <w:r w:rsidR="00521439">
        <w:rPr>
          <w:rFonts w:cs="AdvOT863180fb"/>
        </w:rPr>
        <w:t xml:space="preserve"> the</w:t>
      </w:r>
      <w:r>
        <w:rPr>
          <w:rFonts w:cs="AdvOT863180fb"/>
        </w:rPr>
        <w:t xml:space="preserve"> damage zone as a fault crosses top seal lithology that has more ductile rock physics properties.  In other words, </w:t>
      </w:r>
      <w:r w:rsidR="00521439">
        <w:rPr>
          <w:rFonts w:cs="AdvOT863180fb"/>
        </w:rPr>
        <w:t>the required detail to which</w:t>
      </w:r>
      <w:r>
        <w:rPr>
          <w:rFonts w:cs="AdvOT863180fb"/>
        </w:rPr>
        <w:t xml:space="preserve"> fau</w:t>
      </w:r>
      <w:r w:rsidR="00521439">
        <w:rPr>
          <w:rFonts w:cs="AdvOT863180fb"/>
        </w:rPr>
        <w:t>lt zone hydraulic properties should be</w:t>
      </w:r>
      <w:r>
        <w:rPr>
          <w:rFonts w:cs="AdvOT863180fb"/>
        </w:rPr>
        <w:t xml:space="preserve"> scaled up may be host rock specific. </w:t>
      </w:r>
    </w:p>
    <w:p w14:paraId="17324876" w14:textId="77777777" w:rsidR="00F306D3" w:rsidRDefault="00F306D3" w:rsidP="00F40D1B">
      <w:pPr>
        <w:autoSpaceDE w:val="0"/>
        <w:autoSpaceDN w:val="0"/>
        <w:adjustRightInd w:val="0"/>
        <w:spacing w:after="0" w:line="240" w:lineRule="auto"/>
        <w:rPr>
          <w:rFonts w:ascii="AdvOT863180fb" w:hAnsi="AdvOT863180fb" w:cs="AdvOT863180fb"/>
          <w:sz w:val="27"/>
          <w:szCs w:val="27"/>
        </w:rPr>
      </w:pPr>
    </w:p>
    <w:p w14:paraId="7F129C9F" w14:textId="77777777" w:rsidR="00785F15" w:rsidRDefault="00785F15" w:rsidP="00E9349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n-AU"/>
        </w:rPr>
        <w:drawing>
          <wp:inline distT="0" distB="0" distL="0" distR="0" wp14:anchorId="2C6A0A19" wp14:editId="07EA3F4F">
            <wp:extent cx="5689600" cy="4774952"/>
            <wp:effectExtent l="0" t="0" r="6350" b="6985"/>
            <wp:docPr id="20" name="Picture 20" descr="Diagram of fluid flow in an active rift, plan and cross-section view. " title="Fig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eebeck 2014 fault architecture and flow NZ.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10659" cy="4792625"/>
                    </a:xfrm>
                    <a:prstGeom prst="rect">
                      <a:avLst/>
                    </a:prstGeom>
                  </pic:spPr>
                </pic:pic>
              </a:graphicData>
            </a:graphic>
          </wp:inline>
        </w:drawing>
      </w:r>
    </w:p>
    <w:p w14:paraId="18E8E08A" w14:textId="094D4CF8" w:rsidR="001E0F17" w:rsidRPr="00DF0A9E" w:rsidRDefault="00391D3A" w:rsidP="00391D3A">
      <w:pPr>
        <w:pStyle w:val="Caption"/>
        <w:rPr>
          <w:rFonts w:cs="AdvOT863180fb"/>
        </w:rPr>
      </w:pPr>
      <w:bookmarkStart w:id="513" w:name="_Ref432605167"/>
      <w:bookmarkStart w:id="514" w:name="_Toc442353812"/>
      <w:r>
        <w:t xml:space="preserve">Figure </w:t>
      </w:r>
      <w:fldSimple w:instr=" SEQ Figure \* ARABIC ">
        <w:r w:rsidR="00ED1412">
          <w:rPr>
            <w:noProof/>
          </w:rPr>
          <w:t>31</w:t>
        </w:r>
      </w:fldSimple>
      <w:bookmarkEnd w:id="513"/>
      <w:r w:rsidR="001E0F17">
        <w:rPr>
          <w:rFonts w:cs="AdvOT863180fb"/>
        </w:rPr>
        <w:t>.</w:t>
      </w:r>
      <w:r w:rsidR="007E7A9B" w:rsidRPr="00F306D3">
        <w:rPr>
          <w:rFonts w:cs="AdvOT863180fb"/>
        </w:rPr>
        <w:t xml:space="preserve"> Fluid </w:t>
      </w:r>
      <w:r w:rsidR="007E7A9B" w:rsidRPr="00F306D3">
        <w:rPr>
          <w:rFonts w:cs="AdvOT863180fb+fb"/>
        </w:rPr>
        <w:t>fl</w:t>
      </w:r>
      <w:r w:rsidR="007E7A9B" w:rsidRPr="00F306D3">
        <w:rPr>
          <w:rFonts w:cs="AdvOT863180fb"/>
        </w:rPr>
        <w:t>ow in fault zones from an active rift. Geometry of the detailed fault zone architecture related to the</w:t>
      </w:r>
      <w:r w:rsidR="007E7A9B">
        <w:rPr>
          <w:rFonts w:cs="AdvOT863180fb"/>
        </w:rPr>
        <w:t xml:space="preserve"> fracture density, permeability and</w:t>
      </w:r>
      <w:r w:rsidR="007E7A9B" w:rsidRPr="00F306D3">
        <w:rPr>
          <w:rFonts w:cs="AdvOT863180fb"/>
        </w:rPr>
        <w:t xml:space="preserve"> flux distribution of formation water </w:t>
      </w:r>
      <w:r w:rsidR="00BA7B5D">
        <w:rPr>
          <w:rFonts w:cs="AdvOT863180fb"/>
        </w:rPr>
        <w:t>(</w:t>
      </w:r>
      <w:r w:rsidR="007E7A9B" w:rsidRPr="00F306D3">
        <w:rPr>
          <w:rFonts w:cs="AdvOT863180fb"/>
        </w:rPr>
        <w:t>Seebeck et al. 2014</w:t>
      </w:r>
      <w:r w:rsidR="00BA7B5D">
        <w:rPr>
          <w:rFonts w:cs="AdvOT863180fb"/>
        </w:rPr>
        <w:t>)</w:t>
      </w:r>
      <w:r w:rsidR="007E7A9B" w:rsidRPr="00F306D3">
        <w:rPr>
          <w:rFonts w:cs="AdvOT863180fb"/>
        </w:rPr>
        <w:t>.</w:t>
      </w:r>
      <w:bookmarkEnd w:id="514"/>
    </w:p>
    <w:p w14:paraId="38FAC25C" w14:textId="77777777" w:rsidR="009C16A1" w:rsidRPr="00EE6728" w:rsidRDefault="009C16A1" w:rsidP="00A25435">
      <w:pPr>
        <w:pStyle w:val="Heading1"/>
      </w:pPr>
      <w:bookmarkStart w:id="515" w:name="_Toc442351517"/>
      <w:r>
        <w:lastRenderedPageBreak/>
        <w:t>Discussion</w:t>
      </w:r>
      <w:r w:rsidR="00A12AF9">
        <w:t xml:space="preserve"> and Summary</w:t>
      </w:r>
      <w:r>
        <w:t xml:space="preserve"> of Fault Assessment, Sealing Capacity and Reactivation Potential</w:t>
      </w:r>
      <w:bookmarkEnd w:id="515"/>
    </w:p>
    <w:p w14:paraId="06FF0E0E" w14:textId="77777777" w:rsidR="009C16A1" w:rsidRDefault="009C16A1" w:rsidP="009C16A1">
      <w:pPr>
        <w:autoSpaceDE w:val="0"/>
        <w:autoSpaceDN w:val="0"/>
        <w:adjustRightInd w:val="0"/>
        <w:spacing w:after="0" w:line="240" w:lineRule="auto"/>
        <w:rPr>
          <w:rFonts w:ascii="Times New Roman" w:hAnsi="Times New Roman" w:cs="Times New Roman"/>
          <w:sz w:val="24"/>
          <w:szCs w:val="24"/>
        </w:rPr>
      </w:pPr>
    </w:p>
    <w:p w14:paraId="01CADF45" w14:textId="138E904F" w:rsidR="009C16A1" w:rsidRDefault="009C16A1" w:rsidP="00E25502">
      <w:pPr>
        <w:autoSpaceDE w:val="0"/>
        <w:autoSpaceDN w:val="0"/>
        <w:adjustRightInd w:val="0"/>
        <w:rPr>
          <w:rFonts w:cs="Times New Roman"/>
        </w:rPr>
      </w:pPr>
      <w:r>
        <w:rPr>
          <w:rFonts w:cs="Times New Roman"/>
        </w:rPr>
        <w:t>It should be noted that our understanding of how faults initiate and develop</w:t>
      </w:r>
      <w:r w:rsidR="001F2EEE">
        <w:rPr>
          <w:rFonts w:cs="Times New Roman"/>
        </w:rPr>
        <w:t xml:space="preserve"> is to a large extent</w:t>
      </w:r>
      <w:r>
        <w:rPr>
          <w:rFonts w:cs="Times New Roman"/>
        </w:rPr>
        <w:t xml:space="preserve"> based on literature where faults in basement have been studied.  Some researchers have tried to apply this to faults in siliciclastic strata but there is no clear agreement if this is appropriate or not</w:t>
      </w:r>
      <w:r w:rsidR="00B55126">
        <w:rPr>
          <w:rFonts w:cs="Times New Roman"/>
        </w:rPr>
        <w:t xml:space="preserve"> (e.g. </w:t>
      </w:r>
      <w:r w:rsidR="00B35CE3">
        <w:rPr>
          <w:rFonts w:cs="Times New Roman"/>
        </w:rPr>
        <w:fldChar w:fldCharType="begin"/>
      </w:r>
      <w:r w:rsidR="00B35CE3">
        <w:rPr>
          <w:rFonts w:cs="Times New Roman"/>
        </w:rPr>
        <w:instrText xml:space="preserve"> REF _Ref432605211 \h </w:instrText>
      </w:r>
      <w:r w:rsidR="00B35CE3">
        <w:rPr>
          <w:rFonts w:cs="Times New Roman"/>
        </w:rPr>
      </w:r>
      <w:r w:rsidR="00B35CE3">
        <w:rPr>
          <w:rFonts w:cs="Times New Roman"/>
        </w:rPr>
        <w:fldChar w:fldCharType="separate"/>
      </w:r>
      <w:r w:rsidR="00ED1412">
        <w:t xml:space="preserve">Figure </w:t>
      </w:r>
      <w:r w:rsidR="00ED1412">
        <w:rPr>
          <w:noProof/>
        </w:rPr>
        <w:t>32</w:t>
      </w:r>
      <w:r w:rsidR="00B35CE3">
        <w:rPr>
          <w:rFonts w:cs="Times New Roman"/>
        </w:rPr>
        <w:fldChar w:fldCharType="end"/>
      </w:r>
      <w:r w:rsidR="00E24989">
        <w:rPr>
          <w:rFonts w:cs="Times New Roman"/>
        </w:rPr>
        <w:t>)</w:t>
      </w:r>
      <w:r>
        <w:rPr>
          <w:rFonts w:cs="Times New Roman"/>
        </w:rPr>
        <w:t>.  It is clear that the detailed fault zone architecture is influenced by the rheology of the host rock</w:t>
      </w:r>
      <w:r w:rsidR="00930EFC">
        <w:rPr>
          <w:rFonts w:cs="Times New Roman"/>
        </w:rPr>
        <w:t xml:space="preserve"> and by pre-existing planes of weakness</w:t>
      </w:r>
      <w:r>
        <w:rPr>
          <w:rFonts w:cs="Times New Roman"/>
        </w:rPr>
        <w:t>.</w:t>
      </w:r>
      <w:r w:rsidR="00600127">
        <w:rPr>
          <w:rFonts w:cs="Times New Roman"/>
        </w:rPr>
        <w:t xml:space="preserve">  There is also a depth relationship with rheology</w:t>
      </w:r>
      <w:r w:rsidR="001F2EEE">
        <w:rPr>
          <w:rFonts w:cs="Times New Roman"/>
        </w:rPr>
        <w:t xml:space="preserve"> that is</w:t>
      </w:r>
      <w:r w:rsidR="00600127">
        <w:rPr>
          <w:rFonts w:cs="Times New Roman"/>
        </w:rPr>
        <w:t xml:space="preserve"> associated with temperature and pressur</w:t>
      </w:r>
      <w:r w:rsidR="001F2EEE">
        <w:rPr>
          <w:rFonts w:cs="Times New Roman"/>
        </w:rPr>
        <w:t>e. This extends from the shallow unconsolidated to the intermediate brittle and finally the deep ductile domains</w:t>
      </w:r>
      <w:r w:rsidR="00600127">
        <w:rPr>
          <w:rFonts w:cs="Times New Roman"/>
        </w:rPr>
        <w:t>.</w:t>
      </w:r>
      <w:r>
        <w:rPr>
          <w:rFonts w:cs="Times New Roman"/>
        </w:rPr>
        <w:t xml:space="preserve">  For example, this can influence the extent to which a fault damage zone might extend</w:t>
      </w:r>
      <w:r w:rsidR="00A12AF9">
        <w:rPr>
          <w:rFonts w:cs="Times New Roman"/>
        </w:rPr>
        <w:t xml:space="preserve"> outwards</w:t>
      </w:r>
      <w:r>
        <w:rPr>
          <w:rFonts w:cs="Times New Roman"/>
        </w:rPr>
        <w:t xml:space="preserve"> f</w:t>
      </w:r>
      <w:r w:rsidR="002671BF">
        <w:rPr>
          <w:rFonts w:cs="Times New Roman"/>
        </w:rPr>
        <w:t>r</w:t>
      </w:r>
      <w:r>
        <w:rPr>
          <w:rFonts w:cs="Times New Roman"/>
        </w:rPr>
        <w:t>om the fault plane core.</w:t>
      </w:r>
      <w:r w:rsidR="005C4351">
        <w:rPr>
          <w:rFonts w:cs="Times New Roman"/>
        </w:rPr>
        <w:t xml:space="preserve"> </w:t>
      </w:r>
      <w:r w:rsidR="001F2EEE">
        <w:rPr>
          <w:rFonts w:cs="Times New Roman"/>
        </w:rPr>
        <w:t xml:space="preserve">The tectonic and burial history are also important as the current depth of faults may not be representative of the depth at which the fault was initially formed. </w:t>
      </w:r>
      <w:r w:rsidR="005C4351">
        <w:rPr>
          <w:rFonts w:cs="Times New Roman"/>
        </w:rPr>
        <w:t xml:space="preserve"> In</w:t>
      </w:r>
      <w:r>
        <w:rPr>
          <w:rFonts w:cs="Times New Roman"/>
        </w:rPr>
        <w:t xml:space="preserve"> a sedimentary pile with observable faults one might be able to discern the degree and extent of a damage zone by examining wellbore image logs and characterising fracture density as a function of proximity to the identified fault zone.  </w:t>
      </w:r>
    </w:p>
    <w:p w14:paraId="6CBA8CBF" w14:textId="77777777" w:rsidR="00E24989" w:rsidRDefault="00E24989" w:rsidP="00E9349B">
      <w:pPr>
        <w:autoSpaceDE w:val="0"/>
        <w:autoSpaceDN w:val="0"/>
        <w:adjustRightInd w:val="0"/>
        <w:spacing w:after="0" w:line="240" w:lineRule="auto"/>
        <w:jc w:val="center"/>
        <w:rPr>
          <w:rFonts w:cs="Times New Roman"/>
        </w:rPr>
      </w:pPr>
      <w:r>
        <w:rPr>
          <w:rFonts w:cs="Times New Roman"/>
          <w:noProof/>
          <w:lang w:eastAsia="en-AU"/>
        </w:rPr>
        <w:drawing>
          <wp:inline distT="0" distB="0" distL="0" distR="0" wp14:anchorId="01F3095F" wp14:editId="58810364">
            <wp:extent cx="3040716" cy="5425440"/>
            <wp:effectExtent l="0" t="0" r="7620" b="3810"/>
            <wp:docPr id="1" name="Picture 1" descr="Diagram of typical elements of fault zones." title="Fig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veless damage zone.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040538" cy="5425123"/>
                    </a:xfrm>
                    <a:prstGeom prst="rect">
                      <a:avLst/>
                    </a:prstGeom>
                  </pic:spPr>
                </pic:pic>
              </a:graphicData>
            </a:graphic>
          </wp:inline>
        </w:drawing>
      </w:r>
    </w:p>
    <w:p w14:paraId="4BB6767E" w14:textId="4AB40FD3" w:rsidR="00E24989" w:rsidRPr="009E461F" w:rsidRDefault="00391D3A" w:rsidP="00391D3A">
      <w:pPr>
        <w:pStyle w:val="Caption"/>
        <w:rPr>
          <w:rFonts w:cs="AdvOT863180fb"/>
        </w:rPr>
      </w:pPr>
      <w:bookmarkStart w:id="516" w:name="_Ref432605211"/>
      <w:bookmarkStart w:id="517" w:name="_Toc442353813"/>
      <w:r>
        <w:t xml:space="preserve">Figure </w:t>
      </w:r>
      <w:fldSimple w:instr=" SEQ Figure \* ARABIC ">
        <w:r w:rsidR="00ED1412">
          <w:rPr>
            <w:noProof/>
          </w:rPr>
          <w:t>32</w:t>
        </w:r>
      </w:fldSimple>
      <w:bookmarkEnd w:id="516"/>
      <w:r w:rsidR="001E0F17">
        <w:rPr>
          <w:rFonts w:cs="Times New Roman"/>
        </w:rPr>
        <w:t>.</w:t>
      </w:r>
      <w:r w:rsidR="00E24989" w:rsidRPr="009E461F">
        <w:rPr>
          <w:rFonts w:cs="Times New Roman"/>
        </w:rPr>
        <w:t xml:space="preserve">  </w:t>
      </w:r>
      <w:r w:rsidR="00E24989" w:rsidRPr="009E461F">
        <w:rPr>
          <w:rFonts w:cs="AdvOT863180fb"/>
        </w:rPr>
        <w:t>Typical architectural and structural elements of fault zones</w:t>
      </w:r>
      <w:r w:rsidR="00521439">
        <w:rPr>
          <w:rFonts w:cs="AdvOT863180fb"/>
        </w:rPr>
        <w:t xml:space="preserve"> </w:t>
      </w:r>
      <w:r w:rsidR="002671BF">
        <w:rPr>
          <w:rFonts w:cs="AdvOT863180fb"/>
        </w:rPr>
        <w:t>(</w:t>
      </w:r>
      <w:r w:rsidR="002671BF" w:rsidRPr="009E461F">
        <w:rPr>
          <w:rFonts w:cs="AdvOT863180fb"/>
        </w:rPr>
        <w:t>Loveless et al. 2011</w:t>
      </w:r>
      <w:r w:rsidR="002671BF">
        <w:rPr>
          <w:rFonts w:cs="AdvOT863180fb"/>
        </w:rPr>
        <w:t>)</w:t>
      </w:r>
      <w:r w:rsidR="00E24989" w:rsidRPr="009E461F">
        <w:rPr>
          <w:rFonts w:cs="AdvOT863180fb"/>
        </w:rPr>
        <w:t>. a) Fault zone in crystalline rocks (e.g. Caine et al., 1996) with a fault core (FC) and damage zone (DZ). b) Fault zone in poorly lithi</w:t>
      </w:r>
      <w:r w:rsidR="00E24989" w:rsidRPr="009E461F">
        <w:rPr>
          <w:rFonts w:cs="AdvOT863180fb+fb"/>
        </w:rPr>
        <w:t>fi</w:t>
      </w:r>
      <w:r w:rsidR="00E24989" w:rsidRPr="009E461F">
        <w:rPr>
          <w:rFonts w:cs="AdvOT863180fb"/>
        </w:rPr>
        <w:t>ed sediment (e.g. Heynekamp et al., 1999; Rawling and Goodwin, 2003; Rawling and Goodwin, 2006), the mixed zone (MZ) is a third architectural element.</w:t>
      </w:r>
      <w:bookmarkEnd w:id="517"/>
      <w:r w:rsidR="00E24989" w:rsidRPr="009E461F">
        <w:rPr>
          <w:rFonts w:cs="AdvOT863180fb"/>
        </w:rPr>
        <w:t xml:space="preserve"> </w:t>
      </w:r>
    </w:p>
    <w:p w14:paraId="31ECAA66" w14:textId="77777777" w:rsidR="00E24989" w:rsidRPr="006F74F0" w:rsidRDefault="00E24989" w:rsidP="00E24989">
      <w:pPr>
        <w:autoSpaceDE w:val="0"/>
        <w:autoSpaceDN w:val="0"/>
        <w:adjustRightInd w:val="0"/>
        <w:spacing w:after="0" w:line="240" w:lineRule="auto"/>
        <w:rPr>
          <w:rFonts w:ascii="AdvOT863180fb" w:hAnsi="AdvOT863180fb" w:cs="AdvOT863180fb"/>
          <w:color w:val="000000"/>
          <w:sz w:val="13"/>
          <w:szCs w:val="13"/>
        </w:rPr>
      </w:pPr>
    </w:p>
    <w:p w14:paraId="5F51D0BD" w14:textId="6EB02430" w:rsidR="009C16A1" w:rsidRDefault="009C16A1" w:rsidP="009C16A1">
      <w:pPr>
        <w:autoSpaceDE w:val="0"/>
        <w:autoSpaceDN w:val="0"/>
        <w:adjustRightInd w:val="0"/>
        <w:spacing w:after="0" w:line="240" w:lineRule="auto"/>
        <w:rPr>
          <w:rFonts w:cs="Times New Roman"/>
        </w:rPr>
      </w:pPr>
      <w:r>
        <w:rPr>
          <w:rFonts w:cs="Times New Roman"/>
        </w:rPr>
        <w:t xml:space="preserve">Once a fault </w:t>
      </w:r>
      <w:r w:rsidR="00A12AF9">
        <w:rPr>
          <w:rFonts w:cs="Times New Roman"/>
        </w:rPr>
        <w:t>has been initiated</w:t>
      </w:r>
      <w:r>
        <w:rPr>
          <w:rFonts w:cs="Times New Roman"/>
        </w:rPr>
        <w:t xml:space="preserve"> within a rock matrix, it is clear that further strain is often </w:t>
      </w:r>
      <w:r w:rsidR="001F2EEE">
        <w:rPr>
          <w:rFonts w:cs="Times New Roman"/>
        </w:rPr>
        <w:t xml:space="preserve">preferentially </w:t>
      </w:r>
      <w:r>
        <w:rPr>
          <w:rFonts w:cs="Times New Roman"/>
        </w:rPr>
        <w:t>localised on c</w:t>
      </w:r>
      <w:r w:rsidR="001F2EEE">
        <w:rPr>
          <w:rFonts w:cs="Times New Roman"/>
        </w:rPr>
        <w:t xml:space="preserve">ertain </w:t>
      </w:r>
      <w:r w:rsidR="00A12AF9">
        <w:rPr>
          <w:rFonts w:cs="Times New Roman"/>
        </w:rPr>
        <w:t xml:space="preserve">parts of the existing </w:t>
      </w:r>
      <w:r w:rsidR="001F2EEE">
        <w:rPr>
          <w:rFonts w:cs="Times New Roman"/>
        </w:rPr>
        <w:t>structures</w:t>
      </w:r>
      <w:r>
        <w:rPr>
          <w:rFonts w:cs="Times New Roman"/>
        </w:rPr>
        <w:t xml:space="preserve"> resulting in a wide range of</w:t>
      </w:r>
      <w:r w:rsidR="001F2EEE">
        <w:rPr>
          <w:rFonts w:cs="Times New Roman"/>
        </w:rPr>
        <w:t xml:space="preserve"> transient</w:t>
      </w:r>
      <w:r>
        <w:rPr>
          <w:rFonts w:cs="Times New Roman"/>
        </w:rPr>
        <w:t xml:space="preserve"> strain accumulation across a population of faults and fractures.</w:t>
      </w:r>
      <w:r w:rsidR="005C4351">
        <w:rPr>
          <w:rFonts w:cs="Times New Roman"/>
        </w:rPr>
        <w:t xml:space="preserve">  Often there are patterns to the spatial distribution of observ</w:t>
      </w:r>
      <w:r w:rsidR="00A12AF9">
        <w:rPr>
          <w:rFonts w:cs="Times New Roman"/>
        </w:rPr>
        <w:t>ed</w:t>
      </w:r>
      <w:r w:rsidR="005C4351">
        <w:rPr>
          <w:rFonts w:cs="Times New Roman"/>
        </w:rPr>
        <w:t xml:space="preserve"> fault zone size distribution </w:t>
      </w:r>
      <w:r w:rsidR="00A12AF9">
        <w:rPr>
          <w:rFonts w:cs="Times New Roman"/>
        </w:rPr>
        <w:t>and this may allow for the</w:t>
      </w:r>
      <w:r w:rsidR="005C4351">
        <w:rPr>
          <w:rFonts w:cs="Times New Roman"/>
        </w:rPr>
        <w:t xml:space="preserve"> predict</w:t>
      </w:r>
      <w:r w:rsidR="00930EFC">
        <w:rPr>
          <w:rFonts w:cs="Times New Roman"/>
        </w:rPr>
        <w:t>ion o</w:t>
      </w:r>
      <w:r w:rsidR="00A12AF9">
        <w:rPr>
          <w:rFonts w:cs="Times New Roman"/>
        </w:rPr>
        <w:t>f other faults and fractures yet to be identified</w:t>
      </w:r>
      <w:r w:rsidR="005C4351">
        <w:rPr>
          <w:rFonts w:cs="Times New Roman"/>
        </w:rPr>
        <w:t>.  In the historic literature there is often a tendency for a particular type of strain</w:t>
      </w:r>
      <w:r w:rsidR="001F2EEE">
        <w:rPr>
          <w:rFonts w:cs="Times New Roman"/>
        </w:rPr>
        <w:t xml:space="preserve"> mode</w:t>
      </w:r>
      <w:r w:rsidR="005C4351">
        <w:rPr>
          <w:rFonts w:cs="Times New Roman"/>
        </w:rPr>
        <w:t xml:space="preserve"> to be </w:t>
      </w:r>
      <w:r w:rsidR="00A12AF9">
        <w:rPr>
          <w:rFonts w:cs="Times New Roman"/>
        </w:rPr>
        <w:t>“</w:t>
      </w:r>
      <w:r w:rsidR="005C4351">
        <w:rPr>
          <w:rFonts w:cs="Times New Roman"/>
        </w:rPr>
        <w:t>popular</w:t>
      </w:r>
      <w:r w:rsidR="00A12AF9">
        <w:rPr>
          <w:rFonts w:cs="Times New Roman"/>
        </w:rPr>
        <w:t>”</w:t>
      </w:r>
      <w:r w:rsidR="001F2EEE">
        <w:rPr>
          <w:rFonts w:cs="Times New Roman"/>
        </w:rPr>
        <w:t xml:space="preserve"> at the time</w:t>
      </w:r>
      <w:r w:rsidR="005C4351">
        <w:rPr>
          <w:rFonts w:cs="Times New Roman"/>
        </w:rPr>
        <w:t xml:space="preserve"> and this</w:t>
      </w:r>
      <w:r w:rsidR="00A12AF9">
        <w:rPr>
          <w:rFonts w:cs="Times New Roman"/>
        </w:rPr>
        <w:t xml:space="preserve"> can</w:t>
      </w:r>
      <w:r w:rsidR="005C4351">
        <w:rPr>
          <w:rFonts w:cs="Times New Roman"/>
        </w:rPr>
        <w:t xml:space="preserve"> influence the style of faulting interpreted from seismic and outcrop data.  For example a, strike-slip component to fault displacement for very long</w:t>
      </w:r>
      <w:r w:rsidR="001F2EEE">
        <w:rPr>
          <w:rFonts w:cs="Times New Roman"/>
        </w:rPr>
        <w:t xml:space="preserve"> coalesced</w:t>
      </w:r>
      <w:r w:rsidR="005C4351">
        <w:rPr>
          <w:rFonts w:cs="Times New Roman"/>
        </w:rPr>
        <w:t xml:space="preserve"> fault planes</w:t>
      </w:r>
      <w:r w:rsidR="001F2EEE">
        <w:rPr>
          <w:rFonts w:cs="Times New Roman"/>
        </w:rPr>
        <w:t xml:space="preserve"> was a commonly favoured interpretation for certain periods while recently </w:t>
      </w:r>
      <w:r w:rsidR="004C651E">
        <w:rPr>
          <w:rFonts w:cs="Times New Roman"/>
        </w:rPr>
        <w:t>the interpretation of relay ramp</w:t>
      </w:r>
      <w:r w:rsidR="001F2EEE">
        <w:rPr>
          <w:rFonts w:cs="Times New Roman"/>
        </w:rPr>
        <w:t>s is often invoked.</w:t>
      </w:r>
    </w:p>
    <w:p w14:paraId="60C1B9A6" w14:textId="77777777" w:rsidR="002671BF" w:rsidRDefault="002671BF" w:rsidP="009C16A1">
      <w:pPr>
        <w:autoSpaceDE w:val="0"/>
        <w:autoSpaceDN w:val="0"/>
        <w:adjustRightInd w:val="0"/>
        <w:spacing w:after="0" w:line="240" w:lineRule="auto"/>
        <w:rPr>
          <w:rFonts w:cs="Times New Roman"/>
        </w:rPr>
      </w:pPr>
    </w:p>
    <w:p w14:paraId="6CEEB514" w14:textId="77777777" w:rsidR="00B034FE" w:rsidRDefault="00B034FE" w:rsidP="00B034FE">
      <w:pPr>
        <w:autoSpaceDE w:val="0"/>
        <w:autoSpaceDN w:val="0"/>
        <w:adjustRightInd w:val="0"/>
        <w:spacing w:after="0" w:line="240" w:lineRule="auto"/>
        <w:rPr>
          <w:rFonts w:cs="Times New Roman"/>
        </w:rPr>
      </w:pPr>
      <w:r>
        <w:rPr>
          <w:rFonts w:cs="Times New Roman"/>
        </w:rPr>
        <w:t>From this literature review and assessment of commonly used fault analysis methodology, we collected several case study examples of fault systems and their hydraulic behaviour and make the following general observations:</w:t>
      </w:r>
    </w:p>
    <w:p w14:paraId="1CA5A4E6" w14:textId="77777777" w:rsidR="00B034FE" w:rsidRDefault="00B034FE" w:rsidP="00B034FE">
      <w:pPr>
        <w:autoSpaceDE w:val="0"/>
        <w:autoSpaceDN w:val="0"/>
        <w:adjustRightInd w:val="0"/>
        <w:spacing w:after="0" w:line="240" w:lineRule="auto"/>
        <w:rPr>
          <w:rFonts w:cs="Times New Roman"/>
        </w:rPr>
      </w:pPr>
    </w:p>
    <w:p w14:paraId="19B3BCEF" w14:textId="77777777" w:rsidR="00B034FE" w:rsidRDefault="00B034FE" w:rsidP="00B034FE">
      <w:pPr>
        <w:pStyle w:val="ListParagraph"/>
        <w:numPr>
          <w:ilvl w:val="0"/>
          <w:numId w:val="13"/>
        </w:numPr>
        <w:autoSpaceDE w:val="0"/>
        <w:autoSpaceDN w:val="0"/>
        <w:adjustRightInd w:val="0"/>
        <w:spacing w:after="0" w:line="240" w:lineRule="auto"/>
        <w:rPr>
          <w:rFonts w:cs="AdvOT863180fb"/>
        </w:rPr>
      </w:pPr>
      <w:r>
        <w:rPr>
          <w:rFonts w:cs="AdvOT863180fb"/>
        </w:rPr>
        <w:t>Faults can exhibit the full range of hydraulic characteristics between providing a hydraulic barrier sufficient to trap hydrocarbons for millions of years to being a conduit with transmissivities capable of transmitting groundwater from depth to surface thermal springs;</w:t>
      </w:r>
    </w:p>
    <w:p w14:paraId="1F63EB34" w14:textId="77777777" w:rsidR="00B034FE" w:rsidRDefault="00B034FE" w:rsidP="00B034FE">
      <w:pPr>
        <w:pStyle w:val="ListParagraph"/>
        <w:numPr>
          <w:ilvl w:val="0"/>
          <w:numId w:val="13"/>
        </w:numPr>
        <w:autoSpaceDE w:val="0"/>
        <w:autoSpaceDN w:val="0"/>
        <w:adjustRightInd w:val="0"/>
        <w:spacing w:after="0" w:line="240" w:lineRule="auto"/>
        <w:rPr>
          <w:rFonts w:cs="AdvOT863180fb"/>
        </w:rPr>
      </w:pPr>
      <w:r>
        <w:rPr>
          <w:rFonts w:cs="AdvOT863180fb"/>
        </w:rPr>
        <w:t>Faults can exhibit different hydraulic properties at different locations on the fault plane;</w:t>
      </w:r>
    </w:p>
    <w:p w14:paraId="5742DD37" w14:textId="77777777" w:rsidR="00B034FE" w:rsidRDefault="00B034FE" w:rsidP="00B034FE">
      <w:pPr>
        <w:pStyle w:val="ListParagraph"/>
        <w:numPr>
          <w:ilvl w:val="0"/>
          <w:numId w:val="13"/>
        </w:numPr>
        <w:autoSpaceDE w:val="0"/>
        <w:autoSpaceDN w:val="0"/>
        <w:adjustRightInd w:val="0"/>
        <w:spacing w:after="0" w:line="240" w:lineRule="auto"/>
        <w:rPr>
          <w:rFonts w:cs="AdvOT863180fb"/>
        </w:rPr>
      </w:pPr>
      <w:r>
        <w:rPr>
          <w:rFonts w:cs="AdvOT863180fb"/>
        </w:rPr>
        <w:t>The hydraulic behaviour exhibited by faults is related to a combination of: 1) the geometry or architecture of the fault complex, 2) the rheology of the host rocks that the fault plane crosses, and 3) the distribution and orientation of in situ stress;</w:t>
      </w:r>
    </w:p>
    <w:p w14:paraId="3B2D7114" w14:textId="77777777" w:rsidR="00B034FE" w:rsidRDefault="00B034FE" w:rsidP="00B034FE">
      <w:pPr>
        <w:pStyle w:val="ListParagraph"/>
        <w:numPr>
          <w:ilvl w:val="0"/>
          <w:numId w:val="13"/>
        </w:numPr>
        <w:autoSpaceDE w:val="0"/>
        <w:autoSpaceDN w:val="0"/>
        <w:adjustRightInd w:val="0"/>
        <w:spacing w:after="0" w:line="240" w:lineRule="auto"/>
        <w:rPr>
          <w:rFonts w:cs="AdvOT863180fb"/>
        </w:rPr>
      </w:pPr>
      <w:r w:rsidRPr="00D956B7">
        <w:rPr>
          <w:rFonts w:cs="AdvOT863180fb"/>
        </w:rPr>
        <w:t>Faults occur in predictable populations representing a power law distribution of fault size (or throw).  The observed strain</w:t>
      </w:r>
      <w:r w:rsidRPr="0095678E">
        <w:rPr>
          <w:rFonts w:cs="AdvOT863180fb"/>
        </w:rPr>
        <w:t xml:space="preserve"> together with the predicted </w:t>
      </w:r>
      <w:r w:rsidRPr="00C75A1D">
        <w:rPr>
          <w:rFonts w:cs="AdvOT863180fb"/>
        </w:rPr>
        <w:t xml:space="preserve">fault </w:t>
      </w:r>
      <w:r w:rsidRPr="00E21FEF">
        <w:rPr>
          <w:rFonts w:cs="AdvOT863180fb"/>
        </w:rPr>
        <w:t>size distribution can be used to estimate the unobserved</w:t>
      </w:r>
      <w:r>
        <w:rPr>
          <w:rFonts w:cs="AdvOT863180fb"/>
        </w:rPr>
        <w:t xml:space="preserve"> (sub-seismic)</w:t>
      </w:r>
      <w:r w:rsidRPr="00E21FEF">
        <w:rPr>
          <w:rFonts w:cs="AdvOT863180fb"/>
        </w:rPr>
        <w:t xml:space="preserve"> strain</w:t>
      </w:r>
      <w:r>
        <w:rPr>
          <w:rFonts w:cs="AdvOT863180fb"/>
        </w:rPr>
        <w:t>;</w:t>
      </w:r>
    </w:p>
    <w:p w14:paraId="5957EDE5" w14:textId="77777777" w:rsidR="00B034FE" w:rsidRDefault="00B034FE" w:rsidP="00B034FE">
      <w:pPr>
        <w:pStyle w:val="ListParagraph"/>
        <w:numPr>
          <w:ilvl w:val="0"/>
          <w:numId w:val="13"/>
        </w:numPr>
        <w:autoSpaceDE w:val="0"/>
        <w:autoSpaceDN w:val="0"/>
        <w:adjustRightInd w:val="0"/>
        <w:spacing w:after="0" w:line="240" w:lineRule="auto"/>
        <w:rPr>
          <w:rFonts w:cs="AdvOT863180fb"/>
        </w:rPr>
      </w:pPr>
      <w:r>
        <w:rPr>
          <w:rFonts w:cs="AdvOT863180fb"/>
        </w:rPr>
        <w:t>In scenarios of coal seam gas development where the formation pressure is reduced regionally over time by groundwater abstraction associated with gas production, there is an associated change in the effective stress and thus potential for a change in the sealing properties of faults.  Coupled geomechanical and hydrodynamic processes are required to characterise these transient processes;</w:t>
      </w:r>
    </w:p>
    <w:p w14:paraId="1D4E5E08" w14:textId="77777777" w:rsidR="00B034FE" w:rsidRDefault="00B034FE" w:rsidP="00B034FE">
      <w:pPr>
        <w:pStyle w:val="ListParagraph"/>
        <w:numPr>
          <w:ilvl w:val="0"/>
          <w:numId w:val="13"/>
        </w:numPr>
        <w:autoSpaceDE w:val="0"/>
        <w:autoSpaceDN w:val="0"/>
        <w:adjustRightInd w:val="0"/>
        <w:spacing w:after="0" w:line="240" w:lineRule="auto"/>
        <w:rPr>
          <w:rFonts w:cs="AdvOT863180fb"/>
        </w:rPr>
      </w:pPr>
      <w:r>
        <w:rPr>
          <w:rFonts w:cs="AdvOT863180fb"/>
        </w:rPr>
        <w:t>Fault hydraulic properties can depend on the environmental conditions (pressure, temperature, depth and stress) both at the time the fault formed and the present day; and</w:t>
      </w:r>
    </w:p>
    <w:p w14:paraId="627A2BB3" w14:textId="37411286" w:rsidR="00B034FE" w:rsidRDefault="00B034FE" w:rsidP="00B034FE">
      <w:pPr>
        <w:pStyle w:val="ListParagraph"/>
        <w:numPr>
          <w:ilvl w:val="0"/>
          <w:numId w:val="13"/>
        </w:numPr>
        <w:autoSpaceDE w:val="0"/>
        <w:autoSpaceDN w:val="0"/>
        <w:adjustRightInd w:val="0"/>
        <w:spacing w:after="0" w:line="240" w:lineRule="auto"/>
        <w:rPr>
          <w:rFonts w:cs="AdvOT863180fb"/>
        </w:rPr>
      </w:pPr>
      <w:r w:rsidRPr="00EE1AAF">
        <w:rPr>
          <w:rFonts w:cs="AdvOT863180fb"/>
        </w:rPr>
        <w:t>Observations of springs occurring alo</w:t>
      </w:r>
      <w:r w:rsidR="00521439">
        <w:rPr>
          <w:rFonts w:cs="AdvOT863180fb"/>
        </w:rPr>
        <w:t xml:space="preserve">ng faults including </w:t>
      </w:r>
      <w:r w:rsidRPr="00EE1AAF">
        <w:rPr>
          <w:rFonts w:cs="AdvOT863180fb"/>
        </w:rPr>
        <w:t>spring discharge</w:t>
      </w:r>
      <w:r w:rsidR="00521439">
        <w:rPr>
          <w:rFonts w:cs="AdvOT863180fb"/>
        </w:rPr>
        <w:t xml:space="preserve"> flux</w:t>
      </w:r>
      <w:r w:rsidRPr="00EE1AAF">
        <w:rPr>
          <w:rFonts w:cs="AdvOT863180fb"/>
        </w:rPr>
        <w:t>, temperature and geochemistry can be used to calibrate and validate the hydr</w:t>
      </w:r>
      <w:r w:rsidRPr="003C7730">
        <w:rPr>
          <w:rFonts w:cs="AdvOT863180fb"/>
        </w:rPr>
        <w:t>aulic characteristics estimated for fault zones.</w:t>
      </w:r>
    </w:p>
    <w:p w14:paraId="0FE5AF78" w14:textId="77777777" w:rsidR="006E580E" w:rsidRDefault="006E580E" w:rsidP="00D956B7">
      <w:pPr>
        <w:pStyle w:val="Heading1"/>
      </w:pPr>
      <w:bookmarkStart w:id="518" w:name="_Toc442351518"/>
      <w:r>
        <w:t>Implications for up-scaling to Regional Groundwater Models</w:t>
      </w:r>
      <w:bookmarkEnd w:id="518"/>
    </w:p>
    <w:p w14:paraId="6B270A7C" w14:textId="77777777" w:rsidR="00B034FE" w:rsidRDefault="00B034FE" w:rsidP="00B034FE">
      <w:r>
        <w:t>Concerns of aquifer pressure depletion, fugitive methane migration and degradation of aquifer water quality due to CSG development effects propagating up faults can be investigated through the use of regional groundwater models, if they are appropriately parameterised.  A key aspect of this investigative approach is to develop and parameterise regional groundwater models that accurately represent the properties of the rock framework and its contained fluids.  In this review we consider methodologies for estimating the properties of faults and how these can be represented in regional groundwater models. There are a number of key parameters and processes that need to be assessed at a detailed scale and then up-scaled for parameterisation of regional models.  For the incorporation of fault properties these include:</w:t>
      </w:r>
    </w:p>
    <w:p w14:paraId="53CA1DFF" w14:textId="77777777" w:rsidR="00B034FE" w:rsidRDefault="00B034FE" w:rsidP="00B034FE">
      <w:pPr>
        <w:pStyle w:val="ListParagraph"/>
        <w:numPr>
          <w:ilvl w:val="0"/>
          <w:numId w:val="8"/>
        </w:numPr>
      </w:pPr>
      <w:r>
        <w:t>Details of the host rock facies distributions and lithologies;</w:t>
      </w:r>
    </w:p>
    <w:p w14:paraId="0BEDAFA8" w14:textId="77777777" w:rsidR="00B034FE" w:rsidRDefault="00B034FE" w:rsidP="00B034FE">
      <w:pPr>
        <w:pStyle w:val="ListParagraph"/>
        <w:numPr>
          <w:ilvl w:val="0"/>
          <w:numId w:val="8"/>
        </w:numPr>
      </w:pPr>
      <w:r>
        <w:t>Details of the fault throw distributions;</w:t>
      </w:r>
    </w:p>
    <w:p w14:paraId="387888B6" w14:textId="77777777" w:rsidR="00B034FE" w:rsidRDefault="00B034FE" w:rsidP="00B034FE">
      <w:pPr>
        <w:pStyle w:val="ListParagraph"/>
        <w:numPr>
          <w:ilvl w:val="0"/>
          <w:numId w:val="8"/>
        </w:numPr>
      </w:pPr>
      <w:r>
        <w:t>Details of the in situ stress distribution;</w:t>
      </w:r>
    </w:p>
    <w:p w14:paraId="03218F4E" w14:textId="77777777" w:rsidR="00B034FE" w:rsidRDefault="00B034FE" w:rsidP="00B034FE">
      <w:pPr>
        <w:pStyle w:val="ListParagraph"/>
        <w:numPr>
          <w:ilvl w:val="0"/>
          <w:numId w:val="8"/>
        </w:numPr>
      </w:pPr>
      <w:r>
        <w:t>Details of the fault zone damage zone distribution and fault core distribution;</w:t>
      </w:r>
    </w:p>
    <w:p w14:paraId="39834701" w14:textId="77777777" w:rsidR="00B034FE" w:rsidRDefault="00B034FE" w:rsidP="00B034FE">
      <w:pPr>
        <w:pStyle w:val="ListParagraph"/>
        <w:numPr>
          <w:ilvl w:val="0"/>
          <w:numId w:val="8"/>
        </w:numPr>
      </w:pPr>
      <w:r>
        <w:t>Details of the mechanical strength of the fault plane and damage zone;</w:t>
      </w:r>
    </w:p>
    <w:p w14:paraId="7C47B685" w14:textId="77777777" w:rsidR="00B034FE" w:rsidRDefault="00B034FE" w:rsidP="00B034FE">
      <w:pPr>
        <w:pStyle w:val="ListParagraph"/>
        <w:numPr>
          <w:ilvl w:val="0"/>
          <w:numId w:val="8"/>
        </w:numPr>
      </w:pPr>
      <w:r>
        <w:t>Details of the host rock rheology, depth, temperature and how these relate to the tectonic and burial history (this is important for both the aquifer and aquitard layers transected by the fault);</w:t>
      </w:r>
    </w:p>
    <w:p w14:paraId="66321642" w14:textId="77777777" w:rsidR="00B034FE" w:rsidRDefault="00B034FE" w:rsidP="00B034FE">
      <w:pPr>
        <w:pStyle w:val="ListParagraph"/>
        <w:numPr>
          <w:ilvl w:val="0"/>
          <w:numId w:val="8"/>
        </w:numPr>
      </w:pPr>
      <w:r>
        <w:t>Details of the fluid pressure distribution in both the aquifers and aquitards on either side of the fault;</w:t>
      </w:r>
    </w:p>
    <w:p w14:paraId="2A8CCB41" w14:textId="77777777" w:rsidR="00B034FE" w:rsidRDefault="00B034FE" w:rsidP="00B034FE">
      <w:pPr>
        <w:pStyle w:val="ListParagraph"/>
        <w:numPr>
          <w:ilvl w:val="0"/>
          <w:numId w:val="8"/>
        </w:numPr>
      </w:pPr>
      <w:r>
        <w:t>Details of the various fluid types, densities, surface tensions and wettabilities;</w:t>
      </w:r>
    </w:p>
    <w:p w14:paraId="765E37F4" w14:textId="77777777" w:rsidR="00B034FE" w:rsidRDefault="00B034FE" w:rsidP="00B034FE">
      <w:pPr>
        <w:pStyle w:val="ListParagraph"/>
        <w:numPr>
          <w:ilvl w:val="0"/>
          <w:numId w:val="8"/>
        </w:numPr>
      </w:pPr>
      <w:r>
        <w:t>Details of other supporting fluid data such as formation water chemistry and formation temperature;</w:t>
      </w:r>
    </w:p>
    <w:p w14:paraId="17958673" w14:textId="77777777" w:rsidR="00B034FE" w:rsidRDefault="00B034FE" w:rsidP="00B034FE">
      <w:pPr>
        <w:pStyle w:val="ListParagraph"/>
        <w:numPr>
          <w:ilvl w:val="0"/>
          <w:numId w:val="8"/>
        </w:numPr>
      </w:pPr>
      <w:r>
        <w:lastRenderedPageBreak/>
        <w:t>Details of the transient nature of predicted reservoir and adjacent aquifer pressure depletion that could impact the effective stress; and</w:t>
      </w:r>
    </w:p>
    <w:p w14:paraId="5E53B887" w14:textId="77777777" w:rsidR="00B034FE" w:rsidRDefault="00B034FE" w:rsidP="00B034FE">
      <w:pPr>
        <w:pStyle w:val="ListParagraph"/>
        <w:numPr>
          <w:ilvl w:val="0"/>
          <w:numId w:val="8"/>
        </w:numPr>
      </w:pPr>
      <w:r>
        <w:t>Well characterised analogues from outcrop or sub-surface features that can be used to interpolate key characteristics not well enough constrained by data at the site location of interest.</w:t>
      </w:r>
    </w:p>
    <w:p w14:paraId="4CDAE936" w14:textId="61E1C6BB" w:rsidR="00B034FE" w:rsidRDefault="00B034FE" w:rsidP="00B034FE">
      <w:r w:rsidRPr="00332B78">
        <w:t>This review provides the framework that can be used to guide research</w:t>
      </w:r>
      <w:r w:rsidR="008F635A">
        <w:t xml:space="preserve"> (the next stage of work after this review)</w:t>
      </w:r>
      <w:r w:rsidRPr="00332B78">
        <w:t xml:space="preserve"> into appropri</w:t>
      </w:r>
      <w:r w:rsidRPr="00367F38">
        <w:t>ate methodologies and procedures of fault zone hydraulic characterization applied to</w:t>
      </w:r>
      <w:r>
        <w:t xml:space="preserve"> regional groundwater models.</w:t>
      </w:r>
    </w:p>
    <w:p w14:paraId="4654B643" w14:textId="171BA3F2" w:rsidR="00B034FE" w:rsidRDefault="00B034FE">
      <w:r>
        <w:br w:type="page"/>
      </w:r>
    </w:p>
    <w:p w14:paraId="1FD4A67B" w14:textId="77777777" w:rsidR="00286976" w:rsidRDefault="00286976" w:rsidP="00286976">
      <w:pPr>
        <w:pStyle w:val="Heading1"/>
      </w:pPr>
      <w:bookmarkStart w:id="519" w:name="_Toc442351519"/>
      <w:r>
        <w:lastRenderedPageBreak/>
        <w:t>References</w:t>
      </w:r>
      <w:bookmarkEnd w:id="519"/>
    </w:p>
    <w:p w14:paraId="3C03843E" w14:textId="5FB10B40" w:rsidR="0095467B" w:rsidRPr="006E7680" w:rsidRDefault="0095467B" w:rsidP="006E7680">
      <w:pPr>
        <w:spacing w:before="240" w:after="0" w:line="240" w:lineRule="auto"/>
      </w:pPr>
      <w:r w:rsidRPr="006E7680">
        <w:t>Ackerman</w:t>
      </w:r>
      <w:r w:rsidR="004F4884" w:rsidRPr="006E7680">
        <w:t>n, R.V., Schlische, R.W. and</w:t>
      </w:r>
      <w:r w:rsidRPr="006E7680">
        <w:t xml:space="preserve"> Withj</w:t>
      </w:r>
      <w:r w:rsidR="00886783" w:rsidRPr="006E7680">
        <w:t>ack, M.O., 2001. The geometric and statistical evolution of normal fault systems: An experimental study of the effects of mechanical layer thickness on scaling l</w:t>
      </w:r>
      <w:r w:rsidRPr="006E7680">
        <w:t>aws. Journal of Structural Geology</w:t>
      </w:r>
      <w:r w:rsidR="00B034FE" w:rsidRPr="006E7680">
        <w:t>.</w:t>
      </w:r>
      <w:r w:rsidRPr="006E7680">
        <w:t xml:space="preserve"> 23, 1803–1819.</w:t>
      </w:r>
    </w:p>
    <w:p w14:paraId="4FC0A0B5" w14:textId="12772BED" w:rsidR="00521439" w:rsidRPr="001635E1" w:rsidRDefault="00521439" w:rsidP="006E7680">
      <w:pPr>
        <w:spacing w:before="240" w:after="0" w:line="240" w:lineRule="auto"/>
        <w:rPr>
          <w:rFonts w:cs="Times New Roman"/>
        </w:rPr>
      </w:pPr>
      <w:r w:rsidRPr="004452AB">
        <w:t xml:space="preserve">Allan, U.S., 1989. Model for hydrocarbon migration and entrapment within faulted structures. </w:t>
      </w:r>
      <w:r w:rsidRPr="004452AB">
        <w:rPr>
          <w:rFonts w:cs="Times New Roman"/>
          <w:iCs/>
        </w:rPr>
        <w:t xml:space="preserve">American </w:t>
      </w:r>
      <w:r w:rsidRPr="001635E1">
        <w:rPr>
          <w:rFonts w:cs="Times New Roman"/>
          <w:iCs/>
        </w:rPr>
        <w:t>Association of</w:t>
      </w:r>
      <w:r w:rsidRPr="001635E1">
        <w:rPr>
          <w:rFonts w:cs="Times New Roman"/>
        </w:rPr>
        <w:t xml:space="preserve"> </w:t>
      </w:r>
      <w:r w:rsidRPr="001635E1">
        <w:rPr>
          <w:rFonts w:cs="Times New Roman"/>
          <w:iCs/>
        </w:rPr>
        <w:t>Petroleum Geologists Bulletin</w:t>
      </w:r>
      <w:r w:rsidRPr="001635E1">
        <w:rPr>
          <w:rFonts w:cs="Times New Roman"/>
        </w:rPr>
        <w:t>. 73 (7), 803-811.</w:t>
      </w:r>
    </w:p>
    <w:p w14:paraId="1F2DC8D0" w14:textId="417A5648" w:rsidR="004452AB" w:rsidRPr="004452AB" w:rsidRDefault="001635E1" w:rsidP="006E7680">
      <w:pPr>
        <w:spacing w:before="240" w:after="0" w:line="240" w:lineRule="auto"/>
      </w:pPr>
      <w:r w:rsidRPr="001635E1">
        <w:rPr>
          <w:rFonts w:cs="Segoe UI"/>
        </w:rPr>
        <w:t>Apourvari, S. N., and</w:t>
      </w:r>
      <w:r w:rsidR="004452AB" w:rsidRPr="001635E1">
        <w:rPr>
          <w:rFonts w:cs="Segoe UI"/>
        </w:rPr>
        <w:t xml:space="preserve"> Arns, C. H.</w:t>
      </w:r>
      <w:r w:rsidRPr="001635E1">
        <w:rPr>
          <w:rFonts w:cs="Segoe UI"/>
        </w:rPr>
        <w:t>, 2016</w:t>
      </w:r>
      <w:r w:rsidR="004452AB" w:rsidRPr="001635E1">
        <w:rPr>
          <w:rFonts w:cs="Segoe UI"/>
        </w:rPr>
        <w:t>. Image-based relative permeability upscaling from the pore scale.</w:t>
      </w:r>
      <w:r w:rsidR="004452AB" w:rsidRPr="004452AB">
        <w:rPr>
          <w:rFonts w:cs="Segoe UI"/>
        </w:rPr>
        <w:t xml:space="preserve"> </w:t>
      </w:r>
      <w:r w:rsidR="004452AB" w:rsidRPr="001635E1">
        <w:rPr>
          <w:rFonts w:cs="Segoe UI"/>
          <w:iCs/>
        </w:rPr>
        <w:t>Advances in Water Resources</w:t>
      </w:r>
      <w:r w:rsidR="004452AB" w:rsidRPr="001635E1">
        <w:rPr>
          <w:rFonts w:cs="Segoe UI"/>
        </w:rPr>
        <w:t>.</w:t>
      </w:r>
    </w:p>
    <w:p w14:paraId="6DF503E8" w14:textId="13EC2831" w:rsidR="0095467B" w:rsidRPr="004452AB" w:rsidRDefault="0095467B" w:rsidP="006E7680">
      <w:pPr>
        <w:spacing w:before="240" w:after="0" w:line="240" w:lineRule="auto"/>
      </w:pPr>
      <w:r w:rsidRPr="004452AB">
        <w:rPr>
          <w:rFonts w:cs="Times New Roman"/>
        </w:rPr>
        <w:t>Bachu, S.</w:t>
      </w:r>
      <w:r w:rsidR="00B034FE" w:rsidRPr="004452AB">
        <w:rPr>
          <w:rFonts w:cs="Times New Roman"/>
        </w:rPr>
        <w:t>, 1995</w:t>
      </w:r>
      <w:r w:rsidRPr="004452AB">
        <w:rPr>
          <w:rFonts w:cs="Times New Roman"/>
        </w:rPr>
        <w:t xml:space="preserve">. Flow of variable-density formation water in deep sloping aquifers: review of methods of representation with case studies: </w:t>
      </w:r>
      <w:r w:rsidRPr="004452AB">
        <w:rPr>
          <w:rFonts w:cs="Times New Roman"/>
          <w:iCs/>
        </w:rPr>
        <w:t>Journal of Hydrology</w:t>
      </w:r>
      <w:r w:rsidR="00B034FE" w:rsidRPr="004452AB">
        <w:rPr>
          <w:rFonts w:cs="Times New Roman"/>
        </w:rPr>
        <w:t xml:space="preserve">. 164, </w:t>
      </w:r>
      <w:r w:rsidRPr="004452AB">
        <w:rPr>
          <w:rFonts w:cs="Times New Roman"/>
        </w:rPr>
        <w:t>19-38.</w:t>
      </w:r>
    </w:p>
    <w:p w14:paraId="6BA3BCC3" w14:textId="5456F1C0" w:rsidR="0095467B" w:rsidRPr="006E7680" w:rsidRDefault="0095467B" w:rsidP="006E7680">
      <w:pPr>
        <w:spacing w:before="240" w:after="0" w:line="240" w:lineRule="auto"/>
        <w:rPr>
          <w:rFonts w:cs="Times New Roman"/>
        </w:rPr>
      </w:pPr>
      <w:r w:rsidRPr="006E7680">
        <w:rPr>
          <w:rFonts w:cs="Times New Roman"/>
        </w:rPr>
        <w:t>Bachu, S. and Burwash, R.A.</w:t>
      </w:r>
      <w:r w:rsidR="00B034FE" w:rsidRPr="006E7680">
        <w:rPr>
          <w:rFonts w:cs="Times New Roman"/>
        </w:rPr>
        <w:t>, 1991</w:t>
      </w:r>
      <w:r w:rsidRPr="006E7680">
        <w:rPr>
          <w:rFonts w:cs="Times New Roman"/>
        </w:rPr>
        <w:t xml:space="preserve">. Regional-scale analysis of the geothermal regime in the Western Canada Sedimentary Basin, </w:t>
      </w:r>
      <w:r w:rsidRPr="006E7680">
        <w:rPr>
          <w:rFonts w:cs="Times New Roman"/>
          <w:iCs/>
        </w:rPr>
        <w:t>Geothermics</w:t>
      </w:r>
      <w:r w:rsidR="00B034FE" w:rsidRPr="006E7680">
        <w:rPr>
          <w:rFonts w:cs="Times New Roman"/>
        </w:rPr>
        <w:t xml:space="preserve">. 20, </w:t>
      </w:r>
      <w:r w:rsidRPr="006E7680">
        <w:rPr>
          <w:rFonts w:cs="Times New Roman"/>
        </w:rPr>
        <w:t>387-407.</w:t>
      </w:r>
    </w:p>
    <w:p w14:paraId="038D6AD2" w14:textId="76D0FB29" w:rsidR="0095467B" w:rsidRPr="006E7680" w:rsidRDefault="0095467B" w:rsidP="006E7680">
      <w:pPr>
        <w:spacing w:before="240" w:after="0" w:line="240" w:lineRule="auto"/>
        <w:rPr>
          <w:rFonts w:cs="Times New Roman"/>
        </w:rPr>
      </w:pPr>
      <w:r w:rsidRPr="006E7680">
        <w:rPr>
          <w:rFonts w:cs="Times New Roman"/>
        </w:rPr>
        <w:t xml:space="preserve">Bachu, S., Ramon, J.C., Villegas, M.E. and </w:t>
      </w:r>
      <w:r w:rsidRPr="006E7680">
        <w:rPr>
          <w:rFonts w:cs="Times New Roman"/>
          <w:bCs/>
        </w:rPr>
        <w:t>Underschultz, J.R</w:t>
      </w:r>
      <w:r w:rsidRPr="006E7680">
        <w:rPr>
          <w:rFonts w:cs="Times New Roman"/>
        </w:rPr>
        <w:t>.</w:t>
      </w:r>
      <w:r w:rsidR="00B034FE" w:rsidRPr="006E7680">
        <w:rPr>
          <w:rFonts w:cs="Times New Roman"/>
        </w:rPr>
        <w:t>, 1995</w:t>
      </w:r>
      <w:r w:rsidR="00886783" w:rsidRPr="006E7680">
        <w:rPr>
          <w:rFonts w:cs="Times New Roman"/>
        </w:rPr>
        <w:t>. Geothermal regime and thermal h</w:t>
      </w:r>
      <w:r w:rsidRPr="006E7680">
        <w:rPr>
          <w:rFonts w:cs="Times New Roman"/>
        </w:rPr>
        <w:t xml:space="preserve">istory of the Llanos Basin, Colombia: </w:t>
      </w:r>
      <w:r w:rsidRPr="006E7680">
        <w:rPr>
          <w:rFonts w:cs="Times New Roman"/>
          <w:iCs/>
        </w:rPr>
        <w:t>American Association of</w:t>
      </w:r>
      <w:r w:rsidRPr="006E7680">
        <w:rPr>
          <w:rFonts w:cs="Times New Roman"/>
        </w:rPr>
        <w:t xml:space="preserve"> </w:t>
      </w:r>
      <w:r w:rsidRPr="006E7680">
        <w:rPr>
          <w:rFonts w:cs="Times New Roman"/>
          <w:iCs/>
        </w:rPr>
        <w:t>Petroleum Geologists Bulletin</w:t>
      </w:r>
      <w:r w:rsidR="00B034FE" w:rsidRPr="006E7680">
        <w:rPr>
          <w:rFonts w:cs="Times New Roman"/>
        </w:rPr>
        <w:t xml:space="preserve">. 79 (1), </w:t>
      </w:r>
      <w:r w:rsidRPr="006E7680">
        <w:rPr>
          <w:rFonts w:cs="Times New Roman"/>
        </w:rPr>
        <w:t>116-129.</w:t>
      </w:r>
    </w:p>
    <w:p w14:paraId="6347B601" w14:textId="35306EC9" w:rsidR="0095467B" w:rsidRPr="006E7680" w:rsidRDefault="0095467B" w:rsidP="006E7680">
      <w:pPr>
        <w:spacing w:before="240" w:after="0" w:line="240" w:lineRule="auto"/>
        <w:rPr>
          <w:rFonts w:cs="Times New Roman"/>
        </w:rPr>
      </w:pPr>
      <w:r w:rsidRPr="006E7680">
        <w:rPr>
          <w:rFonts w:cs="Times New Roman"/>
        </w:rPr>
        <w:t>Bachu, S. and Michael, K.</w:t>
      </w:r>
      <w:r w:rsidR="00B034FE" w:rsidRPr="006E7680">
        <w:rPr>
          <w:rFonts w:cs="Times New Roman"/>
        </w:rPr>
        <w:t>, 2002</w:t>
      </w:r>
      <w:r w:rsidRPr="006E7680">
        <w:rPr>
          <w:rFonts w:cs="Times New Roman"/>
        </w:rPr>
        <w:t>. Flow of variable-density formation water in deep sloping aquifers: minimizing the error in representation and analysis when using hydraulic head distributions. Journal of Hyd</w:t>
      </w:r>
      <w:r w:rsidR="00B034FE" w:rsidRPr="006E7680">
        <w:rPr>
          <w:rFonts w:cs="Times New Roman"/>
        </w:rPr>
        <w:t xml:space="preserve">rology. 259, </w:t>
      </w:r>
      <w:r w:rsidRPr="006E7680">
        <w:rPr>
          <w:rFonts w:cs="Times New Roman"/>
        </w:rPr>
        <w:t>49-65.</w:t>
      </w:r>
    </w:p>
    <w:p w14:paraId="511E3BA6" w14:textId="05DAE71C" w:rsidR="0095467B" w:rsidRPr="006E7680" w:rsidRDefault="0095467B" w:rsidP="006E7680">
      <w:pPr>
        <w:autoSpaceDE w:val="0"/>
        <w:autoSpaceDN w:val="0"/>
        <w:adjustRightInd w:val="0"/>
        <w:spacing w:before="240" w:after="0" w:line="240" w:lineRule="auto"/>
        <w:rPr>
          <w:rFonts w:cs="Times New Roman"/>
        </w:rPr>
      </w:pPr>
      <w:r w:rsidRPr="006E7680">
        <w:rPr>
          <w:rFonts w:cs="Times New Roman"/>
        </w:rPr>
        <w:t xml:space="preserve">Bailey, W.R., </w:t>
      </w:r>
      <w:r w:rsidRPr="006E7680">
        <w:rPr>
          <w:rFonts w:cs="Times New Roman"/>
          <w:bCs/>
        </w:rPr>
        <w:t xml:space="preserve">Underschultz J., </w:t>
      </w:r>
      <w:r w:rsidRPr="006E7680">
        <w:rPr>
          <w:rFonts w:cs="Times New Roman"/>
        </w:rPr>
        <w:t>Dewhu</w:t>
      </w:r>
      <w:r w:rsidR="00B034FE" w:rsidRPr="006E7680">
        <w:rPr>
          <w:rFonts w:cs="Times New Roman"/>
        </w:rPr>
        <w:t>rst D.N., Kovack G., Mildren S. and</w:t>
      </w:r>
      <w:r w:rsidRPr="006E7680">
        <w:rPr>
          <w:rFonts w:cs="Times New Roman"/>
        </w:rPr>
        <w:t xml:space="preserve"> Raven M.</w:t>
      </w:r>
      <w:r w:rsidR="00B034FE" w:rsidRPr="006E7680">
        <w:rPr>
          <w:rFonts w:cs="Times New Roman"/>
        </w:rPr>
        <w:t>, 2006</w:t>
      </w:r>
      <w:r w:rsidRPr="006E7680">
        <w:rPr>
          <w:rFonts w:cs="Times New Roman"/>
        </w:rPr>
        <w:t xml:space="preserve">. Multi-disciplinary approach to fault and top seal appraisal; Pyrenees-Macedon oil and gas fields, Exmouth Sub-basin, Australian Northwest Shelf. </w:t>
      </w:r>
      <w:r w:rsidRPr="006E7680">
        <w:rPr>
          <w:rFonts w:cs="Times New Roman"/>
          <w:iCs/>
        </w:rPr>
        <w:t>Marine and Petroleum</w:t>
      </w:r>
      <w:r w:rsidRPr="006E7680">
        <w:rPr>
          <w:rFonts w:cs="Times New Roman"/>
        </w:rPr>
        <w:t xml:space="preserve"> </w:t>
      </w:r>
      <w:r w:rsidRPr="006E7680">
        <w:rPr>
          <w:rFonts w:cs="Times New Roman"/>
          <w:iCs/>
        </w:rPr>
        <w:t>Geology</w:t>
      </w:r>
      <w:r w:rsidR="00B034FE" w:rsidRPr="006E7680">
        <w:rPr>
          <w:rFonts w:cs="Times New Roman"/>
        </w:rPr>
        <w:t xml:space="preserve">. 23, </w:t>
      </w:r>
      <w:r w:rsidRPr="006E7680">
        <w:rPr>
          <w:rFonts w:cs="Times New Roman"/>
        </w:rPr>
        <w:t>241-259.</w:t>
      </w:r>
    </w:p>
    <w:p w14:paraId="0FE32FBE" w14:textId="1CE643A8" w:rsidR="0095467B" w:rsidRPr="006E7680" w:rsidRDefault="0095467B" w:rsidP="006E7680">
      <w:pPr>
        <w:autoSpaceDE w:val="0"/>
        <w:autoSpaceDN w:val="0"/>
        <w:adjustRightInd w:val="0"/>
        <w:spacing w:before="240" w:after="0" w:line="240" w:lineRule="auto"/>
        <w:rPr>
          <w:rFonts w:cs="Times New Roman"/>
        </w:rPr>
      </w:pPr>
      <w:r w:rsidRPr="006E7680">
        <w:rPr>
          <w:rFonts w:cs="Times New Roman"/>
        </w:rPr>
        <w:t>Bense, V.F.</w:t>
      </w:r>
      <w:r w:rsidR="00B034FE" w:rsidRPr="006E7680">
        <w:rPr>
          <w:rFonts w:cs="Times New Roman"/>
        </w:rPr>
        <w:t>, 2004</w:t>
      </w:r>
      <w:r w:rsidRPr="006E7680">
        <w:rPr>
          <w:rFonts w:cs="Times New Roman"/>
        </w:rPr>
        <w:t>. The hydraulic properties of faults in unconsolidated sediments and their impact on groundwater flow. PhD Thesis. Vrije University Amsterdam. 143 p.</w:t>
      </w:r>
    </w:p>
    <w:p w14:paraId="19AB36BC" w14:textId="6EC3225A" w:rsidR="0095467B" w:rsidRPr="006E7680" w:rsidRDefault="0095467B" w:rsidP="006E7680">
      <w:pPr>
        <w:autoSpaceDE w:val="0"/>
        <w:autoSpaceDN w:val="0"/>
        <w:adjustRightInd w:val="0"/>
        <w:spacing w:before="240" w:after="0" w:line="240" w:lineRule="auto"/>
        <w:rPr>
          <w:rFonts w:cs="Times New Roman"/>
        </w:rPr>
      </w:pPr>
      <w:r w:rsidRPr="006E7680">
        <w:rPr>
          <w:rFonts w:cs="AdvTT5235d5a9"/>
        </w:rPr>
        <w:t>Bense, V.F. and Van Balen, R.</w:t>
      </w:r>
      <w:r w:rsidR="00B034FE" w:rsidRPr="006E7680">
        <w:rPr>
          <w:rFonts w:cs="AdvTT5235d5a9"/>
        </w:rPr>
        <w:t>, 2004</w:t>
      </w:r>
      <w:r w:rsidRPr="006E7680">
        <w:rPr>
          <w:rFonts w:cs="AdvTT5235d5a9"/>
        </w:rPr>
        <w:t xml:space="preserve">. </w:t>
      </w:r>
      <w:r w:rsidRPr="006E7680">
        <w:rPr>
          <w:rFonts w:cs="AdvT044"/>
        </w:rPr>
        <w:t xml:space="preserve">The effect of fault relay and clay smearing on groundwater flow patterns in the Lower Rhine Embayment. </w:t>
      </w:r>
      <w:r w:rsidR="00B034FE" w:rsidRPr="006E7680">
        <w:rPr>
          <w:rFonts w:cs="AdvT043"/>
        </w:rPr>
        <w:t>Basin Research.</w:t>
      </w:r>
      <w:r w:rsidRPr="006E7680">
        <w:rPr>
          <w:rFonts w:cs="AdvT043"/>
        </w:rPr>
        <w:t xml:space="preserve"> </w:t>
      </w:r>
      <w:r w:rsidRPr="006E7680">
        <w:rPr>
          <w:rFonts w:cs="AdvT044"/>
        </w:rPr>
        <w:t>16</w:t>
      </w:r>
      <w:r w:rsidRPr="006E7680">
        <w:rPr>
          <w:rFonts w:cs="AdvHelv_R"/>
        </w:rPr>
        <w:t>, 397–411.</w:t>
      </w:r>
    </w:p>
    <w:p w14:paraId="585F924D" w14:textId="1D9BFF23" w:rsidR="0095467B" w:rsidRPr="006E7680" w:rsidRDefault="0095467B" w:rsidP="006E7680">
      <w:pPr>
        <w:autoSpaceDE w:val="0"/>
        <w:autoSpaceDN w:val="0"/>
        <w:adjustRightInd w:val="0"/>
        <w:spacing w:before="240" w:after="0" w:line="240" w:lineRule="auto"/>
        <w:rPr>
          <w:rFonts w:cs="Times New Roman"/>
        </w:rPr>
      </w:pPr>
      <w:r w:rsidRPr="006E7680">
        <w:rPr>
          <w:rFonts w:cs="AdvTT5235d5a9"/>
        </w:rPr>
        <w:t>Bense, V.F. Gleeson, T. Loveless, S.E. Bour, O.</w:t>
      </w:r>
      <w:r w:rsidR="00B034FE" w:rsidRPr="006E7680">
        <w:rPr>
          <w:rFonts w:cs="AdvTT5235d5a9"/>
        </w:rPr>
        <w:t xml:space="preserve"> and</w:t>
      </w:r>
      <w:r w:rsidRPr="006E7680">
        <w:rPr>
          <w:rFonts w:cs="AdvTT5235d5a9"/>
        </w:rPr>
        <w:t xml:space="preserve"> Scibek, J.</w:t>
      </w:r>
      <w:r w:rsidR="00B034FE" w:rsidRPr="006E7680">
        <w:rPr>
          <w:rFonts w:cs="AdvTT5235d5a9"/>
        </w:rPr>
        <w:t>, 2013</w:t>
      </w:r>
      <w:r w:rsidR="00886783" w:rsidRPr="006E7680">
        <w:rPr>
          <w:rFonts w:cs="AdvTT5235d5a9"/>
        </w:rPr>
        <w:t>. Fault zone h</w:t>
      </w:r>
      <w:r w:rsidRPr="006E7680">
        <w:rPr>
          <w:rFonts w:cs="AdvTT5235d5a9"/>
        </w:rPr>
        <w:t xml:space="preserve">ydrogeology. </w:t>
      </w:r>
      <w:r w:rsidR="00B034FE" w:rsidRPr="006E7680">
        <w:rPr>
          <w:rFonts w:cs="AdvTT5235d5a9"/>
        </w:rPr>
        <w:t>Earth-Science Reviews. 127,</w:t>
      </w:r>
      <w:r w:rsidRPr="006E7680">
        <w:rPr>
          <w:rFonts w:cs="AdvTT5235d5a9"/>
        </w:rPr>
        <w:t xml:space="preserve"> 171</w:t>
      </w:r>
      <w:r w:rsidRPr="006E7680">
        <w:rPr>
          <w:rFonts w:cs="AdvTT5235d5a9+20"/>
        </w:rPr>
        <w:t>–</w:t>
      </w:r>
      <w:r w:rsidRPr="006E7680">
        <w:rPr>
          <w:rFonts w:cs="AdvTT5235d5a9"/>
        </w:rPr>
        <w:t>192</w:t>
      </w:r>
    </w:p>
    <w:p w14:paraId="657C832A" w14:textId="565F8E86" w:rsidR="0095467B" w:rsidRPr="006E7680" w:rsidRDefault="00B034FE" w:rsidP="006E7680">
      <w:pPr>
        <w:widowControl w:val="0"/>
        <w:autoSpaceDE w:val="0"/>
        <w:autoSpaceDN w:val="0"/>
        <w:adjustRightInd w:val="0"/>
        <w:spacing w:before="240" w:after="0" w:line="240" w:lineRule="auto"/>
        <w:rPr>
          <w:rFonts w:cs="Times"/>
          <w:lang w:val="en-US"/>
        </w:rPr>
      </w:pPr>
      <w:r w:rsidRPr="006E7680">
        <w:rPr>
          <w:bCs/>
        </w:rPr>
        <w:t>Bjørkum P</w:t>
      </w:r>
      <w:r w:rsidR="004F4884" w:rsidRPr="006E7680">
        <w:rPr>
          <w:bCs/>
        </w:rPr>
        <w:t>.</w:t>
      </w:r>
      <w:r w:rsidRPr="006E7680">
        <w:rPr>
          <w:bCs/>
        </w:rPr>
        <w:t>A</w:t>
      </w:r>
      <w:r w:rsidR="004F4884" w:rsidRPr="006E7680">
        <w:rPr>
          <w:bCs/>
        </w:rPr>
        <w:t>.</w:t>
      </w:r>
      <w:r w:rsidRPr="006E7680">
        <w:rPr>
          <w:bCs/>
        </w:rPr>
        <w:t xml:space="preserve">, Walderhaug O. and </w:t>
      </w:r>
      <w:r w:rsidR="0095467B" w:rsidRPr="006E7680">
        <w:rPr>
          <w:bCs/>
        </w:rPr>
        <w:t>Nadeau</w:t>
      </w:r>
      <w:r w:rsidRPr="006E7680">
        <w:rPr>
          <w:bCs/>
        </w:rPr>
        <w:t>, P.H., 1998.</w:t>
      </w:r>
      <w:r w:rsidR="0095467B" w:rsidRPr="006E7680">
        <w:rPr>
          <w:bCs/>
        </w:rPr>
        <w:t xml:space="preserve"> Physical constraints on hydrocarbon leakage and trapping </w:t>
      </w:r>
      <w:r w:rsidRPr="006E7680">
        <w:rPr>
          <w:bCs/>
        </w:rPr>
        <w:t>revisited: Petroleum Geoscience.</w:t>
      </w:r>
      <w:r w:rsidR="0095467B" w:rsidRPr="006E7680">
        <w:rPr>
          <w:bCs/>
        </w:rPr>
        <w:t xml:space="preserve"> 4, 237-239.</w:t>
      </w:r>
    </w:p>
    <w:p w14:paraId="74C0D160" w14:textId="248F5BFF" w:rsidR="0095467B" w:rsidRPr="006E7680" w:rsidRDefault="004F4884" w:rsidP="006E7680">
      <w:pPr>
        <w:pStyle w:val="Default"/>
        <w:spacing w:before="240"/>
        <w:rPr>
          <w:rFonts w:asciiTheme="minorHAnsi" w:hAnsiTheme="minorHAnsi"/>
          <w:color w:val="auto"/>
          <w:sz w:val="20"/>
          <w:szCs w:val="20"/>
        </w:rPr>
      </w:pPr>
      <w:r w:rsidRPr="006E7680">
        <w:rPr>
          <w:rFonts w:asciiTheme="minorHAnsi" w:hAnsiTheme="minorHAnsi"/>
          <w:color w:val="auto"/>
          <w:sz w:val="20"/>
          <w:szCs w:val="20"/>
        </w:rPr>
        <w:t>Bourne, S.</w:t>
      </w:r>
      <w:r w:rsidR="00B034FE" w:rsidRPr="006E7680">
        <w:rPr>
          <w:rFonts w:asciiTheme="minorHAnsi" w:hAnsiTheme="minorHAnsi"/>
          <w:color w:val="auto"/>
          <w:sz w:val="20"/>
          <w:szCs w:val="20"/>
        </w:rPr>
        <w:t>J. and</w:t>
      </w:r>
      <w:r w:rsidRPr="006E7680">
        <w:rPr>
          <w:rFonts w:asciiTheme="minorHAnsi" w:hAnsiTheme="minorHAnsi"/>
          <w:color w:val="auto"/>
          <w:sz w:val="20"/>
          <w:szCs w:val="20"/>
        </w:rPr>
        <w:t xml:space="preserve"> Willemse, E.J.</w:t>
      </w:r>
      <w:r w:rsidR="0095467B" w:rsidRPr="006E7680">
        <w:rPr>
          <w:rFonts w:asciiTheme="minorHAnsi" w:hAnsiTheme="minorHAnsi"/>
          <w:color w:val="auto"/>
          <w:sz w:val="20"/>
          <w:szCs w:val="20"/>
        </w:rPr>
        <w:t>M.</w:t>
      </w:r>
      <w:r w:rsidR="00900C07" w:rsidRPr="006E7680">
        <w:rPr>
          <w:rFonts w:asciiTheme="minorHAnsi" w:hAnsiTheme="minorHAnsi"/>
          <w:color w:val="auto"/>
          <w:sz w:val="20"/>
          <w:szCs w:val="20"/>
        </w:rPr>
        <w:t>, 2001. Elastic stress control on the p</w:t>
      </w:r>
      <w:r w:rsidR="004A4493" w:rsidRPr="006E7680">
        <w:rPr>
          <w:rFonts w:asciiTheme="minorHAnsi" w:hAnsiTheme="minorHAnsi"/>
          <w:color w:val="auto"/>
          <w:sz w:val="20"/>
          <w:szCs w:val="20"/>
        </w:rPr>
        <w:t>attern o</w:t>
      </w:r>
      <w:r w:rsidR="00900C07" w:rsidRPr="006E7680">
        <w:rPr>
          <w:rFonts w:asciiTheme="minorHAnsi" w:hAnsiTheme="minorHAnsi"/>
          <w:color w:val="auto"/>
          <w:sz w:val="20"/>
          <w:szCs w:val="20"/>
        </w:rPr>
        <w:t>f tensile f</w:t>
      </w:r>
      <w:r w:rsidR="0095467B" w:rsidRPr="006E7680">
        <w:rPr>
          <w:rFonts w:asciiTheme="minorHAnsi" w:hAnsiTheme="minorHAnsi"/>
          <w:color w:val="auto"/>
          <w:sz w:val="20"/>
          <w:szCs w:val="20"/>
        </w:rPr>
        <w:t xml:space="preserve">racturing </w:t>
      </w:r>
      <w:r w:rsidR="00900C07" w:rsidRPr="006E7680">
        <w:rPr>
          <w:rFonts w:asciiTheme="minorHAnsi" w:hAnsiTheme="minorHAnsi"/>
          <w:color w:val="auto"/>
          <w:sz w:val="20"/>
          <w:szCs w:val="20"/>
        </w:rPr>
        <w:t>a</w:t>
      </w:r>
      <w:r w:rsidR="004A4493" w:rsidRPr="006E7680">
        <w:rPr>
          <w:rFonts w:asciiTheme="minorHAnsi" w:hAnsiTheme="minorHAnsi"/>
          <w:color w:val="auto"/>
          <w:sz w:val="20"/>
          <w:szCs w:val="20"/>
        </w:rPr>
        <w:t>round a</w:t>
      </w:r>
      <w:r w:rsidR="00900C07" w:rsidRPr="006E7680">
        <w:rPr>
          <w:rFonts w:asciiTheme="minorHAnsi" w:hAnsiTheme="minorHAnsi"/>
          <w:color w:val="auto"/>
          <w:sz w:val="20"/>
          <w:szCs w:val="20"/>
        </w:rPr>
        <w:t xml:space="preserve"> small fault n</w:t>
      </w:r>
      <w:r w:rsidR="0095467B" w:rsidRPr="006E7680">
        <w:rPr>
          <w:rFonts w:asciiTheme="minorHAnsi" w:hAnsiTheme="minorHAnsi"/>
          <w:color w:val="auto"/>
          <w:sz w:val="20"/>
          <w:szCs w:val="20"/>
        </w:rPr>
        <w:t>etw</w:t>
      </w:r>
      <w:r w:rsidR="00900C07" w:rsidRPr="006E7680">
        <w:rPr>
          <w:rFonts w:asciiTheme="minorHAnsi" w:hAnsiTheme="minorHAnsi"/>
          <w:color w:val="auto"/>
          <w:sz w:val="20"/>
          <w:szCs w:val="20"/>
        </w:rPr>
        <w:t>ork at Nash Point, UK</w:t>
      </w:r>
      <w:r w:rsidR="004A4493" w:rsidRPr="006E7680">
        <w:rPr>
          <w:rFonts w:asciiTheme="minorHAnsi" w:hAnsiTheme="minorHAnsi"/>
          <w:color w:val="auto"/>
          <w:sz w:val="20"/>
          <w:szCs w:val="20"/>
        </w:rPr>
        <w:t>. Journal o</w:t>
      </w:r>
      <w:r w:rsidR="00886783" w:rsidRPr="006E7680">
        <w:rPr>
          <w:rFonts w:asciiTheme="minorHAnsi" w:hAnsiTheme="minorHAnsi"/>
          <w:color w:val="auto"/>
          <w:sz w:val="20"/>
          <w:szCs w:val="20"/>
        </w:rPr>
        <w:t>f Structural Geology.</w:t>
      </w:r>
      <w:r w:rsidR="0095467B" w:rsidRPr="006E7680">
        <w:rPr>
          <w:rFonts w:asciiTheme="minorHAnsi" w:hAnsiTheme="minorHAnsi"/>
          <w:color w:val="auto"/>
          <w:sz w:val="20"/>
          <w:szCs w:val="20"/>
        </w:rPr>
        <w:t xml:space="preserve"> 23, 1753–1770. </w:t>
      </w:r>
    </w:p>
    <w:p w14:paraId="242D3807" w14:textId="7EB41B6D" w:rsidR="0095467B" w:rsidRPr="006E7680" w:rsidRDefault="001549A5" w:rsidP="006E7680">
      <w:pPr>
        <w:autoSpaceDE w:val="0"/>
        <w:autoSpaceDN w:val="0"/>
        <w:adjustRightInd w:val="0"/>
        <w:spacing w:before="240" w:after="0" w:line="240" w:lineRule="auto"/>
      </w:pPr>
      <w:r w:rsidRPr="006E7680">
        <w:t>Bourne, S.</w:t>
      </w:r>
      <w:r w:rsidR="0095467B" w:rsidRPr="006E7680">
        <w:t>J.,</w:t>
      </w:r>
      <w:r w:rsidRPr="006E7680">
        <w:t xml:space="preserve"> Rijkels, L., Stephenson, B.</w:t>
      </w:r>
      <w:r w:rsidR="00886783" w:rsidRPr="006E7680">
        <w:t>J. and</w:t>
      </w:r>
      <w:r w:rsidRPr="006E7680">
        <w:t xml:space="preserve"> Willemse, E.J.</w:t>
      </w:r>
      <w:r w:rsidR="00900C07" w:rsidRPr="006E7680">
        <w:t>M., 2001. Predictive m</w:t>
      </w:r>
      <w:r w:rsidR="00886783" w:rsidRPr="006E7680">
        <w:t>odelling o</w:t>
      </w:r>
      <w:r w:rsidR="00900C07" w:rsidRPr="006E7680">
        <w:t>f naturally f</w:t>
      </w:r>
      <w:r w:rsidR="0095467B" w:rsidRPr="006E7680">
        <w:t>ractured</w:t>
      </w:r>
      <w:r w:rsidR="00900C07" w:rsidRPr="006E7680">
        <w:t xml:space="preserve"> reservoirs using g</w:t>
      </w:r>
      <w:r w:rsidR="004A4493" w:rsidRPr="006E7680">
        <w:t>eomechanics a</w:t>
      </w:r>
      <w:r w:rsidR="00900C07" w:rsidRPr="006E7680">
        <w:t>nd flow s</w:t>
      </w:r>
      <w:r w:rsidR="0095467B" w:rsidRPr="006E7680">
        <w:t>imulatio</w:t>
      </w:r>
      <w:r w:rsidR="00900C07" w:rsidRPr="006E7680">
        <w:t>n. Geoarabia.</w:t>
      </w:r>
      <w:r w:rsidR="0095467B" w:rsidRPr="006E7680">
        <w:t xml:space="preserve"> 6, 27–42.</w:t>
      </w:r>
    </w:p>
    <w:p w14:paraId="75CB2A99" w14:textId="0C8986F6" w:rsidR="0095467B" w:rsidRPr="006E7680" w:rsidRDefault="001549A5" w:rsidP="006E7680">
      <w:pPr>
        <w:autoSpaceDE w:val="0"/>
        <w:autoSpaceDN w:val="0"/>
        <w:adjustRightInd w:val="0"/>
        <w:spacing w:before="240" w:after="0" w:line="240" w:lineRule="auto"/>
        <w:rPr>
          <w:rFonts w:cs="Times New Roman"/>
        </w:rPr>
      </w:pPr>
      <w:r w:rsidRPr="006E7680">
        <w:t>Bouvier, J.</w:t>
      </w:r>
      <w:r w:rsidR="0095467B" w:rsidRPr="006E7680">
        <w:t>D.</w:t>
      </w:r>
      <w:r w:rsidRPr="006E7680">
        <w:t>, Kaars-Sijpesteijn, C.H., Kluesner, D.</w:t>
      </w:r>
      <w:r w:rsidR="0095467B" w:rsidRPr="006E7680">
        <w:t>F., Onyejekwe, C.</w:t>
      </w:r>
      <w:r w:rsidRPr="006E7680">
        <w:t>C. and R.</w:t>
      </w:r>
      <w:r w:rsidR="00900C07" w:rsidRPr="006E7680">
        <w:t>C. van der Pal, 1989.</w:t>
      </w:r>
      <w:r w:rsidR="0095467B" w:rsidRPr="006E7680">
        <w:t xml:space="preserve"> Three-dimensional seismic interpretation and fault sealing investigations, Nun River Field, Nigeria: </w:t>
      </w:r>
      <w:r w:rsidR="00900C07" w:rsidRPr="006E7680">
        <w:rPr>
          <w:rFonts w:cs="Times New Roman"/>
          <w:iCs/>
        </w:rPr>
        <w:t>American Association of</w:t>
      </w:r>
      <w:r w:rsidR="00900C07" w:rsidRPr="006E7680">
        <w:rPr>
          <w:rFonts w:cs="Times New Roman"/>
        </w:rPr>
        <w:t xml:space="preserve"> </w:t>
      </w:r>
      <w:r w:rsidR="00900C07" w:rsidRPr="006E7680">
        <w:rPr>
          <w:rFonts w:cs="Times New Roman"/>
          <w:iCs/>
        </w:rPr>
        <w:t>Petroleum Geologists Bulletin</w:t>
      </w:r>
      <w:r w:rsidR="00900C07" w:rsidRPr="006E7680">
        <w:t xml:space="preserve">. 73, </w:t>
      </w:r>
      <w:r w:rsidR="0095467B" w:rsidRPr="006E7680">
        <w:t>1397-1414.</w:t>
      </w:r>
    </w:p>
    <w:p w14:paraId="0E2E296B" w14:textId="4B606024" w:rsidR="0095467B" w:rsidRPr="006E7680" w:rsidRDefault="0095467B" w:rsidP="006E7680">
      <w:pPr>
        <w:autoSpaceDE w:val="0"/>
        <w:autoSpaceDN w:val="0"/>
        <w:adjustRightInd w:val="0"/>
        <w:spacing w:before="240" w:after="0" w:line="240" w:lineRule="auto"/>
        <w:rPr>
          <w:rFonts w:cs="Times New Roman"/>
        </w:rPr>
      </w:pPr>
      <w:r w:rsidRPr="006E7680">
        <w:rPr>
          <w:rFonts w:cs="Times New Roman"/>
        </w:rPr>
        <w:t xml:space="preserve">Bretan, </w:t>
      </w:r>
      <w:r w:rsidR="00820720" w:rsidRPr="006E7680">
        <w:rPr>
          <w:rFonts w:cs="Times New Roman"/>
        </w:rPr>
        <w:t>P., Yielding, G. and Jones, H., 2003</w:t>
      </w:r>
      <w:r w:rsidRPr="006E7680">
        <w:rPr>
          <w:rFonts w:cs="Times New Roman"/>
        </w:rPr>
        <w:t xml:space="preserve">. Using calibrated shale gouge ratio to estimate hydrocarbon column heights. </w:t>
      </w:r>
      <w:r w:rsidRPr="006E7680">
        <w:rPr>
          <w:rFonts w:cs="Times New Roman"/>
          <w:iCs/>
        </w:rPr>
        <w:t>American Association of Petroleum Geologists</w:t>
      </w:r>
      <w:r w:rsidRPr="006E7680">
        <w:rPr>
          <w:rFonts w:cs="Times New Roman"/>
        </w:rPr>
        <w:t xml:space="preserve"> </w:t>
      </w:r>
      <w:r w:rsidRPr="006E7680">
        <w:rPr>
          <w:rFonts w:cs="Times New Roman"/>
          <w:iCs/>
        </w:rPr>
        <w:t>Bulletin</w:t>
      </w:r>
      <w:r w:rsidR="00820720" w:rsidRPr="006E7680">
        <w:rPr>
          <w:rFonts w:cs="Times New Roman"/>
        </w:rPr>
        <w:t xml:space="preserve">. 87, </w:t>
      </w:r>
      <w:r w:rsidRPr="006E7680">
        <w:rPr>
          <w:rFonts w:cs="Times New Roman"/>
        </w:rPr>
        <w:t>397-413.</w:t>
      </w:r>
    </w:p>
    <w:p w14:paraId="5A7682A4" w14:textId="5DBAFC8F" w:rsidR="00953A46" w:rsidRPr="006E7680" w:rsidRDefault="00953A46" w:rsidP="006E7680">
      <w:pPr>
        <w:autoSpaceDE w:val="0"/>
        <w:autoSpaceDN w:val="0"/>
        <w:adjustRightInd w:val="0"/>
        <w:spacing w:before="240" w:after="0" w:line="240" w:lineRule="auto"/>
        <w:rPr>
          <w:rFonts w:cs="Times New Roman"/>
        </w:rPr>
      </w:pPr>
      <w:r w:rsidRPr="006E7680">
        <w:rPr>
          <w:rFonts w:cs="Times New Roman"/>
        </w:rPr>
        <w:t xml:space="preserve">Brooks, R.H. and </w:t>
      </w:r>
      <w:r w:rsidRPr="006E7680">
        <w:rPr>
          <w:rFonts w:cs="Segoe UI"/>
        </w:rPr>
        <w:t>Corey, A.</w:t>
      </w:r>
      <w:r w:rsidR="00CC2081" w:rsidRPr="006E7680">
        <w:rPr>
          <w:rFonts w:cs="Segoe UI"/>
        </w:rPr>
        <w:t>, 1966</w:t>
      </w:r>
      <w:r w:rsidRPr="006E7680">
        <w:rPr>
          <w:rFonts w:cs="Segoe UI"/>
        </w:rPr>
        <w:t xml:space="preserve">. Properties of porous media affecting fluid flow. </w:t>
      </w:r>
      <w:r w:rsidRPr="006E7680">
        <w:rPr>
          <w:rFonts w:cs="Segoe UI"/>
          <w:iCs/>
        </w:rPr>
        <w:t>Journal of the I</w:t>
      </w:r>
      <w:r w:rsidR="00CC2081" w:rsidRPr="006E7680">
        <w:rPr>
          <w:rFonts w:cs="Segoe UI"/>
          <w:iCs/>
        </w:rPr>
        <w:t>rrigation and Drainage Division.</w:t>
      </w:r>
      <w:r w:rsidRPr="006E7680">
        <w:rPr>
          <w:rFonts w:cs="Segoe UI"/>
          <w:iCs/>
        </w:rPr>
        <w:t xml:space="preserve"> 92</w:t>
      </w:r>
      <w:r w:rsidR="00CC2081" w:rsidRPr="006E7680">
        <w:rPr>
          <w:rFonts w:cs="Segoe UI"/>
          <w:iCs/>
        </w:rPr>
        <w:t xml:space="preserve">, </w:t>
      </w:r>
      <w:r w:rsidRPr="006E7680">
        <w:rPr>
          <w:rFonts w:cs="Segoe UI"/>
        </w:rPr>
        <w:t>(2), 61-90</w:t>
      </w:r>
      <w:r w:rsidR="00CC2081" w:rsidRPr="006E7680">
        <w:rPr>
          <w:rFonts w:cs="Segoe UI"/>
        </w:rPr>
        <w:t>.</w:t>
      </w:r>
    </w:p>
    <w:p w14:paraId="1BF7AED6" w14:textId="7EE8A0ED" w:rsidR="0095467B" w:rsidRPr="006E7680" w:rsidRDefault="00820720" w:rsidP="006E7680">
      <w:pPr>
        <w:autoSpaceDE w:val="0"/>
        <w:autoSpaceDN w:val="0"/>
        <w:adjustRightInd w:val="0"/>
        <w:spacing w:before="240" w:after="0" w:line="240" w:lineRule="auto"/>
        <w:rPr>
          <w:rFonts w:cs="Times New Roman"/>
        </w:rPr>
      </w:pPr>
      <w:r w:rsidRPr="006E7680">
        <w:rPr>
          <w:rFonts w:cs="Times New Roman"/>
        </w:rPr>
        <w:lastRenderedPageBreak/>
        <w:t>Brown, A., 2003</w:t>
      </w:r>
      <w:r w:rsidR="0095467B" w:rsidRPr="006E7680">
        <w:rPr>
          <w:rFonts w:cs="Times New Roman"/>
        </w:rPr>
        <w:t xml:space="preserve">. Capillary effects on fault-fill sealing. </w:t>
      </w:r>
      <w:r w:rsidR="0095467B" w:rsidRPr="006E7680">
        <w:rPr>
          <w:rFonts w:cs="Times New Roman"/>
          <w:iCs/>
        </w:rPr>
        <w:t>American Association of Petroleum Geologists Bulletin</w:t>
      </w:r>
      <w:r w:rsidRPr="006E7680">
        <w:rPr>
          <w:rFonts w:cs="Times New Roman"/>
        </w:rPr>
        <w:t>.</w:t>
      </w:r>
      <w:r w:rsidR="0095467B" w:rsidRPr="006E7680">
        <w:rPr>
          <w:rFonts w:cs="Times New Roman"/>
        </w:rPr>
        <w:t xml:space="preserve"> 87,</w:t>
      </w:r>
      <w:r w:rsidRPr="006E7680">
        <w:rPr>
          <w:rFonts w:cs="Times New Roman"/>
        </w:rPr>
        <w:t xml:space="preserve"> </w:t>
      </w:r>
      <w:r w:rsidR="0095467B" w:rsidRPr="006E7680">
        <w:rPr>
          <w:rFonts w:cs="Times New Roman"/>
        </w:rPr>
        <w:t>381-395.</w:t>
      </w:r>
    </w:p>
    <w:p w14:paraId="1A77DF8C" w14:textId="3C432778" w:rsidR="00D1739E" w:rsidRPr="006E7680" w:rsidRDefault="00820720" w:rsidP="006E7680">
      <w:pPr>
        <w:spacing w:before="240" w:after="0" w:line="240" w:lineRule="auto"/>
        <w:rPr>
          <w:rFonts w:cs="AdvOT863180fb"/>
        </w:rPr>
      </w:pPr>
      <w:r w:rsidRPr="006E7680">
        <w:rPr>
          <w:rFonts w:cs="AdvOT863180fb"/>
        </w:rPr>
        <w:t>Ciftci, N.B. and Bozkurt, E., 2007</w:t>
      </w:r>
      <w:r w:rsidR="00D1739E" w:rsidRPr="006E7680">
        <w:rPr>
          <w:rFonts w:cs="AdvOT863180fb"/>
        </w:rPr>
        <w:t>. Anomalous stress field and active breaching at relay ramps: a field example from Gediz Graben, SW Turkey. Geol Mag</w:t>
      </w:r>
      <w:r w:rsidRPr="006E7680">
        <w:rPr>
          <w:rFonts w:cs="AdvOT863180fb"/>
        </w:rPr>
        <w:t>.</w:t>
      </w:r>
      <w:r w:rsidR="00D1739E" w:rsidRPr="006E7680">
        <w:rPr>
          <w:rFonts w:cs="AdvOT863180fb"/>
        </w:rPr>
        <w:t xml:space="preserve"> 144 (4) 687</w:t>
      </w:r>
      <w:r w:rsidR="00D230AD" w:rsidRPr="006E7680">
        <w:rPr>
          <w:rFonts w:cs="AdvOT863180fb"/>
        </w:rPr>
        <w:t>-699.</w:t>
      </w:r>
    </w:p>
    <w:p w14:paraId="779E7630" w14:textId="2AA30F23" w:rsidR="004C49B8" w:rsidRPr="006E7680" w:rsidRDefault="004C49B8" w:rsidP="006E7680">
      <w:pPr>
        <w:spacing w:before="240" w:after="0" w:line="240" w:lineRule="auto"/>
        <w:rPr>
          <w:rFonts w:cs="AdvOT863180fb"/>
        </w:rPr>
      </w:pPr>
      <w:r w:rsidRPr="006E7680">
        <w:t>CH2MHill</w:t>
      </w:r>
      <w:r w:rsidR="00820720" w:rsidRPr="006E7680">
        <w:t>, 2013</w:t>
      </w:r>
      <w:r w:rsidRPr="006E7680">
        <w:t>. Water Resources MNES: PEL238 Cumulative Groundwater Impact Assessment. Energy NSW Coal Seam Gas Exploration and Appraisal Program, Referral of Proposed Action: Water Resources Assessment, Gunnedah Basin NSW</w:t>
      </w:r>
      <w:r w:rsidR="00820720" w:rsidRPr="006E7680">
        <w:t>.</w:t>
      </w:r>
      <w:r w:rsidR="00A64805" w:rsidRPr="006E7680">
        <w:t xml:space="preserve"> 33 p.</w:t>
      </w:r>
    </w:p>
    <w:p w14:paraId="07FB0DBB" w14:textId="2B7E8DDB" w:rsidR="0095467B" w:rsidRPr="006E7680" w:rsidRDefault="00A64805" w:rsidP="006E7680">
      <w:pPr>
        <w:spacing w:before="240" w:after="0" w:line="240" w:lineRule="auto"/>
      </w:pPr>
      <w:r w:rsidRPr="006E7680">
        <w:rPr>
          <w:rFonts w:cs="AdvOT863180fb"/>
        </w:rPr>
        <w:t>Chester, F.M. and</w:t>
      </w:r>
      <w:r w:rsidR="0095467B" w:rsidRPr="006E7680">
        <w:rPr>
          <w:rFonts w:cs="AdvOT863180fb"/>
        </w:rPr>
        <w:t xml:space="preserve"> Logan, J.M., 1986. Implications for mechanical properties of brittle faults from observations of the Punchbowl Fault Zone, California. Geophys. 124 (1/2), 79</w:t>
      </w:r>
      <w:r w:rsidR="0095467B" w:rsidRPr="006E7680">
        <w:rPr>
          <w:rFonts w:cs="AdvPS44A44B"/>
        </w:rPr>
        <w:t>-</w:t>
      </w:r>
      <w:r w:rsidR="0095467B" w:rsidRPr="006E7680">
        <w:rPr>
          <w:rFonts w:cs="AdvOT863180fb"/>
        </w:rPr>
        <w:t>106.</w:t>
      </w:r>
    </w:p>
    <w:p w14:paraId="454A6512" w14:textId="09209384" w:rsidR="0095467B" w:rsidRPr="006E7680" w:rsidRDefault="00A64805" w:rsidP="006E7680">
      <w:pPr>
        <w:spacing w:before="240" w:after="0" w:line="240" w:lineRule="auto"/>
      </w:pPr>
      <w:r w:rsidRPr="006E7680">
        <w:rPr>
          <w:rFonts w:cs="AdvOT863180fb"/>
        </w:rPr>
        <w:t>Caine, J.S., Evans, J.P. and</w:t>
      </w:r>
      <w:r w:rsidR="0095467B" w:rsidRPr="006E7680">
        <w:rPr>
          <w:rFonts w:cs="AdvOT863180fb"/>
        </w:rPr>
        <w:t xml:space="preserve"> Forster, C.B., 1996. Fault zone architecture and permeability structure. Geology 24 (11), 1025</w:t>
      </w:r>
      <w:r w:rsidR="0095467B" w:rsidRPr="006E7680">
        <w:rPr>
          <w:rFonts w:cs="AdvPS44A44B"/>
        </w:rPr>
        <w:t>-</w:t>
      </w:r>
      <w:r w:rsidR="0095467B" w:rsidRPr="006E7680">
        <w:rPr>
          <w:rFonts w:cs="AdvOT863180fb"/>
        </w:rPr>
        <w:t>1028.</w:t>
      </w:r>
    </w:p>
    <w:p w14:paraId="52144ED6" w14:textId="28EBC28F" w:rsidR="0095467B" w:rsidRPr="006E7680" w:rsidRDefault="0095467B" w:rsidP="006E7680">
      <w:pPr>
        <w:widowControl w:val="0"/>
        <w:autoSpaceDE w:val="0"/>
        <w:autoSpaceDN w:val="0"/>
        <w:adjustRightInd w:val="0"/>
        <w:spacing w:before="240" w:after="0" w:line="240" w:lineRule="auto"/>
        <w:rPr>
          <w:bCs/>
        </w:rPr>
      </w:pPr>
      <w:r w:rsidRPr="006E7680">
        <w:rPr>
          <w:bCs/>
        </w:rPr>
        <w:t>Clayton</w:t>
      </w:r>
      <w:r w:rsidR="00A64805" w:rsidRPr="006E7680">
        <w:rPr>
          <w:bCs/>
        </w:rPr>
        <w:t>,</w:t>
      </w:r>
      <w:r w:rsidRPr="006E7680">
        <w:rPr>
          <w:bCs/>
        </w:rPr>
        <w:t xml:space="preserve"> C</w:t>
      </w:r>
      <w:r w:rsidR="00A64805" w:rsidRPr="006E7680">
        <w:rPr>
          <w:bCs/>
        </w:rPr>
        <w:t>.</w:t>
      </w:r>
      <w:r w:rsidRPr="006E7680">
        <w:rPr>
          <w:bCs/>
        </w:rPr>
        <w:t>J</w:t>
      </w:r>
      <w:r w:rsidR="00A64805" w:rsidRPr="006E7680">
        <w:rPr>
          <w:bCs/>
        </w:rPr>
        <w:t>., 1999.</w:t>
      </w:r>
      <w:r w:rsidRPr="006E7680">
        <w:rPr>
          <w:bCs/>
        </w:rPr>
        <w:t xml:space="preserve"> Discussion: </w:t>
      </w:r>
      <w:r w:rsidRPr="006E7680">
        <w:t>‘</w:t>
      </w:r>
      <w:r w:rsidRPr="006E7680">
        <w:rPr>
          <w:bCs/>
        </w:rPr>
        <w:t>Physical constraints on hydrocarbon leakage and trapping revisited’ by Bjørk</w:t>
      </w:r>
      <w:r w:rsidR="00A64805" w:rsidRPr="006E7680">
        <w:rPr>
          <w:bCs/>
        </w:rPr>
        <w:t>um et al.: Petroleum Geoscience.</w:t>
      </w:r>
      <w:r w:rsidRPr="006E7680">
        <w:rPr>
          <w:bCs/>
        </w:rPr>
        <w:t xml:space="preserve"> 5, 99-101.</w:t>
      </w:r>
    </w:p>
    <w:p w14:paraId="50A8C730" w14:textId="772B193A" w:rsidR="00CC2081" w:rsidRPr="006E7680" w:rsidRDefault="00CC2081" w:rsidP="006E7680">
      <w:pPr>
        <w:widowControl w:val="0"/>
        <w:autoSpaceDE w:val="0"/>
        <w:autoSpaceDN w:val="0"/>
        <w:adjustRightInd w:val="0"/>
        <w:spacing w:before="240" w:after="0" w:line="240" w:lineRule="auto"/>
        <w:rPr>
          <w:rFonts w:cs="Times"/>
          <w:lang w:val="en-US"/>
        </w:rPr>
      </w:pPr>
      <w:r w:rsidRPr="006E7680">
        <w:rPr>
          <w:rFonts w:cs="Segoe UI"/>
        </w:rPr>
        <w:t xml:space="preserve">Corey, A.T., 1954. The interrelation between gas and oil relative permeabilities. </w:t>
      </w:r>
      <w:r w:rsidRPr="006E7680">
        <w:rPr>
          <w:rFonts w:cs="Segoe UI"/>
          <w:iCs/>
        </w:rPr>
        <w:t xml:space="preserve">Producers Monthly. 19, </w:t>
      </w:r>
      <w:r w:rsidRPr="006E7680">
        <w:rPr>
          <w:rFonts w:cs="Segoe UI"/>
        </w:rPr>
        <w:t>(1), 38-41.</w:t>
      </w:r>
    </w:p>
    <w:p w14:paraId="702145C6" w14:textId="3E74B965" w:rsidR="0095467B" w:rsidRPr="006E7680" w:rsidRDefault="0095467B" w:rsidP="006E7680">
      <w:pPr>
        <w:autoSpaceDE w:val="0"/>
        <w:autoSpaceDN w:val="0"/>
        <w:adjustRightInd w:val="0"/>
        <w:spacing w:before="240" w:after="0" w:line="240" w:lineRule="auto"/>
        <w:rPr>
          <w:rFonts w:cs="Times New Roman"/>
        </w:rPr>
      </w:pPr>
      <w:r w:rsidRPr="006E7680">
        <w:rPr>
          <w:rFonts w:cs="Times New Roman"/>
        </w:rPr>
        <w:t>Cowley, R. and O'Brien, G.W.</w:t>
      </w:r>
      <w:r w:rsidR="00A64805" w:rsidRPr="006E7680">
        <w:rPr>
          <w:rFonts w:cs="Times New Roman"/>
        </w:rPr>
        <w:t>, 2000</w:t>
      </w:r>
      <w:r w:rsidRPr="006E7680">
        <w:rPr>
          <w:rFonts w:cs="Times New Roman"/>
        </w:rPr>
        <w:t>. Identification and interpretation of leaking hydrocarbons using seismic data: A comparative montage of examples from major fields in Australia's North</w:t>
      </w:r>
      <w:r w:rsidR="00A64805" w:rsidRPr="006E7680">
        <w:rPr>
          <w:rFonts w:cs="Times New Roman"/>
        </w:rPr>
        <w:t xml:space="preserve"> West Shelf and Gippsland Basin.</w:t>
      </w:r>
      <w:r w:rsidRPr="006E7680">
        <w:rPr>
          <w:rFonts w:cs="Times New Roman"/>
        </w:rPr>
        <w:t xml:space="preserve"> </w:t>
      </w:r>
      <w:r w:rsidRPr="006E7680">
        <w:rPr>
          <w:rFonts w:cs="Times New Roman"/>
          <w:iCs/>
        </w:rPr>
        <w:t>Australian Petroleum</w:t>
      </w:r>
      <w:r w:rsidRPr="006E7680">
        <w:rPr>
          <w:rFonts w:cs="Times New Roman"/>
        </w:rPr>
        <w:t xml:space="preserve"> </w:t>
      </w:r>
      <w:r w:rsidRPr="006E7680">
        <w:rPr>
          <w:rFonts w:cs="Times New Roman"/>
          <w:iCs/>
        </w:rPr>
        <w:t>Production and Exploration Association Journal</w:t>
      </w:r>
      <w:r w:rsidR="00A64805" w:rsidRPr="006E7680">
        <w:rPr>
          <w:rFonts w:cs="Times New Roman"/>
          <w:iCs/>
        </w:rPr>
        <w:t>.</w:t>
      </w:r>
      <w:r w:rsidRPr="006E7680">
        <w:rPr>
          <w:rFonts w:cs="Times New Roman"/>
          <w:iCs/>
        </w:rPr>
        <w:t xml:space="preserve"> </w:t>
      </w:r>
      <w:r w:rsidRPr="006E7680">
        <w:rPr>
          <w:rFonts w:cs="Times New Roman"/>
        </w:rPr>
        <w:t>40</w:t>
      </w:r>
      <w:r w:rsidR="00A64805" w:rsidRPr="006E7680">
        <w:rPr>
          <w:rFonts w:cs="Times New Roman"/>
        </w:rPr>
        <w:t xml:space="preserve">, </w:t>
      </w:r>
      <w:r w:rsidRPr="006E7680">
        <w:rPr>
          <w:rFonts w:cs="Times New Roman"/>
        </w:rPr>
        <w:t>(1), pp. 121-150.</w:t>
      </w:r>
    </w:p>
    <w:p w14:paraId="477EBB8F" w14:textId="1A786B1E" w:rsidR="0095467B" w:rsidRPr="006E7680" w:rsidRDefault="0095467B" w:rsidP="006E7680">
      <w:pPr>
        <w:autoSpaceDE w:val="0"/>
        <w:autoSpaceDN w:val="0"/>
        <w:adjustRightInd w:val="0"/>
        <w:spacing w:before="240" w:after="0" w:line="240" w:lineRule="auto"/>
        <w:rPr>
          <w:rFonts w:cs="Times New Roman"/>
        </w:rPr>
      </w:pPr>
      <w:r w:rsidRPr="006E7680">
        <w:rPr>
          <w:rFonts w:cs="Times New Roman"/>
        </w:rPr>
        <w:t>Craw, D.</w:t>
      </w:r>
      <w:r w:rsidR="00A64805" w:rsidRPr="006E7680">
        <w:rPr>
          <w:rFonts w:cs="Times New Roman"/>
        </w:rPr>
        <w:t>, 2000.</w:t>
      </w:r>
      <w:r w:rsidRPr="006E7680">
        <w:rPr>
          <w:rFonts w:cs="Times New Roman"/>
        </w:rPr>
        <w:t xml:space="preserve"> Fluid flow at fault intersections in an active oblique collision z</w:t>
      </w:r>
      <w:r w:rsidR="00A64805" w:rsidRPr="006E7680">
        <w:rPr>
          <w:rFonts w:cs="Times New Roman"/>
        </w:rPr>
        <w:t>one, Southern Alps, New Zealand.</w:t>
      </w:r>
      <w:r w:rsidRPr="006E7680">
        <w:rPr>
          <w:rFonts w:cs="Times New Roman"/>
        </w:rPr>
        <w:t xml:space="preserve"> </w:t>
      </w:r>
      <w:r w:rsidRPr="006E7680">
        <w:rPr>
          <w:rFonts w:cs="Times New Roman"/>
          <w:iCs/>
        </w:rPr>
        <w:t>Journal of Geochemical Exploration</w:t>
      </w:r>
      <w:r w:rsidR="00A64805" w:rsidRPr="006E7680">
        <w:rPr>
          <w:rFonts w:cs="Times New Roman"/>
        </w:rPr>
        <w:t>. 69 and 70,</w:t>
      </w:r>
      <w:r w:rsidRPr="006E7680">
        <w:rPr>
          <w:rFonts w:cs="Times New Roman"/>
        </w:rPr>
        <w:t xml:space="preserve"> 523-526.</w:t>
      </w:r>
    </w:p>
    <w:p w14:paraId="63EE35E3" w14:textId="37E15D6D" w:rsidR="0095467B" w:rsidRPr="006E7680" w:rsidRDefault="0095467B" w:rsidP="006E7680">
      <w:pPr>
        <w:spacing w:before="240" w:after="0" w:line="240" w:lineRule="auto"/>
      </w:pPr>
      <w:r w:rsidRPr="006E7680">
        <w:rPr>
          <w:rFonts w:cs="Times New Roman"/>
        </w:rPr>
        <w:t>Dahlberg, E.C.</w:t>
      </w:r>
      <w:r w:rsidR="00A64805" w:rsidRPr="006E7680">
        <w:rPr>
          <w:rFonts w:cs="Times New Roman"/>
        </w:rPr>
        <w:t>, 1995</w:t>
      </w:r>
      <w:r w:rsidRPr="006E7680">
        <w:rPr>
          <w:rFonts w:cs="Times New Roman"/>
        </w:rPr>
        <w:t>. Applied hydrodynamics in petroleum exploration, second edition.</w:t>
      </w:r>
      <w:r w:rsidRPr="006E7680">
        <w:t xml:space="preserve"> </w:t>
      </w:r>
      <w:r w:rsidRPr="006E7680">
        <w:rPr>
          <w:rFonts w:cs="Times New Roman"/>
        </w:rPr>
        <w:t>Spr</w:t>
      </w:r>
      <w:r w:rsidR="00A64805" w:rsidRPr="006E7680">
        <w:rPr>
          <w:rFonts w:cs="Times New Roman"/>
        </w:rPr>
        <w:t xml:space="preserve">inger-Verlag New York Inc., </w:t>
      </w:r>
      <w:r w:rsidRPr="006E7680">
        <w:rPr>
          <w:rFonts w:cs="Times New Roman"/>
        </w:rPr>
        <w:t>295</w:t>
      </w:r>
      <w:r w:rsidR="00A64805" w:rsidRPr="006E7680">
        <w:rPr>
          <w:rFonts w:cs="Times New Roman"/>
        </w:rPr>
        <w:t xml:space="preserve"> p</w:t>
      </w:r>
      <w:r w:rsidRPr="006E7680">
        <w:rPr>
          <w:rFonts w:cs="Times New Roman"/>
        </w:rPr>
        <w:t>.</w:t>
      </w:r>
    </w:p>
    <w:p w14:paraId="4496369B" w14:textId="48C5166C" w:rsidR="0095467B" w:rsidRPr="006E7680" w:rsidRDefault="00A64805" w:rsidP="006E7680">
      <w:pPr>
        <w:spacing w:before="240" w:after="0" w:line="240" w:lineRule="auto"/>
      </w:pPr>
      <w:r w:rsidRPr="006E7680">
        <w:t>Dee, S.</w:t>
      </w:r>
      <w:r w:rsidR="0095467B" w:rsidRPr="006E7680">
        <w:t>J., Yielding, G., Freeman, B. Healy</w:t>
      </w:r>
      <w:r w:rsidRPr="006E7680">
        <w:t>, D., Kusznir, N.J., Grant, N. and Ellis, P., 2007. Elastic d</w:t>
      </w:r>
      <w:r w:rsidR="0095467B" w:rsidRPr="006E7680">
        <w:t>isloc</w:t>
      </w:r>
      <w:r w:rsidRPr="006E7680">
        <w:t>ation modelling for prediction of small-scale f</w:t>
      </w:r>
      <w:r w:rsidR="004A4493" w:rsidRPr="006E7680">
        <w:t>ault a</w:t>
      </w:r>
      <w:r w:rsidRPr="006E7680">
        <w:t>nd fracture network c</w:t>
      </w:r>
      <w:r w:rsidR="0095467B" w:rsidRPr="006E7680">
        <w:t>haracteristics. In Lonergan, L.,</w:t>
      </w:r>
      <w:r w:rsidRPr="006E7680">
        <w:t xml:space="preserve"> Jolly, R.J.H., Rawnsley, K. and Sanderson, D.</w:t>
      </w:r>
      <w:r w:rsidR="0095467B" w:rsidRPr="006E7680">
        <w:t>J. (Eds) Fractured</w:t>
      </w:r>
      <w:r w:rsidRPr="006E7680">
        <w:t xml:space="preserve"> Reservoirs. Geological Society of London, Special Publications.</w:t>
      </w:r>
      <w:r w:rsidR="0095467B" w:rsidRPr="006E7680">
        <w:t xml:space="preserve"> 270, 139–155.</w:t>
      </w:r>
    </w:p>
    <w:p w14:paraId="51B9BCC9" w14:textId="44449344" w:rsidR="0095467B" w:rsidRPr="006E7680" w:rsidRDefault="0095467B" w:rsidP="006E7680">
      <w:pPr>
        <w:autoSpaceDE w:val="0"/>
        <w:autoSpaceDN w:val="0"/>
        <w:adjustRightInd w:val="0"/>
        <w:spacing w:before="240" w:after="0" w:line="240" w:lineRule="auto"/>
        <w:rPr>
          <w:rFonts w:cs="Times New Roman"/>
          <w:color w:val="20231E"/>
        </w:rPr>
      </w:pPr>
      <w:r w:rsidRPr="006E7680">
        <w:rPr>
          <w:rFonts w:cs="Times New Roman"/>
          <w:color w:val="20231E"/>
        </w:rPr>
        <w:t>Di Bucci, D., Massa, B., and Zuppetta, A.</w:t>
      </w:r>
      <w:r w:rsidR="00A64805" w:rsidRPr="006E7680">
        <w:rPr>
          <w:rFonts w:cs="Times New Roman"/>
          <w:color w:val="20231E"/>
        </w:rPr>
        <w:t>, 2006</w:t>
      </w:r>
      <w:r w:rsidRPr="006E7680">
        <w:rPr>
          <w:rFonts w:cs="Times New Roman"/>
          <w:color w:val="20231E"/>
        </w:rPr>
        <w:t>. Relay ramps in active normal fault zones: A clue to the identification of seismogenic sources (1688 Sannio earthquake, Italy). Geologi</w:t>
      </w:r>
      <w:r w:rsidR="00A64805" w:rsidRPr="006E7680">
        <w:rPr>
          <w:rFonts w:cs="Times New Roman"/>
          <w:color w:val="20231E"/>
        </w:rPr>
        <w:t>cal Society of America Bulletin. 118,</w:t>
      </w:r>
      <w:r w:rsidRPr="006E7680">
        <w:rPr>
          <w:rFonts w:cs="Times New Roman"/>
          <w:color w:val="20231E"/>
        </w:rPr>
        <w:t xml:space="preserve"> </w:t>
      </w:r>
      <w:r w:rsidR="00A64805" w:rsidRPr="006E7680">
        <w:rPr>
          <w:rFonts w:cs="Times New Roman"/>
          <w:color w:val="20231E"/>
        </w:rPr>
        <w:t xml:space="preserve">(3/4), </w:t>
      </w:r>
      <w:r w:rsidRPr="006E7680">
        <w:rPr>
          <w:rFonts w:cs="Times New Roman"/>
          <w:color w:val="20231E"/>
        </w:rPr>
        <w:t>430–448; doi: 10.1130/B25783.1</w:t>
      </w:r>
    </w:p>
    <w:p w14:paraId="43C30AFA" w14:textId="35B58708" w:rsidR="00B07FD3" w:rsidRPr="006E7680" w:rsidRDefault="00B07FD3" w:rsidP="006E7680">
      <w:pPr>
        <w:autoSpaceDE w:val="0"/>
        <w:autoSpaceDN w:val="0"/>
        <w:adjustRightInd w:val="0"/>
        <w:spacing w:before="240" w:after="0" w:line="240" w:lineRule="auto"/>
        <w:rPr>
          <w:rFonts w:cs="Times New Roman"/>
          <w:color w:val="20231E"/>
        </w:rPr>
      </w:pPr>
      <w:r w:rsidRPr="006E7680">
        <w:rPr>
          <w:rFonts w:cs="Times New Roman"/>
          <w:color w:val="20231E"/>
        </w:rPr>
        <w:t>Donaldson,</w:t>
      </w:r>
      <w:r w:rsidRPr="006E7680">
        <w:rPr>
          <w:rFonts w:cs="Segoe UI"/>
        </w:rPr>
        <w:t xml:space="preserve"> E.C., and Alam, W., 2013. </w:t>
      </w:r>
      <w:r w:rsidRPr="006E7680">
        <w:rPr>
          <w:rFonts w:cs="Segoe UI"/>
          <w:iCs/>
        </w:rPr>
        <w:t>Wettability</w:t>
      </w:r>
      <w:r w:rsidRPr="006E7680">
        <w:rPr>
          <w:rFonts w:cs="Segoe UI"/>
        </w:rPr>
        <w:t>: Elsevier. 336 p.</w:t>
      </w:r>
    </w:p>
    <w:p w14:paraId="5D8C5B1C" w14:textId="28B790D5" w:rsidR="0095467B" w:rsidRPr="006E7680" w:rsidRDefault="0095467B" w:rsidP="006E7680">
      <w:pPr>
        <w:autoSpaceDE w:val="0"/>
        <w:autoSpaceDN w:val="0"/>
        <w:adjustRightInd w:val="0"/>
        <w:spacing w:before="240" w:after="0" w:line="240" w:lineRule="auto"/>
        <w:rPr>
          <w:rFonts w:cs="Times New Roman"/>
          <w:color w:val="20231E"/>
        </w:rPr>
      </w:pPr>
      <w:r w:rsidRPr="006E7680">
        <w:rPr>
          <w:rFonts w:cs="AdvOT863180fb"/>
        </w:rPr>
        <w:t>Faulkner, D.R., Jackson, C.A.L., Lunn, R.J., Schlische, R.W., S</w:t>
      </w:r>
      <w:r w:rsidR="00A64805" w:rsidRPr="006E7680">
        <w:rPr>
          <w:rFonts w:cs="AdvOT863180fb"/>
        </w:rPr>
        <w:t>hipton, Z.K., Wibberley, C.A.J. and</w:t>
      </w:r>
      <w:r w:rsidRPr="006E7680">
        <w:rPr>
          <w:rFonts w:cs="AdvOT863180fb"/>
        </w:rPr>
        <w:t xml:space="preserve"> Withjack, M.O., 2010. A review of recent developments concerning the structure, mechanics and </w:t>
      </w:r>
      <w:r w:rsidRPr="006E7680">
        <w:rPr>
          <w:rFonts w:cs="AdvOT863180fb+fb"/>
        </w:rPr>
        <w:t>fl</w:t>
      </w:r>
      <w:r w:rsidRPr="006E7680">
        <w:rPr>
          <w:rFonts w:cs="AdvOT863180fb"/>
        </w:rPr>
        <w:t xml:space="preserve">uid </w:t>
      </w:r>
      <w:r w:rsidRPr="006E7680">
        <w:rPr>
          <w:rFonts w:cs="AdvOT863180fb+fb"/>
        </w:rPr>
        <w:t>fl</w:t>
      </w:r>
      <w:r w:rsidR="00A64805" w:rsidRPr="006E7680">
        <w:rPr>
          <w:rFonts w:cs="AdvOT863180fb"/>
        </w:rPr>
        <w:t>ow properties of fault zones. Journal of Structural</w:t>
      </w:r>
      <w:r w:rsidRPr="006E7680">
        <w:rPr>
          <w:rFonts w:cs="AdvOT863180fb"/>
        </w:rPr>
        <w:t xml:space="preserve"> Geol</w:t>
      </w:r>
      <w:r w:rsidR="00A64805" w:rsidRPr="006E7680">
        <w:rPr>
          <w:rFonts w:cs="AdvOT863180fb"/>
        </w:rPr>
        <w:t>ogy</w:t>
      </w:r>
      <w:r w:rsidRPr="006E7680">
        <w:rPr>
          <w:rFonts w:cs="AdvOT863180fb"/>
        </w:rPr>
        <w:t>. 32, 1557</w:t>
      </w:r>
      <w:r w:rsidRPr="006E7680">
        <w:rPr>
          <w:rFonts w:cs="AdvPS44A44B"/>
        </w:rPr>
        <w:t>-</w:t>
      </w:r>
      <w:r w:rsidRPr="006E7680">
        <w:rPr>
          <w:rFonts w:cs="AdvOT863180fb"/>
        </w:rPr>
        <w:t>1575.</w:t>
      </w:r>
    </w:p>
    <w:p w14:paraId="6C90372E" w14:textId="5C90A981" w:rsidR="002671BF" w:rsidRPr="006E7680" w:rsidRDefault="002671BF" w:rsidP="006E7680">
      <w:pPr>
        <w:autoSpaceDE w:val="0"/>
        <w:autoSpaceDN w:val="0"/>
        <w:adjustRightInd w:val="0"/>
        <w:spacing w:before="240" w:after="0" w:line="240" w:lineRule="auto"/>
        <w:rPr>
          <w:rFonts w:cs="AdvOT863180fb"/>
        </w:rPr>
      </w:pPr>
      <w:r w:rsidRPr="006E7680">
        <w:rPr>
          <w:rFonts w:cs="AdvOT863180fb"/>
        </w:rPr>
        <w:t>Fensham, R., Esterle, J., Vink, S., Wolhute</w:t>
      </w:r>
      <w:r w:rsidR="00A64805" w:rsidRPr="006E7680">
        <w:rPr>
          <w:rFonts w:cs="AdvOT863180fb"/>
        </w:rPr>
        <w:t>r, A., Silcock, J., Hines, K., and</w:t>
      </w:r>
      <w:r w:rsidRPr="006E7680">
        <w:rPr>
          <w:rFonts w:cs="AdvOT863180fb"/>
        </w:rPr>
        <w:t xml:space="preserve"> Drimer, J.</w:t>
      </w:r>
      <w:r w:rsidR="00A64805" w:rsidRPr="006E7680">
        <w:rPr>
          <w:rFonts w:cs="AdvOT863180fb"/>
        </w:rPr>
        <w:t>, 2014</w:t>
      </w:r>
      <w:r w:rsidRPr="006E7680">
        <w:rPr>
          <w:rFonts w:cs="AdvOT863180fb"/>
        </w:rPr>
        <w:t>. Ecological and hydrogeological survey of the Great Artesian Basin springs - Springsure, Eulo, Bourke and Bogan River supergroups, Volume 1: histor</w:t>
      </w:r>
      <w:r w:rsidR="00A64805" w:rsidRPr="006E7680">
        <w:rPr>
          <w:rFonts w:cs="AdvOT863180fb"/>
        </w:rPr>
        <w:t>y, ecology and hydrogeology</w:t>
      </w:r>
      <w:r w:rsidRPr="006E7680">
        <w:rPr>
          <w:rFonts w:cs="AdvOT863180fb"/>
        </w:rPr>
        <w:t>: Department of the Environment, Commonwealth of Australia.</w:t>
      </w:r>
      <w:r w:rsidR="00A64805" w:rsidRPr="006E7680">
        <w:rPr>
          <w:rFonts w:cs="AdvOT863180fb"/>
        </w:rPr>
        <w:t xml:space="preserve"> 275 p.</w:t>
      </w:r>
    </w:p>
    <w:p w14:paraId="73A1E322" w14:textId="5126D940" w:rsidR="0095467B" w:rsidRPr="006E7680" w:rsidRDefault="00A64805" w:rsidP="006E7680">
      <w:pPr>
        <w:autoSpaceDE w:val="0"/>
        <w:autoSpaceDN w:val="0"/>
        <w:adjustRightInd w:val="0"/>
        <w:spacing w:before="240" w:after="0" w:line="240" w:lineRule="auto"/>
        <w:rPr>
          <w:lang w:val="en-GB"/>
        </w:rPr>
      </w:pPr>
      <w:r w:rsidRPr="006E7680">
        <w:rPr>
          <w:rFonts w:cs="AdvOT863180fb"/>
        </w:rPr>
        <w:t>Fulljames, J.R., Zijerveld, L.J.J., and R.C.</w:t>
      </w:r>
      <w:r w:rsidR="0095467B" w:rsidRPr="006E7680">
        <w:rPr>
          <w:rFonts w:cs="AdvOT863180fb"/>
        </w:rPr>
        <w:t>M.</w:t>
      </w:r>
      <w:r w:rsidR="0095467B" w:rsidRPr="006E7680">
        <w:rPr>
          <w:lang w:val="en-GB"/>
        </w:rPr>
        <w:t>W. Franssen,</w:t>
      </w:r>
      <w:r w:rsidRPr="006E7680">
        <w:rPr>
          <w:lang w:val="en-GB"/>
        </w:rPr>
        <w:t xml:space="preserve"> 1997.</w:t>
      </w:r>
      <w:r w:rsidR="0095467B" w:rsidRPr="006E7680">
        <w:rPr>
          <w:lang w:val="en-GB"/>
        </w:rPr>
        <w:t xml:space="preserve"> Fault seal processes: systematic analysis of</w:t>
      </w:r>
      <w:r w:rsidR="00E04711" w:rsidRPr="006E7680">
        <w:rPr>
          <w:lang w:val="en-GB"/>
        </w:rPr>
        <w:t xml:space="preserve"> fault seals over geological and</w:t>
      </w:r>
      <w:r w:rsidR="0095467B" w:rsidRPr="006E7680">
        <w:rPr>
          <w:lang w:val="en-GB"/>
        </w:rPr>
        <w:t xml:space="preserve"> production timescales.</w:t>
      </w:r>
      <w:r w:rsidR="00E04711" w:rsidRPr="006E7680">
        <w:rPr>
          <w:lang w:val="en-GB"/>
        </w:rPr>
        <w:t xml:space="preserve"> In: Moller-Pedersen, P. and A.</w:t>
      </w:r>
      <w:r w:rsidR="0095467B" w:rsidRPr="006E7680">
        <w:rPr>
          <w:lang w:val="en-GB"/>
        </w:rPr>
        <w:t>G. Koestler (eds), Hydrocarbon Seals: Importance for Exploration and Production. Norwegian Petroleum Society (NPF), Special publica</w:t>
      </w:r>
      <w:r w:rsidR="00E04711" w:rsidRPr="006E7680">
        <w:rPr>
          <w:lang w:val="en-GB"/>
        </w:rPr>
        <w:t xml:space="preserve">tion 7. Elsevier, Amsterdam, </w:t>
      </w:r>
      <w:r w:rsidR="0095467B" w:rsidRPr="006E7680">
        <w:rPr>
          <w:lang w:val="en-GB"/>
        </w:rPr>
        <w:t>51-59.</w:t>
      </w:r>
    </w:p>
    <w:p w14:paraId="24938045" w14:textId="6E080335" w:rsidR="0095467B" w:rsidRPr="006E7680" w:rsidRDefault="0095467B" w:rsidP="006E7680">
      <w:pPr>
        <w:autoSpaceDE w:val="0"/>
        <w:autoSpaceDN w:val="0"/>
        <w:adjustRightInd w:val="0"/>
        <w:spacing w:before="240" w:after="0" w:line="240" w:lineRule="auto"/>
        <w:rPr>
          <w:rFonts w:cs="Times New Roman"/>
        </w:rPr>
      </w:pPr>
      <w:r w:rsidRPr="006E7680">
        <w:rPr>
          <w:rFonts w:cs="Times New Roman"/>
        </w:rPr>
        <w:lastRenderedPageBreak/>
        <w:t xml:space="preserve">Gartrell, A., Lisk, M. and </w:t>
      </w:r>
      <w:r w:rsidRPr="006E7680">
        <w:rPr>
          <w:rFonts w:cs="Times New Roman"/>
          <w:bCs/>
        </w:rPr>
        <w:t>Undershultz, J</w:t>
      </w:r>
      <w:r w:rsidRPr="006E7680">
        <w:rPr>
          <w:rFonts w:cs="Times New Roman"/>
        </w:rPr>
        <w:t>.</w:t>
      </w:r>
      <w:r w:rsidR="00E04711" w:rsidRPr="006E7680">
        <w:rPr>
          <w:rFonts w:cs="Times New Roman"/>
        </w:rPr>
        <w:t>, 2002</w:t>
      </w:r>
      <w:r w:rsidRPr="006E7680">
        <w:rPr>
          <w:rFonts w:cs="Times New Roman"/>
        </w:rPr>
        <w:t xml:space="preserve">. Controls on the trap integrity of the Skua Oil Field, Timor Sea. </w:t>
      </w:r>
      <w:r w:rsidRPr="006E7680">
        <w:rPr>
          <w:rFonts w:cs="Times New Roman"/>
          <w:i/>
          <w:iCs/>
        </w:rPr>
        <w:t>In</w:t>
      </w:r>
      <w:r w:rsidRPr="006E7680">
        <w:rPr>
          <w:rFonts w:cs="Times New Roman"/>
        </w:rPr>
        <w:t xml:space="preserve">: Keep, M. and Moss, S. J. (eds.), The Sedimentary Basins of Western Australia 3: Proceedings of </w:t>
      </w:r>
      <w:r w:rsidRPr="006E7680">
        <w:rPr>
          <w:rFonts w:cs="Times New Roman"/>
          <w:iCs/>
        </w:rPr>
        <w:t>Petroleum Exploration Society of Australia,</w:t>
      </w:r>
      <w:r w:rsidR="00E04711" w:rsidRPr="006E7680">
        <w:rPr>
          <w:rFonts w:cs="Times New Roman"/>
          <w:iCs/>
        </w:rPr>
        <w:t xml:space="preserve"> </w:t>
      </w:r>
      <w:r w:rsidRPr="006E7680">
        <w:rPr>
          <w:rFonts w:cs="Times New Roman"/>
        </w:rPr>
        <w:t>390-407.</w:t>
      </w:r>
    </w:p>
    <w:p w14:paraId="49ACA6B7" w14:textId="4451E629" w:rsidR="0095467B" w:rsidRPr="006E7680" w:rsidRDefault="0095467B" w:rsidP="006E7680">
      <w:pPr>
        <w:autoSpaceDE w:val="0"/>
        <w:autoSpaceDN w:val="0"/>
        <w:adjustRightInd w:val="0"/>
        <w:spacing w:before="240" w:after="0" w:line="240" w:lineRule="auto"/>
        <w:rPr>
          <w:rFonts w:cs="Times New Roman"/>
        </w:rPr>
      </w:pPr>
      <w:r w:rsidRPr="006E7680">
        <w:rPr>
          <w:rFonts w:cs="Times New Roman"/>
        </w:rPr>
        <w:t>Gartrell, A., Zhang, Y., Lisk, M. and Dewhurst, D.</w:t>
      </w:r>
      <w:r w:rsidR="00E04711" w:rsidRPr="006E7680">
        <w:rPr>
          <w:rFonts w:cs="Times New Roman"/>
        </w:rPr>
        <w:t>, 2004</w:t>
      </w:r>
      <w:r w:rsidRPr="006E7680">
        <w:rPr>
          <w:rFonts w:cs="Times New Roman"/>
        </w:rPr>
        <w:t xml:space="preserve">. Fault intersections as critical hydrocarbon leakage zones: Numerical modelling as an example from the Timor Sea, Australia. Marine and </w:t>
      </w:r>
      <w:r w:rsidR="00E04711" w:rsidRPr="006E7680">
        <w:rPr>
          <w:rFonts w:cs="Times New Roman"/>
        </w:rPr>
        <w:t xml:space="preserve">Petroleum Geology. 21, </w:t>
      </w:r>
      <w:r w:rsidRPr="006E7680">
        <w:rPr>
          <w:rFonts w:cs="Times New Roman"/>
        </w:rPr>
        <w:t>1165-1179.</w:t>
      </w:r>
      <w:r w:rsidRPr="006E7680">
        <w:t> </w:t>
      </w:r>
    </w:p>
    <w:p w14:paraId="7F84978A" w14:textId="77AB2ACB" w:rsidR="0095467B" w:rsidRPr="006E7680" w:rsidRDefault="0095467B" w:rsidP="006E7680">
      <w:pPr>
        <w:spacing w:before="240" w:after="0" w:line="240" w:lineRule="auto"/>
      </w:pPr>
      <w:r w:rsidRPr="006E7680">
        <w:t>Gartrell, A. Bailey, W. Brincat, M. and Underschultz, J.</w:t>
      </w:r>
      <w:r w:rsidR="00E04711" w:rsidRPr="006E7680">
        <w:t>,</w:t>
      </w:r>
      <w:r w:rsidRPr="006E7680">
        <w:t xml:space="preserve"> 2005. Strain localisation and trap geometry as key controls on hydrocarbon preservation in the Laminaria High area. APPEA Journal.</w:t>
      </w:r>
      <w:r w:rsidR="00E04711" w:rsidRPr="006E7680">
        <w:t xml:space="preserve"> 45, (1), 477-492.</w:t>
      </w:r>
    </w:p>
    <w:p w14:paraId="1CB679E7" w14:textId="585A45AB" w:rsidR="0095467B" w:rsidRPr="006E7680" w:rsidRDefault="0095467B" w:rsidP="006E7680">
      <w:pPr>
        <w:autoSpaceDE w:val="0"/>
        <w:autoSpaceDN w:val="0"/>
        <w:adjustRightInd w:val="0"/>
        <w:spacing w:before="240" w:after="0" w:line="240" w:lineRule="auto"/>
        <w:rPr>
          <w:rFonts w:cs="Times New Roman"/>
        </w:rPr>
      </w:pPr>
      <w:r w:rsidRPr="006E7680">
        <w:rPr>
          <w:rFonts w:cs="Times New Roman"/>
        </w:rPr>
        <w:t>Gartrell, A., Bailey, W.M. and Brincat, M.</w:t>
      </w:r>
      <w:r w:rsidR="00E04711" w:rsidRPr="006E7680">
        <w:rPr>
          <w:rFonts w:cs="Times New Roman"/>
        </w:rPr>
        <w:t>, 2006</w:t>
      </w:r>
      <w:r w:rsidRPr="006E7680">
        <w:rPr>
          <w:rFonts w:cs="Times New Roman"/>
        </w:rPr>
        <w:t>. A new model for assessing trap integrity and oil preservation risks associated with post</w:t>
      </w:r>
      <w:r w:rsidR="00B67A50" w:rsidRPr="006E7680">
        <w:rPr>
          <w:rFonts w:cs="Times New Roman"/>
        </w:rPr>
        <w:t>-</w:t>
      </w:r>
      <w:r w:rsidRPr="006E7680">
        <w:rPr>
          <w:rFonts w:cs="Times New Roman"/>
        </w:rPr>
        <w:t xml:space="preserve">rift fault reactivation in the Timor Sea. </w:t>
      </w:r>
      <w:r w:rsidRPr="006E7680">
        <w:rPr>
          <w:rFonts w:cs="Times New Roman"/>
          <w:iCs/>
        </w:rPr>
        <w:t>The American Association of Petroleum Geologists Bulletin.</w:t>
      </w:r>
      <w:r w:rsidRPr="006E7680">
        <w:rPr>
          <w:rFonts w:cs="Times New Roman"/>
          <w:i/>
          <w:iCs/>
        </w:rPr>
        <w:t xml:space="preserve"> </w:t>
      </w:r>
      <w:r w:rsidR="00E04711" w:rsidRPr="006E7680">
        <w:rPr>
          <w:rFonts w:cs="Times New Roman"/>
        </w:rPr>
        <w:t xml:space="preserve">90, (12), </w:t>
      </w:r>
      <w:r w:rsidRPr="006E7680">
        <w:rPr>
          <w:rFonts w:cs="Times New Roman"/>
        </w:rPr>
        <w:t>1921-1944</w:t>
      </w:r>
      <w:r w:rsidRPr="006E7680">
        <w:rPr>
          <w:rFonts w:cs="Times New Roman"/>
          <w:i/>
          <w:iCs/>
        </w:rPr>
        <w:t>.</w:t>
      </w:r>
    </w:p>
    <w:p w14:paraId="1F6F54A2" w14:textId="3F135219" w:rsidR="0095467B" w:rsidRPr="006E7680" w:rsidRDefault="004F4884" w:rsidP="006E7680">
      <w:pPr>
        <w:spacing w:before="240" w:after="0" w:line="240" w:lineRule="auto"/>
      </w:pPr>
      <w:r w:rsidRPr="006E7680">
        <w:t>Gibson, R.</w:t>
      </w:r>
      <w:r w:rsidR="0095467B" w:rsidRPr="006E7680">
        <w:t xml:space="preserve">G., 1998, Physical character and fluid-flow properties of sandstone-derived fault zones. </w:t>
      </w:r>
      <w:r w:rsidR="0095467B" w:rsidRPr="006E7680">
        <w:rPr>
          <w:i/>
          <w:iCs/>
        </w:rPr>
        <w:t>In:</w:t>
      </w:r>
      <w:r w:rsidRPr="006E7680">
        <w:t xml:space="preserve"> Coward, M.P., Daltaban, T.</w:t>
      </w:r>
      <w:r w:rsidR="0095467B" w:rsidRPr="006E7680">
        <w:t>S., and Johnson, H</w:t>
      </w:r>
      <w:r w:rsidRPr="006E7680">
        <w:t>.,</w:t>
      </w:r>
      <w:r w:rsidR="0095467B" w:rsidRPr="006E7680">
        <w:rPr>
          <w:i/>
          <w:iCs/>
        </w:rPr>
        <w:t xml:space="preserve"> </w:t>
      </w:r>
      <w:r w:rsidR="0095467B" w:rsidRPr="006E7680">
        <w:t>(eds</w:t>
      </w:r>
      <w:r w:rsidRPr="006E7680">
        <w:t>.</w:t>
      </w:r>
      <w:r w:rsidR="0095467B" w:rsidRPr="006E7680">
        <w:t>)</w:t>
      </w:r>
      <w:r w:rsidR="0095467B" w:rsidRPr="006E7680">
        <w:rPr>
          <w:i/>
          <w:iCs/>
        </w:rPr>
        <w:t xml:space="preserve"> </w:t>
      </w:r>
      <w:r w:rsidR="0095467B" w:rsidRPr="006E7680">
        <w:rPr>
          <w:iCs/>
        </w:rPr>
        <w:t>Structural Geology in Reservoir Characterisation</w:t>
      </w:r>
      <w:r w:rsidR="00E04711" w:rsidRPr="006E7680">
        <w:t xml:space="preserve">. Geological Society of London, Special Publications. 127, </w:t>
      </w:r>
      <w:r w:rsidR="0095467B" w:rsidRPr="006E7680">
        <w:t>83-97.</w:t>
      </w:r>
    </w:p>
    <w:p w14:paraId="0D0E89CB" w14:textId="77777777" w:rsidR="0095467B" w:rsidRPr="006E7680" w:rsidRDefault="0095467B" w:rsidP="006E7680">
      <w:pPr>
        <w:spacing w:after="0" w:line="240" w:lineRule="auto"/>
        <w:rPr>
          <w:rFonts w:eastAsia="Times New Roman" w:cs="Arial"/>
          <w:shd w:val="clear" w:color="auto" w:fill="FFFFFF"/>
        </w:rPr>
      </w:pPr>
    </w:p>
    <w:p w14:paraId="01C8FA68" w14:textId="4598CC3C" w:rsidR="0095467B" w:rsidRPr="006E7680" w:rsidRDefault="0095467B" w:rsidP="006E7680">
      <w:pPr>
        <w:spacing w:after="0" w:line="240" w:lineRule="auto"/>
        <w:rPr>
          <w:rFonts w:eastAsia="Times New Roman" w:cs="Arial"/>
          <w:shd w:val="clear" w:color="auto" w:fill="FFFFFF"/>
        </w:rPr>
      </w:pPr>
      <w:r w:rsidRPr="006E7680">
        <w:rPr>
          <w:rFonts w:eastAsia="Times New Roman" w:cs="Arial"/>
          <w:shd w:val="clear" w:color="auto" w:fill="FFFFFF"/>
        </w:rPr>
        <w:t>Gillespie, P</w:t>
      </w:r>
      <w:r w:rsidR="004F4884" w:rsidRPr="006E7680">
        <w:rPr>
          <w:rFonts w:eastAsia="Times New Roman" w:cs="Arial"/>
          <w:shd w:val="clear" w:color="auto" w:fill="FFFFFF"/>
        </w:rPr>
        <w:t>.</w:t>
      </w:r>
      <w:r w:rsidR="00E04711" w:rsidRPr="006E7680">
        <w:rPr>
          <w:rFonts w:eastAsia="Times New Roman" w:cs="Arial"/>
          <w:shd w:val="clear" w:color="auto" w:fill="FFFFFF"/>
        </w:rPr>
        <w:t>A., Howard, C.B., Walsh, J.J and</w:t>
      </w:r>
      <w:r w:rsidRPr="006E7680">
        <w:rPr>
          <w:rFonts w:eastAsia="Times New Roman" w:cs="Arial"/>
          <w:shd w:val="clear" w:color="auto" w:fill="FFFFFF"/>
        </w:rPr>
        <w:t xml:space="preserve"> Watterson, J.</w:t>
      </w:r>
      <w:r w:rsidR="00E04711" w:rsidRPr="006E7680">
        <w:rPr>
          <w:rFonts w:eastAsia="Times New Roman" w:cs="Arial"/>
          <w:shd w:val="clear" w:color="auto" w:fill="FFFFFF"/>
        </w:rPr>
        <w:t>, 1993</w:t>
      </w:r>
      <w:r w:rsidRPr="006E7680">
        <w:rPr>
          <w:rFonts w:eastAsia="Times New Roman" w:cs="Arial"/>
          <w:shd w:val="clear" w:color="auto" w:fill="FFFFFF"/>
        </w:rPr>
        <w:t>. Measurement and characterisation of spatial distributions of fractures. Tectonophysics</w:t>
      </w:r>
      <w:r w:rsidR="00E04711" w:rsidRPr="006E7680">
        <w:rPr>
          <w:rFonts w:eastAsia="Times New Roman" w:cs="Arial"/>
          <w:shd w:val="clear" w:color="auto" w:fill="FFFFFF"/>
        </w:rPr>
        <w:t>. 226, (</w:t>
      </w:r>
      <w:r w:rsidRPr="006E7680">
        <w:rPr>
          <w:rFonts w:eastAsia="Times New Roman" w:cs="Arial"/>
          <w:shd w:val="clear" w:color="auto" w:fill="FFFFFF"/>
        </w:rPr>
        <w:t>1</w:t>
      </w:r>
      <w:r w:rsidR="00E04711" w:rsidRPr="006E7680">
        <w:rPr>
          <w:rFonts w:eastAsia="Times New Roman" w:cs="Arial"/>
          <w:shd w:val="clear" w:color="auto" w:fill="FFFFFF"/>
        </w:rPr>
        <w:t>),</w:t>
      </w:r>
      <w:r w:rsidRPr="006E7680">
        <w:rPr>
          <w:rFonts w:eastAsia="Times New Roman" w:cs="Arial"/>
          <w:shd w:val="clear" w:color="auto" w:fill="FFFFFF"/>
        </w:rPr>
        <w:t xml:space="preserve"> 113-141.</w:t>
      </w:r>
    </w:p>
    <w:p w14:paraId="163B0A1A" w14:textId="77777777" w:rsidR="002671BF" w:rsidRPr="006E7680" w:rsidRDefault="002671BF" w:rsidP="006E7680">
      <w:pPr>
        <w:spacing w:after="0" w:line="240" w:lineRule="auto"/>
        <w:rPr>
          <w:rFonts w:eastAsia="Times New Roman" w:cs="Arial"/>
          <w:shd w:val="clear" w:color="auto" w:fill="FFFFFF"/>
        </w:rPr>
      </w:pPr>
    </w:p>
    <w:p w14:paraId="71FF4243" w14:textId="58FF9576" w:rsidR="002671BF" w:rsidRPr="006E7680" w:rsidRDefault="004F4884" w:rsidP="006E7680">
      <w:pPr>
        <w:spacing w:after="0" w:line="240" w:lineRule="auto"/>
        <w:rPr>
          <w:rFonts w:eastAsia="Times New Roman" w:cs="Arial"/>
          <w:shd w:val="clear" w:color="auto" w:fill="FFFFFF"/>
        </w:rPr>
      </w:pPr>
      <w:r w:rsidRPr="006E7680">
        <w:rPr>
          <w:rFonts w:eastAsia="Times New Roman" w:cs="Arial"/>
          <w:shd w:val="clear" w:color="auto" w:fill="FFFFFF"/>
        </w:rPr>
        <w:t>Grasby, S.</w:t>
      </w:r>
      <w:r w:rsidR="00E04711" w:rsidRPr="006E7680">
        <w:rPr>
          <w:rFonts w:eastAsia="Times New Roman" w:cs="Arial"/>
          <w:shd w:val="clear" w:color="auto" w:fill="FFFFFF"/>
        </w:rPr>
        <w:t>E. and</w:t>
      </w:r>
      <w:r w:rsidR="002671BF" w:rsidRPr="006E7680">
        <w:rPr>
          <w:rFonts w:eastAsia="Times New Roman" w:cs="Arial"/>
          <w:shd w:val="clear" w:color="auto" w:fill="FFFFFF"/>
        </w:rPr>
        <w:t xml:space="preserve"> Hutcheon, I.</w:t>
      </w:r>
      <w:r w:rsidR="00E04711" w:rsidRPr="006E7680">
        <w:rPr>
          <w:rFonts w:eastAsia="Times New Roman" w:cs="Arial"/>
          <w:shd w:val="clear" w:color="auto" w:fill="FFFFFF"/>
        </w:rPr>
        <w:t>, 2001</w:t>
      </w:r>
      <w:r w:rsidR="002671BF" w:rsidRPr="006E7680">
        <w:rPr>
          <w:rFonts w:eastAsia="Times New Roman" w:cs="Arial"/>
          <w:shd w:val="clear" w:color="auto" w:fill="FFFFFF"/>
        </w:rPr>
        <w:t>. Controls on the distribution of thermal springs in the southern Canadian Cordillera. Can</w:t>
      </w:r>
      <w:r w:rsidR="00E04711" w:rsidRPr="006E7680">
        <w:rPr>
          <w:rFonts w:eastAsia="Times New Roman" w:cs="Arial"/>
          <w:shd w:val="clear" w:color="auto" w:fill="FFFFFF"/>
        </w:rPr>
        <w:t>adian Journal of Earth Sciences.</w:t>
      </w:r>
      <w:r w:rsidR="002671BF" w:rsidRPr="006E7680">
        <w:rPr>
          <w:rFonts w:eastAsia="Times New Roman" w:cs="Arial"/>
          <w:shd w:val="clear" w:color="auto" w:fill="FFFFFF"/>
        </w:rPr>
        <w:t xml:space="preserve"> 38</w:t>
      </w:r>
      <w:r w:rsidR="00E04711" w:rsidRPr="006E7680">
        <w:rPr>
          <w:rFonts w:eastAsia="Times New Roman" w:cs="Arial"/>
          <w:shd w:val="clear" w:color="auto" w:fill="FFFFFF"/>
        </w:rPr>
        <w:t xml:space="preserve">, </w:t>
      </w:r>
      <w:r w:rsidR="002671BF" w:rsidRPr="006E7680">
        <w:rPr>
          <w:rFonts w:eastAsia="Times New Roman" w:cs="Arial"/>
          <w:shd w:val="clear" w:color="auto" w:fill="FFFFFF"/>
        </w:rPr>
        <w:t>(3), 427-440. doi: 10.1139/e00-091</w:t>
      </w:r>
    </w:p>
    <w:p w14:paraId="689E0BBC" w14:textId="77777777" w:rsidR="002671BF" w:rsidRPr="006E7680" w:rsidRDefault="002671BF" w:rsidP="006E7680">
      <w:pPr>
        <w:spacing w:after="0" w:line="240" w:lineRule="auto"/>
        <w:rPr>
          <w:rFonts w:eastAsia="Times New Roman" w:cs="Arial"/>
          <w:shd w:val="clear" w:color="auto" w:fill="FFFFFF"/>
        </w:rPr>
      </w:pPr>
    </w:p>
    <w:p w14:paraId="12350DD5" w14:textId="29FE1FA1" w:rsidR="002671BF" w:rsidRPr="006E7680" w:rsidRDefault="002671BF" w:rsidP="006E7680">
      <w:pPr>
        <w:spacing w:after="0" w:line="240" w:lineRule="auto"/>
        <w:rPr>
          <w:rFonts w:eastAsia="Times New Roman" w:cs="Arial"/>
          <w:shd w:val="clear" w:color="auto" w:fill="FFFFFF"/>
        </w:rPr>
      </w:pPr>
      <w:r w:rsidRPr="006E7680">
        <w:rPr>
          <w:rFonts w:eastAsia="Times New Roman" w:cs="Arial"/>
          <w:shd w:val="clear" w:color="auto" w:fill="FFFFFF"/>
        </w:rPr>
        <w:t>Gudmundsson, A.</w:t>
      </w:r>
      <w:r w:rsidR="00E04711" w:rsidRPr="006E7680">
        <w:rPr>
          <w:rFonts w:eastAsia="Times New Roman" w:cs="Arial"/>
          <w:shd w:val="clear" w:color="auto" w:fill="FFFFFF"/>
        </w:rPr>
        <w:t>, 2000</w:t>
      </w:r>
      <w:r w:rsidRPr="006E7680">
        <w:rPr>
          <w:rFonts w:eastAsia="Times New Roman" w:cs="Arial"/>
          <w:shd w:val="clear" w:color="auto" w:fill="FFFFFF"/>
        </w:rPr>
        <w:t>. Active fault zones and groundwater flo</w:t>
      </w:r>
      <w:r w:rsidR="00E04711" w:rsidRPr="006E7680">
        <w:rPr>
          <w:rFonts w:eastAsia="Times New Roman" w:cs="Arial"/>
          <w:shd w:val="clear" w:color="auto" w:fill="FFFFFF"/>
        </w:rPr>
        <w:t>w. Geophysical Research Letters.</w:t>
      </w:r>
      <w:r w:rsidRPr="006E7680">
        <w:rPr>
          <w:rFonts w:eastAsia="Times New Roman" w:cs="Arial"/>
          <w:shd w:val="clear" w:color="auto" w:fill="FFFFFF"/>
        </w:rPr>
        <w:t xml:space="preserve"> 27</w:t>
      </w:r>
      <w:r w:rsidR="00E04711" w:rsidRPr="006E7680">
        <w:rPr>
          <w:rFonts w:eastAsia="Times New Roman" w:cs="Arial"/>
          <w:shd w:val="clear" w:color="auto" w:fill="FFFFFF"/>
        </w:rPr>
        <w:t xml:space="preserve">, </w:t>
      </w:r>
      <w:r w:rsidRPr="006E7680">
        <w:rPr>
          <w:rFonts w:eastAsia="Times New Roman" w:cs="Arial"/>
          <w:shd w:val="clear" w:color="auto" w:fill="FFFFFF"/>
        </w:rPr>
        <w:t>(18), 2993-2996. doi: 10.1029/1999gl011266</w:t>
      </w:r>
    </w:p>
    <w:p w14:paraId="18605263" w14:textId="77777777" w:rsidR="002671BF" w:rsidRPr="006E7680" w:rsidRDefault="002671BF" w:rsidP="006E7680">
      <w:pPr>
        <w:spacing w:after="0" w:line="240" w:lineRule="auto"/>
        <w:rPr>
          <w:rFonts w:eastAsia="Times New Roman" w:cs="Arial"/>
          <w:shd w:val="clear" w:color="auto" w:fill="FFFFFF"/>
        </w:rPr>
      </w:pPr>
    </w:p>
    <w:p w14:paraId="7BA704CD" w14:textId="3C191F89" w:rsidR="002671BF" w:rsidRPr="006E7680" w:rsidRDefault="002671BF" w:rsidP="006E7680">
      <w:pPr>
        <w:spacing w:after="0" w:line="240" w:lineRule="auto"/>
        <w:rPr>
          <w:rFonts w:eastAsia="Times New Roman" w:cs="Arial"/>
          <w:shd w:val="clear" w:color="auto" w:fill="FFFFFF"/>
        </w:rPr>
      </w:pPr>
      <w:r w:rsidRPr="006E7680">
        <w:rPr>
          <w:rFonts w:eastAsia="Times New Roman" w:cs="Arial"/>
          <w:shd w:val="clear" w:color="auto" w:fill="FFFFFF"/>
        </w:rPr>
        <w:t>Hab</w:t>
      </w:r>
      <w:r w:rsidR="004F4884" w:rsidRPr="006E7680">
        <w:rPr>
          <w:rFonts w:eastAsia="Times New Roman" w:cs="Arial"/>
          <w:shd w:val="clear" w:color="auto" w:fill="FFFFFF"/>
        </w:rPr>
        <w:t>ermehl, M.</w:t>
      </w:r>
      <w:r w:rsidRPr="006E7680">
        <w:rPr>
          <w:rFonts w:eastAsia="Times New Roman" w:cs="Arial"/>
          <w:shd w:val="clear" w:color="auto" w:fill="FFFFFF"/>
        </w:rPr>
        <w:t>A.</w:t>
      </w:r>
      <w:r w:rsidR="00E04711" w:rsidRPr="006E7680">
        <w:rPr>
          <w:rFonts w:eastAsia="Times New Roman" w:cs="Arial"/>
          <w:shd w:val="clear" w:color="auto" w:fill="FFFFFF"/>
        </w:rPr>
        <w:t>, 1982</w:t>
      </w:r>
      <w:r w:rsidRPr="006E7680">
        <w:rPr>
          <w:rFonts w:eastAsia="Times New Roman" w:cs="Arial"/>
          <w:shd w:val="clear" w:color="auto" w:fill="FFFFFF"/>
        </w:rPr>
        <w:t>. Springs in the Great Artesian Basin, Australia - Their Origin and Nature. Canberra: Department of National Development and Energy.</w:t>
      </w:r>
      <w:r w:rsidR="00E04711" w:rsidRPr="006E7680">
        <w:rPr>
          <w:rFonts w:eastAsia="Times New Roman" w:cs="Arial"/>
          <w:shd w:val="clear" w:color="auto" w:fill="FFFFFF"/>
        </w:rPr>
        <w:t xml:space="preserve"> 54 p.</w:t>
      </w:r>
    </w:p>
    <w:p w14:paraId="7E4DD194" w14:textId="77777777" w:rsidR="001635E1" w:rsidRDefault="001635E1" w:rsidP="001635E1">
      <w:pPr>
        <w:spacing w:before="240" w:after="0" w:line="240" w:lineRule="auto"/>
      </w:pPr>
      <w:r>
        <w:rPr>
          <w:rStyle w:val="authors"/>
        </w:rPr>
        <w:t>Heller, R., Vermylen, J., Zoback, M.,</w:t>
      </w:r>
      <w:r>
        <w:t xml:space="preserve"> </w:t>
      </w:r>
      <w:r>
        <w:rPr>
          <w:rStyle w:val="year"/>
        </w:rPr>
        <w:t xml:space="preserve">2014. </w:t>
      </w:r>
      <w:r>
        <w:rPr>
          <w:rStyle w:val="Title1"/>
        </w:rPr>
        <w:t xml:space="preserve">Experimental investigation of matrix permeability of gas shales. </w:t>
      </w:r>
      <w:r w:rsidRPr="006E7680">
        <w:t>The American Association of Petroleum Geology Bulletin.</w:t>
      </w:r>
      <w:r>
        <w:t xml:space="preserve"> 98, (5), 975-995.</w:t>
      </w:r>
    </w:p>
    <w:p w14:paraId="7F194103" w14:textId="77777777" w:rsidR="001635E1" w:rsidRPr="001635E1" w:rsidRDefault="001635E1" w:rsidP="001635E1">
      <w:pPr>
        <w:spacing w:before="240" w:after="0" w:line="240" w:lineRule="auto"/>
        <w:rPr>
          <w:rFonts w:cs="Times New Roman"/>
        </w:rPr>
      </w:pPr>
      <w:r w:rsidRPr="001635E1">
        <w:rPr>
          <w:rFonts w:cs="Segoe UI"/>
        </w:rPr>
        <w:t>Herring, A. L., Andersson, L</w:t>
      </w:r>
      <w:r>
        <w:rPr>
          <w:rFonts w:cs="Segoe UI"/>
        </w:rPr>
        <w:t>., Schlüter, S., Sheppard, A., and</w:t>
      </w:r>
      <w:r w:rsidRPr="001635E1">
        <w:rPr>
          <w:rFonts w:cs="Segoe UI"/>
        </w:rPr>
        <w:t xml:space="preserve"> Wildenschild, D.</w:t>
      </w:r>
      <w:r>
        <w:rPr>
          <w:rFonts w:cs="Segoe UI"/>
        </w:rPr>
        <w:t>, 2015</w:t>
      </w:r>
      <w:r w:rsidRPr="001635E1">
        <w:rPr>
          <w:rFonts w:cs="Segoe UI"/>
        </w:rPr>
        <w:t xml:space="preserve">. Efficiently engineering pore-scale processes: The role of force dominance and topology during nonwetting phase trapping in porous media. </w:t>
      </w:r>
      <w:r w:rsidRPr="001635E1">
        <w:rPr>
          <w:rFonts w:cs="Segoe UI"/>
          <w:iCs/>
        </w:rPr>
        <w:t>Advances in Water Resources, 79</w:t>
      </w:r>
      <w:r w:rsidRPr="001635E1">
        <w:rPr>
          <w:rFonts w:cs="Segoe UI"/>
        </w:rPr>
        <w:t>, 91-102</w:t>
      </w:r>
      <w:r>
        <w:rPr>
          <w:rFonts w:cs="Segoe UI"/>
        </w:rPr>
        <w:t>.</w:t>
      </w:r>
    </w:p>
    <w:p w14:paraId="06DFFF4A" w14:textId="77777777" w:rsidR="001635E1" w:rsidRDefault="001635E1" w:rsidP="006E7680">
      <w:pPr>
        <w:autoSpaceDE w:val="0"/>
        <w:autoSpaceDN w:val="0"/>
        <w:adjustRightInd w:val="0"/>
        <w:spacing w:after="0" w:line="240" w:lineRule="auto"/>
        <w:rPr>
          <w:rFonts w:cs="Times New Roman"/>
        </w:rPr>
      </w:pPr>
    </w:p>
    <w:p w14:paraId="5757BBA1" w14:textId="56EE1031" w:rsidR="0095467B" w:rsidRPr="006E7680" w:rsidRDefault="0095467B" w:rsidP="006E7680">
      <w:pPr>
        <w:autoSpaceDE w:val="0"/>
        <w:autoSpaceDN w:val="0"/>
        <w:adjustRightInd w:val="0"/>
        <w:spacing w:after="0" w:line="240" w:lineRule="auto"/>
        <w:rPr>
          <w:rFonts w:cs="Times New Roman"/>
        </w:rPr>
      </w:pPr>
      <w:r w:rsidRPr="006E7680">
        <w:rPr>
          <w:rFonts w:cs="Times New Roman"/>
        </w:rPr>
        <w:t>Heum, O.R.</w:t>
      </w:r>
      <w:r w:rsidR="00E04711" w:rsidRPr="006E7680">
        <w:rPr>
          <w:rFonts w:cs="Times New Roman"/>
        </w:rPr>
        <w:t>, 1996</w:t>
      </w:r>
      <w:r w:rsidRPr="006E7680">
        <w:rPr>
          <w:rFonts w:cs="Times New Roman"/>
        </w:rPr>
        <w:t xml:space="preserve">. A fluid dynamic classification of hydrocarbon entrapment. </w:t>
      </w:r>
      <w:r w:rsidRPr="006E7680">
        <w:rPr>
          <w:rFonts w:cs="Times New Roman"/>
          <w:iCs/>
        </w:rPr>
        <w:t>Petroleum Geoscience</w:t>
      </w:r>
      <w:r w:rsidR="00E04711" w:rsidRPr="006E7680">
        <w:rPr>
          <w:rFonts w:cs="Times New Roman"/>
        </w:rPr>
        <w:t xml:space="preserve">. 2, </w:t>
      </w:r>
      <w:r w:rsidRPr="006E7680">
        <w:rPr>
          <w:rFonts w:cs="Times New Roman"/>
        </w:rPr>
        <w:t>145-158.</w:t>
      </w:r>
    </w:p>
    <w:p w14:paraId="5BC5EA73" w14:textId="77777777" w:rsidR="0095467B" w:rsidRPr="006E7680" w:rsidRDefault="0095467B" w:rsidP="006E7680">
      <w:pPr>
        <w:autoSpaceDE w:val="0"/>
        <w:autoSpaceDN w:val="0"/>
        <w:adjustRightInd w:val="0"/>
        <w:spacing w:after="0" w:line="240" w:lineRule="auto"/>
        <w:rPr>
          <w:rFonts w:cs="Times New Roman"/>
        </w:rPr>
      </w:pPr>
    </w:p>
    <w:p w14:paraId="52C02B3F" w14:textId="566866A7" w:rsidR="0095467B" w:rsidRPr="006E7680" w:rsidRDefault="0095467B" w:rsidP="006E7680">
      <w:pPr>
        <w:autoSpaceDE w:val="0"/>
        <w:autoSpaceDN w:val="0"/>
        <w:adjustRightInd w:val="0"/>
        <w:spacing w:after="0" w:line="240" w:lineRule="auto"/>
        <w:rPr>
          <w:rFonts w:cs="Times New Roman"/>
        </w:rPr>
      </w:pPr>
      <w:r w:rsidRPr="006E7680">
        <w:rPr>
          <w:rFonts w:cs="AdvOT863180fb"/>
        </w:rPr>
        <w:t>Heynekamp, M.</w:t>
      </w:r>
      <w:r w:rsidR="00E04711" w:rsidRPr="006E7680">
        <w:rPr>
          <w:rFonts w:cs="AdvOT863180fb"/>
        </w:rPr>
        <w:t>R., Goodwin, L.B., Mozley, P.S. and</w:t>
      </w:r>
      <w:r w:rsidRPr="006E7680">
        <w:rPr>
          <w:rFonts w:cs="AdvOT863180fb"/>
        </w:rPr>
        <w:t xml:space="preserve"> Haneberg, W.C., 1999. Controls on fault-zone architecture in poorly lithi</w:t>
      </w:r>
      <w:r w:rsidRPr="006E7680">
        <w:rPr>
          <w:rFonts w:cs="AdvOT863180fb+fb"/>
        </w:rPr>
        <w:t>fi</w:t>
      </w:r>
      <w:r w:rsidRPr="006E7680">
        <w:rPr>
          <w:rFonts w:cs="AdvOT863180fb"/>
        </w:rPr>
        <w:t>ed sediments, Rio Grande Rift, New</w:t>
      </w:r>
      <w:r w:rsidRPr="006E7680">
        <w:rPr>
          <w:rFonts w:cs="Times New Roman"/>
        </w:rPr>
        <w:t xml:space="preserve"> </w:t>
      </w:r>
      <w:r w:rsidRPr="006E7680">
        <w:rPr>
          <w:rFonts w:cs="AdvOT863180fb"/>
        </w:rPr>
        <w:t xml:space="preserve">Mexico: Implications for fault zone permeability and </w:t>
      </w:r>
      <w:r w:rsidRPr="006E7680">
        <w:rPr>
          <w:rFonts w:cs="AdvOT863180fb+fb"/>
        </w:rPr>
        <w:t>fl</w:t>
      </w:r>
      <w:r w:rsidRPr="006E7680">
        <w:rPr>
          <w:rFonts w:cs="AdvOT863180fb"/>
        </w:rPr>
        <w:t xml:space="preserve">uid </w:t>
      </w:r>
      <w:r w:rsidRPr="006E7680">
        <w:rPr>
          <w:rFonts w:cs="AdvOT863180fb+fb"/>
        </w:rPr>
        <w:t>fl</w:t>
      </w:r>
      <w:r w:rsidRPr="006E7680">
        <w:rPr>
          <w:rFonts w:cs="AdvOT863180fb"/>
        </w:rPr>
        <w:t xml:space="preserve">ow. In: Haneberg, </w:t>
      </w:r>
      <w:r w:rsidR="00E04711" w:rsidRPr="006E7680">
        <w:rPr>
          <w:rFonts w:cs="AdvOT863180fb"/>
        </w:rPr>
        <w:t>P.S., Mozley, P.S., Moore, J.C. and</w:t>
      </w:r>
      <w:r w:rsidRPr="006E7680">
        <w:rPr>
          <w:rFonts w:cs="AdvOT863180fb"/>
        </w:rPr>
        <w:t xml:space="preserve"> Goodwin, L.B. (Eds.), Faults and Subsurface </w:t>
      </w:r>
      <w:r w:rsidR="00E04711" w:rsidRPr="006E7680">
        <w:rPr>
          <w:rFonts w:cs="AdvOT863180fb"/>
        </w:rPr>
        <w:t xml:space="preserve">Fluid Flow in the Shallow Crust. </w:t>
      </w:r>
      <w:r w:rsidRPr="006E7680">
        <w:rPr>
          <w:rFonts w:cs="AdvOT863180fb"/>
        </w:rPr>
        <w:t>Ameri</w:t>
      </w:r>
      <w:r w:rsidR="00E04711" w:rsidRPr="006E7680">
        <w:rPr>
          <w:rFonts w:cs="AdvOT863180fb"/>
        </w:rPr>
        <w:t xml:space="preserve">can Geophysical Union Monograph. 113, </w:t>
      </w:r>
      <w:r w:rsidRPr="006E7680">
        <w:rPr>
          <w:rFonts w:cs="AdvOT863180fb"/>
        </w:rPr>
        <w:t>27</w:t>
      </w:r>
      <w:r w:rsidRPr="006E7680">
        <w:rPr>
          <w:rFonts w:cs="AdvPS44A44B"/>
        </w:rPr>
        <w:t>-</w:t>
      </w:r>
      <w:r w:rsidRPr="006E7680">
        <w:rPr>
          <w:rFonts w:cs="AdvOT863180fb"/>
        </w:rPr>
        <w:t>49.</w:t>
      </w:r>
    </w:p>
    <w:p w14:paraId="3147F830" w14:textId="77777777" w:rsidR="0095467B" w:rsidRPr="006E7680" w:rsidRDefault="0095467B" w:rsidP="006E7680">
      <w:pPr>
        <w:autoSpaceDE w:val="0"/>
        <w:autoSpaceDN w:val="0"/>
        <w:adjustRightInd w:val="0"/>
        <w:spacing w:after="0" w:line="240" w:lineRule="auto"/>
        <w:rPr>
          <w:rFonts w:cs="Times New Roman"/>
        </w:rPr>
      </w:pPr>
    </w:p>
    <w:p w14:paraId="31091D49" w14:textId="2ADBA3A3" w:rsidR="0095467B" w:rsidRDefault="0095467B" w:rsidP="006E7680">
      <w:pPr>
        <w:autoSpaceDE w:val="0"/>
        <w:autoSpaceDN w:val="0"/>
        <w:adjustRightInd w:val="0"/>
        <w:spacing w:after="0" w:line="240" w:lineRule="auto"/>
        <w:rPr>
          <w:rFonts w:cs="Times New Roman"/>
        </w:rPr>
      </w:pPr>
      <w:r w:rsidRPr="006E7680">
        <w:rPr>
          <w:rFonts w:cs="Times New Roman"/>
        </w:rPr>
        <w:t>Hitchon, B</w:t>
      </w:r>
      <w:r w:rsidR="004F4884" w:rsidRPr="006E7680">
        <w:rPr>
          <w:rFonts w:cs="Times New Roman"/>
        </w:rPr>
        <w:t>.</w:t>
      </w:r>
      <w:r w:rsidRPr="006E7680">
        <w:rPr>
          <w:rFonts w:cs="Times New Roman"/>
        </w:rPr>
        <w:t>, and Brulotte, M.</w:t>
      </w:r>
      <w:r w:rsidR="00E04711" w:rsidRPr="006E7680">
        <w:rPr>
          <w:rFonts w:cs="Times New Roman"/>
        </w:rPr>
        <w:t>, 1994.</w:t>
      </w:r>
      <w:r w:rsidRPr="006E7680">
        <w:rPr>
          <w:rFonts w:cs="Times New Roman"/>
        </w:rPr>
        <w:t xml:space="preserve"> Culling criteria for “standard” formation water analyses: </w:t>
      </w:r>
      <w:r w:rsidRPr="006E7680">
        <w:rPr>
          <w:rFonts w:cs="Times New Roman"/>
          <w:iCs/>
        </w:rPr>
        <w:t>Applied Geochemistry.</w:t>
      </w:r>
      <w:r w:rsidRPr="006E7680">
        <w:rPr>
          <w:rFonts w:cs="Times New Roman"/>
          <w:i/>
          <w:iCs/>
        </w:rPr>
        <w:t xml:space="preserve"> </w:t>
      </w:r>
      <w:r w:rsidR="00E04711" w:rsidRPr="006E7680">
        <w:rPr>
          <w:rFonts w:cs="Times New Roman"/>
        </w:rPr>
        <w:t xml:space="preserve">9, </w:t>
      </w:r>
      <w:r w:rsidRPr="006E7680">
        <w:rPr>
          <w:rFonts w:cs="Times New Roman"/>
        </w:rPr>
        <w:t>637-645.</w:t>
      </w:r>
    </w:p>
    <w:p w14:paraId="2B9C36C6" w14:textId="77777777" w:rsidR="00B02C7C" w:rsidRDefault="00B02C7C" w:rsidP="006E7680">
      <w:pPr>
        <w:autoSpaceDE w:val="0"/>
        <w:autoSpaceDN w:val="0"/>
        <w:adjustRightInd w:val="0"/>
        <w:spacing w:after="0" w:line="240" w:lineRule="auto"/>
        <w:rPr>
          <w:rFonts w:cs="Times New Roman"/>
        </w:rPr>
      </w:pPr>
    </w:p>
    <w:p w14:paraId="22EE1BD4" w14:textId="01EA092E" w:rsidR="00B02C7C" w:rsidRPr="006E7680" w:rsidRDefault="00B02C7C" w:rsidP="006E7680">
      <w:pPr>
        <w:autoSpaceDE w:val="0"/>
        <w:autoSpaceDN w:val="0"/>
        <w:adjustRightInd w:val="0"/>
        <w:spacing w:after="0" w:line="240" w:lineRule="auto"/>
        <w:rPr>
          <w:rFonts w:cs="Times New Roman"/>
        </w:rPr>
      </w:pPr>
      <w:r>
        <w:t>Iglauer, S., Pentland, C., and</w:t>
      </w:r>
      <w:r w:rsidRPr="009303D9">
        <w:t xml:space="preserve"> Busch, A.</w:t>
      </w:r>
      <w:r>
        <w:t>, 2015</w:t>
      </w:r>
      <w:r w:rsidRPr="009303D9">
        <w:t xml:space="preserve">. CO2 wettability of seal and reservoir rocks and the implications for carbon geo‐sequestration. </w:t>
      </w:r>
      <w:r w:rsidRPr="00B02C7C">
        <w:t>Water Resources Research, 51(</w:t>
      </w:r>
      <w:r w:rsidRPr="009303D9">
        <w:t>1), 729-774</w:t>
      </w:r>
      <w:r>
        <w:t>.</w:t>
      </w:r>
    </w:p>
    <w:p w14:paraId="45B536D0" w14:textId="66031978" w:rsidR="0095467B" w:rsidRPr="006E7680" w:rsidRDefault="004F4884" w:rsidP="006E7680">
      <w:pPr>
        <w:autoSpaceDE w:val="0"/>
        <w:autoSpaceDN w:val="0"/>
        <w:adjustRightInd w:val="0"/>
        <w:spacing w:before="240" w:after="0" w:line="240" w:lineRule="auto"/>
      </w:pPr>
      <w:r w:rsidRPr="006E7680">
        <w:t>Jaeger, J.</w:t>
      </w:r>
      <w:r w:rsidR="00E04711" w:rsidRPr="006E7680">
        <w:t>C. and</w:t>
      </w:r>
      <w:r w:rsidR="0095467B" w:rsidRPr="006E7680">
        <w:t xml:space="preserve"> Cook, N</w:t>
      </w:r>
      <w:r w:rsidRPr="006E7680">
        <w:t>.G.</w:t>
      </w:r>
      <w:r w:rsidR="00E04711" w:rsidRPr="006E7680">
        <w:t>W., 1979. Fundamentals of rock m</w:t>
      </w:r>
      <w:r w:rsidR="0095467B" w:rsidRPr="006E7680">
        <w:t>echanics. Chapman &amp; Hall, New York, 76</w:t>
      </w:r>
      <w:r w:rsidR="00E04711" w:rsidRPr="006E7680">
        <w:t xml:space="preserve"> </w:t>
      </w:r>
      <w:r w:rsidR="0095467B" w:rsidRPr="006E7680">
        <w:t>p.</w:t>
      </w:r>
    </w:p>
    <w:p w14:paraId="100A0C22" w14:textId="6E62A8B1" w:rsidR="00B07FD3" w:rsidRPr="006E7680" w:rsidRDefault="00B07FD3" w:rsidP="006E7680">
      <w:pPr>
        <w:autoSpaceDE w:val="0"/>
        <w:autoSpaceDN w:val="0"/>
        <w:adjustRightInd w:val="0"/>
        <w:spacing w:before="240" w:after="0" w:line="240" w:lineRule="auto"/>
      </w:pPr>
      <w:r w:rsidRPr="006E7680">
        <w:t xml:space="preserve">Josh </w:t>
      </w:r>
      <w:r w:rsidRPr="006E7680">
        <w:rPr>
          <w:rFonts w:cs="Segoe UI"/>
        </w:rPr>
        <w:t xml:space="preserve">M., Esteban, L., Delle Piane, C., Sarout, J., Dewhurst, D.N., &amp; Clennell, M.B., 2012. Laboratory characterisation of shale properties. </w:t>
      </w:r>
      <w:r w:rsidRPr="006E7680">
        <w:rPr>
          <w:rFonts w:cs="Segoe UI"/>
          <w:iCs/>
        </w:rPr>
        <w:t>Journal of Petroleum Science and Engineering. 88–89</w:t>
      </w:r>
      <w:r w:rsidRPr="006E7680">
        <w:rPr>
          <w:rFonts w:cs="Segoe UI"/>
        </w:rPr>
        <w:t>, 107-124.</w:t>
      </w:r>
    </w:p>
    <w:p w14:paraId="5404935E" w14:textId="16953F2A" w:rsidR="002671BF" w:rsidRPr="006E7680" w:rsidRDefault="00E04711" w:rsidP="006E7680">
      <w:pPr>
        <w:autoSpaceDE w:val="0"/>
        <w:autoSpaceDN w:val="0"/>
        <w:adjustRightInd w:val="0"/>
        <w:spacing w:before="240" w:after="0" w:line="240" w:lineRule="auto"/>
      </w:pPr>
      <w:r w:rsidRPr="006E7680">
        <w:lastRenderedPageBreak/>
        <w:t>Keppel, M., Karlstrom, K.</w:t>
      </w:r>
      <w:r w:rsidR="004F4884" w:rsidRPr="006E7680">
        <w:t>E., Love, A.</w:t>
      </w:r>
      <w:r w:rsidR="002671BF" w:rsidRPr="006E7680">
        <w:t>J</w:t>
      </w:r>
      <w:r w:rsidRPr="006E7680">
        <w:t>., Priestley, S., Wohling, D., and Ritter, S.D</w:t>
      </w:r>
      <w:r w:rsidR="002671BF" w:rsidRPr="006E7680">
        <w:t>.</w:t>
      </w:r>
      <w:r w:rsidRPr="006E7680">
        <w:t>, 2013. Allocating water and maintaining s</w:t>
      </w:r>
      <w:r w:rsidR="002671BF" w:rsidRPr="006E7680">
        <w:t>prings in the Great Artesian Basin, Volume 1: Hydrogeological Framework of the Western Great Artesian Basin (Vol. 1). Canberra: National Water Commission.</w:t>
      </w:r>
      <w:r w:rsidR="00CF2482" w:rsidRPr="006E7680">
        <w:t xml:space="preserve"> 50 p.</w:t>
      </w:r>
    </w:p>
    <w:p w14:paraId="6FF508FE" w14:textId="77777777" w:rsidR="007730E8" w:rsidRDefault="00CF2482" w:rsidP="007730E8">
      <w:pPr>
        <w:autoSpaceDE w:val="0"/>
        <w:autoSpaceDN w:val="0"/>
        <w:adjustRightInd w:val="0"/>
        <w:spacing w:before="240" w:after="0" w:line="240" w:lineRule="auto"/>
      </w:pPr>
      <w:r w:rsidRPr="007730E8">
        <w:t>Kim, Y.S., and Sanderson, D.</w:t>
      </w:r>
      <w:r w:rsidR="008E4E74" w:rsidRPr="007730E8">
        <w:t>J.</w:t>
      </w:r>
      <w:r w:rsidRPr="007730E8">
        <w:t>, 2005</w:t>
      </w:r>
      <w:r w:rsidR="008E4E74" w:rsidRPr="007730E8">
        <w:t xml:space="preserve">. The relationship between displacement and length of faults: </w:t>
      </w:r>
      <w:r w:rsidRPr="007730E8">
        <w:t>a review. Earth-Science Reviews.</w:t>
      </w:r>
      <w:r w:rsidR="008E4E74" w:rsidRPr="007730E8">
        <w:t xml:space="preserve"> 68</w:t>
      </w:r>
      <w:r w:rsidRPr="007730E8">
        <w:t xml:space="preserve">, </w:t>
      </w:r>
      <w:r w:rsidR="007730E8">
        <w:t>(3–4), 317-334.</w:t>
      </w:r>
    </w:p>
    <w:p w14:paraId="797C0765" w14:textId="16958063" w:rsidR="007730E8" w:rsidRPr="007730E8" w:rsidRDefault="007730E8" w:rsidP="006E7680">
      <w:pPr>
        <w:autoSpaceDE w:val="0"/>
        <w:autoSpaceDN w:val="0"/>
        <w:adjustRightInd w:val="0"/>
        <w:spacing w:before="240" w:after="0" w:line="240" w:lineRule="auto"/>
      </w:pPr>
      <w:r>
        <w:rPr>
          <w:rFonts w:cs="Segoe UI"/>
        </w:rPr>
        <w:t>Krause, M. H., and</w:t>
      </w:r>
      <w:r w:rsidRPr="007730E8">
        <w:rPr>
          <w:rFonts w:cs="Segoe UI"/>
        </w:rPr>
        <w:t xml:space="preserve"> Benson, S. M.</w:t>
      </w:r>
      <w:r>
        <w:rPr>
          <w:rFonts w:cs="Segoe UI"/>
        </w:rPr>
        <w:t>, 2015</w:t>
      </w:r>
      <w:r w:rsidRPr="007730E8">
        <w:rPr>
          <w:rFonts w:cs="Segoe UI"/>
        </w:rPr>
        <w:t>. Accurate determination of characteristic relative permeability curves</w:t>
      </w:r>
      <w:r>
        <w:rPr>
          <w:rFonts w:cs="Segoe UI"/>
        </w:rPr>
        <w:t xml:space="preserve">. </w:t>
      </w:r>
      <w:r w:rsidRPr="007730E8">
        <w:rPr>
          <w:rFonts w:cs="Segoe UI"/>
          <w:iCs/>
        </w:rPr>
        <w:t>Advances in Water Resources, 83</w:t>
      </w:r>
      <w:r w:rsidRPr="007730E8">
        <w:rPr>
          <w:rFonts w:cs="Segoe UI"/>
        </w:rPr>
        <w:t>, 376-388</w:t>
      </w:r>
      <w:r>
        <w:rPr>
          <w:rFonts w:cs="Segoe UI"/>
        </w:rPr>
        <w:t>.</w:t>
      </w:r>
    </w:p>
    <w:p w14:paraId="78185F24" w14:textId="0C42CBA0" w:rsidR="0095467B" w:rsidRPr="006E7680" w:rsidRDefault="0095467B" w:rsidP="006E7680">
      <w:pPr>
        <w:autoSpaceDE w:val="0"/>
        <w:autoSpaceDN w:val="0"/>
        <w:adjustRightInd w:val="0"/>
        <w:spacing w:before="240" w:after="0" w:line="240" w:lineRule="auto"/>
      </w:pPr>
      <w:r w:rsidRPr="006E7680">
        <w:t>Langhi, L., Zhang, Y., Gartrell, A., Underschultz J.R. and Dewhurst. D.N.</w:t>
      </w:r>
      <w:r w:rsidR="00CF2482" w:rsidRPr="006E7680">
        <w:t>, 2009.</w:t>
      </w:r>
      <w:r w:rsidRPr="006E7680">
        <w:t xml:space="preserve"> Fluid flow behaviour in reactivated hydrocarbon traps: assessing fluid circulation along natural complex fault systems using numerical fluid flow simulation. Journal of Geochemi</w:t>
      </w:r>
      <w:r w:rsidR="00CF2482" w:rsidRPr="006E7680">
        <w:t>cal Exploration. 101, (</w:t>
      </w:r>
      <w:r w:rsidRPr="006E7680">
        <w:t>1</w:t>
      </w:r>
      <w:r w:rsidR="00CF2482" w:rsidRPr="006E7680">
        <w:t>)</w:t>
      </w:r>
      <w:r w:rsidRPr="006E7680">
        <w:t>, 57-57</w:t>
      </w:r>
      <w:r w:rsidR="00CF2482" w:rsidRPr="006E7680">
        <w:t>. ISSN: 03756742.</w:t>
      </w:r>
    </w:p>
    <w:p w14:paraId="5A06D938" w14:textId="10A7215B" w:rsidR="0095467B" w:rsidRPr="006E7680" w:rsidRDefault="00CF2482" w:rsidP="006E7680">
      <w:pPr>
        <w:spacing w:before="240" w:after="0" w:line="240" w:lineRule="auto"/>
      </w:pPr>
      <w:r w:rsidRPr="006E7680">
        <w:t>Langhi, L.</w:t>
      </w:r>
      <w:r w:rsidR="0095467B" w:rsidRPr="006E7680">
        <w:t>, Zhang,</w:t>
      </w:r>
      <w:r w:rsidRPr="006E7680">
        <w:t xml:space="preserve"> Y., </w:t>
      </w:r>
      <w:r w:rsidR="0095467B" w:rsidRPr="006E7680">
        <w:t>Gartrell,</w:t>
      </w:r>
      <w:r w:rsidRPr="006E7680">
        <w:t xml:space="preserve"> A., </w:t>
      </w:r>
      <w:r w:rsidR="0095467B" w:rsidRPr="006E7680">
        <w:t>U</w:t>
      </w:r>
      <w:r w:rsidRPr="006E7680">
        <w:t xml:space="preserve">nderschultz, J., and Dewhurst, D., </w:t>
      </w:r>
      <w:r w:rsidR="0095467B" w:rsidRPr="006E7680">
        <w:t>20</w:t>
      </w:r>
      <w:r w:rsidRPr="006E7680">
        <w:t>10</w:t>
      </w:r>
      <w:r w:rsidR="0095467B" w:rsidRPr="006E7680">
        <w:t xml:space="preserve">. Evaluating hydrocarbon trap integrity during fault reactivation using geomechanical three dimensional modeling: An example from the Timor Sea, Australia. </w:t>
      </w:r>
      <w:r w:rsidRPr="006E7680">
        <w:t xml:space="preserve">The </w:t>
      </w:r>
      <w:r w:rsidR="0095467B" w:rsidRPr="006E7680">
        <w:t>A</w:t>
      </w:r>
      <w:r w:rsidRPr="006E7680">
        <w:t xml:space="preserve">merican Association of </w:t>
      </w:r>
      <w:r w:rsidR="0095467B" w:rsidRPr="006E7680">
        <w:t>P</w:t>
      </w:r>
      <w:r w:rsidRPr="006E7680">
        <w:t xml:space="preserve">etroleum </w:t>
      </w:r>
      <w:r w:rsidR="0095467B" w:rsidRPr="006E7680">
        <w:t>G</w:t>
      </w:r>
      <w:r w:rsidRPr="006E7680">
        <w:t>eology Bulletin. 94, (</w:t>
      </w:r>
      <w:r w:rsidR="0095467B" w:rsidRPr="006E7680">
        <w:t>4</w:t>
      </w:r>
      <w:r w:rsidRPr="006E7680">
        <w:t>),</w:t>
      </w:r>
      <w:r w:rsidR="0095467B" w:rsidRPr="006E7680">
        <w:t xml:space="preserve"> 567-591.</w:t>
      </w:r>
    </w:p>
    <w:p w14:paraId="3F32B120" w14:textId="040D8248" w:rsidR="0095467B" w:rsidRPr="006E7680" w:rsidRDefault="00CF2482" w:rsidP="006E7680">
      <w:pPr>
        <w:spacing w:before="240" w:after="0" w:line="240" w:lineRule="auto"/>
      </w:pPr>
      <w:r w:rsidRPr="006E7680">
        <w:t>Langhi, L., Ciftci, B. and</w:t>
      </w:r>
      <w:r w:rsidR="0095467B" w:rsidRPr="006E7680">
        <w:t xml:space="preserve"> Strand, J.</w:t>
      </w:r>
      <w:r w:rsidRPr="006E7680">
        <w:t>, 2013</w:t>
      </w:r>
      <w:r w:rsidR="0095467B" w:rsidRPr="006E7680">
        <w:t>. Fault seal first order analysis: SW Hub. CSIRO report EP13879, open file. 60 p.</w:t>
      </w:r>
    </w:p>
    <w:p w14:paraId="16C1E009" w14:textId="77BF40AE" w:rsidR="0095467B" w:rsidRPr="006E7680" w:rsidRDefault="00CF2482" w:rsidP="006E7680">
      <w:pPr>
        <w:spacing w:before="240" w:after="0" w:line="240" w:lineRule="auto"/>
      </w:pPr>
      <w:r w:rsidRPr="006E7680">
        <w:t>Lindsay, N.G., Murphy, F.</w:t>
      </w:r>
      <w:r w:rsidR="0095467B" w:rsidRPr="006E7680">
        <w:t>C., Wals</w:t>
      </w:r>
      <w:r w:rsidRPr="006E7680">
        <w:t>h, J.J. and Watterson, J., 1993.</w:t>
      </w:r>
      <w:r w:rsidR="0095467B" w:rsidRPr="006E7680">
        <w:t xml:space="preserve"> Outcrop studies of shal</w:t>
      </w:r>
      <w:r w:rsidRPr="006E7680">
        <w:t>e smear on fault surfaces: Special Publication</w:t>
      </w:r>
      <w:r w:rsidR="00C729F9" w:rsidRPr="006E7680">
        <w:t>,</w:t>
      </w:r>
      <w:r w:rsidRPr="006E7680">
        <w:t xml:space="preserve"> International</w:t>
      </w:r>
      <w:r w:rsidR="0095467B" w:rsidRPr="006E7680">
        <w:t xml:space="preserve"> Assoc</w:t>
      </w:r>
      <w:r w:rsidRPr="006E7680">
        <w:t>iation of</w:t>
      </w:r>
      <w:r w:rsidR="0095467B" w:rsidRPr="006E7680">
        <w:t xml:space="preserve"> Sedimentol</w:t>
      </w:r>
      <w:r w:rsidRPr="006E7680">
        <w:t xml:space="preserve">ogists. 15, </w:t>
      </w:r>
      <w:r w:rsidR="0095467B" w:rsidRPr="006E7680">
        <w:t>113-123.</w:t>
      </w:r>
    </w:p>
    <w:p w14:paraId="26BC70B8" w14:textId="30FE5DBE" w:rsidR="002671BF" w:rsidRPr="006E7680" w:rsidRDefault="004F4884" w:rsidP="006E7680">
      <w:pPr>
        <w:spacing w:before="240" w:after="0" w:line="240" w:lineRule="auto"/>
      </w:pPr>
      <w:r w:rsidRPr="006E7680">
        <w:t>Lopez, D.</w:t>
      </w:r>
      <w:r w:rsidR="002671BF" w:rsidRPr="006E7680">
        <w:t>L., and Smith, L.</w:t>
      </w:r>
      <w:r w:rsidR="00C729F9" w:rsidRPr="006E7680">
        <w:t>, 1995</w:t>
      </w:r>
      <w:r w:rsidR="002671BF" w:rsidRPr="006E7680">
        <w:t>. Fluid flow in fault zones:</w:t>
      </w:r>
      <w:r w:rsidR="00C729F9" w:rsidRPr="006E7680">
        <w:t xml:space="preserve"> Analysis of the interplay of co</w:t>
      </w:r>
      <w:r w:rsidR="002671BF" w:rsidRPr="006E7680">
        <w:t>nvective circulation and topographically driven groundwater</w:t>
      </w:r>
      <w:r w:rsidR="00C729F9" w:rsidRPr="006E7680">
        <w:t xml:space="preserve"> flow. Water Resources Research.</w:t>
      </w:r>
      <w:r w:rsidR="002671BF" w:rsidRPr="006E7680">
        <w:t xml:space="preserve"> 31</w:t>
      </w:r>
      <w:r w:rsidR="00C729F9" w:rsidRPr="006E7680">
        <w:t xml:space="preserve">, </w:t>
      </w:r>
      <w:r w:rsidR="002671BF" w:rsidRPr="006E7680">
        <w:t xml:space="preserve">(6), 1489-1503. </w:t>
      </w:r>
    </w:p>
    <w:p w14:paraId="0E23DE0C" w14:textId="2A35C21D" w:rsidR="0095467B" w:rsidRPr="006E7680" w:rsidRDefault="0095467B" w:rsidP="006E7680">
      <w:pPr>
        <w:spacing w:before="240" w:after="0" w:line="240" w:lineRule="auto"/>
      </w:pPr>
      <w:r w:rsidRPr="006E7680">
        <w:rPr>
          <w:rFonts w:cs="AdvOT863180fb"/>
        </w:rPr>
        <w:t>Loveless, S., Bense, V., and Turner J.</w:t>
      </w:r>
      <w:r w:rsidR="00C729F9" w:rsidRPr="006E7680">
        <w:rPr>
          <w:rFonts w:cs="AdvOT863180fb"/>
        </w:rPr>
        <w:t>, 2011</w:t>
      </w:r>
      <w:r w:rsidRPr="006E7680">
        <w:rPr>
          <w:rFonts w:cs="AdvOT863180fb"/>
        </w:rPr>
        <w:t>. Fault architecture and deformation processes within poorly lithi</w:t>
      </w:r>
      <w:r w:rsidRPr="006E7680">
        <w:rPr>
          <w:rFonts w:cs="AdvOT863180fb+fb"/>
        </w:rPr>
        <w:t>fi</w:t>
      </w:r>
      <w:r w:rsidRPr="006E7680">
        <w:rPr>
          <w:rFonts w:cs="AdvOT863180fb"/>
        </w:rPr>
        <w:t>ed rift sediments, Central Greece. Journal of Structural Geology</w:t>
      </w:r>
      <w:r w:rsidR="00C729F9" w:rsidRPr="006E7680">
        <w:rPr>
          <w:rFonts w:cs="AdvOT863180fb"/>
        </w:rPr>
        <w:t>. 33,</w:t>
      </w:r>
      <w:r w:rsidRPr="006E7680">
        <w:rPr>
          <w:rFonts w:cs="AdvOT863180fb"/>
        </w:rPr>
        <w:t xml:space="preserve"> </w:t>
      </w:r>
      <w:r w:rsidR="00C729F9" w:rsidRPr="006E7680">
        <w:rPr>
          <w:rFonts w:cs="AdvOT863180fb"/>
        </w:rPr>
        <w:t xml:space="preserve">(11), </w:t>
      </w:r>
      <w:r w:rsidRPr="006E7680">
        <w:rPr>
          <w:rFonts w:cs="AdvOT863180fb"/>
        </w:rPr>
        <w:t>1554</w:t>
      </w:r>
      <w:r w:rsidRPr="006E7680">
        <w:rPr>
          <w:rFonts w:cs="AdvPS44A44B"/>
        </w:rPr>
        <w:t>-</w:t>
      </w:r>
      <w:r w:rsidRPr="006E7680">
        <w:rPr>
          <w:rFonts w:cs="AdvOT863180fb"/>
        </w:rPr>
        <w:t>1568</w:t>
      </w:r>
      <w:r w:rsidR="00C729F9" w:rsidRPr="006E7680">
        <w:rPr>
          <w:rFonts w:cs="AdvOT863180fb"/>
        </w:rPr>
        <w:t>.</w:t>
      </w:r>
    </w:p>
    <w:p w14:paraId="110A2E15" w14:textId="41B51F07" w:rsidR="0095467B" w:rsidRPr="006E7680" w:rsidRDefault="00C729F9" w:rsidP="006E7680">
      <w:pPr>
        <w:spacing w:before="240" w:after="0" w:line="240" w:lineRule="auto"/>
      </w:pPr>
      <w:r w:rsidRPr="006E7680">
        <w:t>Maerten, L., Gillespie, P. and Pollard, D.D., 2002. Effects of local stress p</w:t>
      </w:r>
      <w:r w:rsidR="00B67A50" w:rsidRPr="006E7680">
        <w:t>erturbation o</w:t>
      </w:r>
      <w:r w:rsidRPr="006E7680">
        <w:t>n s</w:t>
      </w:r>
      <w:r w:rsidR="0095467B" w:rsidRPr="006E7680">
        <w:t>econd</w:t>
      </w:r>
      <w:r w:rsidRPr="006E7680">
        <w:t>ary fault d</w:t>
      </w:r>
      <w:r w:rsidR="00B67A50" w:rsidRPr="006E7680">
        <w:t>evelopment. Journal o</w:t>
      </w:r>
      <w:r w:rsidRPr="006E7680">
        <w:t>f Structural Geology.</w:t>
      </w:r>
      <w:r w:rsidR="0095467B" w:rsidRPr="006E7680">
        <w:t xml:space="preserve"> 24,</w:t>
      </w:r>
      <w:r w:rsidRPr="006E7680">
        <w:t xml:space="preserve"> (1),</w:t>
      </w:r>
      <w:r w:rsidR="0095467B" w:rsidRPr="006E7680">
        <w:t xml:space="preserve"> 145–153.</w:t>
      </w:r>
    </w:p>
    <w:p w14:paraId="4E968630" w14:textId="08473256" w:rsidR="0095467B" w:rsidRPr="006E7680" w:rsidRDefault="00C729F9" w:rsidP="006E7680">
      <w:pPr>
        <w:spacing w:before="240" w:after="0" w:line="240" w:lineRule="auto"/>
        <w:rPr>
          <w:lang w:val="en-GB"/>
        </w:rPr>
      </w:pPr>
      <w:r w:rsidRPr="006E7680">
        <w:t>Manzocchi, T., Walsh, J.J. and</w:t>
      </w:r>
      <w:r w:rsidR="0095467B" w:rsidRPr="006E7680">
        <w:t xml:space="preserve"> </w:t>
      </w:r>
      <w:r w:rsidRPr="006E7680">
        <w:t>Bailey, W.R., 2009. Population scaling biases in map samples of p</w:t>
      </w:r>
      <w:r w:rsidR="0095467B" w:rsidRPr="006E7680">
        <w:t>o</w:t>
      </w:r>
      <w:r w:rsidRPr="006E7680">
        <w:t>wer-law fault s</w:t>
      </w:r>
      <w:r w:rsidR="00B67A50" w:rsidRPr="006E7680">
        <w:t>ystems. Journal o</w:t>
      </w:r>
      <w:r w:rsidRPr="006E7680">
        <w:t>f Structural Geology.</w:t>
      </w:r>
      <w:r w:rsidR="0095467B" w:rsidRPr="006E7680">
        <w:t xml:space="preserve"> 31, </w:t>
      </w:r>
      <w:r w:rsidRPr="006E7680">
        <w:t>(12)</w:t>
      </w:r>
      <w:r w:rsidR="0095467B" w:rsidRPr="006E7680">
        <w:t xml:space="preserve"> 1612–1626.</w:t>
      </w:r>
    </w:p>
    <w:p w14:paraId="7FA6BFDE" w14:textId="5E33610F" w:rsidR="0095467B" w:rsidRPr="006E7680" w:rsidRDefault="00C729F9" w:rsidP="006E7680">
      <w:pPr>
        <w:spacing w:before="240" w:after="0" w:line="240" w:lineRule="auto"/>
      </w:pPr>
      <w:r w:rsidRPr="006E7680">
        <w:rPr>
          <w:rFonts w:cs="TimesNewRomanPS-BoldMT"/>
          <w:bCs/>
        </w:rPr>
        <w:t xml:space="preserve">Manzocchi, T. and </w:t>
      </w:r>
      <w:r w:rsidR="0095467B" w:rsidRPr="006E7680">
        <w:rPr>
          <w:rFonts w:cs="TimesNewRomanPS-BoldMT"/>
          <w:bCs/>
        </w:rPr>
        <w:t>Childs</w:t>
      </w:r>
      <w:r w:rsidRPr="006E7680">
        <w:rPr>
          <w:rFonts w:cs="TimesNewRomanPS-BoldMT"/>
          <w:bCs/>
        </w:rPr>
        <w:t>, C., 2013</w:t>
      </w:r>
      <w:r w:rsidR="0095467B" w:rsidRPr="006E7680">
        <w:rPr>
          <w:rFonts w:cs="TimesNewRomanPS-BoldMT"/>
          <w:bCs/>
        </w:rPr>
        <w:t xml:space="preserve">. Quantification of hydrodynamic effects on capillary seal capacity. </w:t>
      </w:r>
      <w:r w:rsidRPr="006E7680">
        <w:rPr>
          <w:rFonts w:cs="TimesNewRomanPS-ItalicMT"/>
          <w:iCs/>
        </w:rPr>
        <w:t>Petroleum Geoscience</w:t>
      </w:r>
      <w:r w:rsidR="0095467B" w:rsidRPr="006E7680">
        <w:rPr>
          <w:rFonts w:eastAsia="TimesNewRomanPSMT" w:cs="TimesNewRomanPSMT"/>
        </w:rPr>
        <w:t xml:space="preserve">. </w:t>
      </w:r>
      <w:r w:rsidR="0095467B" w:rsidRPr="006E7680">
        <w:rPr>
          <w:rFonts w:cs="TimesNewRomanPS-BoldMT"/>
          <w:bCs/>
        </w:rPr>
        <w:t>19</w:t>
      </w:r>
      <w:r w:rsidR="0095467B" w:rsidRPr="006E7680">
        <w:rPr>
          <w:rFonts w:eastAsia="TimesNewRomanPSMT" w:cs="TimesNewRomanPSMT"/>
        </w:rPr>
        <w:t>, 105–121.</w:t>
      </w:r>
    </w:p>
    <w:p w14:paraId="3B1B9F16" w14:textId="02FDED5E" w:rsidR="0095467B" w:rsidRPr="006E7680" w:rsidRDefault="0095467B" w:rsidP="006E7680">
      <w:pPr>
        <w:spacing w:before="240" w:after="0" w:line="240" w:lineRule="auto"/>
      </w:pPr>
      <w:r w:rsidRPr="006E7680">
        <w:t>Meyer, V., Nic</w:t>
      </w:r>
      <w:r w:rsidR="00C729F9" w:rsidRPr="006E7680">
        <w:t>ol, A., Childs, C., Walsh, J.J. and</w:t>
      </w:r>
      <w:r w:rsidRPr="006E7680">
        <w:t xml:space="preserve"> Watterson, J., </w:t>
      </w:r>
      <w:r w:rsidR="00C729F9" w:rsidRPr="006E7680">
        <w:t>2002. Progressive l</w:t>
      </w:r>
      <w:r w:rsidR="00B67A50" w:rsidRPr="006E7680">
        <w:t>ocalisation o</w:t>
      </w:r>
      <w:r w:rsidR="00C729F9" w:rsidRPr="006E7680">
        <w:t>f strain during the evolution o</w:t>
      </w:r>
      <w:r w:rsidRPr="006E7680">
        <w:t xml:space="preserve">f </w:t>
      </w:r>
      <w:r w:rsidR="00C729F9" w:rsidRPr="006E7680">
        <w:t>a normal fault s</w:t>
      </w:r>
      <w:r w:rsidR="00B67A50" w:rsidRPr="006E7680">
        <w:t>ystem. Journal o</w:t>
      </w:r>
      <w:r w:rsidRPr="006E7680">
        <w:t>f Structural Geology</w:t>
      </w:r>
      <w:r w:rsidR="00C729F9" w:rsidRPr="006E7680">
        <w:t>.</w:t>
      </w:r>
      <w:r w:rsidRPr="006E7680">
        <w:t xml:space="preserve"> 24,</w:t>
      </w:r>
      <w:r w:rsidR="00C729F9" w:rsidRPr="006E7680">
        <w:t xml:space="preserve"> (8),</w:t>
      </w:r>
      <w:r w:rsidRPr="006E7680">
        <w:t xml:space="preserve"> 1215–1231.</w:t>
      </w:r>
    </w:p>
    <w:p w14:paraId="2DB2D726" w14:textId="34DC6A81" w:rsidR="0095467B" w:rsidRPr="006E7680" w:rsidRDefault="0095467B" w:rsidP="006E7680">
      <w:pPr>
        <w:autoSpaceDE w:val="0"/>
        <w:autoSpaceDN w:val="0"/>
        <w:adjustRightInd w:val="0"/>
        <w:spacing w:before="240" w:after="0" w:line="240" w:lineRule="auto"/>
        <w:rPr>
          <w:rFonts w:cs="Times New Roman"/>
        </w:rPr>
      </w:pPr>
      <w:r w:rsidRPr="006E7680">
        <w:rPr>
          <w:rFonts w:cs="Times New Roman"/>
        </w:rPr>
        <w:t>Mildre</w:t>
      </w:r>
      <w:r w:rsidR="00C729F9" w:rsidRPr="006E7680">
        <w:rPr>
          <w:rFonts w:cs="Times New Roman"/>
        </w:rPr>
        <w:t>n, S.D., Hillis, R.R. and</w:t>
      </w:r>
      <w:r w:rsidRPr="006E7680">
        <w:rPr>
          <w:rFonts w:cs="Times New Roman"/>
        </w:rPr>
        <w:t xml:space="preserve"> Kaldi, J.G.</w:t>
      </w:r>
      <w:r w:rsidR="00C729F9" w:rsidRPr="006E7680">
        <w:rPr>
          <w:rFonts w:cs="Times New Roman"/>
        </w:rPr>
        <w:t>, 2002. Calibrating p</w:t>
      </w:r>
      <w:r w:rsidR="00B67A50" w:rsidRPr="006E7680">
        <w:rPr>
          <w:rFonts w:cs="Times New Roman"/>
        </w:rPr>
        <w:t>redictions o</w:t>
      </w:r>
      <w:r w:rsidR="00C729F9" w:rsidRPr="006E7680">
        <w:rPr>
          <w:rFonts w:cs="Times New Roman"/>
        </w:rPr>
        <w:t>f fault seal reactivation in t</w:t>
      </w:r>
      <w:r w:rsidRPr="006E7680">
        <w:rPr>
          <w:rFonts w:cs="Times New Roman"/>
        </w:rPr>
        <w:t xml:space="preserve">he Timor Sea. </w:t>
      </w:r>
      <w:r w:rsidRPr="006E7680">
        <w:rPr>
          <w:rFonts w:cs="Times New Roman"/>
          <w:iCs/>
        </w:rPr>
        <w:t>Australian Petroleum Production &amp; Exploration</w:t>
      </w:r>
      <w:r w:rsidRPr="006E7680">
        <w:rPr>
          <w:rFonts w:cs="Times New Roman"/>
        </w:rPr>
        <w:t xml:space="preserve"> </w:t>
      </w:r>
      <w:r w:rsidRPr="006E7680">
        <w:rPr>
          <w:rFonts w:cs="Times New Roman"/>
          <w:iCs/>
        </w:rPr>
        <w:t xml:space="preserve">Association Journal. </w:t>
      </w:r>
      <w:r w:rsidRPr="006E7680">
        <w:rPr>
          <w:rFonts w:cs="Times New Roman"/>
        </w:rPr>
        <w:t>42</w:t>
      </w:r>
      <w:r w:rsidR="00C729F9" w:rsidRPr="006E7680">
        <w:rPr>
          <w:rFonts w:cs="Times New Roman"/>
        </w:rPr>
        <w:t xml:space="preserve">, (1), </w:t>
      </w:r>
      <w:r w:rsidRPr="006E7680">
        <w:rPr>
          <w:rFonts w:cs="Times New Roman"/>
        </w:rPr>
        <w:t>187-202.</w:t>
      </w:r>
    </w:p>
    <w:p w14:paraId="40F4A392" w14:textId="4CF6B906" w:rsidR="002671BF" w:rsidRPr="006E7680" w:rsidRDefault="00C729F9" w:rsidP="006E7680">
      <w:pPr>
        <w:autoSpaceDE w:val="0"/>
        <w:autoSpaceDN w:val="0"/>
        <w:adjustRightInd w:val="0"/>
        <w:spacing w:before="240" w:after="0" w:line="240" w:lineRule="auto"/>
        <w:rPr>
          <w:rFonts w:cs="Times New Roman"/>
        </w:rPr>
      </w:pPr>
      <w:r w:rsidRPr="006E7680">
        <w:rPr>
          <w:rFonts w:cs="Times New Roman"/>
        </w:rPr>
        <w:t>Mildren, S.</w:t>
      </w:r>
      <w:r w:rsidR="002671BF" w:rsidRPr="006E7680">
        <w:rPr>
          <w:rFonts w:cs="Times New Roman"/>
        </w:rPr>
        <w:t>D.</w:t>
      </w:r>
      <w:r w:rsidRPr="006E7680">
        <w:rPr>
          <w:rFonts w:cs="Times New Roman"/>
        </w:rPr>
        <w:t xml:space="preserve"> and Hillis, R.</w:t>
      </w:r>
      <w:r w:rsidR="002671BF" w:rsidRPr="006E7680">
        <w:rPr>
          <w:rFonts w:cs="Times New Roman"/>
        </w:rPr>
        <w:t>R.</w:t>
      </w:r>
      <w:r w:rsidRPr="006E7680">
        <w:rPr>
          <w:rFonts w:cs="Times New Roman"/>
        </w:rPr>
        <w:t>, 2002</w:t>
      </w:r>
      <w:r w:rsidR="002671BF" w:rsidRPr="006E7680">
        <w:rPr>
          <w:rFonts w:cs="Times New Roman"/>
        </w:rPr>
        <w:t xml:space="preserve">. FAST: A new approach to risking fault reactivation and related seal breach. Paper presented at the AAPG Hedberg Research Conference, Borossa Valley, South Australia. </w:t>
      </w:r>
    </w:p>
    <w:p w14:paraId="72BEDFA4" w14:textId="2F13A9E1" w:rsidR="007F337D" w:rsidRPr="006E7680" w:rsidRDefault="0095467B" w:rsidP="006E7680">
      <w:pPr>
        <w:autoSpaceDE w:val="0"/>
        <w:autoSpaceDN w:val="0"/>
        <w:adjustRightInd w:val="0"/>
        <w:spacing w:before="240" w:after="0" w:line="240" w:lineRule="auto"/>
        <w:rPr>
          <w:lang w:eastAsia="en-AU"/>
        </w:rPr>
      </w:pPr>
      <w:r w:rsidRPr="006E7680">
        <w:t>Moria, S.</w:t>
      </w:r>
      <w:r w:rsidR="00C729F9" w:rsidRPr="006E7680">
        <w:t>, 2011.</w:t>
      </w:r>
      <w:r w:rsidRPr="006E7680">
        <w:t xml:space="preserve"> </w:t>
      </w:r>
      <w:r w:rsidRPr="006E7680">
        <w:rPr>
          <w:bCs/>
          <w:lang w:eastAsia="en-AU"/>
        </w:rPr>
        <w:t xml:space="preserve">Effective permeability to water in petroleum column from capillary pressure data: implications for hydrodynamic effects on capillary seal capacity. </w:t>
      </w:r>
      <w:r w:rsidRPr="006E7680">
        <w:rPr>
          <w:iCs/>
          <w:lang w:eastAsia="en-AU"/>
        </w:rPr>
        <w:t>Petroleum Geoscience</w:t>
      </w:r>
      <w:r w:rsidR="00C729F9" w:rsidRPr="006E7680">
        <w:rPr>
          <w:lang w:eastAsia="en-AU"/>
        </w:rPr>
        <w:t>.</w:t>
      </w:r>
      <w:r w:rsidRPr="006E7680">
        <w:rPr>
          <w:lang w:eastAsia="en-AU"/>
        </w:rPr>
        <w:t xml:space="preserve"> 17, 397-404.</w:t>
      </w:r>
    </w:p>
    <w:p w14:paraId="696134E5" w14:textId="21B22051" w:rsidR="007F337D" w:rsidRPr="006E7680" w:rsidRDefault="007F337D" w:rsidP="006E7680">
      <w:pPr>
        <w:autoSpaceDE w:val="0"/>
        <w:autoSpaceDN w:val="0"/>
        <w:adjustRightInd w:val="0"/>
        <w:spacing w:before="240" w:after="0" w:line="240" w:lineRule="auto"/>
        <w:rPr>
          <w:lang w:eastAsia="en-AU"/>
        </w:rPr>
      </w:pPr>
      <w:r w:rsidRPr="006E7680">
        <w:rPr>
          <w:lang w:eastAsia="en-AU"/>
        </w:rPr>
        <w:t>Neele, F., ten Veen, J., Wilschut, F. and Hofstee, C.</w:t>
      </w:r>
      <w:r w:rsidR="00C729F9" w:rsidRPr="006E7680">
        <w:rPr>
          <w:lang w:eastAsia="en-AU"/>
        </w:rPr>
        <w:t>, 2012</w:t>
      </w:r>
      <w:r w:rsidRPr="006E7680">
        <w:rPr>
          <w:lang w:eastAsia="en-AU"/>
        </w:rPr>
        <w:t xml:space="preserve">. </w:t>
      </w:r>
      <w:r w:rsidRPr="006E7680">
        <w:rPr>
          <w:rFonts w:eastAsia="Times New Roman" w:cs="Arial"/>
          <w:lang w:eastAsia="en-AU"/>
        </w:rPr>
        <w:t>Independent assessment of high-capacity offshore CO</w:t>
      </w:r>
      <w:r w:rsidRPr="006E7680">
        <w:rPr>
          <w:rFonts w:eastAsia="Times New Roman" w:cs="Arial"/>
          <w:vertAlign w:val="subscript"/>
          <w:lang w:eastAsia="en-AU"/>
        </w:rPr>
        <w:t>2</w:t>
      </w:r>
      <w:r w:rsidRPr="006E7680">
        <w:rPr>
          <w:rFonts w:eastAsia="Times New Roman" w:cs="Arial"/>
          <w:lang w:eastAsia="en-AU"/>
        </w:rPr>
        <w:t xml:space="preserve"> storage options. TNO report TNO-060-UT-2012-00414. 85p.</w:t>
      </w:r>
    </w:p>
    <w:p w14:paraId="5045EE8D" w14:textId="5164332F" w:rsidR="003B1DC9" w:rsidRPr="006E7680" w:rsidRDefault="00C729F9" w:rsidP="006E7680">
      <w:pPr>
        <w:autoSpaceDE w:val="0"/>
        <w:autoSpaceDN w:val="0"/>
        <w:adjustRightInd w:val="0"/>
        <w:spacing w:before="240" w:after="0" w:line="240" w:lineRule="auto"/>
      </w:pPr>
      <w:r w:rsidRPr="006E7680">
        <w:t>Okada, Y., 1992. Internal deformation due to shear and tensile faults in a half-s</w:t>
      </w:r>
      <w:r w:rsidR="0095467B" w:rsidRPr="006E7680">
        <w:t>pace. Bulletin of The S</w:t>
      </w:r>
      <w:r w:rsidRPr="006E7680">
        <w:t>eismological Society Of America.</w:t>
      </w:r>
      <w:r w:rsidR="0095467B" w:rsidRPr="006E7680">
        <w:t xml:space="preserve"> 82, 1018–1040.</w:t>
      </w:r>
    </w:p>
    <w:p w14:paraId="7244D775" w14:textId="6E2AA668" w:rsidR="00DF0A9E" w:rsidRPr="006E7680" w:rsidRDefault="00DF0A9E" w:rsidP="006E7680">
      <w:pPr>
        <w:autoSpaceDE w:val="0"/>
        <w:autoSpaceDN w:val="0"/>
        <w:adjustRightInd w:val="0"/>
        <w:spacing w:before="240" w:after="0" w:line="240" w:lineRule="auto"/>
      </w:pPr>
      <w:r w:rsidRPr="006E7680">
        <w:lastRenderedPageBreak/>
        <w:t xml:space="preserve">Otto, C., Underschultz, J., Hennig, </w:t>
      </w:r>
      <w:r w:rsidR="00C729F9" w:rsidRPr="006E7680">
        <w:t>A. and V. Roy, 2001.</w:t>
      </w:r>
      <w:r w:rsidRPr="006E7680">
        <w:t xml:space="preserve"> Hydrodynamic analysis of flow systems and fault seal integrity in the Northwest Sh</w:t>
      </w:r>
      <w:r w:rsidR="00C729F9" w:rsidRPr="006E7680">
        <w:t xml:space="preserve">elf of Australia. APPEA Journal. 41, </w:t>
      </w:r>
      <w:r w:rsidRPr="006E7680">
        <w:t>347-365.</w:t>
      </w:r>
    </w:p>
    <w:p w14:paraId="3C35C6BE" w14:textId="7A1E20B3" w:rsidR="00D230AD" w:rsidRPr="006E7680" w:rsidRDefault="00D230AD" w:rsidP="006E7680">
      <w:pPr>
        <w:autoSpaceDE w:val="0"/>
        <w:autoSpaceDN w:val="0"/>
        <w:adjustRightInd w:val="0"/>
        <w:spacing w:before="240" w:after="0" w:line="240" w:lineRule="auto"/>
      </w:pPr>
      <w:r w:rsidRPr="006E7680">
        <w:t>Peacock, D.C.P. and Sanderson, P.</w:t>
      </w:r>
      <w:r w:rsidR="009F37CA" w:rsidRPr="006E7680">
        <w:t>, 1994.</w:t>
      </w:r>
      <w:r w:rsidRPr="006E7680">
        <w:t xml:space="preserve"> Geometry and development of relay ramps in normal fault systems. </w:t>
      </w:r>
      <w:r w:rsidR="009F37CA" w:rsidRPr="006E7680">
        <w:t xml:space="preserve">The </w:t>
      </w:r>
      <w:r w:rsidRPr="006E7680">
        <w:t>A</w:t>
      </w:r>
      <w:r w:rsidR="009F37CA" w:rsidRPr="006E7680">
        <w:t xml:space="preserve">merican Association of </w:t>
      </w:r>
      <w:r w:rsidRPr="006E7680">
        <w:t>P</w:t>
      </w:r>
      <w:r w:rsidR="009F37CA" w:rsidRPr="006E7680">
        <w:t>etroleum Geologists Bulletin.</w:t>
      </w:r>
      <w:r w:rsidRPr="006E7680">
        <w:t xml:space="preserve"> 78</w:t>
      </w:r>
      <w:r w:rsidR="009F37CA" w:rsidRPr="006E7680">
        <w:t>,</w:t>
      </w:r>
      <w:r w:rsidRPr="006E7680">
        <w:t xml:space="preserve"> (2), 147-165. </w:t>
      </w:r>
    </w:p>
    <w:p w14:paraId="59EE8D74" w14:textId="635A3B93" w:rsidR="00B07FD3" w:rsidRPr="007730E8" w:rsidRDefault="00B07FD3" w:rsidP="006E7680">
      <w:pPr>
        <w:autoSpaceDE w:val="0"/>
        <w:autoSpaceDN w:val="0"/>
        <w:adjustRightInd w:val="0"/>
        <w:spacing w:before="240" w:after="0" w:line="240" w:lineRule="auto"/>
        <w:rPr>
          <w:rFonts w:cs="Segoe UI"/>
        </w:rPr>
      </w:pPr>
      <w:r w:rsidRPr="007730E8">
        <w:t xml:space="preserve">Pini </w:t>
      </w:r>
      <w:r w:rsidR="007730E8">
        <w:rPr>
          <w:rFonts w:cs="Segoe UI"/>
        </w:rPr>
        <w:t>R., and</w:t>
      </w:r>
      <w:r w:rsidR="00410BD2" w:rsidRPr="007730E8">
        <w:rPr>
          <w:rFonts w:cs="Segoe UI"/>
        </w:rPr>
        <w:t xml:space="preserve"> Benson, S.</w:t>
      </w:r>
      <w:r w:rsidRPr="007730E8">
        <w:rPr>
          <w:rFonts w:cs="Segoe UI"/>
        </w:rPr>
        <w:t>M.</w:t>
      </w:r>
      <w:r w:rsidR="00410BD2" w:rsidRPr="007730E8">
        <w:rPr>
          <w:rFonts w:cs="Segoe UI"/>
        </w:rPr>
        <w:t>, 2013</w:t>
      </w:r>
      <w:r w:rsidRPr="007730E8">
        <w:rPr>
          <w:rFonts w:cs="Segoe UI"/>
        </w:rPr>
        <w:t xml:space="preserve">. Simultaneous determination of capillary pressure and relative permeability curves from core‐flooding experiments with various fluid pairs. </w:t>
      </w:r>
      <w:r w:rsidR="00410BD2" w:rsidRPr="007730E8">
        <w:rPr>
          <w:rFonts w:cs="Segoe UI"/>
          <w:iCs/>
        </w:rPr>
        <w:t>Water Resources Research.</w:t>
      </w:r>
      <w:r w:rsidRPr="007730E8">
        <w:rPr>
          <w:rFonts w:cs="Segoe UI"/>
          <w:iCs/>
        </w:rPr>
        <w:t xml:space="preserve"> 49</w:t>
      </w:r>
      <w:r w:rsidR="00410BD2" w:rsidRPr="007730E8">
        <w:rPr>
          <w:rFonts w:cs="Segoe UI"/>
          <w:iCs/>
        </w:rPr>
        <w:t xml:space="preserve">, </w:t>
      </w:r>
      <w:r w:rsidRPr="007730E8">
        <w:rPr>
          <w:rFonts w:cs="Segoe UI"/>
        </w:rPr>
        <w:t>(6), 3516-3530</w:t>
      </w:r>
      <w:r w:rsidR="00545746" w:rsidRPr="007730E8">
        <w:rPr>
          <w:rFonts w:cs="Segoe UI"/>
        </w:rPr>
        <w:t>.</w:t>
      </w:r>
    </w:p>
    <w:p w14:paraId="383BDF26" w14:textId="77777777" w:rsidR="007730E8" w:rsidRPr="007730E8" w:rsidRDefault="007730E8" w:rsidP="007730E8">
      <w:pPr>
        <w:autoSpaceDE w:val="0"/>
        <w:autoSpaceDN w:val="0"/>
        <w:adjustRightInd w:val="0"/>
        <w:spacing w:after="0" w:line="240" w:lineRule="auto"/>
        <w:ind w:left="720" w:hanging="720"/>
        <w:rPr>
          <w:rFonts w:cs="Segoe UI"/>
        </w:rPr>
      </w:pPr>
    </w:p>
    <w:p w14:paraId="29F1B1B9" w14:textId="20F9EF11" w:rsidR="007730E8" w:rsidRPr="007730E8" w:rsidRDefault="007730E8" w:rsidP="007730E8">
      <w:pPr>
        <w:autoSpaceDE w:val="0"/>
        <w:autoSpaceDN w:val="0"/>
        <w:adjustRightInd w:val="0"/>
        <w:spacing w:after="0" w:line="240" w:lineRule="auto"/>
        <w:ind w:left="720" w:hanging="720"/>
        <w:rPr>
          <w:rFonts w:cs="Segoe UI"/>
        </w:rPr>
      </w:pPr>
      <w:r>
        <w:rPr>
          <w:rFonts w:cs="Segoe UI"/>
        </w:rPr>
        <w:t>Pini, R., and Benson, S. M., 2015</w:t>
      </w:r>
      <w:r w:rsidRPr="007730E8">
        <w:rPr>
          <w:rFonts w:cs="Segoe UI"/>
        </w:rPr>
        <w:t>. Quantifying Hydrogeological Heterogeneity of Rocks using Core-Floods</w:t>
      </w:r>
      <w:r>
        <w:rPr>
          <w:rFonts w:cs="Segoe UI"/>
        </w:rPr>
        <w:t xml:space="preserve">. </w:t>
      </w:r>
      <w:r w:rsidRPr="007730E8">
        <w:rPr>
          <w:rFonts w:cs="Segoe UI"/>
          <w:iCs/>
        </w:rPr>
        <w:t>Pore Scale Phenomena: Frontiers in Energy and Environment</w:t>
      </w:r>
      <w:r w:rsidRPr="007730E8">
        <w:rPr>
          <w:rFonts w:cs="Segoe UI"/>
        </w:rPr>
        <w:t xml:space="preserve"> (pp. 243-261): World Scientific</w:t>
      </w:r>
      <w:r>
        <w:rPr>
          <w:rFonts w:cs="Segoe UI"/>
        </w:rPr>
        <w:t>.</w:t>
      </w:r>
      <w:r w:rsidRPr="007730E8">
        <w:rPr>
          <w:rFonts w:cs="Segoe UI"/>
        </w:rPr>
        <w:t xml:space="preserve"> </w:t>
      </w:r>
    </w:p>
    <w:p w14:paraId="4E22B14D" w14:textId="04AF0445" w:rsidR="0066745A" w:rsidRPr="006E7680" w:rsidRDefault="009F37CA" w:rsidP="006E7680">
      <w:pPr>
        <w:autoSpaceDE w:val="0"/>
        <w:autoSpaceDN w:val="0"/>
        <w:adjustRightInd w:val="0"/>
        <w:spacing w:before="240" w:after="0" w:line="240" w:lineRule="auto"/>
      </w:pPr>
      <w:r w:rsidRPr="006E7680">
        <w:t>Queensland-Water-Commission, 2012</w:t>
      </w:r>
      <w:r w:rsidR="0066745A" w:rsidRPr="006E7680">
        <w:t xml:space="preserve">. </w:t>
      </w:r>
      <w:r w:rsidRPr="006E7680">
        <w:t xml:space="preserve">Underground water impact report. </w:t>
      </w:r>
      <w:r w:rsidR="0066745A" w:rsidRPr="006E7680">
        <w:t>Brisbane: Queensland Water Commission.</w:t>
      </w:r>
      <w:r w:rsidRPr="006E7680">
        <w:t xml:space="preserve"> 224 p.</w:t>
      </w:r>
    </w:p>
    <w:p w14:paraId="3B00B098" w14:textId="059BA33D" w:rsidR="0095467B" w:rsidRPr="006E7680" w:rsidRDefault="001549A5" w:rsidP="006E7680">
      <w:pPr>
        <w:autoSpaceDE w:val="0"/>
        <w:autoSpaceDN w:val="0"/>
        <w:adjustRightInd w:val="0"/>
        <w:spacing w:before="240" w:after="0" w:line="240" w:lineRule="auto"/>
      </w:pPr>
      <w:r w:rsidRPr="006E7680">
        <w:rPr>
          <w:rFonts w:cs="AdvOT863180fb"/>
        </w:rPr>
        <w:t>Rawling, G.C. and</w:t>
      </w:r>
      <w:r w:rsidR="0095467B" w:rsidRPr="006E7680">
        <w:rPr>
          <w:rFonts w:cs="AdvOT863180fb"/>
        </w:rPr>
        <w:t xml:space="preserve"> Goodwin, L.B., 2003. Cataclasis and particulate </w:t>
      </w:r>
      <w:r w:rsidR="0095467B" w:rsidRPr="006E7680">
        <w:rPr>
          <w:rFonts w:cs="AdvOT863180fb+fb"/>
        </w:rPr>
        <w:t>fl</w:t>
      </w:r>
      <w:r w:rsidR="0095467B" w:rsidRPr="006E7680">
        <w:rPr>
          <w:rFonts w:cs="AdvOT863180fb"/>
        </w:rPr>
        <w:t>ow in faulted, poorly consolidated sediments. Journal of Structural Geology</w:t>
      </w:r>
      <w:r w:rsidR="009F37CA" w:rsidRPr="006E7680">
        <w:rPr>
          <w:rFonts w:cs="AdvOT863180fb"/>
        </w:rPr>
        <w:t>.</w:t>
      </w:r>
      <w:r w:rsidR="0095467B" w:rsidRPr="006E7680">
        <w:rPr>
          <w:rFonts w:cs="AdvOT863180fb"/>
        </w:rPr>
        <w:t xml:space="preserve"> 25,</w:t>
      </w:r>
      <w:r w:rsidR="009F37CA" w:rsidRPr="006E7680">
        <w:rPr>
          <w:rFonts w:cs="AdvOT863180fb"/>
        </w:rPr>
        <w:t xml:space="preserve"> (3),</w:t>
      </w:r>
      <w:r w:rsidR="0095467B" w:rsidRPr="006E7680">
        <w:rPr>
          <w:rFonts w:cs="AdvOT863180fb"/>
        </w:rPr>
        <w:t xml:space="preserve"> 317</w:t>
      </w:r>
      <w:r w:rsidR="0095467B" w:rsidRPr="006E7680">
        <w:rPr>
          <w:rFonts w:cs="AdvPS44A44B"/>
        </w:rPr>
        <w:t>-</w:t>
      </w:r>
      <w:r w:rsidR="0095467B" w:rsidRPr="006E7680">
        <w:rPr>
          <w:rFonts w:cs="AdvOT863180fb"/>
        </w:rPr>
        <w:t>331.</w:t>
      </w:r>
    </w:p>
    <w:p w14:paraId="24839807" w14:textId="1F0DF3FE" w:rsidR="0095467B" w:rsidRPr="006E7680" w:rsidRDefault="001549A5" w:rsidP="006E7680">
      <w:pPr>
        <w:autoSpaceDE w:val="0"/>
        <w:autoSpaceDN w:val="0"/>
        <w:adjustRightInd w:val="0"/>
        <w:spacing w:before="240" w:after="0" w:line="240" w:lineRule="auto"/>
      </w:pPr>
      <w:r w:rsidRPr="006E7680">
        <w:rPr>
          <w:rFonts w:cs="AdvOT863180fb"/>
        </w:rPr>
        <w:t>Rawling, G.C. and</w:t>
      </w:r>
      <w:r w:rsidR="0095467B" w:rsidRPr="006E7680">
        <w:rPr>
          <w:rFonts w:cs="AdvOT863180fb"/>
        </w:rPr>
        <w:t xml:space="preserve"> Goodwin, L.B., 2006. Structural record of the mechanical evolution of mixed zones in poorly lithi</w:t>
      </w:r>
      <w:r w:rsidR="0095467B" w:rsidRPr="006E7680">
        <w:rPr>
          <w:rFonts w:cs="AdvOT863180fb+fb"/>
        </w:rPr>
        <w:t>fi</w:t>
      </w:r>
      <w:r w:rsidR="0095467B" w:rsidRPr="006E7680">
        <w:rPr>
          <w:rFonts w:cs="AdvOT863180fb"/>
        </w:rPr>
        <w:t>ed sediments, Rio Grande rift, New Mexico, USA. Journal of Structural Geology</w:t>
      </w:r>
      <w:r w:rsidR="009F37CA" w:rsidRPr="006E7680">
        <w:rPr>
          <w:rFonts w:cs="AdvOT863180fb"/>
        </w:rPr>
        <w:t>.</w:t>
      </w:r>
      <w:r w:rsidR="0095467B" w:rsidRPr="006E7680">
        <w:rPr>
          <w:rFonts w:cs="AdvOT863180fb"/>
        </w:rPr>
        <w:t xml:space="preserve"> 28</w:t>
      </w:r>
      <w:r w:rsidR="009F37CA" w:rsidRPr="006E7680">
        <w:rPr>
          <w:rFonts w:cs="AdvOT863180fb"/>
        </w:rPr>
        <w:t>,</w:t>
      </w:r>
      <w:r w:rsidR="0095467B" w:rsidRPr="006E7680">
        <w:rPr>
          <w:rFonts w:cs="AdvOT863180fb"/>
        </w:rPr>
        <w:t xml:space="preserve"> (9), 1623</w:t>
      </w:r>
      <w:r w:rsidR="0095467B" w:rsidRPr="006E7680">
        <w:rPr>
          <w:rFonts w:cs="AdvPS44A44B"/>
        </w:rPr>
        <w:t>-</w:t>
      </w:r>
      <w:r w:rsidR="0095467B" w:rsidRPr="006E7680">
        <w:rPr>
          <w:rFonts w:cs="AdvOT863180fb"/>
        </w:rPr>
        <w:t>1639.</w:t>
      </w:r>
    </w:p>
    <w:p w14:paraId="676C1217" w14:textId="7EBF5E3E" w:rsidR="0095467B" w:rsidRPr="006E7680" w:rsidRDefault="0095467B" w:rsidP="006E7680">
      <w:pPr>
        <w:spacing w:before="240" w:after="0" w:line="240" w:lineRule="auto"/>
      </w:pPr>
      <w:r w:rsidRPr="006E7680">
        <w:t>Rodgers S</w:t>
      </w:r>
      <w:r w:rsidR="009F37CA" w:rsidRPr="006E7680">
        <w:t>., 1999.</w:t>
      </w:r>
      <w:r w:rsidRPr="006E7680">
        <w:t xml:space="preserve"> Discussion: ‘</w:t>
      </w:r>
      <w:r w:rsidRPr="006E7680">
        <w:rPr>
          <w:bCs/>
        </w:rPr>
        <w:t>Physical constraints on hydrocarbon leakage and trapping revisited’ by Bjørkum et al. – furthe</w:t>
      </w:r>
      <w:r w:rsidR="009F37CA" w:rsidRPr="006E7680">
        <w:rPr>
          <w:bCs/>
        </w:rPr>
        <w:t>r aspects: Petroleum Geoscience.</w:t>
      </w:r>
      <w:r w:rsidRPr="006E7680">
        <w:rPr>
          <w:bCs/>
        </w:rPr>
        <w:t xml:space="preserve"> 5, 421-423.</w:t>
      </w:r>
    </w:p>
    <w:p w14:paraId="37FEFC7C" w14:textId="2477898E" w:rsidR="0095467B" w:rsidRPr="006E7680" w:rsidRDefault="0095467B" w:rsidP="006E7680">
      <w:pPr>
        <w:spacing w:before="240" w:after="0" w:line="240" w:lineRule="auto"/>
      </w:pPr>
      <w:r w:rsidRPr="006E7680">
        <w:rPr>
          <w:lang w:val="de-DE"/>
        </w:rPr>
        <w:t>Seebeck</w:t>
      </w:r>
      <w:r w:rsidR="009F37CA" w:rsidRPr="006E7680">
        <w:rPr>
          <w:lang w:val="de-DE"/>
        </w:rPr>
        <w:t>,</w:t>
      </w:r>
      <w:r w:rsidRPr="006E7680">
        <w:rPr>
          <w:lang w:val="de-DE"/>
        </w:rPr>
        <w:t xml:space="preserve"> H</w:t>
      </w:r>
      <w:r w:rsidR="009F37CA" w:rsidRPr="006E7680">
        <w:rPr>
          <w:lang w:val="de-DE"/>
        </w:rPr>
        <w:t>.</w:t>
      </w:r>
      <w:r w:rsidRPr="006E7680">
        <w:rPr>
          <w:lang w:val="de-DE"/>
        </w:rPr>
        <w:t>, Nicol</w:t>
      </w:r>
      <w:r w:rsidR="009F37CA" w:rsidRPr="006E7680">
        <w:rPr>
          <w:lang w:val="de-DE"/>
        </w:rPr>
        <w:t>,</w:t>
      </w:r>
      <w:r w:rsidRPr="006E7680">
        <w:rPr>
          <w:lang w:val="de-DE"/>
        </w:rPr>
        <w:t xml:space="preserve"> A</w:t>
      </w:r>
      <w:r w:rsidR="009F37CA" w:rsidRPr="006E7680">
        <w:rPr>
          <w:lang w:val="de-DE"/>
        </w:rPr>
        <w:t>.</w:t>
      </w:r>
      <w:r w:rsidRPr="006E7680">
        <w:rPr>
          <w:lang w:val="de-DE"/>
        </w:rPr>
        <w:t>, Walsh</w:t>
      </w:r>
      <w:r w:rsidR="009F37CA" w:rsidRPr="006E7680">
        <w:rPr>
          <w:lang w:val="de-DE"/>
        </w:rPr>
        <w:t>,</w:t>
      </w:r>
      <w:r w:rsidRPr="006E7680">
        <w:rPr>
          <w:lang w:val="de-DE"/>
        </w:rPr>
        <w:t xml:space="preserve"> J</w:t>
      </w:r>
      <w:r w:rsidR="009F37CA" w:rsidRPr="006E7680">
        <w:rPr>
          <w:lang w:val="de-DE"/>
        </w:rPr>
        <w:t>.</w:t>
      </w:r>
      <w:r w:rsidRPr="006E7680">
        <w:rPr>
          <w:lang w:val="de-DE"/>
        </w:rPr>
        <w:t>J</w:t>
      </w:r>
      <w:r w:rsidR="009F37CA" w:rsidRPr="006E7680">
        <w:rPr>
          <w:lang w:val="de-DE"/>
        </w:rPr>
        <w:t>.</w:t>
      </w:r>
      <w:r w:rsidRPr="006E7680">
        <w:rPr>
          <w:lang w:val="de-DE"/>
        </w:rPr>
        <w:t>, Childs</w:t>
      </w:r>
      <w:r w:rsidR="009F37CA" w:rsidRPr="006E7680">
        <w:rPr>
          <w:lang w:val="de-DE"/>
        </w:rPr>
        <w:t>,</w:t>
      </w:r>
      <w:r w:rsidRPr="006E7680">
        <w:rPr>
          <w:lang w:val="de-DE"/>
        </w:rPr>
        <w:t xml:space="preserve"> C</w:t>
      </w:r>
      <w:r w:rsidR="009F37CA" w:rsidRPr="006E7680">
        <w:rPr>
          <w:lang w:val="de-DE"/>
        </w:rPr>
        <w:t>.</w:t>
      </w:r>
      <w:r w:rsidRPr="006E7680">
        <w:rPr>
          <w:lang w:val="de-DE"/>
        </w:rPr>
        <w:t>, Beetham</w:t>
      </w:r>
      <w:r w:rsidR="009F37CA" w:rsidRPr="006E7680">
        <w:rPr>
          <w:lang w:val="de-DE"/>
        </w:rPr>
        <w:t>,</w:t>
      </w:r>
      <w:r w:rsidRPr="006E7680">
        <w:rPr>
          <w:lang w:val="de-DE"/>
        </w:rPr>
        <w:t xml:space="preserve"> R</w:t>
      </w:r>
      <w:r w:rsidR="009F37CA" w:rsidRPr="006E7680">
        <w:rPr>
          <w:lang w:val="de-DE"/>
        </w:rPr>
        <w:t>.</w:t>
      </w:r>
      <w:r w:rsidRPr="006E7680">
        <w:rPr>
          <w:lang w:val="de-DE"/>
        </w:rPr>
        <w:t>D</w:t>
      </w:r>
      <w:r w:rsidR="009F37CA" w:rsidRPr="006E7680">
        <w:rPr>
          <w:lang w:val="de-DE"/>
        </w:rPr>
        <w:t xml:space="preserve">. and </w:t>
      </w:r>
      <w:r w:rsidRPr="006E7680">
        <w:rPr>
          <w:lang w:val="de-DE"/>
        </w:rPr>
        <w:t>Pettinga</w:t>
      </w:r>
      <w:r w:rsidR="009F37CA" w:rsidRPr="006E7680">
        <w:rPr>
          <w:lang w:val="de-DE"/>
        </w:rPr>
        <w:t>, J., 2014.</w:t>
      </w:r>
      <w:r w:rsidRPr="006E7680">
        <w:rPr>
          <w:lang w:val="de-DE"/>
        </w:rPr>
        <w:t xml:space="preserve"> Fluid flow in fault zones from an active rift: Journal of Structural Geology, 62, 52-64.</w:t>
      </w:r>
    </w:p>
    <w:p w14:paraId="706F9D7A" w14:textId="5CB664DB" w:rsidR="006852AE" w:rsidRPr="006E7680" w:rsidRDefault="006852AE" w:rsidP="006E7680">
      <w:pPr>
        <w:spacing w:before="240" w:after="0" w:line="240" w:lineRule="auto"/>
        <w:rPr>
          <w:lang w:val="de-DE"/>
        </w:rPr>
      </w:pPr>
      <w:r w:rsidRPr="006E7680">
        <w:rPr>
          <w:lang w:val="de-DE"/>
        </w:rPr>
        <w:t>Sorkhabi, R.</w:t>
      </w:r>
      <w:r w:rsidR="009F37CA" w:rsidRPr="006E7680">
        <w:rPr>
          <w:lang w:val="de-DE"/>
        </w:rPr>
        <w:t>, 2013.</w:t>
      </w:r>
      <w:r w:rsidRPr="006E7680">
        <w:rPr>
          <w:lang w:val="de-DE"/>
        </w:rPr>
        <w:t xml:space="preserve"> Kno</w:t>
      </w:r>
      <w:r w:rsidR="009F37CA" w:rsidRPr="006E7680">
        <w:rPr>
          <w:lang w:val="de-DE"/>
        </w:rPr>
        <w:t>w you</w:t>
      </w:r>
      <w:r w:rsidR="006E7680" w:rsidRPr="006E7680">
        <w:rPr>
          <w:lang w:val="de-DE"/>
        </w:rPr>
        <w:t>r</w:t>
      </w:r>
      <w:r w:rsidR="009F37CA" w:rsidRPr="006E7680">
        <w:rPr>
          <w:lang w:val="de-DE"/>
        </w:rPr>
        <w:t xml:space="preserve"> faults! Part II. GeoExPro.</w:t>
      </w:r>
      <w:r w:rsidRPr="006E7680">
        <w:rPr>
          <w:lang w:val="de-DE"/>
        </w:rPr>
        <w:t xml:space="preserve"> 9</w:t>
      </w:r>
      <w:r w:rsidR="009F37CA" w:rsidRPr="006E7680">
        <w:rPr>
          <w:lang w:val="de-DE"/>
        </w:rPr>
        <w:t>,</w:t>
      </w:r>
      <w:r w:rsidRPr="006E7680">
        <w:rPr>
          <w:lang w:val="de-DE"/>
        </w:rPr>
        <w:t xml:space="preserve"> (6), 72-86. </w:t>
      </w:r>
    </w:p>
    <w:p w14:paraId="4C28EBC0" w14:textId="10844B59" w:rsidR="0095467B" w:rsidRPr="006E7680" w:rsidRDefault="009F37CA" w:rsidP="006E7680">
      <w:pPr>
        <w:spacing w:before="240" w:after="0" w:line="240" w:lineRule="auto"/>
      </w:pPr>
      <w:r w:rsidRPr="006E7680">
        <w:rPr>
          <w:lang w:val="de-DE"/>
        </w:rPr>
        <w:t xml:space="preserve">Sperrevik, S., Gillespie, P.A., Fisher, Q.J., Halvorsen, T. and </w:t>
      </w:r>
      <w:r w:rsidR="0095467B" w:rsidRPr="006E7680">
        <w:rPr>
          <w:lang w:val="de-DE"/>
        </w:rPr>
        <w:t xml:space="preserve">Knipe, </w:t>
      </w:r>
      <w:r w:rsidRPr="006E7680">
        <w:rPr>
          <w:lang w:val="de-DE"/>
        </w:rPr>
        <w:t>R.J., 2002.</w:t>
      </w:r>
      <w:r w:rsidR="0095467B" w:rsidRPr="006E7680">
        <w:rPr>
          <w:lang w:val="de-DE"/>
        </w:rPr>
        <w:t xml:space="preserve"> </w:t>
      </w:r>
      <w:r w:rsidR="0095467B" w:rsidRPr="006E7680">
        <w:t xml:space="preserve">Empirical estimation of fault rock properties. </w:t>
      </w:r>
      <w:r w:rsidR="0095467B" w:rsidRPr="006E7680">
        <w:rPr>
          <w:i/>
          <w:iCs/>
        </w:rPr>
        <w:t>In</w:t>
      </w:r>
      <w:r w:rsidRPr="006E7680">
        <w:t>: Koestler, A.</w:t>
      </w:r>
      <w:r w:rsidR="0095467B" w:rsidRPr="006E7680">
        <w:t xml:space="preserve">G. and R. Hunsdale, (eds). </w:t>
      </w:r>
      <w:r w:rsidR="0095467B" w:rsidRPr="006E7680">
        <w:rPr>
          <w:iCs/>
        </w:rPr>
        <w:t>Hydrocarbon Seal Quantification</w:t>
      </w:r>
      <w:r w:rsidR="0095467B" w:rsidRPr="006E7680">
        <w:t>,</w:t>
      </w:r>
      <w:r w:rsidRPr="006E7680">
        <w:t xml:space="preserve"> NPF Special Publication. 11, </w:t>
      </w:r>
      <w:r w:rsidR="0095467B" w:rsidRPr="006E7680">
        <w:t>109-125. Elsevier, Amsterdam.</w:t>
      </w:r>
    </w:p>
    <w:p w14:paraId="263E49BA" w14:textId="295F10C6" w:rsidR="00B21953" w:rsidRPr="006E7680" w:rsidRDefault="00B21953" w:rsidP="006E7680">
      <w:pPr>
        <w:spacing w:before="240" w:after="0" w:line="240" w:lineRule="auto"/>
      </w:pPr>
      <w:r w:rsidRPr="006E7680">
        <w:t>Talukder, A.R., Ross, A., Crooke, E.</w:t>
      </w:r>
      <w:r w:rsidR="004F4884" w:rsidRPr="006E7680">
        <w:t>,</w:t>
      </w:r>
      <w:r w:rsidRPr="006E7680">
        <w:t xml:space="preserve"> Stalvies, C., Trefry, C. and Qi, X., 2013. Natural hydrocarbon seepage on the continental slope to the east of Mississippi Canyon in the northern Gulf of Mexico. Geo</w:t>
      </w:r>
      <w:r w:rsidR="009F37CA" w:rsidRPr="006E7680">
        <w:t>chemistry Geophysics Geosystems. 14, (</w:t>
      </w:r>
      <w:r w:rsidRPr="006E7680">
        <w:t>6</w:t>
      </w:r>
      <w:r w:rsidR="009F37CA" w:rsidRPr="006E7680">
        <w:t>)</w:t>
      </w:r>
      <w:r w:rsidRPr="006E7680">
        <w:t>, 1940-1956.</w:t>
      </w:r>
    </w:p>
    <w:p w14:paraId="58E90242" w14:textId="498CDD3B" w:rsidR="0095467B" w:rsidRPr="006E7680" w:rsidRDefault="0095467B" w:rsidP="006E7680">
      <w:pPr>
        <w:spacing w:before="240" w:after="0" w:line="240" w:lineRule="auto"/>
      </w:pPr>
      <w:r w:rsidRPr="006E7680">
        <w:t>Teige</w:t>
      </w:r>
      <w:r w:rsidR="009F37CA" w:rsidRPr="006E7680">
        <w:t>,</w:t>
      </w:r>
      <w:r w:rsidRPr="006E7680">
        <w:t xml:space="preserve"> G</w:t>
      </w:r>
      <w:r w:rsidR="009F37CA" w:rsidRPr="006E7680">
        <w:t>.</w:t>
      </w:r>
      <w:r w:rsidRPr="006E7680">
        <w:t>M</w:t>
      </w:r>
      <w:r w:rsidR="009F37CA" w:rsidRPr="006E7680">
        <w:t>.</w:t>
      </w:r>
      <w:r w:rsidRPr="006E7680">
        <w:t>G</w:t>
      </w:r>
      <w:r w:rsidR="009F37CA" w:rsidRPr="006E7680">
        <w:t>.</w:t>
      </w:r>
      <w:r w:rsidRPr="006E7680">
        <w:t>, Hermanrud</w:t>
      </w:r>
      <w:r w:rsidR="009F37CA" w:rsidRPr="006E7680">
        <w:t>,</w:t>
      </w:r>
      <w:r w:rsidRPr="006E7680">
        <w:t xml:space="preserve"> C</w:t>
      </w:r>
      <w:r w:rsidR="009F37CA" w:rsidRPr="006E7680">
        <w:t>.</w:t>
      </w:r>
      <w:r w:rsidRPr="006E7680">
        <w:t>, Thomas</w:t>
      </w:r>
      <w:r w:rsidR="009F37CA" w:rsidRPr="006E7680">
        <w:t>,</w:t>
      </w:r>
      <w:r w:rsidRPr="006E7680">
        <w:t xml:space="preserve"> W</w:t>
      </w:r>
      <w:r w:rsidR="009F37CA" w:rsidRPr="006E7680">
        <w:t>.</w:t>
      </w:r>
      <w:r w:rsidRPr="006E7680">
        <w:t>H</w:t>
      </w:r>
      <w:r w:rsidR="009F37CA" w:rsidRPr="006E7680">
        <w:t>.</w:t>
      </w:r>
      <w:r w:rsidRPr="006E7680">
        <w:t>, Wilson</w:t>
      </w:r>
      <w:r w:rsidR="009F37CA" w:rsidRPr="006E7680">
        <w:t>,</w:t>
      </w:r>
      <w:r w:rsidRPr="006E7680">
        <w:t xml:space="preserve"> O</w:t>
      </w:r>
      <w:r w:rsidR="009F37CA" w:rsidRPr="006E7680">
        <w:t>.</w:t>
      </w:r>
      <w:r w:rsidRPr="006E7680">
        <w:t>B</w:t>
      </w:r>
      <w:r w:rsidR="009F37CA" w:rsidRPr="006E7680">
        <w:t>. and</w:t>
      </w:r>
      <w:r w:rsidRPr="006E7680">
        <w:t xml:space="preserve"> Bolas </w:t>
      </w:r>
      <w:r w:rsidR="009F37CA" w:rsidRPr="006E7680">
        <w:t>H.M.N., 2005.</w:t>
      </w:r>
      <w:r w:rsidRPr="006E7680">
        <w:t xml:space="preserve"> Capillary resistance and trapping of hydrocarbons: a laboratory experiment: Petroleum Geoscience, 11, 125-129.</w:t>
      </w:r>
    </w:p>
    <w:p w14:paraId="7E089230" w14:textId="5E6C2D1B" w:rsidR="0095467B" w:rsidRPr="006E7680" w:rsidRDefault="0095467B" w:rsidP="006E7680">
      <w:pPr>
        <w:spacing w:before="240" w:after="0" w:line="240" w:lineRule="auto"/>
      </w:pPr>
      <w:r w:rsidRPr="006E7680">
        <w:rPr>
          <w:rFonts w:cs="Times New Roman"/>
        </w:rPr>
        <w:t>Teige</w:t>
      </w:r>
      <w:r w:rsidR="009F37CA" w:rsidRPr="006E7680">
        <w:rPr>
          <w:rFonts w:cs="Times New Roman"/>
        </w:rPr>
        <w:t>,</w:t>
      </w:r>
      <w:r w:rsidRPr="006E7680">
        <w:rPr>
          <w:rFonts w:cs="Times New Roman"/>
        </w:rPr>
        <w:t xml:space="preserve"> G</w:t>
      </w:r>
      <w:r w:rsidR="009F37CA" w:rsidRPr="006E7680">
        <w:rPr>
          <w:rFonts w:cs="Times New Roman"/>
        </w:rPr>
        <w:t>.</w:t>
      </w:r>
      <w:r w:rsidRPr="006E7680">
        <w:rPr>
          <w:rFonts w:cs="Times New Roman"/>
        </w:rPr>
        <w:t>M</w:t>
      </w:r>
      <w:r w:rsidR="009F37CA" w:rsidRPr="006E7680">
        <w:rPr>
          <w:rFonts w:cs="Times New Roman"/>
        </w:rPr>
        <w:t>.</w:t>
      </w:r>
      <w:r w:rsidRPr="006E7680">
        <w:rPr>
          <w:rFonts w:cs="Times New Roman"/>
        </w:rPr>
        <w:t>G</w:t>
      </w:r>
      <w:r w:rsidR="009F37CA" w:rsidRPr="006E7680">
        <w:rPr>
          <w:rFonts w:cs="Times New Roman"/>
        </w:rPr>
        <w:t>.</w:t>
      </w:r>
      <w:r w:rsidRPr="006E7680">
        <w:rPr>
          <w:rFonts w:cs="Times New Roman"/>
        </w:rPr>
        <w:t>, Thomas</w:t>
      </w:r>
      <w:r w:rsidR="009F37CA" w:rsidRPr="006E7680">
        <w:rPr>
          <w:rFonts w:cs="Times New Roman"/>
        </w:rPr>
        <w:t>,</w:t>
      </w:r>
      <w:r w:rsidRPr="006E7680">
        <w:rPr>
          <w:rFonts w:cs="Times New Roman"/>
        </w:rPr>
        <w:t xml:space="preserve"> W</w:t>
      </w:r>
      <w:r w:rsidR="009F37CA" w:rsidRPr="006E7680">
        <w:rPr>
          <w:rFonts w:cs="Times New Roman"/>
        </w:rPr>
        <w:t>.</w:t>
      </w:r>
      <w:r w:rsidRPr="006E7680">
        <w:rPr>
          <w:rFonts w:cs="Times New Roman"/>
        </w:rPr>
        <w:t>L</w:t>
      </w:r>
      <w:r w:rsidR="009F37CA" w:rsidRPr="006E7680">
        <w:rPr>
          <w:rFonts w:cs="Times New Roman"/>
        </w:rPr>
        <w:t>.</w:t>
      </w:r>
      <w:r w:rsidRPr="006E7680">
        <w:rPr>
          <w:rFonts w:cs="Times New Roman"/>
        </w:rPr>
        <w:t>H</w:t>
      </w:r>
      <w:r w:rsidR="009F37CA" w:rsidRPr="006E7680">
        <w:rPr>
          <w:rFonts w:cs="Times New Roman"/>
        </w:rPr>
        <w:t>.</w:t>
      </w:r>
      <w:r w:rsidRPr="006E7680">
        <w:rPr>
          <w:rFonts w:cs="Times New Roman"/>
        </w:rPr>
        <w:t>, Hermanrud</w:t>
      </w:r>
      <w:r w:rsidR="009F37CA" w:rsidRPr="006E7680">
        <w:rPr>
          <w:rFonts w:cs="Times New Roman"/>
        </w:rPr>
        <w:t>,</w:t>
      </w:r>
      <w:r w:rsidRPr="006E7680">
        <w:rPr>
          <w:rFonts w:cs="Times New Roman"/>
        </w:rPr>
        <w:t xml:space="preserve"> C</w:t>
      </w:r>
      <w:r w:rsidR="009F37CA" w:rsidRPr="006E7680">
        <w:rPr>
          <w:rFonts w:cs="Times New Roman"/>
        </w:rPr>
        <w:t>.</w:t>
      </w:r>
      <w:r w:rsidRPr="006E7680">
        <w:rPr>
          <w:rFonts w:cs="Times New Roman"/>
        </w:rPr>
        <w:t>, Øren</w:t>
      </w:r>
      <w:r w:rsidR="009F37CA" w:rsidRPr="006E7680">
        <w:rPr>
          <w:rFonts w:cs="Times New Roman"/>
        </w:rPr>
        <w:t>,</w:t>
      </w:r>
      <w:r w:rsidRPr="006E7680">
        <w:rPr>
          <w:rFonts w:cs="Times New Roman"/>
        </w:rPr>
        <w:t xml:space="preserve"> P</w:t>
      </w:r>
      <w:r w:rsidR="009F37CA" w:rsidRPr="006E7680">
        <w:rPr>
          <w:rFonts w:cs="Times New Roman"/>
        </w:rPr>
        <w:t>.</w:t>
      </w:r>
      <w:r w:rsidRPr="006E7680">
        <w:rPr>
          <w:rFonts w:cs="Times New Roman"/>
        </w:rPr>
        <w:t>, Rennan</w:t>
      </w:r>
      <w:r w:rsidR="009F37CA" w:rsidRPr="006E7680">
        <w:rPr>
          <w:rFonts w:cs="Times New Roman"/>
        </w:rPr>
        <w:t>,</w:t>
      </w:r>
      <w:r w:rsidRPr="006E7680">
        <w:rPr>
          <w:rFonts w:cs="Times New Roman"/>
        </w:rPr>
        <w:t xml:space="preserve"> L</w:t>
      </w:r>
      <w:r w:rsidR="009F37CA" w:rsidRPr="006E7680">
        <w:rPr>
          <w:rFonts w:cs="Times New Roman"/>
        </w:rPr>
        <w:t>.</w:t>
      </w:r>
      <w:r w:rsidRPr="006E7680">
        <w:rPr>
          <w:rFonts w:cs="Times New Roman"/>
        </w:rPr>
        <w:t>, Wilson</w:t>
      </w:r>
      <w:r w:rsidR="009F37CA" w:rsidRPr="006E7680">
        <w:rPr>
          <w:rFonts w:cs="Times New Roman"/>
        </w:rPr>
        <w:t>,</w:t>
      </w:r>
      <w:r w:rsidRPr="006E7680">
        <w:rPr>
          <w:rFonts w:cs="Times New Roman"/>
        </w:rPr>
        <w:t xml:space="preserve"> O</w:t>
      </w:r>
      <w:r w:rsidR="009F37CA" w:rsidRPr="006E7680">
        <w:rPr>
          <w:rFonts w:cs="Times New Roman"/>
        </w:rPr>
        <w:t>.</w:t>
      </w:r>
      <w:r w:rsidRPr="006E7680">
        <w:rPr>
          <w:rFonts w:cs="Times New Roman"/>
        </w:rPr>
        <w:t>B</w:t>
      </w:r>
      <w:r w:rsidR="009F37CA" w:rsidRPr="006E7680">
        <w:rPr>
          <w:rFonts w:cs="Times New Roman"/>
        </w:rPr>
        <w:t>. and</w:t>
      </w:r>
      <w:r w:rsidRPr="006E7680">
        <w:rPr>
          <w:rFonts w:cs="Times New Roman"/>
        </w:rPr>
        <w:t xml:space="preserve"> Bolås </w:t>
      </w:r>
      <w:r w:rsidR="009F37CA" w:rsidRPr="006E7680">
        <w:rPr>
          <w:rFonts w:cs="Times New Roman"/>
        </w:rPr>
        <w:t>H.M.N., 2006.</w:t>
      </w:r>
      <w:r w:rsidRPr="006E7680">
        <w:rPr>
          <w:rFonts w:cs="Times New Roman"/>
        </w:rPr>
        <w:t xml:space="preserve"> Relative permeability to wetting-p</w:t>
      </w:r>
      <w:r w:rsidR="009F37CA" w:rsidRPr="006E7680">
        <w:rPr>
          <w:rFonts w:cs="Times New Roman"/>
        </w:rPr>
        <w:t>hase water in oil reservoirs. Journal of</w:t>
      </w:r>
      <w:r w:rsidRPr="006E7680">
        <w:rPr>
          <w:rFonts w:cs="Times New Roman"/>
        </w:rPr>
        <w:t xml:space="preserve"> Geophys</w:t>
      </w:r>
      <w:r w:rsidR="009F37CA" w:rsidRPr="006E7680">
        <w:rPr>
          <w:rFonts w:cs="Times New Roman"/>
        </w:rPr>
        <w:t>ical</w:t>
      </w:r>
      <w:r w:rsidRPr="006E7680">
        <w:rPr>
          <w:rFonts w:cs="Times New Roman"/>
        </w:rPr>
        <w:t xml:space="preserve"> Res</w:t>
      </w:r>
      <w:r w:rsidR="009F37CA" w:rsidRPr="006E7680">
        <w:rPr>
          <w:rFonts w:cs="Times New Roman"/>
        </w:rPr>
        <w:t>earch.</w:t>
      </w:r>
      <w:r w:rsidRPr="006E7680">
        <w:rPr>
          <w:rFonts w:cs="Times New Roman"/>
        </w:rPr>
        <w:t> </w:t>
      </w:r>
      <w:r w:rsidR="009F37CA" w:rsidRPr="006E7680">
        <w:rPr>
          <w:rStyle w:val="volno1"/>
          <w:rFonts w:cs="Times New Roman"/>
          <w:iCs/>
        </w:rPr>
        <w:t>111, (</w:t>
      </w:r>
      <w:r w:rsidRPr="006E7680">
        <w:rPr>
          <w:rStyle w:val="volno1"/>
          <w:rFonts w:cs="Times New Roman"/>
          <w:iCs/>
        </w:rPr>
        <w:t>B12</w:t>
      </w:r>
      <w:r w:rsidR="009F37CA" w:rsidRPr="006E7680">
        <w:rPr>
          <w:rStyle w:val="volno1"/>
          <w:rFonts w:cs="Times New Roman"/>
          <w:iCs/>
        </w:rPr>
        <w:t>)</w:t>
      </w:r>
      <w:r w:rsidRPr="006E7680">
        <w:rPr>
          <w:rStyle w:val="volno1"/>
          <w:rFonts w:cs="Times New Roman"/>
          <w:iCs/>
        </w:rPr>
        <w:t>, B12204.</w:t>
      </w:r>
    </w:p>
    <w:p w14:paraId="29DD3114" w14:textId="38FDD6CD" w:rsidR="0095467B" w:rsidRPr="006E7680" w:rsidRDefault="00686509" w:rsidP="006E7680">
      <w:pPr>
        <w:spacing w:before="240" w:after="0" w:line="240" w:lineRule="auto"/>
      </w:pPr>
      <w:r w:rsidRPr="006E7680">
        <w:t>Underschultz, J., 2005.</w:t>
      </w:r>
      <w:r w:rsidR="0095467B" w:rsidRPr="006E7680">
        <w:t xml:space="preserve"> Pressure distribution in a reservoir affected by capillarity and hydrodynamic drive: Griffin Fie</w:t>
      </w:r>
      <w:r w:rsidRPr="006E7680">
        <w:t>ld, North West Shelf, Australia.</w:t>
      </w:r>
      <w:r w:rsidR="0095467B" w:rsidRPr="006E7680">
        <w:t xml:space="preserve"> </w:t>
      </w:r>
      <w:r w:rsidR="0095467B" w:rsidRPr="006E7680">
        <w:rPr>
          <w:iCs/>
        </w:rPr>
        <w:t>Geofluids Journa</w:t>
      </w:r>
      <w:r w:rsidRPr="006E7680">
        <w:t xml:space="preserve">l. 5, </w:t>
      </w:r>
      <w:r w:rsidR="0095467B" w:rsidRPr="006E7680">
        <w:t>221-235.</w:t>
      </w:r>
    </w:p>
    <w:p w14:paraId="25B086A3" w14:textId="3A59A7D1" w:rsidR="0095467B" w:rsidRPr="006E7680" w:rsidRDefault="001549A5" w:rsidP="006E7680">
      <w:pPr>
        <w:spacing w:before="240" w:after="0" w:line="240" w:lineRule="auto"/>
      </w:pPr>
      <w:r w:rsidRPr="006E7680">
        <w:t>Underschultz, J.</w:t>
      </w:r>
      <w:r w:rsidR="00686509" w:rsidRPr="006E7680">
        <w:t>R., 2007.</w:t>
      </w:r>
      <w:r w:rsidR="0095467B" w:rsidRPr="006E7680">
        <w:t xml:space="preserve"> Hydrodynamics and</w:t>
      </w:r>
      <w:r w:rsidR="00686509" w:rsidRPr="006E7680">
        <w:t xml:space="preserve"> membrane seal capacity.</w:t>
      </w:r>
      <w:r w:rsidR="0095467B" w:rsidRPr="006E7680">
        <w:t xml:space="preserve"> </w:t>
      </w:r>
      <w:r w:rsidR="00686509" w:rsidRPr="006E7680">
        <w:rPr>
          <w:iCs/>
        </w:rPr>
        <w:t>Geofluids Journal. </w:t>
      </w:r>
      <w:r w:rsidR="00686509" w:rsidRPr="006E7680">
        <w:t xml:space="preserve">7, </w:t>
      </w:r>
      <w:r w:rsidR="0095467B" w:rsidRPr="006E7680">
        <w:t>148-158.</w:t>
      </w:r>
    </w:p>
    <w:p w14:paraId="0029E1CD" w14:textId="60B8801A" w:rsidR="0095467B" w:rsidRPr="006E7680" w:rsidRDefault="0095467B" w:rsidP="006E7680">
      <w:pPr>
        <w:autoSpaceDE w:val="0"/>
        <w:autoSpaceDN w:val="0"/>
        <w:adjustRightInd w:val="0"/>
        <w:spacing w:before="240" w:after="0" w:line="240" w:lineRule="auto"/>
      </w:pPr>
      <w:r w:rsidRPr="006E7680">
        <w:rPr>
          <w:lang w:val="nb-NO"/>
        </w:rPr>
        <w:t>Underschultz, J.R.</w:t>
      </w:r>
      <w:r w:rsidR="00686509" w:rsidRPr="006E7680">
        <w:rPr>
          <w:lang w:val="nb-NO"/>
        </w:rPr>
        <w:t>,</w:t>
      </w:r>
      <w:r w:rsidRPr="006E7680">
        <w:rPr>
          <w:lang w:val="nb-NO"/>
        </w:rPr>
        <w:t xml:space="preserve"> Ellis, G.</w:t>
      </w:r>
      <w:r w:rsidR="00686509" w:rsidRPr="006E7680">
        <w:rPr>
          <w:lang w:val="nb-NO"/>
        </w:rPr>
        <w:t>,</w:t>
      </w:r>
      <w:r w:rsidRPr="006E7680">
        <w:rPr>
          <w:lang w:val="nb-NO"/>
        </w:rPr>
        <w:t xml:space="preserve"> Hennig, A.</w:t>
      </w:r>
      <w:r w:rsidR="00686509" w:rsidRPr="006E7680">
        <w:rPr>
          <w:lang w:val="nb-NO"/>
        </w:rPr>
        <w:t>,</w:t>
      </w:r>
      <w:r w:rsidRPr="006E7680">
        <w:rPr>
          <w:lang w:val="nb-NO"/>
        </w:rPr>
        <w:t xml:space="preserve"> Bekele E. and Otto. C.</w:t>
      </w:r>
      <w:r w:rsidR="00686509" w:rsidRPr="006E7680">
        <w:rPr>
          <w:lang w:val="nb-NO"/>
        </w:rPr>
        <w:t>,</w:t>
      </w:r>
      <w:r w:rsidRPr="006E7680">
        <w:rPr>
          <w:lang w:val="nb-NO"/>
        </w:rPr>
        <w:t xml:space="preserve"> 2002. </w:t>
      </w:r>
      <w:r w:rsidR="00686509" w:rsidRPr="006E7680">
        <w:t>Estimating formation water salinity from wireline pressure data, case s</w:t>
      </w:r>
      <w:r w:rsidRPr="006E7680">
        <w:t>tudy in the Vulcan Sub-Basin.</w:t>
      </w:r>
      <w:r w:rsidR="00686509" w:rsidRPr="006E7680">
        <w:t xml:space="preserve"> Petroleum Exploration Society of Australia. The sedimentary basins of Western Australia III: proceedings of the</w:t>
      </w:r>
      <w:r w:rsidRPr="006E7680">
        <w:t xml:space="preserve"> Western Australian Basins</w:t>
      </w:r>
      <w:r w:rsidR="00686509" w:rsidRPr="006E7680">
        <w:t xml:space="preserve"> Symposium (WABS) III. </w:t>
      </w:r>
      <w:r w:rsidRPr="006E7680">
        <w:t>285-303.</w:t>
      </w:r>
    </w:p>
    <w:p w14:paraId="61C82CFE" w14:textId="12BBE8E5" w:rsidR="0095467B" w:rsidRPr="006E7680" w:rsidRDefault="0095467B" w:rsidP="006E7680">
      <w:pPr>
        <w:autoSpaceDE w:val="0"/>
        <w:autoSpaceDN w:val="0"/>
        <w:adjustRightInd w:val="0"/>
        <w:spacing w:before="240" w:after="0" w:line="240" w:lineRule="auto"/>
        <w:rPr>
          <w:rFonts w:cs="Times New Roman"/>
        </w:rPr>
      </w:pPr>
      <w:r w:rsidRPr="006E7680">
        <w:rPr>
          <w:rFonts w:cs="Times New Roman"/>
          <w:bCs/>
        </w:rPr>
        <w:t>Underschultz, J.R</w:t>
      </w:r>
      <w:r w:rsidRPr="006E7680">
        <w:rPr>
          <w:rFonts w:cs="Times New Roman"/>
        </w:rPr>
        <w:t>., Otto C.J. and Cruse</w:t>
      </w:r>
      <w:r w:rsidR="00686509" w:rsidRPr="006E7680">
        <w:rPr>
          <w:rFonts w:cs="Times New Roman"/>
        </w:rPr>
        <w:t>,</w:t>
      </w:r>
      <w:r w:rsidRPr="006E7680">
        <w:rPr>
          <w:rFonts w:cs="Times New Roman"/>
        </w:rPr>
        <w:t xml:space="preserve"> T.</w:t>
      </w:r>
      <w:r w:rsidR="00686509" w:rsidRPr="006E7680">
        <w:rPr>
          <w:rFonts w:cs="Times New Roman"/>
        </w:rPr>
        <w:t>, 2003</w:t>
      </w:r>
      <w:r w:rsidRPr="006E7680">
        <w:rPr>
          <w:rFonts w:cs="Times New Roman"/>
        </w:rPr>
        <w:t xml:space="preserve">. Hydrodynamics to assess hydrocarbon migration in faulted strata - methodology and a case study from the Northwest Shelf of Australia. </w:t>
      </w:r>
      <w:r w:rsidRPr="006E7680">
        <w:rPr>
          <w:rFonts w:cs="Times New Roman"/>
          <w:iCs/>
        </w:rPr>
        <w:t>Journal of Geochemical Exploration</w:t>
      </w:r>
      <w:r w:rsidR="00686509" w:rsidRPr="006E7680">
        <w:rPr>
          <w:rFonts w:cs="Times New Roman"/>
        </w:rPr>
        <w:t xml:space="preserve">. 78-79, </w:t>
      </w:r>
      <w:r w:rsidRPr="006E7680">
        <w:rPr>
          <w:rFonts w:cs="Times New Roman"/>
        </w:rPr>
        <w:t>469-474.</w:t>
      </w:r>
    </w:p>
    <w:p w14:paraId="5772FCF7" w14:textId="0B8EC7D8" w:rsidR="0095467B" w:rsidRPr="006E7680" w:rsidRDefault="00D17862" w:rsidP="006E7680">
      <w:pPr>
        <w:pStyle w:val="BodyTextIndent"/>
        <w:spacing w:before="240" w:after="0"/>
        <w:ind w:left="0"/>
        <w:rPr>
          <w:rFonts w:asciiTheme="minorHAnsi" w:hAnsiTheme="minorHAnsi"/>
          <w:sz w:val="20"/>
          <w:szCs w:val="20"/>
        </w:rPr>
      </w:pPr>
      <w:r w:rsidRPr="006E7680">
        <w:rPr>
          <w:rFonts w:asciiTheme="minorHAnsi" w:hAnsiTheme="minorHAnsi"/>
          <w:sz w:val="20"/>
          <w:szCs w:val="20"/>
        </w:rPr>
        <w:lastRenderedPageBreak/>
        <w:t>Underschultz, J.R., Otto, C.</w:t>
      </w:r>
      <w:r w:rsidR="0095467B" w:rsidRPr="006E7680">
        <w:rPr>
          <w:rFonts w:asciiTheme="minorHAnsi" w:hAnsiTheme="minorHAnsi"/>
          <w:sz w:val="20"/>
          <w:szCs w:val="20"/>
        </w:rPr>
        <w:t>J. and Bartlett,</w:t>
      </w:r>
      <w:r w:rsidRPr="006E7680">
        <w:rPr>
          <w:rFonts w:asciiTheme="minorHAnsi" w:hAnsiTheme="minorHAnsi"/>
          <w:sz w:val="20"/>
          <w:szCs w:val="20"/>
        </w:rPr>
        <w:t xml:space="preserve"> R., 2005. Formation fluids in faulted aquifers; Examples from the f</w:t>
      </w:r>
      <w:r w:rsidR="0095467B" w:rsidRPr="006E7680">
        <w:rPr>
          <w:rFonts w:asciiTheme="minorHAnsi" w:hAnsiTheme="minorHAnsi"/>
          <w:sz w:val="20"/>
          <w:szCs w:val="20"/>
        </w:rPr>
        <w:t xml:space="preserve">oothills of Western Canada and the North West Shelf of Australia. In (P, Boult and J. Kaldi, eds.) Evaluating fault and cap rock seals, </w:t>
      </w:r>
      <w:r w:rsidRPr="006E7680">
        <w:rPr>
          <w:rFonts w:asciiTheme="minorHAnsi" w:hAnsiTheme="minorHAnsi"/>
          <w:sz w:val="20"/>
          <w:szCs w:val="20"/>
        </w:rPr>
        <w:t xml:space="preserve">The </w:t>
      </w:r>
      <w:r w:rsidR="0095467B" w:rsidRPr="006E7680">
        <w:rPr>
          <w:rFonts w:asciiTheme="minorHAnsi" w:hAnsiTheme="minorHAnsi"/>
          <w:sz w:val="20"/>
          <w:szCs w:val="20"/>
        </w:rPr>
        <w:t>A</w:t>
      </w:r>
      <w:r w:rsidRPr="006E7680">
        <w:rPr>
          <w:rFonts w:asciiTheme="minorHAnsi" w:hAnsiTheme="minorHAnsi"/>
          <w:sz w:val="20"/>
          <w:szCs w:val="20"/>
        </w:rPr>
        <w:t xml:space="preserve">merican </w:t>
      </w:r>
      <w:r w:rsidR="0095467B" w:rsidRPr="006E7680">
        <w:rPr>
          <w:rFonts w:asciiTheme="minorHAnsi" w:hAnsiTheme="minorHAnsi"/>
          <w:sz w:val="20"/>
          <w:szCs w:val="20"/>
        </w:rPr>
        <w:t>A</w:t>
      </w:r>
      <w:r w:rsidRPr="006E7680">
        <w:rPr>
          <w:rFonts w:asciiTheme="minorHAnsi" w:hAnsiTheme="minorHAnsi"/>
          <w:sz w:val="20"/>
          <w:szCs w:val="20"/>
        </w:rPr>
        <w:t xml:space="preserve">ssociation of </w:t>
      </w:r>
      <w:r w:rsidR="0095467B" w:rsidRPr="006E7680">
        <w:rPr>
          <w:rFonts w:asciiTheme="minorHAnsi" w:hAnsiTheme="minorHAnsi"/>
          <w:sz w:val="20"/>
          <w:szCs w:val="20"/>
        </w:rPr>
        <w:t>P</w:t>
      </w:r>
      <w:r w:rsidRPr="006E7680">
        <w:rPr>
          <w:rFonts w:asciiTheme="minorHAnsi" w:hAnsiTheme="minorHAnsi"/>
          <w:sz w:val="20"/>
          <w:szCs w:val="20"/>
        </w:rPr>
        <w:t xml:space="preserve">etroleum </w:t>
      </w:r>
      <w:r w:rsidR="0095467B" w:rsidRPr="006E7680">
        <w:rPr>
          <w:rFonts w:asciiTheme="minorHAnsi" w:hAnsiTheme="minorHAnsi"/>
          <w:sz w:val="20"/>
          <w:szCs w:val="20"/>
        </w:rPr>
        <w:t>G</w:t>
      </w:r>
      <w:r w:rsidRPr="006E7680">
        <w:rPr>
          <w:rFonts w:asciiTheme="minorHAnsi" w:hAnsiTheme="minorHAnsi"/>
          <w:sz w:val="20"/>
          <w:szCs w:val="20"/>
        </w:rPr>
        <w:t xml:space="preserve">eologists Hedberg Series. No 2, </w:t>
      </w:r>
      <w:r w:rsidR="0095467B" w:rsidRPr="006E7680">
        <w:rPr>
          <w:rFonts w:asciiTheme="minorHAnsi" w:hAnsiTheme="minorHAnsi"/>
          <w:sz w:val="20"/>
          <w:szCs w:val="20"/>
        </w:rPr>
        <w:t>247-260</w:t>
      </w:r>
    </w:p>
    <w:p w14:paraId="4CF19713" w14:textId="12FC36D1" w:rsidR="00EC65BE" w:rsidRPr="00EC65BE" w:rsidRDefault="00ED7B6E" w:rsidP="006E7680">
      <w:pPr>
        <w:pStyle w:val="BodyTextIndent"/>
        <w:spacing w:before="240" w:after="0"/>
        <w:ind w:left="0"/>
        <w:rPr>
          <w:rFonts w:asciiTheme="minorHAnsi" w:hAnsiTheme="minorHAnsi"/>
          <w:sz w:val="20"/>
          <w:szCs w:val="20"/>
        </w:rPr>
      </w:pPr>
      <w:r w:rsidRPr="00EC65BE">
        <w:rPr>
          <w:rFonts w:asciiTheme="minorHAnsi" w:hAnsiTheme="minorHAnsi"/>
          <w:sz w:val="20"/>
          <w:szCs w:val="20"/>
        </w:rPr>
        <w:t>Un</w:t>
      </w:r>
      <w:r w:rsidR="00D17862" w:rsidRPr="00EC65BE">
        <w:rPr>
          <w:rFonts w:asciiTheme="minorHAnsi" w:hAnsiTheme="minorHAnsi"/>
          <w:sz w:val="20"/>
          <w:szCs w:val="20"/>
        </w:rPr>
        <w:t>derschult</w:t>
      </w:r>
      <w:r w:rsidR="00EC65BE" w:rsidRPr="00EC65BE">
        <w:rPr>
          <w:rFonts w:asciiTheme="minorHAnsi" w:hAnsiTheme="minorHAnsi"/>
          <w:sz w:val="20"/>
          <w:szCs w:val="20"/>
        </w:rPr>
        <w:t>z, J.R. and Strand, J., (2016</w:t>
      </w:r>
      <w:r w:rsidRPr="00EC65BE">
        <w:rPr>
          <w:rFonts w:asciiTheme="minorHAnsi" w:hAnsiTheme="minorHAnsi"/>
          <w:sz w:val="20"/>
          <w:szCs w:val="20"/>
        </w:rPr>
        <w:t>). Capillary seal capacity of faults under hydrodynamic conditions. Geofluids Journal.</w:t>
      </w:r>
      <w:r w:rsidR="00EC65BE" w:rsidRPr="00EC65BE">
        <w:rPr>
          <w:rFonts w:asciiTheme="minorHAnsi" w:hAnsiTheme="minorHAnsi"/>
          <w:sz w:val="20"/>
          <w:szCs w:val="20"/>
        </w:rPr>
        <w:t xml:space="preserve"> </w:t>
      </w:r>
      <w:r w:rsidR="00EC65BE" w:rsidRPr="00EC65BE">
        <w:rPr>
          <w:rStyle w:val="article-headermeta-info-label"/>
          <w:rFonts w:asciiTheme="minorHAnsi" w:hAnsiTheme="minorHAnsi"/>
          <w:sz w:val="20"/>
          <w:szCs w:val="20"/>
        </w:rPr>
        <w:t xml:space="preserve">DOI: </w:t>
      </w:r>
      <w:r w:rsidR="00EC65BE" w:rsidRPr="00EC65BE">
        <w:rPr>
          <w:rStyle w:val="article-headermeta-info-data"/>
          <w:rFonts w:asciiTheme="minorHAnsi" w:eastAsiaTheme="majorEastAsia" w:hAnsiTheme="minorHAnsi"/>
          <w:sz w:val="20"/>
          <w:szCs w:val="20"/>
        </w:rPr>
        <w:t>10.1111/gfl.12166</w:t>
      </w:r>
      <w:r w:rsidR="00EC65BE">
        <w:rPr>
          <w:rStyle w:val="article-headermeta-info-data"/>
          <w:rFonts w:asciiTheme="minorHAnsi" w:eastAsiaTheme="majorEastAsia" w:hAnsiTheme="minorHAnsi"/>
          <w:sz w:val="20"/>
          <w:szCs w:val="20"/>
        </w:rPr>
        <w:t>.</w:t>
      </w:r>
    </w:p>
    <w:p w14:paraId="779DB276" w14:textId="37E4F6F2" w:rsidR="0095467B" w:rsidRPr="006E7680" w:rsidRDefault="001549A5" w:rsidP="006E7680">
      <w:pPr>
        <w:pStyle w:val="BodyTextIndent"/>
        <w:spacing w:before="240" w:after="0"/>
        <w:ind w:left="0"/>
        <w:rPr>
          <w:rFonts w:asciiTheme="minorHAnsi" w:hAnsiTheme="minorHAnsi"/>
          <w:sz w:val="20"/>
          <w:szCs w:val="20"/>
        </w:rPr>
      </w:pPr>
      <w:r w:rsidRPr="006E7680">
        <w:rPr>
          <w:rFonts w:asciiTheme="minorHAnsi" w:hAnsiTheme="minorHAnsi"/>
          <w:sz w:val="20"/>
          <w:szCs w:val="20"/>
        </w:rPr>
        <w:t>Wallace, R.E. and</w:t>
      </w:r>
      <w:r w:rsidR="0095467B" w:rsidRPr="006E7680">
        <w:rPr>
          <w:rFonts w:asciiTheme="minorHAnsi" w:hAnsiTheme="minorHAnsi"/>
          <w:sz w:val="20"/>
          <w:szCs w:val="20"/>
        </w:rPr>
        <w:t xml:space="preserve"> Morris, H.T., 1986. Characteristics of faults and shear zones in deep mines. Geophys. 124</w:t>
      </w:r>
      <w:r w:rsidR="00D17862" w:rsidRPr="006E7680">
        <w:rPr>
          <w:rFonts w:asciiTheme="minorHAnsi" w:hAnsiTheme="minorHAnsi"/>
          <w:sz w:val="20"/>
          <w:szCs w:val="20"/>
        </w:rPr>
        <w:t>,</w:t>
      </w:r>
      <w:r w:rsidR="0095467B" w:rsidRPr="006E7680">
        <w:rPr>
          <w:rFonts w:asciiTheme="minorHAnsi" w:hAnsiTheme="minorHAnsi"/>
          <w:sz w:val="20"/>
          <w:szCs w:val="20"/>
        </w:rPr>
        <w:t xml:space="preserve"> (1/2), 105-125.</w:t>
      </w:r>
    </w:p>
    <w:p w14:paraId="28BA55AB" w14:textId="71C9D82B" w:rsidR="0095467B" w:rsidRPr="006E7680" w:rsidRDefault="00D17862" w:rsidP="006E7680">
      <w:pPr>
        <w:pStyle w:val="BodyTextIndent"/>
        <w:spacing w:before="240" w:after="0"/>
        <w:ind w:left="0"/>
        <w:rPr>
          <w:rFonts w:asciiTheme="minorHAnsi" w:hAnsiTheme="minorHAnsi"/>
          <w:sz w:val="20"/>
          <w:szCs w:val="20"/>
        </w:rPr>
      </w:pPr>
      <w:r w:rsidRPr="006E7680">
        <w:rPr>
          <w:rFonts w:asciiTheme="minorHAnsi" w:hAnsiTheme="minorHAnsi"/>
          <w:sz w:val="20"/>
          <w:szCs w:val="20"/>
        </w:rPr>
        <w:t>Walsh, J.J. and Watterson, J., 1988</w:t>
      </w:r>
      <w:r w:rsidR="0095467B" w:rsidRPr="006E7680">
        <w:rPr>
          <w:rFonts w:asciiTheme="minorHAnsi" w:hAnsiTheme="minorHAnsi"/>
          <w:sz w:val="20"/>
          <w:szCs w:val="20"/>
        </w:rPr>
        <w:t>. Analysis of the relationship between displacements and dimensions of faults. Journal of Structural Geology</w:t>
      </w:r>
      <w:r w:rsidRPr="006E7680">
        <w:rPr>
          <w:rFonts w:asciiTheme="minorHAnsi" w:hAnsiTheme="minorHAnsi"/>
          <w:sz w:val="20"/>
          <w:szCs w:val="20"/>
        </w:rPr>
        <w:t>. 10, (3),</w:t>
      </w:r>
      <w:r w:rsidR="0095467B" w:rsidRPr="006E7680">
        <w:rPr>
          <w:rFonts w:asciiTheme="minorHAnsi" w:hAnsiTheme="minorHAnsi"/>
          <w:sz w:val="20"/>
          <w:szCs w:val="20"/>
        </w:rPr>
        <w:t xml:space="preserve"> 239-247.</w:t>
      </w:r>
    </w:p>
    <w:p w14:paraId="0F753AE5" w14:textId="77777777" w:rsidR="0095467B" w:rsidRPr="006E7680" w:rsidRDefault="0095467B" w:rsidP="006E7680">
      <w:pPr>
        <w:spacing w:after="0" w:line="240" w:lineRule="auto"/>
        <w:rPr>
          <w:rFonts w:eastAsia="Times New Roman" w:cs="Times New Roman"/>
        </w:rPr>
      </w:pPr>
    </w:p>
    <w:p w14:paraId="1F611865" w14:textId="7B4C23D0" w:rsidR="0095467B" w:rsidRPr="006E7680" w:rsidRDefault="0095467B" w:rsidP="006E7680">
      <w:pPr>
        <w:spacing w:after="0" w:line="240" w:lineRule="auto"/>
        <w:rPr>
          <w:rFonts w:eastAsia="Times New Roman" w:cs="Times New Roman"/>
        </w:rPr>
      </w:pPr>
      <w:r w:rsidRPr="006E7680">
        <w:rPr>
          <w:rFonts w:cs="Times New Roman"/>
        </w:rPr>
        <w:t>Watterson, J., Nicol, A. and Walsh, J.J.</w:t>
      </w:r>
      <w:r w:rsidR="00D17862" w:rsidRPr="006E7680">
        <w:rPr>
          <w:rFonts w:cs="Times New Roman"/>
        </w:rPr>
        <w:t>, 1998</w:t>
      </w:r>
      <w:r w:rsidRPr="006E7680">
        <w:rPr>
          <w:rFonts w:cs="Times New Roman"/>
        </w:rPr>
        <w:t xml:space="preserve">. Strains at the intersections of synchronous conjugate normal faults. </w:t>
      </w:r>
      <w:r w:rsidRPr="006E7680">
        <w:rPr>
          <w:rFonts w:cs="Times New Roman"/>
          <w:iCs/>
        </w:rPr>
        <w:t>Journal of Structural Geology</w:t>
      </w:r>
      <w:r w:rsidR="00D17862" w:rsidRPr="006E7680">
        <w:rPr>
          <w:rFonts w:cs="Times New Roman"/>
        </w:rPr>
        <w:t xml:space="preserve">. 20, (4), </w:t>
      </w:r>
      <w:r w:rsidRPr="006E7680">
        <w:rPr>
          <w:rFonts w:cs="Times New Roman"/>
        </w:rPr>
        <w:t>363-370.</w:t>
      </w:r>
    </w:p>
    <w:p w14:paraId="6AF18CD1" w14:textId="77777777" w:rsidR="0095467B" w:rsidRPr="006E7680" w:rsidRDefault="0095467B" w:rsidP="006E7680">
      <w:pPr>
        <w:autoSpaceDE w:val="0"/>
        <w:autoSpaceDN w:val="0"/>
        <w:adjustRightInd w:val="0"/>
        <w:spacing w:after="0" w:line="240" w:lineRule="auto"/>
        <w:rPr>
          <w:rFonts w:cs="Times New Roman"/>
        </w:rPr>
      </w:pPr>
    </w:p>
    <w:p w14:paraId="4FB41B9F" w14:textId="73B9808E" w:rsidR="0095467B" w:rsidRPr="006E7680" w:rsidRDefault="0095467B" w:rsidP="006E7680">
      <w:pPr>
        <w:autoSpaceDE w:val="0"/>
        <w:autoSpaceDN w:val="0"/>
        <w:adjustRightInd w:val="0"/>
        <w:spacing w:after="0" w:line="240" w:lineRule="auto"/>
        <w:rPr>
          <w:rFonts w:cs="Times New Roman"/>
        </w:rPr>
      </w:pPr>
      <w:r w:rsidRPr="006E7680">
        <w:rPr>
          <w:rFonts w:cs="Times New Roman"/>
        </w:rPr>
        <w:t>Watts, N.L.</w:t>
      </w:r>
      <w:r w:rsidR="001549A5" w:rsidRPr="006E7680">
        <w:rPr>
          <w:rFonts w:cs="Times New Roman"/>
        </w:rPr>
        <w:t>, 1987</w:t>
      </w:r>
      <w:r w:rsidRPr="006E7680">
        <w:rPr>
          <w:rFonts w:cs="Times New Roman"/>
        </w:rPr>
        <w:t>. Theoretical aspects of cap-</w:t>
      </w:r>
      <w:r w:rsidR="001549A5" w:rsidRPr="006E7680">
        <w:rPr>
          <w:rFonts w:cs="Times New Roman"/>
        </w:rPr>
        <w:t>rock and fault seals for single</w:t>
      </w:r>
      <w:r w:rsidRPr="006E7680">
        <w:rPr>
          <w:rFonts w:cs="Times New Roman"/>
        </w:rPr>
        <w:t xml:space="preserve"> and two-phase hydrocarbon columns. </w:t>
      </w:r>
      <w:r w:rsidRPr="006E7680">
        <w:rPr>
          <w:rFonts w:cs="Times New Roman"/>
          <w:iCs/>
        </w:rPr>
        <w:t>Marine and Petroleum Geology</w:t>
      </w:r>
      <w:r w:rsidR="001549A5" w:rsidRPr="006E7680">
        <w:rPr>
          <w:rFonts w:cs="Times New Roman"/>
        </w:rPr>
        <w:t xml:space="preserve">. 4, </w:t>
      </w:r>
      <w:r w:rsidRPr="006E7680">
        <w:rPr>
          <w:rFonts w:cs="Times New Roman"/>
        </w:rPr>
        <w:t>274-307.</w:t>
      </w:r>
    </w:p>
    <w:p w14:paraId="4B94799A" w14:textId="63351E85" w:rsidR="0095467B" w:rsidRPr="006E7680" w:rsidRDefault="0095467B" w:rsidP="006E7680">
      <w:pPr>
        <w:spacing w:before="240" w:after="0" w:line="240" w:lineRule="auto"/>
      </w:pPr>
      <w:r w:rsidRPr="006E7680">
        <w:rPr>
          <w:rFonts w:cs="Times New Roman"/>
        </w:rPr>
        <w:t>Yassir, N. and Otto, C.J.</w:t>
      </w:r>
      <w:r w:rsidR="001549A5" w:rsidRPr="006E7680">
        <w:rPr>
          <w:rFonts w:cs="Times New Roman"/>
        </w:rPr>
        <w:t>, 1997</w:t>
      </w:r>
      <w:r w:rsidRPr="006E7680">
        <w:rPr>
          <w:rFonts w:cs="Times New Roman"/>
        </w:rPr>
        <w:t>. Hydrodynamics and fault seal assessment in the Vulcan Subbasin,</w:t>
      </w:r>
      <w:r w:rsidRPr="006E7680">
        <w:t xml:space="preserve"> </w:t>
      </w:r>
      <w:r w:rsidRPr="006E7680">
        <w:rPr>
          <w:rFonts w:cs="Times New Roman"/>
        </w:rPr>
        <w:t xml:space="preserve">Timor Sea. </w:t>
      </w:r>
      <w:r w:rsidRPr="006E7680">
        <w:rPr>
          <w:rFonts w:cs="Times New Roman"/>
          <w:iCs/>
        </w:rPr>
        <w:t>Australian Petroleum Production and Exploration Association</w:t>
      </w:r>
      <w:r w:rsidRPr="006E7680">
        <w:t xml:space="preserve"> </w:t>
      </w:r>
      <w:r w:rsidRPr="006E7680">
        <w:rPr>
          <w:rFonts w:cs="Times New Roman"/>
          <w:iCs/>
        </w:rPr>
        <w:t>Journal</w:t>
      </w:r>
      <w:r w:rsidR="001549A5" w:rsidRPr="006E7680">
        <w:rPr>
          <w:rFonts w:cs="Times New Roman"/>
        </w:rPr>
        <w:t>.</w:t>
      </w:r>
      <w:r w:rsidRPr="006E7680">
        <w:rPr>
          <w:rFonts w:cs="Times New Roman"/>
        </w:rPr>
        <w:t xml:space="preserve"> 37</w:t>
      </w:r>
      <w:r w:rsidR="001549A5" w:rsidRPr="006E7680">
        <w:rPr>
          <w:rFonts w:cs="Times New Roman"/>
        </w:rPr>
        <w:t xml:space="preserve">, (1), </w:t>
      </w:r>
      <w:r w:rsidRPr="006E7680">
        <w:rPr>
          <w:rFonts w:cs="Times New Roman"/>
        </w:rPr>
        <w:t>380-389.</w:t>
      </w:r>
    </w:p>
    <w:p w14:paraId="1A09F6CB" w14:textId="2CD60667" w:rsidR="0095467B" w:rsidRPr="006E7680" w:rsidRDefault="0095467B" w:rsidP="006E7680">
      <w:pPr>
        <w:spacing w:before="240" w:after="0" w:line="240" w:lineRule="auto"/>
      </w:pPr>
      <w:r w:rsidRPr="006E7680">
        <w:rPr>
          <w:rFonts w:cs="Times New Roman"/>
        </w:rPr>
        <w:t>Yielding, G.</w:t>
      </w:r>
      <w:r w:rsidR="001549A5" w:rsidRPr="006E7680">
        <w:rPr>
          <w:rFonts w:cs="Times New Roman"/>
        </w:rPr>
        <w:t>, 2002</w:t>
      </w:r>
      <w:r w:rsidRPr="006E7680">
        <w:rPr>
          <w:rFonts w:cs="Times New Roman"/>
        </w:rPr>
        <w:t xml:space="preserve">. Shale gouge ratio – Calibration by geohistory. </w:t>
      </w:r>
      <w:r w:rsidRPr="006E7680">
        <w:rPr>
          <w:rFonts w:cs="Times New Roman"/>
          <w:i/>
          <w:iCs/>
        </w:rPr>
        <w:t xml:space="preserve">In: </w:t>
      </w:r>
      <w:r w:rsidRPr="006E7680">
        <w:rPr>
          <w:rFonts w:cs="Times New Roman"/>
        </w:rPr>
        <w:t>Koestler, A.G. and</w:t>
      </w:r>
      <w:r w:rsidRPr="006E7680">
        <w:t xml:space="preserve"> </w:t>
      </w:r>
      <w:r w:rsidRPr="006E7680">
        <w:rPr>
          <w:rFonts w:cs="Times New Roman"/>
        </w:rPr>
        <w:t xml:space="preserve">Hunsdale (eds.), </w:t>
      </w:r>
      <w:r w:rsidRPr="006E7680">
        <w:rPr>
          <w:rFonts w:cs="Times New Roman"/>
          <w:iCs/>
        </w:rPr>
        <w:t>Hydrocarbon Seal Quantification</w:t>
      </w:r>
      <w:r w:rsidRPr="006E7680">
        <w:rPr>
          <w:rFonts w:cs="Times New Roman"/>
        </w:rPr>
        <w:t xml:space="preserve">: Amsterdam, Elesevier, </w:t>
      </w:r>
      <w:r w:rsidRPr="006E7680">
        <w:rPr>
          <w:rFonts w:cs="Times New Roman"/>
          <w:iCs/>
        </w:rPr>
        <w:t>Norwegian</w:t>
      </w:r>
      <w:r w:rsidRPr="006E7680">
        <w:t xml:space="preserve"> </w:t>
      </w:r>
      <w:r w:rsidRPr="006E7680">
        <w:rPr>
          <w:rFonts w:cs="Times New Roman"/>
          <w:iCs/>
        </w:rPr>
        <w:t>Petroleum Society (NPF) Special Publication</w:t>
      </w:r>
      <w:r w:rsidR="001549A5" w:rsidRPr="006E7680">
        <w:rPr>
          <w:rFonts w:cs="Times New Roman"/>
        </w:rPr>
        <w:t xml:space="preserve">. 11, </w:t>
      </w:r>
      <w:r w:rsidRPr="006E7680">
        <w:rPr>
          <w:rFonts w:cs="Times New Roman"/>
        </w:rPr>
        <w:t>1-15.</w:t>
      </w:r>
    </w:p>
    <w:p w14:paraId="0B4D882A" w14:textId="797727E1" w:rsidR="0095467B" w:rsidRPr="006E7680" w:rsidRDefault="001549A5" w:rsidP="006E7680">
      <w:pPr>
        <w:spacing w:before="240" w:after="0" w:line="240" w:lineRule="auto"/>
        <w:rPr>
          <w:lang w:val="en-GB"/>
        </w:rPr>
      </w:pPr>
      <w:r w:rsidRPr="006E7680">
        <w:t>Yielding, G., Needham, T. and</w:t>
      </w:r>
      <w:r w:rsidR="0095467B" w:rsidRPr="006E7680">
        <w:t xml:space="preserve"> Jones, H., 1996. Sampli</w:t>
      </w:r>
      <w:r w:rsidRPr="006E7680">
        <w:t>ng of fault populations using sub-surface data: A review. Journal o</w:t>
      </w:r>
      <w:r w:rsidR="0095467B" w:rsidRPr="006E7680">
        <w:t>f Struct</w:t>
      </w:r>
      <w:r w:rsidRPr="006E7680">
        <w:t>ural Geology. 18, (</w:t>
      </w:r>
      <w:r w:rsidR="0095467B" w:rsidRPr="006E7680">
        <w:t>2–3</w:t>
      </w:r>
      <w:r w:rsidRPr="006E7680">
        <w:t>)</w:t>
      </w:r>
      <w:r w:rsidR="0095467B" w:rsidRPr="006E7680">
        <w:t>, 135-146.</w:t>
      </w:r>
    </w:p>
    <w:p w14:paraId="386D7280" w14:textId="37CA5357" w:rsidR="0095467B" w:rsidRPr="006E7680" w:rsidRDefault="0095467B" w:rsidP="006E7680">
      <w:pPr>
        <w:spacing w:before="240" w:after="0" w:line="240" w:lineRule="auto"/>
      </w:pPr>
      <w:r w:rsidRPr="006E7680">
        <w:t>Yi</w:t>
      </w:r>
      <w:r w:rsidR="001549A5" w:rsidRPr="006E7680">
        <w:t>elding, G., Freeman, B., and D.T. Needham, 1997.</w:t>
      </w:r>
      <w:r w:rsidRPr="006E7680">
        <w:t xml:space="preserve"> Quantitative fault seal prediction: </w:t>
      </w:r>
      <w:r w:rsidR="001549A5" w:rsidRPr="006E7680">
        <w:t xml:space="preserve">The </w:t>
      </w:r>
      <w:r w:rsidRPr="006E7680">
        <w:t>A</w:t>
      </w:r>
      <w:r w:rsidR="001549A5" w:rsidRPr="006E7680">
        <w:t xml:space="preserve">merican </w:t>
      </w:r>
      <w:r w:rsidRPr="006E7680">
        <w:t>A</w:t>
      </w:r>
      <w:r w:rsidR="001549A5" w:rsidRPr="006E7680">
        <w:t xml:space="preserve">ssociation of </w:t>
      </w:r>
      <w:r w:rsidRPr="006E7680">
        <w:t>P</w:t>
      </w:r>
      <w:r w:rsidR="001549A5" w:rsidRPr="006E7680">
        <w:t xml:space="preserve">etroleum </w:t>
      </w:r>
      <w:r w:rsidRPr="006E7680">
        <w:t>G</w:t>
      </w:r>
      <w:r w:rsidR="001549A5" w:rsidRPr="006E7680">
        <w:t xml:space="preserve">eology Bulletin. 81, </w:t>
      </w:r>
      <w:r w:rsidRPr="006E7680">
        <w:t>897-917.</w:t>
      </w:r>
    </w:p>
    <w:p w14:paraId="59CE57AA" w14:textId="07EB515F" w:rsidR="0095467B" w:rsidRPr="006E7680" w:rsidRDefault="0095467B" w:rsidP="006E7680">
      <w:pPr>
        <w:spacing w:before="240" w:after="0" w:line="240" w:lineRule="auto"/>
      </w:pPr>
      <w:r w:rsidRPr="006E7680">
        <w:rPr>
          <w:rFonts w:cs="Times New Roman"/>
        </w:rPr>
        <w:t xml:space="preserve">Yielding G., </w:t>
      </w:r>
      <w:r w:rsidRPr="006E7680">
        <w:rPr>
          <w:rFonts w:cs="Times New Roman"/>
          <w:lang w:eastAsia="en-AU"/>
        </w:rPr>
        <w:t>Bretan, P. and Freeman, B.</w:t>
      </w:r>
      <w:r w:rsidR="001549A5" w:rsidRPr="006E7680">
        <w:rPr>
          <w:rFonts w:cs="Times New Roman"/>
          <w:lang w:eastAsia="en-AU"/>
        </w:rPr>
        <w:t>, 2010</w:t>
      </w:r>
      <w:r w:rsidRPr="006E7680">
        <w:rPr>
          <w:rFonts w:cs="Times New Roman"/>
          <w:lang w:eastAsia="en-AU"/>
        </w:rPr>
        <w:t xml:space="preserve">. </w:t>
      </w:r>
      <w:r w:rsidRPr="006E7680">
        <w:rPr>
          <w:rFonts w:cs="Times New Roman"/>
          <w:bCs/>
          <w:lang w:eastAsia="en-AU"/>
        </w:rPr>
        <w:t xml:space="preserve">Fault seal calibration: a brief review. </w:t>
      </w:r>
      <w:r w:rsidRPr="006E7680">
        <w:rPr>
          <w:rFonts w:cs="Times New Roman"/>
          <w:iCs/>
          <w:lang w:eastAsia="en-AU"/>
        </w:rPr>
        <w:t>Geological Society, London, Special Publications</w:t>
      </w:r>
      <w:r w:rsidR="001549A5" w:rsidRPr="006E7680">
        <w:rPr>
          <w:rFonts w:cs="Times New Roman"/>
          <w:iCs/>
          <w:lang w:eastAsia="en-AU"/>
        </w:rPr>
        <w:t>.</w:t>
      </w:r>
      <w:r w:rsidR="001549A5" w:rsidRPr="006E7680">
        <w:rPr>
          <w:rFonts w:cs="Times New Roman"/>
          <w:lang w:eastAsia="en-AU"/>
        </w:rPr>
        <w:t xml:space="preserve"> 347, </w:t>
      </w:r>
      <w:r w:rsidRPr="006E7680">
        <w:rPr>
          <w:rFonts w:cs="Times New Roman"/>
          <w:lang w:eastAsia="en-AU"/>
        </w:rPr>
        <w:t>243-255.</w:t>
      </w:r>
    </w:p>
    <w:p w14:paraId="5C05F351" w14:textId="2858150C" w:rsidR="0095467B" w:rsidRPr="006E7680" w:rsidRDefault="0095467B" w:rsidP="006E7680">
      <w:pPr>
        <w:spacing w:before="240" w:after="0" w:line="240" w:lineRule="auto"/>
      </w:pPr>
      <w:r w:rsidRPr="006E7680">
        <w:t>Zhang, Y., Gartrell, A., Underschultz, J.R. and Dewhurst, D.N., 2009. Numerical modelling of strain localisation and fluid flow during extensional fault reactivation: implications for hydrocarbon preservation. Journal of Structural Geology</w:t>
      </w:r>
      <w:r w:rsidR="001549A5" w:rsidRPr="006E7680">
        <w:t>.</w:t>
      </w:r>
      <w:r w:rsidRPr="006E7680">
        <w:t xml:space="preserve"> 31,</w:t>
      </w:r>
      <w:r w:rsidR="001549A5" w:rsidRPr="006E7680">
        <w:t xml:space="preserve"> (3),</w:t>
      </w:r>
      <w:r w:rsidRPr="006E7680">
        <w:t xml:space="preserve"> 315-327.</w:t>
      </w:r>
    </w:p>
    <w:p w14:paraId="68E29350" w14:textId="0BC28300" w:rsidR="009E2320" w:rsidRDefault="001549A5" w:rsidP="006E7680">
      <w:pPr>
        <w:spacing w:before="240" w:after="0" w:line="240" w:lineRule="auto"/>
      </w:pPr>
      <w:r w:rsidRPr="006E7680">
        <w:t>Zhang, Y., Underschultz, J.R., Gartrell, A., Dewhurst, D.N., and</w:t>
      </w:r>
      <w:r w:rsidR="002671BF" w:rsidRPr="006E7680">
        <w:t xml:space="preserve"> Langhi, L.</w:t>
      </w:r>
      <w:r w:rsidRPr="006E7680">
        <w:t>, 2011</w:t>
      </w:r>
      <w:r w:rsidR="002671BF" w:rsidRPr="006E7680">
        <w:t>. Effects of regional fluid pressure gradients on strain localisation and fluid flow during extensional fault reactivatio</w:t>
      </w:r>
      <w:r w:rsidRPr="006E7680">
        <w:t>n. Marine and Petroleum Geology.</w:t>
      </w:r>
      <w:r w:rsidR="002671BF" w:rsidRPr="006E7680">
        <w:t xml:space="preserve"> 28</w:t>
      </w:r>
      <w:r w:rsidRPr="006E7680">
        <w:t xml:space="preserve">, </w:t>
      </w:r>
      <w:r w:rsidR="002671BF" w:rsidRPr="006E7680">
        <w:t>(9), 1703-1713. doi: 10.1016/j.marpetgeo.2011.07.006</w:t>
      </w:r>
    </w:p>
    <w:p w14:paraId="6C35ED3E" w14:textId="293144F6" w:rsidR="00B02C7C" w:rsidRPr="006E7680" w:rsidRDefault="00B02C7C" w:rsidP="006E7680">
      <w:pPr>
        <w:spacing w:before="240" w:after="0" w:line="240" w:lineRule="auto"/>
      </w:pPr>
    </w:p>
    <w:sectPr w:rsidR="00B02C7C" w:rsidRPr="006E7680" w:rsidSect="006C0FFD">
      <w:footerReference w:type="default" r:id="rId7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129A46" w14:textId="77777777" w:rsidR="0072606A" w:rsidRDefault="0072606A" w:rsidP="00795173">
      <w:pPr>
        <w:spacing w:after="0" w:line="240" w:lineRule="auto"/>
      </w:pPr>
      <w:r>
        <w:separator/>
      </w:r>
    </w:p>
  </w:endnote>
  <w:endnote w:type="continuationSeparator" w:id="0">
    <w:p w14:paraId="252DCBBE" w14:textId="77777777" w:rsidR="0072606A" w:rsidRDefault="0072606A" w:rsidP="00795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useo 700">
    <w:altName w:val="Times New Roman"/>
    <w:panose1 w:val="00000000000000000000"/>
    <w:charset w:val="00"/>
    <w:family w:val="roman"/>
    <w:notTrueType/>
    <w:pitch w:val="default"/>
  </w:font>
  <w:font w:name="Calibri-Bold">
    <w:panose1 w:val="00000000000000000000"/>
    <w:charset w:val="00"/>
    <w:family w:val="swiss"/>
    <w:notTrueType/>
    <w:pitch w:val="default"/>
    <w:sig w:usb0="00000003" w:usb1="00000000" w:usb2="00000000" w:usb3="00000000" w:csb0="00000001" w:csb1="00000000"/>
  </w:font>
  <w:font w:name="AdvOT863180fb">
    <w:panose1 w:val="00000000000000000000"/>
    <w:charset w:val="00"/>
    <w:family w:val="roman"/>
    <w:notTrueType/>
    <w:pitch w:val="default"/>
    <w:sig w:usb0="00000003" w:usb1="00000000" w:usb2="00000000" w:usb3="00000000" w:csb0="00000001" w:csb1="00000000"/>
  </w:font>
  <w:font w:name="AdvPS6F00">
    <w:panose1 w:val="00000000000000000000"/>
    <w:charset w:val="00"/>
    <w:family w:val="roman"/>
    <w:notTrueType/>
    <w:pitch w:val="default"/>
    <w:sig w:usb0="00000003" w:usb1="00000000" w:usb2="00000000" w:usb3="00000000" w:csb0="00000001" w:csb1="00000000"/>
  </w:font>
  <w:font w:name="AdvPS3F4C13">
    <w:panose1 w:val="00000000000000000000"/>
    <w:charset w:val="00"/>
    <w:family w:val="swiss"/>
    <w:notTrueType/>
    <w:pitch w:val="default"/>
    <w:sig w:usb0="00000003" w:usb1="00000000" w:usb2="00000000" w:usb3="00000000" w:csb0="00000001" w:csb1="00000000"/>
  </w:font>
  <w:font w:name="AdvPS6F0B">
    <w:panose1 w:val="00000000000000000000"/>
    <w:charset w:val="00"/>
    <w:family w:val="roman"/>
    <w:notTrueType/>
    <w:pitch w:val="default"/>
    <w:sig w:usb0="00000003" w:usb1="00000000" w:usb2="00000000" w:usb3="00000000" w:csb0="00000001" w:csb1="00000000"/>
  </w:font>
  <w:font w:name="AdvPS7DA6">
    <w:panose1 w:val="00000000000000000000"/>
    <w:charset w:val="00"/>
    <w:family w:val="auto"/>
    <w:notTrueType/>
    <w:pitch w:val="default"/>
    <w:sig w:usb0="00000003" w:usb1="00000000" w:usb2="00000000" w:usb3="00000000" w:csb0="00000001" w:csb1="00000000"/>
  </w:font>
  <w:font w:name="AdvP2660">
    <w:panose1 w:val="00000000000000000000"/>
    <w:charset w:val="00"/>
    <w:family w:val="auto"/>
    <w:notTrueType/>
    <w:pitch w:val="default"/>
    <w:sig w:usb0="00000003" w:usb1="00000000" w:usb2="00000000" w:usb3="00000000" w:csb0="00000001" w:csb1="00000000"/>
  </w:font>
  <w:font w:name="AdvP264F">
    <w:panose1 w:val="00000000000000000000"/>
    <w:charset w:val="00"/>
    <w:family w:val="auto"/>
    <w:notTrueType/>
    <w:pitch w:val="default"/>
    <w:sig w:usb0="00000003" w:usb1="00000000" w:usb2="00000000" w:usb3="00000000" w:csb0="00000001" w:csb1="00000000"/>
  </w:font>
  <w:font w:name="AGaramond-Italic">
    <w:panose1 w:val="00000000000000000000"/>
    <w:charset w:val="00"/>
    <w:family w:val="roman"/>
    <w:notTrueType/>
    <w:pitch w:val="default"/>
    <w:sig w:usb0="00000003" w:usb1="00000000" w:usb2="00000000" w:usb3="00000000" w:csb0="00000001" w:csb1="00000000"/>
  </w:font>
  <w:font w:name="AdvT571">
    <w:altName w:val="MS Mincho"/>
    <w:panose1 w:val="00000000000000000000"/>
    <w:charset w:val="80"/>
    <w:family w:val="auto"/>
    <w:notTrueType/>
    <w:pitch w:val="default"/>
    <w:sig w:usb0="00000000" w:usb1="08070000" w:usb2="00000010" w:usb3="00000000" w:csb0="00020000" w:csb1="00000000"/>
  </w:font>
  <w:font w:name="AdvTT5235d5a9">
    <w:panose1 w:val="00000000000000000000"/>
    <w:charset w:val="00"/>
    <w:family w:val="roman"/>
    <w:notTrueType/>
    <w:pitch w:val="default"/>
    <w:sig w:usb0="00000003" w:usb1="00000000" w:usb2="00000000" w:usb3="00000000" w:csb0="00000001" w:csb1="00000000"/>
  </w:font>
  <w:font w:name="AdvOT863180fb+fb">
    <w:panose1 w:val="00000000000000000000"/>
    <w:charset w:val="00"/>
    <w:family w:val="auto"/>
    <w:notTrueType/>
    <w:pitch w:val="default"/>
    <w:sig w:usb0="00000003" w:usb1="00000000" w:usb2="00000000" w:usb3="00000000" w:csb0="00000001" w:csb1="00000000"/>
  </w:font>
  <w:font w:name="AdvP4C4E74">
    <w:panose1 w:val="00000000000000000000"/>
    <w:charset w:val="00"/>
    <w:family w:val="auto"/>
    <w:notTrueType/>
    <w:pitch w:val="default"/>
    <w:sig w:usb0="00000003" w:usb1="00000000" w:usb2="00000000" w:usb3="00000000" w:csb0="00000001" w:csb1="00000000"/>
  </w:font>
  <w:font w:name="b">
    <w:altName w:val="Times New Roman"/>
    <w:panose1 w:val="00000000000000000000"/>
    <w:charset w:val="00"/>
    <w:family w:val="roman"/>
    <w:notTrueType/>
    <w:pitch w:val="default"/>
  </w:font>
  <w:font w:name="TimesNRMT">
    <w:panose1 w:val="00000000000000000000"/>
    <w:charset w:val="00"/>
    <w:family w:val="roman"/>
    <w:notTrueType/>
    <w:pitch w:val="default"/>
    <w:sig w:usb0="00000003" w:usb1="00000000" w:usb2="00000000" w:usb3="00000000" w:csb0="00000001" w:csb1="00000000"/>
  </w:font>
  <w:font w:name="Frutiger-Bold">
    <w:panose1 w:val="00000000000000000000"/>
    <w:charset w:val="00"/>
    <w:family w:val="swiss"/>
    <w:notTrueType/>
    <w:pitch w:val="default"/>
    <w:sig w:usb0="00000003" w:usb1="00000000" w:usb2="00000000" w:usb3="00000000" w:csb0="00000001" w:csb1="00000000"/>
  </w:font>
  <w:font w:name="AdvOTb83ee1dd.B">
    <w:panose1 w:val="00000000000000000000"/>
    <w:charset w:val="00"/>
    <w:family w:val="swiss"/>
    <w:notTrueType/>
    <w:pitch w:val="default"/>
    <w:sig w:usb0="00000003" w:usb1="00000000" w:usb2="00000000" w:usb3="00000000" w:csb0="00000001" w:csb1="00000000"/>
  </w:font>
  <w:font w:name="AdvT044">
    <w:panose1 w:val="00000000000000000000"/>
    <w:charset w:val="00"/>
    <w:family w:val="auto"/>
    <w:notTrueType/>
    <w:pitch w:val="default"/>
    <w:sig w:usb0="00000003" w:usb1="00000000" w:usb2="00000000" w:usb3="00000000" w:csb0="00000001" w:csb1="00000000"/>
  </w:font>
  <w:font w:name="AdvT043">
    <w:panose1 w:val="00000000000000000000"/>
    <w:charset w:val="00"/>
    <w:family w:val="auto"/>
    <w:notTrueType/>
    <w:pitch w:val="default"/>
    <w:sig w:usb0="00000003" w:usb1="00000000" w:usb2="00000000" w:usb3="00000000" w:csb0="00000001" w:csb1="00000000"/>
  </w:font>
  <w:font w:name="AdvHelv_R">
    <w:panose1 w:val="00000000000000000000"/>
    <w:charset w:val="00"/>
    <w:family w:val="swiss"/>
    <w:notTrueType/>
    <w:pitch w:val="default"/>
    <w:sig w:usb0="00000003" w:usb1="00000000" w:usb2="00000000" w:usb3="00000000" w:csb0="00000001" w:csb1="00000000"/>
  </w:font>
  <w:font w:name="AdvTT5235d5a9+20">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AdvPS44A44B">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A360B" w14:textId="77777777" w:rsidR="0072606A" w:rsidRDefault="0072606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2448752"/>
      <w:docPartObj>
        <w:docPartGallery w:val="Page Numbers (Bottom of Page)"/>
        <w:docPartUnique/>
      </w:docPartObj>
    </w:sdtPr>
    <w:sdtEndPr>
      <w:rPr>
        <w:noProof/>
        <w:color w:val="BFBFBF" w:themeColor="background1" w:themeShade="BF"/>
      </w:rPr>
    </w:sdtEndPr>
    <w:sdtContent>
      <w:p w14:paraId="0AF71828" w14:textId="77777777" w:rsidR="0072606A" w:rsidRPr="008D29F0" w:rsidRDefault="0072606A">
        <w:pPr>
          <w:pStyle w:val="Footer"/>
          <w:jc w:val="right"/>
          <w:rPr>
            <w:color w:val="BFBFBF" w:themeColor="background1" w:themeShade="BF"/>
          </w:rPr>
        </w:pPr>
        <w:r w:rsidRPr="008D29F0">
          <w:rPr>
            <w:color w:val="BFBFBF" w:themeColor="background1" w:themeShade="BF"/>
          </w:rPr>
          <w:fldChar w:fldCharType="begin"/>
        </w:r>
        <w:r w:rsidRPr="008D29F0">
          <w:rPr>
            <w:color w:val="BFBFBF" w:themeColor="background1" w:themeShade="BF"/>
          </w:rPr>
          <w:instrText xml:space="preserve"> PAGE   \* MERGEFORMAT </w:instrText>
        </w:r>
        <w:r w:rsidRPr="008D29F0">
          <w:rPr>
            <w:color w:val="BFBFBF" w:themeColor="background1" w:themeShade="BF"/>
          </w:rPr>
          <w:fldChar w:fldCharType="separate"/>
        </w:r>
        <w:r>
          <w:rPr>
            <w:noProof/>
            <w:color w:val="BFBFBF" w:themeColor="background1" w:themeShade="BF"/>
          </w:rPr>
          <w:t>4</w:t>
        </w:r>
        <w:r w:rsidRPr="008D29F0">
          <w:rPr>
            <w:noProof/>
            <w:color w:val="BFBFBF" w:themeColor="background1" w:themeShade="BF"/>
          </w:rPr>
          <w:fldChar w:fldCharType="end"/>
        </w:r>
      </w:p>
    </w:sdtContent>
  </w:sdt>
  <w:p w14:paraId="44667D43" w14:textId="77777777" w:rsidR="0072606A" w:rsidRDefault="0072606A">
    <w:pPr>
      <w:pStyle w:val="Footer"/>
    </w:pPr>
    <w:r>
      <w:t>Conceptual representation of fluid flow conditions associated with faults in sedimentary basins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6879EB" w14:textId="77777777" w:rsidR="0072606A" w:rsidRDefault="0072606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6F94B" w14:textId="77777777" w:rsidR="0072606A" w:rsidRDefault="0072606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7C0960" w14:textId="4C566928" w:rsidR="0072606A" w:rsidRDefault="0072606A" w:rsidP="00E25502">
    <w:r>
      <w:t>Conceptual representation of fluid flow conditions associated with faults in sedimentary basins</w:t>
    </w:r>
    <w:r>
      <w:ptab w:relativeTo="margin" w:alignment="right" w:leader="none"/>
    </w:r>
    <w:r>
      <w:t>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5663C1" w14:textId="77777777" w:rsidR="0072606A" w:rsidRDefault="0072606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6930047"/>
      <w:docPartObj>
        <w:docPartGallery w:val="Page Numbers (Bottom of Page)"/>
        <w:docPartUnique/>
      </w:docPartObj>
    </w:sdtPr>
    <w:sdtEndPr>
      <w:rPr>
        <w:noProof/>
      </w:rPr>
    </w:sdtEndPr>
    <w:sdtContent>
      <w:p w14:paraId="71235837" w14:textId="77777777" w:rsidR="0072606A" w:rsidRPr="0035658A" w:rsidRDefault="0072606A">
        <w:pPr>
          <w:pStyle w:val="Footer"/>
          <w:jc w:val="right"/>
        </w:pPr>
        <w:r>
          <w:fldChar w:fldCharType="begin"/>
        </w:r>
        <w:r>
          <w:instrText xml:space="preserve"> PAGE   \* MERGEFORMAT </w:instrText>
        </w:r>
        <w:r>
          <w:fldChar w:fldCharType="separate"/>
        </w:r>
        <w:r w:rsidR="0006766D">
          <w:rPr>
            <w:noProof/>
          </w:rPr>
          <w:t>7</w:t>
        </w:r>
        <w:r>
          <w:rPr>
            <w:noProof/>
          </w:rPr>
          <w:fldChar w:fldCharType="end"/>
        </w:r>
      </w:p>
    </w:sdtContent>
  </w:sdt>
  <w:p w14:paraId="73FC2B2A" w14:textId="77777777" w:rsidR="0072606A" w:rsidRDefault="0072606A">
    <w:r>
      <w:t>Conceptual representation of fluid flow conditions associated with faults in sedimentary basins</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9565851"/>
      <w:docPartObj>
        <w:docPartGallery w:val="Page Numbers (Bottom of Page)"/>
        <w:docPartUnique/>
      </w:docPartObj>
    </w:sdtPr>
    <w:sdtEndPr>
      <w:rPr>
        <w:noProof/>
      </w:rPr>
    </w:sdtEndPr>
    <w:sdtContent>
      <w:p w14:paraId="711212D7" w14:textId="77777777" w:rsidR="0072606A" w:rsidRPr="0035658A" w:rsidRDefault="0072606A">
        <w:pPr>
          <w:pStyle w:val="Footer"/>
          <w:jc w:val="right"/>
        </w:pPr>
        <w:r>
          <w:fldChar w:fldCharType="begin"/>
        </w:r>
        <w:r>
          <w:instrText xml:space="preserve"> PAGE   \* MERGEFORMAT </w:instrText>
        </w:r>
        <w:r>
          <w:fldChar w:fldCharType="separate"/>
        </w:r>
        <w:r w:rsidR="0006766D">
          <w:rPr>
            <w:noProof/>
          </w:rPr>
          <w:t>21</w:t>
        </w:r>
        <w:r>
          <w:rPr>
            <w:noProof/>
          </w:rPr>
          <w:fldChar w:fldCharType="end"/>
        </w:r>
      </w:p>
    </w:sdtContent>
  </w:sdt>
  <w:p w14:paraId="5D69B964" w14:textId="77777777" w:rsidR="0072606A" w:rsidRDefault="0072606A">
    <w:r>
      <w:t>Conceptual representation of fluid flow conditions associated with faults in sedimentary basins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0889A3" w14:textId="77777777" w:rsidR="0072606A" w:rsidRDefault="0072606A" w:rsidP="00795173">
      <w:pPr>
        <w:spacing w:after="0" w:line="240" w:lineRule="auto"/>
      </w:pPr>
      <w:r>
        <w:separator/>
      </w:r>
    </w:p>
  </w:footnote>
  <w:footnote w:type="continuationSeparator" w:id="0">
    <w:p w14:paraId="6E8B5240" w14:textId="77777777" w:rsidR="0072606A" w:rsidRDefault="0072606A" w:rsidP="00795173">
      <w:pPr>
        <w:spacing w:after="0" w:line="240" w:lineRule="auto"/>
      </w:pPr>
      <w:r>
        <w:continuationSeparator/>
      </w:r>
    </w:p>
  </w:footnote>
  <w:footnote w:id="1">
    <w:p w14:paraId="556BCBB5" w14:textId="4E7B8BD1" w:rsidR="0072606A" w:rsidRDefault="0072606A">
      <w:pPr>
        <w:pStyle w:val="FootnoteText"/>
      </w:pPr>
      <w:r>
        <w:rPr>
          <w:rStyle w:val="FootnoteReference"/>
        </w:rPr>
        <w:footnoteRef/>
      </w:r>
      <w:r>
        <w:t xml:space="preserve"> </w:t>
      </w:r>
      <w:hyperlink r:id="rId1" w:history="1">
        <w:r w:rsidRPr="00760F3D">
          <w:rPr>
            <w:rStyle w:val="Hyperlink"/>
          </w:rPr>
          <w:t>http://www.badleys.co.uk/traptester-overview.php</w:t>
        </w:r>
      </w:hyperlink>
      <w:r>
        <w:rPr>
          <w:rStyle w:val="Hyperlink"/>
        </w:rPr>
        <w:t xml:space="preserve"> </w:t>
      </w:r>
    </w:p>
  </w:footnote>
  <w:footnote w:id="2">
    <w:p w14:paraId="0CFD26CC" w14:textId="0305F022" w:rsidR="0072606A" w:rsidRDefault="0072606A">
      <w:pPr>
        <w:pStyle w:val="FootnoteText"/>
      </w:pPr>
      <w:r>
        <w:rPr>
          <w:rStyle w:val="FootnoteReference"/>
        </w:rPr>
        <w:footnoteRef/>
      </w:r>
      <w:r>
        <w:t xml:space="preserve"> </w:t>
      </w:r>
      <w:hyperlink r:id="rId2" w:history="1">
        <w:r w:rsidRPr="00760F3D">
          <w:rPr>
            <w:rStyle w:val="Hyperlink"/>
          </w:rPr>
          <w:t>https://www.fault-analysis-group.ucd.ie/gallery/relay.htm</w:t>
        </w:r>
      </w:hyperlink>
      <w:r>
        <w:rPr>
          <w:rStyle w:val="Hyperlink"/>
        </w:rPr>
        <w:t xml:space="preserve"> </w:t>
      </w:r>
    </w:p>
  </w:footnote>
  <w:footnote w:id="3">
    <w:p w14:paraId="4297A52F" w14:textId="050CFD02" w:rsidR="0072606A" w:rsidRDefault="0072606A">
      <w:pPr>
        <w:pStyle w:val="FootnoteText"/>
      </w:pPr>
      <w:r>
        <w:rPr>
          <w:rStyle w:val="FootnoteReference"/>
        </w:rPr>
        <w:footnoteRef/>
      </w:r>
      <w:r>
        <w:t xml:space="preserve"> </w:t>
      </w:r>
      <w:hyperlink r:id="rId3" w:history="1">
        <w:r w:rsidRPr="00577E3C">
          <w:rPr>
            <w:rStyle w:val="Hyperlink"/>
          </w:rPr>
          <w:t>http://www.software.slb.com/products/platform/Pages/petrel.aspx</w:t>
        </w:r>
      </w:hyperlink>
      <w:r>
        <w:t xml:space="preserve"> </w:t>
      </w:r>
    </w:p>
  </w:footnote>
  <w:footnote w:id="4">
    <w:p w14:paraId="77719F1B" w14:textId="0BCC19C7" w:rsidR="0072606A" w:rsidRDefault="0072606A">
      <w:pPr>
        <w:pStyle w:val="FootnoteText"/>
      </w:pPr>
      <w:r>
        <w:rPr>
          <w:rStyle w:val="FootnoteReference"/>
        </w:rPr>
        <w:footnoteRef/>
      </w:r>
      <w:r>
        <w:t xml:space="preserve"> </w:t>
      </w:r>
      <w:hyperlink r:id="rId4" w:history="1">
        <w:r w:rsidRPr="00577E3C">
          <w:rPr>
            <w:rStyle w:val="Hyperlink"/>
          </w:rPr>
          <w:t>https://www.faultseal.com/</w:t>
        </w:r>
      </w:hyperlink>
      <w:r>
        <w:t xml:space="preserve"> </w:t>
      </w:r>
    </w:p>
  </w:footnote>
  <w:footnote w:id="5">
    <w:p w14:paraId="0A0822F6" w14:textId="23AA8B65" w:rsidR="0072606A" w:rsidRDefault="0072606A">
      <w:pPr>
        <w:pStyle w:val="FootnoteText"/>
      </w:pPr>
      <w:r>
        <w:rPr>
          <w:rStyle w:val="FootnoteReference"/>
        </w:rPr>
        <w:footnoteRef/>
      </w:r>
      <w:r>
        <w:t xml:space="preserve"> </w:t>
      </w:r>
      <w:hyperlink r:id="rId5" w:history="1">
        <w:r w:rsidRPr="00577E3C">
          <w:rPr>
            <w:rStyle w:val="Hyperlink"/>
          </w:rPr>
          <w:t>http://www.badleys.co.uk/traptester-overview.php</w:t>
        </w:r>
      </w:hyperlink>
      <w:r>
        <w:t xml:space="preserve"> </w:t>
      </w:r>
    </w:p>
  </w:footnote>
  <w:footnote w:id="6">
    <w:p w14:paraId="1A79E6F9" w14:textId="453CB676" w:rsidR="0072606A" w:rsidRDefault="0072606A" w:rsidP="00E80F47">
      <w:r>
        <w:rPr>
          <w:rStyle w:val="FootnoteReference"/>
        </w:rPr>
        <w:footnoteRef/>
      </w:r>
      <w:r>
        <w:t xml:space="preserve"> </w:t>
      </w:r>
      <w:hyperlink r:id="rId6" w:history="1">
        <w:r w:rsidRPr="00A529D6">
          <w:rPr>
            <w:rStyle w:val="Hyperlink"/>
          </w:rPr>
          <w:t>http://wiki.aapg.org/Relative_permeability</w:t>
        </w:r>
      </w:hyperlink>
      <w:r>
        <w:t xml:space="preserve"> </w:t>
      </w:r>
    </w:p>
  </w:footnote>
  <w:footnote w:id="7">
    <w:p w14:paraId="13FE4203" w14:textId="739580A9" w:rsidR="0072606A" w:rsidRDefault="0072606A" w:rsidP="00E80F47">
      <w:r>
        <w:rPr>
          <w:rStyle w:val="FootnoteReference"/>
        </w:rPr>
        <w:footnoteRef/>
      </w:r>
      <w:r>
        <w:t xml:space="preserve"> </w:t>
      </w:r>
      <w:hyperlink r:id="rId7" w:history="1">
        <w:r w:rsidRPr="00A529D6">
          <w:rPr>
            <w:rStyle w:val="Hyperlink"/>
          </w:rPr>
          <w:t>http://wiki.aapg.org/Wettability</w:t>
        </w:r>
      </w:hyperlink>
      <w:r>
        <w:t xml:space="preserve"> </w:t>
      </w:r>
    </w:p>
  </w:footnote>
  <w:footnote w:id="8">
    <w:p w14:paraId="77B3B0D8" w14:textId="622C2F41" w:rsidR="0072606A" w:rsidRDefault="0072606A">
      <w:pPr>
        <w:pStyle w:val="FootnoteText"/>
      </w:pPr>
      <w:r>
        <w:rPr>
          <w:rStyle w:val="FootnoteReference"/>
        </w:rPr>
        <w:footnoteRef/>
      </w:r>
      <w:r>
        <w:t xml:space="preserve"> </w:t>
      </w:r>
      <w:hyperlink r:id="rId8" w:history="1">
        <w:r w:rsidRPr="00A529D6">
          <w:rPr>
            <w:rStyle w:val="Hyperlink"/>
          </w:rPr>
          <w:t>http://petrowiki.org/Relative_permeability</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F82F5B" w14:textId="75BAFB52" w:rsidR="0072606A" w:rsidRDefault="0072606A">
    <w:pPr>
      <w:pStyle w:val="Header"/>
    </w:pPr>
    <w:r>
      <w:rPr>
        <w:noProof/>
        <w:lang w:eastAsia="en-AU"/>
      </w:rPr>
      <mc:AlternateContent>
        <mc:Choice Requires="wps">
          <w:drawing>
            <wp:anchor distT="0" distB="0" distL="114300" distR="114300" simplePos="0" relativeHeight="251668480" behindDoc="1" locked="0" layoutInCell="0" allowOverlap="1" wp14:anchorId="1C5CD496" wp14:editId="025443D5">
              <wp:simplePos x="0" y="0"/>
              <wp:positionH relativeFrom="margin">
                <wp:align>center</wp:align>
              </wp:positionH>
              <wp:positionV relativeFrom="margin">
                <wp:align>center</wp:align>
              </wp:positionV>
              <wp:extent cx="6868795" cy="1211580"/>
              <wp:effectExtent l="0" t="2162175" r="0" b="1912620"/>
              <wp:wrapNone/>
              <wp:docPr id="35"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68795" cy="12115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49174B" w14:textId="77777777" w:rsidR="0072606A" w:rsidRDefault="0072606A" w:rsidP="002605DA">
                          <w:pPr>
                            <w:pStyle w:val="NormalWeb"/>
                            <w:spacing w:before="0" w:beforeAutospacing="0" w:after="0" w:afterAutospacing="0"/>
                            <w:jc w:val="center"/>
                          </w:pPr>
                          <w:r>
                            <w:rPr>
                              <w:rFonts w:ascii="Calibri" w:hAnsi="Calibri"/>
                              <w:color w:val="767171" w:themeColor="background2" w:themeShade="80"/>
                              <w:sz w:val="2"/>
                              <w:szCs w:val="2"/>
                              <w14:textFill>
                                <w14:solidFill>
                                  <w14:schemeClr w14:val="bg2">
                                    <w14:alpha w14:val="50000"/>
                                    <w14:lumMod w14:val="50000"/>
                                  </w14:schemeClr>
                                </w14:solidFill>
                              </w14:textFill>
                            </w:rPr>
                            <w:t>CONFIDENTIAL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C5CD496" id="_x0000_t202" coordsize="21600,21600" o:spt="202" path="m,l,21600r21600,l21600,xe">
              <v:stroke joinstyle="miter"/>
              <v:path gradientshapeok="t" o:connecttype="rect"/>
            </v:shapetype>
            <v:shape id="WordArt 6" o:spid="_x0000_s1026" type="#_x0000_t202" style="position:absolute;margin-left:0;margin-top:0;width:540.85pt;height:95.4pt;rotation:-45;z-index:-251648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" o:allowincell="f" filled="f" stroked="f">
              <v:stroke joinstyle="round"/>
              <o:lock v:ext="edit" shapetype="t"/>
              <v:textbox style="mso-fit-shape-to-text:t">
                <w:txbxContent>
                  <w:p w14:paraId="7549174B" w14:textId="77777777" w:rsidR="0072606A" w:rsidRDefault="0072606A" w:rsidP="002605DA">
                    <w:pPr>
                      <w:pStyle w:val="NormalWeb"/>
                      <w:spacing w:before="0" w:beforeAutospacing="0" w:after="0" w:afterAutospacing="0"/>
                      <w:jc w:val="center"/>
                    </w:pPr>
                    <w:r>
                      <w:rPr>
                        <w:rFonts w:ascii="Calibri" w:hAnsi="Calibri"/>
                        <w:color w:val="767171" w:themeColor="background2" w:themeShade="80"/>
                        <w:sz w:val="2"/>
                        <w:szCs w:val="2"/>
                        <w14:textFill>
                          <w14:solidFill>
                            <w14:schemeClr w14:val="bg2">
                              <w14:alpha w14:val="50000"/>
                              <w14:lumMod w14:val="50000"/>
                            </w14:schemeClr>
                          </w14:solidFill>
                        </w14:textFill>
                      </w:rPr>
                      <w:t>CONFIDENTIAL  DRAFT</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26F2D9" w14:textId="1179D887" w:rsidR="0072606A" w:rsidRDefault="0072606A">
    <w:pPr>
      <w:pStyle w:val="Header"/>
    </w:pPr>
    <w:r>
      <w:rPr>
        <w:noProof/>
        <w:lang w:eastAsia="en-AU"/>
      </w:rPr>
      <mc:AlternateContent>
        <mc:Choice Requires="wps">
          <w:drawing>
            <wp:anchor distT="0" distB="0" distL="114300" distR="114300" simplePos="0" relativeHeight="251669504" behindDoc="1" locked="0" layoutInCell="0" allowOverlap="1" wp14:anchorId="305432B8" wp14:editId="1920917B">
              <wp:simplePos x="0" y="0"/>
              <wp:positionH relativeFrom="margin">
                <wp:align>center</wp:align>
              </wp:positionH>
              <wp:positionV relativeFrom="margin">
                <wp:align>center</wp:align>
              </wp:positionV>
              <wp:extent cx="6868795" cy="1211580"/>
              <wp:effectExtent l="0" t="2162175" r="0" b="1912620"/>
              <wp:wrapNone/>
              <wp:docPr id="33"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68795" cy="12115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D7DF61" w14:textId="77777777" w:rsidR="0072606A" w:rsidRDefault="0072606A" w:rsidP="002605DA">
                          <w:pPr>
                            <w:pStyle w:val="NormalWeb"/>
                            <w:spacing w:before="0" w:beforeAutospacing="0" w:after="0" w:afterAutospacing="0"/>
                            <w:jc w:val="center"/>
                          </w:pPr>
                          <w:r>
                            <w:rPr>
                              <w:rFonts w:ascii="Calibri" w:hAnsi="Calibri"/>
                              <w:color w:val="767171" w:themeColor="background2" w:themeShade="80"/>
                              <w:sz w:val="2"/>
                              <w:szCs w:val="2"/>
                              <w14:textFill>
                                <w14:solidFill>
                                  <w14:schemeClr w14:val="bg2">
                                    <w14:alpha w14:val="50000"/>
                                    <w14:lumMod w14:val="50000"/>
                                  </w14:schemeClr>
                                </w14:solidFill>
                              </w14:textFill>
                            </w:rPr>
                            <w:t>CONFIDENTIAL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05432B8" id="_x0000_t202" coordsize="21600,21600" o:spt="202" path="m,l,21600r21600,l21600,xe">
              <v:stroke joinstyle="miter"/>
              <v:path gradientshapeok="t" o:connecttype="rect"/>
            </v:shapetype>
            <v:shape id="WordArt 7" o:spid="_x0000_s1027" type="#_x0000_t202" style="position:absolute;margin-left:0;margin-top:0;width:540.85pt;height:95.4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" o:allowincell="f" filled="f" stroked="f">
              <v:stroke joinstyle="round"/>
              <o:lock v:ext="edit" shapetype="t"/>
              <v:textbox style="mso-fit-shape-to-text:t">
                <w:txbxContent>
                  <w:p w14:paraId="6CD7DF61" w14:textId="77777777" w:rsidR="0072606A" w:rsidRDefault="0072606A" w:rsidP="002605DA">
                    <w:pPr>
                      <w:pStyle w:val="NormalWeb"/>
                      <w:spacing w:before="0" w:beforeAutospacing="0" w:after="0" w:afterAutospacing="0"/>
                      <w:jc w:val="center"/>
                    </w:pPr>
                    <w:r>
                      <w:rPr>
                        <w:rFonts w:ascii="Calibri" w:hAnsi="Calibri"/>
                        <w:color w:val="767171" w:themeColor="background2" w:themeShade="80"/>
                        <w:sz w:val="2"/>
                        <w:szCs w:val="2"/>
                        <w14:textFill>
                          <w14:solidFill>
                            <w14:schemeClr w14:val="bg2">
                              <w14:alpha w14:val="50000"/>
                              <w14:lumMod w14:val="50000"/>
                            </w14:schemeClr>
                          </w14:solidFill>
                        </w14:textFill>
                      </w:rPr>
                      <w:t>CONFIDENTIAL  DRAFT</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AF9057" w14:textId="22DE9914" w:rsidR="0072606A" w:rsidRDefault="0072606A">
    <w:pPr>
      <w:pStyle w:val="Header"/>
    </w:pPr>
    <w:r>
      <w:rPr>
        <w:noProof/>
        <w:lang w:eastAsia="en-AU"/>
      </w:rPr>
      <mc:AlternateContent>
        <mc:Choice Requires="wps">
          <w:drawing>
            <wp:anchor distT="0" distB="0" distL="114300" distR="114300" simplePos="0" relativeHeight="251667456" behindDoc="1" locked="0" layoutInCell="0" allowOverlap="1" wp14:anchorId="292A8779" wp14:editId="1A9D62A8">
              <wp:simplePos x="0" y="0"/>
              <wp:positionH relativeFrom="margin">
                <wp:align>center</wp:align>
              </wp:positionH>
              <wp:positionV relativeFrom="margin">
                <wp:align>center</wp:align>
              </wp:positionV>
              <wp:extent cx="6868795" cy="1211580"/>
              <wp:effectExtent l="0" t="2162175" r="0" b="1912620"/>
              <wp:wrapNone/>
              <wp:docPr id="24"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68795" cy="12115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66BAB3" w14:textId="77777777" w:rsidR="0072606A" w:rsidRDefault="0072606A" w:rsidP="002605DA">
                          <w:pPr>
                            <w:pStyle w:val="NormalWeb"/>
                            <w:spacing w:before="0" w:beforeAutospacing="0" w:after="0" w:afterAutospacing="0"/>
                            <w:jc w:val="center"/>
                          </w:pPr>
                          <w:r>
                            <w:rPr>
                              <w:rFonts w:ascii="Calibri" w:hAnsi="Calibri"/>
                              <w:color w:val="767171" w:themeColor="background2" w:themeShade="80"/>
                              <w:sz w:val="2"/>
                              <w:szCs w:val="2"/>
                              <w14:textFill>
                                <w14:solidFill>
                                  <w14:schemeClr w14:val="bg2">
                                    <w14:alpha w14:val="50000"/>
                                    <w14:lumMod w14:val="50000"/>
                                  </w14:schemeClr>
                                </w14:solidFill>
                              </w14:textFill>
                            </w:rPr>
                            <w:t>CONFIDENTIAL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92A8779" id="_x0000_t202" coordsize="21600,21600" o:spt="202" path="m,l,21600r21600,l21600,xe">
              <v:stroke joinstyle="miter"/>
              <v:path gradientshapeok="t" o:connecttype="rect"/>
            </v:shapetype>
            <v:shape id="WordArt 5" o:spid="_x0000_s1028" type="#_x0000_t202" style="position:absolute;margin-left:0;margin-top:0;width:540.85pt;height:95.4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" o:allowincell="f" filled="f" stroked="f">
              <v:stroke joinstyle="round"/>
              <o:lock v:ext="edit" shapetype="t"/>
              <v:textbox style="mso-fit-shape-to-text:t">
                <w:txbxContent>
                  <w:p w14:paraId="2266BAB3" w14:textId="77777777" w:rsidR="0072606A" w:rsidRDefault="0072606A" w:rsidP="002605DA">
                    <w:pPr>
                      <w:pStyle w:val="NormalWeb"/>
                      <w:spacing w:before="0" w:beforeAutospacing="0" w:after="0" w:afterAutospacing="0"/>
                      <w:jc w:val="center"/>
                    </w:pPr>
                    <w:r>
                      <w:rPr>
                        <w:rFonts w:ascii="Calibri" w:hAnsi="Calibri"/>
                        <w:color w:val="767171" w:themeColor="background2" w:themeShade="80"/>
                        <w:sz w:val="2"/>
                        <w:szCs w:val="2"/>
                        <w14:textFill>
                          <w14:solidFill>
                            <w14:schemeClr w14:val="bg2">
                              <w14:alpha w14:val="50000"/>
                              <w14:lumMod w14:val="50000"/>
                            </w14:schemeClr>
                          </w14:solidFill>
                        </w14:textFill>
                      </w:rPr>
                      <w:t>CONFIDENTIAL  DRAFT</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4FDE3D" w14:textId="77777777" w:rsidR="0072606A" w:rsidRDefault="0072606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D33E6" w14:textId="7BA8C40B" w:rsidR="0072606A" w:rsidRDefault="0072606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4BDC2" w14:textId="77777777" w:rsidR="0072606A" w:rsidRDefault="007260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0343C"/>
    <w:multiLevelType w:val="hybridMultilevel"/>
    <w:tmpl w:val="9B1AA18A"/>
    <w:lvl w:ilvl="0" w:tplc="4014B02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A3C4D38"/>
    <w:multiLevelType w:val="hybridMultilevel"/>
    <w:tmpl w:val="5E3EED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C246612"/>
    <w:multiLevelType w:val="multilevel"/>
    <w:tmpl w:val="C130C374"/>
    <w:lvl w:ilvl="0">
      <w:start w:val="1"/>
      <w:numFmt w:val="decimal"/>
      <w:pStyle w:val="OWSnumberedlistL1"/>
      <w:lvlText w:val="%1."/>
      <w:lvlJc w:val="left"/>
      <w:pPr>
        <w:ind w:left="360" w:hanging="360"/>
      </w:pPr>
      <w:rPr>
        <w:rFonts w:ascii="Arial" w:eastAsiaTheme="minorHAnsi" w:hAnsi="Arial" w:cs="Arial" w:hint="default"/>
        <w:color w:val="auto"/>
        <w:sz w:val="22"/>
      </w:rPr>
    </w:lvl>
    <w:lvl w:ilvl="1">
      <w:start w:val="1"/>
      <w:numFmt w:val="lowerLetter"/>
      <w:pStyle w:val="OWSnumberedlistL2"/>
      <w:lvlText w:val="%2."/>
      <w:lvlJc w:val="left"/>
      <w:pPr>
        <w:ind w:left="1440" w:hanging="476"/>
      </w:pPr>
      <w:rPr>
        <w:rFonts w:ascii="Arial" w:hAnsi="Arial" w:hint="default"/>
        <w:sz w:val="22"/>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DC03AC9"/>
    <w:multiLevelType w:val="hybridMultilevel"/>
    <w:tmpl w:val="2B467CA2"/>
    <w:lvl w:ilvl="0" w:tplc="41ACC9A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00F1D10"/>
    <w:multiLevelType w:val="hybridMultilevel"/>
    <w:tmpl w:val="3F146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3B03099"/>
    <w:multiLevelType w:val="hybridMultilevel"/>
    <w:tmpl w:val="48322F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C76331A"/>
    <w:multiLevelType w:val="hybridMultilevel"/>
    <w:tmpl w:val="3C7829DE"/>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2B14D6B"/>
    <w:multiLevelType w:val="hybridMultilevel"/>
    <w:tmpl w:val="811EC5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A1F532B"/>
    <w:multiLevelType w:val="hybridMultilevel"/>
    <w:tmpl w:val="D55A8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823492"/>
    <w:multiLevelType w:val="hybridMultilevel"/>
    <w:tmpl w:val="28687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B2C14F0"/>
    <w:multiLevelType w:val="hybridMultilevel"/>
    <w:tmpl w:val="FB8CE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2054A35"/>
    <w:multiLevelType w:val="hybridMultilevel"/>
    <w:tmpl w:val="20B879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224006B"/>
    <w:multiLevelType w:val="hybridMultilevel"/>
    <w:tmpl w:val="BF9EA01A"/>
    <w:lvl w:ilvl="0" w:tplc="1D9A1616">
      <w:start w:val="3"/>
      <w:numFmt w:val="bullet"/>
      <w:lvlText w:val="•"/>
      <w:lvlJc w:val="left"/>
      <w:pPr>
        <w:ind w:left="1080" w:hanging="72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71F0AC4"/>
    <w:multiLevelType w:val="hybridMultilevel"/>
    <w:tmpl w:val="8584C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7A77BEC"/>
    <w:multiLevelType w:val="hybridMultilevel"/>
    <w:tmpl w:val="A75886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26577A7"/>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6744755C"/>
    <w:multiLevelType w:val="hybridMultilevel"/>
    <w:tmpl w:val="497C7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8EE1C56"/>
    <w:multiLevelType w:val="hybridMultilevel"/>
    <w:tmpl w:val="836E9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B7252C"/>
    <w:multiLevelType w:val="hybridMultilevel"/>
    <w:tmpl w:val="7C065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14"/>
  </w:num>
  <w:num w:numId="4">
    <w:abstractNumId w:val="7"/>
  </w:num>
  <w:num w:numId="5">
    <w:abstractNumId w:val="1"/>
  </w:num>
  <w:num w:numId="6">
    <w:abstractNumId w:val="13"/>
  </w:num>
  <w:num w:numId="7">
    <w:abstractNumId w:val="5"/>
  </w:num>
  <w:num w:numId="8">
    <w:abstractNumId w:val="4"/>
  </w:num>
  <w:num w:numId="9">
    <w:abstractNumId w:val="6"/>
  </w:num>
  <w:num w:numId="10">
    <w:abstractNumId w:val="15"/>
  </w:num>
  <w:num w:numId="11">
    <w:abstractNumId w:val="9"/>
  </w:num>
  <w:num w:numId="12">
    <w:abstractNumId w:val="16"/>
  </w:num>
  <w:num w:numId="13">
    <w:abstractNumId w:val="18"/>
  </w:num>
  <w:num w:numId="14">
    <w:abstractNumId w:val="3"/>
  </w:num>
  <w:num w:numId="15">
    <w:abstractNumId w:val="12"/>
  </w:num>
  <w:num w:numId="16">
    <w:abstractNumId w:val="2"/>
  </w:num>
  <w:num w:numId="17">
    <w:abstractNumId w:val="17"/>
  </w:num>
  <w:num w:numId="18">
    <w:abstractNumId w:val="0"/>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 jims preference&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dw955e570trvge00ws5rpw1rf9dp9saxd29&quot;&gt;Jims EndNote Library&lt;record-ids&gt;&lt;item&gt;16&lt;/item&gt;&lt;item&gt;360&lt;/item&gt;&lt;item&gt;414&lt;/item&gt;&lt;item&gt;415&lt;/item&gt;&lt;item&gt;416&lt;/item&gt;&lt;item&gt;417&lt;/item&gt;&lt;item&gt;418&lt;/item&gt;&lt;item&gt;419&lt;/item&gt;&lt;item&gt;420&lt;/item&gt;&lt;item&gt;441&lt;/item&gt;&lt;item&gt;505&lt;/item&gt;&lt;/record-ids&gt;&lt;/item&gt;&lt;/Libraries&gt;"/>
  </w:docVars>
  <w:rsids>
    <w:rsidRoot w:val="005A6DF0"/>
    <w:rsid w:val="0000017F"/>
    <w:rsid w:val="00000382"/>
    <w:rsid w:val="000003FF"/>
    <w:rsid w:val="0001107A"/>
    <w:rsid w:val="00014698"/>
    <w:rsid w:val="00021BF7"/>
    <w:rsid w:val="00035E2A"/>
    <w:rsid w:val="0004075E"/>
    <w:rsid w:val="00041B73"/>
    <w:rsid w:val="0005345B"/>
    <w:rsid w:val="0005659B"/>
    <w:rsid w:val="00056F98"/>
    <w:rsid w:val="0006110D"/>
    <w:rsid w:val="00064A53"/>
    <w:rsid w:val="0006766D"/>
    <w:rsid w:val="00073914"/>
    <w:rsid w:val="000820FD"/>
    <w:rsid w:val="00084C18"/>
    <w:rsid w:val="000960B8"/>
    <w:rsid w:val="000A2781"/>
    <w:rsid w:val="000A56C5"/>
    <w:rsid w:val="000A59AA"/>
    <w:rsid w:val="000A619C"/>
    <w:rsid w:val="000B42D8"/>
    <w:rsid w:val="000C2783"/>
    <w:rsid w:val="000C7CB9"/>
    <w:rsid w:val="000D1ACB"/>
    <w:rsid w:val="000D25CA"/>
    <w:rsid w:val="000E1D1D"/>
    <w:rsid w:val="000E3CFA"/>
    <w:rsid w:val="000E5E7D"/>
    <w:rsid w:val="000E720F"/>
    <w:rsid w:val="000F5F3B"/>
    <w:rsid w:val="001018BD"/>
    <w:rsid w:val="00106506"/>
    <w:rsid w:val="001123E5"/>
    <w:rsid w:val="00116F2F"/>
    <w:rsid w:val="00122354"/>
    <w:rsid w:val="00133D2F"/>
    <w:rsid w:val="00133E6F"/>
    <w:rsid w:val="00141232"/>
    <w:rsid w:val="00144B7B"/>
    <w:rsid w:val="0015202D"/>
    <w:rsid w:val="001549A5"/>
    <w:rsid w:val="001635E1"/>
    <w:rsid w:val="001671F0"/>
    <w:rsid w:val="00176F6D"/>
    <w:rsid w:val="00180D1B"/>
    <w:rsid w:val="0018267E"/>
    <w:rsid w:val="00185803"/>
    <w:rsid w:val="00194472"/>
    <w:rsid w:val="001A47F0"/>
    <w:rsid w:val="001A5F4C"/>
    <w:rsid w:val="001A7FBD"/>
    <w:rsid w:val="001B230C"/>
    <w:rsid w:val="001B6538"/>
    <w:rsid w:val="001C0485"/>
    <w:rsid w:val="001C227A"/>
    <w:rsid w:val="001C3ECB"/>
    <w:rsid w:val="001C7483"/>
    <w:rsid w:val="001D3D9F"/>
    <w:rsid w:val="001D5EF5"/>
    <w:rsid w:val="001E0F17"/>
    <w:rsid w:val="001E1768"/>
    <w:rsid w:val="001E3814"/>
    <w:rsid w:val="001F2476"/>
    <w:rsid w:val="001F2EEE"/>
    <w:rsid w:val="001F45CD"/>
    <w:rsid w:val="0020078E"/>
    <w:rsid w:val="002018D4"/>
    <w:rsid w:val="002059E0"/>
    <w:rsid w:val="00212AA7"/>
    <w:rsid w:val="0021578A"/>
    <w:rsid w:val="00217427"/>
    <w:rsid w:val="00237750"/>
    <w:rsid w:val="00242908"/>
    <w:rsid w:val="002465A0"/>
    <w:rsid w:val="00251B3B"/>
    <w:rsid w:val="00251CFF"/>
    <w:rsid w:val="0025548C"/>
    <w:rsid w:val="002605DA"/>
    <w:rsid w:val="00260B73"/>
    <w:rsid w:val="0026198A"/>
    <w:rsid w:val="00265C91"/>
    <w:rsid w:val="002671BF"/>
    <w:rsid w:val="0026766B"/>
    <w:rsid w:val="00284ED3"/>
    <w:rsid w:val="00286976"/>
    <w:rsid w:val="0028730E"/>
    <w:rsid w:val="002932B4"/>
    <w:rsid w:val="002A3701"/>
    <w:rsid w:val="002A60A7"/>
    <w:rsid w:val="002A66CD"/>
    <w:rsid w:val="002A781B"/>
    <w:rsid w:val="002B28F5"/>
    <w:rsid w:val="002B4840"/>
    <w:rsid w:val="002B77A1"/>
    <w:rsid w:val="002C4173"/>
    <w:rsid w:val="002C4657"/>
    <w:rsid w:val="002C49C5"/>
    <w:rsid w:val="002C6D9D"/>
    <w:rsid w:val="002D73CE"/>
    <w:rsid w:val="002D759C"/>
    <w:rsid w:val="002E4E04"/>
    <w:rsid w:val="002E65FF"/>
    <w:rsid w:val="002E7A36"/>
    <w:rsid w:val="002F4A1A"/>
    <w:rsid w:val="002F59AA"/>
    <w:rsid w:val="00300DB0"/>
    <w:rsid w:val="00304407"/>
    <w:rsid w:val="0030466A"/>
    <w:rsid w:val="0030755E"/>
    <w:rsid w:val="00307AFE"/>
    <w:rsid w:val="00312D07"/>
    <w:rsid w:val="00312D6C"/>
    <w:rsid w:val="003152DC"/>
    <w:rsid w:val="00315AB9"/>
    <w:rsid w:val="003202CF"/>
    <w:rsid w:val="0032189F"/>
    <w:rsid w:val="00331A3F"/>
    <w:rsid w:val="00332B78"/>
    <w:rsid w:val="0033370D"/>
    <w:rsid w:val="0033572C"/>
    <w:rsid w:val="00341D10"/>
    <w:rsid w:val="00363E1F"/>
    <w:rsid w:val="00364CD5"/>
    <w:rsid w:val="00367F38"/>
    <w:rsid w:val="00371572"/>
    <w:rsid w:val="0037201E"/>
    <w:rsid w:val="003750AD"/>
    <w:rsid w:val="00377F94"/>
    <w:rsid w:val="00382686"/>
    <w:rsid w:val="00391D3A"/>
    <w:rsid w:val="00393BEF"/>
    <w:rsid w:val="00394983"/>
    <w:rsid w:val="003A2A4F"/>
    <w:rsid w:val="003A46FC"/>
    <w:rsid w:val="003A5408"/>
    <w:rsid w:val="003A540F"/>
    <w:rsid w:val="003B1DC9"/>
    <w:rsid w:val="003B3D7F"/>
    <w:rsid w:val="003B42D7"/>
    <w:rsid w:val="003B6FAF"/>
    <w:rsid w:val="003C7730"/>
    <w:rsid w:val="003D2420"/>
    <w:rsid w:val="003D4416"/>
    <w:rsid w:val="003D5135"/>
    <w:rsid w:val="003D542A"/>
    <w:rsid w:val="003E15C4"/>
    <w:rsid w:val="003E5AC8"/>
    <w:rsid w:val="003E67C2"/>
    <w:rsid w:val="003F5D74"/>
    <w:rsid w:val="00401585"/>
    <w:rsid w:val="00404588"/>
    <w:rsid w:val="00410A37"/>
    <w:rsid w:val="00410BD2"/>
    <w:rsid w:val="00417B05"/>
    <w:rsid w:val="00426D91"/>
    <w:rsid w:val="004311F3"/>
    <w:rsid w:val="004321C0"/>
    <w:rsid w:val="00433674"/>
    <w:rsid w:val="00433723"/>
    <w:rsid w:val="004357C6"/>
    <w:rsid w:val="00442898"/>
    <w:rsid w:val="004446C8"/>
    <w:rsid w:val="004452AB"/>
    <w:rsid w:val="00451783"/>
    <w:rsid w:val="0046202F"/>
    <w:rsid w:val="0046521F"/>
    <w:rsid w:val="0047127E"/>
    <w:rsid w:val="0047281E"/>
    <w:rsid w:val="0047383D"/>
    <w:rsid w:val="004742B8"/>
    <w:rsid w:val="00480E6B"/>
    <w:rsid w:val="00487ADC"/>
    <w:rsid w:val="004926C9"/>
    <w:rsid w:val="00493164"/>
    <w:rsid w:val="004A4493"/>
    <w:rsid w:val="004A55C6"/>
    <w:rsid w:val="004B06CF"/>
    <w:rsid w:val="004B307A"/>
    <w:rsid w:val="004B5F52"/>
    <w:rsid w:val="004C2FA3"/>
    <w:rsid w:val="004C49B8"/>
    <w:rsid w:val="004C651E"/>
    <w:rsid w:val="004D712D"/>
    <w:rsid w:val="004E7E90"/>
    <w:rsid w:val="004F097B"/>
    <w:rsid w:val="004F3207"/>
    <w:rsid w:val="004F3B39"/>
    <w:rsid w:val="004F4884"/>
    <w:rsid w:val="004F49D9"/>
    <w:rsid w:val="005002A4"/>
    <w:rsid w:val="005111D5"/>
    <w:rsid w:val="00516404"/>
    <w:rsid w:val="00521439"/>
    <w:rsid w:val="005272EC"/>
    <w:rsid w:val="00535FAA"/>
    <w:rsid w:val="00542DCF"/>
    <w:rsid w:val="005436E8"/>
    <w:rsid w:val="00543AEA"/>
    <w:rsid w:val="00545403"/>
    <w:rsid w:val="00545746"/>
    <w:rsid w:val="00554444"/>
    <w:rsid w:val="00557C3F"/>
    <w:rsid w:val="00560B6C"/>
    <w:rsid w:val="00561FAF"/>
    <w:rsid w:val="0056265A"/>
    <w:rsid w:val="00563887"/>
    <w:rsid w:val="00566259"/>
    <w:rsid w:val="00573A45"/>
    <w:rsid w:val="005756B1"/>
    <w:rsid w:val="00577FF0"/>
    <w:rsid w:val="0058571E"/>
    <w:rsid w:val="00592EDA"/>
    <w:rsid w:val="00596334"/>
    <w:rsid w:val="00597A00"/>
    <w:rsid w:val="005A5ED8"/>
    <w:rsid w:val="005A60D3"/>
    <w:rsid w:val="005A6DF0"/>
    <w:rsid w:val="005B0C74"/>
    <w:rsid w:val="005B44DF"/>
    <w:rsid w:val="005B4789"/>
    <w:rsid w:val="005C4351"/>
    <w:rsid w:val="005C5B2D"/>
    <w:rsid w:val="005C5F46"/>
    <w:rsid w:val="005D0100"/>
    <w:rsid w:val="005F28F6"/>
    <w:rsid w:val="005F38D7"/>
    <w:rsid w:val="00600127"/>
    <w:rsid w:val="00601F4E"/>
    <w:rsid w:val="0060387B"/>
    <w:rsid w:val="00606611"/>
    <w:rsid w:val="00606AD1"/>
    <w:rsid w:val="006113CF"/>
    <w:rsid w:val="0061563B"/>
    <w:rsid w:val="006164F4"/>
    <w:rsid w:val="00621BF5"/>
    <w:rsid w:val="00625A04"/>
    <w:rsid w:val="00631EA4"/>
    <w:rsid w:val="006337EE"/>
    <w:rsid w:val="00636C33"/>
    <w:rsid w:val="00645A96"/>
    <w:rsid w:val="00653000"/>
    <w:rsid w:val="006565D2"/>
    <w:rsid w:val="00657E75"/>
    <w:rsid w:val="006639EB"/>
    <w:rsid w:val="0066541D"/>
    <w:rsid w:val="00666FC9"/>
    <w:rsid w:val="0066745A"/>
    <w:rsid w:val="00672D5C"/>
    <w:rsid w:val="00672DAE"/>
    <w:rsid w:val="00676C38"/>
    <w:rsid w:val="006770CE"/>
    <w:rsid w:val="00682428"/>
    <w:rsid w:val="0068504C"/>
    <w:rsid w:val="006852AE"/>
    <w:rsid w:val="006857DE"/>
    <w:rsid w:val="00686509"/>
    <w:rsid w:val="006A187F"/>
    <w:rsid w:val="006A28CD"/>
    <w:rsid w:val="006B1C65"/>
    <w:rsid w:val="006B36FF"/>
    <w:rsid w:val="006C0FFD"/>
    <w:rsid w:val="006E33BF"/>
    <w:rsid w:val="006E580E"/>
    <w:rsid w:val="006E7680"/>
    <w:rsid w:val="006F273C"/>
    <w:rsid w:val="006F2BC2"/>
    <w:rsid w:val="006F4DE0"/>
    <w:rsid w:val="006F74F0"/>
    <w:rsid w:val="0070347B"/>
    <w:rsid w:val="0071409A"/>
    <w:rsid w:val="00716E39"/>
    <w:rsid w:val="0072606A"/>
    <w:rsid w:val="0072724F"/>
    <w:rsid w:val="007315C1"/>
    <w:rsid w:val="00734652"/>
    <w:rsid w:val="0073716F"/>
    <w:rsid w:val="0073777E"/>
    <w:rsid w:val="0075022D"/>
    <w:rsid w:val="00750F67"/>
    <w:rsid w:val="00762258"/>
    <w:rsid w:val="0076600B"/>
    <w:rsid w:val="0077194F"/>
    <w:rsid w:val="007730E8"/>
    <w:rsid w:val="00777537"/>
    <w:rsid w:val="00777C41"/>
    <w:rsid w:val="00785F15"/>
    <w:rsid w:val="00791C00"/>
    <w:rsid w:val="00795173"/>
    <w:rsid w:val="007A158A"/>
    <w:rsid w:val="007A7CD4"/>
    <w:rsid w:val="007B04DD"/>
    <w:rsid w:val="007B2006"/>
    <w:rsid w:val="007B3DD5"/>
    <w:rsid w:val="007B4750"/>
    <w:rsid w:val="007B7582"/>
    <w:rsid w:val="007C5879"/>
    <w:rsid w:val="007D1AB3"/>
    <w:rsid w:val="007D3803"/>
    <w:rsid w:val="007D501C"/>
    <w:rsid w:val="007E56F8"/>
    <w:rsid w:val="007E7A9B"/>
    <w:rsid w:val="007F337D"/>
    <w:rsid w:val="007F3604"/>
    <w:rsid w:val="00810366"/>
    <w:rsid w:val="00812A6A"/>
    <w:rsid w:val="008206A7"/>
    <w:rsid w:val="00820720"/>
    <w:rsid w:val="00821DEB"/>
    <w:rsid w:val="00826FE7"/>
    <w:rsid w:val="008319F8"/>
    <w:rsid w:val="00832078"/>
    <w:rsid w:val="008335E9"/>
    <w:rsid w:val="00841893"/>
    <w:rsid w:val="00843C27"/>
    <w:rsid w:val="00844CC3"/>
    <w:rsid w:val="008457DA"/>
    <w:rsid w:val="00846019"/>
    <w:rsid w:val="0085491B"/>
    <w:rsid w:val="00854D71"/>
    <w:rsid w:val="008561BD"/>
    <w:rsid w:val="00856631"/>
    <w:rsid w:val="00857D4D"/>
    <w:rsid w:val="00860734"/>
    <w:rsid w:val="0086389E"/>
    <w:rsid w:val="00870F04"/>
    <w:rsid w:val="00877641"/>
    <w:rsid w:val="00886035"/>
    <w:rsid w:val="00886783"/>
    <w:rsid w:val="00886CB9"/>
    <w:rsid w:val="00894B7F"/>
    <w:rsid w:val="00896B34"/>
    <w:rsid w:val="008A7B31"/>
    <w:rsid w:val="008B3D0B"/>
    <w:rsid w:val="008B4F14"/>
    <w:rsid w:val="008B54E5"/>
    <w:rsid w:val="008B5BDA"/>
    <w:rsid w:val="008B6D70"/>
    <w:rsid w:val="008C068F"/>
    <w:rsid w:val="008C06EE"/>
    <w:rsid w:val="008C0916"/>
    <w:rsid w:val="008C46A7"/>
    <w:rsid w:val="008D29F0"/>
    <w:rsid w:val="008E1209"/>
    <w:rsid w:val="008E4E74"/>
    <w:rsid w:val="008F635A"/>
    <w:rsid w:val="00900C07"/>
    <w:rsid w:val="00903AAA"/>
    <w:rsid w:val="00910CFB"/>
    <w:rsid w:val="00912A33"/>
    <w:rsid w:val="00930EFC"/>
    <w:rsid w:val="009329B0"/>
    <w:rsid w:val="00936315"/>
    <w:rsid w:val="00936468"/>
    <w:rsid w:val="00937596"/>
    <w:rsid w:val="009501C9"/>
    <w:rsid w:val="00953A46"/>
    <w:rsid w:val="0095467B"/>
    <w:rsid w:val="009549DA"/>
    <w:rsid w:val="0095678E"/>
    <w:rsid w:val="009626D8"/>
    <w:rsid w:val="00967815"/>
    <w:rsid w:val="00972E77"/>
    <w:rsid w:val="009745A0"/>
    <w:rsid w:val="00976733"/>
    <w:rsid w:val="0097789C"/>
    <w:rsid w:val="0098061D"/>
    <w:rsid w:val="009809B7"/>
    <w:rsid w:val="009850A7"/>
    <w:rsid w:val="00985DC0"/>
    <w:rsid w:val="009910EE"/>
    <w:rsid w:val="009A74FA"/>
    <w:rsid w:val="009B0D6E"/>
    <w:rsid w:val="009C0710"/>
    <w:rsid w:val="009C16A1"/>
    <w:rsid w:val="009C69C0"/>
    <w:rsid w:val="009C6DB5"/>
    <w:rsid w:val="009D03AE"/>
    <w:rsid w:val="009D2F38"/>
    <w:rsid w:val="009D61FA"/>
    <w:rsid w:val="009D733F"/>
    <w:rsid w:val="009D7E64"/>
    <w:rsid w:val="009E2320"/>
    <w:rsid w:val="009E2957"/>
    <w:rsid w:val="009E461F"/>
    <w:rsid w:val="009F37CA"/>
    <w:rsid w:val="009F6D5D"/>
    <w:rsid w:val="00A052A6"/>
    <w:rsid w:val="00A05A3F"/>
    <w:rsid w:val="00A12AF9"/>
    <w:rsid w:val="00A15A32"/>
    <w:rsid w:val="00A17BF9"/>
    <w:rsid w:val="00A237A9"/>
    <w:rsid w:val="00A25435"/>
    <w:rsid w:val="00A30FF5"/>
    <w:rsid w:val="00A3778E"/>
    <w:rsid w:val="00A37AC2"/>
    <w:rsid w:val="00A423B0"/>
    <w:rsid w:val="00A440CE"/>
    <w:rsid w:val="00A52D05"/>
    <w:rsid w:val="00A532A6"/>
    <w:rsid w:val="00A60C9C"/>
    <w:rsid w:val="00A61B72"/>
    <w:rsid w:val="00A6255B"/>
    <w:rsid w:val="00A63B9F"/>
    <w:rsid w:val="00A64805"/>
    <w:rsid w:val="00A6507D"/>
    <w:rsid w:val="00A66746"/>
    <w:rsid w:val="00A67D24"/>
    <w:rsid w:val="00A76A25"/>
    <w:rsid w:val="00A77F8B"/>
    <w:rsid w:val="00A8116A"/>
    <w:rsid w:val="00A90192"/>
    <w:rsid w:val="00A9534A"/>
    <w:rsid w:val="00AA038A"/>
    <w:rsid w:val="00AA128E"/>
    <w:rsid w:val="00AA51BF"/>
    <w:rsid w:val="00AB07B8"/>
    <w:rsid w:val="00AB7C5B"/>
    <w:rsid w:val="00AC030D"/>
    <w:rsid w:val="00AC119B"/>
    <w:rsid w:val="00AE50D9"/>
    <w:rsid w:val="00AE5A9E"/>
    <w:rsid w:val="00AE726F"/>
    <w:rsid w:val="00AF08DE"/>
    <w:rsid w:val="00AF36DF"/>
    <w:rsid w:val="00AF63C0"/>
    <w:rsid w:val="00B02BEC"/>
    <w:rsid w:val="00B02C7C"/>
    <w:rsid w:val="00B034FE"/>
    <w:rsid w:val="00B04328"/>
    <w:rsid w:val="00B043AB"/>
    <w:rsid w:val="00B0741D"/>
    <w:rsid w:val="00B07FD3"/>
    <w:rsid w:val="00B10592"/>
    <w:rsid w:val="00B11623"/>
    <w:rsid w:val="00B13E18"/>
    <w:rsid w:val="00B21953"/>
    <w:rsid w:val="00B34A2A"/>
    <w:rsid w:val="00B35CE3"/>
    <w:rsid w:val="00B36F99"/>
    <w:rsid w:val="00B3745E"/>
    <w:rsid w:val="00B430F9"/>
    <w:rsid w:val="00B44845"/>
    <w:rsid w:val="00B531FD"/>
    <w:rsid w:val="00B55126"/>
    <w:rsid w:val="00B55882"/>
    <w:rsid w:val="00B66B49"/>
    <w:rsid w:val="00B67A50"/>
    <w:rsid w:val="00B71996"/>
    <w:rsid w:val="00B72CBA"/>
    <w:rsid w:val="00B7357E"/>
    <w:rsid w:val="00B73751"/>
    <w:rsid w:val="00B83A54"/>
    <w:rsid w:val="00B92752"/>
    <w:rsid w:val="00B937FE"/>
    <w:rsid w:val="00B93F8C"/>
    <w:rsid w:val="00BA499D"/>
    <w:rsid w:val="00BA7B5D"/>
    <w:rsid w:val="00BB188C"/>
    <w:rsid w:val="00BC02FA"/>
    <w:rsid w:val="00BC1171"/>
    <w:rsid w:val="00BC3807"/>
    <w:rsid w:val="00BD0B12"/>
    <w:rsid w:val="00BE3A91"/>
    <w:rsid w:val="00BE4097"/>
    <w:rsid w:val="00BE49A5"/>
    <w:rsid w:val="00BE50B4"/>
    <w:rsid w:val="00BF184E"/>
    <w:rsid w:val="00BF2B08"/>
    <w:rsid w:val="00C2139F"/>
    <w:rsid w:val="00C25FB0"/>
    <w:rsid w:val="00C261E4"/>
    <w:rsid w:val="00C35132"/>
    <w:rsid w:val="00C40492"/>
    <w:rsid w:val="00C446DA"/>
    <w:rsid w:val="00C466D2"/>
    <w:rsid w:val="00C51988"/>
    <w:rsid w:val="00C52E1F"/>
    <w:rsid w:val="00C575F0"/>
    <w:rsid w:val="00C65F03"/>
    <w:rsid w:val="00C6614D"/>
    <w:rsid w:val="00C70CB1"/>
    <w:rsid w:val="00C7214E"/>
    <w:rsid w:val="00C729F9"/>
    <w:rsid w:val="00C75A1D"/>
    <w:rsid w:val="00C771FF"/>
    <w:rsid w:val="00C81968"/>
    <w:rsid w:val="00C84166"/>
    <w:rsid w:val="00C86B34"/>
    <w:rsid w:val="00C95347"/>
    <w:rsid w:val="00C96F40"/>
    <w:rsid w:val="00CA164D"/>
    <w:rsid w:val="00CA67B2"/>
    <w:rsid w:val="00CA6BD2"/>
    <w:rsid w:val="00CC2081"/>
    <w:rsid w:val="00CC34E3"/>
    <w:rsid w:val="00CC5ED4"/>
    <w:rsid w:val="00CE1E14"/>
    <w:rsid w:val="00CE22EB"/>
    <w:rsid w:val="00CF0EB5"/>
    <w:rsid w:val="00CF2482"/>
    <w:rsid w:val="00CF68C6"/>
    <w:rsid w:val="00CF6AC7"/>
    <w:rsid w:val="00D006E7"/>
    <w:rsid w:val="00D01553"/>
    <w:rsid w:val="00D04498"/>
    <w:rsid w:val="00D1739E"/>
    <w:rsid w:val="00D17862"/>
    <w:rsid w:val="00D21F5A"/>
    <w:rsid w:val="00D22345"/>
    <w:rsid w:val="00D230AD"/>
    <w:rsid w:val="00D23488"/>
    <w:rsid w:val="00D32F99"/>
    <w:rsid w:val="00D432EA"/>
    <w:rsid w:val="00D4735B"/>
    <w:rsid w:val="00D52842"/>
    <w:rsid w:val="00D5299B"/>
    <w:rsid w:val="00D567BB"/>
    <w:rsid w:val="00D65209"/>
    <w:rsid w:val="00D65E41"/>
    <w:rsid w:val="00D7114B"/>
    <w:rsid w:val="00D76201"/>
    <w:rsid w:val="00D77D84"/>
    <w:rsid w:val="00D81172"/>
    <w:rsid w:val="00D85048"/>
    <w:rsid w:val="00D91561"/>
    <w:rsid w:val="00D956B7"/>
    <w:rsid w:val="00DA0ABF"/>
    <w:rsid w:val="00DA28E5"/>
    <w:rsid w:val="00DA2B08"/>
    <w:rsid w:val="00DA5CF4"/>
    <w:rsid w:val="00DA691F"/>
    <w:rsid w:val="00DB3F3D"/>
    <w:rsid w:val="00DB42E7"/>
    <w:rsid w:val="00DB75B5"/>
    <w:rsid w:val="00DC06C3"/>
    <w:rsid w:val="00DC5187"/>
    <w:rsid w:val="00DC61C4"/>
    <w:rsid w:val="00DC793E"/>
    <w:rsid w:val="00DE4043"/>
    <w:rsid w:val="00DE5A11"/>
    <w:rsid w:val="00DF0A9E"/>
    <w:rsid w:val="00DF49DE"/>
    <w:rsid w:val="00E02058"/>
    <w:rsid w:val="00E0462B"/>
    <w:rsid w:val="00E04711"/>
    <w:rsid w:val="00E05BEF"/>
    <w:rsid w:val="00E21FEF"/>
    <w:rsid w:val="00E24989"/>
    <w:rsid w:val="00E25502"/>
    <w:rsid w:val="00E371FB"/>
    <w:rsid w:val="00E47885"/>
    <w:rsid w:val="00E551ED"/>
    <w:rsid w:val="00E55270"/>
    <w:rsid w:val="00E66C44"/>
    <w:rsid w:val="00E67004"/>
    <w:rsid w:val="00E67504"/>
    <w:rsid w:val="00E72BC0"/>
    <w:rsid w:val="00E80BCA"/>
    <w:rsid w:val="00E80F47"/>
    <w:rsid w:val="00E8394C"/>
    <w:rsid w:val="00E84CD7"/>
    <w:rsid w:val="00E8698D"/>
    <w:rsid w:val="00E914FF"/>
    <w:rsid w:val="00E9349B"/>
    <w:rsid w:val="00E95254"/>
    <w:rsid w:val="00EA505B"/>
    <w:rsid w:val="00EA59A3"/>
    <w:rsid w:val="00EB54B1"/>
    <w:rsid w:val="00EC65BE"/>
    <w:rsid w:val="00ED0124"/>
    <w:rsid w:val="00ED1412"/>
    <w:rsid w:val="00ED7B6E"/>
    <w:rsid w:val="00EE1AAF"/>
    <w:rsid w:val="00EE4502"/>
    <w:rsid w:val="00EE5E64"/>
    <w:rsid w:val="00EE6728"/>
    <w:rsid w:val="00EF0884"/>
    <w:rsid w:val="00F03E73"/>
    <w:rsid w:val="00F04BED"/>
    <w:rsid w:val="00F05E30"/>
    <w:rsid w:val="00F06C29"/>
    <w:rsid w:val="00F0762F"/>
    <w:rsid w:val="00F10F0E"/>
    <w:rsid w:val="00F13C51"/>
    <w:rsid w:val="00F1435C"/>
    <w:rsid w:val="00F1503C"/>
    <w:rsid w:val="00F1591F"/>
    <w:rsid w:val="00F26074"/>
    <w:rsid w:val="00F277E7"/>
    <w:rsid w:val="00F30430"/>
    <w:rsid w:val="00F306D3"/>
    <w:rsid w:val="00F3295D"/>
    <w:rsid w:val="00F3647C"/>
    <w:rsid w:val="00F40015"/>
    <w:rsid w:val="00F40D1B"/>
    <w:rsid w:val="00F40F1B"/>
    <w:rsid w:val="00F422DD"/>
    <w:rsid w:val="00F51123"/>
    <w:rsid w:val="00F54327"/>
    <w:rsid w:val="00F54F29"/>
    <w:rsid w:val="00F54FD3"/>
    <w:rsid w:val="00F568C2"/>
    <w:rsid w:val="00F56D48"/>
    <w:rsid w:val="00F7362C"/>
    <w:rsid w:val="00F73DD8"/>
    <w:rsid w:val="00F75329"/>
    <w:rsid w:val="00F81705"/>
    <w:rsid w:val="00F931BA"/>
    <w:rsid w:val="00F93AF5"/>
    <w:rsid w:val="00F941FC"/>
    <w:rsid w:val="00F95B0C"/>
    <w:rsid w:val="00FA1CF7"/>
    <w:rsid w:val="00FA2795"/>
    <w:rsid w:val="00FA2DCD"/>
    <w:rsid w:val="00FA53FB"/>
    <w:rsid w:val="00FA555A"/>
    <w:rsid w:val="00FA5A46"/>
    <w:rsid w:val="00FC30C5"/>
    <w:rsid w:val="00FD52D2"/>
    <w:rsid w:val="00FD66DE"/>
    <w:rsid w:val="00FE0F57"/>
    <w:rsid w:val="00FE4809"/>
    <w:rsid w:val="00FF1F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972192A"/>
  <w15:docId w15:val="{30194EA7-A388-4133-8BB8-A03BD027B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502"/>
  </w:style>
  <w:style w:type="paragraph" w:styleId="Heading1">
    <w:name w:val="heading 1"/>
    <w:basedOn w:val="Normal"/>
    <w:next w:val="Normal"/>
    <w:link w:val="Heading1Char"/>
    <w:uiPriority w:val="9"/>
    <w:qFormat/>
    <w:rsid w:val="0077194F"/>
    <w:pPr>
      <w:keepNext/>
      <w:keepLines/>
      <w:numPr>
        <w:numId w:val="10"/>
      </w:numPr>
      <w:spacing w:before="320" w:line="240" w:lineRule="auto"/>
      <w:ind w:left="431" w:hanging="431"/>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937FE"/>
    <w:pPr>
      <w:keepNext/>
      <w:keepLines/>
      <w:numPr>
        <w:ilvl w:val="1"/>
        <w:numId w:val="10"/>
      </w:numPr>
      <w:spacing w:before="120" w:after="80" w:line="240" w:lineRule="auto"/>
      <w:ind w:left="578" w:hanging="578"/>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EE4502"/>
    <w:pPr>
      <w:keepNext/>
      <w:keepLines/>
      <w:numPr>
        <w:ilvl w:val="2"/>
        <w:numId w:val="10"/>
      </w:numPr>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EE4502"/>
    <w:pPr>
      <w:keepNext/>
      <w:keepLines/>
      <w:numPr>
        <w:ilvl w:val="3"/>
        <w:numId w:val="10"/>
      </w:numPr>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EE4502"/>
    <w:pPr>
      <w:keepNext/>
      <w:keepLines/>
      <w:numPr>
        <w:ilvl w:val="4"/>
        <w:numId w:val="10"/>
      </w:numPr>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EE4502"/>
    <w:pPr>
      <w:keepNext/>
      <w:keepLines/>
      <w:numPr>
        <w:ilvl w:val="5"/>
        <w:numId w:val="10"/>
      </w:numPr>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EE4502"/>
    <w:pPr>
      <w:keepNext/>
      <w:keepLines/>
      <w:numPr>
        <w:ilvl w:val="6"/>
        <w:numId w:val="10"/>
      </w:numPr>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EE4502"/>
    <w:pPr>
      <w:keepNext/>
      <w:keepLines/>
      <w:numPr>
        <w:ilvl w:val="7"/>
        <w:numId w:val="10"/>
      </w:numPr>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EE4502"/>
    <w:pPr>
      <w:keepNext/>
      <w:keepLines/>
      <w:numPr>
        <w:ilvl w:val="8"/>
        <w:numId w:val="10"/>
      </w:numPr>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E4502"/>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EE4502"/>
    <w:rPr>
      <w:rFonts w:asciiTheme="majorHAnsi" w:eastAsiaTheme="majorEastAsia" w:hAnsiTheme="majorHAnsi" w:cstheme="majorBidi"/>
      <w:color w:val="5B9BD5" w:themeColor="accent1"/>
      <w:spacing w:val="-10"/>
      <w:sz w:val="56"/>
      <w:szCs w:val="56"/>
    </w:rPr>
  </w:style>
  <w:style w:type="character" w:customStyle="1" w:styleId="Heading1Char">
    <w:name w:val="Heading 1 Char"/>
    <w:basedOn w:val="DefaultParagraphFont"/>
    <w:link w:val="Heading1"/>
    <w:uiPriority w:val="9"/>
    <w:rsid w:val="0077194F"/>
    <w:rPr>
      <w:rFonts w:asciiTheme="majorHAnsi" w:eastAsiaTheme="majorEastAsia" w:hAnsiTheme="majorHAnsi" w:cstheme="majorBidi"/>
      <w:color w:val="2E74B5" w:themeColor="accent1" w:themeShade="BF"/>
      <w:sz w:val="32"/>
      <w:szCs w:val="32"/>
    </w:rPr>
  </w:style>
  <w:style w:type="paragraph" w:styleId="ListParagraph">
    <w:name w:val="List Paragraph"/>
    <w:aliases w:val="Adani Bullet 1,Text Bullet,Bullet List"/>
    <w:basedOn w:val="Normal"/>
    <w:link w:val="ListParagraphChar"/>
    <w:uiPriority w:val="99"/>
    <w:qFormat/>
    <w:rsid w:val="007B2006"/>
    <w:pPr>
      <w:ind w:left="720"/>
      <w:contextualSpacing/>
    </w:pPr>
  </w:style>
  <w:style w:type="character" w:customStyle="1" w:styleId="Heading2Char">
    <w:name w:val="Heading 2 Char"/>
    <w:basedOn w:val="DefaultParagraphFont"/>
    <w:link w:val="Heading2"/>
    <w:uiPriority w:val="9"/>
    <w:rsid w:val="00B937FE"/>
    <w:rPr>
      <w:rFonts w:asciiTheme="majorHAnsi" w:eastAsiaTheme="majorEastAsia" w:hAnsiTheme="majorHAnsi" w:cstheme="majorBidi"/>
      <w:color w:val="404040" w:themeColor="text1" w:themeTint="BF"/>
      <w:sz w:val="28"/>
      <w:szCs w:val="28"/>
    </w:rPr>
  </w:style>
  <w:style w:type="character" w:customStyle="1" w:styleId="ListParagraphChar">
    <w:name w:val="List Paragraph Char"/>
    <w:aliases w:val="Adani Bullet 1 Char,Text Bullet Char,Bullet List Char"/>
    <w:basedOn w:val="DefaultParagraphFont"/>
    <w:link w:val="ListParagraph"/>
    <w:uiPriority w:val="34"/>
    <w:rsid w:val="00A37AC2"/>
  </w:style>
  <w:style w:type="character" w:styleId="CommentReference">
    <w:name w:val="annotation reference"/>
    <w:basedOn w:val="DefaultParagraphFont"/>
    <w:uiPriority w:val="99"/>
    <w:semiHidden/>
    <w:unhideWhenUsed/>
    <w:rsid w:val="00A37AC2"/>
    <w:rPr>
      <w:sz w:val="16"/>
      <w:szCs w:val="16"/>
    </w:rPr>
  </w:style>
  <w:style w:type="paragraph" w:styleId="CommentText">
    <w:name w:val="annotation text"/>
    <w:aliases w:val="CT-DO NOT USE"/>
    <w:basedOn w:val="Normal"/>
    <w:link w:val="CommentTextChar"/>
    <w:uiPriority w:val="99"/>
    <w:unhideWhenUsed/>
    <w:rsid w:val="00A37AC2"/>
    <w:pPr>
      <w:spacing w:after="160" w:line="240" w:lineRule="auto"/>
    </w:pPr>
  </w:style>
  <w:style w:type="character" w:customStyle="1" w:styleId="CommentTextChar">
    <w:name w:val="Comment Text Char"/>
    <w:aliases w:val="CT-DO NOT USE Char"/>
    <w:basedOn w:val="DefaultParagraphFont"/>
    <w:link w:val="CommentText"/>
    <w:uiPriority w:val="99"/>
    <w:rsid w:val="00A37AC2"/>
    <w:rPr>
      <w:sz w:val="20"/>
      <w:szCs w:val="20"/>
    </w:rPr>
  </w:style>
  <w:style w:type="paragraph" w:styleId="BalloonText">
    <w:name w:val="Balloon Text"/>
    <w:basedOn w:val="Normal"/>
    <w:link w:val="BalloonTextChar"/>
    <w:uiPriority w:val="99"/>
    <w:semiHidden/>
    <w:unhideWhenUsed/>
    <w:rsid w:val="00A37A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7AC2"/>
    <w:rPr>
      <w:rFonts w:ascii="Segoe UI" w:hAnsi="Segoe UI" w:cs="Segoe UI"/>
      <w:sz w:val="18"/>
      <w:szCs w:val="18"/>
    </w:rPr>
  </w:style>
  <w:style w:type="character" w:styleId="Hyperlink">
    <w:name w:val="Hyperlink"/>
    <w:uiPriority w:val="99"/>
    <w:rsid w:val="00286976"/>
    <w:rPr>
      <w:color w:val="0000FF"/>
      <w:u w:val="single"/>
    </w:rPr>
  </w:style>
  <w:style w:type="paragraph" w:styleId="BodyTextIndent">
    <w:name w:val="Body Text Indent"/>
    <w:basedOn w:val="Normal"/>
    <w:link w:val="BodyTextIndentChar"/>
    <w:rsid w:val="00286976"/>
    <w:pPr>
      <w:spacing w:line="240" w:lineRule="auto"/>
      <w:ind w:left="283"/>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286976"/>
    <w:rPr>
      <w:rFonts w:ascii="Times New Roman" w:eastAsia="Times New Roman" w:hAnsi="Times New Roman" w:cs="Times New Roman"/>
      <w:sz w:val="24"/>
      <w:szCs w:val="24"/>
    </w:rPr>
  </w:style>
  <w:style w:type="paragraph" w:customStyle="1" w:styleId="Default">
    <w:name w:val="Default"/>
    <w:rsid w:val="00286976"/>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rsid w:val="00EE4502"/>
    <w:rPr>
      <w:rFonts w:asciiTheme="majorHAnsi" w:eastAsiaTheme="majorEastAsia" w:hAnsiTheme="majorHAnsi" w:cstheme="majorBidi"/>
      <w:color w:val="44546A" w:themeColor="text2"/>
      <w:sz w:val="24"/>
      <w:szCs w:val="24"/>
    </w:rPr>
  </w:style>
  <w:style w:type="paragraph" w:styleId="CommentSubject">
    <w:name w:val="annotation subject"/>
    <w:basedOn w:val="CommentText"/>
    <w:next w:val="CommentText"/>
    <w:link w:val="CommentSubjectChar"/>
    <w:uiPriority w:val="99"/>
    <w:semiHidden/>
    <w:unhideWhenUsed/>
    <w:rsid w:val="00A05A3F"/>
    <w:pPr>
      <w:spacing w:after="200"/>
    </w:pPr>
    <w:rPr>
      <w:b/>
      <w:bCs/>
    </w:rPr>
  </w:style>
  <w:style w:type="character" w:customStyle="1" w:styleId="CommentSubjectChar">
    <w:name w:val="Comment Subject Char"/>
    <w:basedOn w:val="CommentTextChar"/>
    <w:link w:val="CommentSubject"/>
    <w:uiPriority w:val="99"/>
    <w:semiHidden/>
    <w:rsid w:val="00A05A3F"/>
    <w:rPr>
      <w:b/>
      <w:bCs/>
      <w:sz w:val="20"/>
      <w:szCs w:val="20"/>
    </w:rPr>
  </w:style>
  <w:style w:type="table" w:styleId="TableGrid">
    <w:name w:val="Table Grid"/>
    <w:basedOn w:val="TableNormal"/>
    <w:uiPriority w:val="59"/>
    <w:rsid w:val="002465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olno1">
    <w:name w:val="volno1"/>
    <w:rsid w:val="0095467B"/>
    <w:rPr>
      <w:i w:val="0"/>
      <w:iCs w:val="0"/>
    </w:rPr>
  </w:style>
  <w:style w:type="character" w:customStyle="1" w:styleId="Heading4Char">
    <w:name w:val="Heading 4 Char"/>
    <w:basedOn w:val="DefaultParagraphFont"/>
    <w:link w:val="Heading4"/>
    <w:uiPriority w:val="9"/>
    <w:semiHidden/>
    <w:rsid w:val="00EE4502"/>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EE4502"/>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EE4502"/>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EE4502"/>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EE4502"/>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EE4502"/>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unhideWhenUsed/>
    <w:qFormat/>
    <w:rsid w:val="00EE4502"/>
    <w:pPr>
      <w:spacing w:line="240" w:lineRule="auto"/>
    </w:pPr>
    <w:rPr>
      <w:b/>
      <w:bCs/>
      <w:smallCaps/>
      <w:color w:val="595959" w:themeColor="text1" w:themeTint="A6"/>
      <w:spacing w:val="6"/>
    </w:rPr>
  </w:style>
  <w:style w:type="paragraph" w:styleId="Subtitle">
    <w:name w:val="Subtitle"/>
    <w:basedOn w:val="Normal"/>
    <w:next w:val="Normal"/>
    <w:link w:val="SubtitleChar"/>
    <w:uiPriority w:val="11"/>
    <w:qFormat/>
    <w:rsid w:val="00EE4502"/>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EE4502"/>
    <w:rPr>
      <w:rFonts w:asciiTheme="majorHAnsi" w:eastAsiaTheme="majorEastAsia" w:hAnsiTheme="majorHAnsi" w:cstheme="majorBidi"/>
      <w:sz w:val="24"/>
      <w:szCs w:val="24"/>
    </w:rPr>
  </w:style>
  <w:style w:type="character" w:styleId="Strong">
    <w:name w:val="Strong"/>
    <w:basedOn w:val="DefaultParagraphFont"/>
    <w:uiPriority w:val="22"/>
    <w:qFormat/>
    <w:rsid w:val="00EE4502"/>
    <w:rPr>
      <w:b/>
      <w:bCs/>
    </w:rPr>
  </w:style>
  <w:style w:type="character" w:styleId="Emphasis">
    <w:name w:val="Emphasis"/>
    <w:basedOn w:val="DefaultParagraphFont"/>
    <w:uiPriority w:val="20"/>
    <w:qFormat/>
    <w:rsid w:val="00EE4502"/>
    <w:rPr>
      <w:i/>
      <w:iCs/>
    </w:rPr>
  </w:style>
  <w:style w:type="paragraph" w:styleId="NoSpacing">
    <w:name w:val="No Spacing"/>
    <w:uiPriority w:val="1"/>
    <w:qFormat/>
    <w:rsid w:val="00EE4502"/>
    <w:pPr>
      <w:spacing w:after="0" w:line="240" w:lineRule="auto"/>
    </w:pPr>
  </w:style>
  <w:style w:type="paragraph" w:styleId="Quote">
    <w:name w:val="Quote"/>
    <w:basedOn w:val="Normal"/>
    <w:next w:val="Normal"/>
    <w:link w:val="QuoteChar"/>
    <w:uiPriority w:val="29"/>
    <w:qFormat/>
    <w:rsid w:val="00EE4502"/>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EE4502"/>
    <w:rPr>
      <w:i/>
      <w:iCs/>
      <w:color w:val="404040" w:themeColor="text1" w:themeTint="BF"/>
    </w:rPr>
  </w:style>
  <w:style w:type="paragraph" w:styleId="IntenseQuote">
    <w:name w:val="Intense Quote"/>
    <w:basedOn w:val="Normal"/>
    <w:next w:val="Normal"/>
    <w:link w:val="IntenseQuoteChar"/>
    <w:uiPriority w:val="30"/>
    <w:qFormat/>
    <w:rsid w:val="00EE4502"/>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EE4502"/>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EE4502"/>
    <w:rPr>
      <w:i/>
      <w:iCs/>
      <w:color w:val="404040" w:themeColor="text1" w:themeTint="BF"/>
    </w:rPr>
  </w:style>
  <w:style w:type="character" w:styleId="IntenseEmphasis">
    <w:name w:val="Intense Emphasis"/>
    <w:basedOn w:val="DefaultParagraphFont"/>
    <w:uiPriority w:val="21"/>
    <w:qFormat/>
    <w:rsid w:val="00EE4502"/>
    <w:rPr>
      <w:b/>
      <w:bCs/>
      <w:i/>
      <w:iCs/>
    </w:rPr>
  </w:style>
  <w:style w:type="character" w:styleId="SubtleReference">
    <w:name w:val="Subtle Reference"/>
    <w:basedOn w:val="DefaultParagraphFont"/>
    <w:uiPriority w:val="31"/>
    <w:qFormat/>
    <w:rsid w:val="00EE4502"/>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EE4502"/>
    <w:rPr>
      <w:b/>
      <w:bCs/>
      <w:smallCaps/>
      <w:spacing w:val="5"/>
      <w:u w:val="single"/>
    </w:rPr>
  </w:style>
  <w:style w:type="character" w:styleId="BookTitle">
    <w:name w:val="Book Title"/>
    <w:basedOn w:val="DefaultParagraphFont"/>
    <w:uiPriority w:val="33"/>
    <w:qFormat/>
    <w:rsid w:val="00EE4502"/>
    <w:rPr>
      <w:b/>
      <w:bCs/>
      <w:smallCaps/>
    </w:rPr>
  </w:style>
  <w:style w:type="paragraph" w:styleId="TOCHeading">
    <w:name w:val="TOC Heading"/>
    <w:basedOn w:val="Heading1"/>
    <w:next w:val="Normal"/>
    <w:uiPriority w:val="39"/>
    <w:semiHidden/>
    <w:unhideWhenUsed/>
    <w:qFormat/>
    <w:rsid w:val="00EE4502"/>
    <w:pPr>
      <w:outlineLvl w:val="9"/>
    </w:pPr>
  </w:style>
  <w:style w:type="paragraph" w:styleId="Header">
    <w:name w:val="header"/>
    <w:basedOn w:val="Normal"/>
    <w:link w:val="HeaderChar"/>
    <w:uiPriority w:val="99"/>
    <w:unhideWhenUsed/>
    <w:rsid w:val="007951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5173"/>
  </w:style>
  <w:style w:type="paragraph" w:styleId="Footer">
    <w:name w:val="footer"/>
    <w:basedOn w:val="Normal"/>
    <w:link w:val="FooterChar"/>
    <w:uiPriority w:val="99"/>
    <w:unhideWhenUsed/>
    <w:rsid w:val="007951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5173"/>
  </w:style>
  <w:style w:type="paragraph" w:styleId="TOC1">
    <w:name w:val="toc 1"/>
    <w:basedOn w:val="Normal"/>
    <w:next w:val="Normal"/>
    <w:autoRedefine/>
    <w:uiPriority w:val="39"/>
    <w:unhideWhenUsed/>
    <w:rsid w:val="00EE5E64"/>
    <w:pPr>
      <w:spacing w:after="100"/>
    </w:pPr>
  </w:style>
  <w:style w:type="paragraph" w:styleId="TOC2">
    <w:name w:val="toc 2"/>
    <w:basedOn w:val="Normal"/>
    <w:next w:val="Normal"/>
    <w:autoRedefine/>
    <w:uiPriority w:val="39"/>
    <w:unhideWhenUsed/>
    <w:rsid w:val="00EE5E64"/>
    <w:pPr>
      <w:spacing w:after="100"/>
      <w:ind w:left="200"/>
    </w:pPr>
  </w:style>
  <w:style w:type="paragraph" w:styleId="TOC3">
    <w:name w:val="toc 3"/>
    <w:basedOn w:val="Normal"/>
    <w:next w:val="Normal"/>
    <w:autoRedefine/>
    <w:uiPriority w:val="39"/>
    <w:unhideWhenUsed/>
    <w:rsid w:val="00EE5E64"/>
    <w:pPr>
      <w:spacing w:after="100"/>
      <w:ind w:left="400"/>
    </w:pPr>
  </w:style>
  <w:style w:type="paragraph" w:customStyle="1" w:styleId="Heading1NoTOC">
    <w:name w:val="Heading 1 No TOC"/>
    <w:basedOn w:val="Normal"/>
    <w:next w:val="Normal"/>
    <w:qFormat/>
    <w:rsid w:val="00844CC3"/>
    <w:pPr>
      <w:spacing w:before="320" w:after="0" w:line="240" w:lineRule="auto"/>
    </w:pPr>
    <w:rPr>
      <w:rFonts w:asciiTheme="majorHAnsi" w:hAnsiTheme="majorHAnsi"/>
      <w:color w:val="5B9BD5" w:themeColor="accent1"/>
      <w:sz w:val="32"/>
    </w:rPr>
  </w:style>
  <w:style w:type="paragraph" w:customStyle="1" w:styleId="EndNoteBibliographyTitle">
    <w:name w:val="EndNote Bibliography Title"/>
    <w:basedOn w:val="Normal"/>
    <w:link w:val="EndNoteBibliographyTitleChar"/>
    <w:rsid w:val="00BD0B12"/>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BD0B12"/>
    <w:rPr>
      <w:rFonts w:ascii="Calibri" w:hAnsi="Calibri"/>
      <w:noProof/>
      <w:lang w:val="en-US"/>
    </w:rPr>
  </w:style>
  <w:style w:type="paragraph" w:customStyle="1" w:styleId="EndNoteBibliography">
    <w:name w:val="EndNote Bibliography"/>
    <w:basedOn w:val="Normal"/>
    <w:link w:val="EndNoteBibliographyChar"/>
    <w:rsid w:val="00BD0B12"/>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BD0B12"/>
    <w:rPr>
      <w:rFonts w:ascii="Calibri" w:hAnsi="Calibri"/>
      <w:noProof/>
      <w:lang w:val="en-US"/>
    </w:rPr>
  </w:style>
  <w:style w:type="paragraph" w:customStyle="1" w:styleId="Body">
    <w:name w:val="Body"/>
    <w:basedOn w:val="Normal"/>
    <w:link w:val="BodyChar"/>
    <w:qFormat/>
    <w:rsid w:val="00176F6D"/>
    <w:pPr>
      <w:autoSpaceDE w:val="0"/>
      <w:autoSpaceDN w:val="0"/>
      <w:spacing w:after="200" w:line="240" w:lineRule="auto"/>
    </w:pPr>
    <w:rPr>
      <w:rFonts w:ascii="Calibri" w:hAnsi="Calibri" w:cs="Arial"/>
      <w:sz w:val="22"/>
      <w:szCs w:val="22"/>
      <w:lang w:eastAsia="ja-JP"/>
    </w:rPr>
  </w:style>
  <w:style w:type="character" w:customStyle="1" w:styleId="BodyChar">
    <w:name w:val="Body Char"/>
    <w:basedOn w:val="DefaultParagraphFont"/>
    <w:link w:val="Body"/>
    <w:rsid w:val="00176F6D"/>
    <w:rPr>
      <w:rFonts w:ascii="Calibri" w:hAnsi="Calibri" w:cs="Arial"/>
      <w:sz w:val="22"/>
      <w:szCs w:val="22"/>
      <w:lang w:eastAsia="ja-JP"/>
    </w:rPr>
  </w:style>
  <w:style w:type="paragraph" w:customStyle="1" w:styleId="OWSSummaryH1">
    <w:name w:val="OWS Summary H1"/>
    <w:link w:val="OWSSummaryH1Char"/>
    <w:qFormat/>
    <w:rsid w:val="00176F6D"/>
    <w:pPr>
      <w:pageBreakBefore/>
      <w:spacing w:after="600" w:line="240" w:lineRule="auto"/>
      <w:outlineLvl w:val="0"/>
    </w:pPr>
    <w:rPr>
      <w:rFonts w:ascii="Arial" w:hAnsi="Arial" w:cs="Arial"/>
      <w:b/>
      <w:bCs/>
      <w:color w:val="44546A" w:themeColor="text2"/>
      <w:sz w:val="48"/>
      <w:szCs w:val="48"/>
      <w:lang w:val="en-GB" w:eastAsia="ja-JP"/>
    </w:rPr>
  </w:style>
  <w:style w:type="character" w:customStyle="1" w:styleId="OWSSummaryH1Char">
    <w:name w:val="OWS Summary H1 Char"/>
    <w:basedOn w:val="DefaultParagraphFont"/>
    <w:link w:val="OWSSummaryH1"/>
    <w:rsid w:val="00176F6D"/>
    <w:rPr>
      <w:rFonts w:ascii="Arial" w:hAnsi="Arial" w:cs="Arial"/>
      <w:b/>
      <w:bCs/>
      <w:color w:val="44546A" w:themeColor="text2"/>
      <w:sz w:val="48"/>
      <w:szCs w:val="48"/>
      <w:lang w:val="en-GB" w:eastAsia="ja-JP"/>
    </w:rPr>
  </w:style>
  <w:style w:type="paragraph" w:customStyle="1" w:styleId="OWSTableheading">
    <w:name w:val="OWS Table heading"/>
    <w:basedOn w:val="Body"/>
    <w:link w:val="OWSTableheadingChar"/>
    <w:qFormat/>
    <w:rsid w:val="00176F6D"/>
    <w:pPr>
      <w:widowControl w:val="0"/>
      <w:suppressAutoHyphens/>
      <w:adjustRightInd w:val="0"/>
      <w:spacing w:before="80" w:after="80"/>
      <w:textAlignment w:val="center"/>
    </w:pPr>
    <w:rPr>
      <w:rFonts w:ascii="Arial" w:hAnsi="Arial"/>
      <w:b/>
      <w:sz w:val="20"/>
      <w:szCs w:val="20"/>
      <w:lang w:eastAsia="en-US"/>
    </w:rPr>
  </w:style>
  <w:style w:type="paragraph" w:customStyle="1" w:styleId="OWSTabletext">
    <w:name w:val="OWS Table text"/>
    <w:basedOn w:val="Body"/>
    <w:link w:val="OWSTabletextChar"/>
    <w:qFormat/>
    <w:rsid w:val="00176F6D"/>
    <w:pPr>
      <w:widowControl w:val="0"/>
      <w:suppressAutoHyphens/>
      <w:adjustRightInd w:val="0"/>
      <w:spacing w:before="80" w:after="80"/>
      <w:textAlignment w:val="center"/>
    </w:pPr>
    <w:rPr>
      <w:rFonts w:ascii="Arial" w:hAnsi="Arial"/>
      <w:color w:val="000000"/>
      <w:sz w:val="20"/>
      <w:szCs w:val="20"/>
    </w:rPr>
  </w:style>
  <w:style w:type="character" w:customStyle="1" w:styleId="OWSTableheadingChar">
    <w:name w:val="OWS Table heading Char"/>
    <w:basedOn w:val="BodyChar"/>
    <w:link w:val="OWSTableheading"/>
    <w:rsid w:val="00176F6D"/>
    <w:rPr>
      <w:rFonts w:ascii="Arial" w:hAnsi="Arial" w:cs="Arial"/>
      <w:b/>
      <w:sz w:val="22"/>
      <w:szCs w:val="22"/>
      <w:lang w:eastAsia="ja-JP"/>
    </w:rPr>
  </w:style>
  <w:style w:type="character" w:customStyle="1" w:styleId="OWSTabletextChar">
    <w:name w:val="OWS Table text Char"/>
    <w:basedOn w:val="BodyChar"/>
    <w:link w:val="OWSTabletext"/>
    <w:rsid w:val="00176F6D"/>
    <w:rPr>
      <w:rFonts w:ascii="Arial" w:hAnsi="Arial" w:cs="Arial"/>
      <w:color w:val="000000"/>
      <w:sz w:val="22"/>
      <w:szCs w:val="22"/>
      <w:lang w:eastAsia="ja-JP"/>
    </w:rPr>
  </w:style>
  <w:style w:type="paragraph" w:customStyle="1" w:styleId="OWSNormal11pt">
    <w:name w:val="OWS Normal 11pt"/>
    <w:basedOn w:val="Normal"/>
    <w:link w:val="OWSNormal11ptChar"/>
    <w:qFormat/>
    <w:rsid w:val="00606611"/>
    <w:pPr>
      <w:autoSpaceDE w:val="0"/>
      <w:autoSpaceDN w:val="0"/>
      <w:spacing w:before="200" w:after="200" w:line="240" w:lineRule="auto"/>
    </w:pPr>
    <w:rPr>
      <w:rFonts w:ascii="Arial" w:hAnsi="Arial" w:cs="Arial"/>
      <w:color w:val="000000"/>
      <w:sz w:val="22"/>
      <w:szCs w:val="22"/>
      <w:lang w:eastAsia="ja-JP"/>
    </w:rPr>
  </w:style>
  <w:style w:type="character" w:customStyle="1" w:styleId="OWSNormal11ptChar">
    <w:name w:val="OWS Normal 11pt Char"/>
    <w:basedOn w:val="DefaultParagraphFont"/>
    <w:link w:val="OWSNormal11pt"/>
    <w:rsid w:val="00606611"/>
    <w:rPr>
      <w:rFonts w:ascii="Arial" w:hAnsi="Arial" w:cs="Arial"/>
      <w:color w:val="000000"/>
      <w:sz w:val="22"/>
      <w:szCs w:val="22"/>
      <w:lang w:eastAsia="ja-JP"/>
    </w:rPr>
  </w:style>
  <w:style w:type="paragraph" w:customStyle="1" w:styleId="OWSBelowFigureText9pt">
    <w:name w:val="OWS Below Figure Text 9pt"/>
    <w:basedOn w:val="Normal"/>
    <w:link w:val="OWSBelowFigureText9ptChar"/>
    <w:uiPriority w:val="99"/>
    <w:qFormat/>
    <w:rsid w:val="00606611"/>
    <w:pPr>
      <w:keepNext/>
      <w:keepLines/>
      <w:autoSpaceDE w:val="0"/>
      <w:autoSpaceDN w:val="0"/>
      <w:spacing w:before="120" w:after="240" w:line="240" w:lineRule="auto"/>
    </w:pPr>
    <w:rPr>
      <w:rFonts w:ascii="Arial" w:eastAsiaTheme="minorHAnsi" w:hAnsi="Arial" w:cs="Arial"/>
      <w:i/>
      <w:color w:val="000000"/>
      <w:sz w:val="18"/>
      <w:szCs w:val="18"/>
      <w:lang w:eastAsia="en-AU"/>
    </w:rPr>
  </w:style>
  <w:style w:type="character" w:customStyle="1" w:styleId="OWSBelowFigureText9ptChar">
    <w:name w:val="OWS Below Figure Text 9pt Char"/>
    <w:basedOn w:val="DefaultParagraphFont"/>
    <w:link w:val="OWSBelowFigureText9pt"/>
    <w:uiPriority w:val="99"/>
    <w:rsid w:val="00606611"/>
    <w:rPr>
      <w:rFonts w:ascii="Arial" w:eastAsiaTheme="minorHAnsi" w:hAnsi="Arial" w:cs="Arial"/>
      <w:i/>
      <w:color w:val="000000"/>
      <w:sz w:val="18"/>
      <w:szCs w:val="18"/>
      <w:lang w:eastAsia="en-AU"/>
    </w:rPr>
  </w:style>
  <w:style w:type="paragraph" w:customStyle="1" w:styleId="OWSfigurecaption">
    <w:name w:val="OWS figure caption"/>
    <w:basedOn w:val="Normal"/>
    <w:link w:val="OWSfigurecaptionChar"/>
    <w:qFormat/>
    <w:rsid w:val="00606611"/>
    <w:pPr>
      <w:keepLines/>
      <w:autoSpaceDE w:val="0"/>
      <w:autoSpaceDN w:val="0"/>
      <w:spacing w:before="120" w:after="360" w:line="240" w:lineRule="auto"/>
      <w:textboxTightWrap w:val="allLines"/>
    </w:pPr>
    <w:rPr>
      <w:rFonts w:ascii="Arial" w:eastAsia="Times New Roman" w:hAnsi="Arial" w:cs="Times New Roman"/>
      <w:lang w:val="en-GB"/>
    </w:rPr>
  </w:style>
  <w:style w:type="character" w:customStyle="1" w:styleId="OWSfigurecaptionChar">
    <w:name w:val="OWS figure caption Char"/>
    <w:basedOn w:val="DefaultParagraphFont"/>
    <w:link w:val="OWSfigurecaption"/>
    <w:rsid w:val="00606611"/>
    <w:rPr>
      <w:rFonts w:ascii="Arial" w:eastAsia="Times New Roman" w:hAnsi="Arial" w:cs="Times New Roman"/>
      <w:lang w:val="en-GB"/>
    </w:rPr>
  </w:style>
  <w:style w:type="paragraph" w:customStyle="1" w:styleId="OWSnumberedlistL1">
    <w:name w:val="OWS numbered list L1"/>
    <w:basedOn w:val="Normal"/>
    <w:link w:val="OWSnumberedlistL1Char"/>
    <w:qFormat/>
    <w:rsid w:val="00606611"/>
    <w:pPr>
      <w:numPr>
        <w:numId w:val="16"/>
      </w:numPr>
      <w:autoSpaceDE w:val="0"/>
      <w:autoSpaceDN w:val="0"/>
      <w:spacing w:after="113" w:line="280" w:lineRule="atLeast"/>
    </w:pPr>
    <w:rPr>
      <w:rFonts w:ascii="Arial" w:hAnsi="Arial" w:cs="Arial"/>
      <w:sz w:val="22"/>
      <w:szCs w:val="22"/>
      <w:lang w:eastAsia="ja-JP"/>
    </w:rPr>
  </w:style>
  <w:style w:type="character" w:customStyle="1" w:styleId="OWSnumberedlistL1Char">
    <w:name w:val="OWS numbered list L1 Char"/>
    <w:basedOn w:val="DefaultParagraphFont"/>
    <w:link w:val="OWSnumberedlistL1"/>
    <w:rsid w:val="00606611"/>
    <w:rPr>
      <w:rFonts w:ascii="Arial" w:hAnsi="Arial" w:cs="Arial"/>
      <w:sz w:val="22"/>
      <w:szCs w:val="22"/>
      <w:lang w:eastAsia="ja-JP"/>
    </w:rPr>
  </w:style>
  <w:style w:type="paragraph" w:customStyle="1" w:styleId="OWSnumberedlistL2">
    <w:name w:val="OWS numbered list L2"/>
    <w:basedOn w:val="OWSnumberedlistL1"/>
    <w:rsid w:val="00606611"/>
    <w:pPr>
      <w:numPr>
        <w:ilvl w:val="1"/>
      </w:numPr>
      <w:tabs>
        <w:tab w:val="num" w:pos="360"/>
      </w:tabs>
      <w:ind w:left="993" w:hanging="426"/>
    </w:pPr>
  </w:style>
  <w:style w:type="paragraph" w:styleId="FootnoteText">
    <w:name w:val="footnote text"/>
    <w:basedOn w:val="Normal"/>
    <w:link w:val="FootnoteTextChar"/>
    <w:uiPriority w:val="99"/>
    <w:semiHidden/>
    <w:unhideWhenUsed/>
    <w:rsid w:val="00606611"/>
    <w:pPr>
      <w:spacing w:after="0" w:line="240" w:lineRule="auto"/>
    </w:pPr>
  </w:style>
  <w:style w:type="character" w:customStyle="1" w:styleId="FootnoteTextChar">
    <w:name w:val="Footnote Text Char"/>
    <w:basedOn w:val="DefaultParagraphFont"/>
    <w:link w:val="FootnoteText"/>
    <w:uiPriority w:val="99"/>
    <w:semiHidden/>
    <w:rsid w:val="00606611"/>
  </w:style>
  <w:style w:type="character" w:styleId="FootnoteReference">
    <w:name w:val="footnote reference"/>
    <w:basedOn w:val="DefaultParagraphFont"/>
    <w:uiPriority w:val="99"/>
    <w:semiHidden/>
    <w:unhideWhenUsed/>
    <w:rsid w:val="00606611"/>
    <w:rPr>
      <w:vertAlign w:val="superscript"/>
    </w:rPr>
  </w:style>
  <w:style w:type="paragraph" w:customStyle="1" w:styleId="OWSReferencelist">
    <w:name w:val="OWS Reference list"/>
    <w:basedOn w:val="Normal"/>
    <w:qFormat/>
    <w:rsid w:val="00606611"/>
    <w:pPr>
      <w:autoSpaceDE w:val="0"/>
      <w:autoSpaceDN w:val="0"/>
      <w:spacing w:line="240" w:lineRule="auto"/>
      <w:ind w:left="720" w:hanging="720"/>
    </w:pPr>
    <w:rPr>
      <w:rFonts w:ascii="Arial" w:hAnsi="Arial" w:cs="Arial"/>
      <w:lang w:eastAsia="ja-JP"/>
    </w:rPr>
  </w:style>
  <w:style w:type="paragraph" w:styleId="TableofFigures">
    <w:name w:val="table of figures"/>
    <w:basedOn w:val="Normal"/>
    <w:next w:val="Normal"/>
    <w:uiPriority w:val="99"/>
    <w:unhideWhenUsed/>
    <w:rsid w:val="001E0F17"/>
    <w:pPr>
      <w:spacing w:after="0"/>
    </w:pPr>
  </w:style>
  <w:style w:type="paragraph" w:styleId="Revision">
    <w:name w:val="Revision"/>
    <w:hidden/>
    <w:uiPriority w:val="99"/>
    <w:semiHidden/>
    <w:rsid w:val="00976733"/>
    <w:pPr>
      <w:spacing w:after="0" w:line="240" w:lineRule="auto"/>
    </w:pPr>
  </w:style>
  <w:style w:type="paragraph" w:styleId="NormalWeb">
    <w:name w:val="Normal (Web)"/>
    <w:basedOn w:val="Normal"/>
    <w:uiPriority w:val="99"/>
    <w:semiHidden/>
    <w:unhideWhenUsed/>
    <w:rsid w:val="002605DA"/>
    <w:pPr>
      <w:spacing w:before="100" w:beforeAutospacing="1" w:after="100" w:afterAutospacing="1" w:line="240" w:lineRule="auto"/>
    </w:pPr>
    <w:rPr>
      <w:rFonts w:ascii="Times New Roman" w:hAnsi="Times New Roman" w:cs="Times New Roman"/>
      <w:sz w:val="24"/>
      <w:szCs w:val="24"/>
      <w:lang w:eastAsia="en-AU"/>
    </w:rPr>
  </w:style>
  <w:style w:type="character" w:customStyle="1" w:styleId="tgc">
    <w:name w:val="_tgc"/>
    <w:basedOn w:val="DefaultParagraphFont"/>
    <w:rsid w:val="00791C00"/>
  </w:style>
  <w:style w:type="character" w:customStyle="1" w:styleId="hvr">
    <w:name w:val="hvr"/>
    <w:basedOn w:val="DefaultParagraphFont"/>
    <w:rsid w:val="00260B73"/>
  </w:style>
  <w:style w:type="character" w:customStyle="1" w:styleId="st">
    <w:name w:val="st"/>
    <w:basedOn w:val="DefaultParagraphFont"/>
    <w:rsid w:val="00826FE7"/>
  </w:style>
  <w:style w:type="paragraph" w:styleId="EndnoteText">
    <w:name w:val="endnote text"/>
    <w:basedOn w:val="Normal"/>
    <w:link w:val="EndnoteTextChar"/>
    <w:uiPriority w:val="99"/>
    <w:semiHidden/>
    <w:unhideWhenUsed/>
    <w:rsid w:val="0001107A"/>
    <w:pPr>
      <w:spacing w:after="0" w:line="240" w:lineRule="auto"/>
    </w:pPr>
  </w:style>
  <w:style w:type="character" w:customStyle="1" w:styleId="EndnoteTextChar">
    <w:name w:val="Endnote Text Char"/>
    <w:basedOn w:val="DefaultParagraphFont"/>
    <w:link w:val="EndnoteText"/>
    <w:uiPriority w:val="99"/>
    <w:semiHidden/>
    <w:rsid w:val="0001107A"/>
  </w:style>
  <w:style w:type="character" w:styleId="EndnoteReference">
    <w:name w:val="endnote reference"/>
    <w:basedOn w:val="DefaultParagraphFont"/>
    <w:uiPriority w:val="99"/>
    <w:semiHidden/>
    <w:unhideWhenUsed/>
    <w:rsid w:val="0001107A"/>
    <w:rPr>
      <w:vertAlign w:val="superscript"/>
    </w:rPr>
  </w:style>
  <w:style w:type="character" w:customStyle="1" w:styleId="Title1">
    <w:name w:val="Title1"/>
    <w:basedOn w:val="DefaultParagraphFont"/>
    <w:rsid w:val="00B02C7C"/>
  </w:style>
  <w:style w:type="character" w:customStyle="1" w:styleId="authors">
    <w:name w:val="authors"/>
    <w:basedOn w:val="DefaultParagraphFont"/>
    <w:rsid w:val="00B02C7C"/>
  </w:style>
  <w:style w:type="character" w:customStyle="1" w:styleId="details">
    <w:name w:val="details"/>
    <w:basedOn w:val="DefaultParagraphFont"/>
    <w:rsid w:val="00B02C7C"/>
  </w:style>
  <w:style w:type="character" w:customStyle="1" w:styleId="year">
    <w:name w:val="year"/>
    <w:basedOn w:val="DefaultParagraphFont"/>
    <w:rsid w:val="00B02C7C"/>
  </w:style>
  <w:style w:type="character" w:customStyle="1" w:styleId="volume">
    <w:name w:val="volume"/>
    <w:basedOn w:val="DefaultParagraphFont"/>
    <w:rsid w:val="00B02C7C"/>
  </w:style>
  <w:style w:type="character" w:customStyle="1" w:styleId="pages">
    <w:name w:val="pages"/>
    <w:basedOn w:val="DefaultParagraphFont"/>
    <w:rsid w:val="00B02C7C"/>
  </w:style>
  <w:style w:type="character" w:customStyle="1" w:styleId="article-headermeta-info-label">
    <w:name w:val="article-header__meta-info-label"/>
    <w:basedOn w:val="DefaultParagraphFont"/>
    <w:rsid w:val="00EC65BE"/>
  </w:style>
  <w:style w:type="character" w:customStyle="1" w:styleId="article-headermeta-info-data">
    <w:name w:val="article-header__meta-info-data"/>
    <w:basedOn w:val="DefaultParagraphFont"/>
    <w:rsid w:val="00EC65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9437674">
      <w:bodyDiv w:val="1"/>
      <w:marLeft w:val="0"/>
      <w:marRight w:val="0"/>
      <w:marTop w:val="0"/>
      <w:marBottom w:val="0"/>
      <w:divBdr>
        <w:top w:val="none" w:sz="0" w:space="0" w:color="auto"/>
        <w:left w:val="none" w:sz="0" w:space="0" w:color="auto"/>
        <w:bottom w:val="none" w:sz="0" w:space="0" w:color="auto"/>
        <w:right w:val="none" w:sz="0" w:space="0" w:color="auto"/>
      </w:divBdr>
      <w:divsChild>
        <w:div w:id="1187869785">
          <w:marLeft w:val="0"/>
          <w:marRight w:val="0"/>
          <w:marTop w:val="0"/>
          <w:marBottom w:val="0"/>
          <w:divBdr>
            <w:top w:val="none" w:sz="0" w:space="0" w:color="auto"/>
            <w:left w:val="none" w:sz="0" w:space="0" w:color="auto"/>
            <w:bottom w:val="none" w:sz="0" w:space="0" w:color="auto"/>
            <w:right w:val="none" w:sz="0" w:space="0" w:color="auto"/>
          </w:divBdr>
        </w:div>
        <w:div w:id="411902250">
          <w:marLeft w:val="0"/>
          <w:marRight w:val="0"/>
          <w:marTop w:val="0"/>
          <w:marBottom w:val="0"/>
          <w:divBdr>
            <w:top w:val="none" w:sz="0" w:space="0" w:color="auto"/>
            <w:left w:val="none" w:sz="0" w:space="0" w:color="auto"/>
            <w:bottom w:val="none" w:sz="0" w:space="0" w:color="auto"/>
            <w:right w:val="none" w:sz="0" w:space="0" w:color="auto"/>
          </w:divBdr>
        </w:div>
        <w:div w:id="1383753271">
          <w:marLeft w:val="0"/>
          <w:marRight w:val="0"/>
          <w:marTop w:val="0"/>
          <w:marBottom w:val="0"/>
          <w:divBdr>
            <w:top w:val="none" w:sz="0" w:space="0" w:color="auto"/>
            <w:left w:val="none" w:sz="0" w:space="0" w:color="auto"/>
            <w:bottom w:val="none" w:sz="0" w:space="0" w:color="auto"/>
            <w:right w:val="none" w:sz="0" w:space="0" w:color="auto"/>
          </w:divBdr>
        </w:div>
        <w:div w:id="1885677460">
          <w:marLeft w:val="0"/>
          <w:marRight w:val="0"/>
          <w:marTop w:val="0"/>
          <w:marBottom w:val="0"/>
          <w:divBdr>
            <w:top w:val="none" w:sz="0" w:space="0" w:color="auto"/>
            <w:left w:val="none" w:sz="0" w:space="0" w:color="auto"/>
            <w:bottom w:val="none" w:sz="0" w:space="0" w:color="auto"/>
            <w:right w:val="none" w:sz="0" w:space="0" w:color="auto"/>
          </w:divBdr>
        </w:div>
        <w:div w:id="1573005108">
          <w:marLeft w:val="0"/>
          <w:marRight w:val="0"/>
          <w:marTop w:val="0"/>
          <w:marBottom w:val="0"/>
          <w:divBdr>
            <w:top w:val="none" w:sz="0" w:space="0" w:color="auto"/>
            <w:left w:val="none" w:sz="0" w:space="0" w:color="auto"/>
            <w:bottom w:val="none" w:sz="0" w:space="0" w:color="auto"/>
            <w:right w:val="none" w:sz="0" w:space="0" w:color="auto"/>
          </w:divBdr>
        </w:div>
        <w:div w:id="2025276411">
          <w:marLeft w:val="0"/>
          <w:marRight w:val="0"/>
          <w:marTop w:val="0"/>
          <w:marBottom w:val="0"/>
          <w:divBdr>
            <w:top w:val="none" w:sz="0" w:space="0" w:color="auto"/>
            <w:left w:val="none" w:sz="0" w:space="0" w:color="auto"/>
            <w:bottom w:val="none" w:sz="0" w:space="0" w:color="auto"/>
            <w:right w:val="none" w:sz="0" w:space="0" w:color="auto"/>
          </w:divBdr>
        </w:div>
        <w:div w:id="2142962735">
          <w:marLeft w:val="0"/>
          <w:marRight w:val="0"/>
          <w:marTop w:val="0"/>
          <w:marBottom w:val="0"/>
          <w:divBdr>
            <w:top w:val="none" w:sz="0" w:space="0" w:color="auto"/>
            <w:left w:val="none" w:sz="0" w:space="0" w:color="auto"/>
            <w:bottom w:val="none" w:sz="0" w:space="0" w:color="auto"/>
            <w:right w:val="none" w:sz="0" w:space="0" w:color="auto"/>
          </w:divBdr>
        </w:div>
        <w:div w:id="245189673">
          <w:marLeft w:val="0"/>
          <w:marRight w:val="0"/>
          <w:marTop w:val="0"/>
          <w:marBottom w:val="0"/>
          <w:divBdr>
            <w:top w:val="none" w:sz="0" w:space="0" w:color="auto"/>
            <w:left w:val="none" w:sz="0" w:space="0" w:color="auto"/>
            <w:bottom w:val="none" w:sz="0" w:space="0" w:color="auto"/>
            <w:right w:val="none" w:sz="0" w:space="0" w:color="auto"/>
          </w:divBdr>
        </w:div>
        <w:div w:id="1682775631">
          <w:marLeft w:val="0"/>
          <w:marRight w:val="0"/>
          <w:marTop w:val="0"/>
          <w:marBottom w:val="0"/>
          <w:divBdr>
            <w:top w:val="none" w:sz="0" w:space="0" w:color="auto"/>
            <w:left w:val="none" w:sz="0" w:space="0" w:color="auto"/>
            <w:bottom w:val="none" w:sz="0" w:space="0" w:color="auto"/>
            <w:right w:val="none" w:sz="0" w:space="0" w:color="auto"/>
          </w:divBdr>
        </w:div>
        <w:div w:id="1331518007">
          <w:marLeft w:val="0"/>
          <w:marRight w:val="0"/>
          <w:marTop w:val="0"/>
          <w:marBottom w:val="0"/>
          <w:divBdr>
            <w:top w:val="none" w:sz="0" w:space="0" w:color="auto"/>
            <w:left w:val="none" w:sz="0" w:space="0" w:color="auto"/>
            <w:bottom w:val="none" w:sz="0" w:space="0" w:color="auto"/>
            <w:right w:val="none" w:sz="0" w:space="0" w:color="auto"/>
          </w:divBdr>
        </w:div>
        <w:div w:id="537738882">
          <w:marLeft w:val="0"/>
          <w:marRight w:val="0"/>
          <w:marTop w:val="0"/>
          <w:marBottom w:val="0"/>
          <w:divBdr>
            <w:top w:val="none" w:sz="0" w:space="0" w:color="auto"/>
            <w:left w:val="none" w:sz="0" w:space="0" w:color="auto"/>
            <w:bottom w:val="none" w:sz="0" w:space="0" w:color="auto"/>
            <w:right w:val="none" w:sz="0" w:space="0" w:color="auto"/>
          </w:divBdr>
        </w:div>
        <w:div w:id="171452065">
          <w:marLeft w:val="0"/>
          <w:marRight w:val="0"/>
          <w:marTop w:val="0"/>
          <w:marBottom w:val="0"/>
          <w:divBdr>
            <w:top w:val="none" w:sz="0" w:space="0" w:color="auto"/>
            <w:left w:val="none" w:sz="0" w:space="0" w:color="auto"/>
            <w:bottom w:val="none" w:sz="0" w:space="0" w:color="auto"/>
            <w:right w:val="none" w:sz="0" w:space="0" w:color="auto"/>
          </w:divBdr>
        </w:div>
        <w:div w:id="2084637464">
          <w:marLeft w:val="0"/>
          <w:marRight w:val="0"/>
          <w:marTop w:val="0"/>
          <w:marBottom w:val="0"/>
          <w:divBdr>
            <w:top w:val="none" w:sz="0" w:space="0" w:color="auto"/>
            <w:left w:val="none" w:sz="0" w:space="0" w:color="auto"/>
            <w:bottom w:val="none" w:sz="0" w:space="0" w:color="auto"/>
            <w:right w:val="none" w:sz="0" w:space="0" w:color="auto"/>
          </w:divBdr>
        </w:div>
        <w:div w:id="686952626">
          <w:marLeft w:val="0"/>
          <w:marRight w:val="0"/>
          <w:marTop w:val="0"/>
          <w:marBottom w:val="0"/>
          <w:divBdr>
            <w:top w:val="none" w:sz="0" w:space="0" w:color="auto"/>
            <w:left w:val="none" w:sz="0" w:space="0" w:color="auto"/>
            <w:bottom w:val="none" w:sz="0" w:space="0" w:color="auto"/>
            <w:right w:val="none" w:sz="0" w:space="0" w:color="auto"/>
          </w:divBdr>
        </w:div>
        <w:div w:id="470947262">
          <w:marLeft w:val="0"/>
          <w:marRight w:val="0"/>
          <w:marTop w:val="0"/>
          <w:marBottom w:val="0"/>
          <w:divBdr>
            <w:top w:val="none" w:sz="0" w:space="0" w:color="auto"/>
            <w:left w:val="none" w:sz="0" w:space="0" w:color="auto"/>
            <w:bottom w:val="none" w:sz="0" w:space="0" w:color="auto"/>
            <w:right w:val="none" w:sz="0" w:space="0" w:color="auto"/>
          </w:divBdr>
        </w:div>
        <w:div w:id="962154126">
          <w:marLeft w:val="0"/>
          <w:marRight w:val="0"/>
          <w:marTop w:val="0"/>
          <w:marBottom w:val="0"/>
          <w:divBdr>
            <w:top w:val="none" w:sz="0" w:space="0" w:color="auto"/>
            <w:left w:val="none" w:sz="0" w:space="0" w:color="auto"/>
            <w:bottom w:val="none" w:sz="0" w:space="0" w:color="auto"/>
            <w:right w:val="none" w:sz="0" w:space="0" w:color="auto"/>
          </w:divBdr>
        </w:div>
        <w:div w:id="1314796116">
          <w:marLeft w:val="0"/>
          <w:marRight w:val="0"/>
          <w:marTop w:val="0"/>
          <w:marBottom w:val="0"/>
          <w:divBdr>
            <w:top w:val="none" w:sz="0" w:space="0" w:color="auto"/>
            <w:left w:val="none" w:sz="0" w:space="0" w:color="auto"/>
            <w:bottom w:val="none" w:sz="0" w:space="0" w:color="auto"/>
            <w:right w:val="none" w:sz="0" w:space="0" w:color="auto"/>
          </w:divBdr>
        </w:div>
        <w:div w:id="1349941139">
          <w:marLeft w:val="0"/>
          <w:marRight w:val="0"/>
          <w:marTop w:val="0"/>
          <w:marBottom w:val="0"/>
          <w:divBdr>
            <w:top w:val="none" w:sz="0" w:space="0" w:color="auto"/>
            <w:left w:val="none" w:sz="0" w:space="0" w:color="auto"/>
            <w:bottom w:val="none" w:sz="0" w:space="0" w:color="auto"/>
            <w:right w:val="none" w:sz="0" w:space="0" w:color="auto"/>
          </w:divBdr>
        </w:div>
        <w:div w:id="2071882328">
          <w:marLeft w:val="0"/>
          <w:marRight w:val="0"/>
          <w:marTop w:val="0"/>
          <w:marBottom w:val="0"/>
          <w:divBdr>
            <w:top w:val="none" w:sz="0" w:space="0" w:color="auto"/>
            <w:left w:val="none" w:sz="0" w:space="0" w:color="auto"/>
            <w:bottom w:val="none" w:sz="0" w:space="0" w:color="auto"/>
            <w:right w:val="none" w:sz="0" w:space="0" w:color="auto"/>
          </w:divBdr>
        </w:div>
        <w:div w:id="1386299703">
          <w:marLeft w:val="0"/>
          <w:marRight w:val="0"/>
          <w:marTop w:val="0"/>
          <w:marBottom w:val="0"/>
          <w:divBdr>
            <w:top w:val="none" w:sz="0" w:space="0" w:color="auto"/>
            <w:left w:val="none" w:sz="0" w:space="0" w:color="auto"/>
            <w:bottom w:val="none" w:sz="0" w:space="0" w:color="auto"/>
            <w:right w:val="none" w:sz="0" w:space="0" w:color="auto"/>
          </w:divBdr>
        </w:div>
        <w:div w:id="1754157936">
          <w:marLeft w:val="0"/>
          <w:marRight w:val="0"/>
          <w:marTop w:val="0"/>
          <w:marBottom w:val="0"/>
          <w:divBdr>
            <w:top w:val="none" w:sz="0" w:space="0" w:color="auto"/>
            <w:left w:val="none" w:sz="0" w:space="0" w:color="auto"/>
            <w:bottom w:val="none" w:sz="0" w:space="0" w:color="auto"/>
            <w:right w:val="none" w:sz="0" w:space="0" w:color="auto"/>
          </w:divBdr>
        </w:div>
        <w:div w:id="476841586">
          <w:marLeft w:val="0"/>
          <w:marRight w:val="0"/>
          <w:marTop w:val="0"/>
          <w:marBottom w:val="0"/>
          <w:divBdr>
            <w:top w:val="none" w:sz="0" w:space="0" w:color="auto"/>
            <w:left w:val="none" w:sz="0" w:space="0" w:color="auto"/>
            <w:bottom w:val="none" w:sz="0" w:space="0" w:color="auto"/>
            <w:right w:val="none" w:sz="0" w:space="0" w:color="auto"/>
          </w:divBdr>
        </w:div>
        <w:div w:id="976689190">
          <w:marLeft w:val="0"/>
          <w:marRight w:val="0"/>
          <w:marTop w:val="0"/>
          <w:marBottom w:val="0"/>
          <w:divBdr>
            <w:top w:val="none" w:sz="0" w:space="0" w:color="auto"/>
            <w:left w:val="none" w:sz="0" w:space="0" w:color="auto"/>
            <w:bottom w:val="none" w:sz="0" w:space="0" w:color="auto"/>
            <w:right w:val="none" w:sz="0" w:space="0" w:color="auto"/>
          </w:divBdr>
        </w:div>
        <w:div w:id="1790976697">
          <w:marLeft w:val="0"/>
          <w:marRight w:val="0"/>
          <w:marTop w:val="0"/>
          <w:marBottom w:val="0"/>
          <w:divBdr>
            <w:top w:val="none" w:sz="0" w:space="0" w:color="auto"/>
            <w:left w:val="none" w:sz="0" w:space="0" w:color="auto"/>
            <w:bottom w:val="none" w:sz="0" w:space="0" w:color="auto"/>
            <w:right w:val="none" w:sz="0" w:space="0" w:color="auto"/>
          </w:divBdr>
        </w:div>
        <w:div w:id="656150550">
          <w:marLeft w:val="0"/>
          <w:marRight w:val="0"/>
          <w:marTop w:val="0"/>
          <w:marBottom w:val="0"/>
          <w:divBdr>
            <w:top w:val="none" w:sz="0" w:space="0" w:color="auto"/>
            <w:left w:val="none" w:sz="0" w:space="0" w:color="auto"/>
            <w:bottom w:val="none" w:sz="0" w:space="0" w:color="auto"/>
            <w:right w:val="none" w:sz="0" w:space="0" w:color="auto"/>
          </w:divBdr>
        </w:div>
        <w:div w:id="994647729">
          <w:marLeft w:val="0"/>
          <w:marRight w:val="0"/>
          <w:marTop w:val="0"/>
          <w:marBottom w:val="0"/>
          <w:divBdr>
            <w:top w:val="none" w:sz="0" w:space="0" w:color="auto"/>
            <w:left w:val="none" w:sz="0" w:space="0" w:color="auto"/>
            <w:bottom w:val="none" w:sz="0" w:space="0" w:color="auto"/>
            <w:right w:val="none" w:sz="0" w:space="0" w:color="auto"/>
          </w:divBdr>
        </w:div>
        <w:div w:id="1824731808">
          <w:marLeft w:val="0"/>
          <w:marRight w:val="0"/>
          <w:marTop w:val="0"/>
          <w:marBottom w:val="0"/>
          <w:divBdr>
            <w:top w:val="none" w:sz="0" w:space="0" w:color="auto"/>
            <w:left w:val="none" w:sz="0" w:space="0" w:color="auto"/>
            <w:bottom w:val="none" w:sz="0" w:space="0" w:color="auto"/>
            <w:right w:val="none" w:sz="0" w:space="0" w:color="auto"/>
          </w:divBdr>
        </w:div>
        <w:div w:id="673923992">
          <w:marLeft w:val="0"/>
          <w:marRight w:val="0"/>
          <w:marTop w:val="0"/>
          <w:marBottom w:val="0"/>
          <w:divBdr>
            <w:top w:val="none" w:sz="0" w:space="0" w:color="auto"/>
            <w:left w:val="none" w:sz="0" w:space="0" w:color="auto"/>
            <w:bottom w:val="none" w:sz="0" w:space="0" w:color="auto"/>
            <w:right w:val="none" w:sz="0" w:space="0" w:color="auto"/>
          </w:divBdr>
        </w:div>
        <w:div w:id="712509572">
          <w:marLeft w:val="0"/>
          <w:marRight w:val="0"/>
          <w:marTop w:val="0"/>
          <w:marBottom w:val="0"/>
          <w:divBdr>
            <w:top w:val="none" w:sz="0" w:space="0" w:color="auto"/>
            <w:left w:val="none" w:sz="0" w:space="0" w:color="auto"/>
            <w:bottom w:val="none" w:sz="0" w:space="0" w:color="auto"/>
            <w:right w:val="none" w:sz="0" w:space="0" w:color="auto"/>
          </w:divBdr>
        </w:div>
        <w:div w:id="1261792783">
          <w:marLeft w:val="0"/>
          <w:marRight w:val="0"/>
          <w:marTop w:val="0"/>
          <w:marBottom w:val="0"/>
          <w:divBdr>
            <w:top w:val="none" w:sz="0" w:space="0" w:color="auto"/>
            <w:left w:val="none" w:sz="0" w:space="0" w:color="auto"/>
            <w:bottom w:val="none" w:sz="0" w:space="0" w:color="auto"/>
            <w:right w:val="none" w:sz="0" w:space="0" w:color="auto"/>
          </w:divBdr>
        </w:div>
        <w:div w:id="1863739228">
          <w:marLeft w:val="0"/>
          <w:marRight w:val="0"/>
          <w:marTop w:val="0"/>
          <w:marBottom w:val="0"/>
          <w:divBdr>
            <w:top w:val="none" w:sz="0" w:space="0" w:color="auto"/>
            <w:left w:val="none" w:sz="0" w:space="0" w:color="auto"/>
            <w:bottom w:val="none" w:sz="0" w:space="0" w:color="auto"/>
            <w:right w:val="none" w:sz="0" w:space="0" w:color="auto"/>
          </w:divBdr>
        </w:div>
        <w:div w:id="1514109841">
          <w:marLeft w:val="0"/>
          <w:marRight w:val="0"/>
          <w:marTop w:val="0"/>
          <w:marBottom w:val="0"/>
          <w:divBdr>
            <w:top w:val="none" w:sz="0" w:space="0" w:color="auto"/>
            <w:left w:val="none" w:sz="0" w:space="0" w:color="auto"/>
            <w:bottom w:val="none" w:sz="0" w:space="0" w:color="auto"/>
            <w:right w:val="none" w:sz="0" w:space="0" w:color="auto"/>
          </w:divBdr>
        </w:div>
        <w:div w:id="590897183">
          <w:marLeft w:val="0"/>
          <w:marRight w:val="0"/>
          <w:marTop w:val="0"/>
          <w:marBottom w:val="0"/>
          <w:divBdr>
            <w:top w:val="none" w:sz="0" w:space="0" w:color="auto"/>
            <w:left w:val="none" w:sz="0" w:space="0" w:color="auto"/>
            <w:bottom w:val="none" w:sz="0" w:space="0" w:color="auto"/>
            <w:right w:val="none" w:sz="0" w:space="0" w:color="auto"/>
          </w:divBdr>
        </w:div>
        <w:div w:id="938757067">
          <w:marLeft w:val="0"/>
          <w:marRight w:val="0"/>
          <w:marTop w:val="0"/>
          <w:marBottom w:val="0"/>
          <w:divBdr>
            <w:top w:val="none" w:sz="0" w:space="0" w:color="auto"/>
            <w:left w:val="none" w:sz="0" w:space="0" w:color="auto"/>
            <w:bottom w:val="none" w:sz="0" w:space="0" w:color="auto"/>
            <w:right w:val="none" w:sz="0" w:space="0" w:color="auto"/>
          </w:divBdr>
        </w:div>
        <w:div w:id="1392995303">
          <w:marLeft w:val="0"/>
          <w:marRight w:val="0"/>
          <w:marTop w:val="0"/>
          <w:marBottom w:val="0"/>
          <w:divBdr>
            <w:top w:val="none" w:sz="0" w:space="0" w:color="auto"/>
            <w:left w:val="none" w:sz="0" w:space="0" w:color="auto"/>
            <w:bottom w:val="none" w:sz="0" w:space="0" w:color="auto"/>
            <w:right w:val="none" w:sz="0" w:space="0" w:color="auto"/>
          </w:divBdr>
        </w:div>
        <w:div w:id="545683802">
          <w:marLeft w:val="0"/>
          <w:marRight w:val="0"/>
          <w:marTop w:val="0"/>
          <w:marBottom w:val="0"/>
          <w:divBdr>
            <w:top w:val="none" w:sz="0" w:space="0" w:color="auto"/>
            <w:left w:val="none" w:sz="0" w:space="0" w:color="auto"/>
            <w:bottom w:val="none" w:sz="0" w:space="0" w:color="auto"/>
            <w:right w:val="none" w:sz="0" w:space="0" w:color="auto"/>
          </w:divBdr>
        </w:div>
        <w:div w:id="494495685">
          <w:marLeft w:val="0"/>
          <w:marRight w:val="0"/>
          <w:marTop w:val="0"/>
          <w:marBottom w:val="0"/>
          <w:divBdr>
            <w:top w:val="none" w:sz="0" w:space="0" w:color="auto"/>
            <w:left w:val="none" w:sz="0" w:space="0" w:color="auto"/>
            <w:bottom w:val="none" w:sz="0" w:space="0" w:color="auto"/>
            <w:right w:val="none" w:sz="0" w:space="0" w:color="auto"/>
          </w:divBdr>
        </w:div>
        <w:div w:id="521480317">
          <w:marLeft w:val="0"/>
          <w:marRight w:val="0"/>
          <w:marTop w:val="0"/>
          <w:marBottom w:val="0"/>
          <w:divBdr>
            <w:top w:val="none" w:sz="0" w:space="0" w:color="auto"/>
            <w:left w:val="none" w:sz="0" w:space="0" w:color="auto"/>
            <w:bottom w:val="none" w:sz="0" w:space="0" w:color="auto"/>
            <w:right w:val="none" w:sz="0" w:space="0" w:color="auto"/>
          </w:divBdr>
        </w:div>
        <w:div w:id="1550727354">
          <w:marLeft w:val="0"/>
          <w:marRight w:val="0"/>
          <w:marTop w:val="0"/>
          <w:marBottom w:val="0"/>
          <w:divBdr>
            <w:top w:val="none" w:sz="0" w:space="0" w:color="auto"/>
            <w:left w:val="none" w:sz="0" w:space="0" w:color="auto"/>
            <w:bottom w:val="none" w:sz="0" w:space="0" w:color="auto"/>
            <w:right w:val="none" w:sz="0" w:space="0" w:color="auto"/>
          </w:divBdr>
        </w:div>
        <w:div w:id="1443257817">
          <w:marLeft w:val="0"/>
          <w:marRight w:val="0"/>
          <w:marTop w:val="0"/>
          <w:marBottom w:val="0"/>
          <w:divBdr>
            <w:top w:val="none" w:sz="0" w:space="0" w:color="auto"/>
            <w:left w:val="none" w:sz="0" w:space="0" w:color="auto"/>
            <w:bottom w:val="none" w:sz="0" w:space="0" w:color="auto"/>
            <w:right w:val="none" w:sz="0" w:space="0" w:color="auto"/>
          </w:divBdr>
        </w:div>
        <w:div w:id="1771467599">
          <w:marLeft w:val="0"/>
          <w:marRight w:val="0"/>
          <w:marTop w:val="0"/>
          <w:marBottom w:val="0"/>
          <w:divBdr>
            <w:top w:val="none" w:sz="0" w:space="0" w:color="auto"/>
            <w:left w:val="none" w:sz="0" w:space="0" w:color="auto"/>
            <w:bottom w:val="none" w:sz="0" w:space="0" w:color="auto"/>
            <w:right w:val="none" w:sz="0" w:space="0" w:color="auto"/>
          </w:divBdr>
        </w:div>
        <w:div w:id="1116023318">
          <w:marLeft w:val="0"/>
          <w:marRight w:val="0"/>
          <w:marTop w:val="0"/>
          <w:marBottom w:val="0"/>
          <w:divBdr>
            <w:top w:val="none" w:sz="0" w:space="0" w:color="auto"/>
            <w:left w:val="none" w:sz="0" w:space="0" w:color="auto"/>
            <w:bottom w:val="none" w:sz="0" w:space="0" w:color="auto"/>
            <w:right w:val="none" w:sz="0" w:space="0" w:color="auto"/>
          </w:divBdr>
        </w:div>
        <w:div w:id="548416313">
          <w:marLeft w:val="0"/>
          <w:marRight w:val="0"/>
          <w:marTop w:val="0"/>
          <w:marBottom w:val="0"/>
          <w:divBdr>
            <w:top w:val="none" w:sz="0" w:space="0" w:color="auto"/>
            <w:left w:val="none" w:sz="0" w:space="0" w:color="auto"/>
            <w:bottom w:val="none" w:sz="0" w:space="0" w:color="auto"/>
            <w:right w:val="none" w:sz="0" w:space="0" w:color="auto"/>
          </w:divBdr>
        </w:div>
        <w:div w:id="1096556381">
          <w:marLeft w:val="0"/>
          <w:marRight w:val="0"/>
          <w:marTop w:val="0"/>
          <w:marBottom w:val="0"/>
          <w:divBdr>
            <w:top w:val="none" w:sz="0" w:space="0" w:color="auto"/>
            <w:left w:val="none" w:sz="0" w:space="0" w:color="auto"/>
            <w:bottom w:val="none" w:sz="0" w:space="0" w:color="auto"/>
            <w:right w:val="none" w:sz="0" w:space="0" w:color="auto"/>
          </w:divBdr>
        </w:div>
        <w:div w:id="1150749503">
          <w:marLeft w:val="0"/>
          <w:marRight w:val="0"/>
          <w:marTop w:val="0"/>
          <w:marBottom w:val="0"/>
          <w:divBdr>
            <w:top w:val="none" w:sz="0" w:space="0" w:color="auto"/>
            <w:left w:val="none" w:sz="0" w:space="0" w:color="auto"/>
            <w:bottom w:val="none" w:sz="0" w:space="0" w:color="auto"/>
            <w:right w:val="none" w:sz="0" w:space="0" w:color="auto"/>
          </w:divBdr>
        </w:div>
        <w:div w:id="1969773480">
          <w:marLeft w:val="0"/>
          <w:marRight w:val="0"/>
          <w:marTop w:val="0"/>
          <w:marBottom w:val="0"/>
          <w:divBdr>
            <w:top w:val="none" w:sz="0" w:space="0" w:color="auto"/>
            <w:left w:val="none" w:sz="0" w:space="0" w:color="auto"/>
            <w:bottom w:val="none" w:sz="0" w:space="0" w:color="auto"/>
            <w:right w:val="none" w:sz="0" w:space="0" w:color="auto"/>
          </w:divBdr>
        </w:div>
        <w:div w:id="1327322660">
          <w:marLeft w:val="0"/>
          <w:marRight w:val="0"/>
          <w:marTop w:val="0"/>
          <w:marBottom w:val="0"/>
          <w:divBdr>
            <w:top w:val="none" w:sz="0" w:space="0" w:color="auto"/>
            <w:left w:val="none" w:sz="0" w:space="0" w:color="auto"/>
            <w:bottom w:val="none" w:sz="0" w:space="0" w:color="auto"/>
            <w:right w:val="none" w:sz="0" w:space="0" w:color="auto"/>
          </w:divBdr>
        </w:div>
        <w:div w:id="1366519317">
          <w:marLeft w:val="0"/>
          <w:marRight w:val="0"/>
          <w:marTop w:val="0"/>
          <w:marBottom w:val="0"/>
          <w:divBdr>
            <w:top w:val="none" w:sz="0" w:space="0" w:color="auto"/>
            <w:left w:val="none" w:sz="0" w:space="0" w:color="auto"/>
            <w:bottom w:val="none" w:sz="0" w:space="0" w:color="auto"/>
            <w:right w:val="none" w:sz="0" w:space="0" w:color="auto"/>
          </w:divBdr>
        </w:div>
        <w:div w:id="1360736001">
          <w:marLeft w:val="0"/>
          <w:marRight w:val="0"/>
          <w:marTop w:val="0"/>
          <w:marBottom w:val="0"/>
          <w:divBdr>
            <w:top w:val="none" w:sz="0" w:space="0" w:color="auto"/>
            <w:left w:val="none" w:sz="0" w:space="0" w:color="auto"/>
            <w:bottom w:val="none" w:sz="0" w:space="0" w:color="auto"/>
            <w:right w:val="none" w:sz="0" w:space="0" w:color="auto"/>
          </w:divBdr>
        </w:div>
        <w:div w:id="1116027905">
          <w:marLeft w:val="0"/>
          <w:marRight w:val="0"/>
          <w:marTop w:val="0"/>
          <w:marBottom w:val="0"/>
          <w:divBdr>
            <w:top w:val="none" w:sz="0" w:space="0" w:color="auto"/>
            <w:left w:val="none" w:sz="0" w:space="0" w:color="auto"/>
            <w:bottom w:val="none" w:sz="0" w:space="0" w:color="auto"/>
            <w:right w:val="none" w:sz="0" w:space="0" w:color="auto"/>
          </w:divBdr>
        </w:div>
        <w:div w:id="2034182594">
          <w:marLeft w:val="0"/>
          <w:marRight w:val="0"/>
          <w:marTop w:val="0"/>
          <w:marBottom w:val="0"/>
          <w:divBdr>
            <w:top w:val="none" w:sz="0" w:space="0" w:color="auto"/>
            <w:left w:val="none" w:sz="0" w:space="0" w:color="auto"/>
            <w:bottom w:val="none" w:sz="0" w:space="0" w:color="auto"/>
            <w:right w:val="none" w:sz="0" w:space="0" w:color="auto"/>
          </w:divBdr>
        </w:div>
        <w:div w:id="2114085610">
          <w:marLeft w:val="0"/>
          <w:marRight w:val="0"/>
          <w:marTop w:val="0"/>
          <w:marBottom w:val="0"/>
          <w:divBdr>
            <w:top w:val="none" w:sz="0" w:space="0" w:color="auto"/>
            <w:left w:val="none" w:sz="0" w:space="0" w:color="auto"/>
            <w:bottom w:val="none" w:sz="0" w:space="0" w:color="auto"/>
            <w:right w:val="none" w:sz="0" w:space="0" w:color="auto"/>
          </w:divBdr>
        </w:div>
        <w:div w:id="1095320810">
          <w:marLeft w:val="0"/>
          <w:marRight w:val="0"/>
          <w:marTop w:val="0"/>
          <w:marBottom w:val="0"/>
          <w:divBdr>
            <w:top w:val="none" w:sz="0" w:space="0" w:color="auto"/>
            <w:left w:val="none" w:sz="0" w:space="0" w:color="auto"/>
            <w:bottom w:val="none" w:sz="0" w:space="0" w:color="auto"/>
            <w:right w:val="none" w:sz="0" w:space="0" w:color="auto"/>
          </w:divBdr>
        </w:div>
        <w:div w:id="1614090030">
          <w:marLeft w:val="0"/>
          <w:marRight w:val="0"/>
          <w:marTop w:val="0"/>
          <w:marBottom w:val="0"/>
          <w:divBdr>
            <w:top w:val="none" w:sz="0" w:space="0" w:color="auto"/>
            <w:left w:val="none" w:sz="0" w:space="0" w:color="auto"/>
            <w:bottom w:val="none" w:sz="0" w:space="0" w:color="auto"/>
            <w:right w:val="none" w:sz="0" w:space="0" w:color="auto"/>
          </w:divBdr>
        </w:div>
        <w:div w:id="1736124148">
          <w:marLeft w:val="0"/>
          <w:marRight w:val="0"/>
          <w:marTop w:val="0"/>
          <w:marBottom w:val="0"/>
          <w:divBdr>
            <w:top w:val="none" w:sz="0" w:space="0" w:color="auto"/>
            <w:left w:val="none" w:sz="0" w:space="0" w:color="auto"/>
            <w:bottom w:val="none" w:sz="0" w:space="0" w:color="auto"/>
            <w:right w:val="none" w:sz="0" w:space="0" w:color="auto"/>
          </w:divBdr>
        </w:div>
        <w:div w:id="2059551832">
          <w:marLeft w:val="0"/>
          <w:marRight w:val="0"/>
          <w:marTop w:val="0"/>
          <w:marBottom w:val="0"/>
          <w:divBdr>
            <w:top w:val="none" w:sz="0" w:space="0" w:color="auto"/>
            <w:left w:val="none" w:sz="0" w:space="0" w:color="auto"/>
            <w:bottom w:val="none" w:sz="0" w:space="0" w:color="auto"/>
            <w:right w:val="none" w:sz="0" w:space="0" w:color="auto"/>
          </w:divBdr>
        </w:div>
        <w:div w:id="28579864">
          <w:marLeft w:val="0"/>
          <w:marRight w:val="0"/>
          <w:marTop w:val="0"/>
          <w:marBottom w:val="0"/>
          <w:divBdr>
            <w:top w:val="none" w:sz="0" w:space="0" w:color="auto"/>
            <w:left w:val="none" w:sz="0" w:space="0" w:color="auto"/>
            <w:bottom w:val="none" w:sz="0" w:space="0" w:color="auto"/>
            <w:right w:val="none" w:sz="0" w:space="0" w:color="auto"/>
          </w:divBdr>
        </w:div>
        <w:div w:id="1560290417">
          <w:marLeft w:val="0"/>
          <w:marRight w:val="0"/>
          <w:marTop w:val="0"/>
          <w:marBottom w:val="0"/>
          <w:divBdr>
            <w:top w:val="none" w:sz="0" w:space="0" w:color="auto"/>
            <w:left w:val="none" w:sz="0" w:space="0" w:color="auto"/>
            <w:bottom w:val="none" w:sz="0" w:space="0" w:color="auto"/>
            <w:right w:val="none" w:sz="0" w:space="0" w:color="auto"/>
          </w:divBdr>
        </w:div>
        <w:div w:id="533348209">
          <w:marLeft w:val="0"/>
          <w:marRight w:val="0"/>
          <w:marTop w:val="0"/>
          <w:marBottom w:val="0"/>
          <w:divBdr>
            <w:top w:val="none" w:sz="0" w:space="0" w:color="auto"/>
            <w:left w:val="none" w:sz="0" w:space="0" w:color="auto"/>
            <w:bottom w:val="none" w:sz="0" w:space="0" w:color="auto"/>
            <w:right w:val="none" w:sz="0" w:space="0" w:color="auto"/>
          </w:divBdr>
        </w:div>
        <w:div w:id="1732390079">
          <w:marLeft w:val="0"/>
          <w:marRight w:val="0"/>
          <w:marTop w:val="0"/>
          <w:marBottom w:val="0"/>
          <w:divBdr>
            <w:top w:val="none" w:sz="0" w:space="0" w:color="auto"/>
            <w:left w:val="none" w:sz="0" w:space="0" w:color="auto"/>
            <w:bottom w:val="none" w:sz="0" w:space="0" w:color="auto"/>
            <w:right w:val="none" w:sz="0" w:space="0" w:color="auto"/>
          </w:divBdr>
        </w:div>
        <w:div w:id="639916903">
          <w:marLeft w:val="0"/>
          <w:marRight w:val="0"/>
          <w:marTop w:val="0"/>
          <w:marBottom w:val="0"/>
          <w:divBdr>
            <w:top w:val="none" w:sz="0" w:space="0" w:color="auto"/>
            <w:left w:val="none" w:sz="0" w:space="0" w:color="auto"/>
            <w:bottom w:val="none" w:sz="0" w:space="0" w:color="auto"/>
            <w:right w:val="none" w:sz="0" w:space="0" w:color="auto"/>
          </w:divBdr>
        </w:div>
        <w:div w:id="744643812">
          <w:marLeft w:val="0"/>
          <w:marRight w:val="0"/>
          <w:marTop w:val="0"/>
          <w:marBottom w:val="0"/>
          <w:divBdr>
            <w:top w:val="none" w:sz="0" w:space="0" w:color="auto"/>
            <w:left w:val="none" w:sz="0" w:space="0" w:color="auto"/>
            <w:bottom w:val="none" w:sz="0" w:space="0" w:color="auto"/>
            <w:right w:val="none" w:sz="0" w:space="0" w:color="auto"/>
          </w:divBdr>
        </w:div>
        <w:div w:id="1298873072">
          <w:marLeft w:val="0"/>
          <w:marRight w:val="0"/>
          <w:marTop w:val="0"/>
          <w:marBottom w:val="0"/>
          <w:divBdr>
            <w:top w:val="none" w:sz="0" w:space="0" w:color="auto"/>
            <w:left w:val="none" w:sz="0" w:space="0" w:color="auto"/>
            <w:bottom w:val="none" w:sz="0" w:space="0" w:color="auto"/>
            <w:right w:val="none" w:sz="0" w:space="0" w:color="auto"/>
          </w:divBdr>
        </w:div>
        <w:div w:id="685448980">
          <w:marLeft w:val="0"/>
          <w:marRight w:val="0"/>
          <w:marTop w:val="0"/>
          <w:marBottom w:val="0"/>
          <w:divBdr>
            <w:top w:val="none" w:sz="0" w:space="0" w:color="auto"/>
            <w:left w:val="none" w:sz="0" w:space="0" w:color="auto"/>
            <w:bottom w:val="none" w:sz="0" w:space="0" w:color="auto"/>
            <w:right w:val="none" w:sz="0" w:space="0" w:color="auto"/>
          </w:divBdr>
        </w:div>
        <w:div w:id="1212041380">
          <w:marLeft w:val="0"/>
          <w:marRight w:val="0"/>
          <w:marTop w:val="0"/>
          <w:marBottom w:val="0"/>
          <w:divBdr>
            <w:top w:val="none" w:sz="0" w:space="0" w:color="auto"/>
            <w:left w:val="none" w:sz="0" w:space="0" w:color="auto"/>
            <w:bottom w:val="none" w:sz="0" w:space="0" w:color="auto"/>
            <w:right w:val="none" w:sz="0" w:space="0" w:color="auto"/>
          </w:divBdr>
        </w:div>
        <w:div w:id="1662613635">
          <w:marLeft w:val="0"/>
          <w:marRight w:val="0"/>
          <w:marTop w:val="0"/>
          <w:marBottom w:val="0"/>
          <w:divBdr>
            <w:top w:val="none" w:sz="0" w:space="0" w:color="auto"/>
            <w:left w:val="none" w:sz="0" w:space="0" w:color="auto"/>
            <w:bottom w:val="none" w:sz="0" w:space="0" w:color="auto"/>
            <w:right w:val="none" w:sz="0" w:space="0" w:color="auto"/>
          </w:divBdr>
        </w:div>
        <w:div w:id="1959919734">
          <w:marLeft w:val="0"/>
          <w:marRight w:val="0"/>
          <w:marTop w:val="0"/>
          <w:marBottom w:val="0"/>
          <w:divBdr>
            <w:top w:val="none" w:sz="0" w:space="0" w:color="auto"/>
            <w:left w:val="none" w:sz="0" w:space="0" w:color="auto"/>
            <w:bottom w:val="none" w:sz="0" w:space="0" w:color="auto"/>
            <w:right w:val="none" w:sz="0" w:space="0" w:color="auto"/>
          </w:divBdr>
        </w:div>
        <w:div w:id="1046567248">
          <w:marLeft w:val="0"/>
          <w:marRight w:val="0"/>
          <w:marTop w:val="0"/>
          <w:marBottom w:val="0"/>
          <w:divBdr>
            <w:top w:val="none" w:sz="0" w:space="0" w:color="auto"/>
            <w:left w:val="none" w:sz="0" w:space="0" w:color="auto"/>
            <w:bottom w:val="none" w:sz="0" w:space="0" w:color="auto"/>
            <w:right w:val="none" w:sz="0" w:space="0" w:color="auto"/>
          </w:divBdr>
        </w:div>
        <w:div w:id="61175064">
          <w:marLeft w:val="0"/>
          <w:marRight w:val="0"/>
          <w:marTop w:val="0"/>
          <w:marBottom w:val="0"/>
          <w:divBdr>
            <w:top w:val="none" w:sz="0" w:space="0" w:color="auto"/>
            <w:left w:val="none" w:sz="0" w:space="0" w:color="auto"/>
            <w:bottom w:val="none" w:sz="0" w:space="0" w:color="auto"/>
            <w:right w:val="none" w:sz="0" w:space="0" w:color="auto"/>
          </w:divBdr>
        </w:div>
        <w:div w:id="1391997699">
          <w:marLeft w:val="0"/>
          <w:marRight w:val="0"/>
          <w:marTop w:val="0"/>
          <w:marBottom w:val="0"/>
          <w:divBdr>
            <w:top w:val="none" w:sz="0" w:space="0" w:color="auto"/>
            <w:left w:val="none" w:sz="0" w:space="0" w:color="auto"/>
            <w:bottom w:val="none" w:sz="0" w:space="0" w:color="auto"/>
            <w:right w:val="none" w:sz="0" w:space="0" w:color="auto"/>
          </w:divBdr>
        </w:div>
        <w:div w:id="486173389">
          <w:marLeft w:val="0"/>
          <w:marRight w:val="0"/>
          <w:marTop w:val="0"/>
          <w:marBottom w:val="0"/>
          <w:divBdr>
            <w:top w:val="none" w:sz="0" w:space="0" w:color="auto"/>
            <w:left w:val="none" w:sz="0" w:space="0" w:color="auto"/>
            <w:bottom w:val="none" w:sz="0" w:space="0" w:color="auto"/>
            <w:right w:val="none" w:sz="0" w:space="0" w:color="auto"/>
          </w:divBdr>
        </w:div>
        <w:div w:id="1351029689">
          <w:marLeft w:val="0"/>
          <w:marRight w:val="0"/>
          <w:marTop w:val="0"/>
          <w:marBottom w:val="0"/>
          <w:divBdr>
            <w:top w:val="none" w:sz="0" w:space="0" w:color="auto"/>
            <w:left w:val="none" w:sz="0" w:space="0" w:color="auto"/>
            <w:bottom w:val="none" w:sz="0" w:space="0" w:color="auto"/>
            <w:right w:val="none" w:sz="0" w:space="0" w:color="auto"/>
          </w:divBdr>
        </w:div>
        <w:div w:id="661468347">
          <w:marLeft w:val="0"/>
          <w:marRight w:val="0"/>
          <w:marTop w:val="0"/>
          <w:marBottom w:val="0"/>
          <w:divBdr>
            <w:top w:val="none" w:sz="0" w:space="0" w:color="auto"/>
            <w:left w:val="none" w:sz="0" w:space="0" w:color="auto"/>
            <w:bottom w:val="none" w:sz="0" w:space="0" w:color="auto"/>
            <w:right w:val="none" w:sz="0" w:space="0" w:color="auto"/>
          </w:divBdr>
        </w:div>
        <w:div w:id="1901357557">
          <w:marLeft w:val="0"/>
          <w:marRight w:val="0"/>
          <w:marTop w:val="0"/>
          <w:marBottom w:val="0"/>
          <w:divBdr>
            <w:top w:val="none" w:sz="0" w:space="0" w:color="auto"/>
            <w:left w:val="none" w:sz="0" w:space="0" w:color="auto"/>
            <w:bottom w:val="none" w:sz="0" w:space="0" w:color="auto"/>
            <w:right w:val="none" w:sz="0" w:space="0" w:color="auto"/>
          </w:divBdr>
        </w:div>
        <w:div w:id="328756889">
          <w:marLeft w:val="0"/>
          <w:marRight w:val="0"/>
          <w:marTop w:val="0"/>
          <w:marBottom w:val="0"/>
          <w:divBdr>
            <w:top w:val="none" w:sz="0" w:space="0" w:color="auto"/>
            <w:left w:val="none" w:sz="0" w:space="0" w:color="auto"/>
            <w:bottom w:val="none" w:sz="0" w:space="0" w:color="auto"/>
            <w:right w:val="none" w:sz="0" w:space="0" w:color="auto"/>
          </w:divBdr>
        </w:div>
        <w:div w:id="177622561">
          <w:marLeft w:val="0"/>
          <w:marRight w:val="0"/>
          <w:marTop w:val="0"/>
          <w:marBottom w:val="0"/>
          <w:divBdr>
            <w:top w:val="none" w:sz="0" w:space="0" w:color="auto"/>
            <w:left w:val="none" w:sz="0" w:space="0" w:color="auto"/>
            <w:bottom w:val="none" w:sz="0" w:space="0" w:color="auto"/>
            <w:right w:val="none" w:sz="0" w:space="0" w:color="auto"/>
          </w:divBdr>
        </w:div>
        <w:div w:id="1855456237">
          <w:marLeft w:val="0"/>
          <w:marRight w:val="0"/>
          <w:marTop w:val="0"/>
          <w:marBottom w:val="0"/>
          <w:divBdr>
            <w:top w:val="none" w:sz="0" w:space="0" w:color="auto"/>
            <w:left w:val="none" w:sz="0" w:space="0" w:color="auto"/>
            <w:bottom w:val="none" w:sz="0" w:space="0" w:color="auto"/>
            <w:right w:val="none" w:sz="0" w:space="0" w:color="auto"/>
          </w:divBdr>
        </w:div>
        <w:div w:id="605700757">
          <w:marLeft w:val="0"/>
          <w:marRight w:val="0"/>
          <w:marTop w:val="0"/>
          <w:marBottom w:val="0"/>
          <w:divBdr>
            <w:top w:val="none" w:sz="0" w:space="0" w:color="auto"/>
            <w:left w:val="none" w:sz="0" w:space="0" w:color="auto"/>
            <w:bottom w:val="none" w:sz="0" w:space="0" w:color="auto"/>
            <w:right w:val="none" w:sz="0" w:space="0" w:color="auto"/>
          </w:divBdr>
        </w:div>
        <w:div w:id="1531457650">
          <w:marLeft w:val="0"/>
          <w:marRight w:val="0"/>
          <w:marTop w:val="0"/>
          <w:marBottom w:val="0"/>
          <w:divBdr>
            <w:top w:val="none" w:sz="0" w:space="0" w:color="auto"/>
            <w:left w:val="none" w:sz="0" w:space="0" w:color="auto"/>
            <w:bottom w:val="none" w:sz="0" w:space="0" w:color="auto"/>
            <w:right w:val="none" w:sz="0" w:space="0" w:color="auto"/>
          </w:divBdr>
        </w:div>
        <w:div w:id="379941842">
          <w:marLeft w:val="0"/>
          <w:marRight w:val="0"/>
          <w:marTop w:val="0"/>
          <w:marBottom w:val="0"/>
          <w:divBdr>
            <w:top w:val="none" w:sz="0" w:space="0" w:color="auto"/>
            <w:left w:val="none" w:sz="0" w:space="0" w:color="auto"/>
            <w:bottom w:val="none" w:sz="0" w:space="0" w:color="auto"/>
            <w:right w:val="none" w:sz="0" w:space="0" w:color="auto"/>
          </w:divBdr>
        </w:div>
        <w:div w:id="2022774894">
          <w:marLeft w:val="0"/>
          <w:marRight w:val="0"/>
          <w:marTop w:val="0"/>
          <w:marBottom w:val="0"/>
          <w:divBdr>
            <w:top w:val="none" w:sz="0" w:space="0" w:color="auto"/>
            <w:left w:val="none" w:sz="0" w:space="0" w:color="auto"/>
            <w:bottom w:val="none" w:sz="0" w:space="0" w:color="auto"/>
            <w:right w:val="none" w:sz="0" w:space="0" w:color="auto"/>
          </w:divBdr>
        </w:div>
        <w:div w:id="1447893712">
          <w:marLeft w:val="0"/>
          <w:marRight w:val="0"/>
          <w:marTop w:val="0"/>
          <w:marBottom w:val="0"/>
          <w:divBdr>
            <w:top w:val="none" w:sz="0" w:space="0" w:color="auto"/>
            <w:left w:val="none" w:sz="0" w:space="0" w:color="auto"/>
            <w:bottom w:val="none" w:sz="0" w:space="0" w:color="auto"/>
            <w:right w:val="none" w:sz="0" w:space="0" w:color="auto"/>
          </w:divBdr>
        </w:div>
        <w:div w:id="721750664">
          <w:marLeft w:val="0"/>
          <w:marRight w:val="0"/>
          <w:marTop w:val="0"/>
          <w:marBottom w:val="0"/>
          <w:divBdr>
            <w:top w:val="none" w:sz="0" w:space="0" w:color="auto"/>
            <w:left w:val="none" w:sz="0" w:space="0" w:color="auto"/>
            <w:bottom w:val="none" w:sz="0" w:space="0" w:color="auto"/>
            <w:right w:val="none" w:sz="0" w:space="0" w:color="auto"/>
          </w:divBdr>
        </w:div>
        <w:div w:id="77793257">
          <w:marLeft w:val="0"/>
          <w:marRight w:val="0"/>
          <w:marTop w:val="0"/>
          <w:marBottom w:val="0"/>
          <w:divBdr>
            <w:top w:val="none" w:sz="0" w:space="0" w:color="auto"/>
            <w:left w:val="none" w:sz="0" w:space="0" w:color="auto"/>
            <w:bottom w:val="none" w:sz="0" w:space="0" w:color="auto"/>
            <w:right w:val="none" w:sz="0" w:space="0" w:color="auto"/>
          </w:divBdr>
        </w:div>
        <w:div w:id="66461072">
          <w:marLeft w:val="0"/>
          <w:marRight w:val="0"/>
          <w:marTop w:val="0"/>
          <w:marBottom w:val="0"/>
          <w:divBdr>
            <w:top w:val="none" w:sz="0" w:space="0" w:color="auto"/>
            <w:left w:val="none" w:sz="0" w:space="0" w:color="auto"/>
            <w:bottom w:val="none" w:sz="0" w:space="0" w:color="auto"/>
            <w:right w:val="none" w:sz="0" w:space="0" w:color="auto"/>
          </w:divBdr>
        </w:div>
        <w:div w:id="1087992858">
          <w:marLeft w:val="0"/>
          <w:marRight w:val="0"/>
          <w:marTop w:val="0"/>
          <w:marBottom w:val="0"/>
          <w:divBdr>
            <w:top w:val="none" w:sz="0" w:space="0" w:color="auto"/>
            <w:left w:val="none" w:sz="0" w:space="0" w:color="auto"/>
            <w:bottom w:val="none" w:sz="0" w:space="0" w:color="auto"/>
            <w:right w:val="none" w:sz="0" w:space="0" w:color="auto"/>
          </w:divBdr>
        </w:div>
        <w:div w:id="671103293">
          <w:marLeft w:val="0"/>
          <w:marRight w:val="0"/>
          <w:marTop w:val="0"/>
          <w:marBottom w:val="0"/>
          <w:divBdr>
            <w:top w:val="none" w:sz="0" w:space="0" w:color="auto"/>
            <w:left w:val="none" w:sz="0" w:space="0" w:color="auto"/>
            <w:bottom w:val="none" w:sz="0" w:space="0" w:color="auto"/>
            <w:right w:val="none" w:sz="0" w:space="0" w:color="auto"/>
          </w:divBdr>
        </w:div>
        <w:div w:id="57753293">
          <w:marLeft w:val="0"/>
          <w:marRight w:val="0"/>
          <w:marTop w:val="0"/>
          <w:marBottom w:val="0"/>
          <w:divBdr>
            <w:top w:val="none" w:sz="0" w:space="0" w:color="auto"/>
            <w:left w:val="none" w:sz="0" w:space="0" w:color="auto"/>
            <w:bottom w:val="none" w:sz="0" w:space="0" w:color="auto"/>
            <w:right w:val="none" w:sz="0" w:space="0" w:color="auto"/>
          </w:divBdr>
        </w:div>
        <w:div w:id="1338389961">
          <w:marLeft w:val="0"/>
          <w:marRight w:val="0"/>
          <w:marTop w:val="0"/>
          <w:marBottom w:val="0"/>
          <w:divBdr>
            <w:top w:val="none" w:sz="0" w:space="0" w:color="auto"/>
            <w:left w:val="none" w:sz="0" w:space="0" w:color="auto"/>
            <w:bottom w:val="none" w:sz="0" w:space="0" w:color="auto"/>
            <w:right w:val="none" w:sz="0" w:space="0" w:color="auto"/>
          </w:divBdr>
        </w:div>
        <w:div w:id="1988439433">
          <w:marLeft w:val="0"/>
          <w:marRight w:val="0"/>
          <w:marTop w:val="0"/>
          <w:marBottom w:val="0"/>
          <w:divBdr>
            <w:top w:val="none" w:sz="0" w:space="0" w:color="auto"/>
            <w:left w:val="none" w:sz="0" w:space="0" w:color="auto"/>
            <w:bottom w:val="none" w:sz="0" w:space="0" w:color="auto"/>
            <w:right w:val="none" w:sz="0" w:space="0" w:color="auto"/>
          </w:divBdr>
        </w:div>
        <w:div w:id="1990746423">
          <w:marLeft w:val="0"/>
          <w:marRight w:val="0"/>
          <w:marTop w:val="0"/>
          <w:marBottom w:val="0"/>
          <w:divBdr>
            <w:top w:val="none" w:sz="0" w:space="0" w:color="auto"/>
            <w:left w:val="none" w:sz="0" w:space="0" w:color="auto"/>
            <w:bottom w:val="none" w:sz="0" w:space="0" w:color="auto"/>
            <w:right w:val="none" w:sz="0" w:space="0" w:color="auto"/>
          </w:divBdr>
        </w:div>
        <w:div w:id="349182705">
          <w:marLeft w:val="0"/>
          <w:marRight w:val="0"/>
          <w:marTop w:val="0"/>
          <w:marBottom w:val="0"/>
          <w:divBdr>
            <w:top w:val="none" w:sz="0" w:space="0" w:color="auto"/>
            <w:left w:val="none" w:sz="0" w:space="0" w:color="auto"/>
            <w:bottom w:val="none" w:sz="0" w:space="0" w:color="auto"/>
            <w:right w:val="none" w:sz="0" w:space="0" w:color="auto"/>
          </w:divBdr>
        </w:div>
        <w:div w:id="321394902">
          <w:marLeft w:val="0"/>
          <w:marRight w:val="0"/>
          <w:marTop w:val="0"/>
          <w:marBottom w:val="0"/>
          <w:divBdr>
            <w:top w:val="none" w:sz="0" w:space="0" w:color="auto"/>
            <w:left w:val="none" w:sz="0" w:space="0" w:color="auto"/>
            <w:bottom w:val="none" w:sz="0" w:space="0" w:color="auto"/>
            <w:right w:val="none" w:sz="0" w:space="0" w:color="auto"/>
          </w:divBdr>
        </w:div>
        <w:div w:id="1495099288">
          <w:marLeft w:val="0"/>
          <w:marRight w:val="0"/>
          <w:marTop w:val="0"/>
          <w:marBottom w:val="0"/>
          <w:divBdr>
            <w:top w:val="none" w:sz="0" w:space="0" w:color="auto"/>
            <w:left w:val="none" w:sz="0" w:space="0" w:color="auto"/>
            <w:bottom w:val="none" w:sz="0" w:space="0" w:color="auto"/>
            <w:right w:val="none" w:sz="0" w:space="0" w:color="auto"/>
          </w:divBdr>
        </w:div>
        <w:div w:id="1581940507">
          <w:marLeft w:val="0"/>
          <w:marRight w:val="0"/>
          <w:marTop w:val="0"/>
          <w:marBottom w:val="0"/>
          <w:divBdr>
            <w:top w:val="none" w:sz="0" w:space="0" w:color="auto"/>
            <w:left w:val="none" w:sz="0" w:space="0" w:color="auto"/>
            <w:bottom w:val="none" w:sz="0" w:space="0" w:color="auto"/>
            <w:right w:val="none" w:sz="0" w:space="0" w:color="auto"/>
          </w:divBdr>
        </w:div>
        <w:div w:id="1843279249">
          <w:marLeft w:val="0"/>
          <w:marRight w:val="0"/>
          <w:marTop w:val="0"/>
          <w:marBottom w:val="0"/>
          <w:divBdr>
            <w:top w:val="none" w:sz="0" w:space="0" w:color="auto"/>
            <w:left w:val="none" w:sz="0" w:space="0" w:color="auto"/>
            <w:bottom w:val="none" w:sz="0" w:space="0" w:color="auto"/>
            <w:right w:val="none" w:sz="0" w:space="0" w:color="auto"/>
          </w:divBdr>
        </w:div>
        <w:div w:id="155995538">
          <w:marLeft w:val="0"/>
          <w:marRight w:val="0"/>
          <w:marTop w:val="0"/>
          <w:marBottom w:val="0"/>
          <w:divBdr>
            <w:top w:val="none" w:sz="0" w:space="0" w:color="auto"/>
            <w:left w:val="none" w:sz="0" w:space="0" w:color="auto"/>
            <w:bottom w:val="none" w:sz="0" w:space="0" w:color="auto"/>
            <w:right w:val="none" w:sz="0" w:space="0" w:color="auto"/>
          </w:divBdr>
        </w:div>
        <w:div w:id="2053798809">
          <w:marLeft w:val="0"/>
          <w:marRight w:val="0"/>
          <w:marTop w:val="0"/>
          <w:marBottom w:val="0"/>
          <w:divBdr>
            <w:top w:val="none" w:sz="0" w:space="0" w:color="auto"/>
            <w:left w:val="none" w:sz="0" w:space="0" w:color="auto"/>
            <w:bottom w:val="none" w:sz="0" w:space="0" w:color="auto"/>
            <w:right w:val="none" w:sz="0" w:space="0" w:color="auto"/>
          </w:divBdr>
        </w:div>
        <w:div w:id="1480196972">
          <w:marLeft w:val="0"/>
          <w:marRight w:val="0"/>
          <w:marTop w:val="0"/>
          <w:marBottom w:val="0"/>
          <w:divBdr>
            <w:top w:val="none" w:sz="0" w:space="0" w:color="auto"/>
            <w:left w:val="none" w:sz="0" w:space="0" w:color="auto"/>
            <w:bottom w:val="none" w:sz="0" w:space="0" w:color="auto"/>
            <w:right w:val="none" w:sz="0" w:space="0" w:color="auto"/>
          </w:divBdr>
        </w:div>
        <w:div w:id="1349143453">
          <w:marLeft w:val="0"/>
          <w:marRight w:val="0"/>
          <w:marTop w:val="0"/>
          <w:marBottom w:val="0"/>
          <w:divBdr>
            <w:top w:val="none" w:sz="0" w:space="0" w:color="auto"/>
            <w:left w:val="none" w:sz="0" w:space="0" w:color="auto"/>
            <w:bottom w:val="none" w:sz="0" w:space="0" w:color="auto"/>
            <w:right w:val="none" w:sz="0" w:space="0" w:color="auto"/>
          </w:divBdr>
        </w:div>
        <w:div w:id="1641495791">
          <w:marLeft w:val="0"/>
          <w:marRight w:val="0"/>
          <w:marTop w:val="0"/>
          <w:marBottom w:val="0"/>
          <w:divBdr>
            <w:top w:val="none" w:sz="0" w:space="0" w:color="auto"/>
            <w:left w:val="none" w:sz="0" w:space="0" w:color="auto"/>
            <w:bottom w:val="none" w:sz="0" w:space="0" w:color="auto"/>
            <w:right w:val="none" w:sz="0" w:space="0" w:color="auto"/>
          </w:divBdr>
        </w:div>
        <w:div w:id="844830999">
          <w:marLeft w:val="0"/>
          <w:marRight w:val="0"/>
          <w:marTop w:val="0"/>
          <w:marBottom w:val="0"/>
          <w:divBdr>
            <w:top w:val="none" w:sz="0" w:space="0" w:color="auto"/>
            <w:left w:val="none" w:sz="0" w:space="0" w:color="auto"/>
            <w:bottom w:val="none" w:sz="0" w:space="0" w:color="auto"/>
            <w:right w:val="none" w:sz="0" w:space="0" w:color="auto"/>
          </w:divBdr>
        </w:div>
        <w:div w:id="168954506">
          <w:marLeft w:val="0"/>
          <w:marRight w:val="0"/>
          <w:marTop w:val="0"/>
          <w:marBottom w:val="0"/>
          <w:divBdr>
            <w:top w:val="none" w:sz="0" w:space="0" w:color="auto"/>
            <w:left w:val="none" w:sz="0" w:space="0" w:color="auto"/>
            <w:bottom w:val="none" w:sz="0" w:space="0" w:color="auto"/>
            <w:right w:val="none" w:sz="0" w:space="0" w:color="auto"/>
          </w:divBdr>
        </w:div>
        <w:div w:id="1300264107">
          <w:marLeft w:val="0"/>
          <w:marRight w:val="0"/>
          <w:marTop w:val="0"/>
          <w:marBottom w:val="0"/>
          <w:divBdr>
            <w:top w:val="none" w:sz="0" w:space="0" w:color="auto"/>
            <w:left w:val="none" w:sz="0" w:space="0" w:color="auto"/>
            <w:bottom w:val="none" w:sz="0" w:space="0" w:color="auto"/>
            <w:right w:val="none" w:sz="0" w:space="0" w:color="auto"/>
          </w:divBdr>
        </w:div>
        <w:div w:id="2125268117">
          <w:marLeft w:val="0"/>
          <w:marRight w:val="0"/>
          <w:marTop w:val="0"/>
          <w:marBottom w:val="0"/>
          <w:divBdr>
            <w:top w:val="none" w:sz="0" w:space="0" w:color="auto"/>
            <w:left w:val="none" w:sz="0" w:space="0" w:color="auto"/>
            <w:bottom w:val="none" w:sz="0" w:space="0" w:color="auto"/>
            <w:right w:val="none" w:sz="0" w:space="0" w:color="auto"/>
          </w:divBdr>
        </w:div>
        <w:div w:id="1261986839">
          <w:marLeft w:val="0"/>
          <w:marRight w:val="0"/>
          <w:marTop w:val="0"/>
          <w:marBottom w:val="0"/>
          <w:divBdr>
            <w:top w:val="none" w:sz="0" w:space="0" w:color="auto"/>
            <w:left w:val="none" w:sz="0" w:space="0" w:color="auto"/>
            <w:bottom w:val="none" w:sz="0" w:space="0" w:color="auto"/>
            <w:right w:val="none" w:sz="0" w:space="0" w:color="auto"/>
          </w:divBdr>
        </w:div>
        <w:div w:id="1744984431">
          <w:marLeft w:val="0"/>
          <w:marRight w:val="0"/>
          <w:marTop w:val="0"/>
          <w:marBottom w:val="0"/>
          <w:divBdr>
            <w:top w:val="none" w:sz="0" w:space="0" w:color="auto"/>
            <w:left w:val="none" w:sz="0" w:space="0" w:color="auto"/>
            <w:bottom w:val="none" w:sz="0" w:space="0" w:color="auto"/>
            <w:right w:val="none" w:sz="0" w:space="0" w:color="auto"/>
          </w:divBdr>
        </w:div>
        <w:div w:id="666445345">
          <w:marLeft w:val="0"/>
          <w:marRight w:val="0"/>
          <w:marTop w:val="0"/>
          <w:marBottom w:val="0"/>
          <w:divBdr>
            <w:top w:val="none" w:sz="0" w:space="0" w:color="auto"/>
            <w:left w:val="none" w:sz="0" w:space="0" w:color="auto"/>
            <w:bottom w:val="none" w:sz="0" w:space="0" w:color="auto"/>
            <w:right w:val="none" w:sz="0" w:space="0" w:color="auto"/>
          </w:divBdr>
        </w:div>
        <w:div w:id="1398430147">
          <w:marLeft w:val="0"/>
          <w:marRight w:val="0"/>
          <w:marTop w:val="0"/>
          <w:marBottom w:val="0"/>
          <w:divBdr>
            <w:top w:val="none" w:sz="0" w:space="0" w:color="auto"/>
            <w:left w:val="none" w:sz="0" w:space="0" w:color="auto"/>
            <w:bottom w:val="none" w:sz="0" w:space="0" w:color="auto"/>
            <w:right w:val="none" w:sz="0" w:space="0" w:color="auto"/>
          </w:divBdr>
        </w:div>
        <w:div w:id="947391862">
          <w:marLeft w:val="0"/>
          <w:marRight w:val="0"/>
          <w:marTop w:val="0"/>
          <w:marBottom w:val="0"/>
          <w:divBdr>
            <w:top w:val="none" w:sz="0" w:space="0" w:color="auto"/>
            <w:left w:val="none" w:sz="0" w:space="0" w:color="auto"/>
            <w:bottom w:val="none" w:sz="0" w:space="0" w:color="auto"/>
            <w:right w:val="none" w:sz="0" w:space="0" w:color="auto"/>
          </w:divBdr>
        </w:div>
        <w:div w:id="21328635">
          <w:marLeft w:val="0"/>
          <w:marRight w:val="0"/>
          <w:marTop w:val="0"/>
          <w:marBottom w:val="0"/>
          <w:divBdr>
            <w:top w:val="none" w:sz="0" w:space="0" w:color="auto"/>
            <w:left w:val="none" w:sz="0" w:space="0" w:color="auto"/>
            <w:bottom w:val="none" w:sz="0" w:space="0" w:color="auto"/>
            <w:right w:val="none" w:sz="0" w:space="0" w:color="auto"/>
          </w:divBdr>
        </w:div>
        <w:div w:id="651175087">
          <w:marLeft w:val="0"/>
          <w:marRight w:val="0"/>
          <w:marTop w:val="0"/>
          <w:marBottom w:val="0"/>
          <w:divBdr>
            <w:top w:val="none" w:sz="0" w:space="0" w:color="auto"/>
            <w:left w:val="none" w:sz="0" w:space="0" w:color="auto"/>
            <w:bottom w:val="none" w:sz="0" w:space="0" w:color="auto"/>
            <w:right w:val="none" w:sz="0" w:space="0" w:color="auto"/>
          </w:divBdr>
        </w:div>
        <w:div w:id="1477723797">
          <w:marLeft w:val="0"/>
          <w:marRight w:val="0"/>
          <w:marTop w:val="0"/>
          <w:marBottom w:val="0"/>
          <w:divBdr>
            <w:top w:val="none" w:sz="0" w:space="0" w:color="auto"/>
            <w:left w:val="none" w:sz="0" w:space="0" w:color="auto"/>
            <w:bottom w:val="none" w:sz="0" w:space="0" w:color="auto"/>
            <w:right w:val="none" w:sz="0" w:space="0" w:color="auto"/>
          </w:divBdr>
        </w:div>
        <w:div w:id="1532690932">
          <w:marLeft w:val="0"/>
          <w:marRight w:val="0"/>
          <w:marTop w:val="0"/>
          <w:marBottom w:val="0"/>
          <w:divBdr>
            <w:top w:val="none" w:sz="0" w:space="0" w:color="auto"/>
            <w:left w:val="none" w:sz="0" w:space="0" w:color="auto"/>
            <w:bottom w:val="none" w:sz="0" w:space="0" w:color="auto"/>
            <w:right w:val="none" w:sz="0" w:space="0" w:color="auto"/>
          </w:divBdr>
        </w:div>
        <w:div w:id="1907259883">
          <w:marLeft w:val="0"/>
          <w:marRight w:val="0"/>
          <w:marTop w:val="0"/>
          <w:marBottom w:val="0"/>
          <w:divBdr>
            <w:top w:val="none" w:sz="0" w:space="0" w:color="auto"/>
            <w:left w:val="none" w:sz="0" w:space="0" w:color="auto"/>
            <w:bottom w:val="none" w:sz="0" w:space="0" w:color="auto"/>
            <w:right w:val="none" w:sz="0" w:space="0" w:color="auto"/>
          </w:divBdr>
        </w:div>
        <w:div w:id="1524704735">
          <w:marLeft w:val="0"/>
          <w:marRight w:val="0"/>
          <w:marTop w:val="0"/>
          <w:marBottom w:val="0"/>
          <w:divBdr>
            <w:top w:val="none" w:sz="0" w:space="0" w:color="auto"/>
            <w:left w:val="none" w:sz="0" w:space="0" w:color="auto"/>
            <w:bottom w:val="none" w:sz="0" w:space="0" w:color="auto"/>
            <w:right w:val="none" w:sz="0" w:space="0" w:color="auto"/>
          </w:divBdr>
        </w:div>
        <w:div w:id="2121102117">
          <w:marLeft w:val="0"/>
          <w:marRight w:val="0"/>
          <w:marTop w:val="0"/>
          <w:marBottom w:val="0"/>
          <w:divBdr>
            <w:top w:val="none" w:sz="0" w:space="0" w:color="auto"/>
            <w:left w:val="none" w:sz="0" w:space="0" w:color="auto"/>
            <w:bottom w:val="none" w:sz="0" w:space="0" w:color="auto"/>
            <w:right w:val="none" w:sz="0" w:space="0" w:color="auto"/>
          </w:divBdr>
        </w:div>
        <w:div w:id="181744660">
          <w:marLeft w:val="0"/>
          <w:marRight w:val="0"/>
          <w:marTop w:val="0"/>
          <w:marBottom w:val="0"/>
          <w:divBdr>
            <w:top w:val="none" w:sz="0" w:space="0" w:color="auto"/>
            <w:left w:val="none" w:sz="0" w:space="0" w:color="auto"/>
            <w:bottom w:val="none" w:sz="0" w:space="0" w:color="auto"/>
            <w:right w:val="none" w:sz="0" w:space="0" w:color="auto"/>
          </w:divBdr>
        </w:div>
        <w:div w:id="60687394">
          <w:marLeft w:val="0"/>
          <w:marRight w:val="0"/>
          <w:marTop w:val="0"/>
          <w:marBottom w:val="0"/>
          <w:divBdr>
            <w:top w:val="none" w:sz="0" w:space="0" w:color="auto"/>
            <w:left w:val="none" w:sz="0" w:space="0" w:color="auto"/>
            <w:bottom w:val="none" w:sz="0" w:space="0" w:color="auto"/>
            <w:right w:val="none" w:sz="0" w:space="0" w:color="auto"/>
          </w:divBdr>
        </w:div>
        <w:div w:id="604272197">
          <w:marLeft w:val="0"/>
          <w:marRight w:val="0"/>
          <w:marTop w:val="0"/>
          <w:marBottom w:val="0"/>
          <w:divBdr>
            <w:top w:val="none" w:sz="0" w:space="0" w:color="auto"/>
            <w:left w:val="none" w:sz="0" w:space="0" w:color="auto"/>
            <w:bottom w:val="none" w:sz="0" w:space="0" w:color="auto"/>
            <w:right w:val="none" w:sz="0" w:space="0" w:color="auto"/>
          </w:divBdr>
        </w:div>
        <w:div w:id="1901864318">
          <w:marLeft w:val="0"/>
          <w:marRight w:val="0"/>
          <w:marTop w:val="0"/>
          <w:marBottom w:val="0"/>
          <w:divBdr>
            <w:top w:val="none" w:sz="0" w:space="0" w:color="auto"/>
            <w:left w:val="none" w:sz="0" w:space="0" w:color="auto"/>
            <w:bottom w:val="none" w:sz="0" w:space="0" w:color="auto"/>
            <w:right w:val="none" w:sz="0" w:space="0" w:color="auto"/>
          </w:divBdr>
        </w:div>
        <w:div w:id="1635215937">
          <w:marLeft w:val="0"/>
          <w:marRight w:val="0"/>
          <w:marTop w:val="0"/>
          <w:marBottom w:val="0"/>
          <w:divBdr>
            <w:top w:val="none" w:sz="0" w:space="0" w:color="auto"/>
            <w:left w:val="none" w:sz="0" w:space="0" w:color="auto"/>
            <w:bottom w:val="none" w:sz="0" w:space="0" w:color="auto"/>
            <w:right w:val="none" w:sz="0" w:space="0" w:color="auto"/>
          </w:divBdr>
        </w:div>
        <w:div w:id="1468818287">
          <w:marLeft w:val="0"/>
          <w:marRight w:val="0"/>
          <w:marTop w:val="0"/>
          <w:marBottom w:val="0"/>
          <w:divBdr>
            <w:top w:val="none" w:sz="0" w:space="0" w:color="auto"/>
            <w:left w:val="none" w:sz="0" w:space="0" w:color="auto"/>
            <w:bottom w:val="none" w:sz="0" w:space="0" w:color="auto"/>
            <w:right w:val="none" w:sz="0" w:space="0" w:color="auto"/>
          </w:divBdr>
        </w:div>
        <w:div w:id="1157962367">
          <w:marLeft w:val="0"/>
          <w:marRight w:val="0"/>
          <w:marTop w:val="0"/>
          <w:marBottom w:val="0"/>
          <w:divBdr>
            <w:top w:val="none" w:sz="0" w:space="0" w:color="auto"/>
            <w:left w:val="none" w:sz="0" w:space="0" w:color="auto"/>
            <w:bottom w:val="none" w:sz="0" w:space="0" w:color="auto"/>
            <w:right w:val="none" w:sz="0" w:space="0" w:color="auto"/>
          </w:divBdr>
        </w:div>
        <w:div w:id="65225322">
          <w:marLeft w:val="0"/>
          <w:marRight w:val="0"/>
          <w:marTop w:val="0"/>
          <w:marBottom w:val="0"/>
          <w:divBdr>
            <w:top w:val="none" w:sz="0" w:space="0" w:color="auto"/>
            <w:left w:val="none" w:sz="0" w:space="0" w:color="auto"/>
            <w:bottom w:val="none" w:sz="0" w:space="0" w:color="auto"/>
            <w:right w:val="none" w:sz="0" w:space="0" w:color="auto"/>
          </w:divBdr>
        </w:div>
        <w:div w:id="1851872399">
          <w:marLeft w:val="0"/>
          <w:marRight w:val="0"/>
          <w:marTop w:val="0"/>
          <w:marBottom w:val="0"/>
          <w:divBdr>
            <w:top w:val="none" w:sz="0" w:space="0" w:color="auto"/>
            <w:left w:val="none" w:sz="0" w:space="0" w:color="auto"/>
            <w:bottom w:val="none" w:sz="0" w:space="0" w:color="auto"/>
            <w:right w:val="none" w:sz="0" w:space="0" w:color="auto"/>
          </w:divBdr>
        </w:div>
        <w:div w:id="269777594">
          <w:marLeft w:val="0"/>
          <w:marRight w:val="0"/>
          <w:marTop w:val="0"/>
          <w:marBottom w:val="0"/>
          <w:divBdr>
            <w:top w:val="none" w:sz="0" w:space="0" w:color="auto"/>
            <w:left w:val="none" w:sz="0" w:space="0" w:color="auto"/>
            <w:bottom w:val="none" w:sz="0" w:space="0" w:color="auto"/>
            <w:right w:val="none" w:sz="0" w:space="0" w:color="auto"/>
          </w:divBdr>
        </w:div>
        <w:div w:id="1472212697">
          <w:marLeft w:val="0"/>
          <w:marRight w:val="0"/>
          <w:marTop w:val="0"/>
          <w:marBottom w:val="0"/>
          <w:divBdr>
            <w:top w:val="none" w:sz="0" w:space="0" w:color="auto"/>
            <w:left w:val="none" w:sz="0" w:space="0" w:color="auto"/>
            <w:bottom w:val="none" w:sz="0" w:space="0" w:color="auto"/>
            <w:right w:val="none" w:sz="0" w:space="0" w:color="auto"/>
          </w:divBdr>
        </w:div>
        <w:div w:id="1573278010">
          <w:marLeft w:val="0"/>
          <w:marRight w:val="0"/>
          <w:marTop w:val="0"/>
          <w:marBottom w:val="0"/>
          <w:divBdr>
            <w:top w:val="none" w:sz="0" w:space="0" w:color="auto"/>
            <w:left w:val="none" w:sz="0" w:space="0" w:color="auto"/>
            <w:bottom w:val="none" w:sz="0" w:space="0" w:color="auto"/>
            <w:right w:val="none" w:sz="0" w:space="0" w:color="auto"/>
          </w:divBdr>
        </w:div>
        <w:div w:id="1307005863">
          <w:marLeft w:val="0"/>
          <w:marRight w:val="0"/>
          <w:marTop w:val="0"/>
          <w:marBottom w:val="0"/>
          <w:divBdr>
            <w:top w:val="none" w:sz="0" w:space="0" w:color="auto"/>
            <w:left w:val="none" w:sz="0" w:space="0" w:color="auto"/>
            <w:bottom w:val="none" w:sz="0" w:space="0" w:color="auto"/>
            <w:right w:val="none" w:sz="0" w:space="0" w:color="auto"/>
          </w:divBdr>
        </w:div>
        <w:div w:id="1173254794">
          <w:marLeft w:val="0"/>
          <w:marRight w:val="0"/>
          <w:marTop w:val="0"/>
          <w:marBottom w:val="0"/>
          <w:divBdr>
            <w:top w:val="none" w:sz="0" w:space="0" w:color="auto"/>
            <w:left w:val="none" w:sz="0" w:space="0" w:color="auto"/>
            <w:bottom w:val="none" w:sz="0" w:space="0" w:color="auto"/>
            <w:right w:val="none" w:sz="0" w:space="0" w:color="auto"/>
          </w:divBdr>
        </w:div>
        <w:div w:id="1236814142">
          <w:marLeft w:val="0"/>
          <w:marRight w:val="0"/>
          <w:marTop w:val="0"/>
          <w:marBottom w:val="0"/>
          <w:divBdr>
            <w:top w:val="none" w:sz="0" w:space="0" w:color="auto"/>
            <w:left w:val="none" w:sz="0" w:space="0" w:color="auto"/>
            <w:bottom w:val="none" w:sz="0" w:space="0" w:color="auto"/>
            <w:right w:val="none" w:sz="0" w:space="0" w:color="auto"/>
          </w:divBdr>
        </w:div>
        <w:div w:id="1766077434">
          <w:marLeft w:val="0"/>
          <w:marRight w:val="0"/>
          <w:marTop w:val="0"/>
          <w:marBottom w:val="0"/>
          <w:divBdr>
            <w:top w:val="none" w:sz="0" w:space="0" w:color="auto"/>
            <w:left w:val="none" w:sz="0" w:space="0" w:color="auto"/>
            <w:bottom w:val="none" w:sz="0" w:space="0" w:color="auto"/>
            <w:right w:val="none" w:sz="0" w:space="0" w:color="auto"/>
          </w:divBdr>
        </w:div>
        <w:div w:id="367024802">
          <w:marLeft w:val="0"/>
          <w:marRight w:val="0"/>
          <w:marTop w:val="0"/>
          <w:marBottom w:val="0"/>
          <w:divBdr>
            <w:top w:val="none" w:sz="0" w:space="0" w:color="auto"/>
            <w:left w:val="none" w:sz="0" w:space="0" w:color="auto"/>
            <w:bottom w:val="none" w:sz="0" w:space="0" w:color="auto"/>
            <w:right w:val="none" w:sz="0" w:space="0" w:color="auto"/>
          </w:divBdr>
        </w:div>
        <w:div w:id="161508552">
          <w:marLeft w:val="0"/>
          <w:marRight w:val="0"/>
          <w:marTop w:val="0"/>
          <w:marBottom w:val="0"/>
          <w:divBdr>
            <w:top w:val="none" w:sz="0" w:space="0" w:color="auto"/>
            <w:left w:val="none" w:sz="0" w:space="0" w:color="auto"/>
            <w:bottom w:val="none" w:sz="0" w:space="0" w:color="auto"/>
            <w:right w:val="none" w:sz="0" w:space="0" w:color="auto"/>
          </w:divBdr>
        </w:div>
        <w:div w:id="1655378514">
          <w:marLeft w:val="0"/>
          <w:marRight w:val="0"/>
          <w:marTop w:val="0"/>
          <w:marBottom w:val="0"/>
          <w:divBdr>
            <w:top w:val="none" w:sz="0" w:space="0" w:color="auto"/>
            <w:left w:val="none" w:sz="0" w:space="0" w:color="auto"/>
            <w:bottom w:val="none" w:sz="0" w:space="0" w:color="auto"/>
            <w:right w:val="none" w:sz="0" w:space="0" w:color="auto"/>
          </w:divBdr>
        </w:div>
        <w:div w:id="1380468939">
          <w:marLeft w:val="0"/>
          <w:marRight w:val="0"/>
          <w:marTop w:val="0"/>
          <w:marBottom w:val="0"/>
          <w:divBdr>
            <w:top w:val="none" w:sz="0" w:space="0" w:color="auto"/>
            <w:left w:val="none" w:sz="0" w:space="0" w:color="auto"/>
            <w:bottom w:val="none" w:sz="0" w:space="0" w:color="auto"/>
            <w:right w:val="none" w:sz="0" w:space="0" w:color="auto"/>
          </w:divBdr>
        </w:div>
        <w:div w:id="1002898194">
          <w:marLeft w:val="0"/>
          <w:marRight w:val="0"/>
          <w:marTop w:val="0"/>
          <w:marBottom w:val="0"/>
          <w:divBdr>
            <w:top w:val="none" w:sz="0" w:space="0" w:color="auto"/>
            <w:left w:val="none" w:sz="0" w:space="0" w:color="auto"/>
            <w:bottom w:val="none" w:sz="0" w:space="0" w:color="auto"/>
            <w:right w:val="none" w:sz="0" w:space="0" w:color="auto"/>
          </w:divBdr>
        </w:div>
        <w:div w:id="1213350216">
          <w:marLeft w:val="0"/>
          <w:marRight w:val="0"/>
          <w:marTop w:val="0"/>
          <w:marBottom w:val="0"/>
          <w:divBdr>
            <w:top w:val="none" w:sz="0" w:space="0" w:color="auto"/>
            <w:left w:val="none" w:sz="0" w:space="0" w:color="auto"/>
            <w:bottom w:val="none" w:sz="0" w:space="0" w:color="auto"/>
            <w:right w:val="none" w:sz="0" w:space="0" w:color="auto"/>
          </w:divBdr>
        </w:div>
        <w:div w:id="2124374026">
          <w:marLeft w:val="0"/>
          <w:marRight w:val="0"/>
          <w:marTop w:val="0"/>
          <w:marBottom w:val="0"/>
          <w:divBdr>
            <w:top w:val="none" w:sz="0" w:space="0" w:color="auto"/>
            <w:left w:val="none" w:sz="0" w:space="0" w:color="auto"/>
            <w:bottom w:val="none" w:sz="0" w:space="0" w:color="auto"/>
            <w:right w:val="none" w:sz="0" w:space="0" w:color="auto"/>
          </w:divBdr>
        </w:div>
        <w:div w:id="2143032921">
          <w:marLeft w:val="0"/>
          <w:marRight w:val="0"/>
          <w:marTop w:val="0"/>
          <w:marBottom w:val="0"/>
          <w:divBdr>
            <w:top w:val="none" w:sz="0" w:space="0" w:color="auto"/>
            <w:left w:val="none" w:sz="0" w:space="0" w:color="auto"/>
            <w:bottom w:val="none" w:sz="0" w:space="0" w:color="auto"/>
            <w:right w:val="none" w:sz="0" w:space="0" w:color="auto"/>
          </w:divBdr>
        </w:div>
        <w:div w:id="1496262225">
          <w:marLeft w:val="0"/>
          <w:marRight w:val="0"/>
          <w:marTop w:val="0"/>
          <w:marBottom w:val="0"/>
          <w:divBdr>
            <w:top w:val="none" w:sz="0" w:space="0" w:color="auto"/>
            <w:left w:val="none" w:sz="0" w:space="0" w:color="auto"/>
            <w:bottom w:val="none" w:sz="0" w:space="0" w:color="auto"/>
            <w:right w:val="none" w:sz="0" w:space="0" w:color="auto"/>
          </w:divBdr>
        </w:div>
        <w:div w:id="2035617993">
          <w:marLeft w:val="0"/>
          <w:marRight w:val="0"/>
          <w:marTop w:val="0"/>
          <w:marBottom w:val="0"/>
          <w:divBdr>
            <w:top w:val="none" w:sz="0" w:space="0" w:color="auto"/>
            <w:left w:val="none" w:sz="0" w:space="0" w:color="auto"/>
            <w:bottom w:val="none" w:sz="0" w:space="0" w:color="auto"/>
            <w:right w:val="none" w:sz="0" w:space="0" w:color="auto"/>
          </w:divBdr>
        </w:div>
        <w:div w:id="1938638304">
          <w:marLeft w:val="0"/>
          <w:marRight w:val="0"/>
          <w:marTop w:val="0"/>
          <w:marBottom w:val="0"/>
          <w:divBdr>
            <w:top w:val="none" w:sz="0" w:space="0" w:color="auto"/>
            <w:left w:val="none" w:sz="0" w:space="0" w:color="auto"/>
            <w:bottom w:val="none" w:sz="0" w:space="0" w:color="auto"/>
            <w:right w:val="none" w:sz="0" w:space="0" w:color="auto"/>
          </w:divBdr>
        </w:div>
        <w:div w:id="1339036704">
          <w:marLeft w:val="0"/>
          <w:marRight w:val="0"/>
          <w:marTop w:val="0"/>
          <w:marBottom w:val="0"/>
          <w:divBdr>
            <w:top w:val="none" w:sz="0" w:space="0" w:color="auto"/>
            <w:left w:val="none" w:sz="0" w:space="0" w:color="auto"/>
            <w:bottom w:val="none" w:sz="0" w:space="0" w:color="auto"/>
            <w:right w:val="none" w:sz="0" w:space="0" w:color="auto"/>
          </w:divBdr>
        </w:div>
        <w:div w:id="175536541">
          <w:marLeft w:val="0"/>
          <w:marRight w:val="0"/>
          <w:marTop w:val="0"/>
          <w:marBottom w:val="0"/>
          <w:divBdr>
            <w:top w:val="none" w:sz="0" w:space="0" w:color="auto"/>
            <w:left w:val="none" w:sz="0" w:space="0" w:color="auto"/>
            <w:bottom w:val="none" w:sz="0" w:space="0" w:color="auto"/>
            <w:right w:val="none" w:sz="0" w:space="0" w:color="auto"/>
          </w:divBdr>
        </w:div>
        <w:div w:id="406654487">
          <w:marLeft w:val="0"/>
          <w:marRight w:val="0"/>
          <w:marTop w:val="0"/>
          <w:marBottom w:val="0"/>
          <w:divBdr>
            <w:top w:val="none" w:sz="0" w:space="0" w:color="auto"/>
            <w:left w:val="none" w:sz="0" w:space="0" w:color="auto"/>
            <w:bottom w:val="none" w:sz="0" w:space="0" w:color="auto"/>
            <w:right w:val="none" w:sz="0" w:space="0" w:color="auto"/>
          </w:divBdr>
        </w:div>
      </w:divsChild>
    </w:div>
    <w:div w:id="846941080">
      <w:bodyDiv w:val="1"/>
      <w:marLeft w:val="0"/>
      <w:marRight w:val="0"/>
      <w:marTop w:val="0"/>
      <w:marBottom w:val="0"/>
      <w:divBdr>
        <w:top w:val="none" w:sz="0" w:space="0" w:color="auto"/>
        <w:left w:val="none" w:sz="0" w:space="0" w:color="auto"/>
        <w:bottom w:val="none" w:sz="0" w:space="0" w:color="auto"/>
        <w:right w:val="none" w:sz="0" w:space="0" w:color="auto"/>
      </w:divBdr>
      <w:divsChild>
        <w:div w:id="1948538262">
          <w:marLeft w:val="0"/>
          <w:marRight w:val="0"/>
          <w:marTop w:val="0"/>
          <w:marBottom w:val="0"/>
          <w:divBdr>
            <w:top w:val="none" w:sz="0" w:space="0" w:color="auto"/>
            <w:left w:val="none" w:sz="0" w:space="0" w:color="auto"/>
            <w:bottom w:val="none" w:sz="0" w:space="0" w:color="auto"/>
            <w:right w:val="none" w:sz="0" w:space="0" w:color="auto"/>
          </w:divBdr>
        </w:div>
        <w:div w:id="2032760051">
          <w:marLeft w:val="0"/>
          <w:marRight w:val="0"/>
          <w:marTop w:val="0"/>
          <w:marBottom w:val="0"/>
          <w:divBdr>
            <w:top w:val="none" w:sz="0" w:space="0" w:color="auto"/>
            <w:left w:val="none" w:sz="0" w:space="0" w:color="auto"/>
            <w:bottom w:val="none" w:sz="0" w:space="0" w:color="auto"/>
            <w:right w:val="none" w:sz="0" w:space="0" w:color="auto"/>
          </w:divBdr>
        </w:div>
        <w:div w:id="1218738435">
          <w:marLeft w:val="0"/>
          <w:marRight w:val="0"/>
          <w:marTop w:val="0"/>
          <w:marBottom w:val="0"/>
          <w:divBdr>
            <w:top w:val="none" w:sz="0" w:space="0" w:color="auto"/>
            <w:left w:val="none" w:sz="0" w:space="0" w:color="auto"/>
            <w:bottom w:val="none" w:sz="0" w:space="0" w:color="auto"/>
            <w:right w:val="none" w:sz="0" w:space="0" w:color="auto"/>
          </w:divBdr>
        </w:div>
        <w:div w:id="366569871">
          <w:marLeft w:val="0"/>
          <w:marRight w:val="0"/>
          <w:marTop w:val="0"/>
          <w:marBottom w:val="0"/>
          <w:divBdr>
            <w:top w:val="none" w:sz="0" w:space="0" w:color="auto"/>
            <w:left w:val="none" w:sz="0" w:space="0" w:color="auto"/>
            <w:bottom w:val="none" w:sz="0" w:space="0" w:color="auto"/>
            <w:right w:val="none" w:sz="0" w:space="0" w:color="auto"/>
          </w:divBdr>
        </w:div>
      </w:divsChild>
    </w:div>
    <w:div w:id="950434757">
      <w:bodyDiv w:val="1"/>
      <w:marLeft w:val="0"/>
      <w:marRight w:val="0"/>
      <w:marTop w:val="0"/>
      <w:marBottom w:val="0"/>
      <w:divBdr>
        <w:top w:val="none" w:sz="0" w:space="0" w:color="auto"/>
        <w:left w:val="none" w:sz="0" w:space="0" w:color="auto"/>
        <w:bottom w:val="none" w:sz="0" w:space="0" w:color="auto"/>
        <w:right w:val="none" w:sz="0" w:space="0" w:color="auto"/>
      </w:divBdr>
      <w:divsChild>
        <w:div w:id="770782627">
          <w:marLeft w:val="0"/>
          <w:marRight w:val="0"/>
          <w:marTop w:val="0"/>
          <w:marBottom w:val="0"/>
          <w:divBdr>
            <w:top w:val="none" w:sz="0" w:space="0" w:color="auto"/>
            <w:left w:val="none" w:sz="0" w:space="0" w:color="auto"/>
            <w:bottom w:val="none" w:sz="0" w:space="0" w:color="auto"/>
            <w:right w:val="none" w:sz="0" w:space="0" w:color="auto"/>
          </w:divBdr>
        </w:div>
      </w:divsChild>
    </w:div>
    <w:div w:id="1379433468">
      <w:bodyDiv w:val="1"/>
      <w:marLeft w:val="0"/>
      <w:marRight w:val="0"/>
      <w:marTop w:val="0"/>
      <w:marBottom w:val="0"/>
      <w:divBdr>
        <w:top w:val="none" w:sz="0" w:space="0" w:color="auto"/>
        <w:left w:val="none" w:sz="0" w:space="0" w:color="auto"/>
        <w:bottom w:val="none" w:sz="0" w:space="0" w:color="auto"/>
        <w:right w:val="none" w:sz="0" w:space="0" w:color="auto"/>
      </w:divBdr>
      <w:divsChild>
        <w:div w:id="334647644">
          <w:marLeft w:val="0"/>
          <w:marRight w:val="0"/>
          <w:marTop w:val="0"/>
          <w:marBottom w:val="0"/>
          <w:divBdr>
            <w:top w:val="none" w:sz="0" w:space="0" w:color="auto"/>
            <w:left w:val="none" w:sz="0" w:space="0" w:color="auto"/>
            <w:bottom w:val="none" w:sz="0" w:space="0" w:color="auto"/>
            <w:right w:val="none" w:sz="0" w:space="0" w:color="auto"/>
          </w:divBdr>
        </w:div>
        <w:div w:id="1192458142">
          <w:marLeft w:val="0"/>
          <w:marRight w:val="0"/>
          <w:marTop w:val="0"/>
          <w:marBottom w:val="0"/>
          <w:divBdr>
            <w:top w:val="none" w:sz="0" w:space="0" w:color="auto"/>
            <w:left w:val="none" w:sz="0" w:space="0" w:color="auto"/>
            <w:bottom w:val="none" w:sz="0" w:space="0" w:color="auto"/>
            <w:right w:val="none" w:sz="0" w:space="0" w:color="auto"/>
          </w:divBdr>
        </w:div>
        <w:div w:id="645430423">
          <w:marLeft w:val="0"/>
          <w:marRight w:val="0"/>
          <w:marTop w:val="0"/>
          <w:marBottom w:val="0"/>
          <w:divBdr>
            <w:top w:val="none" w:sz="0" w:space="0" w:color="auto"/>
            <w:left w:val="none" w:sz="0" w:space="0" w:color="auto"/>
            <w:bottom w:val="none" w:sz="0" w:space="0" w:color="auto"/>
            <w:right w:val="none" w:sz="0" w:space="0" w:color="auto"/>
          </w:divBdr>
        </w:div>
        <w:div w:id="1198542018">
          <w:marLeft w:val="0"/>
          <w:marRight w:val="0"/>
          <w:marTop w:val="0"/>
          <w:marBottom w:val="0"/>
          <w:divBdr>
            <w:top w:val="none" w:sz="0" w:space="0" w:color="auto"/>
            <w:left w:val="none" w:sz="0" w:space="0" w:color="auto"/>
            <w:bottom w:val="none" w:sz="0" w:space="0" w:color="auto"/>
            <w:right w:val="none" w:sz="0" w:space="0" w:color="auto"/>
          </w:divBdr>
        </w:div>
        <w:div w:id="1559977056">
          <w:marLeft w:val="0"/>
          <w:marRight w:val="0"/>
          <w:marTop w:val="0"/>
          <w:marBottom w:val="0"/>
          <w:divBdr>
            <w:top w:val="none" w:sz="0" w:space="0" w:color="auto"/>
            <w:left w:val="none" w:sz="0" w:space="0" w:color="auto"/>
            <w:bottom w:val="none" w:sz="0" w:space="0" w:color="auto"/>
            <w:right w:val="none" w:sz="0" w:space="0" w:color="auto"/>
          </w:divBdr>
        </w:div>
        <w:div w:id="1941444632">
          <w:marLeft w:val="0"/>
          <w:marRight w:val="0"/>
          <w:marTop w:val="0"/>
          <w:marBottom w:val="0"/>
          <w:divBdr>
            <w:top w:val="none" w:sz="0" w:space="0" w:color="auto"/>
            <w:left w:val="none" w:sz="0" w:space="0" w:color="auto"/>
            <w:bottom w:val="none" w:sz="0" w:space="0" w:color="auto"/>
            <w:right w:val="none" w:sz="0" w:space="0" w:color="auto"/>
          </w:divBdr>
        </w:div>
      </w:divsChild>
    </w:div>
    <w:div w:id="1614940062">
      <w:bodyDiv w:val="1"/>
      <w:marLeft w:val="0"/>
      <w:marRight w:val="0"/>
      <w:marTop w:val="0"/>
      <w:marBottom w:val="0"/>
      <w:divBdr>
        <w:top w:val="none" w:sz="0" w:space="0" w:color="auto"/>
        <w:left w:val="none" w:sz="0" w:space="0" w:color="auto"/>
        <w:bottom w:val="none" w:sz="0" w:space="0" w:color="auto"/>
        <w:right w:val="none" w:sz="0" w:space="0" w:color="auto"/>
      </w:divBdr>
      <w:divsChild>
        <w:div w:id="1369330259">
          <w:marLeft w:val="0"/>
          <w:marRight w:val="0"/>
          <w:marTop w:val="0"/>
          <w:marBottom w:val="0"/>
          <w:divBdr>
            <w:top w:val="none" w:sz="0" w:space="0" w:color="auto"/>
            <w:left w:val="none" w:sz="0" w:space="0" w:color="auto"/>
            <w:bottom w:val="none" w:sz="0" w:space="0" w:color="auto"/>
            <w:right w:val="none" w:sz="0" w:space="0" w:color="auto"/>
          </w:divBdr>
        </w:div>
      </w:divsChild>
    </w:div>
    <w:div w:id="1850480841">
      <w:bodyDiv w:val="1"/>
      <w:marLeft w:val="0"/>
      <w:marRight w:val="0"/>
      <w:marTop w:val="0"/>
      <w:marBottom w:val="0"/>
      <w:divBdr>
        <w:top w:val="none" w:sz="0" w:space="0" w:color="auto"/>
        <w:left w:val="none" w:sz="0" w:space="0" w:color="auto"/>
        <w:bottom w:val="none" w:sz="0" w:space="0" w:color="auto"/>
        <w:right w:val="none" w:sz="0" w:space="0" w:color="auto"/>
      </w:divBdr>
    </w:div>
    <w:div w:id="2107773311">
      <w:bodyDiv w:val="1"/>
      <w:marLeft w:val="0"/>
      <w:marRight w:val="0"/>
      <w:marTop w:val="0"/>
      <w:marBottom w:val="0"/>
      <w:divBdr>
        <w:top w:val="none" w:sz="0" w:space="0" w:color="auto"/>
        <w:left w:val="none" w:sz="0" w:space="0" w:color="auto"/>
        <w:bottom w:val="none" w:sz="0" w:space="0" w:color="auto"/>
        <w:right w:val="none" w:sz="0" w:space="0" w:color="auto"/>
      </w:divBdr>
      <w:divsChild>
        <w:div w:id="1328166649">
          <w:marLeft w:val="0"/>
          <w:marRight w:val="0"/>
          <w:marTop w:val="0"/>
          <w:marBottom w:val="0"/>
          <w:divBdr>
            <w:top w:val="none" w:sz="0" w:space="0" w:color="auto"/>
            <w:left w:val="none" w:sz="0" w:space="0" w:color="auto"/>
            <w:bottom w:val="none" w:sz="0" w:space="0" w:color="auto"/>
            <w:right w:val="none" w:sz="0" w:space="0" w:color="auto"/>
          </w:divBdr>
        </w:div>
        <w:div w:id="55789050">
          <w:marLeft w:val="0"/>
          <w:marRight w:val="0"/>
          <w:marTop w:val="0"/>
          <w:marBottom w:val="0"/>
          <w:divBdr>
            <w:top w:val="none" w:sz="0" w:space="0" w:color="auto"/>
            <w:left w:val="none" w:sz="0" w:space="0" w:color="auto"/>
            <w:bottom w:val="none" w:sz="0" w:space="0" w:color="auto"/>
            <w:right w:val="none" w:sz="0" w:space="0" w:color="auto"/>
          </w:divBdr>
        </w:div>
        <w:div w:id="668021708">
          <w:marLeft w:val="0"/>
          <w:marRight w:val="0"/>
          <w:marTop w:val="0"/>
          <w:marBottom w:val="0"/>
          <w:divBdr>
            <w:top w:val="none" w:sz="0" w:space="0" w:color="auto"/>
            <w:left w:val="none" w:sz="0" w:space="0" w:color="auto"/>
            <w:bottom w:val="none" w:sz="0" w:space="0" w:color="auto"/>
            <w:right w:val="none" w:sz="0" w:space="0" w:color="auto"/>
          </w:divBdr>
        </w:div>
        <w:div w:id="853223960">
          <w:marLeft w:val="0"/>
          <w:marRight w:val="0"/>
          <w:marTop w:val="0"/>
          <w:marBottom w:val="0"/>
          <w:divBdr>
            <w:top w:val="none" w:sz="0" w:space="0" w:color="auto"/>
            <w:left w:val="none" w:sz="0" w:space="0" w:color="auto"/>
            <w:bottom w:val="none" w:sz="0" w:space="0" w:color="auto"/>
            <w:right w:val="none" w:sz="0" w:space="0" w:color="auto"/>
          </w:divBdr>
        </w:div>
        <w:div w:id="1794783398">
          <w:marLeft w:val="0"/>
          <w:marRight w:val="0"/>
          <w:marTop w:val="0"/>
          <w:marBottom w:val="0"/>
          <w:divBdr>
            <w:top w:val="none" w:sz="0" w:space="0" w:color="auto"/>
            <w:left w:val="none" w:sz="0" w:space="0" w:color="auto"/>
            <w:bottom w:val="none" w:sz="0" w:space="0" w:color="auto"/>
            <w:right w:val="none" w:sz="0" w:space="0" w:color="auto"/>
          </w:divBdr>
        </w:div>
        <w:div w:id="14841976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yperlink" Target="https://en.wikipedia.org/wiki/Borehole" TargetMode="External"/><Relationship Id="rId39" Type="http://schemas.openxmlformats.org/officeDocument/2006/relationships/image" Target="media/image2.png"/><Relationship Id="rId21" Type="http://schemas.openxmlformats.org/officeDocument/2006/relationships/hyperlink" Target="http://ppl.app.uq.edu.au/content/4.-research-and-research-training%20" TargetMode="External"/><Relationship Id="rId34" Type="http://schemas.openxmlformats.org/officeDocument/2006/relationships/hyperlink" Target="http://maps.unomaha.edu/maher/geo330/sandbox/tina3.html" TargetMode="External"/><Relationship Id="rId42" Type="http://schemas.openxmlformats.org/officeDocument/2006/relationships/image" Target="media/image5.jpeg"/><Relationship Id="rId47" Type="http://schemas.openxmlformats.org/officeDocument/2006/relationships/image" Target="media/image10.jpeg"/><Relationship Id="rId50" Type="http://schemas.openxmlformats.org/officeDocument/2006/relationships/image" Target="media/image13.jpeg"/><Relationship Id="rId55" Type="http://schemas.openxmlformats.org/officeDocument/2006/relationships/image" Target="media/image18.jpeg"/><Relationship Id="rId63" Type="http://schemas.openxmlformats.org/officeDocument/2006/relationships/image" Target="media/image26.jpeg"/><Relationship Id="rId68" Type="http://schemas.openxmlformats.org/officeDocument/2006/relationships/image" Target="media/image31.jpeg"/><Relationship Id="rId7" Type="http://schemas.openxmlformats.org/officeDocument/2006/relationships/image" Target="media/image1.jpeg"/><Relationship Id="rId71" Type="http://schemas.openxmlformats.org/officeDocument/2006/relationships/footer" Target="footer8.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yperlink" Target="http://education.jlab.org/glossary/proton.html" TargetMode="External"/><Relationship Id="rId11" Type="http://schemas.openxmlformats.org/officeDocument/2006/relationships/footer" Target="footer2.xml"/><Relationship Id="rId24" Type="http://schemas.openxmlformats.org/officeDocument/2006/relationships/hyperlink" Target="https://en.wikipedia.org/wiki/Device_under_test" TargetMode="External"/><Relationship Id="rId32" Type="http://schemas.openxmlformats.org/officeDocument/2006/relationships/hyperlink" Target="http://education.jlab.org/glossary/deuterium.html" TargetMode="External"/><Relationship Id="rId37" Type="http://schemas.openxmlformats.org/officeDocument/2006/relationships/hyperlink" Target="http://www.encyclopedia.com/doc/1O13-normalstress.html" TargetMode="External"/><Relationship Id="rId40" Type="http://schemas.openxmlformats.org/officeDocument/2006/relationships/image" Target="media/image3.jpeg"/><Relationship Id="rId45" Type="http://schemas.openxmlformats.org/officeDocument/2006/relationships/image" Target="media/image8.emf"/><Relationship Id="rId53" Type="http://schemas.openxmlformats.org/officeDocument/2006/relationships/image" Target="media/image16.jpeg"/><Relationship Id="rId58" Type="http://schemas.openxmlformats.org/officeDocument/2006/relationships/image" Target="media/image21.jpeg"/><Relationship Id="rId66" Type="http://schemas.openxmlformats.org/officeDocument/2006/relationships/image" Target="media/image29.jpeg"/><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yperlink" Target="https://en.wikipedia.org/wiki/Standard_%28metrology%29" TargetMode="External"/><Relationship Id="rId28" Type="http://schemas.openxmlformats.org/officeDocument/2006/relationships/hyperlink" Target="https://en.wikipedia.org/wiki/Fault_%28geology%29" TargetMode="External"/><Relationship Id="rId36" Type="http://schemas.openxmlformats.org/officeDocument/2006/relationships/hyperlink" Target="http://www.glossary.oilfield.slb.com/en/Terms/p/pit.aspx" TargetMode="External"/><Relationship Id="rId49" Type="http://schemas.openxmlformats.org/officeDocument/2006/relationships/image" Target="media/image12.png"/><Relationship Id="rId57" Type="http://schemas.openxmlformats.org/officeDocument/2006/relationships/image" Target="media/image20.JPG"/><Relationship Id="rId61" Type="http://schemas.openxmlformats.org/officeDocument/2006/relationships/image" Target="media/image24.jpe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yperlink" Target="http://education.jlab.org/itselemental/ele001.html" TargetMode="External"/><Relationship Id="rId44" Type="http://schemas.openxmlformats.org/officeDocument/2006/relationships/image" Target="media/image7.jpeg"/><Relationship Id="rId52" Type="http://schemas.openxmlformats.org/officeDocument/2006/relationships/image" Target="media/image15.jpeg"/><Relationship Id="rId60" Type="http://schemas.openxmlformats.org/officeDocument/2006/relationships/image" Target="media/image23.jpeg"/><Relationship Id="rId65" Type="http://schemas.openxmlformats.org/officeDocument/2006/relationships/image" Target="media/image28.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yperlink" Target="https://en.wikipedia.org/wiki/Comminution" TargetMode="External"/><Relationship Id="rId30" Type="http://schemas.openxmlformats.org/officeDocument/2006/relationships/hyperlink" Target="http://education.jlab.org/glossary/neutron.html" TargetMode="External"/><Relationship Id="rId35" Type="http://schemas.openxmlformats.org/officeDocument/2006/relationships/hyperlink" Target="http://www.glossary.oilfield.slb.com/en/Terms/p/pressure_integrity_test.aspx" TargetMode="External"/><Relationship Id="rId43" Type="http://schemas.openxmlformats.org/officeDocument/2006/relationships/image" Target="media/image6.jpeg"/><Relationship Id="rId48" Type="http://schemas.openxmlformats.org/officeDocument/2006/relationships/image" Target="media/image11.JPG"/><Relationship Id="rId56" Type="http://schemas.openxmlformats.org/officeDocument/2006/relationships/image" Target="media/image19.jpeg"/><Relationship Id="rId64" Type="http://schemas.openxmlformats.org/officeDocument/2006/relationships/image" Target="media/image27.jpeg"/><Relationship Id="rId69" Type="http://schemas.openxmlformats.org/officeDocument/2006/relationships/image" Target="media/image32.jpeg"/><Relationship Id="rId8" Type="http://schemas.openxmlformats.org/officeDocument/2006/relationships/header" Target="header1.xml"/><Relationship Id="rId51" Type="http://schemas.openxmlformats.org/officeDocument/2006/relationships/image" Target="media/image14.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yperlink" Target="https://en.wikipedia.org/wiki/Well_logging" TargetMode="External"/><Relationship Id="rId33" Type="http://schemas.openxmlformats.org/officeDocument/2006/relationships/hyperlink" Target="http://education.jlab.org/glossary/tritium.html" TargetMode="External"/><Relationship Id="rId38" Type="http://schemas.openxmlformats.org/officeDocument/2006/relationships/hyperlink" Target="http://www.encyclopedia.com/doc/1O13-shearstress.html" TargetMode="External"/><Relationship Id="rId46" Type="http://schemas.openxmlformats.org/officeDocument/2006/relationships/image" Target="media/image9.JPG"/><Relationship Id="rId59" Type="http://schemas.openxmlformats.org/officeDocument/2006/relationships/image" Target="media/image22.jpeg"/><Relationship Id="rId67" Type="http://schemas.openxmlformats.org/officeDocument/2006/relationships/image" Target="media/image30.jpeg"/><Relationship Id="rId20" Type="http://schemas.openxmlformats.org/officeDocument/2006/relationships/hyperlink" Target="http://www.ccsg.uq.edu.au/" TargetMode="External"/><Relationship Id="rId41" Type="http://schemas.openxmlformats.org/officeDocument/2006/relationships/image" Target="media/image4.jpeg"/><Relationship Id="rId54" Type="http://schemas.openxmlformats.org/officeDocument/2006/relationships/image" Target="media/image17.jpeg"/><Relationship Id="rId62" Type="http://schemas.openxmlformats.org/officeDocument/2006/relationships/image" Target="media/image25.jpg"/><Relationship Id="rId70"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petrowiki.org/Relative_permeability" TargetMode="External"/><Relationship Id="rId3" Type="http://schemas.openxmlformats.org/officeDocument/2006/relationships/hyperlink" Target="http://www.software.slb.com/products/platform/Pages/petrel.aspx" TargetMode="External"/><Relationship Id="rId7" Type="http://schemas.openxmlformats.org/officeDocument/2006/relationships/hyperlink" Target="http://wiki.aapg.org/Wettability" TargetMode="External"/><Relationship Id="rId2" Type="http://schemas.openxmlformats.org/officeDocument/2006/relationships/hyperlink" Target="https://www.fault-analysis-group.ucd.ie/gallery/relay.htm" TargetMode="External"/><Relationship Id="rId1" Type="http://schemas.openxmlformats.org/officeDocument/2006/relationships/hyperlink" Target="http://www.badleys.co.uk/traptester-overview.php" TargetMode="External"/><Relationship Id="rId6" Type="http://schemas.openxmlformats.org/officeDocument/2006/relationships/hyperlink" Target="http://wiki.aapg.org/Relative_permeability" TargetMode="External"/><Relationship Id="rId5" Type="http://schemas.openxmlformats.org/officeDocument/2006/relationships/hyperlink" Target="http://www.badleys.co.uk/traptester-overview.php" TargetMode="External"/><Relationship Id="rId4" Type="http://schemas.openxmlformats.org/officeDocument/2006/relationships/hyperlink" Target="https://www.faultsea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4F3BD0BB.dotm</Template>
  <TotalTime>0</TotalTime>
  <Pages>61</Pages>
  <Words>25110</Words>
  <Characters>143127</Characters>
  <Application>Microsoft Office Word</Application>
  <DocSecurity>4</DocSecurity>
  <Lines>1192</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Conceptual representation of fluid flow conditions associated with faults in sedimentary basins</dc:title>
  <dc:creator>Jim Underschultz, Joan Esterle, Julian Strand and Susan Haye</dc:creator>
  <cp:lastModifiedBy>Durack, Bec</cp:lastModifiedBy>
  <cp:revision>2</cp:revision>
  <dcterms:created xsi:type="dcterms:W3CDTF">2018-03-08T04:20:00Z</dcterms:created>
  <dcterms:modified xsi:type="dcterms:W3CDTF">2018-03-08T04:20:00Z</dcterms:modified>
</cp:coreProperties>
</file>