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35E82" w14:textId="77777777" w:rsidR="002A52F1" w:rsidRPr="00FE6C07" w:rsidRDefault="002A52F1" w:rsidP="002A52F1">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38A8FDBF" w14:textId="77777777" w:rsidR="002A52F1" w:rsidRDefault="002A52F1" w:rsidP="002A52F1">
      <w:pPr>
        <w:spacing w:before="120" w:beforeAutospacing="1" w:after="240" w:afterAutospacing="1" w:line="240" w:lineRule="auto"/>
        <w:jc w:val="center"/>
        <w:rPr>
          <w:rFonts w:ascii="Arial" w:eastAsia="Times New Roman" w:hAnsi="Arial" w:cs="Arial"/>
          <w:b/>
          <w:bCs/>
          <w:i/>
          <w:iCs/>
          <w:snapToGrid w:val="0"/>
          <w:sz w:val="24"/>
          <w:szCs w:val="24"/>
        </w:rPr>
      </w:pPr>
      <w:r w:rsidRPr="002A52F1">
        <w:rPr>
          <w:rFonts w:ascii="Arial" w:eastAsia="Times New Roman" w:hAnsi="Arial" w:cs="Arial"/>
          <w:b/>
          <w:bCs/>
          <w:i/>
          <w:iCs/>
          <w:snapToGrid w:val="0"/>
          <w:sz w:val="24"/>
          <w:szCs w:val="24"/>
        </w:rPr>
        <w:t xml:space="preserve">Acacia </w:t>
      </w:r>
      <w:proofErr w:type="spellStart"/>
      <w:r w:rsidRPr="002A52F1">
        <w:rPr>
          <w:rFonts w:ascii="Arial" w:eastAsia="Times New Roman" w:hAnsi="Arial" w:cs="Arial"/>
          <w:b/>
          <w:bCs/>
          <w:i/>
          <w:iCs/>
          <w:snapToGrid w:val="0"/>
          <w:sz w:val="24"/>
          <w:szCs w:val="24"/>
        </w:rPr>
        <w:t>constablei</w:t>
      </w:r>
      <w:proofErr w:type="spellEnd"/>
      <w:r w:rsidRPr="002A52F1">
        <w:rPr>
          <w:rFonts w:ascii="Arial" w:eastAsia="Times New Roman" w:hAnsi="Arial" w:cs="Arial"/>
          <w:b/>
          <w:bCs/>
          <w:i/>
          <w:iCs/>
          <w:snapToGrid w:val="0"/>
          <w:sz w:val="24"/>
          <w:szCs w:val="24"/>
        </w:rPr>
        <w:t xml:space="preserve"> </w:t>
      </w:r>
      <w:r w:rsidRPr="002A52F1">
        <w:rPr>
          <w:rFonts w:ascii="Arial" w:eastAsia="Times New Roman" w:hAnsi="Arial" w:cs="Arial"/>
          <w:b/>
          <w:bCs/>
          <w:snapToGrid w:val="0"/>
          <w:sz w:val="24"/>
          <w:szCs w:val="24"/>
        </w:rPr>
        <w:t>(</w:t>
      </w:r>
      <w:proofErr w:type="spellStart"/>
      <w:r w:rsidRPr="002A52F1">
        <w:rPr>
          <w:rFonts w:ascii="Arial" w:eastAsia="Times New Roman" w:hAnsi="Arial" w:cs="Arial"/>
          <w:b/>
          <w:bCs/>
          <w:snapToGrid w:val="0"/>
          <w:sz w:val="24"/>
          <w:szCs w:val="24"/>
        </w:rPr>
        <w:t>Narrabarba</w:t>
      </w:r>
      <w:proofErr w:type="spellEnd"/>
      <w:r w:rsidRPr="002A52F1">
        <w:rPr>
          <w:rFonts w:ascii="Arial" w:eastAsia="Times New Roman" w:hAnsi="Arial" w:cs="Arial"/>
          <w:b/>
          <w:bCs/>
          <w:snapToGrid w:val="0"/>
          <w:sz w:val="24"/>
          <w:szCs w:val="24"/>
        </w:rPr>
        <w:t xml:space="preserve"> wattle)</w:t>
      </w:r>
    </w:p>
    <w:p w14:paraId="1A94B8F2" w14:textId="6444A634" w:rsidR="002A52F1" w:rsidRPr="00FE6C07" w:rsidRDefault="002A52F1" w:rsidP="002A52F1">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5687DA07" w14:textId="391448B3" w:rsidR="002A52F1" w:rsidRPr="00BC75A0" w:rsidRDefault="002A52F1" w:rsidP="002A52F1">
      <w:pPr>
        <w:rPr>
          <w:rFonts w:ascii="Arial" w:hAnsi="Arial" w:cs="Arial"/>
        </w:rPr>
      </w:pPr>
      <w:r w:rsidRPr="00BC75A0">
        <w:rPr>
          <w:rFonts w:ascii="Arial" w:hAnsi="Arial" w:cs="Arial"/>
        </w:rPr>
        <w:t>1)</w:t>
      </w:r>
      <w:r w:rsidRPr="00BC75A0">
        <w:rPr>
          <w:rFonts w:ascii="Arial" w:hAnsi="Arial" w:cs="Arial"/>
        </w:rPr>
        <w:tab/>
        <w:t xml:space="preserve">the eligibility of </w:t>
      </w:r>
      <w:r w:rsidRPr="002A52F1">
        <w:rPr>
          <w:rFonts w:ascii="Arial" w:hAnsi="Arial" w:cs="Arial"/>
          <w:i/>
          <w:iCs/>
        </w:rPr>
        <w:t xml:space="preserve">Acacia </w:t>
      </w:r>
      <w:proofErr w:type="spellStart"/>
      <w:r w:rsidRPr="002A52F1">
        <w:rPr>
          <w:rFonts w:ascii="Arial" w:hAnsi="Arial" w:cs="Arial"/>
          <w:i/>
          <w:iCs/>
        </w:rPr>
        <w:t>constablei</w:t>
      </w:r>
      <w:proofErr w:type="spellEnd"/>
      <w:r w:rsidRPr="002A52F1">
        <w:rPr>
          <w:rFonts w:ascii="Arial" w:hAnsi="Arial" w:cs="Arial"/>
          <w:i/>
          <w:iCs/>
        </w:rPr>
        <w:t xml:space="preserve"> (</w:t>
      </w:r>
      <w:proofErr w:type="spellStart"/>
      <w:r w:rsidRPr="002A52F1">
        <w:rPr>
          <w:rFonts w:ascii="Arial" w:hAnsi="Arial" w:cs="Arial"/>
          <w:i/>
          <w:iCs/>
        </w:rPr>
        <w:t>Narrabarba</w:t>
      </w:r>
      <w:proofErr w:type="spellEnd"/>
      <w:r w:rsidRPr="002A52F1">
        <w:rPr>
          <w:rFonts w:ascii="Arial" w:hAnsi="Arial" w:cs="Arial"/>
          <w:i/>
          <w:iCs/>
        </w:rPr>
        <w:t xml:space="preserve"> wattle)</w:t>
      </w:r>
      <w:r w:rsidRPr="00D5630C">
        <w:rPr>
          <w:rFonts w:ascii="Arial" w:hAnsi="Arial" w:cs="Arial"/>
        </w:rPr>
        <w:t xml:space="preserve"> </w:t>
      </w:r>
      <w:r w:rsidRPr="00BC75A0">
        <w:rPr>
          <w:rFonts w:ascii="Arial" w:hAnsi="Arial" w:cs="Arial"/>
        </w:rPr>
        <w:t xml:space="preserve">for inclusion on the EPBC Act threatened species list in </w:t>
      </w:r>
      <w:r w:rsidRPr="00E7625B">
        <w:rPr>
          <w:rFonts w:ascii="Arial" w:hAnsi="Arial" w:cs="Arial"/>
        </w:rPr>
        <w:t xml:space="preserve">the </w:t>
      </w:r>
      <w:r>
        <w:rPr>
          <w:rFonts w:ascii="Arial" w:hAnsi="Arial" w:cs="Arial"/>
        </w:rPr>
        <w:t>Critically Endangered category</w:t>
      </w:r>
      <w:r w:rsidRPr="00BC75A0">
        <w:rPr>
          <w:rFonts w:ascii="Arial" w:hAnsi="Arial" w:cs="Arial"/>
        </w:rPr>
        <w:t xml:space="preserve">; and </w:t>
      </w:r>
    </w:p>
    <w:p w14:paraId="34C42EA3" w14:textId="77777777" w:rsidR="002A52F1" w:rsidRPr="00FE6C07" w:rsidRDefault="002A52F1" w:rsidP="002A52F1">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653DF2DD" w14:textId="77777777" w:rsidR="002A52F1" w:rsidRDefault="002A52F1" w:rsidP="002A52F1">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149AE559" w14:textId="77777777" w:rsidR="002A52F1" w:rsidRPr="00FE6C07" w:rsidRDefault="002A52F1" w:rsidP="002A52F1">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w:t>
      </w:r>
      <w:proofErr w:type="gramStart"/>
      <w:r w:rsidRPr="00FE6C07">
        <w:rPr>
          <w:rFonts w:ascii="Arial" w:eastAsia="Times New Roman" w:hAnsi="Arial" w:cs="Arial"/>
        </w:rPr>
        <w:t>general public</w:t>
      </w:r>
      <w:proofErr w:type="gramEnd"/>
      <w:r w:rsidRPr="00FE6C07">
        <w:rPr>
          <w:rFonts w:ascii="Arial" w:eastAsia="Times New Roman" w:hAnsi="Arial" w:cs="Arial"/>
        </w:rPr>
        <w:t xml:space="preserve"> are welcome. Responses can be provided by any interested person. </w:t>
      </w:r>
    </w:p>
    <w:p w14:paraId="155D51BD" w14:textId="77777777" w:rsidR="002A52F1" w:rsidRPr="00FE6C07" w:rsidRDefault="002A52F1" w:rsidP="002A52F1">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w:t>
      </w:r>
      <w:proofErr w:type="gramStart"/>
      <w:r w:rsidRPr="00FE6C07">
        <w:rPr>
          <w:rFonts w:ascii="Arial" w:eastAsia="Times New Roman" w:hAnsi="Arial" w:cs="Arial"/>
        </w:rPr>
        <w:t>community</w:t>
      </w:r>
      <w:proofErr w:type="gramEnd"/>
      <w:r w:rsidRPr="00FE6C07">
        <w:rPr>
          <w:rFonts w:ascii="Arial" w:eastAsia="Times New Roman" w:hAnsi="Arial" w:cs="Arial"/>
        </w:rPr>
        <w:t xml:space="preserve">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3815814C" w14:textId="77777777" w:rsidR="002A52F1" w:rsidRPr="00FE6C07" w:rsidRDefault="002A52F1" w:rsidP="002A52F1">
      <w:pPr>
        <w:spacing w:after="0" w:line="240" w:lineRule="auto"/>
        <w:rPr>
          <w:rFonts w:ascii="Arial" w:eastAsia="Times New Roman" w:hAnsi="Arial" w:cs="Arial"/>
        </w:rPr>
      </w:pPr>
    </w:p>
    <w:p w14:paraId="2C0E1EF2" w14:textId="77777777" w:rsidR="002A52F1" w:rsidRDefault="002A52F1" w:rsidP="002A52F1">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3" w:history="1">
        <w:r w:rsidRPr="00FE6C07">
          <w:rPr>
            <w:rFonts w:ascii="Arial" w:eastAsia="Times New Roman" w:hAnsi="Arial" w:cs="Arial"/>
            <w:color w:val="0000FF"/>
            <w:u w:val="single"/>
          </w:rPr>
          <w:t>species.consultation@environment.gov.au</w:t>
        </w:r>
      </w:hyperlink>
    </w:p>
    <w:p w14:paraId="34C5F7B1" w14:textId="77777777" w:rsidR="002A52F1" w:rsidRDefault="002A52F1" w:rsidP="002A52F1">
      <w:pPr>
        <w:spacing w:after="0" w:line="240" w:lineRule="auto"/>
        <w:rPr>
          <w:rFonts w:ascii="Arial" w:eastAsia="Times New Roman" w:hAnsi="Arial" w:cs="Arial"/>
        </w:rPr>
      </w:pPr>
    </w:p>
    <w:p w14:paraId="29BC099C" w14:textId="77777777" w:rsidR="002A52F1" w:rsidRPr="00FE6C07" w:rsidRDefault="002A52F1" w:rsidP="002A52F1">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2DC96403" w14:textId="77777777" w:rsidR="002A52F1" w:rsidRPr="00FE6C07" w:rsidRDefault="002A52F1" w:rsidP="002A52F1">
      <w:pPr>
        <w:spacing w:after="0" w:line="240" w:lineRule="auto"/>
        <w:rPr>
          <w:rFonts w:ascii="Arial" w:eastAsia="Times New Roman" w:hAnsi="Arial" w:cs="Arial"/>
        </w:rPr>
      </w:pPr>
    </w:p>
    <w:p w14:paraId="220EA5BA" w14:textId="77777777" w:rsidR="002A52F1" w:rsidRPr="00FE6C07" w:rsidRDefault="002A52F1" w:rsidP="002A52F1">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26F893DC" w14:textId="77777777" w:rsidR="002A52F1" w:rsidRPr="00FE6C07" w:rsidRDefault="002A52F1" w:rsidP="002A52F1">
      <w:pPr>
        <w:spacing w:after="0" w:line="240" w:lineRule="auto"/>
        <w:rPr>
          <w:rFonts w:ascii="Arial" w:eastAsia="Times New Roman" w:hAnsi="Arial" w:cs="Arial"/>
          <w:color w:val="000000"/>
        </w:rPr>
      </w:pPr>
    </w:p>
    <w:p w14:paraId="294D16BF" w14:textId="77777777" w:rsidR="002A52F1" w:rsidRPr="00FE6C07" w:rsidRDefault="002A52F1" w:rsidP="002A52F1">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0D6E5D3B" w14:textId="77777777" w:rsidR="002A52F1" w:rsidRPr="00E7625B" w:rsidRDefault="002A52F1" w:rsidP="002A52F1">
      <w:pPr>
        <w:spacing w:after="0" w:line="240" w:lineRule="auto"/>
        <w:ind w:left="426"/>
        <w:rPr>
          <w:rFonts w:ascii="Arial" w:eastAsia="Times New Roman" w:hAnsi="Arial" w:cs="Arial"/>
        </w:rPr>
      </w:pPr>
      <w:r>
        <w:rPr>
          <w:rFonts w:ascii="Arial" w:eastAsia="Times New Roman" w:hAnsi="Arial" w:cs="Arial"/>
        </w:rPr>
        <w:t>Bushfire Affected Species Assessments Section</w:t>
      </w:r>
    </w:p>
    <w:p w14:paraId="5DFB4A9E" w14:textId="77777777" w:rsidR="002A52F1" w:rsidRPr="00FE6C07" w:rsidRDefault="002A52F1" w:rsidP="002A52F1">
      <w:pPr>
        <w:spacing w:after="0" w:line="240" w:lineRule="auto"/>
        <w:ind w:left="426"/>
        <w:rPr>
          <w:rFonts w:ascii="Arial" w:eastAsia="Times New Roman" w:hAnsi="Arial" w:cs="Arial"/>
          <w:color w:val="000000"/>
        </w:rPr>
      </w:pPr>
      <w:r w:rsidRPr="00BC75A0">
        <w:rPr>
          <w:rFonts w:ascii="Arial" w:eastAsia="Times New Roman" w:hAnsi="Arial" w:cs="Arial"/>
        </w:rPr>
        <w:t xml:space="preserve">Department of Agriculture, </w:t>
      </w:r>
      <w:proofErr w:type="gramStart"/>
      <w:r w:rsidRPr="00BC75A0">
        <w:rPr>
          <w:rFonts w:ascii="Arial" w:eastAsia="Times New Roman" w:hAnsi="Arial" w:cs="Arial"/>
        </w:rPr>
        <w:t>Water</w:t>
      </w:r>
      <w:proofErr w:type="gramEnd"/>
      <w:r w:rsidRPr="00BC75A0">
        <w:rPr>
          <w:rFonts w:ascii="Arial" w:eastAsia="Times New Roman" w:hAnsi="Arial" w:cs="Arial"/>
        </w:rPr>
        <w:t xml:space="preserve"> and the Environment</w:t>
      </w:r>
    </w:p>
    <w:p w14:paraId="0C6A735B" w14:textId="77777777" w:rsidR="002A52F1" w:rsidRDefault="002A52F1" w:rsidP="002A52F1">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6AD8295F" w14:textId="77777777" w:rsidR="002A52F1" w:rsidRPr="00FE6C07" w:rsidRDefault="002A52F1" w:rsidP="002A52F1">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01B80E03" w14:textId="77777777" w:rsidR="002A52F1" w:rsidRPr="00FE6C07" w:rsidRDefault="002A52F1" w:rsidP="002A52F1">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0CFE3D2B" w14:textId="77777777" w:rsidR="002A52F1" w:rsidRPr="00FE6C07" w:rsidRDefault="002A52F1" w:rsidP="002A52F1">
      <w:pPr>
        <w:spacing w:after="0" w:line="240" w:lineRule="auto"/>
        <w:rPr>
          <w:rFonts w:ascii="Arial" w:eastAsia="Times New Roman" w:hAnsi="Arial" w:cs="Arial"/>
          <w:color w:val="000000"/>
        </w:rPr>
      </w:pPr>
    </w:p>
    <w:p w14:paraId="107D5752" w14:textId="5D48AF1D" w:rsidR="002A52F1" w:rsidRPr="00FE6C07" w:rsidRDefault="002A52F1" w:rsidP="002A52F1">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sidR="007259D1">
        <w:rPr>
          <w:rFonts w:ascii="Arial" w:eastAsia="Times New Roman" w:hAnsi="Arial" w:cs="Arial"/>
          <w:b/>
        </w:rPr>
        <w:t>24</w:t>
      </w:r>
      <w:r>
        <w:rPr>
          <w:rFonts w:ascii="Arial" w:eastAsia="Times New Roman" w:hAnsi="Arial" w:cs="Arial"/>
          <w:b/>
        </w:rPr>
        <w:t xml:space="preserve"> </w:t>
      </w:r>
      <w:r w:rsidR="007259D1">
        <w:rPr>
          <w:rFonts w:ascii="Arial" w:eastAsia="Times New Roman" w:hAnsi="Arial" w:cs="Arial"/>
          <w:b/>
        </w:rPr>
        <w:t>March</w:t>
      </w:r>
      <w:r w:rsidRPr="00E7625B">
        <w:rPr>
          <w:rFonts w:ascii="Arial" w:eastAsia="Times New Roman" w:hAnsi="Arial" w:cs="Arial"/>
          <w:b/>
        </w:rPr>
        <w:t xml:space="preserve"> 202</w:t>
      </w:r>
      <w:r>
        <w:rPr>
          <w:rFonts w:ascii="Arial" w:eastAsia="Times New Roman" w:hAnsi="Arial" w:cs="Arial"/>
          <w:b/>
        </w:rPr>
        <w:t>2</w:t>
      </w:r>
      <w:r w:rsidRPr="00E7625B">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2A52F1" w:rsidRPr="00771DB7" w14:paraId="5E915E35" w14:textId="77777777" w:rsidTr="003E2F67">
        <w:tc>
          <w:tcPr>
            <w:tcW w:w="9039" w:type="dxa"/>
            <w:tcBorders>
              <w:top w:val="single" w:sz="4" w:space="0" w:color="auto"/>
              <w:left w:val="single" w:sz="4" w:space="0" w:color="auto"/>
              <w:bottom w:val="single" w:sz="4" w:space="0" w:color="auto"/>
              <w:right w:val="single" w:sz="4" w:space="0" w:color="auto"/>
            </w:tcBorders>
            <w:shd w:val="pct15" w:color="auto" w:fill="auto"/>
          </w:tcPr>
          <w:p w14:paraId="338B8DD7" w14:textId="77777777" w:rsidR="002A52F1" w:rsidRPr="00771DB7" w:rsidRDefault="002A52F1" w:rsidP="003E2F67">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0BCD5061" w14:textId="77777777" w:rsidR="002A52F1" w:rsidRPr="00771DB7" w:rsidRDefault="002A52F1" w:rsidP="003E2F67">
            <w:pPr>
              <w:spacing w:after="0" w:line="240" w:lineRule="auto"/>
              <w:rPr>
                <w:rFonts w:ascii="Arial" w:eastAsia="Times New Roman" w:hAnsi="Arial" w:cs="Arial"/>
                <w:b/>
                <w:bCs/>
              </w:rPr>
            </w:pPr>
            <w:r w:rsidRPr="00771DB7">
              <w:rPr>
                <w:rFonts w:ascii="Arial" w:eastAsia="Times New Roman" w:hAnsi="Arial" w:cs="Arial"/>
                <w:b/>
                <w:bCs/>
              </w:rPr>
              <w:t>Page</w:t>
            </w:r>
          </w:p>
        </w:tc>
      </w:tr>
      <w:tr w:rsidR="002A52F1" w:rsidRPr="00771DB7" w14:paraId="43E16A96" w14:textId="77777777" w:rsidTr="003E2F67">
        <w:tc>
          <w:tcPr>
            <w:tcW w:w="9039" w:type="dxa"/>
            <w:tcBorders>
              <w:top w:val="single" w:sz="4" w:space="0" w:color="auto"/>
              <w:left w:val="single" w:sz="4" w:space="0" w:color="auto"/>
              <w:bottom w:val="single" w:sz="4" w:space="0" w:color="auto"/>
              <w:right w:val="single" w:sz="4" w:space="0" w:color="auto"/>
            </w:tcBorders>
          </w:tcPr>
          <w:p w14:paraId="09D80BF5" w14:textId="77777777" w:rsidR="002A52F1" w:rsidRPr="00771DB7" w:rsidRDefault="002A52F1" w:rsidP="003E2F67">
            <w:pPr>
              <w:spacing w:after="0" w:line="240" w:lineRule="auto"/>
              <w:rPr>
                <w:rFonts w:ascii="Arial" w:eastAsia="Times New Roman" w:hAnsi="Arial" w:cs="Arial"/>
              </w:rPr>
            </w:pPr>
            <w:r w:rsidRPr="00771DB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404F78FD" w14:textId="6FE46AC7" w:rsidR="002A52F1" w:rsidRPr="004E5E52" w:rsidRDefault="002A52F1" w:rsidP="003E2F67">
            <w:pPr>
              <w:spacing w:after="0" w:line="240" w:lineRule="auto"/>
              <w:jc w:val="center"/>
              <w:rPr>
                <w:rFonts w:ascii="Arial" w:eastAsia="Times New Roman" w:hAnsi="Arial" w:cs="Arial"/>
              </w:rPr>
            </w:pPr>
            <w:r w:rsidRPr="004E5E52">
              <w:rPr>
                <w:rFonts w:ascii="Arial" w:hAnsi="Arial" w:cs="Arial"/>
              </w:rPr>
              <w:t>2</w:t>
            </w:r>
          </w:p>
        </w:tc>
      </w:tr>
      <w:tr w:rsidR="002A52F1" w:rsidRPr="00771DB7" w14:paraId="65880E7F" w14:textId="77777777" w:rsidTr="003E2F67">
        <w:tc>
          <w:tcPr>
            <w:tcW w:w="9039" w:type="dxa"/>
            <w:tcBorders>
              <w:top w:val="single" w:sz="4" w:space="0" w:color="auto"/>
              <w:left w:val="single" w:sz="4" w:space="0" w:color="auto"/>
              <w:bottom w:val="single" w:sz="4" w:space="0" w:color="auto"/>
              <w:right w:val="single" w:sz="4" w:space="0" w:color="auto"/>
            </w:tcBorders>
          </w:tcPr>
          <w:p w14:paraId="39C2CCD1" w14:textId="77777777" w:rsidR="002A52F1" w:rsidRPr="00771DB7" w:rsidRDefault="002A52F1" w:rsidP="003E2F67">
            <w:pPr>
              <w:spacing w:after="0" w:line="240" w:lineRule="auto"/>
              <w:rPr>
                <w:rFonts w:ascii="Arial" w:eastAsia="Times New Roman" w:hAnsi="Arial" w:cs="Arial"/>
              </w:rPr>
            </w:pPr>
            <w:r w:rsidRPr="00771DB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01383CFB" w14:textId="66458B89" w:rsidR="002A52F1" w:rsidRPr="004E5E52" w:rsidRDefault="002A52F1" w:rsidP="003E2F67">
            <w:pPr>
              <w:spacing w:after="0" w:line="240" w:lineRule="auto"/>
              <w:jc w:val="center"/>
              <w:rPr>
                <w:rFonts w:ascii="Arial" w:eastAsia="Times New Roman" w:hAnsi="Arial" w:cs="Arial"/>
              </w:rPr>
            </w:pPr>
            <w:r w:rsidRPr="004E5E52">
              <w:rPr>
                <w:rFonts w:ascii="Arial" w:hAnsi="Arial" w:cs="Arial"/>
              </w:rPr>
              <w:t>3</w:t>
            </w:r>
          </w:p>
        </w:tc>
      </w:tr>
      <w:tr w:rsidR="002A52F1" w:rsidRPr="00771DB7" w14:paraId="45E568CB" w14:textId="77777777" w:rsidTr="003E2F67">
        <w:tc>
          <w:tcPr>
            <w:tcW w:w="9039" w:type="dxa"/>
            <w:tcBorders>
              <w:top w:val="single" w:sz="4" w:space="0" w:color="auto"/>
              <w:left w:val="single" w:sz="4" w:space="0" w:color="auto"/>
              <w:bottom w:val="single" w:sz="4" w:space="0" w:color="auto"/>
              <w:right w:val="single" w:sz="4" w:space="0" w:color="auto"/>
            </w:tcBorders>
          </w:tcPr>
          <w:p w14:paraId="2FA10983" w14:textId="77777777" w:rsidR="002A52F1" w:rsidRPr="00771DB7" w:rsidRDefault="002A52F1" w:rsidP="003E2F67">
            <w:pPr>
              <w:spacing w:after="0" w:line="240" w:lineRule="auto"/>
              <w:rPr>
                <w:rFonts w:ascii="Arial" w:eastAsia="Times New Roman" w:hAnsi="Arial" w:cs="Arial"/>
              </w:rPr>
            </w:pPr>
            <w:r w:rsidRPr="00771DB7">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4FF6B0B1" w14:textId="38A6B024" w:rsidR="002A52F1" w:rsidRPr="004E5E52" w:rsidRDefault="002A52F1" w:rsidP="003E2F67">
            <w:pPr>
              <w:spacing w:after="0" w:line="240" w:lineRule="auto"/>
              <w:jc w:val="center"/>
              <w:rPr>
                <w:rFonts w:ascii="Arial" w:eastAsia="Times New Roman" w:hAnsi="Arial" w:cs="Arial"/>
              </w:rPr>
            </w:pPr>
            <w:r w:rsidRPr="004E5E52">
              <w:rPr>
                <w:rFonts w:ascii="Arial" w:hAnsi="Arial" w:cs="Arial"/>
              </w:rPr>
              <w:t>4</w:t>
            </w:r>
          </w:p>
        </w:tc>
      </w:tr>
      <w:tr w:rsidR="002A52F1" w:rsidRPr="00771DB7" w14:paraId="5502FF03" w14:textId="77777777" w:rsidTr="003E2F67">
        <w:tc>
          <w:tcPr>
            <w:tcW w:w="9039" w:type="dxa"/>
            <w:tcBorders>
              <w:top w:val="single" w:sz="4" w:space="0" w:color="auto"/>
              <w:left w:val="single" w:sz="4" w:space="0" w:color="auto"/>
              <w:bottom w:val="single" w:sz="4" w:space="0" w:color="auto"/>
              <w:right w:val="single" w:sz="4" w:space="0" w:color="auto"/>
            </w:tcBorders>
          </w:tcPr>
          <w:p w14:paraId="0CF1FC35" w14:textId="77777777" w:rsidR="002A52F1" w:rsidRPr="00771DB7" w:rsidRDefault="002A52F1" w:rsidP="003E2F67">
            <w:pPr>
              <w:spacing w:after="0" w:line="240" w:lineRule="auto"/>
              <w:rPr>
                <w:rFonts w:ascii="Arial" w:eastAsia="Times New Roman" w:hAnsi="Arial" w:cs="Arial"/>
              </w:rPr>
            </w:pPr>
            <w:r w:rsidRPr="00771DB7">
              <w:rPr>
                <w:rFonts w:ascii="Arial" w:eastAsia="Times New Roman" w:hAnsi="Arial" w:cs="Arial"/>
              </w:rPr>
              <w:t xml:space="preserve">Information about </w:t>
            </w:r>
            <w:r w:rsidRPr="00771DB7">
              <w:rPr>
                <w:rFonts w:ascii="Arial" w:eastAsia="Times New Roman" w:hAnsi="Arial" w:cs="Arial"/>
                <w:iCs/>
              </w:rPr>
              <w:t xml:space="preserve">the </w:t>
            </w:r>
            <w:r w:rsidRPr="00771DB7">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3A65232B" w14:textId="5B713212" w:rsidR="002A52F1" w:rsidRPr="004E5E52" w:rsidRDefault="003E2F67" w:rsidP="003E2F67">
            <w:pPr>
              <w:spacing w:after="0" w:line="240" w:lineRule="auto"/>
              <w:jc w:val="center"/>
              <w:rPr>
                <w:rFonts w:ascii="Arial" w:eastAsia="Times New Roman" w:hAnsi="Arial" w:cs="Arial"/>
              </w:rPr>
            </w:pPr>
            <w:r w:rsidRPr="004E5E52">
              <w:rPr>
                <w:rFonts w:ascii="Arial" w:hAnsi="Arial" w:cs="Arial"/>
              </w:rPr>
              <w:t>12</w:t>
            </w:r>
          </w:p>
        </w:tc>
      </w:tr>
      <w:tr w:rsidR="002A52F1" w:rsidRPr="00771DB7" w14:paraId="50B40EA7" w14:textId="77777777" w:rsidTr="003E2F67">
        <w:tc>
          <w:tcPr>
            <w:tcW w:w="9039" w:type="dxa"/>
            <w:tcBorders>
              <w:top w:val="single" w:sz="4" w:space="0" w:color="auto"/>
              <w:left w:val="single" w:sz="4" w:space="0" w:color="auto"/>
              <w:bottom w:val="single" w:sz="4" w:space="0" w:color="auto"/>
              <w:right w:val="single" w:sz="4" w:space="0" w:color="auto"/>
            </w:tcBorders>
          </w:tcPr>
          <w:p w14:paraId="6EFE007C" w14:textId="77777777" w:rsidR="002A52F1" w:rsidRPr="00771DB7" w:rsidRDefault="002A52F1" w:rsidP="003E2F67">
            <w:pPr>
              <w:spacing w:after="0" w:line="240" w:lineRule="auto"/>
              <w:rPr>
                <w:rFonts w:ascii="Arial" w:eastAsia="Times New Roman" w:hAnsi="Arial" w:cs="Arial"/>
              </w:rPr>
            </w:pPr>
            <w:r w:rsidRPr="00771DB7">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2165928E" w14:textId="35939027" w:rsidR="002A52F1" w:rsidRPr="004E5E52" w:rsidRDefault="004E5E52" w:rsidP="003E2F67">
            <w:pPr>
              <w:spacing w:after="0" w:line="240" w:lineRule="auto"/>
              <w:jc w:val="center"/>
              <w:rPr>
                <w:rFonts w:ascii="Arial" w:eastAsia="Times New Roman" w:hAnsi="Arial" w:cs="Arial"/>
              </w:rPr>
            </w:pPr>
            <w:r w:rsidRPr="004E5E52">
              <w:rPr>
                <w:rFonts w:ascii="Arial" w:hAnsi="Arial" w:cs="Arial"/>
              </w:rPr>
              <w:t>21</w:t>
            </w:r>
          </w:p>
        </w:tc>
      </w:tr>
      <w:tr w:rsidR="002A52F1" w:rsidRPr="00771DB7" w14:paraId="1FFDEEDE" w14:textId="77777777" w:rsidTr="003E2F67">
        <w:tc>
          <w:tcPr>
            <w:tcW w:w="9039" w:type="dxa"/>
            <w:tcBorders>
              <w:top w:val="single" w:sz="4" w:space="0" w:color="auto"/>
              <w:left w:val="single" w:sz="4" w:space="0" w:color="auto"/>
              <w:bottom w:val="single" w:sz="4" w:space="0" w:color="auto"/>
              <w:right w:val="single" w:sz="4" w:space="0" w:color="auto"/>
            </w:tcBorders>
          </w:tcPr>
          <w:p w14:paraId="26A2F7EF" w14:textId="77777777" w:rsidR="002A52F1" w:rsidRPr="00771DB7" w:rsidRDefault="002A52F1" w:rsidP="003E2F67">
            <w:pPr>
              <w:spacing w:after="0" w:line="240" w:lineRule="auto"/>
              <w:rPr>
                <w:rFonts w:ascii="Arial" w:eastAsia="Times New Roman" w:hAnsi="Arial" w:cs="Arial"/>
              </w:rPr>
            </w:pPr>
            <w:r w:rsidRPr="00771DB7">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550E4871" w14:textId="047BBB45" w:rsidR="002A52F1" w:rsidRPr="004E5E52" w:rsidRDefault="004E5E52" w:rsidP="003E2F67">
            <w:pPr>
              <w:spacing w:after="0" w:line="240" w:lineRule="auto"/>
              <w:jc w:val="center"/>
              <w:rPr>
                <w:rFonts w:ascii="Arial" w:hAnsi="Arial" w:cs="Arial"/>
              </w:rPr>
            </w:pPr>
            <w:r w:rsidRPr="004E5E52">
              <w:rPr>
                <w:rFonts w:ascii="Arial" w:hAnsi="Arial" w:cs="Arial"/>
              </w:rPr>
              <w:t>24</w:t>
            </w:r>
          </w:p>
        </w:tc>
      </w:tr>
      <w:tr w:rsidR="002A52F1" w:rsidRPr="00771DB7" w14:paraId="3D349ABB" w14:textId="77777777" w:rsidTr="003E2F67">
        <w:tc>
          <w:tcPr>
            <w:tcW w:w="9039" w:type="dxa"/>
            <w:tcBorders>
              <w:top w:val="single" w:sz="4" w:space="0" w:color="auto"/>
              <w:left w:val="single" w:sz="4" w:space="0" w:color="auto"/>
              <w:bottom w:val="single" w:sz="4" w:space="0" w:color="auto"/>
              <w:right w:val="single" w:sz="4" w:space="0" w:color="auto"/>
            </w:tcBorders>
          </w:tcPr>
          <w:p w14:paraId="6BC18FFD" w14:textId="77777777" w:rsidR="002A52F1" w:rsidRPr="00771DB7" w:rsidRDefault="002A52F1" w:rsidP="003E2F67">
            <w:pPr>
              <w:spacing w:after="0" w:line="240" w:lineRule="auto"/>
              <w:rPr>
                <w:rFonts w:ascii="Arial" w:eastAsia="Times New Roman" w:hAnsi="Arial" w:cs="Arial"/>
              </w:rPr>
            </w:pPr>
            <w:r w:rsidRPr="00771DB7">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7BBDD8D7" w14:textId="661B757F" w:rsidR="002A52F1" w:rsidRPr="004E5E52" w:rsidRDefault="004E5E52" w:rsidP="003E2F67">
            <w:pPr>
              <w:spacing w:after="0" w:line="240" w:lineRule="auto"/>
              <w:jc w:val="center"/>
              <w:rPr>
                <w:rFonts w:ascii="Arial" w:eastAsia="Times New Roman" w:hAnsi="Arial" w:cs="Arial"/>
              </w:rPr>
            </w:pPr>
            <w:r w:rsidRPr="004E5E52">
              <w:rPr>
                <w:rFonts w:ascii="Arial" w:hAnsi="Arial" w:cs="Arial"/>
              </w:rPr>
              <w:t>2</w:t>
            </w:r>
            <w:r w:rsidR="0029637B">
              <w:rPr>
                <w:rFonts w:ascii="Arial" w:hAnsi="Arial" w:cs="Arial"/>
              </w:rPr>
              <w:t>8</w:t>
            </w:r>
          </w:p>
        </w:tc>
      </w:tr>
    </w:tbl>
    <w:p w14:paraId="6FDC965D" w14:textId="77777777" w:rsidR="00BF65F7" w:rsidRPr="00FE6C07" w:rsidRDefault="00BF65F7" w:rsidP="00BF65F7">
      <w:pPr>
        <w:spacing w:line="240" w:lineRule="auto"/>
        <w:rPr>
          <w:rFonts w:ascii="Arial" w:eastAsia="Times New Roman" w:hAnsi="Arial" w:cs="Arial"/>
          <w:b/>
        </w:rPr>
      </w:pPr>
      <w:bookmarkStart w:id="0" w:name="Background"/>
      <w:r w:rsidRPr="00FE6C07">
        <w:rPr>
          <w:rFonts w:ascii="Arial" w:eastAsia="Times New Roman" w:hAnsi="Arial" w:cs="Arial"/>
          <w:b/>
        </w:rPr>
        <w:lastRenderedPageBreak/>
        <w:t>General background information about listing threatened species</w:t>
      </w:r>
    </w:p>
    <w:bookmarkEnd w:id="0"/>
    <w:p w14:paraId="7C816F8F" w14:textId="77777777" w:rsidR="00BF65F7" w:rsidRPr="00FE6C07" w:rsidRDefault="00BF65F7" w:rsidP="00BF65F7">
      <w:pPr>
        <w:spacing w:after="0" w:line="240" w:lineRule="auto"/>
        <w:rPr>
          <w:rFonts w:ascii="Arial" w:eastAsia="Times New Roman" w:hAnsi="Arial" w:cs="Arial"/>
        </w:rPr>
      </w:pPr>
      <w:r w:rsidRPr="00FE6C07">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0CA1B1DF" w14:textId="77777777" w:rsidR="00BF65F7" w:rsidRPr="00FE6C07" w:rsidRDefault="00486B38" w:rsidP="00BF65F7">
      <w:pPr>
        <w:spacing w:line="240" w:lineRule="auto"/>
        <w:rPr>
          <w:rFonts w:ascii="Arial" w:eastAsia="Times New Roman" w:hAnsi="Arial" w:cs="Arial"/>
        </w:rPr>
      </w:pPr>
      <w:hyperlink r:id="rId14" w:history="1">
        <w:r w:rsidR="00BF65F7">
          <w:rPr>
            <w:rStyle w:val="Hyperlink"/>
            <w:rFonts w:ascii="Arial" w:eastAsia="Times New Roman" w:hAnsi="Arial" w:cs="Arial"/>
          </w:rPr>
          <w:t>https://www.awe.gov.au/environment/biodiversity/threatened</w:t>
        </w:r>
      </w:hyperlink>
      <w:r w:rsidR="00BF65F7" w:rsidRPr="00FE6C07">
        <w:rPr>
          <w:rFonts w:ascii="Arial" w:eastAsia="Times New Roman" w:hAnsi="Arial" w:cs="Arial"/>
        </w:rPr>
        <w:t>.</w:t>
      </w:r>
    </w:p>
    <w:p w14:paraId="3231614C" w14:textId="77777777" w:rsidR="00BF65F7" w:rsidRPr="00FE6C07" w:rsidRDefault="00BF65F7" w:rsidP="00BF65F7">
      <w:pPr>
        <w:spacing w:after="0" w:line="240" w:lineRule="auto"/>
        <w:rPr>
          <w:rFonts w:ascii="Times New Roman" w:eastAsia="Times New Roman" w:hAnsi="Times New Roman" w:cs="Times New Roman"/>
          <w:color w:val="1F497D"/>
        </w:rPr>
      </w:pPr>
      <w:r w:rsidRPr="00FE6C07">
        <w:rPr>
          <w:rFonts w:ascii="Arial" w:eastAsia="Times New Roman" w:hAnsi="Arial" w:cs="Arial"/>
        </w:rPr>
        <w:t xml:space="preserve">Public nominations to list threatened species under the EPBC Act are received annually by the department. </w:t>
      </w:r>
      <w:proofErr w:type="gramStart"/>
      <w:r w:rsidRPr="00FE6C07">
        <w:rPr>
          <w:rFonts w:ascii="Arial" w:eastAsia="Times New Roman" w:hAnsi="Arial" w:cs="Arial"/>
        </w:rPr>
        <w:t>In order to</w:t>
      </w:r>
      <w:proofErr w:type="gramEnd"/>
      <w:r w:rsidRPr="00FE6C07">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2B6E7DAC" w14:textId="77777777" w:rsidR="00BF65F7" w:rsidRPr="00FE6C07" w:rsidRDefault="00486B38" w:rsidP="00BF65F7">
      <w:pPr>
        <w:spacing w:after="0" w:line="240" w:lineRule="auto"/>
        <w:rPr>
          <w:rFonts w:ascii="Times New Roman" w:eastAsia="Times New Roman" w:hAnsi="Times New Roman" w:cs="Times New Roman"/>
          <w:color w:val="1F497D"/>
          <w:szCs w:val="24"/>
        </w:rPr>
      </w:pPr>
      <w:hyperlink r:id="rId15" w:history="1">
        <w:r w:rsidR="00BF65F7">
          <w:rPr>
            <w:rStyle w:val="Hyperlink"/>
            <w:rFonts w:ascii="Arial" w:eastAsia="Times New Roman" w:hAnsi="Arial" w:cs="Arial"/>
            <w:szCs w:val="24"/>
          </w:rPr>
          <w:t>http://www.awe.gov.au/system/files/pages/d72dfd1a-f0d8-4699-8d43-5d95bbb02428/files/tssc-guidelines-assessing-species-2021.pdf</w:t>
        </w:r>
      </w:hyperlink>
      <w:r w:rsidR="00BF65F7" w:rsidRPr="00FE6C07">
        <w:rPr>
          <w:rFonts w:ascii="Times New Roman" w:eastAsia="Times New Roman" w:hAnsi="Times New Roman" w:cs="Times New Roman"/>
          <w:color w:val="1F497D"/>
          <w:szCs w:val="24"/>
        </w:rPr>
        <w:t>.</w:t>
      </w:r>
    </w:p>
    <w:p w14:paraId="48D7F9E3" w14:textId="77777777" w:rsidR="00BF65F7" w:rsidRPr="00FE6C07" w:rsidRDefault="00BF65F7" w:rsidP="00BF65F7">
      <w:pPr>
        <w:spacing w:line="240" w:lineRule="auto"/>
        <w:rPr>
          <w:rFonts w:ascii="Arial" w:eastAsia="Times New Roman" w:hAnsi="Arial" w:cs="Arial"/>
        </w:rPr>
      </w:pPr>
    </w:p>
    <w:p w14:paraId="209A6178" w14:textId="77777777" w:rsidR="00BF65F7" w:rsidRPr="00FE6C07" w:rsidRDefault="00BF65F7" w:rsidP="00BF65F7">
      <w:pPr>
        <w:spacing w:line="240" w:lineRule="auto"/>
        <w:rPr>
          <w:rFonts w:ascii="Arial" w:eastAsia="Times New Roman" w:hAnsi="Arial" w:cs="Arial"/>
        </w:rPr>
      </w:pPr>
      <w:r w:rsidRPr="00FE6C07">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6" w:history="1">
        <w:r>
          <w:rPr>
            <w:rStyle w:val="Hyperlink"/>
            <w:rFonts w:ascii="Arial" w:eastAsia="Times New Roman" w:hAnsi="Arial" w:cs="Arial"/>
          </w:rPr>
          <w:t>https://www.awe.gov.au/environment/biodiversity/threatened/nominations</w:t>
        </w:r>
      </w:hyperlink>
      <w:r w:rsidRPr="00FE6C07">
        <w:rPr>
          <w:rFonts w:ascii="Arial" w:eastAsia="Times New Roman" w:hAnsi="Arial" w:cs="Arial"/>
        </w:rPr>
        <w:t>.</w:t>
      </w:r>
    </w:p>
    <w:p w14:paraId="5D99F090" w14:textId="77777777" w:rsidR="00BF65F7" w:rsidRPr="00FE6C07" w:rsidRDefault="00BF65F7" w:rsidP="00BF65F7">
      <w:pPr>
        <w:spacing w:line="240" w:lineRule="auto"/>
        <w:rPr>
          <w:rFonts w:ascii="Arial" w:eastAsia="Times New Roman" w:hAnsi="Arial" w:cs="Arial"/>
        </w:rPr>
      </w:pPr>
      <w:r w:rsidRPr="00FE6C07">
        <w:rPr>
          <w:rFonts w:ascii="Arial" w:eastAsia="Times New Roman" w:hAnsi="Arial" w:cs="Arial"/>
        </w:rPr>
        <w:t xml:space="preserve">To promote the recovery of listed threatened species and ecological communities,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and where required, recovery plans are made or adopted in accordance with Part 13 of the EPBC Act.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7" w:history="1">
        <w:r>
          <w:rPr>
            <w:rStyle w:val="Hyperlink"/>
            <w:rFonts w:ascii="Arial" w:eastAsia="Times New Roman" w:hAnsi="Arial" w:cs="Arial"/>
          </w:rPr>
          <w:t>https://www.awe.gov.au/environment/biodiversity/threatened/recovery-plans</w:t>
        </w:r>
      </w:hyperlink>
      <w:r w:rsidRPr="00FE6C07">
        <w:rPr>
          <w:rFonts w:ascii="Arial" w:eastAsia="Times New Roman" w:hAnsi="Arial" w:cs="Arial"/>
        </w:rPr>
        <w:t>.</w:t>
      </w:r>
    </w:p>
    <w:p w14:paraId="75AEB873" w14:textId="77777777" w:rsidR="00BF65F7" w:rsidRPr="00FE6C07" w:rsidRDefault="00BF65F7" w:rsidP="00BF65F7">
      <w:pPr>
        <w:spacing w:line="240" w:lineRule="auto"/>
        <w:rPr>
          <w:rFonts w:ascii="Arial" w:eastAsia="Times New Roman" w:hAnsi="Arial" w:cs="Arial"/>
          <w:b/>
        </w:rPr>
      </w:pPr>
      <w:r w:rsidRPr="00FE6C07">
        <w:rPr>
          <w:rFonts w:ascii="Arial" w:eastAsia="Times New Roman" w:hAnsi="Arial" w:cs="Arial"/>
          <w:b/>
        </w:rPr>
        <w:t>Privacy notice</w:t>
      </w:r>
    </w:p>
    <w:p w14:paraId="4AE70272" w14:textId="77777777" w:rsidR="00BF65F7" w:rsidRPr="00FE6C07" w:rsidRDefault="00BF65F7" w:rsidP="00BF65F7">
      <w:pPr>
        <w:spacing w:line="240" w:lineRule="auto"/>
        <w:rPr>
          <w:rFonts w:ascii="Arial" w:eastAsia="Times New Roman" w:hAnsi="Arial" w:cs="Arial"/>
        </w:rPr>
      </w:pPr>
      <w:r w:rsidRPr="00FE6C07">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sidRPr="00FE6C07">
        <w:rPr>
          <w:rFonts w:ascii="Arial" w:eastAsia="Times New Roman" w:hAnsi="Arial" w:cs="Arial"/>
        </w:rPr>
        <w:t>Cth</w:t>
      </w:r>
      <w:proofErr w:type="spellEnd"/>
      <w:r w:rsidRPr="00FE6C07">
        <w:rPr>
          <w:rFonts w:ascii="Arial" w:eastAsia="Times New Roman" w:hAnsi="Arial" w:cs="Arial"/>
        </w:rPr>
        <w:t>) and the Department’s Privacy Policy.</w:t>
      </w:r>
    </w:p>
    <w:p w14:paraId="1B55B432" w14:textId="77777777" w:rsidR="00BF65F7" w:rsidRPr="00FE6C07" w:rsidRDefault="00BF65F7" w:rsidP="00BF65F7">
      <w:pPr>
        <w:spacing w:line="240" w:lineRule="auto"/>
        <w:rPr>
          <w:rFonts w:ascii="Arial" w:eastAsia="Times New Roman" w:hAnsi="Arial" w:cs="Arial"/>
        </w:rPr>
      </w:pPr>
      <w:r w:rsidRPr="00FE6C07">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41EEA167" w14:textId="77777777" w:rsidR="00BF65F7" w:rsidRPr="00FE6C07" w:rsidRDefault="00BF65F7" w:rsidP="00BF65F7">
      <w:pPr>
        <w:spacing w:line="240" w:lineRule="auto"/>
        <w:rPr>
          <w:rFonts w:ascii="Arial" w:eastAsia="Times New Roman" w:hAnsi="Arial" w:cs="Arial"/>
        </w:rPr>
      </w:pPr>
      <w:r w:rsidRPr="00FE6C07">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FE6C07">
        <w:rPr>
          <w:rFonts w:ascii="Arial" w:eastAsia="Times New Roman" w:hAnsi="Arial" w:cs="Arial"/>
        </w:rPr>
        <w:t>making a decision</w:t>
      </w:r>
      <w:proofErr w:type="gramEnd"/>
      <w:r w:rsidRPr="00FE6C07">
        <w:rPr>
          <w:rFonts w:ascii="Arial" w:eastAsia="Times New Roman" w:hAnsi="Arial" w:cs="Arial"/>
        </w:rPr>
        <w:t xml:space="preserve"> on the status of a potentially threatened species. This is also known as the </w:t>
      </w:r>
      <w:hyperlink r:id="rId18" w:history="1">
        <w:r>
          <w:rPr>
            <w:rFonts w:ascii="Arial" w:eastAsia="Times New Roman" w:hAnsi="Arial" w:cs="Arial"/>
            <w:color w:val="0000FF"/>
            <w:u w:val="single"/>
          </w:rPr>
          <w:t>‘Common Assessment Method’ (CAM)</w:t>
        </w:r>
      </w:hyperlink>
      <w:r w:rsidRPr="00FE6C07">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7AB2D1F1" w14:textId="77777777" w:rsidR="00BF65F7" w:rsidRPr="00FE6C07" w:rsidRDefault="00BF65F7" w:rsidP="00BF65F7">
      <w:pPr>
        <w:spacing w:line="240" w:lineRule="auto"/>
        <w:rPr>
          <w:rFonts w:ascii="Arial" w:eastAsia="Times New Roman" w:hAnsi="Arial" w:cs="Arial"/>
        </w:rPr>
      </w:pPr>
      <w:r w:rsidRPr="00FE6C07">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Pr>
            <w:rFonts w:ascii="Arial" w:eastAsia="Times New Roman" w:hAnsi="Arial" w:cs="Arial"/>
            <w:color w:val="0000FF"/>
            <w:u w:val="single"/>
          </w:rPr>
          <w:t>https://www.awe.gov.au/about/commitment/privacy</w:t>
        </w:r>
      </w:hyperlink>
      <w:r w:rsidRPr="00FE6C07">
        <w:rPr>
          <w:rFonts w:ascii="Arial" w:eastAsia="Times New Roman" w:hAnsi="Arial" w:cs="Arial"/>
        </w:rPr>
        <w:t xml:space="preserve"> .</w:t>
      </w:r>
    </w:p>
    <w:p w14:paraId="392D0F79" w14:textId="77777777" w:rsidR="00BF65F7" w:rsidRPr="00FE6C07" w:rsidRDefault="00BF65F7" w:rsidP="00BF65F7">
      <w:pPr>
        <w:spacing w:line="240" w:lineRule="auto"/>
        <w:rPr>
          <w:rFonts w:ascii="Arial" w:eastAsia="Times New Roman" w:hAnsi="Arial" w:cs="Arial"/>
          <w:b/>
        </w:rPr>
      </w:pPr>
      <w:bookmarkStart w:id="1" w:name="Consultation"/>
      <w:r w:rsidRPr="00FE6C07">
        <w:rPr>
          <w:rFonts w:ascii="Arial" w:eastAsia="Times New Roman" w:hAnsi="Arial" w:cs="Arial"/>
          <w:b/>
        </w:rPr>
        <w:t>Information about this consultation process</w:t>
      </w:r>
    </w:p>
    <w:bookmarkEnd w:id="1"/>
    <w:p w14:paraId="10B777CA" w14:textId="77777777" w:rsidR="00BF65F7" w:rsidRPr="00FE6C07" w:rsidRDefault="00BF65F7" w:rsidP="00BF65F7">
      <w:pPr>
        <w:spacing w:line="240" w:lineRule="auto"/>
        <w:rPr>
          <w:rFonts w:ascii="Arial" w:eastAsia="Times New Roman" w:hAnsi="Arial" w:cs="Arial"/>
        </w:rPr>
      </w:pPr>
      <w:r w:rsidRPr="00FE6C07">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697B4A43" w14:textId="77777777" w:rsidR="00BF65F7" w:rsidRPr="00FE6C07" w:rsidRDefault="00BF65F7" w:rsidP="00BF65F7">
      <w:pPr>
        <w:spacing w:line="240" w:lineRule="auto"/>
        <w:rPr>
          <w:rFonts w:ascii="Arial" w:eastAsia="Times New Roman" w:hAnsi="Arial" w:cs="Arial"/>
        </w:rPr>
      </w:pPr>
      <w:r w:rsidRPr="00FE6C07">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39DCC9ED" w14:textId="77777777" w:rsidR="00BF65F7" w:rsidRDefault="00BF65F7" w:rsidP="00BF65F7">
      <w:pPr>
        <w:spacing w:line="240" w:lineRule="auto"/>
        <w:rPr>
          <w:rFonts w:ascii="Arial" w:eastAsia="Times New Roman" w:hAnsi="Arial" w:cs="Arial"/>
        </w:rPr>
      </w:pPr>
      <w:r w:rsidRPr="00FE6C07">
        <w:rPr>
          <w:rFonts w:ascii="Arial" w:eastAsia="Times New Roman" w:hAnsi="Arial" w:cs="Arial"/>
        </w:rPr>
        <w:t>Information provided through consultation may be subject to freedom of information legislation and court processes. It is also important to note that under the EPBC Act,</w:t>
      </w:r>
      <w:r w:rsidRPr="00FE6C07">
        <w:rPr>
          <w:rFonts w:ascii="Arial" w:eastAsia="Times New Roman" w:hAnsi="Arial" w:cs="Arial"/>
          <w:i/>
        </w:rPr>
        <w:t xml:space="preserve"> </w:t>
      </w:r>
      <w:r w:rsidRPr="00FE6C07">
        <w:rPr>
          <w:rFonts w:ascii="Arial" w:eastAsia="Times New Roman" w:hAnsi="Arial" w:cs="Arial"/>
        </w:rPr>
        <w:t>the deliberations and recommendations of the Committee are confidential until the Minister has made a final decision on the nomination, unless otherwise determined by the Minister.</w:t>
      </w:r>
    </w:p>
    <w:p w14:paraId="663B5DEA" w14:textId="77777777" w:rsidR="00BF65F7" w:rsidRDefault="00BF65F7" w:rsidP="00BF65F7"/>
    <w:p w14:paraId="40898215" w14:textId="77777777" w:rsidR="002A52F1" w:rsidRDefault="002A52F1">
      <w:pPr>
        <w:spacing w:after="0" w:line="240" w:lineRule="auto"/>
        <w:rPr>
          <w:rFonts w:ascii="Calibri" w:hAnsi="Calibri"/>
          <w:b/>
          <w:sz w:val="36"/>
          <w:szCs w:val="36"/>
        </w:rPr>
      </w:pPr>
      <w:r>
        <w:br w:type="page"/>
      </w:r>
    </w:p>
    <w:p w14:paraId="417B6392" w14:textId="437972F8" w:rsidR="00504942" w:rsidRPr="009F43F9" w:rsidRDefault="003507F5" w:rsidP="00504942">
      <w:pPr>
        <w:pStyle w:val="TSSC"/>
        <w:numPr>
          <w:ilvl w:val="0"/>
          <w:numId w:val="0"/>
        </w:numPr>
        <w:tabs>
          <w:tab w:val="clear" w:pos="567"/>
          <w:tab w:val="left" w:pos="720"/>
        </w:tabs>
        <w:ind w:left="1560" w:hanging="1560"/>
        <w:rPr>
          <w:rFonts w:ascii="Arial" w:hAnsi="Arial" w:cs="Arial"/>
          <w:b/>
          <w:szCs w:val="24"/>
          <w:u w:val="single"/>
        </w:rPr>
      </w:pPr>
      <w:r>
        <w:lastRenderedPageBreak/>
        <w:softHyphen/>
      </w:r>
      <w:r w:rsidR="00504942" w:rsidRPr="00504942">
        <w:rPr>
          <w:rFonts w:ascii="Arial" w:hAnsi="Arial" w:cs="Arial"/>
          <w:b/>
          <w:szCs w:val="24"/>
          <w:u w:val="single"/>
        </w:rPr>
        <w:t xml:space="preserve"> </w:t>
      </w:r>
      <w:r w:rsidR="00504942" w:rsidRPr="009F43F9">
        <w:rPr>
          <w:rFonts w:ascii="Arial" w:hAnsi="Arial" w:cs="Arial"/>
          <w:b/>
          <w:szCs w:val="24"/>
          <w:u w:val="single"/>
        </w:rPr>
        <w:t xml:space="preserve">CONSULTATION QUESTIONS FOR </w:t>
      </w:r>
      <w:r w:rsidR="00504942" w:rsidRPr="00513057">
        <w:rPr>
          <w:rFonts w:ascii="Arial" w:hAnsi="Arial" w:cs="Arial"/>
          <w:b/>
          <w:i/>
          <w:iCs/>
          <w:szCs w:val="24"/>
          <w:u w:val="single"/>
        </w:rPr>
        <w:t xml:space="preserve">Acacia </w:t>
      </w:r>
      <w:proofErr w:type="spellStart"/>
      <w:r w:rsidR="00504942" w:rsidRPr="00513057">
        <w:rPr>
          <w:rFonts w:ascii="Arial" w:hAnsi="Arial" w:cs="Arial"/>
          <w:b/>
          <w:i/>
          <w:iCs/>
          <w:szCs w:val="24"/>
          <w:u w:val="single"/>
        </w:rPr>
        <w:t>constablei</w:t>
      </w:r>
      <w:proofErr w:type="spellEnd"/>
      <w:r w:rsidR="00504942" w:rsidRPr="00513057">
        <w:rPr>
          <w:rFonts w:ascii="Arial" w:hAnsi="Arial" w:cs="Arial"/>
          <w:b/>
          <w:szCs w:val="24"/>
          <w:u w:val="single"/>
        </w:rPr>
        <w:t xml:space="preserve"> (</w:t>
      </w:r>
      <w:proofErr w:type="spellStart"/>
      <w:r w:rsidR="00504942" w:rsidRPr="00513057">
        <w:rPr>
          <w:rFonts w:ascii="Arial" w:hAnsi="Arial" w:cs="Arial"/>
          <w:b/>
          <w:szCs w:val="24"/>
          <w:u w:val="single"/>
        </w:rPr>
        <w:t>Narrabarba</w:t>
      </w:r>
      <w:proofErr w:type="spellEnd"/>
      <w:r w:rsidR="00504942" w:rsidRPr="00513057">
        <w:rPr>
          <w:rFonts w:ascii="Arial" w:hAnsi="Arial" w:cs="Arial"/>
          <w:b/>
          <w:szCs w:val="24"/>
          <w:u w:val="single"/>
        </w:rPr>
        <w:t xml:space="preserve"> wattle)</w:t>
      </w:r>
    </w:p>
    <w:p w14:paraId="35A7BC38" w14:textId="77777777" w:rsidR="00504942" w:rsidRPr="009F43F9" w:rsidRDefault="00504942" w:rsidP="00504942">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7EEC848F"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Is the information used to assess the nationally threatened status of the species robust? Have all the underlying assumptions been made explicit? Please provide justification for your response.</w:t>
      </w:r>
    </w:p>
    <w:p w14:paraId="52A66872" w14:textId="77777777" w:rsidR="00504942" w:rsidRDefault="00504942" w:rsidP="00504942">
      <w:pPr>
        <w:pStyle w:val="ListParagraph"/>
        <w:autoSpaceDE w:val="0"/>
        <w:autoSpaceDN w:val="0"/>
        <w:adjustRightInd w:val="0"/>
        <w:ind w:left="360"/>
        <w:rPr>
          <w:rFonts w:ascii="Arial" w:hAnsi="Arial" w:cs="Arial"/>
        </w:rPr>
      </w:pPr>
    </w:p>
    <w:p w14:paraId="5501B90D"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this assessment?</w:t>
      </w:r>
    </w:p>
    <w:p w14:paraId="3E25072F" w14:textId="77777777" w:rsidR="00504942" w:rsidRDefault="00504942" w:rsidP="00504942">
      <w:pPr>
        <w:pStyle w:val="ListParagraph"/>
        <w:autoSpaceDE w:val="0"/>
        <w:autoSpaceDN w:val="0"/>
        <w:adjustRightInd w:val="0"/>
        <w:ind w:left="360"/>
        <w:rPr>
          <w:rFonts w:ascii="Arial" w:hAnsi="Arial" w:cs="Arial"/>
        </w:rPr>
      </w:pPr>
    </w:p>
    <w:p w14:paraId="2D915949"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Have you been involved in previous state, </w:t>
      </w:r>
      <w:proofErr w:type="gramStart"/>
      <w:r>
        <w:rPr>
          <w:rFonts w:ascii="Arial" w:hAnsi="Arial" w:cs="Arial"/>
        </w:rPr>
        <w:t>territory</w:t>
      </w:r>
      <w:proofErr w:type="gramEnd"/>
      <w:r>
        <w:rPr>
          <w:rFonts w:ascii="Arial" w:hAnsi="Arial" w:cs="Arial"/>
        </w:rPr>
        <w:t xml:space="preserve"> or national assessments of this species? If so, in what capacity?</w:t>
      </w:r>
    </w:p>
    <w:p w14:paraId="3C1B1CBD" w14:textId="77777777" w:rsidR="00504942" w:rsidRDefault="00504942" w:rsidP="00504942">
      <w:pPr>
        <w:autoSpaceDE w:val="0"/>
        <w:autoSpaceDN w:val="0"/>
        <w:adjustRightInd w:val="0"/>
        <w:rPr>
          <w:rFonts w:ascii="Arial" w:hAnsi="Arial" w:cs="Arial"/>
        </w:rPr>
      </w:pPr>
    </w:p>
    <w:p w14:paraId="772A429E" w14:textId="77777777" w:rsidR="00504942" w:rsidRDefault="00504942" w:rsidP="00504942">
      <w:pPr>
        <w:shd w:val="clear" w:color="auto" w:fill="D9D9D9" w:themeFill="background1" w:themeFillShade="D9"/>
        <w:autoSpaceDE w:val="0"/>
        <w:autoSpaceDN w:val="0"/>
        <w:adjustRightInd w:val="0"/>
        <w:jc w:val="center"/>
        <w:rPr>
          <w:rFonts w:ascii="Arial" w:hAnsi="Arial" w:cs="Arial"/>
          <w:b/>
        </w:rPr>
      </w:pPr>
    </w:p>
    <w:p w14:paraId="2B4A9DF0" w14:textId="77777777" w:rsidR="00504942" w:rsidRDefault="00504942" w:rsidP="00504942">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6899C173" w14:textId="77777777" w:rsidR="00504942" w:rsidRDefault="00504942" w:rsidP="00504942">
      <w:pPr>
        <w:shd w:val="clear" w:color="auto" w:fill="D9D9D9" w:themeFill="background1" w:themeFillShade="D9"/>
        <w:autoSpaceDE w:val="0"/>
        <w:autoSpaceDN w:val="0"/>
        <w:adjustRightInd w:val="0"/>
        <w:jc w:val="center"/>
        <w:rPr>
          <w:rFonts w:ascii="Arial" w:hAnsi="Arial" w:cs="Arial"/>
          <w:b/>
        </w:rPr>
      </w:pPr>
    </w:p>
    <w:p w14:paraId="6D9F3AA2" w14:textId="77777777" w:rsidR="00504942" w:rsidRDefault="00504942" w:rsidP="00504942">
      <w:pPr>
        <w:autoSpaceDE w:val="0"/>
        <w:autoSpaceDN w:val="0"/>
        <w:adjustRightInd w:val="0"/>
        <w:rPr>
          <w:rFonts w:ascii="Arial" w:hAnsi="Arial" w:cs="Arial"/>
        </w:rPr>
      </w:pPr>
    </w:p>
    <w:p w14:paraId="10993B3C" w14:textId="77777777" w:rsidR="00504942" w:rsidRDefault="00504942" w:rsidP="00504942">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 (If no, skip to section C)</w:t>
      </w:r>
    </w:p>
    <w:p w14:paraId="6182334D" w14:textId="77777777" w:rsidR="00504942" w:rsidRDefault="00504942" w:rsidP="00504942">
      <w:pPr>
        <w:autoSpaceDE w:val="0"/>
        <w:autoSpaceDN w:val="0"/>
        <w:adjustRightInd w:val="0"/>
        <w:ind w:left="1560" w:hanging="1560"/>
        <w:rPr>
          <w:rFonts w:ascii="Arial" w:hAnsi="Arial" w:cs="Arial"/>
          <w:b/>
        </w:rPr>
      </w:pPr>
    </w:p>
    <w:p w14:paraId="5AF70E40" w14:textId="77777777" w:rsidR="00504942" w:rsidRDefault="00504942" w:rsidP="00504942">
      <w:pPr>
        <w:autoSpaceDE w:val="0"/>
        <w:autoSpaceDN w:val="0"/>
        <w:adjustRightInd w:val="0"/>
        <w:rPr>
          <w:rFonts w:ascii="Arial" w:hAnsi="Arial" w:cs="Arial"/>
          <w:b/>
          <w:bCs/>
        </w:rPr>
      </w:pPr>
      <w:r>
        <w:rPr>
          <w:rFonts w:ascii="Arial" w:hAnsi="Arial" w:cs="Arial"/>
          <w:b/>
          <w:bCs/>
        </w:rPr>
        <w:t>Biological information</w:t>
      </w:r>
    </w:p>
    <w:p w14:paraId="52EAA210" w14:textId="77777777" w:rsidR="00504942" w:rsidRDefault="00504942" w:rsidP="00504942">
      <w:pPr>
        <w:autoSpaceDE w:val="0"/>
        <w:autoSpaceDN w:val="0"/>
        <w:adjustRightInd w:val="0"/>
        <w:rPr>
          <w:rFonts w:ascii="Arial" w:hAnsi="Arial" w:cs="Arial"/>
          <w:b/>
          <w:bCs/>
        </w:rPr>
      </w:pPr>
    </w:p>
    <w:p w14:paraId="0E582079"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Can you provide any additional or alternative references, information or estimates on longevity, average life span and generation length?</w:t>
      </w:r>
    </w:p>
    <w:p w14:paraId="65E28192" w14:textId="77777777" w:rsidR="00504942" w:rsidRDefault="00504942" w:rsidP="00504942">
      <w:pPr>
        <w:pStyle w:val="ListParagraph"/>
        <w:autoSpaceDE w:val="0"/>
        <w:autoSpaceDN w:val="0"/>
        <w:adjustRightInd w:val="0"/>
        <w:ind w:left="360"/>
        <w:rPr>
          <w:rFonts w:ascii="Arial" w:hAnsi="Arial" w:cs="Arial"/>
        </w:rPr>
      </w:pPr>
    </w:p>
    <w:p w14:paraId="3D91A00C"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Do you have any additional information on the ecology or biology of the species not in the current advice?</w:t>
      </w:r>
    </w:p>
    <w:p w14:paraId="16B5B651" w14:textId="77777777" w:rsidR="00504942" w:rsidRDefault="00504942" w:rsidP="00504942">
      <w:pPr>
        <w:autoSpaceDE w:val="0"/>
        <w:autoSpaceDN w:val="0"/>
        <w:adjustRightInd w:val="0"/>
        <w:rPr>
          <w:rFonts w:ascii="Arial" w:hAnsi="Arial" w:cs="Arial"/>
        </w:rPr>
      </w:pPr>
    </w:p>
    <w:p w14:paraId="541FFF9E" w14:textId="77777777" w:rsidR="00504942" w:rsidRDefault="00504942" w:rsidP="00504942">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 (If no, skip to section D)</w:t>
      </w:r>
    </w:p>
    <w:p w14:paraId="6A9E2118" w14:textId="77777777" w:rsidR="00504942" w:rsidRDefault="00504942" w:rsidP="00504942">
      <w:pPr>
        <w:autoSpaceDE w:val="0"/>
        <w:autoSpaceDN w:val="0"/>
        <w:adjustRightInd w:val="0"/>
        <w:rPr>
          <w:rFonts w:ascii="Arial" w:hAnsi="Arial" w:cs="Arial"/>
        </w:rPr>
      </w:pPr>
    </w:p>
    <w:p w14:paraId="4F68879C" w14:textId="77777777" w:rsidR="00504942" w:rsidRDefault="00504942" w:rsidP="00504942">
      <w:pPr>
        <w:autoSpaceDE w:val="0"/>
        <w:autoSpaceDN w:val="0"/>
        <w:adjustRightInd w:val="0"/>
        <w:rPr>
          <w:rFonts w:ascii="Arial,Bold" w:hAnsi="Arial,Bold" w:cs="Arial,Bold"/>
          <w:b/>
          <w:bCs/>
        </w:rPr>
      </w:pPr>
      <w:r>
        <w:rPr>
          <w:rFonts w:ascii="Arial,Bold" w:hAnsi="Arial,Bold" w:cs="Arial,Bold"/>
          <w:b/>
          <w:bCs/>
        </w:rPr>
        <w:t>Population size</w:t>
      </w:r>
    </w:p>
    <w:p w14:paraId="7827491B" w14:textId="77777777" w:rsidR="00504942" w:rsidRDefault="00504942" w:rsidP="00504942">
      <w:pPr>
        <w:autoSpaceDE w:val="0"/>
        <w:autoSpaceDN w:val="0"/>
        <w:adjustRightInd w:val="0"/>
        <w:rPr>
          <w:rFonts w:ascii="Arial,Bold" w:hAnsi="Arial,Bold" w:cs="Arial,Bold"/>
          <w:b/>
          <w:bCs/>
        </w:rPr>
      </w:pPr>
    </w:p>
    <w:p w14:paraId="162C7E0F"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Has the survey effort for this taxon been adequate to determine its national adult population size? If not, please provide justification for your response.</w:t>
      </w:r>
    </w:p>
    <w:p w14:paraId="43ECB2A2" w14:textId="77777777" w:rsidR="00504942" w:rsidRDefault="00504942" w:rsidP="00504942">
      <w:pPr>
        <w:pStyle w:val="ListParagraph"/>
        <w:autoSpaceDE w:val="0"/>
        <w:autoSpaceDN w:val="0"/>
        <w:adjustRightInd w:val="0"/>
        <w:ind w:left="360"/>
        <w:rPr>
          <w:rFonts w:ascii="Arial" w:hAnsi="Arial" w:cs="Arial"/>
        </w:rPr>
      </w:pPr>
    </w:p>
    <w:p w14:paraId="6A8DB8A1"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 If not, please provide justification for your response.</w:t>
      </w:r>
    </w:p>
    <w:p w14:paraId="59F0F924" w14:textId="77777777" w:rsidR="00504942" w:rsidRDefault="00504942" w:rsidP="00504942">
      <w:pPr>
        <w:pStyle w:val="ListParagraph"/>
        <w:autoSpaceDE w:val="0"/>
        <w:autoSpaceDN w:val="0"/>
        <w:adjustRightInd w:val="0"/>
        <w:ind w:left="360"/>
        <w:rPr>
          <w:rFonts w:ascii="Arial" w:hAnsi="Arial" w:cs="Arial"/>
        </w:rPr>
      </w:pPr>
    </w:p>
    <w:p w14:paraId="0C92AF33"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lastRenderedPageBreak/>
        <w:t>If not, can you provide a further estimate of the current population size of mature adults of the species (national extent)? Please provide supporting justification or other information.</w:t>
      </w:r>
    </w:p>
    <w:p w14:paraId="7257F830" w14:textId="77777777" w:rsidR="00504942" w:rsidRDefault="00504942" w:rsidP="00504942">
      <w:pPr>
        <w:pStyle w:val="ListParagraph"/>
        <w:autoSpaceDE w:val="0"/>
        <w:autoSpaceDN w:val="0"/>
        <w:adjustRightInd w:val="0"/>
        <w:ind w:left="360"/>
        <w:rPr>
          <w:rFonts w:ascii="Arial" w:hAnsi="Arial" w:cs="Arial"/>
        </w:rPr>
      </w:pPr>
    </w:p>
    <w:p w14:paraId="33D94046"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30839A91" w14:textId="77777777" w:rsidR="00504942" w:rsidRDefault="00504942" w:rsidP="00504942">
      <w:pPr>
        <w:autoSpaceDE w:val="0"/>
        <w:autoSpaceDN w:val="0"/>
        <w:adjustRightInd w:val="0"/>
        <w:ind w:left="1560" w:hanging="1560"/>
        <w:rPr>
          <w:rFonts w:ascii="Arial" w:hAnsi="Arial" w:cs="Arial"/>
          <w:b/>
        </w:rPr>
      </w:pPr>
    </w:p>
    <w:p w14:paraId="43CD7E0C"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3D69763D" w14:textId="77777777" w:rsidR="00504942" w:rsidRPr="00E953DB" w:rsidRDefault="00504942" w:rsidP="00504942">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1–50 </w:t>
      </w:r>
      <w:r>
        <w:rPr>
          <w:rFonts w:ascii="Arial" w:hAnsi="Arial" w:cs="Arial"/>
          <w:sz w:val="44"/>
          <w:szCs w:val="44"/>
        </w:rPr>
        <w:t>□</w:t>
      </w:r>
      <w:r>
        <w:rPr>
          <w:rFonts w:ascii="Arial" w:hAnsi="Arial" w:cs="Arial"/>
        </w:rPr>
        <w:t xml:space="preserve"> 51–250 </w:t>
      </w:r>
      <w:r>
        <w:rPr>
          <w:rFonts w:ascii="Arial" w:hAnsi="Arial" w:cs="Arial"/>
          <w:sz w:val="44"/>
          <w:szCs w:val="44"/>
        </w:rPr>
        <w:t>□</w:t>
      </w:r>
      <w:r>
        <w:rPr>
          <w:rFonts w:ascii="Arial" w:hAnsi="Arial" w:cs="Arial"/>
        </w:rPr>
        <w:t xml:space="preserve"> 251–1000</w:t>
      </w:r>
      <w:r>
        <w:rPr>
          <w:rFonts w:ascii="Arial" w:hAnsi="Arial" w:cs="Arial"/>
          <w:sz w:val="44"/>
          <w:szCs w:val="44"/>
        </w:rPr>
        <w:t xml:space="preserve"> □ </w:t>
      </w:r>
      <w:r>
        <w:rPr>
          <w:rFonts w:ascii="Arial" w:hAnsi="Arial" w:cs="Arial"/>
        </w:rPr>
        <w:t xml:space="preserve">&gt;1000 </w:t>
      </w:r>
    </w:p>
    <w:p w14:paraId="11E9E0DF" w14:textId="77777777" w:rsidR="00504942" w:rsidRDefault="00504942" w:rsidP="00504942">
      <w:pPr>
        <w:pStyle w:val="ListParagraph"/>
        <w:autoSpaceDE w:val="0"/>
        <w:autoSpaceDN w:val="0"/>
        <w:adjustRightInd w:val="0"/>
        <w:ind w:left="360"/>
        <w:rPr>
          <w:rFonts w:ascii="Arial" w:hAnsi="Arial" w:cs="Arial"/>
        </w:rPr>
      </w:pPr>
    </w:p>
    <w:p w14:paraId="54649544"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31BF2BC5"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0DFEE4C9"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69B99B0"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1A639DED"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95–100% - high level of certainty, information indicates quantity within this range</w:t>
      </w:r>
    </w:p>
    <w:p w14:paraId="7AAE4E48"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99–100% - very high level of certainty, data are accurate within this range</w:t>
      </w:r>
    </w:p>
    <w:p w14:paraId="0BFE2169" w14:textId="77777777" w:rsidR="00504942" w:rsidRDefault="00504942" w:rsidP="00504942">
      <w:pPr>
        <w:autoSpaceDE w:val="0"/>
        <w:autoSpaceDN w:val="0"/>
        <w:adjustRightInd w:val="0"/>
        <w:rPr>
          <w:rFonts w:ascii="Arial" w:hAnsi="Arial" w:cs="Arial"/>
        </w:rPr>
      </w:pPr>
    </w:p>
    <w:p w14:paraId="2F54795C" w14:textId="77777777" w:rsidR="00504942" w:rsidRDefault="00504942" w:rsidP="00504942">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 (If no, skip to section E)</w:t>
      </w:r>
    </w:p>
    <w:p w14:paraId="56C08B72" w14:textId="77777777" w:rsidR="00504942" w:rsidRDefault="00504942" w:rsidP="00504942">
      <w:pPr>
        <w:autoSpaceDE w:val="0"/>
        <w:autoSpaceDN w:val="0"/>
        <w:adjustRightInd w:val="0"/>
        <w:ind w:left="1560" w:hanging="1560"/>
        <w:rPr>
          <w:rFonts w:ascii="Arial" w:hAnsi="Arial" w:cs="Arial"/>
          <w:b/>
        </w:rPr>
      </w:pPr>
    </w:p>
    <w:p w14:paraId="33B28A21"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Does the current and predicted rate of decline used in the assessment seem reasonable? Do you consider that the way this estimate has been derived is appropriate? If not, please provide justification of your response.</w:t>
      </w:r>
    </w:p>
    <w:p w14:paraId="6369D52D" w14:textId="77777777" w:rsidR="00504942" w:rsidRDefault="00504942" w:rsidP="00504942">
      <w:pPr>
        <w:pStyle w:val="ListParagraph"/>
        <w:autoSpaceDE w:val="0"/>
        <w:autoSpaceDN w:val="0"/>
        <w:adjustRightInd w:val="0"/>
        <w:ind w:left="360"/>
        <w:rPr>
          <w:rFonts w:ascii="Arial" w:hAnsi="Arial" w:cs="Arial"/>
        </w:rPr>
      </w:pPr>
    </w:p>
    <w:p w14:paraId="6E23FA3C" w14:textId="77777777" w:rsidR="00504942" w:rsidRDefault="00504942" w:rsidP="00504942">
      <w:pPr>
        <w:autoSpaceDE w:val="0"/>
        <w:autoSpaceDN w:val="0"/>
        <w:adjustRightInd w:val="0"/>
        <w:rPr>
          <w:rFonts w:ascii="Arial" w:hAnsi="Arial" w:cs="Arial"/>
        </w:rPr>
      </w:pPr>
      <w:r>
        <w:rPr>
          <w:rFonts w:ascii="Arial,Bold" w:hAnsi="Arial,Bold" w:cs="Arial,Bold"/>
          <w:b/>
          <w:bCs/>
        </w:rPr>
        <w:t>Evidence of total population size change</w:t>
      </w:r>
    </w:p>
    <w:p w14:paraId="7543B64C" w14:textId="77777777" w:rsidR="00504942" w:rsidRDefault="00504942" w:rsidP="00504942">
      <w:pPr>
        <w:autoSpaceDE w:val="0"/>
        <w:autoSpaceDN w:val="0"/>
        <w:adjustRightInd w:val="0"/>
        <w:rPr>
          <w:rFonts w:ascii="Arial,Bold" w:hAnsi="Arial,Bold" w:cs="Arial,Bold"/>
          <w:b/>
          <w:bCs/>
        </w:rPr>
      </w:pPr>
    </w:p>
    <w:p w14:paraId="41B56E08" w14:textId="77777777" w:rsidR="00504942" w:rsidRDefault="00504942" w:rsidP="00504942">
      <w:pPr>
        <w:pStyle w:val="ListParagraph"/>
        <w:numPr>
          <w:ilvl w:val="0"/>
          <w:numId w:val="18"/>
        </w:numPr>
        <w:autoSpaceDE w:val="0"/>
        <w:autoSpaceDN w:val="0"/>
        <w:adjustRightInd w:val="0"/>
        <w:spacing w:after="0" w:line="240" w:lineRule="auto"/>
        <w:rPr>
          <w:rFonts w:ascii="Arial,Italic" w:hAnsi="Arial,Italic" w:cs="Arial,Italic"/>
          <w:i/>
          <w:iCs/>
        </w:rPr>
      </w:pPr>
      <w:r>
        <w:rPr>
          <w:rFonts w:ascii="Arial" w:hAnsi="Arial" w:cs="Arial"/>
        </w:rPr>
        <w:t>Are you able to provide an estimate of the total population size? Please provide justification for your response.</w:t>
      </w:r>
    </w:p>
    <w:p w14:paraId="684AFC73" w14:textId="77777777" w:rsidR="00504942" w:rsidRDefault="00504942" w:rsidP="00504942">
      <w:pPr>
        <w:pStyle w:val="ListParagraph"/>
        <w:autoSpaceDE w:val="0"/>
        <w:autoSpaceDN w:val="0"/>
        <w:adjustRightInd w:val="0"/>
        <w:ind w:left="360"/>
        <w:rPr>
          <w:rFonts w:ascii="Arial,Italic" w:hAnsi="Arial,Italic" w:cs="Arial,Italic"/>
          <w:i/>
          <w:iCs/>
        </w:rPr>
      </w:pPr>
    </w:p>
    <w:p w14:paraId="1FC3B5ED"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3226F906" w14:textId="77777777" w:rsidR="00504942" w:rsidRDefault="00504942" w:rsidP="00504942">
      <w:pPr>
        <w:pStyle w:val="ListParagraph"/>
        <w:autoSpaceDE w:val="0"/>
        <w:autoSpaceDN w:val="0"/>
        <w:adjustRightInd w:val="0"/>
        <w:ind w:left="360"/>
        <w:rPr>
          <w:rFonts w:ascii="Arial" w:hAnsi="Arial" w:cs="Arial"/>
        </w:rPr>
      </w:pPr>
    </w:p>
    <w:p w14:paraId="1C2C304D"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6645BAA2"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1–50 </w:t>
      </w:r>
      <w:r>
        <w:rPr>
          <w:rFonts w:ascii="Arial" w:hAnsi="Arial" w:cs="Arial"/>
          <w:sz w:val="44"/>
          <w:szCs w:val="44"/>
        </w:rPr>
        <w:t>□</w:t>
      </w:r>
      <w:r>
        <w:rPr>
          <w:rFonts w:ascii="Arial" w:hAnsi="Arial" w:cs="Arial"/>
        </w:rPr>
        <w:t xml:space="preserve"> 51–250 </w:t>
      </w:r>
      <w:r>
        <w:rPr>
          <w:rFonts w:ascii="Arial" w:hAnsi="Arial" w:cs="Arial"/>
          <w:sz w:val="44"/>
          <w:szCs w:val="44"/>
        </w:rPr>
        <w:t>□</w:t>
      </w:r>
      <w:r>
        <w:rPr>
          <w:rFonts w:ascii="Arial" w:hAnsi="Arial" w:cs="Arial"/>
        </w:rPr>
        <w:t xml:space="preserve"> 251–1000 </w:t>
      </w:r>
      <w:r>
        <w:rPr>
          <w:rFonts w:ascii="Arial" w:hAnsi="Arial" w:cs="Arial"/>
          <w:sz w:val="44"/>
          <w:szCs w:val="44"/>
        </w:rPr>
        <w:t>□</w:t>
      </w:r>
      <w:r>
        <w:rPr>
          <w:rFonts w:ascii="Arial" w:hAnsi="Arial" w:cs="Arial"/>
        </w:rPr>
        <w:t xml:space="preserve"> &gt;1000 </w:t>
      </w:r>
    </w:p>
    <w:p w14:paraId="1C15CFB1" w14:textId="77777777" w:rsidR="00504942" w:rsidRDefault="00504942" w:rsidP="00504942">
      <w:pPr>
        <w:pStyle w:val="ListParagraph"/>
        <w:autoSpaceDE w:val="0"/>
        <w:autoSpaceDN w:val="0"/>
        <w:adjustRightInd w:val="0"/>
        <w:ind w:left="360"/>
        <w:rPr>
          <w:rFonts w:ascii="Arial" w:hAnsi="Arial" w:cs="Arial"/>
        </w:rPr>
      </w:pPr>
    </w:p>
    <w:p w14:paraId="0BCD6FED"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634B9A88"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66743F87"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4B5FC02"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249183AA"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quantity within this range</w:t>
      </w:r>
    </w:p>
    <w:p w14:paraId="7D74C74D"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040EDE2C" w14:textId="77777777" w:rsidR="00504942" w:rsidRDefault="00504942" w:rsidP="00504942">
      <w:pPr>
        <w:autoSpaceDE w:val="0"/>
        <w:autoSpaceDN w:val="0"/>
        <w:adjustRightInd w:val="0"/>
        <w:rPr>
          <w:rFonts w:ascii="Arial,Italic" w:hAnsi="Arial,Italic" w:cs="Arial,Italic"/>
          <w:i/>
          <w:iCs/>
        </w:rPr>
      </w:pPr>
    </w:p>
    <w:p w14:paraId="496DE193" w14:textId="0CA3BE1F"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sidRPr="398C7071">
        <w:rPr>
          <w:rFonts w:ascii="Arial" w:hAnsi="Arial" w:cs="Arial"/>
        </w:rPr>
        <w:t>Are you able to comment on the extent of decline in the species total population si</w:t>
      </w:r>
      <w:r>
        <w:rPr>
          <w:rFonts w:ascii="Arial" w:hAnsi="Arial" w:cs="Arial"/>
        </w:rPr>
        <w:t xml:space="preserve">ze over the last approximately </w:t>
      </w:r>
      <w:r w:rsidR="0076539A">
        <w:rPr>
          <w:rFonts w:ascii="Arial" w:hAnsi="Arial" w:cs="Arial"/>
        </w:rPr>
        <w:t>63</w:t>
      </w:r>
      <w:r w:rsidRPr="398C7071">
        <w:rPr>
          <w:rFonts w:ascii="Arial" w:hAnsi="Arial" w:cs="Arial"/>
        </w:rPr>
        <w:t xml:space="preserve"> years (</w:t>
      </w:r>
      <w:proofErr w:type="gramStart"/>
      <w:r w:rsidRPr="398C7071">
        <w:rPr>
          <w:rFonts w:ascii="Arial" w:hAnsi="Arial" w:cs="Arial"/>
        </w:rPr>
        <w:t>i.e.</w:t>
      </w:r>
      <w:proofErr w:type="gramEnd"/>
      <w:r w:rsidRPr="398C7071">
        <w:rPr>
          <w:rFonts w:ascii="Arial" w:hAnsi="Arial" w:cs="Arial"/>
        </w:rPr>
        <w:t xml:space="preserve"> three generations)? Please provide justification for your response.</w:t>
      </w:r>
    </w:p>
    <w:p w14:paraId="1773A8F5" w14:textId="77777777" w:rsidR="00504942" w:rsidRPr="00C77247" w:rsidRDefault="00504942" w:rsidP="00504942">
      <w:pPr>
        <w:autoSpaceDE w:val="0"/>
        <w:autoSpaceDN w:val="0"/>
        <w:adjustRightInd w:val="0"/>
        <w:rPr>
          <w:rFonts w:ascii="Arial" w:hAnsi="Arial" w:cs="Arial"/>
        </w:rPr>
      </w:pPr>
    </w:p>
    <w:p w14:paraId="4B258FB4" w14:textId="77777777" w:rsidR="00504942" w:rsidRDefault="00504942" w:rsidP="00504942">
      <w:pPr>
        <w:autoSpaceDE w:val="0"/>
        <w:autoSpaceDN w:val="0"/>
        <w:adjustRightInd w:val="0"/>
        <w:ind w:left="360"/>
        <w:rPr>
          <w:rFonts w:ascii="Arial" w:hAnsi="Arial" w:cs="Arial"/>
        </w:rPr>
      </w:pPr>
      <w:r>
        <w:rPr>
          <w:rFonts w:ascii="Arial"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7B06B7EA" w14:textId="77777777" w:rsidR="00504942" w:rsidRDefault="00504942" w:rsidP="00504942">
      <w:pPr>
        <w:autoSpaceDE w:val="0"/>
        <w:autoSpaceDN w:val="0"/>
        <w:adjustRightInd w:val="0"/>
        <w:ind w:left="360"/>
        <w:rPr>
          <w:rFonts w:ascii="Arial" w:hAnsi="Arial" w:cs="Arial"/>
        </w:rPr>
      </w:pPr>
    </w:p>
    <w:p w14:paraId="4BCA8FCE" w14:textId="77777777" w:rsidR="00504942" w:rsidRDefault="00504942" w:rsidP="00504942">
      <w:pPr>
        <w:autoSpaceDE w:val="0"/>
        <w:autoSpaceDN w:val="0"/>
        <w:adjustRightInd w:val="0"/>
        <w:ind w:left="360"/>
        <w:rPr>
          <w:rFonts w:ascii="Arial" w:hAnsi="Arial" w:cs="Arial"/>
        </w:rPr>
      </w:pPr>
      <w:r>
        <w:rPr>
          <w:rFonts w:ascii="Arial" w:hAnsi="Arial" w:cs="Arial"/>
        </w:rPr>
        <w:t>Decline estimated to be in the range of:</w:t>
      </w:r>
    </w:p>
    <w:p w14:paraId="34FBBF28" w14:textId="77777777" w:rsidR="00504942" w:rsidRDefault="00504942" w:rsidP="0050494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38E13BE5" w14:textId="77777777" w:rsidR="00504942" w:rsidRDefault="00504942" w:rsidP="00504942">
      <w:pPr>
        <w:autoSpaceDE w:val="0"/>
        <w:autoSpaceDN w:val="0"/>
        <w:adjustRightInd w:val="0"/>
        <w:ind w:left="360"/>
        <w:rPr>
          <w:rFonts w:ascii="Arial" w:hAnsi="Arial" w:cs="Arial"/>
        </w:rPr>
      </w:pPr>
    </w:p>
    <w:p w14:paraId="33C39C48" w14:textId="77777777" w:rsidR="00504942" w:rsidRDefault="00504942" w:rsidP="00504942">
      <w:pPr>
        <w:autoSpaceDE w:val="0"/>
        <w:autoSpaceDN w:val="0"/>
        <w:adjustRightInd w:val="0"/>
        <w:ind w:left="360"/>
        <w:rPr>
          <w:rFonts w:ascii="Arial" w:hAnsi="Arial" w:cs="Arial"/>
        </w:rPr>
      </w:pPr>
      <w:r>
        <w:rPr>
          <w:rFonts w:ascii="Arial" w:hAnsi="Arial" w:cs="Arial"/>
        </w:rPr>
        <w:t>Level of your confidence in this estimated decline:</w:t>
      </w:r>
    </w:p>
    <w:p w14:paraId="724F32B2" w14:textId="77777777" w:rsidR="00504942" w:rsidRDefault="00504942" w:rsidP="0050494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6358CDE0" w14:textId="77777777" w:rsidR="00504942" w:rsidRDefault="00504942" w:rsidP="0050494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60DEE3EA" w14:textId="77777777" w:rsidR="00504942" w:rsidRDefault="00504942" w:rsidP="0050494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61DA642B" w14:textId="77777777" w:rsidR="00504942" w:rsidRDefault="00504942" w:rsidP="0050494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1241AF7F" w14:textId="77777777" w:rsidR="00504942" w:rsidRDefault="00504942" w:rsidP="0050494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7CF667DC" w14:textId="77777777" w:rsidR="00504942" w:rsidRDefault="00504942" w:rsidP="00504942">
      <w:pPr>
        <w:autoSpaceDE w:val="0"/>
        <w:autoSpaceDN w:val="0"/>
        <w:adjustRightInd w:val="0"/>
        <w:rPr>
          <w:rFonts w:ascii="Arial" w:hAnsi="Arial" w:cs="Arial"/>
        </w:rPr>
      </w:pPr>
    </w:p>
    <w:p w14:paraId="13FB6321"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Please provide (if known) any additional evidence which shows the population is stable, </w:t>
      </w:r>
      <w:proofErr w:type="gramStart"/>
      <w:r>
        <w:rPr>
          <w:rFonts w:ascii="Arial" w:hAnsi="Arial" w:cs="Arial"/>
        </w:rPr>
        <w:t>increasing</w:t>
      </w:r>
      <w:proofErr w:type="gramEnd"/>
      <w:r>
        <w:rPr>
          <w:rFonts w:ascii="Arial" w:hAnsi="Arial" w:cs="Arial"/>
        </w:rPr>
        <w:t xml:space="preserve"> or declining.</w:t>
      </w:r>
    </w:p>
    <w:p w14:paraId="2E169460" w14:textId="77777777" w:rsidR="00504942" w:rsidRDefault="00504942" w:rsidP="00504942">
      <w:pPr>
        <w:autoSpaceDE w:val="0"/>
        <w:autoSpaceDN w:val="0"/>
        <w:adjustRightInd w:val="0"/>
        <w:rPr>
          <w:rFonts w:ascii="Arial" w:hAnsi="Arial" w:cs="Arial"/>
        </w:rPr>
      </w:pPr>
    </w:p>
    <w:p w14:paraId="3346E0DF" w14:textId="77777777" w:rsidR="00504942" w:rsidRDefault="00504942" w:rsidP="00504942">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 (If no, skip to section F)</w:t>
      </w:r>
    </w:p>
    <w:p w14:paraId="412D951E" w14:textId="77777777" w:rsidR="00504942" w:rsidRDefault="00504942" w:rsidP="00504942">
      <w:pPr>
        <w:autoSpaceDE w:val="0"/>
        <w:autoSpaceDN w:val="0"/>
        <w:adjustRightInd w:val="0"/>
        <w:ind w:left="1560" w:hanging="1560"/>
        <w:rPr>
          <w:rFonts w:ascii="Arial" w:hAnsi="Arial" w:cs="Arial"/>
          <w:b/>
        </w:rPr>
      </w:pPr>
    </w:p>
    <w:p w14:paraId="0CBE6C07" w14:textId="77777777" w:rsidR="00504942" w:rsidRDefault="00504942" w:rsidP="00504942">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00431101" w14:textId="77777777" w:rsidR="00504942" w:rsidRDefault="00504942" w:rsidP="00504942">
      <w:pPr>
        <w:autoSpaceDE w:val="0"/>
        <w:autoSpaceDN w:val="0"/>
        <w:adjustRightInd w:val="0"/>
        <w:rPr>
          <w:rFonts w:ascii="Arial,Bold" w:hAnsi="Arial,Bold" w:cs="Arial,Bold"/>
          <w:b/>
          <w:bCs/>
        </w:rPr>
      </w:pPr>
    </w:p>
    <w:p w14:paraId="27EFF947"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species? If not, please provide justification for your response.</w:t>
      </w:r>
    </w:p>
    <w:p w14:paraId="3C3AEF30" w14:textId="77777777" w:rsidR="00504942" w:rsidRDefault="00504942" w:rsidP="00504942">
      <w:pPr>
        <w:pStyle w:val="ListParagraph"/>
        <w:autoSpaceDE w:val="0"/>
        <w:autoSpaceDN w:val="0"/>
        <w:adjustRightInd w:val="0"/>
        <w:ind w:left="360"/>
        <w:rPr>
          <w:rFonts w:ascii="Arial" w:hAnsi="Arial" w:cs="Arial"/>
        </w:rPr>
      </w:pPr>
    </w:p>
    <w:p w14:paraId="3BF6D6DC"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Has the survey effort for this species been adequate to determine its national distribution? If not, please provide justification for your response.</w:t>
      </w:r>
    </w:p>
    <w:p w14:paraId="079D8846" w14:textId="77777777" w:rsidR="00504942" w:rsidRDefault="00504942" w:rsidP="00504942">
      <w:pPr>
        <w:pStyle w:val="ListParagraph"/>
        <w:autoSpaceDE w:val="0"/>
        <w:autoSpaceDN w:val="0"/>
        <w:adjustRightInd w:val="0"/>
        <w:ind w:left="360"/>
        <w:rPr>
          <w:rFonts w:ascii="Arial" w:hAnsi="Arial" w:cs="Arial"/>
        </w:rPr>
      </w:pPr>
    </w:p>
    <w:p w14:paraId="41818A72"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Is the distribution described in the assessment accurate? If not, please provide justification for your response and provide alternate information.</w:t>
      </w:r>
    </w:p>
    <w:p w14:paraId="21A906EA" w14:textId="77777777" w:rsidR="00504942" w:rsidRDefault="00504942" w:rsidP="00504942">
      <w:pPr>
        <w:pStyle w:val="ListParagraph"/>
        <w:autoSpaceDE w:val="0"/>
        <w:autoSpaceDN w:val="0"/>
        <w:adjustRightInd w:val="0"/>
        <w:ind w:left="360"/>
        <w:rPr>
          <w:rFonts w:ascii="Arial" w:hAnsi="Arial" w:cs="Arial"/>
        </w:rPr>
      </w:pPr>
    </w:p>
    <w:p w14:paraId="6C7B0E21"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47DA00FF" w14:textId="77777777" w:rsidR="00504942" w:rsidRDefault="00504942" w:rsidP="00504942">
      <w:pPr>
        <w:pStyle w:val="ListParagraph"/>
        <w:autoSpaceDE w:val="0"/>
        <w:autoSpaceDN w:val="0"/>
        <w:adjustRightInd w:val="0"/>
        <w:ind w:left="360"/>
        <w:rPr>
          <w:rFonts w:ascii="Arial" w:hAnsi="Arial" w:cs="Arial"/>
        </w:rPr>
      </w:pPr>
    </w:p>
    <w:p w14:paraId="11651DF7"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extent of occurrence and/or area of occupancy? </w:t>
      </w:r>
    </w:p>
    <w:p w14:paraId="6F3B52B6" w14:textId="77777777" w:rsidR="00504942" w:rsidRDefault="00504942" w:rsidP="00504942">
      <w:pPr>
        <w:pStyle w:val="ListParagraph"/>
        <w:autoSpaceDE w:val="0"/>
        <w:autoSpaceDN w:val="0"/>
        <w:adjustRightInd w:val="0"/>
        <w:ind w:left="360"/>
        <w:rPr>
          <w:rFonts w:ascii="Arial" w:hAnsi="Arial" w:cs="Arial"/>
        </w:rPr>
      </w:pPr>
    </w:p>
    <w:p w14:paraId="51E102FB"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403C428E" w14:textId="77777777" w:rsidR="00504942" w:rsidRDefault="00504942" w:rsidP="00504942">
      <w:pPr>
        <w:autoSpaceDE w:val="0"/>
        <w:autoSpaceDN w:val="0"/>
        <w:adjustRightInd w:val="0"/>
        <w:rPr>
          <w:rFonts w:ascii="Arial" w:hAnsi="Arial" w:cs="Arial"/>
        </w:rPr>
      </w:pPr>
    </w:p>
    <w:p w14:paraId="62D22696" w14:textId="77777777" w:rsidR="00504942" w:rsidRDefault="00504942" w:rsidP="00504942">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331F4300" w14:textId="77777777" w:rsidR="00504942" w:rsidRDefault="00504942" w:rsidP="0050494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5 001 – 20 000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515A302A" w14:textId="77777777" w:rsidR="00504942" w:rsidRDefault="00504942" w:rsidP="00504942">
      <w:pPr>
        <w:autoSpaceDE w:val="0"/>
        <w:autoSpaceDN w:val="0"/>
        <w:adjustRightInd w:val="0"/>
        <w:rPr>
          <w:rFonts w:ascii="Arial" w:hAnsi="Arial" w:cs="Arial"/>
        </w:rPr>
      </w:pPr>
    </w:p>
    <w:p w14:paraId="0BF69AF2" w14:textId="77777777" w:rsidR="00504942" w:rsidRDefault="00504942" w:rsidP="00504942">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0EA2E7AB" w14:textId="77777777" w:rsidR="00504942" w:rsidRDefault="00504942" w:rsidP="00504942">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1A9E55FA" w14:textId="77777777" w:rsidR="00504942" w:rsidRDefault="00504942" w:rsidP="0050494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47551CE7" w14:textId="77777777" w:rsidR="00504942" w:rsidRDefault="00504942" w:rsidP="0050494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2742B5E4" w14:textId="77777777" w:rsidR="00504942" w:rsidRDefault="00504942" w:rsidP="00504942">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95–100% - high level of certainty, data indicates a decline within this range</w:t>
      </w:r>
    </w:p>
    <w:p w14:paraId="4548BBDA" w14:textId="77777777" w:rsidR="00504942" w:rsidRDefault="00504942" w:rsidP="00504942">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125B73BD" w14:textId="77777777" w:rsidR="00504942" w:rsidRDefault="00504942" w:rsidP="00504942">
      <w:pPr>
        <w:autoSpaceDE w:val="0"/>
        <w:autoSpaceDN w:val="0"/>
        <w:adjustRightInd w:val="0"/>
        <w:rPr>
          <w:rFonts w:ascii="Arial" w:hAnsi="Arial" w:cs="Arial"/>
        </w:rPr>
      </w:pPr>
    </w:p>
    <w:p w14:paraId="5973CF75" w14:textId="77777777" w:rsidR="00504942" w:rsidRDefault="00504942" w:rsidP="00504942">
      <w:pPr>
        <w:autoSpaceDE w:val="0"/>
        <w:autoSpaceDN w:val="0"/>
        <w:adjustRightInd w:val="0"/>
        <w:ind w:left="360"/>
        <w:rPr>
          <w:rFonts w:ascii="Arial" w:hAnsi="Arial" w:cs="Arial"/>
        </w:rPr>
      </w:pPr>
      <w:r>
        <w:rPr>
          <w:rFonts w:ascii="Arial"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4AEAA561" w14:textId="77777777" w:rsidR="00504942" w:rsidRDefault="00504942" w:rsidP="00504942">
      <w:pPr>
        <w:autoSpaceDE w:val="0"/>
        <w:autoSpaceDN w:val="0"/>
        <w:adjustRightInd w:val="0"/>
        <w:rPr>
          <w:rFonts w:ascii="Arial" w:hAnsi="Arial" w:cs="Arial"/>
        </w:rPr>
      </w:pPr>
    </w:p>
    <w:p w14:paraId="26D746F7" w14:textId="77777777" w:rsidR="00504942" w:rsidRDefault="00504942" w:rsidP="00504942">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2BCA4B92" w14:textId="77777777" w:rsidR="00504942" w:rsidRDefault="00504942" w:rsidP="0050494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501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0AC1F1B7" w14:textId="77777777" w:rsidR="00504942" w:rsidRDefault="00504942" w:rsidP="00504942">
      <w:pPr>
        <w:autoSpaceDE w:val="0"/>
        <w:autoSpaceDN w:val="0"/>
        <w:adjustRightInd w:val="0"/>
        <w:ind w:left="360"/>
        <w:rPr>
          <w:rFonts w:ascii="Arial" w:hAnsi="Arial" w:cs="Arial"/>
        </w:rPr>
      </w:pPr>
    </w:p>
    <w:p w14:paraId="4D62AC82" w14:textId="77777777" w:rsidR="00504942" w:rsidRDefault="00504942" w:rsidP="00504942">
      <w:pPr>
        <w:autoSpaceDE w:val="0"/>
        <w:autoSpaceDN w:val="0"/>
        <w:adjustRightInd w:val="0"/>
        <w:ind w:left="360"/>
        <w:rPr>
          <w:rFonts w:ascii="Arial" w:hAnsi="Arial" w:cs="Arial"/>
        </w:rPr>
      </w:pPr>
      <w:r>
        <w:rPr>
          <w:rFonts w:ascii="Arial" w:hAnsi="Arial" w:cs="Arial"/>
        </w:rPr>
        <w:t>Level of your confidence in this estimated extent of occurrence:</w:t>
      </w:r>
    </w:p>
    <w:p w14:paraId="5D80C573" w14:textId="77777777" w:rsidR="00504942" w:rsidRDefault="00504942" w:rsidP="0050494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3023BEE5" w14:textId="77777777" w:rsidR="00504942" w:rsidRDefault="00504942" w:rsidP="0050494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665F232B" w14:textId="77777777" w:rsidR="00504942" w:rsidRDefault="00504942" w:rsidP="0050494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6AD50980" w14:textId="77777777" w:rsidR="00504942" w:rsidRDefault="00504942" w:rsidP="0050494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09DA6E63" w14:textId="77777777" w:rsidR="00504942" w:rsidRDefault="00504942" w:rsidP="00504942">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1BC97B3F" w14:textId="77777777" w:rsidR="00504942" w:rsidRDefault="00504942" w:rsidP="00504942">
      <w:pPr>
        <w:autoSpaceDE w:val="0"/>
        <w:autoSpaceDN w:val="0"/>
        <w:adjustRightInd w:val="0"/>
        <w:ind w:left="1920" w:hanging="1560"/>
        <w:rPr>
          <w:rFonts w:ascii="Arial" w:hAnsi="Arial" w:cs="Arial"/>
          <w:b/>
        </w:rPr>
      </w:pPr>
    </w:p>
    <w:p w14:paraId="1B89EAF8" w14:textId="77777777" w:rsidR="00504942" w:rsidRDefault="00504942" w:rsidP="00504942">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 (If no, skip to section G)</w:t>
      </w:r>
    </w:p>
    <w:p w14:paraId="1507DFB9" w14:textId="77777777" w:rsidR="00504942" w:rsidRDefault="00504942" w:rsidP="00504942">
      <w:pPr>
        <w:autoSpaceDE w:val="0"/>
        <w:autoSpaceDN w:val="0"/>
        <w:adjustRightInd w:val="0"/>
        <w:rPr>
          <w:rFonts w:ascii="Arial" w:hAnsi="Arial" w:cs="Arial"/>
          <w:b/>
        </w:rPr>
      </w:pPr>
    </w:p>
    <w:p w14:paraId="6A1E7573" w14:textId="77777777" w:rsidR="00504942" w:rsidRDefault="00504942" w:rsidP="00504942">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2D8CB44A" w14:textId="77777777" w:rsidR="00504942" w:rsidRDefault="00504942" w:rsidP="00504942">
      <w:pPr>
        <w:autoSpaceDE w:val="0"/>
        <w:autoSpaceDN w:val="0"/>
        <w:adjustRightInd w:val="0"/>
        <w:rPr>
          <w:rFonts w:ascii="Arial" w:hAnsi="Arial" w:cs="Arial"/>
        </w:rPr>
      </w:pPr>
    </w:p>
    <w:p w14:paraId="09ED49DC"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Do you consider that the way the historic distribution has been estimated is appropriate? Please provide justification for your response.</w:t>
      </w:r>
    </w:p>
    <w:p w14:paraId="6F3741A1" w14:textId="77777777" w:rsidR="00504942" w:rsidRDefault="00504942" w:rsidP="00504942">
      <w:pPr>
        <w:pStyle w:val="ListParagraph"/>
        <w:autoSpaceDE w:val="0"/>
        <w:autoSpaceDN w:val="0"/>
        <w:adjustRightInd w:val="0"/>
        <w:ind w:left="360"/>
        <w:rPr>
          <w:rFonts w:ascii="Arial" w:hAnsi="Arial" w:cs="Arial"/>
        </w:rPr>
      </w:pPr>
    </w:p>
    <w:p w14:paraId="35DDACFC"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lastRenderedPageBreak/>
        <w:t xml:space="preserve">Can you provide estimates (or if you disagree with the estimates provided, alternative estimates) of the former extent of occurrence and/or area of occupancy? </w:t>
      </w:r>
    </w:p>
    <w:p w14:paraId="1441FDD1" w14:textId="77777777" w:rsidR="00504942" w:rsidRDefault="00504942" w:rsidP="00504942">
      <w:pPr>
        <w:pStyle w:val="ListParagraph"/>
        <w:autoSpaceDE w:val="0"/>
        <w:autoSpaceDN w:val="0"/>
        <w:adjustRightInd w:val="0"/>
        <w:ind w:left="360"/>
        <w:rPr>
          <w:rFonts w:ascii="Arial" w:hAnsi="Arial" w:cs="Arial"/>
        </w:rPr>
      </w:pPr>
    </w:p>
    <w:p w14:paraId="42B2EC3B" w14:textId="77777777" w:rsidR="00504942" w:rsidRDefault="00504942" w:rsidP="00504942">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651D5AD7" w14:textId="77777777" w:rsidR="00504942" w:rsidRDefault="00504942" w:rsidP="00504942">
      <w:pPr>
        <w:autoSpaceDE w:val="0"/>
        <w:autoSpaceDN w:val="0"/>
        <w:adjustRightInd w:val="0"/>
        <w:rPr>
          <w:rFonts w:ascii="Arial,Bold" w:hAnsi="Arial,Bold" w:cs="Arial,Bold"/>
          <w:b/>
          <w:bCs/>
        </w:rPr>
      </w:pPr>
    </w:p>
    <w:p w14:paraId="3232C7EB" w14:textId="77777777" w:rsidR="00504942" w:rsidRDefault="00504942" w:rsidP="00504942">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612C45BB" w14:textId="77777777" w:rsidR="00504942" w:rsidRDefault="00504942" w:rsidP="0050494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7A7BFC15" w14:textId="77777777" w:rsidR="00504942" w:rsidRDefault="00504942" w:rsidP="00504942">
      <w:pPr>
        <w:autoSpaceDE w:val="0"/>
        <w:autoSpaceDN w:val="0"/>
        <w:adjustRightInd w:val="0"/>
        <w:ind w:firstLine="360"/>
        <w:rPr>
          <w:rFonts w:ascii="Arial" w:hAnsi="Arial" w:cs="Arial"/>
        </w:rPr>
      </w:pPr>
    </w:p>
    <w:p w14:paraId="0182BA14" w14:textId="77777777" w:rsidR="00504942" w:rsidRDefault="00504942" w:rsidP="00504942">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0F293BE7" w14:textId="77777777" w:rsidR="00504942" w:rsidRDefault="00504942" w:rsidP="0050494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3BEBCDF5" w14:textId="77777777" w:rsidR="00504942" w:rsidRDefault="00504942" w:rsidP="0050494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60490875" w14:textId="77777777" w:rsidR="00504942" w:rsidRDefault="00504942" w:rsidP="0050494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6CD64791" w14:textId="77777777" w:rsidR="00504942" w:rsidRDefault="00504942" w:rsidP="0050494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7384886C" w14:textId="77777777" w:rsidR="00504942" w:rsidRDefault="00504942" w:rsidP="0050494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3E729617" w14:textId="77777777" w:rsidR="00504942" w:rsidRDefault="00504942" w:rsidP="00504942">
      <w:pPr>
        <w:autoSpaceDE w:val="0"/>
        <w:autoSpaceDN w:val="0"/>
        <w:adjustRightInd w:val="0"/>
        <w:ind w:firstLine="360"/>
        <w:rPr>
          <w:rFonts w:ascii="Arial" w:hAnsi="Arial" w:cs="Arial"/>
        </w:rPr>
      </w:pPr>
    </w:p>
    <w:p w14:paraId="4CF4B7C3" w14:textId="77777777" w:rsidR="00504942" w:rsidRDefault="00504942" w:rsidP="00504942">
      <w:pPr>
        <w:autoSpaceDE w:val="0"/>
        <w:autoSpaceDN w:val="0"/>
        <w:adjustRightInd w:val="0"/>
        <w:ind w:left="360"/>
        <w:rPr>
          <w:rFonts w:ascii="Arial" w:hAnsi="Arial" w:cs="Arial"/>
        </w:rPr>
      </w:pPr>
      <w:r>
        <w:rPr>
          <w:rFonts w:ascii="Arial"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633A91A6" w14:textId="77777777" w:rsidR="00504942" w:rsidRDefault="00504942" w:rsidP="00504942">
      <w:pPr>
        <w:autoSpaceDE w:val="0"/>
        <w:autoSpaceDN w:val="0"/>
        <w:adjustRightInd w:val="0"/>
        <w:rPr>
          <w:rFonts w:ascii="Arial,Bold" w:hAnsi="Arial,Bold" w:cs="Arial,Bold"/>
          <w:b/>
          <w:bCs/>
        </w:rPr>
      </w:pPr>
    </w:p>
    <w:p w14:paraId="58F27707" w14:textId="77777777" w:rsidR="00504942" w:rsidRDefault="00504942" w:rsidP="00504942">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68CD2CB2" w14:textId="77777777" w:rsidR="00504942" w:rsidRDefault="00504942" w:rsidP="0050494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22388ABF" w14:textId="77777777" w:rsidR="00504942" w:rsidRDefault="00504942" w:rsidP="00504942">
      <w:pPr>
        <w:autoSpaceDE w:val="0"/>
        <w:autoSpaceDN w:val="0"/>
        <w:adjustRightInd w:val="0"/>
        <w:ind w:firstLine="360"/>
        <w:rPr>
          <w:rFonts w:ascii="Arial" w:hAnsi="Arial" w:cs="Arial"/>
        </w:rPr>
      </w:pPr>
    </w:p>
    <w:p w14:paraId="6E2F924F" w14:textId="77777777" w:rsidR="00504942" w:rsidRDefault="00504942" w:rsidP="00504942">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320CC122" w14:textId="77777777" w:rsidR="00504942" w:rsidRDefault="00504942" w:rsidP="0050494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2E5A0680" w14:textId="77777777" w:rsidR="00504942" w:rsidRDefault="00504942" w:rsidP="00504942">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31–50% - more than a guess, some level of supporting evidence</w:t>
      </w:r>
    </w:p>
    <w:p w14:paraId="4EB82B79" w14:textId="77777777" w:rsidR="00504942" w:rsidRDefault="00504942" w:rsidP="0050494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0A68AC08" w14:textId="77777777" w:rsidR="00504942" w:rsidRDefault="00504942" w:rsidP="00504942">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6C9C7809" w14:textId="77777777" w:rsidR="00504942" w:rsidRDefault="00504942" w:rsidP="00504942">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49B5D5E6" w14:textId="77777777" w:rsidR="00504942" w:rsidRDefault="00504942" w:rsidP="00504942">
      <w:pPr>
        <w:autoSpaceDE w:val="0"/>
        <w:autoSpaceDN w:val="0"/>
        <w:adjustRightInd w:val="0"/>
        <w:rPr>
          <w:rFonts w:ascii="Arial" w:hAnsi="Arial" w:cs="Arial"/>
        </w:rPr>
      </w:pPr>
    </w:p>
    <w:p w14:paraId="5FDBB04B" w14:textId="77777777" w:rsidR="00504942" w:rsidRDefault="00504942" w:rsidP="00504942">
      <w:pPr>
        <w:shd w:val="clear" w:color="auto" w:fill="D9D9D9" w:themeFill="background1" w:themeFillShade="D9"/>
        <w:autoSpaceDE w:val="0"/>
        <w:autoSpaceDN w:val="0"/>
        <w:adjustRightInd w:val="0"/>
        <w:jc w:val="center"/>
        <w:rPr>
          <w:rFonts w:ascii="Arial" w:hAnsi="Arial" w:cs="Arial"/>
          <w:b/>
        </w:rPr>
      </w:pPr>
    </w:p>
    <w:p w14:paraId="0A0721FD" w14:textId="77777777" w:rsidR="00504942" w:rsidRPr="009F43F9" w:rsidRDefault="00504942" w:rsidP="00504942">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4EAF9A3C" w14:textId="77777777" w:rsidR="00504942" w:rsidRDefault="00504942" w:rsidP="00504942">
      <w:pPr>
        <w:shd w:val="clear" w:color="auto" w:fill="D9D9D9" w:themeFill="background1" w:themeFillShade="D9"/>
        <w:autoSpaceDE w:val="0"/>
        <w:autoSpaceDN w:val="0"/>
        <w:adjustRightInd w:val="0"/>
        <w:jc w:val="center"/>
        <w:rPr>
          <w:rFonts w:ascii="Arial" w:hAnsi="Arial" w:cs="Arial"/>
          <w:b/>
        </w:rPr>
      </w:pPr>
    </w:p>
    <w:p w14:paraId="41BCD9E5" w14:textId="77777777" w:rsidR="00504942" w:rsidRDefault="00504942" w:rsidP="00504942">
      <w:pPr>
        <w:autoSpaceDE w:val="0"/>
        <w:autoSpaceDN w:val="0"/>
        <w:adjustRightInd w:val="0"/>
        <w:rPr>
          <w:rFonts w:ascii="Arial" w:hAnsi="Arial" w:cs="Arial"/>
        </w:rPr>
      </w:pPr>
    </w:p>
    <w:p w14:paraId="050007D4" w14:textId="77777777" w:rsidR="00504942" w:rsidRDefault="00504942" w:rsidP="00504942">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 </w:t>
      </w:r>
      <w:r>
        <w:rPr>
          <w:rFonts w:ascii="Arial" w:hAnsi="Arial" w:cs="Arial"/>
          <w:b/>
        </w:rPr>
        <w:t>(If no, skip to section H)</w:t>
      </w:r>
    </w:p>
    <w:p w14:paraId="6D38F720" w14:textId="77777777" w:rsidR="00504942" w:rsidRDefault="00504942" w:rsidP="00504942">
      <w:pPr>
        <w:autoSpaceDE w:val="0"/>
        <w:autoSpaceDN w:val="0"/>
        <w:adjustRightInd w:val="0"/>
        <w:ind w:left="1560" w:hanging="1560"/>
        <w:rPr>
          <w:rFonts w:ascii="Arial,Bold" w:hAnsi="Arial,Bold" w:cs="Arial,Bold"/>
          <w:b/>
          <w:bCs/>
        </w:rPr>
      </w:pPr>
    </w:p>
    <w:p w14:paraId="3D6D7FC9"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Do you consider that all major threats have been identified and described adequately?</w:t>
      </w:r>
    </w:p>
    <w:p w14:paraId="2CCC10EC" w14:textId="77777777" w:rsidR="00504942" w:rsidRDefault="00504942" w:rsidP="00504942">
      <w:pPr>
        <w:pStyle w:val="ListParagraph"/>
        <w:autoSpaceDE w:val="0"/>
        <w:autoSpaceDN w:val="0"/>
        <w:adjustRightInd w:val="0"/>
        <w:ind w:left="360"/>
        <w:rPr>
          <w:rFonts w:ascii="Arial" w:hAnsi="Arial" w:cs="Arial"/>
        </w:rPr>
      </w:pPr>
    </w:p>
    <w:p w14:paraId="2BB1EB7A"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species in the future?</w:t>
      </w:r>
    </w:p>
    <w:p w14:paraId="63A37492" w14:textId="77777777" w:rsidR="00504942" w:rsidRDefault="00504942" w:rsidP="00504942">
      <w:pPr>
        <w:pStyle w:val="ListParagraph"/>
        <w:autoSpaceDE w:val="0"/>
        <w:autoSpaceDN w:val="0"/>
        <w:adjustRightInd w:val="0"/>
        <w:ind w:left="360"/>
        <w:rPr>
          <w:rFonts w:ascii="Arial" w:hAnsi="Arial" w:cs="Arial"/>
        </w:rPr>
      </w:pPr>
    </w:p>
    <w:p w14:paraId="10BBE94C"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Are the threats impacting on different populations equally, or do the threats vary across different populations?</w:t>
      </w:r>
    </w:p>
    <w:p w14:paraId="13F1BD70" w14:textId="77777777" w:rsidR="00504942" w:rsidRDefault="00504942" w:rsidP="00504942">
      <w:pPr>
        <w:pStyle w:val="ListParagraph"/>
        <w:autoSpaceDE w:val="0"/>
        <w:autoSpaceDN w:val="0"/>
        <w:adjustRightInd w:val="0"/>
        <w:ind w:left="360"/>
        <w:rPr>
          <w:rFonts w:ascii="Arial" w:hAnsi="Arial" w:cs="Arial"/>
        </w:rPr>
      </w:pPr>
    </w:p>
    <w:p w14:paraId="3BFD2756"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Can you provide additional or alternative information on past, current or potential threats that may adversely affect the species at any stage of its life cycle?</w:t>
      </w:r>
    </w:p>
    <w:p w14:paraId="79DAEA2D" w14:textId="77777777" w:rsidR="00504942" w:rsidRDefault="00504942" w:rsidP="00504942">
      <w:pPr>
        <w:pStyle w:val="ListParagraph"/>
        <w:autoSpaceDE w:val="0"/>
        <w:autoSpaceDN w:val="0"/>
        <w:adjustRightInd w:val="0"/>
        <w:ind w:left="360"/>
        <w:rPr>
          <w:rFonts w:ascii="Arial" w:hAnsi="Arial" w:cs="Arial"/>
        </w:rPr>
      </w:pPr>
    </w:p>
    <w:p w14:paraId="5E56BBAE"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Can you provide supporting data/justification or other information for your responses to these questions about threats?</w:t>
      </w:r>
    </w:p>
    <w:p w14:paraId="406ADB73" w14:textId="77777777" w:rsidR="00504942" w:rsidRDefault="00504942" w:rsidP="00504942">
      <w:pPr>
        <w:autoSpaceDE w:val="0"/>
        <w:autoSpaceDN w:val="0"/>
        <w:adjustRightInd w:val="0"/>
        <w:ind w:left="1560" w:hanging="1560"/>
        <w:rPr>
          <w:rFonts w:ascii="Arial,Bold" w:hAnsi="Arial,Bold" w:cs="Arial,Bold"/>
          <w:b/>
          <w:bCs/>
        </w:rPr>
      </w:pPr>
    </w:p>
    <w:p w14:paraId="5E71B16D" w14:textId="77777777" w:rsidR="00504942" w:rsidRDefault="00504942" w:rsidP="00504942">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 </w:t>
      </w:r>
      <w:r>
        <w:rPr>
          <w:rFonts w:ascii="Arial" w:hAnsi="Arial" w:cs="Arial"/>
          <w:b/>
        </w:rPr>
        <w:t>(If no, skip to section I)</w:t>
      </w:r>
    </w:p>
    <w:p w14:paraId="4AB09CF5" w14:textId="77777777" w:rsidR="00504942" w:rsidRDefault="00504942" w:rsidP="00504942">
      <w:pPr>
        <w:autoSpaceDE w:val="0"/>
        <w:autoSpaceDN w:val="0"/>
        <w:adjustRightInd w:val="0"/>
        <w:ind w:left="1560" w:hanging="1560"/>
        <w:rPr>
          <w:rFonts w:ascii="Arial,Bold" w:hAnsi="Arial,Bold" w:cs="Arial,Bold"/>
          <w:b/>
          <w:bCs/>
        </w:rPr>
      </w:pPr>
    </w:p>
    <w:p w14:paraId="74822E3B"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What planning, management and recovery actions are currently in place supporting protection and recovery of the species? To what extent have they been effective?</w:t>
      </w:r>
    </w:p>
    <w:p w14:paraId="4134755C" w14:textId="77777777" w:rsidR="00504942" w:rsidRDefault="00504942" w:rsidP="00504942">
      <w:pPr>
        <w:pStyle w:val="ListParagraph"/>
        <w:autoSpaceDE w:val="0"/>
        <w:autoSpaceDN w:val="0"/>
        <w:adjustRightInd w:val="0"/>
        <w:ind w:left="360"/>
        <w:rPr>
          <w:rFonts w:ascii="Arial" w:hAnsi="Arial" w:cs="Arial"/>
        </w:rPr>
      </w:pPr>
    </w:p>
    <w:p w14:paraId="148721DE"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t>Can you recommend any additional or alternative specific threat abatement or conservation actions that would aid the protection and recovery of the species?</w:t>
      </w:r>
    </w:p>
    <w:p w14:paraId="1F2AF427" w14:textId="77777777" w:rsidR="00504942" w:rsidRDefault="00504942" w:rsidP="00504942">
      <w:pPr>
        <w:pStyle w:val="ListParagraph"/>
        <w:autoSpaceDE w:val="0"/>
        <w:autoSpaceDN w:val="0"/>
        <w:adjustRightInd w:val="0"/>
        <w:ind w:left="360"/>
        <w:rPr>
          <w:rFonts w:ascii="Arial" w:hAnsi="Arial" w:cs="Arial"/>
        </w:rPr>
      </w:pPr>
    </w:p>
    <w:p w14:paraId="4DE53FFA"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rPr>
      </w:pPr>
      <w:r>
        <w:rPr>
          <w:rFonts w:ascii="Arial" w:hAnsi="Arial" w:cs="Arial"/>
        </w:rPr>
        <w:lastRenderedPageBreak/>
        <w:t xml:space="preserve">Would you recommend translocation (outside of the species’ historic range) as a viable option as a </w:t>
      </w:r>
      <w:proofErr w:type="gramStart"/>
      <w:r>
        <w:rPr>
          <w:rFonts w:ascii="Arial" w:hAnsi="Arial" w:cs="Arial"/>
        </w:rPr>
        <w:t>conservation actions</w:t>
      </w:r>
      <w:proofErr w:type="gramEnd"/>
      <w:r>
        <w:rPr>
          <w:rFonts w:ascii="Arial" w:hAnsi="Arial" w:cs="Arial"/>
        </w:rPr>
        <w:t xml:space="preserve"> for this species?</w:t>
      </w:r>
    </w:p>
    <w:p w14:paraId="6ED4426B" w14:textId="77777777" w:rsidR="00504942" w:rsidRDefault="00504942" w:rsidP="00504942">
      <w:pPr>
        <w:autoSpaceDE w:val="0"/>
        <w:autoSpaceDN w:val="0"/>
        <w:adjustRightInd w:val="0"/>
        <w:rPr>
          <w:rFonts w:ascii="Arial" w:hAnsi="Arial" w:cs="Arial"/>
        </w:rPr>
      </w:pPr>
    </w:p>
    <w:p w14:paraId="6004F296" w14:textId="77777777" w:rsidR="00504942" w:rsidRDefault="00504942" w:rsidP="00504942">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w:t>
      </w:r>
    </w:p>
    <w:p w14:paraId="38DB5E1A" w14:textId="77777777" w:rsidR="00504942" w:rsidRDefault="00504942" w:rsidP="00504942">
      <w:pPr>
        <w:keepNext/>
        <w:autoSpaceDE w:val="0"/>
        <w:autoSpaceDN w:val="0"/>
        <w:adjustRightInd w:val="0"/>
        <w:ind w:left="1560" w:hanging="1560"/>
        <w:rPr>
          <w:rFonts w:ascii="Arial" w:hAnsi="Arial" w:cs="Arial"/>
          <w:b/>
        </w:rPr>
      </w:pPr>
    </w:p>
    <w:p w14:paraId="52B5DDB7"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w:t>
      </w:r>
      <w:proofErr w:type="gramStart"/>
      <w:r>
        <w:rPr>
          <w:rFonts w:ascii="Arial" w:hAnsi="Arial" w:cs="Arial"/>
          <w:color w:val="000000"/>
        </w:rPr>
        <w:t>e.g.</w:t>
      </w:r>
      <w:proofErr w:type="gramEnd"/>
      <w:r>
        <w:rPr>
          <w:rFonts w:ascii="Arial" w:hAnsi="Arial" w:cs="Arial"/>
          <w:color w:val="000000"/>
        </w:rPr>
        <w:t xml:space="preserve"> traditional ecological knowledge) or individuals/groups with knowledge that may help better understand population trends/fluctuations, or critical areas of habitat?</w:t>
      </w:r>
    </w:p>
    <w:p w14:paraId="2607A041" w14:textId="77777777" w:rsidR="00504942" w:rsidRDefault="00504942" w:rsidP="00504942">
      <w:pPr>
        <w:pStyle w:val="ListParagraph"/>
        <w:autoSpaceDE w:val="0"/>
        <w:autoSpaceDN w:val="0"/>
        <w:adjustRightInd w:val="0"/>
        <w:ind w:left="360"/>
        <w:rPr>
          <w:rFonts w:ascii="Arial" w:hAnsi="Arial" w:cs="Arial"/>
          <w:color w:val="000000"/>
        </w:rPr>
      </w:pPr>
    </w:p>
    <w:p w14:paraId="0D9BB13D"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species has?</w:t>
      </w:r>
    </w:p>
    <w:p w14:paraId="28EB198C" w14:textId="77777777" w:rsidR="00504942" w:rsidRDefault="00504942" w:rsidP="00504942">
      <w:pPr>
        <w:pStyle w:val="ListParagraph"/>
        <w:autoSpaceDE w:val="0"/>
        <w:autoSpaceDN w:val="0"/>
        <w:adjustRightInd w:val="0"/>
        <w:ind w:left="360"/>
        <w:rPr>
          <w:rFonts w:ascii="Arial" w:hAnsi="Arial" w:cs="Arial"/>
          <w:color w:val="000000"/>
        </w:rPr>
      </w:pPr>
    </w:p>
    <w:p w14:paraId="5E3FE607"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species?</w:t>
      </w:r>
    </w:p>
    <w:p w14:paraId="54687009" w14:textId="77777777" w:rsidR="00504942" w:rsidRDefault="00504942" w:rsidP="00504942">
      <w:pPr>
        <w:pStyle w:val="ListParagraph"/>
        <w:autoSpaceDE w:val="0"/>
        <w:autoSpaceDN w:val="0"/>
        <w:adjustRightInd w:val="0"/>
        <w:ind w:left="360"/>
        <w:rPr>
          <w:rFonts w:ascii="Arial" w:hAnsi="Arial" w:cs="Arial"/>
          <w:color w:val="000000"/>
        </w:rPr>
      </w:pPr>
    </w:p>
    <w:p w14:paraId="459EECC6"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this species are land managers where the species is found? </w:t>
      </w:r>
    </w:p>
    <w:p w14:paraId="7CEE4A28" w14:textId="77777777" w:rsidR="00504942" w:rsidRDefault="00504942" w:rsidP="00504942">
      <w:pPr>
        <w:pStyle w:val="ListParagraph"/>
        <w:autoSpaceDE w:val="0"/>
        <w:autoSpaceDN w:val="0"/>
        <w:adjustRightInd w:val="0"/>
        <w:ind w:left="360"/>
        <w:rPr>
          <w:rFonts w:ascii="Arial" w:hAnsi="Arial" w:cs="Arial"/>
          <w:color w:val="000000"/>
        </w:rPr>
      </w:pPr>
    </w:p>
    <w:p w14:paraId="5C9FE5C1"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color w:val="000000"/>
        </w:rPr>
      </w:pPr>
      <w:r>
        <w:rPr>
          <w:rFonts w:ascii="Arial" w:hAnsi="Arial" w:cs="Arial"/>
        </w:rPr>
        <w:t>What level of awareness is there with individuals or organisations around the issues affecting the species?</w:t>
      </w:r>
    </w:p>
    <w:p w14:paraId="7D3DF573" w14:textId="77777777" w:rsidR="00504942" w:rsidRDefault="00504942" w:rsidP="00504942">
      <w:pPr>
        <w:pStyle w:val="ListParagraph"/>
        <w:autoSpaceDE w:val="0"/>
        <w:autoSpaceDN w:val="0"/>
        <w:adjustRightInd w:val="0"/>
        <w:ind w:left="360"/>
        <w:rPr>
          <w:rFonts w:ascii="Arial" w:hAnsi="Arial" w:cs="Arial"/>
          <w:color w:val="000000"/>
        </w:rPr>
      </w:pPr>
    </w:p>
    <w:p w14:paraId="4CFE42E6" w14:textId="77777777" w:rsidR="00504942" w:rsidRDefault="00504942" w:rsidP="00504942">
      <w:pPr>
        <w:pStyle w:val="ListParagraph"/>
        <w:numPr>
          <w:ilvl w:val="1"/>
          <w:numId w:val="18"/>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515950CA" w14:textId="77777777" w:rsidR="00504942" w:rsidRDefault="00504942" w:rsidP="00504942">
      <w:pPr>
        <w:pStyle w:val="ListParagraph"/>
        <w:autoSpaceDE w:val="0"/>
        <w:autoSpaceDN w:val="0"/>
        <w:adjustRightInd w:val="0"/>
        <w:ind w:left="1080"/>
        <w:rPr>
          <w:rFonts w:ascii="Arial" w:hAnsi="Arial" w:cs="Arial"/>
          <w:color w:val="000000"/>
        </w:rPr>
      </w:pPr>
    </w:p>
    <w:p w14:paraId="6A7D2A0D" w14:textId="77777777" w:rsidR="00504942" w:rsidRDefault="00504942" w:rsidP="00504942">
      <w:pPr>
        <w:pStyle w:val="ListParagraph"/>
        <w:numPr>
          <w:ilvl w:val="1"/>
          <w:numId w:val="18"/>
        </w:numPr>
        <w:autoSpaceDE w:val="0"/>
        <w:autoSpaceDN w:val="0"/>
        <w:adjustRightInd w:val="0"/>
        <w:spacing w:after="0" w:line="240" w:lineRule="auto"/>
        <w:rPr>
          <w:rFonts w:ascii="Arial" w:hAnsi="Arial" w:cs="Arial"/>
          <w:color w:val="000000"/>
        </w:rPr>
      </w:pPr>
      <w:r>
        <w:rPr>
          <w:rFonts w:ascii="Arial" w:hAnsi="Arial" w:cs="Arial"/>
          <w:color w:val="000000"/>
        </w:rPr>
        <w:t>Are there populations or areas of habitat that are particularly important to the community?</w:t>
      </w:r>
    </w:p>
    <w:p w14:paraId="5EC3184D" w14:textId="77777777" w:rsidR="00504942" w:rsidRDefault="00504942" w:rsidP="00504942">
      <w:pPr>
        <w:autoSpaceDE w:val="0"/>
        <w:autoSpaceDN w:val="0"/>
        <w:adjustRightInd w:val="0"/>
      </w:pPr>
    </w:p>
    <w:p w14:paraId="7D882B2B" w14:textId="77777777" w:rsidR="00504942" w:rsidRDefault="00504942" w:rsidP="00504942">
      <w:pPr>
        <w:shd w:val="clear" w:color="auto" w:fill="D9D9D9" w:themeFill="background1" w:themeFillShade="D9"/>
        <w:autoSpaceDE w:val="0"/>
        <w:autoSpaceDN w:val="0"/>
        <w:adjustRightInd w:val="0"/>
        <w:jc w:val="center"/>
        <w:rPr>
          <w:rFonts w:ascii="Arial" w:hAnsi="Arial" w:cs="Arial"/>
          <w:b/>
        </w:rPr>
      </w:pPr>
    </w:p>
    <w:p w14:paraId="6BED11B8" w14:textId="77777777" w:rsidR="00504942" w:rsidRPr="009F43F9" w:rsidRDefault="00504942" w:rsidP="00504942">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00CDBEDA" w14:textId="77777777" w:rsidR="00504942" w:rsidRDefault="00504942" w:rsidP="00504942">
      <w:pPr>
        <w:shd w:val="clear" w:color="auto" w:fill="D9D9D9" w:themeFill="background1" w:themeFillShade="D9"/>
        <w:autoSpaceDE w:val="0"/>
        <w:autoSpaceDN w:val="0"/>
        <w:adjustRightInd w:val="0"/>
        <w:jc w:val="center"/>
        <w:rPr>
          <w:rFonts w:ascii="Arial" w:hAnsi="Arial" w:cs="Arial"/>
          <w:b/>
        </w:rPr>
      </w:pPr>
    </w:p>
    <w:p w14:paraId="701F602C" w14:textId="77777777" w:rsidR="00504942" w:rsidRDefault="00504942" w:rsidP="00504942">
      <w:pPr>
        <w:autoSpaceDE w:val="0"/>
        <w:autoSpaceDN w:val="0"/>
        <w:adjustRightInd w:val="0"/>
        <w:rPr>
          <w:rFonts w:ascii="Arial" w:hAnsi="Arial" w:cs="Arial"/>
        </w:rPr>
      </w:pPr>
    </w:p>
    <w:p w14:paraId="7EB973EA" w14:textId="77777777" w:rsidR="00504942" w:rsidRDefault="00504942" w:rsidP="00504942">
      <w:pPr>
        <w:pStyle w:val="ListParagraph"/>
        <w:numPr>
          <w:ilvl w:val="0"/>
          <w:numId w:val="18"/>
        </w:numPr>
        <w:autoSpaceDE w:val="0"/>
        <w:autoSpaceDN w:val="0"/>
        <w:adjustRightInd w:val="0"/>
        <w:spacing w:after="0" w:line="240" w:lineRule="auto"/>
        <w:rPr>
          <w:rFonts w:ascii="Arial" w:hAnsi="Arial" w:cs="Arial"/>
          <w:color w:val="000000"/>
        </w:rPr>
      </w:pPr>
      <w:r>
        <w:rPr>
          <w:rFonts w:ascii="Arial" w:hAnsi="Arial" w:cs="Arial"/>
          <w:color w:val="000000"/>
        </w:rPr>
        <w:t>Do you have comments on any other matters relevant to the assessment of this species?</w:t>
      </w:r>
    </w:p>
    <w:p w14:paraId="2BA0CE05" w14:textId="77777777" w:rsidR="00504942" w:rsidRPr="00EF53FF" w:rsidRDefault="00504942" w:rsidP="00504942"/>
    <w:p w14:paraId="530C72F4" w14:textId="77777777" w:rsidR="00504942" w:rsidRPr="009779CB" w:rsidRDefault="00504942" w:rsidP="00504942"/>
    <w:p w14:paraId="61AEBEC8" w14:textId="77777777" w:rsidR="00504942" w:rsidRDefault="00504942" w:rsidP="009D41D2">
      <w:pPr>
        <w:pStyle w:val="DisseminationLimitingMarker"/>
      </w:pPr>
    </w:p>
    <w:p w14:paraId="4C1C88C1" w14:textId="77777777" w:rsidR="00504942" w:rsidRDefault="00504942" w:rsidP="009D41D2">
      <w:pPr>
        <w:pStyle w:val="DisseminationLimitingMarker"/>
      </w:pPr>
    </w:p>
    <w:p w14:paraId="7A1C9C45" w14:textId="77777777" w:rsidR="00504942" w:rsidRDefault="00504942" w:rsidP="009D41D2">
      <w:pPr>
        <w:pStyle w:val="DisseminationLimitingMarker"/>
      </w:pPr>
    </w:p>
    <w:p w14:paraId="4E54B1D8" w14:textId="77777777" w:rsidR="00504942" w:rsidRDefault="00504942" w:rsidP="009D41D2">
      <w:pPr>
        <w:pStyle w:val="DisseminationLimitingMarker"/>
      </w:pPr>
    </w:p>
    <w:p w14:paraId="4A4673BD" w14:textId="77777777" w:rsidR="00504942" w:rsidRDefault="00504942" w:rsidP="009D41D2">
      <w:pPr>
        <w:pStyle w:val="DisseminationLimitingMarker"/>
      </w:pPr>
    </w:p>
    <w:p w14:paraId="726CA210" w14:textId="22379B1D" w:rsidR="009D41D2" w:rsidRDefault="00460C44" w:rsidP="009D41D2">
      <w:pPr>
        <w:pStyle w:val="DisseminationLimitingMarker"/>
      </w:pPr>
      <w:r>
        <w:lastRenderedPageBreak/>
        <w:t xml:space="preserve">Conservation </w:t>
      </w:r>
      <w:r w:rsidR="002319AB">
        <w:t>A</w:t>
      </w:r>
      <w:r>
        <w:t>dvic</w:t>
      </w:r>
      <w:r w:rsidR="007C5B94">
        <w:t>e</w:t>
      </w:r>
      <w:r>
        <w:t xml:space="preserve"> for </w:t>
      </w:r>
      <w:r w:rsidR="00B16806">
        <w:br/>
      </w:r>
      <w:bookmarkStart w:id="2" w:name="_Hlk87638508"/>
      <w:r w:rsidR="00F2266D" w:rsidRPr="00F2266D">
        <w:rPr>
          <w:rStyle w:val="Emphasis"/>
        </w:rPr>
        <w:t xml:space="preserve">Acacia </w:t>
      </w:r>
      <w:proofErr w:type="spellStart"/>
      <w:r w:rsidR="00F2266D" w:rsidRPr="00F2266D">
        <w:rPr>
          <w:rStyle w:val="Emphasis"/>
        </w:rPr>
        <w:t>constablei</w:t>
      </w:r>
      <w:proofErr w:type="spellEnd"/>
      <w:r w:rsidR="002B01EE">
        <w:t xml:space="preserve"> </w:t>
      </w:r>
      <w:r w:rsidRPr="002B01EE">
        <w:t>(</w:t>
      </w:r>
      <w:proofErr w:type="spellStart"/>
      <w:r w:rsidR="00F2266D" w:rsidRPr="00B84EDE">
        <w:rPr>
          <w:rStyle w:val="Emphasis"/>
          <w:i w:val="0"/>
          <w:iCs w:val="0"/>
        </w:rPr>
        <w:t>Narrabarba</w:t>
      </w:r>
      <w:proofErr w:type="spellEnd"/>
      <w:r w:rsidR="00F2266D" w:rsidRPr="00B84EDE">
        <w:rPr>
          <w:rStyle w:val="Emphasis"/>
          <w:i w:val="0"/>
          <w:iCs w:val="0"/>
        </w:rPr>
        <w:t xml:space="preserve"> wattle</w:t>
      </w:r>
      <w:r w:rsidRPr="002B01EE">
        <w:t>)</w:t>
      </w:r>
    </w:p>
    <w:bookmarkEnd w:id="2"/>
    <w:p w14:paraId="1F7A811B" w14:textId="77777777" w:rsidR="0080761E" w:rsidRPr="005B3D88" w:rsidRDefault="0080761E" w:rsidP="005B3D88">
      <w:pPr>
        <w:pStyle w:val="Header"/>
      </w:pPr>
    </w:p>
    <w:p w14:paraId="472BFF66" w14:textId="77777777" w:rsidR="00A7798C" w:rsidRPr="00A7798C" w:rsidRDefault="00F22A63" w:rsidP="00B038DF">
      <w:r>
        <w:rPr>
          <w:noProof/>
        </w:rPr>
        <mc:AlternateContent>
          <mc:Choice Requires="wps">
            <w:drawing>
              <wp:anchor distT="45720" distB="45720" distL="114300" distR="114300" simplePos="0" relativeHeight="251658241" behindDoc="0" locked="0" layoutInCell="1" allowOverlap="1" wp14:anchorId="6C33D389" wp14:editId="1B472921">
                <wp:simplePos x="0" y="0"/>
                <wp:positionH relativeFrom="column">
                  <wp:posOffset>194945</wp:posOffset>
                </wp:positionH>
                <wp:positionV relativeFrom="paragraph">
                  <wp:posOffset>13335</wp:posOffset>
                </wp:positionV>
                <wp:extent cx="50101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74C5D0E" w14:textId="77777777" w:rsidR="0073329E" w:rsidRDefault="0073329E"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379A982F" w14:textId="77777777" w:rsidR="0073329E" w:rsidRPr="00683895" w:rsidRDefault="0073329E" w:rsidP="00683895"/>
                          <w:p w14:paraId="40CD2275" w14:textId="77777777" w:rsidR="0073329E" w:rsidRDefault="0073329E"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 xml:space="preserve">further </w:t>
                            </w:r>
                            <w:proofErr w:type="gramStart"/>
                            <w:r w:rsidRPr="004A3350">
                              <w:t>planning</w:t>
                            </w:r>
                            <w:proofErr w:type="gramEnd"/>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w:t>
                            </w:r>
                            <w:proofErr w:type="gramStart"/>
                            <w:r w:rsidRPr="004A3350">
                              <w:t>of  responses</w:t>
                            </w:r>
                            <w:proofErr w:type="gramEnd"/>
                            <w:r w:rsidRPr="004A3350">
                              <w:t xml:space="preserve"> to this consultation process.</w:t>
                            </w:r>
                          </w:p>
                          <w:p w14:paraId="18AFC51D" w14:textId="77777777" w:rsidR="0073329E" w:rsidRPr="00B038DF" w:rsidRDefault="0073329E" w:rsidP="00A7798C">
                            <w:pPr>
                              <w:rPr>
                                <w:color w:val="FF0000"/>
                              </w:rPr>
                            </w:pPr>
                            <w:r w:rsidRPr="00B038DF">
                              <w:rPr>
                                <w:color w:val="FF0000"/>
                                <w:u w:val="single"/>
                              </w:rPr>
                              <w:t>Note</w:t>
                            </w:r>
                            <w:r>
                              <w:rPr>
                                <w:color w:val="FF0000"/>
                              </w:rPr>
                              <w:t xml:space="preserve">: Specific consultation questions relating to the below draft </w:t>
                            </w:r>
                            <w:proofErr w:type="gramStart"/>
                            <w:r>
                              <w:rPr>
                                <w:color w:val="FF0000"/>
                              </w:rPr>
                              <w:t>assessment  and</w:t>
                            </w:r>
                            <w:proofErr w:type="gramEnd"/>
                            <w:r>
                              <w:rPr>
                                <w:color w:val="FF0000"/>
                              </w:rPr>
                              <w:t xml:space="preserve"> preliminary determination have been included in the consultation cover paper for your consideration.</w:t>
                            </w:r>
                          </w:p>
                          <w:p w14:paraId="2A299E83" w14:textId="77777777" w:rsidR="0073329E" w:rsidRDefault="007332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3D389" id="_x0000_t202" coordsize="21600,21600" o:spt="202" path="m,l,21600r21600,l21600,xe">
                <v:stroke joinstyle="miter"/>
                <v:path gradientshapeok="t" o:connecttype="rect"/>
              </v:shapetype>
              <v:shape id="Text Box 2" o:spid="_x0000_s1026" type="#_x0000_t202" style="position:absolute;margin-left:15.35pt;margin-top:1.05pt;width:394.5pt;height:19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" fillcolor="white [3201]" strokecolor="black [3200]" strokeweight="2pt">
                <v:textbox>
                  <w:txbxContent>
                    <w:p w14:paraId="274C5D0E" w14:textId="77777777" w:rsidR="0073329E" w:rsidRDefault="0073329E"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379A982F" w14:textId="77777777" w:rsidR="0073329E" w:rsidRPr="00683895" w:rsidRDefault="0073329E" w:rsidP="00683895"/>
                    <w:p w14:paraId="40CD2275" w14:textId="77777777" w:rsidR="0073329E" w:rsidRDefault="0073329E"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  responses to this consultation process.</w:t>
                      </w:r>
                    </w:p>
                    <w:p w14:paraId="18AFC51D" w14:textId="77777777" w:rsidR="0073329E" w:rsidRPr="00B038DF" w:rsidRDefault="0073329E" w:rsidP="00A7798C">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2A299E83" w14:textId="77777777" w:rsidR="0073329E" w:rsidRDefault="0073329E"/>
                  </w:txbxContent>
                </v:textbox>
                <w10:wrap type="square"/>
              </v:shape>
            </w:pict>
          </mc:Fallback>
        </mc:AlternateContent>
      </w:r>
    </w:p>
    <w:p w14:paraId="7DF1CB6F" w14:textId="77777777" w:rsidR="00A7798C" w:rsidRDefault="00A7798C" w:rsidP="00A7798C"/>
    <w:p w14:paraId="40166A4B" w14:textId="77777777" w:rsidR="00A7798C" w:rsidRDefault="00A7798C" w:rsidP="00A7798C"/>
    <w:p w14:paraId="36F89A96" w14:textId="77777777" w:rsidR="00A7798C" w:rsidRDefault="00A7798C" w:rsidP="00A7798C"/>
    <w:p w14:paraId="7A4F3013" w14:textId="77777777" w:rsidR="00A7798C" w:rsidRPr="00A7798C" w:rsidRDefault="00A7798C" w:rsidP="00B038DF"/>
    <w:p w14:paraId="4AF442F6" w14:textId="77777777" w:rsidR="00A14BC6" w:rsidRDefault="00A14BC6" w:rsidP="00E707AE">
      <w:pPr>
        <w:pStyle w:val="Author"/>
      </w:pPr>
    </w:p>
    <w:p w14:paraId="17B9AD2A" w14:textId="77777777" w:rsidR="00A14BC6" w:rsidRDefault="00A14BC6" w:rsidP="00E707AE">
      <w:pPr>
        <w:pStyle w:val="Author"/>
      </w:pPr>
    </w:p>
    <w:p w14:paraId="4934D6E9" w14:textId="77777777" w:rsidR="00A14BC6" w:rsidRDefault="00A14BC6" w:rsidP="00E707AE">
      <w:pPr>
        <w:pStyle w:val="Author"/>
      </w:pPr>
    </w:p>
    <w:p w14:paraId="0B257A65" w14:textId="77777777" w:rsidR="004B38BC" w:rsidRDefault="004B38BC" w:rsidP="00E707AE">
      <w:pPr>
        <w:pStyle w:val="Author"/>
      </w:pPr>
    </w:p>
    <w:p w14:paraId="37D52EB0" w14:textId="77777777" w:rsidR="004B38BC" w:rsidRDefault="004B38BC" w:rsidP="00E707AE">
      <w:pPr>
        <w:pStyle w:val="Author"/>
      </w:pPr>
    </w:p>
    <w:p w14:paraId="5C0C97E8" w14:textId="2E73CC95" w:rsidR="0016081E" w:rsidRDefault="0016081E" w:rsidP="001C7420">
      <w:r w:rsidRPr="0016081E">
        <w:t xml:space="preserve">This document combines the </w:t>
      </w:r>
      <w:r w:rsidR="00406B94">
        <w:t>draft</w:t>
      </w:r>
      <w:r w:rsidRPr="009D41D2">
        <w:t xml:space="preserve"> conservation </w:t>
      </w:r>
      <w:r w:rsidRPr="00565F5A">
        <w:t>advice</w:t>
      </w:r>
      <w:r w:rsidRPr="0016081E">
        <w:t xml:space="preserve"> and listing assessment for the </w:t>
      </w:r>
      <w:r w:rsidR="009B2EFF">
        <w:t>species</w:t>
      </w:r>
      <w:r w:rsidRPr="0016081E">
        <w:t xml:space="preserve">. </w:t>
      </w:r>
      <w:r w:rsidRPr="009D41D2">
        <w:t>It provides a foundation for conservation action and further planning.</w:t>
      </w:r>
    </w:p>
    <w:p w14:paraId="08718B55" w14:textId="16BF76E0" w:rsidR="00406B94" w:rsidRDefault="00F77FFC" w:rsidP="00344617">
      <w:pPr>
        <w:pStyle w:val="Instructiontext"/>
      </w:pPr>
      <w:r>
        <w:rPr>
          <w:noProof/>
        </w:rPr>
        <w:drawing>
          <wp:inline distT="0" distB="0" distL="0" distR="0" wp14:anchorId="07B66F90" wp14:editId="43FA69E5">
            <wp:extent cx="5534025" cy="3679791"/>
            <wp:effectExtent l="0" t="0" r="0" b="0"/>
            <wp:docPr id="3" name="Picture 3" descr="APII jpeg image of Acacia constablei  © contact AP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II jpeg image of Acacia constablei  © contact API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6153" cy="3687855"/>
                    </a:xfrm>
                    <a:prstGeom prst="rect">
                      <a:avLst/>
                    </a:prstGeom>
                    <a:noFill/>
                    <a:ln>
                      <a:noFill/>
                    </a:ln>
                  </pic:spPr>
                </pic:pic>
              </a:graphicData>
            </a:graphic>
          </wp:inline>
        </w:drawing>
      </w:r>
    </w:p>
    <w:p w14:paraId="1DD7F709" w14:textId="2885C66A" w:rsidR="000A6133" w:rsidRPr="000A6133" w:rsidRDefault="002F6E20" w:rsidP="00E84D66">
      <w:pPr>
        <w:pStyle w:val="FigureTableNoteSource"/>
      </w:pPr>
      <w:bookmarkStart w:id="3" w:name="_Hlk46319602"/>
      <w:r w:rsidRPr="7FA35F82">
        <w:rPr>
          <w:rStyle w:val="Emphasis"/>
        </w:rPr>
        <w:t xml:space="preserve">Acacia </w:t>
      </w:r>
      <w:proofErr w:type="spellStart"/>
      <w:r w:rsidRPr="7FA35F82">
        <w:rPr>
          <w:rStyle w:val="Emphasis"/>
        </w:rPr>
        <w:t>constablei</w:t>
      </w:r>
      <w:proofErr w:type="spellEnd"/>
      <w:r>
        <w:t xml:space="preserve"> (</w:t>
      </w:r>
      <w:proofErr w:type="spellStart"/>
      <w:r>
        <w:t>Narrabarba</w:t>
      </w:r>
      <w:proofErr w:type="spellEnd"/>
      <w:r>
        <w:t xml:space="preserve"> wattle) </w:t>
      </w:r>
      <w:r w:rsidR="00DE2F67">
        <w:t xml:space="preserve">at Australian National Botanic Gardens © Copyright, </w:t>
      </w:r>
      <w:proofErr w:type="spellStart"/>
      <w:r w:rsidR="00DE2F67">
        <w:t>Fagg</w:t>
      </w:r>
      <w:proofErr w:type="spellEnd"/>
      <w:r w:rsidR="00DE2F67">
        <w:t>, M. (</w:t>
      </w:r>
      <w:r>
        <w:t>2009</w:t>
      </w:r>
      <w:r w:rsidR="00DE2F67">
        <w:t xml:space="preserve">) (from </w:t>
      </w:r>
      <w:hyperlink r:id="rId21">
        <w:r w:rsidR="00DE2F67" w:rsidRPr="7FA35F82">
          <w:rPr>
            <w:rStyle w:val="Hyperlink"/>
          </w:rPr>
          <w:t>Australian National Botanic Gardens</w:t>
        </w:r>
      </w:hyperlink>
      <w:r w:rsidR="00DE2F67">
        <w:t xml:space="preserve">) </w:t>
      </w:r>
    </w:p>
    <w:bookmarkEnd w:id="3"/>
    <w:p w14:paraId="012CD503" w14:textId="776CF7DC" w:rsidR="006D3581" w:rsidRDefault="006D3581" w:rsidP="006D3581">
      <w:pPr>
        <w:pStyle w:val="Heading2"/>
        <w:ind w:left="720" w:hanging="720"/>
      </w:pPr>
      <w:r>
        <w:lastRenderedPageBreak/>
        <w:t>Conservation status</w:t>
      </w:r>
    </w:p>
    <w:p w14:paraId="364E71AF" w14:textId="3B554E24" w:rsidR="00FC009C" w:rsidRPr="00FC009C" w:rsidRDefault="00FC009C" w:rsidP="00FC009C">
      <w:pPr>
        <w:pStyle w:val="Consultationtext"/>
        <w:rPr>
          <w:color w:val="auto"/>
        </w:rPr>
      </w:pPr>
      <w:r w:rsidRPr="00FC009C">
        <w:rPr>
          <w:rStyle w:val="Emphasis"/>
          <w:color w:val="auto"/>
        </w:rPr>
        <w:t xml:space="preserve">Acacia </w:t>
      </w:r>
      <w:proofErr w:type="spellStart"/>
      <w:r w:rsidRPr="00FC009C">
        <w:rPr>
          <w:rStyle w:val="Emphasis"/>
          <w:color w:val="auto"/>
        </w:rPr>
        <w:t>constablei</w:t>
      </w:r>
      <w:proofErr w:type="spellEnd"/>
      <w:r w:rsidRPr="00FC009C">
        <w:rPr>
          <w:color w:val="auto"/>
        </w:rPr>
        <w:t xml:space="preserve"> (</w:t>
      </w:r>
      <w:proofErr w:type="spellStart"/>
      <w:r w:rsidRPr="7FA35F82">
        <w:rPr>
          <w:rStyle w:val="Emphasis"/>
          <w:i w:val="0"/>
          <w:iCs w:val="0"/>
          <w:color w:val="auto"/>
        </w:rPr>
        <w:t>Narrabarba</w:t>
      </w:r>
      <w:proofErr w:type="spellEnd"/>
      <w:r w:rsidRPr="7FA35F82">
        <w:rPr>
          <w:rStyle w:val="Emphasis"/>
          <w:i w:val="0"/>
          <w:iCs w:val="0"/>
          <w:color w:val="auto"/>
        </w:rPr>
        <w:t xml:space="preserve"> wattle</w:t>
      </w:r>
      <w:r w:rsidRPr="00FC009C">
        <w:rPr>
          <w:color w:val="auto"/>
        </w:rPr>
        <w:t xml:space="preserve">) is proposed to be transferred from the </w:t>
      </w:r>
      <w:sdt>
        <w:sdtPr>
          <w:rPr>
            <w:color w:val="auto"/>
          </w:rPr>
          <w:id w:val="-720434868"/>
          <w:placeholder>
            <w:docPart w:val="398D8C0724D24EF09419E1D260F22EE0"/>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Pr="00FC009C">
            <w:rPr>
              <w:color w:val="auto"/>
            </w:rPr>
            <w:t>Vulnerable</w:t>
          </w:r>
        </w:sdtContent>
      </w:sdt>
      <w:r w:rsidRPr="00FC009C">
        <w:rPr>
          <w:color w:val="auto"/>
        </w:rPr>
        <w:t xml:space="preserve"> category to the </w:t>
      </w:r>
      <w:sdt>
        <w:sdtPr>
          <w:rPr>
            <w:color w:val="auto"/>
          </w:rPr>
          <w:id w:val="454379346"/>
          <w:placeholder>
            <w:docPart w:val="82409D6829DA4A0586D886AD3786661C"/>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Pr="00FC009C">
            <w:rPr>
              <w:color w:val="auto"/>
            </w:rPr>
            <w:t>Critically Endangered</w:t>
          </w:r>
        </w:sdtContent>
      </w:sdt>
      <w:r w:rsidRPr="00FC009C">
        <w:rPr>
          <w:color w:val="auto"/>
        </w:rPr>
        <w:t xml:space="preserve"> category of the threatened species list under the </w:t>
      </w:r>
      <w:r w:rsidRPr="00FC009C">
        <w:rPr>
          <w:rStyle w:val="Emphasis"/>
          <w:color w:val="auto"/>
        </w:rPr>
        <w:t>Environment Protection and Biodiversity Conservation Act 1999.</w:t>
      </w:r>
    </w:p>
    <w:p w14:paraId="05DB8922" w14:textId="74CBA522" w:rsidR="005E5902" w:rsidRPr="009722E4" w:rsidRDefault="006B264D" w:rsidP="005E5902">
      <w:pPr>
        <w:keepNext/>
        <w:keepLines/>
      </w:pPr>
      <w:r w:rsidRPr="20CB4E9E">
        <w:rPr>
          <w:rStyle w:val="Emphasis"/>
        </w:rPr>
        <w:t xml:space="preserve">Acacia </w:t>
      </w:r>
      <w:proofErr w:type="spellStart"/>
      <w:r w:rsidRPr="20CB4E9E">
        <w:rPr>
          <w:rStyle w:val="Emphasis"/>
        </w:rPr>
        <w:t>constablei</w:t>
      </w:r>
      <w:proofErr w:type="spellEnd"/>
      <w:r>
        <w:t xml:space="preserve"> (</w:t>
      </w:r>
      <w:proofErr w:type="spellStart"/>
      <w:r w:rsidRPr="20CB4E9E">
        <w:rPr>
          <w:rStyle w:val="Emphasis"/>
          <w:i w:val="0"/>
          <w:iCs w:val="0"/>
        </w:rPr>
        <w:t>Narrabarba</w:t>
      </w:r>
      <w:proofErr w:type="spellEnd"/>
      <w:r w:rsidRPr="20CB4E9E">
        <w:rPr>
          <w:rStyle w:val="Emphasis"/>
          <w:i w:val="0"/>
          <w:iCs w:val="0"/>
        </w:rPr>
        <w:t xml:space="preserve"> wattle</w:t>
      </w:r>
      <w:r>
        <w:t>)</w:t>
      </w:r>
      <w:r w:rsidR="005E5902" w:rsidRPr="006E3B57">
        <w:t xml:space="preserve"> </w:t>
      </w:r>
      <w:r w:rsidR="005E5902">
        <w:t>was</w:t>
      </w:r>
      <w:r w:rsidR="005E5902" w:rsidRPr="006D3581">
        <w:t xml:space="preserve"> listed in the</w:t>
      </w:r>
      <w:r w:rsidR="005E5902" w:rsidRPr="00D86EDB">
        <w:t xml:space="preserve"> </w:t>
      </w:r>
      <w:sdt>
        <w:sdtPr>
          <w:id w:val="1251469027"/>
          <w:placeholder>
            <w:docPart w:val="745B2CBB223B4D7A8836AC1CCC27CB9B"/>
          </w:placeholder>
          <w:dropDownList>
            <w:listItem w:displayText="Critically Endangered" w:value="Critically Endangered"/>
            <w:listItem w:displayText="Endangered" w:value="Endangered"/>
            <w:listItem w:displayText="Vulnerable" w:value="Vulnerable"/>
          </w:dropDownList>
        </w:sdtPr>
        <w:sdtEndPr/>
        <w:sdtContent>
          <w:r>
            <w:t>Vulnerable</w:t>
          </w:r>
        </w:sdtContent>
      </w:sdt>
      <w:r w:rsidR="005E5902" w:rsidRPr="006D3581">
        <w:t xml:space="preserve"> category of the threatened species list </w:t>
      </w:r>
      <w:r w:rsidR="005E5902" w:rsidRPr="00E31CB0">
        <w:t xml:space="preserve">under the </w:t>
      </w:r>
      <w:r w:rsidR="005E5902" w:rsidRPr="00E31CB0">
        <w:rPr>
          <w:rStyle w:val="Emphasis"/>
        </w:rPr>
        <w:t>Environment Protection and Biodiversity Conservation Act 1999</w:t>
      </w:r>
      <w:r w:rsidR="005E5902">
        <w:rPr>
          <w:rStyle w:val="Emphasis"/>
        </w:rPr>
        <w:t xml:space="preserve"> </w:t>
      </w:r>
      <w:r w:rsidR="005E5902" w:rsidRPr="006D3581">
        <w:t>effective from</w:t>
      </w:r>
      <w:r w:rsidR="005E5902">
        <w:t xml:space="preserve"> </w:t>
      </w:r>
      <w:sdt>
        <w:sdtPr>
          <w:tag w:val="dateofeffect"/>
          <w:id w:val="202990041"/>
          <w:placeholder>
            <w:docPart w:val="88720A0BAB5E4F2FB91F989BB8716177"/>
          </w:placeholder>
          <w:date w:fullDate="2000-07-16T00:00:00Z">
            <w:dateFormat w:val="d MMMM yyyy"/>
            <w:lid w:val="en-AU"/>
            <w:storeMappedDataAs w:val="dateTime"/>
            <w:calendar w:val="gregorian"/>
          </w:date>
        </w:sdtPr>
        <w:sdtEndPr/>
        <w:sdtContent>
          <w:r w:rsidR="005E5902">
            <w:t>16 July 2000</w:t>
          </w:r>
        </w:sdtContent>
      </w:sdt>
      <w:r w:rsidR="005E5902">
        <w:t xml:space="preserve">. </w:t>
      </w:r>
      <w:r w:rsidR="005E5902" w:rsidRPr="008564EB">
        <w:t xml:space="preserve">The species </w:t>
      </w:r>
      <w:r w:rsidR="005E5902">
        <w:t>was</w:t>
      </w:r>
      <w:r w:rsidR="005E5902" w:rsidRPr="008564EB">
        <w:t xml:space="preserve"> eligible for listing because prior to the EPBC Act, it was listed as </w:t>
      </w:r>
      <w:r w:rsidR="00097167">
        <w:t>Vulnerable</w:t>
      </w:r>
      <w:r w:rsidR="005E5902" w:rsidRPr="008564EB">
        <w:t xml:space="preserve"> under the </w:t>
      </w:r>
      <w:r w:rsidR="005E5902" w:rsidRPr="20CB4E9E">
        <w:rPr>
          <w:i/>
          <w:iCs/>
        </w:rPr>
        <w:t>Endangered Species Protection Act 1992</w:t>
      </w:r>
      <w:r w:rsidR="005E5902" w:rsidRPr="008564EB">
        <w:t xml:space="preserve"> (Cwlth)</w:t>
      </w:r>
      <w:r w:rsidR="005E5902">
        <w:t xml:space="preserve">. There was no listing advice </w:t>
      </w:r>
      <w:r w:rsidR="005E5902" w:rsidRPr="009722E4">
        <w:t>prepared for this species at that time.</w:t>
      </w:r>
    </w:p>
    <w:p w14:paraId="3076E162" w14:textId="578EBF2D" w:rsidR="004D2790" w:rsidRDefault="00564C0C" w:rsidP="20CB4E9E">
      <w:pPr>
        <w:keepNext/>
      </w:pPr>
      <w:r w:rsidRPr="20CB4E9E">
        <w:rPr>
          <w:rStyle w:val="Emphasis"/>
        </w:rPr>
        <w:t xml:space="preserve">Acacia </w:t>
      </w:r>
      <w:proofErr w:type="spellStart"/>
      <w:r w:rsidRPr="20CB4E9E">
        <w:rPr>
          <w:rStyle w:val="Emphasis"/>
        </w:rPr>
        <w:t>constablei</w:t>
      </w:r>
      <w:proofErr w:type="spellEnd"/>
      <w:r>
        <w:t xml:space="preserve"> </w:t>
      </w:r>
      <w:r w:rsidR="004D2790" w:rsidRPr="00606C35">
        <w:t>was assessed by the Threatened Species Scientific Committee</w:t>
      </w:r>
      <w:r w:rsidR="005306BA" w:rsidRPr="00606C35">
        <w:t xml:space="preserve"> to be eligible for listing</w:t>
      </w:r>
      <w:r w:rsidR="00512081">
        <w:t xml:space="preserve"> as</w:t>
      </w:r>
      <w:r w:rsidR="001573B8" w:rsidRPr="00606C35">
        <w:t xml:space="preserve"> </w:t>
      </w:r>
      <w:sdt>
        <w:sdtPr>
          <w:id w:val="257643898"/>
          <w:placeholder>
            <w:docPart w:val="758C746AF13946A9811A4F0C910F1861"/>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512081">
            <w:t>Critically Endangered</w:t>
          </w:r>
        </w:sdtContent>
      </w:sdt>
      <w:r w:rsidR="005306BA" w:rsidRPr="00606C35">
        <w:t xml:space="preserve"> </w:t>
      </w:r>
      <w:r w:rsidR="004D2790" w:rsidRPr="00606C35">
        <w:t xml:space="preserve">under </w:t>
      </w:r>
      <w:r w:rsidR="00606C35" w:rsidRPr="00606C35">
        <w:t xml:space="preserve">Criterion </w:t>
      </w:r>
      <w:r w:rsidR="004D2790" w:rsidRPr="00606C35">
        <w:t>2. The Committee’s assessment is at Attachment A</w:t>
      </w:r>
      <w:r w:rsidR="00972E40" w:rsidRPr="00606C35">
        <w:t xml:space="preserve">. </w:t>
      </w:r>
      <w:r w:rsidR="004D2790" w:rsidRPr="00606C35">
        <w:t>The Committee</w:t>
      </w:r>
      <w:r w:rsidR="003B2A51" w:rsidRPr="00606C35">
        <w:t>’s</w:t>
      </w:r>
      <w:r w:rsidR="004D2790" w:rsidRPr="00606C35">
        <w:t xml:space="preserve"> assessment of the species</w:t>
      </w:r>
      <w:r w:rsidR="009468FD" w:rsidRPr="00606C35">
        <w:t>’</w:t>
      </w:r>
      <w:r w:rsidR="004D2790">
        <w:t xml:space="preserve"> eligibility against each of the listing criteria is:</w:t>
      </w:r>
    </w:p>
    <w:p w14:paraId="3947617A" w14:textId="7D6BDD12" w:rsidR="004D2790" w:rsidRPr="00B45BF6" w:rsidRDefault="004D2790" w:rsidP="004D2790">
      <w:pPr>
        <w:pStyle w:val="ListBullet"/>
      </w:pPr>
      <w:r w:rsidRPr="00B45BF6">
        <w:t xml:space="preserve">Criterion 1: </w:t>
      </w:r>
      <w:r w:rsidR="008F1E15" w:rsidRPr="00B45BF6">
        <w:t>A2a</w:t>
      </w:r>
      <w:r w:rsidRPr="00B45BF6">
        <w:t xml:space="preserve">: </w:t>
      </w:r>
      <w:sdt>
        <w:sdtPr>
          <w:id w:val="77107183"/>
          <w:placeholder>
            <w:docPart w:val="0484546D0F4F45EA9C04A1B14001DCDC"/>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8F1E15" w:rsidRPr="00B45BF6">
            <w:t>Endangered</w:t>
          </w:r>
        </w:sdtContent>
      </w:sdt>
    </w:p>
    <w:p w14:paraId="02734E74" w14:textId="129202F1" w:rsidR="004D2790" w:rsidRPr="00B45BF6" w:rsidRDefault="004D2790" w:rsidP="004D2790">
      <w:pPr>
        <w:pStyle w:val="ListBullet"/>
      </w:pPr>
      <w:r w:rsidRPr="00B45BF6">
        <w:t>Criterion 2: B1</w:t>
      </w:r>
      <w:r w:rsidR="00903833" w:rsidRPr="00B45BF6">
        <w:t>ab(v)</w:t>
      </w:r>
      <w:r w:rsidR="00D17C18" w:rsidRPr="00B45BF6">
        <w:t>:</w:t>
      </w:r>
      <w:r w:rsidR="00A85421" w:rsidRPr="00B45BF6">
        <w:t xml:space="preserve"> </w:t>
      </w:r>
      <w:sdt>
        <w:sdtPr>
          <w:id w:val="-1042367401"/>
          <w:placeholder>
            <w:docPart w:val="02A5A86BB6DD49DBA761EAFCD7D19DE0"/>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B45BF6" w:rsidRPr="00B45BF6">
            <w:t>Critically Endangered</w:t>
          </w:r>
        </w:sdtContent>
      </w:sdt>
    </w:p>
    <w:p w14:paraId="1C957669" w14:textId="03915CB7" w:rsidR="004D2790" w:rsidRPr="00606C35" w:rsidRDefault="004D2790" w:rsidP="004D2790">
      <w:pPr>
        <w:pStyle w:val="ListBullet"/>
      </w:pPr>
      <w:r w:rsidRPr="00606C35">
        <w:t xml:space="preserve">Criterion 3: </w:t>
      </w:r>
      <w:r w:rsidR="00903833" w:rsidRPr="009F39F2">
        <w:t>C2a(</w:t>
      </w:r>
      <w:proofErr w:type="spellStart"/>
      <w:r w:rsidR="00903833" w:rsidRPr="009F39F2">
        <w:t>i</w:t>
      </w:r>
      <w:proofErr w:type="spellEnd"/>
      <w:r w:rsidR="00903833" w:rsidRPr="009F39F2">
        <w:t>)</w:t>
      </w:r>
      <w:r w:rsidR="00D17C18" w:rsidRPr="00606C35">
        <w:t>:</w:t>
      </w:r>
      <w:r w:rsidR="00606C35" w:rsidRPr="00606C35">
        <w:t xml:space="preserve"> </w:t>
      </w:r>
      <w:sdt>
        <w:sdtPr>
          <w:id w:val="-151294044"/>
          <w:placeholder>
            <w:docPart w:val="11F0F2031A634D10AC91FF2129CE91E0"/>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606C35" w:rsidRPr="00606C35">
            <w:t>Endangered</w:t>
          </w:r>
        </w:sdtContent>
      </w:sdt>
    </w:p>
    <w:p w14:paraId="2CEC4B74" w14:textId="27B7F4A7" w:rsidR="002E32CA" w:rsidRDefault="004D2790" w:rsidP="004D2790">
      <w:pPr>
        <w:pStyle w:val="ListBullet"/>
      </w:pPr>
      <w:r>
        <w:t xml:space="preserve">Criterion 4: </w:t>
      </w:r>
      <w:r w:rsidR="008F1E15">
        <w:t>D1</w:t>
      </w:r>
      <w:r w:rsidR="00D17C18">
        <w:t>:</w:t>
      </w:r>
      <w:r>
        <w:t xml:space="preserve"> </w:t>
      </w:r>
      <w:sdt>
        <w:sdtPr>
          <w:id w:val="-2084978900"/>
          <w:placeholder>
            <w:docPart w:val="5F2383C8766941788DA5FD5CBC5C37BE"/>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8F1E15">
            <w:t>Endangered</w:t>
          </w:r>
        </w:sdtContent>
      </w:sdt>
    </w:p>
    <w:p w14:paraId="1AC55B2F" w14:textId="1D48B3DB" w:rsidR="005306BA" w:rsidRDefault="004D2790" w:rsidP="003A06CA">
      <w:pPr>
        <w:pStyle w:val="ListBullet"/>
      </w:pPr>
      <w:r>
        <w:t xml:space="preserve">Criterion 5: </w:t>
      </w:r>
      <w:sdt>
        <w:sdtPr>
          <w:id w:val="1205373663"/>
          <w:placeholder>
            <w:docPart w:val="114DDC83347D4455BE243AAA3687BEA1"/>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8F1E15">
            <w:t>Insufficient data</w:t>
          </w:r>
        </w:sdtContent>
      </w:sdt>
    </w:p>
    <w:p w14:paraId="3A35DB0C" w14:textId="65DAB1FE" w:rsidR="00F32109" w:rsidRDefault="004D2790" w:rsidP="00F32109">
      <w:r w:rsidRPr="00E974D8">
        <w:t xml:space="preserve">The main factors that make the species eligible for listing in the </w:t>
      </w:r>
      <w:sdt>
        <w:sdtPr>
          <w:id w:val="-775248640"/>
          <w:placeholder>
            <w:docPart w:val="4252BEF7A05449EF8022554E206F1C7E"/>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4059AD" w:rsidRPr="00E974D8">
            <w:t>Critically Endangered</w:t>
          </w:r>
        </w:sdtContent>
      </w:sdt>
      <w:r w:rsidR="00624A10" w:rsidRPr="00E974D8">
        <w:t xml:space="preserve"> </w:t>
      </w:r>
      <w:r w:rsidRPr="00E974D8">
        <w:t xml:space="preserve">category </w:t>
      </w:r>
      <w:proofErr w:type="gramStart"/>
      <w:r w:rsidRPr="00E974D8">
        <w:t>ar</w:t>
      </w:r>
      <w:r w:rsidR="004059AD" w:rsidRPr="00E974D8">
        <w:t>e</w:t>
      </w:r>
      <w:proofErr w:type="gramEnd"/>
      <w:r w:rsidR="004059AD" w:rsidRPr="00E974D8">
        <w:t xml:space="preserve"> a </w:t>
      </w:r>
      <w:bookmarkStart w:id="4" w:name="_Hlk82437980"/>
      <w:r w:rsidR="00744F4C" w:rsidRPr="00E974D8">
        <w:t xml:space="preserve">very </w:t>
      </w:r>
      <w:r w:rsidR="00F32109" w:rsidRPr="00E974D8">
        <w:t>restricted distribution</w:t>
      </w:r>
      <w:r w:rsidR="00603A36">
        <w:t>, occurrence at a single</w:t>
      </w:r>
      <w:r w:rsidR="00F32109" w:rsidRPr="00E974D8">
        <w:t xml:space="preserve"> </w:t>
      </w:r>
      <w:r w:rsidR="006319F0" w:rsidRPr="00E974D8">
        <w:t>location,</w:t>
      </w:r>
      <w:r w:rsidR="00F32109" w:rsidRPr="00E974D8">
        <w:t xml:space="preserve"> and projected continuing decline in the number of mature individuals.</w:t>
      </w:r>
    </w:p>
    <w:bookmarkEnd w:id="4"/>
    <w:p w14:paraId="5F8A6FA9" w14:textId="77777777"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2" w:history="1">
        <w:r w:rsidR="00624A10" w:rsidRPr="00624A10">
          <w:rPr>
            <w:rStyle w:val="Hyperlink"/>
          </w:rPr>
          <w:t>Species Profile and Threat Database</w:t>
        </w:r>
      </w:hyperlink>
      <w:r w:rsidR="00624A10">
        <w:t>.</w:t>
      </w:r>
    </w:p>
    <w:p w14:paraId="5CEA8CAC" w14:textId="77777777" w:rsidR="006D3581" w:rsidRDefault="006D3581" w:rsidP="006D3581">
      <w:pPr>
        <w:pStyle w:val="Heading2"/>
        <w:ind w:left="720" w:hanging="720"/>
      </w:pPr>
      <w:r>
        <w:t>Species information</w:t>
      </w:r>
    </w:p>
    <w:p w14:paraId="2D238863" w14:textId="77777777" w:rsidR="006D3581" w:rsidRDefault="006D3581" w:rsidP="00476948">
      <w:pPr>
        <w:pStyle w:val="Heading3"/>
      </w:pPr>
      <w:r>
        <w:t>Taxonomy</w:t>
      </w:r>
    </w:p>
    <w:p w14:paraId="47341901" w14:textId="03C5D87F" w:rsidR="006D3581" w:rsidRDefault="006D3581" w:rsidP="006D3581">
      <w:bookmarkStart w:id="5" w:name="_Hlk46319676"/>
      <w:r w:rsidRPr="00F620AC">
        <w:t>Conventionally accepted as</w:t>
      </w:r>
      <w:r w:rsidR="00315D53" w:rsidRPr="00F620AC">
        <w:t xml:space="preserve"> </w:t>
      </w:r>
      <w:r w:rsidR="00315D53" w:rsidRPr="00F620AC">
        <w:rPr>
          <w:i/>
          <w:iCs/>
        </w:rPr>
        <w:t xml:space="preserve">Acacia </w:t>
      </w:r>
      <w:proofErr w:type="spellStart"/>
      <w:r w:rsidR="00315D53" w:rsidRPr="00F620AC">
        <w:rPr>
          <w:i/>
          <w:iCs/>
        </w:rPr>
        <w:t>constablei</w:t>
      </w:r>
      <w:proofErr w:type="spellEnd"/>
      <w:r w:rsidRPr="00F620AC">
        <w:t xml:space="preserve"> </w:t>
      </w:r>
      <w:r w:rsidR="001C176B" w:rsidRPr="00F620AC">
        <w:t>Tindale</w:t>
      </w:r>
      <w:r w:rsidR="00F620AC" w:rsidRPr="00F620AC">
        <w:t>, Family: Fabaceae.</w:t>
      </w:r>
    </w:p>
    <w:p w14:paraId="6066F1DD" w14:textId="3272CFAB" w:rsidR="008064B3" w:rsidRDefault="008064B3" w:rsidP="008064B3">
      <w:pPr>
        <w:pStyle w:val="Heading3"/>
      </w:pPr>
      <w:bookmarkStart w:id="6" w:name="_Ref445985062"/>
      <w:bookmarkStart w:id="7" w:name="_Toc409769199"/>
      <w:bookmarkStart w:id="8" w:name="_Toc454439316"/>
      <w:bookmarkEnd w:id="5"/>
      <w:r w:rsidRPr="008064B3">
        <w:t>Description</w:t>
      </w:r>
    </w:p>
    <w:p w14:paraId="5C08FBED" w14:textId="25DFD42E" w:rsidR="00315D53" w:rsidRDefault="00080AC9" w:rsidP="00315D53">
      <w:r w:rsidRPr="20CB4E9E">
        <w:rPr>
          <w:rStyle w:val="Emphasis"/>
          <w:i w:val="0"/>
          <w:iCs w:val="0"/>
        </w:rPr>
        <w:t xml:space="preserve">The </w:t>
      </w:r>
      <w:proofErr w:type="spellStart"/>
      <w:r w:rsidR="00667137" w:rsidRPr="20CB4E9E">
        <w:rPr>
          <w:rStyle w:val="Emphasis"/>
          <w:i w:val="0"/>
          <w:iCs w:val="0"/>
        </w:rPr>
        <w:t>Narrabarba</w:t>
      </w:r>
      <w:proofErr w:type="spellEnd"/>
      <w:r w:rsidR="00667137" w:rsidRPr="20CB4E9E">
        <w:rPr>
          <w:rStyle w:val="Emphasis"/>
          <w:i w:val="0"/>
          <w:iCs w:val="0"/>
        </w:rPr>
        <w:t xml:space="preserve"> wattle</w:t>
      </w:r>
      <w:r w:rsidR="00315D53">
        <w:t xml:space="preserve"> is an erect or spreading shrub or small tree with bipinnate leaves comprising 6–15 pairs of pinnae each with 9–30 pairs of pinnules (leaflets). </w:t>
      </w:r>
      <w:r w:rsidR="00970079">
        <w:t xml:space="preserve">The bark is smooth and light-grey and the branchlets are covered in a dense mat of short fine hairs and have characteristic knobbly ridges about 0.5 mm high (Briggs &amp; Leigh 1990). </w:t>
      </w:r>
      <w:r w:rsidR="003C445C">
        <w:t xml:space="preserve">The species has </w:t>
      </w:r>
      <w:r w:rsidR="00315D53">
        <w:t xml:space="preserve">pale yellow to white/cream flower heads </w:t>
      </w:r>
      <w:r w:rsidR="003C445C">
        <w:t xml:space="preserve">which are </w:t>
      </w:r>
      <w:r w:rsidR="00315D53">
        <w:t xml:space="preserve">globular and 5–7 mm </w:t>
      </w:r>
      <w:r w:rsidR="00603A36">
        <w:t xml:space="preserve">in </w:t>
      </w:r>
      <w:r w:rsidR="00315D53">
        <w:t>diameter (Harden 200</w:t>
      </w:r>
      <w:r w:rsidR="00C40DFD">
        <w:t>2</w:t>
      </w:r>
      <w:r w:rsidR="00315D53">
        <w:t>). Individuals mostly</w:t>
      </w:r>
      <w:r w:rsidR="00603A36">
        <w:t xml:space="preserve"> range</w:t>
      </w:r>
      <w:r w:rsidR="00315D53">
        <w:t xml:space="preserve"> from 1 to 3 m high but can grow to 7 m in sheltered situations (Orchard </w:t>
      </w:r>
      <w:r w:rsidR="006B36F2">
        <w:t xml:space="preserve">&amp; </w:t>
      </w:r>
      <w:r w:rsidR="00315D53">
        <w:t>Wilson 2001).</w:t>
      </w:r>
    </w:p>
    <w:p w14:paraId="704E1030" w14:textId="11C3150C" w:rsidR="001715F4" w:rsidRPr="00315D53" w:rsidRDefault="001715F4" w:rsidP="001715F4">
      <w:r>
        <w:t xml:space="preserve">The </w:t>
      </w:r>
      <w:proofErr w:type="spellStart"/>
      <w:r>
        <w:t>Narrabarba</w:t>
      </w:r>
      <w:proofErr w:type="spellEnd"/>
      <w:r>
        <w:t xml:space="preserve"> </w:t>
      </w:r>
      <w:r w:rsidR="00603A36">
        <w:t>w</w:t>
      </w:r>
      <w:r>
        <w:t xml:space="preserve">attle is most closely related to the widespread </w:t>
      </w:r>
      <w:r w:rsidR="00382EB5" w:rsidRPr="00382EB5">
        <w:rPr>
          <w:i/>
          <w:iCs/>
        </w:rPr>
        <w:t xml:space="preserve">Acacia </w:t>
      </w:r>
      <w:proofErr w:type="spellStart"/>
      <w:r w:rsidR="00382EB5" w:rsidRPr="00382EB5">
        <w:rPr>
          <w:i/>
          <w:iCs/>
        </w:rPr>
        <w:t>mearnsii</w:t>
      </w:r>
      <w:proofErr w:type="spellEnd"/>
      <w:r w:rsidR="00382EB5">
        <w:t xml:space="preserve"> (b</w:t>
      </w:r>
      <w:r>
        <w:t xml:space="preserve">lack </w:t>
      </w:r>
      <w:r w:rsidR="00382EB5">
        <w:t>w</w:t>
      </w:r>
      <w:r>
        <w:t>attle</w:t>
      </w:r>
      <w:r w:rsidR="00382EB5">
        <w:t>)</w:t>
      </w:r>
      <w:r>
        <w:t xml:space="preserve"> with which it occurs at the type locality, and to </w:t>
      </w:r>
      <w:r w:rsidR="00382EB5" w:rsidRPr="00382EB5">
        <w:rPr>
          <w:i/>
          <w:iCs/>
        </w:rPr>
        <w:t xml:space="preserve">Acacia </w:t>
      </w:r>
      <w:proofErr w:type="spellStart"/>
      <w:r w:rsidR="00382EB5" w:rsidRPr="00382EB5">
        <w:rPr>
          <w:i/>
          <w:iCs/>
        </w:rPr>
        <w:t>nanodealbata</w:t>
      </w:r>
      <w:proofErr w:type="spellEnd"/>
      <w:r w:rsidR="00382EB5">
        <w:t xml:space="preserve"> (d</w:t>
      </w:r>
      <w:r>
        <w:t xml:space="preserve">warf </w:t>
      </w:r>
      <w:r w:rsidR="00382EB5">
        <w:t>s</w:t>
      </w:r>
      <w:r>
        <w:t>ilver-wattle</w:t>
      </w:r>
      <w:r w:rsidR="00382EB5">
        <w:t>)</w:t>
      </w:r>
      <w:r>
        <w:t>, a Victorian endemic</w:t>
      </w:r>
      <w:r w:rsidR="003C445C">
        <w:t xml:space="preserve"> species</w:t>
      </w:r>
      <w:r w:rsidR="00382EB5">
        <w:t xml:space="preserve"> (</w:t>
      </w:r>
      <w:r w:rsidR="00354C29" w:rsidRPr="000642DF">
        <w:t>NPWS 200</w:t>
      </w:r>
      <w:r w:rsidR="00354C29">
        <w:t xml:space="preserve">2). </w:t>
      </w:r>
    </w:p>
    <w:p w14:paraId="523D15C8" w14:textId="0DD2041D" w:rsidR="008064B3" w:rsidRPr="008064B3" w:rsidRDefault="008064B3" w:rsidP="008064B3">
      <w:pPr>
        <w:pStyle w:val="Heading3"/>
      </w:pPr>
      <w:r w:rsidRPr="008064B3">
        <w:lastRenderedPageBreak/>
        <w:t>Distribution</w:t>
      </w:r>
    </w:p>
    <w:p w14:paraId="2A52D6EB" w14:textId="37B831F9" w:rsidR="000B0E43" w:rsidRDefault="005D6CB2" w:rsidP="20CB4E9E">
      <w:r>
        <w:t xml:space="preserve">The </w:t>
      </w:r>
      <w:proofErr w:type="spellStart"/>
      <w:r>
        <w:t>Narrabarba</w:t>
      </w:r>
      <w:proofErr w:type="spellEnd"/>
      <w:r>
        <w:t xml:space="preserve"> wattle is endemic to</w:t>
      </w:r>
      <w:r w:rsidR="009F643D">
        <w:t xml:space="preserve"> the </w:t>
      </w:r>
      <w:proofErr w:type="spellStart"/>
      <w:r w:rsidR="102BF3E7">
        <w:t>Narrabarba</w:t>
      </w:r>
      <w:proofErr w:type="spellEnd"/>
      <w:r w:rsidR="102BF3E7">
        <w:t xml:space="preserve"> </w:t>
      </w:r>
      <w:r w:rsidR="00680123">
        <w:t xml:space="preserve">and Green Cape </w:t>
      </w:r>
      <w:r w:rsidR="009F643D">
        <w:t xml:space="preserve">areas </w:t>
      </w:r>
      <w:r w:rsidR="102BF3E7">
        <w:t xml:space="preserve">south of Eden on the </w:t>
      </w:r>
      <w:r>
        <w:t xml:space="preserve">South Coast of New South Wales (NSW). The species is known from </w:t>
      </w:r>
      <w:r w:rsidR="008A25FE">
        <w:t xml:space="preserve">three </w:t>
      </w:r>
      <w:r w:rsidR="00277AED">
        <w:t>subpopulation</w:t>
      </w:r>
      <w:r w:rsidR="0052048E">
        <w:t>s</w:t>
      </w:r>
      <w:r w:rsidR="008A25FE">
        <w:t xml:space="preserve">. One </w:t>
      </w:r>
      <w:r w:rsidR="00194059">
        <w:t xml:space="preserve">occurs </w:t>
      </w:r>
      <w:r w:rsidR="00277AED">
        <w:t xml:space="preserve">across </w:t>
      </w:r>
      <w:r w:rsidR="001A1FA3">
        <w:t>seven</w:t>
      </w:r>
      <w:r w:rsidR="006C290D">
        <w:t xml:space="preserve"> rocky outcrops on and around </w:t>
      </w:r>
      <w:proofErr w:type="spellStart"/>
      <w:r w:rsidR="003F41E5">
        <w:t>Narrabarba</w:t>
      </w:r>
      <w:proofErr w:type="spellEnd"/>
      <w:r w:rsidR="003F41E5">
        <w:t xml:space="preserve"> Hill</w:t>
      </w:r>
      <w:r w:rsidR="009A3D78">
        <w:t>,</w:t>
      </w:r>
      <w:r w:rsidR="003F41E5">
        <w:t xml:space="preserve"> and </w:t>
      </w:r>
      <w:r w:rsidR="00194059">
        <w:t xml:space="preserve">another </w:t>
      </w:r>
      <w:r w:rsidR="009A3D78">
        <w:t xml:space="preserve">occurs on one rocky outcrop </w:t>
      </w:r>
      <w:r>
        <w:t xml:space="preserve">1.4 km to the north of </w:t>
      </w:r>
      <w:proofErr w:type="spellStart"/>
      <w:r>
        <w:t>Narrabarba</w:t>
      </w:r>
      <w:proofErr w:type="spellEnd"/>
      <w:r>
        <w:t xml:space="preserve"> Hill on the other side of the </w:t>
      </w:r>
      <w:proofErr w:type="spellStart"/>
      <w:r>
        <w:t>Wonboyn</w:t>
      </w:r>
      <w:proofErr w:type="spellEnd"/>
      <w:r>
        <w:t xml:space="preserve"> </w:t>
      </w:r>
      <w:r w:rsidRPr="008A25FE">
        <w:t>River</w:t>
      </w:r>
      <w:r w:rsidR="009F643D">
        <w:t xml:space="preserve"> (see Table 1)</w:t>
      </w:r>
      <w:r w:rsidRPr="008A25FE">
        <w:t>.</w:t>
      </w:r>
      <w:r w:rsidR="008220DF" w:rsidRPr="008A25FE">
        <w:t xml:space="preserve"> </w:t>
      </w:r>
      <w:r w:rsidR="001B29E3" w:rsidRPr="008A25FE">
        <w:t xml:space="preserve">Both </w:t>
      </w:r>
      <w:r w:rsidR="008A25FE">
        <w:t xml:space="preserve">these </w:t>
      </w:r>
      <w:r w:rsidR="001B29E3" w:rsidRPr="008A25FE">
        <w:t>subpopulations</w:t>
      </w:r>
      <w:r w:rsidR="00550B60" w:rsidRPr="008A25FE">
        <w:t xml:space="preserve"> </w:t>
      </w:r>
      <w:r w:rsidR="00550B60">
        <w:t xml:space="preserve">are in </w:t>
      </w:r>
      <w:r w:rsidR="008220DF">
        <w:t xml:space="preserve">the </w:t>
      </w:r>
      <w:proofErr w:type="spellStart"/>
      <w:r w:rsidR="008220DF">
        <w:t>Narrabarba</w:t>
      </w:r>
      <w:proofErr w:type="spellEnd"/>
      <w:r w:rsidR="008220DF">
        <w:t xml:space="preserve"> Hill Flora Reserve</w:t>
      </w:r>
      <w:r w:rsidR="4287DE72">
        <w:t>,</w:t>
      </w:r>
      <w:r w:rsidR="00721392">
        <w:t xml:space="preserve"> </w:t>
      </w:r>
      <w:r w:rsidR="00D95109">
        <w:t xml:space="preserve">which </w:t>
      </w:r>
      <w:proofErr w:type="gramStart"/>
      <w:r w:rsidR="0052763A">
        <w:t>is located in</w:t>
      </w:r>
      <w:proofErr w:type="gramEnd"/>
      <w:r w:rsidR="0052763A">
        <w:t xml:space="preserve"> </w:t>
      </w:r>
      <w:proofErr w:type="spellStart"/>
      <w:r w:rsidR="00D95109">
        <w:t>Nadgee</w:t>
      </w:r>
      <w:proofErr w:type="spellEnd"/>
      <w:r w:rsidR="00D95109">
        <w:t xml:space="preserve"> State Forest </w:t>
      </w:r>
      <w:r w:rsidR="00597FC4">
        <w:t xml:space="preserve">and managed by the Forestry Corporation of NSW </w:t>
      </w:r>
      <w:r w:rsidR="008220DF">
        <w:t>(</w:t>
      </w:r>
      <w:r w:rsidR="00A2412A">
        <w:t>Forestry Corporation</w:t>
      </w:r>
      <w:r w:rsidR="00531B09">
        <w:t xml:space="preserve"> of NSW</w:t>
      </w:r>
      <w:r w:rsidR="00A2412A">
        <w:t xml:space="preserve"> 2015</w:t>
      </w:r>
      <w:r w:rsidR="008220DF">
        <w:t>).</w:t>
      </w:r>
      <w:r w:rsidR="008A25FE">
        <w:t xml:space="preserve"> </w:t>
      </w:r>
      <w:r w:rsidR="008A25FE" w:rsidRPr="008A25FE">
        <w:t xml:space="preserve">The third subpopulation is located near </w:t>
      </w:r>
      <w:r w:rsidR="00691F56">
        <w:rPr>
          <w:rFonts w:eastAsia="Times New Roman"/>
          <w:color w:val="000000"/>
        </w:rPr>
        <w:t xml:space="preserve">a </w:t>
      </w:r>
      <w:r w:rsidR="008A25FE" w:rsidRPr="00177A66">
        <w:rPr>
          <w:rFonts w:eastAsia="Times New Roman"/>
          <w:color w:val="000000"/>
        </w:rPr>
        <w:t xml:space="preserve">clifftop </w:t>
      </w:r>
      <w:r w:rsidR="00680123">
        <w:rPr>
          <w:rFonts w:eastAsia="Times New Roman"/>
          <w:color w:val="000000"/>
        </w:rPr>
        <w:t xml:space="preserve">at </w:t>
      </w:r>
      <w:r w:rsidR="008A25FE" w:rsidRPr="008A25FE">
        <w:t>Green Cape in</w:t>
      </w:r>
      <w:r w:rsidR="008A25FE">
        <w:t xml:space="preserve"> Ben Boyd National Park</w:t>
      </w:r>
      <w:r w:rsidR="00691F56">
        <w:t xml:space="preserve"> (</w:t>
      </w:r>
      <w:bookmarkStart w:id="9" w:name="_Hlk90312046"/>
      <w:r w:rsidR="00691F56">
        <w:t>G</w:t>
      </w:r>
      <w:r w:rsidR="00691F56" w:rsidRPr="00E03784">
        <w:t xml:space="preserve"> </w:t>
      </w:r>
      <w:r w:rsidR="00691F56">
        <w:t>Phillips</w:t>
      </w:r>
      <w:r w:rsidR="00691F56" w:rsidRPr="00E03784">
        <w:t xml:space="preserve">, pers comm. </w:t>
      </w:r>
      <w:r w:rsidR="00691F56">
        <w:t>23</w:t>
      </w:r>
      <w:r w:rsidR="00691F56" w:rsidRPr="00E03784">
        <w:t xml:space="preserve"> November 2021</w:t>
      </w:r>
      <w:bookmarkEnd w:id="9"/>
      <w:r w:rsidR="00691F56">
        <w:t>)</w:t>
      </w:r>
      <w:r w:rsidR="009F643D">
        <w:t xml:space="preserve"> (see Table 1)</w:t>
      </w:r>
      <w:r w:rsidR="00691F56">
        <w:t xml:space="preserve">. </w:t>
      </w:r>
      <w:r w:rsidR="008A25FE" w:rsidRPr="008A25FE">
        <w:t xml:space="preserve"> </w:t>
      </w:r>
      <w:r w:rsidR="00764A67" w:rsidRPr="005C62F2">
        <w:t xml:space="preserve">However, the plants at </w:t>
      </w:r>
      <w:r w:rsidR="00C66D01" w:rsidRPr="005C62F2">
        <w:t>Green Cape</w:t>
      </w:r>
      <w:r w:rsidR="00764A67" w:rsidRPr="005C62F2">
        <w:t xml:space="preserve"> show variable characteristics that intergrade between </w:t>
      </w:r>
      <w:r w:rsidR="00C66D01" w:rsidRPr="005C62F2">
        <w:t xml:space="preserve">the </w:t>
      </w:r>
      <w:proofErr w:type="spellStart"/>
      <w:r w:rsidR="00C66D01" w:rsidRPr="005C62F2">
        <w:t>Narrabarba</w:t>
      </w:r>
      <w:proofErr w:type="spellEnd"/>
      <w:r w:rsidR="00C66D01" w:rsidRPr="005C62F2">
        <w:t xml:space="preserve"> wattle </w:t>
      </w:r>
      <w:r w:rsidR="00764A67" w:rsidRPr="005C62F2">
        <w:t xml:space="preserve">and </w:t>
      </w:r>
      <w:r w:rsidR="00C66D01" w:rsidRPr="005C62F2">
        <w:t xml:space="preserve">black </w:t>
      </w:r>
      <w:proofErr w:type="gramStart"/>
      <w:r w:rsidR="00C66D01" w:rsidRPr="005C62F2">
        <w:t>wattle</w:t>
      </w:r>
      <w:proofErr w:type="gramEnd"/>
      <w:r w:rsidR="00C66D01" w:rsidRPr="005C62F2">
        <w:t xml:space="preserve"> </w:t>
      </w:r>
      <w:r w:rsidR="00764A67" w:rsidRPr="005C62F2">
        <w:t>and identification can be difficult</w:t>
      </w:r>
      <w:r w:rsidR="00580CAA" w:rsidRPr="005C62F2">
        <w:t xml:space="preserve"> (</w:t>
      </w:r>
      <w:r w:rsidR="00A14C6C">
        <w:t xml:space="preserve">Miles </w:t>
      </w:r>
      <w:r w:rsidR="00580CAA" w:rsidRPr="005C62F2">
        <w:t>2022)</w:t>
      </w:r>
      <w:r w:rsidR="00764A67" w:rsidRPr="005C62F2">
        <w:t>.</w:t>
      </w:r>
      <w:r w:rsidR="00764A67">
        <w:t xml:space="preserve"> </w:t>
      </w:r>
    </w:p>
    <w:p w14:paraId="6CCD5B88" w14:textId="0A8ACA7B" w:rsidR="00AC3EAA" w:rsidRPr="001A1FA3" w:rsidRDefault="00AC3EAA" w:rsidP="00AC3EAA">
      <w:pPr>
        <w:pStyle w:val="Default"/>
        <w:spacing w:after="200" w:line="276" w:lineRule="auto"/>
        <w:rPr>
          <w:rFonts w:asciiTheme="majorHAnsi" w:hAnsiTheme="majorHAnsi"/>
          <w:sz w:val="22"/>
          <w:szCs w:val="22"/>
        </w:rPr>
      </w:pPr>
      <w:r w:rsidRPr="001A1FA3">
        <w:rPr>
          <w:rFonts w:asciiTheme="majorHAnsi" w:hAnsiTheme="majorHAnsi"/>
          <w:sz w:val="22"/>
          <w:szCs w:val="22"/>
        </w:rPr>
        <w:t xml:space="preserve">The </w:t>
      </w:r>
      <w:proofErr w:type="spellStart"/>
      <w:r w:rsidRPr="001A1FA3">
        <w:rPr>
          <w:rFonts w:asciiTheme="majorHAnsi" w:hAnsiTheme="majorHAnsi"/>
          <w:sz w:val="22"/>
          <w:szCs w:val="22"/>
        </w:rPr>
        <w:t>Narrabarba</w:t>
      </w:r>
      <w:proofErr w:type="spellEnd"/>
      <w:r w:rsidRPr="001A1FA3">
        <w:rPr>
          <w:rFonts w:asciiTheme="majorHAnsi" w:hAnsiTheme="majorHAnsi"/>
          <w:sz w:val="22"/>
          <w:szCs w:val="22"/>
        </w:rPr>
        <w:t xml:space="preserve"> wattle occurs within the </w:t>
      </w:r>
      <w:proofErr w:type="gramStart"/>
      <w:r w:rsidRPr="001A1FA3">
        <w:rPr>
          <w:rFonts w:asciiTheme="majorHAnsi" w:hAnsiTheme="majorHAnsi"/>
          <w:sz w:val="22"/>
          <w:szCs w:val="22"/>
        </w:rPr>
        <w:t>South East</w:t>
      </w:r>
      <w:proofErr w:type="gramEnd"/>
      <w:r w:rsidRPr="001A1FA3">
        <w:rPr>
          <w:rFonts w:asciiTheme="majorHAnsi" w:hAnsiTheme="majorHAnsi"/>
          <w:sz w:val="22"/>
          <w:szCs w:val="22"/>
        </w:rPr>
        <w:t xml:space="preserve"> Corner Bioregion (</w:t>
      </w:r>
      <w:r w:rsidR="00316F49" w:rsidRPr="001A1FA3">
        <w:rPr>
          <w:rFonts w:asciiTheme="majorHAnsi" w:hAnsiTheme="majorHAnsi"/>
          <w:sz w:val="22"/>
          <w:szCs w:val="22"/>
        </w:rPr>
        <w:t>DAWE</w:t>
      </w:r>
      <w:r w:rsidRPr="001A1FA3">
        <w:rPr>
          <w:rFonts w:asciiTheme="majorHAnsi" w:hAnsiTheme="majorHAnsi"/>
          <w:sz w:val="22"/>
          <w:szCs w:val="22"/>
        </w:rPr>
        <w:t xml:space="preserve"> 2012) and South East Local Land Services region (NRM </w:t>
      </w:r>
      <w:r w:rsidR="00EC12A8" w:rsidRPr="001A1FA3">
        <w:rPr>
          <w:rFonts w:asciiTheme="majorHAnsi" w:hAnsiTheme="majorHAnsi"/>
          <w:sz w:val="22"/>
          <w:szCs w:val="22"/>
        </w:rPr>
        <w:t>Regions Australian 2021</w:t>
      </w:r>
      <w:r w:rsidRPr="001A1FA3">
        <w:rPr>
          <w:rFonts w:asciiTheme="majorHAnsi" w:hAnsiTheme="majorHAnsi"/>
          <w:sz w:val="22"/>
          <w:szCs w:val="22"/>
        </w:rPr>
        <w:t>).</w:t>
      </w:r>
      <w:r w:rsidR="00C51C64">
        <w:rPr>
          <w:rFonts w:asciiTheme="majorHAnsi" w:hAnsiTheme="majorHAnsi"/>
          <w:sz w:val="22"/>
          <w:szCs w:val="22"/>
        </w:rPr>
        <w:t xml:space="preserve"> </w:t>
      </w:r>
    </w:p>
    <w:p w14:paraId="72FE27FF" w14:textId="060DD0D8" w:rsidR="00E3624B" w:rsidRDefault="00FD0939" w:rsidP="00FD0939">
      <w:pPr>
        <w:rPr>
          <w:b/>
          <w:bCs/>
        </w:rPr>
      </w:pPr>
      <w:r w:rsidRPr="00B058A7">
        <w:rPr>
          <w:b/>
          <w:bCs/>
        </w:rPr>
        <w:t xml:space="preserve">Table 1. </w:t>
      </w:r>
      <w:proofErr w:type="spellStart"/>
      <w:r w:rsidRPr="00B058A7">
        <w:rPr>
          <w:b/>
          <w:bCs/>
        </w:rPr>
        <w:t>Narrabarba</w:t>
      </w:r>
      <w:proofErr w:type="spellEnd"/>
      <w:r w:rsidRPr="00B058A7">
        <w:rPr>
          <w:b/>
          <w:bCs/>
        </w:rPr>
        <w:t xml:space="preserve"> wattle </w:t>
      </w:r>
      <w:r w:rsidR="008E09EC">
        <w:rPr>
          <w:b/>
          <w:bCs/>
        </w:rPr>
        <w:t xml:space="preserve">survey </w:t>
      </w:r>
      <w:r w:rsidR="0076739E">
        <w:rPr>
          <w:b/>
          <w:bCs/>
        </w:rPr>
        <w:t>data</w:t>
      </w:r>
      <w:r w:rsidR="00E3624B">
        <w:rPr>
          <w:b/>
          <w:bCs/>
        </w:rPr>
        <w:t>*</w:t>
      </w:r>
      <w:r>
        <w:rPr>
          <w:b/>
          <w:bCs/>
        </w:rPr>
        <w:t xml:space="preserve"> </w:t>
      </w:r>
    </w:p>
    <w:tbl>
      <w:tblPr>
        <w:tblStyle w:val="TableGrid"/>
        <w:tblW w:w="9129" w:type="dxa"/>
        <w:tblLook w:val="04A0" w:firstRow="1" w:lastRow="0" w:firstColumn="1" w:lastColumn="0" w:noHBand="0" w:noVBand="1"/>
      </w:tblPr>
      <w:tblGrid>
        <w:gridCol w:w="1047"/>
        <w:gridCol w:w="1757"/>
        <w:gridCol w:w="2198"/>
        <w:gridCol w:w="1380"/>
        <w:gridCol w:w="2747"/>
      </w:tblGrid>
      <w:tr w:rsidR="00601BFE" w14:paraId="51F0DAAD" w14:textId="77777777" w:rsidTr="7FA35F82">
        <w:tc>
          <w:tcPr>
            <w:tcW w:w="1047" w:type="dxa"/>
          </w:tcPr>
          <w:p w14:paraId="65EEBA0E" w14:textId="77777777" w:rsidR="00601BFE" w:rsidRDefault="00601BFE" w:rsidP="00EF37A3">
            <w:pPr>
              <w:pStyle w:val="TableHeading"/>
            </w:pPr>
            <w:r>
              <w:t>Date</w:t>
            </w:r>
          </w:p>
        </w:tc>
        <w:tc>
          <w:tcPr>
            <w:tcW w:w="1757" w:type="dxa"/>
          </w:tcPr>
          <w:p w14:paraId="126494AA" w14:textId="13203692" w:rsidR="00601BFE" w:rsidRDefault="00601BFE" w:rsidP="00EF37A3">
            <w:pPr>
              <w:pStyle w:val="TableHeading"/>
              <w:rPr>
                <w:rFonts w:ascii="Arial" w:hAnsi="Arial" w:cs="Arial"/>
              </w:rPr>
            </w:pPr>
            <w:r w:rsidRPr="7FA35F82">
              <w:rPr>
                <w:rFonts w:ascii="Arial" w:hAnsi="Arial" w:cs="Arial"/>
              </w:rPr>
              <w:t>No. of rocky outcrops</w:t>
            </w:r>
            <w:r w:rsidR="5C778780" w:rsidRPr="7FA35F82">
              <w:rPr>
                <w:rFonts w:ascii="Arial" w:hAnsi="Arial" w:cs="Arial"/>
              </w:rPr>
              <w:t xml:space="preserve"> surveyed</w:t>
            </w:r>
            <w:r w:rsidRPr="7FA35F82">
              <w:rPr>
                <w:rFonts w:ascii="Arial" w:hAnsi="Arial" w:cs="Arial"/>
              </w:rPr>
              <w:t xml:space="preserve"> </w:t>
            </w:r>
          </w:p>
        </w:tc>
        <w:tc>
          <w:tcPr>
            <w:tcW w:w="2198" w:type="dxa"/>
          </w:tcPr>
          <w:p w14:paraId="37A7EE9D" w14:textId="77777777" w:rsidR="00601BFE" w:rsidRDefault="00601BFE" w:rsidP="00EF37A3">
            <w:pPr>
              <w:pStyle w:val="TableHeading"/>
              <w:rPr>
                <w:rFonts w:ascii="Arial" w:hAnsi="Arial" w:cs="Arial"/>
              </w:rPr>
            </w:pPr>
            <w:r>
              <w:rPr>
                <w:rFonts w:ascii="Arial" w:hAnsi="Arial" w:cs="Arial"/>
              </w:rPr>
              <w:t>Subpopulation</w:t>
            </w:r>
          </w:p>
        </w:tc>
        <w:tc>
          <w:tcPr>
            <w:tcW w:w="1380" w:type="dxa"/>
          </w:tcPr>
          <w:p w14:paraId="4079C0FF" w14:textId="5669F3B2" w:rsidR="00601BFE" w:rsidRDefault="00601BFE" w:rsidP="00EF37A3">
            <w:pPr>
              <w:pStyle w:val="TableHeading"/>
            </w:pPr>
            <w:r>
              <w:rPr>
                <w:rFonts w:ascii="Arial" w:hAnsi="Arial" w:cs="Arial"/>
              </w:rPr>
              <w:t>Seedlings (approx.)</w:t>
            </w:r>
          </w:p>
        </w:tc>
        <w:tc>
          <w:tcPr>
            <w:tcW w:w="2747" w:type="dxa"/>
          </w:tcPr>
          <w:p w14:paraId="19EDC6D0" w14:textId="77777777" w:rsidR="00601BFE" w:rsidRDefault="00601BFE" w:rsidP="00EF37A3">
            <w:pPr>
              <w:pStyle w:val="TableHeading"/>
            </w:pPr>
            <w:r>
              <w:rPr>
                <w:rFonts w:ascii="Arial" w:hAnsi="Arial" w:cs="Arial"/>
              </w:rPr>
              <w:t>Mature individuals</w:t>
            </w:r>
          </w:p>
        </w:tc>
      </w:tr>
      <w:tr w:rsidR="00601BFE" w14:paraId="740466C9" w14:textId="77777777" w:rsidTr="7FA35F82">
        <w:tc>
          <w:tcPr>
            <w:tcW w:w="1047" w:type="dxa"/>
            <w:vMerge w:val="restart"/>
          </w:tcPr>
          <w:p w14:paraId="2001F2C5" w14:textId="77777777" w:rsidR="00601BFE" w:rsidRDefault="00601BFE" w:rsidP="00EF37A3">
            <w:pPr>
              <w:pStyle w:val="TableText"/>
            </w:pPr>
            <w:r>
              <w:t>July 1986</w:t>
            </w:r>
          </w:p>
        </w:tc>
        <w:tc>
          <w:tcPr>
            <w:tcW w:w="1757" w:type="dxa"/>
            <w:vMerge w:val="restart"/>
          </w:tcPr>
          <w:p w14:paraId="05CB33D4" w14:textId="77777777" w:rsidR="00601BFE" w:rsidRPr="005D6CB2" w:rsidRDefault="00601BFE" w:rsidP="00EF37A3">
            <w:pPr>
              <w:pStyle w:val="TableText"/>
            </w:pPr>
            <w:r>
              <w:t>4</w:t>
            </w:r>
          </w:p>
        </w:tc>
        <w:tc>
          <w:tcPr>
            <w:tcW w:w="2198" w:type="dxa"/>
          </w:tcPr>
          <w:p w14:paraId="5F9011B3" w14:textId="77777777" w:rsidR="00601BFE" w:rsidRDefault="00601BFE" w:rsidP="00EF37A3">
            <w:pPr>
              <w:pStyle w:val="TableText"/>
            </w:pPr>
            <w:proofErr w:type="spellStart"/>
            <w:r w:rsidRPr="005D6CB2">
              <w:t>Narrabarba</w:t>
            </w:r>
            <w:proofErr w:type="spellEnd"/>
            <w:r w:rsidRPr="005D6CB2">
              <w:t xml:space="preserve"> </w:t>
            </w:r>
            <w:r>
              <w:t>Hill</w:t>
            </w:r>
          </w:p>
        </w:tc>
        <w:tc>
          <w:tcPr>
            <w:tcW w:w="1380" w:type="dxa"/>
          </w:tcPr>
          <w:p w14:paraId="3503D705" w14:textId="77777777" w:rsidR="00601BFE" w:rsidRDefault="00601BFE" w:rsidP="00EF37A3">
            <w:pPr>
              <w:pStyle w:val="TableText"/>
            </w:pPr>
            <w:r>
              <w:t xml:space="preserve">3200+ </w:t>
            </w:r>
          </w:p>
          <w:p w14:paraId="6F5CB03B" w14:textId="77777777" w:rsidR="00601BFE" w:rsidRPr="00AF3B74" w:rsidRDefault="00601BFE" w:rsidP="00EF37A3">
            <w:pPr>
              <w:pStyle w:val="TableText"/>
            </w:pPr>
            <w:r>
              <w:t>(</w:t>
            </w:r>
            <w:proofErr w:type="gramStart"/>
            <w:r>
              <w:t>small</w:t>
            </w:r>
            <w:proofErr w:type="gramEnd"/>
            <w:r>
              <w:t xml:space="preserve"> plants)</w:t>
            </w:r>
          </w:p>
        </w:tc>
        <w:tc>
          <w:tcPr>
            <w:tcW w:w="2747" w:type="dxa"/>
          </w:tcPr>
          <w:p w14:paraId="51E1CA55" w14:textId="77777777" w:rsidR="00601BFE" w:rsidRDefault="00601BFE" w:rsidP="00EF37A3">
            <w:pPr>
              <w:pStyle w:val="TableText"/>
            </w:pPr>
            <w:r>
              <w:t xml:space="preserve">200 </w:t>
            </w:r>
          </w:p>
          <w:p w14:paraId="5E1C054E" w14:textId="77777777" w:rsidR="00601BFE" w:rsidRDefault="00601BFE" w:rsidP="00EF37A3">
            <w:pPr>
              <w:pStyle w:val="TableText"/>
            </w:pPr>
            <w:r>
              <w:t xml:space="preserve">(described as several </w:t>
            </w:r>
            <w:proofErr w:type="gramStart"/>
            <w:r>
              <w:t>hundred )</w:t>
            </w:r>
            <w:proofErr w:type="gramEnd"/>
          </w:p>
        </w:tc>
      </w:tr>
      <w:tr w:rsidR="00601BFE" w14:paraId="50E6AEF3" w14:textId="77777777" w:rsidTr="7FA35F82">
        <w:tc>
          <w:tcPr>
            <w:tcW w:w="1047" w:type="dxa"/>
            <w:vMerge/>
          </w:tcPr>
          <w:p w14:paraId="67E82AF9" w14:textId="77777777" w:rsidR="00601BFE" w:rsidRDefault="00601BFE" w:rsidP="00EF37A3">
            <w:pPr>
              <w:pStyle w:val="TableText"/>
            </w:pPr>
          </w:p>
        </w:tc>
        <w:tc>
          <w:tcPr>
            <w:tcW w:w="1757" w:type="dxa"/>
            <w:vMerge/>
          </w:tcPr>
          <w:p w14:paraId="50C57955" w14:textId="77777777" w:rsidR="00601BFE" w:rsidRDefault="00601BFE" w:rsidP="00EF37A3">
            <w:pPr>
              <w:pStyle w:val="TableText"/>
            </w:pPr>
          </w:p>
        </w:tc>
        <w:tc>
          <w:tcPr>
            <w:tcW w:w="2198" w:type="dxa"/>
          </w:tcPr>
          <w:p w14:paraId="42CC9AC7" w14:textId="77777777" w:rsidR="00601BFE" w:rsidRDefault="00601BFE" w:rsidP="00EF37A3">
            <w:pPr>
              <w:pStyle w:val="TableText"/>
            </w:pPr>
            <w:r>
              <w:t xml:space="preserve">North of </w:t>
            </w:r>
            <w:proofErr w:type="spellStart"/>
            <w:r w:rsidRPr="005D6CB2">
              <w:t>Wonboyn</w:t>
            </w:r>
            <w:proofErr w:type="spellEnd"/>
            <w:r w:rsidRPr="005D6CB2">
              <w:t xml:space="preserve"> River</w:t>
            </w:r>
          </w:p>
        </w:tc>
        <w:tc>
          <w:tcPr>
            <w:tcW w:w="1380" w:type="dxa"/>
          </w:tcPr>
          <w:p w14:paraId="3E5AA986" w14:textId="77777777" w:rsidR="00601BFE" w:rsidRDefault="00601BFE" w:rsidP="00EF37A3">
            <w:pPr>
              <w:pStyle w:val="TableText"/>
            </w:pPr>
            <w:r>
              <w:t>-</w:t>
            </w:r>
          </w:p>
        </w:tc>
        <w:tc>
          <w:tcPr>
            <w:tcW w:w="2747" w:type="dxa"/>
          </w:tcPr>
          <w:p w14:paraId="37263C5E" w14:textId="77777777" w:rsidR="00601BFE" w:rsidRDefault="00601BFE" w:rsidP="00EF37A3">
            <w:pPr>
              <w:pStyle w:val="TableText"/>
            </w:pPr>
            <w:r>
              <w:t>1000+</w:t>
            </w:r>
          </w:p>
        </w:tc>
      </w:tr>
      <w:tr w:rsidR="00601BFE" w14:paraId="05FC2CDD" w14:textId="77777777" w:rsidTr="7FA35F82">
        <w:tc>
          <w:tcPr>
            <w:tcW w:w="1047" w:type="dxa"/>
            <w:vMerge w:val="restart"/>
          </w:tcPr>
          <w:p w14:paraId="3CD28116" w14:textId="77777777" w:rsidR="00601BFE" w:rsidRDefault="00601BFE" w:rsidP="00EF37A3">
            <w:pPr>
              <w:pStyle w:val="TableText"/>
            </w:pPr>
            <w:r>
              <w:t>2002</w:t>
            </w:r>
          </w:p>
        </w:tc>
        <w:tc>
          <w:tcPr>
            <w:tcW w:w="1757" w:type="dxa"/>
            <w:vMerge w:val="restart"/>
          </w:tcPr>
          <w:p w14:paraId="72AEF68A" w14:textId="77777777" w:rsidR="00601BFE" w:rsidRPr="005D6CB2" w:rsidRDefault="00601BFE" w:rsidP="00EF37A3">
            <w:pPr>
              <w:pStyle w:val="TableText"/>
            </w:pPr>
            <w:r>
              <w:t>6</w:t>
            </w:r>
          </w:p>
        </w:tc>
        <w:tc>
          <w:tcPr>
            <w:tcW w:w="2198" w:type="dxa"/>
          </w:tcPr>
          <w:p w14:paraId="3D350C43" w14:textId="77777777" w:rsidR="00601BFE" w:rsidRDefault="00601BFE" w:rsidP="00EF37A3">
            <w:pPr>
              <w:pStyle w:val="TableText"/>
            </w:pPr>
            <w:proofErr w:type="spellStart"/>
            <w:r w:rsidRPr="005D6CB2">
              <w:t>Narrabarba</w:t>
            </w:r>
            <w:proofErr w:type="spellEnd"/>
            <w:r w:rsidRPr="005D6CB2">
              <w:t xml:space="preserve"> </w:t>
            </w:r>
            <w:r>
              <w:t>Hill</w:t>
            </w:r>
          </w:p>
        </w:tc>
        <w:tc>
          <w:tcPr>
            <w:tcW w:w="1380" w:type="dxa"/>
          </w:tcPr>
          <w:p w14:paraId="37243132" w14:textId="77777777" w:rsidR="00601BFE" w:rsidRPr="00AF3B74" w:rsidRDefault="00601BFE" w:rsidP="00EF37A3">
            <w:pPr>
              <w:pStyle w:val="TableText"/>
            </w:pPr>
            <w:r>
              <w:t>-</w:t>
            </w:r>
          </w:p>
        </w:tc>
        <w:tc>
          <w:tcPr>
            <w:tcW w:w="2747" w:type="dxa"/>
          </w:tcPr>
          <w:p w14:paraId="02801041" w14:textId="04EE8FD4" w:rsidR="00601BFE" w:rsidRDefault="00601BFE" w:rsidP="00EF37A3">
            <w:pPr>
              <w:pStyle w:val="TableText"/>
            </w:pPr>
            <w:r>
              <w:t>5701*</w:t>
            </w:r>
            <w:r w:rsidR="00E3624B">
              <w:t>*</w:t>
            </w:r>
          </w:p>
        </w:tc>
      </w:tr>
      <w:tr w:rsidR="00601BFE" w14:paraId="1A8060F7" w14:textId="77777777" w:rsidTr="7FA35F82">
        <w:tc>
          <w:tcPr>
            <w:tcW w:w="1047" w:type="dxa"/>
            <w:vMerge/>
          </w:tcPr>
          <w:p w14:paraId="3651C3F3" w14:textId="77777777" w:rsidR="00601BFE" w:rsidRDefault="00601BFE" w:rsidP="00EF37A3">
            <w:pPr>
              <w:pStyle w:val="TableText"/>
            </w:pPr>
          </w:p>
        </w:tc>
        <w:tc>
          <w:tcPr>
            <w:tcW w:w="1757" w:type="dxa"/>
            <w:vMerge/>
          </w:tcPr>
          <w:p w14:paraId="79D70B72" w14:textId="77777777" w:rsidR="00601BFE" w:rsidRDefault="00601BFE" w:rsidP="00EF37A3">
            <w:pPr>
              <w:pStyle w:val="TableText"/>
            </w:pPr>
          </w:p>
        </w:tc>
        <w:tc>
          <w:tcPr>
            <w:tcW w:w="2198" w:type="dxa"/>
          </w:tcPr>
          <w:p w14:paraId="49DEFE96" w14:textId="77777777" w:rsidR="00601BFE" w:rsidRDefault="00601BFE" w:rsidP="00EF37A3">
            <w:pPr>
              <w:pStyle w:val="TableText"/>
            </w:pPr>
            <w:r>
              <w:t xml:space="preserve">North of </w:t>
            </w:r>
            <w:proofErr w:type="spellStart"/>
            <w:r w:rsidRPr="005D6CB2">
              <w:t>Wonboyn</w:t>
            </w:r>
            <w:proofErr w:type="spellEnd"/>
            <w:r w:rsidRPr="005D6CB2">
              <w:t xml:space="preserve"> River</w:t>
            </w:r>
          </w:p>
        </w:tc>
        <w:tc>
          <w:tcPr>
            <w:tcW w:w="1380" w:type="dxa"/>
          </w:tcPr>
          <w:p w14:paraId="0AD9A92C" w14:textId="77777777" w:rsidR="00601BFE" w:rsidRDefault="00601BFE" w:rsidP="00EF37A3">
            <w:pPr>
              <w:pStyle w:val="TableText"/>
            </w:pPr>
            <w:r>
              <w:t>-</w:t>
            </w:r>
          </w:p>
        </w:tc>
        <w:tc>
          <w:tcPr>
            <w:tcW w:w="2747" w:type="dxa"/>
          </w:tcPr>
          <w:p w14:paraId="5B3BA6F1" w14:textId="68030205" w:rsidR="00601BFE" w:rsidRDefault="00601BFE" w:rsidP="00EF37A3">
            <w:pPr>
              <w:pStyle w:val="TableText"/>
            </w:pPr>
            <w:r>
              <w:t>40*</w:t>
            </w:r>
          </w:p>
        </w:tc>
      </w:tr>
      <w:tr w:rsidR="00601BFE" w14:paraId="258347DA" w14:textId="77777777" w:rsidTr="7FA35F82">
        <w:tc>
          <w:tcPr>
            <w:tcW w:w="1047" w:type="dxa"/>
          </w:tcPr>
          <w:p w14:paraId="4A14AF68" w14:textId="272FD248" w:rsidR="00601BFE" w:rsidRDefault="00B5784E" w:rsidP="00EF37A3">
            <w:pPr>
              <w:pStyle w:val="TableText"/>
              <w:rPr>
                <w:b/>
                <w:bCs/>
              </w:rPr>
            </w:pPr>
            <w:r>
              <w:t>April</w:t>
            </w:r>
            <w:r w:rsidR="004B31C3">
              <w:t xml:space="preserve"> </w:t>
            </w:r>
            <w:r w:rsidR="00601BFE">
              <w:t>2015</w:t>
            </w:r>
          </w:p>
        </w:tc>
        <w:tc>
          <w:tcPr>
            <w:tcW w:w="1757" w:type="dxa"/>
          </w:tcPr>
          <w:p w14:paraId="169A1428" w14:textId="77777777" w:rsidR="00601BFE" w:rsidRDefault="00601BFE" w:rsidP="00EF37A3">
            <w:pPr>
              <w:pStyle w:val="TableText"/>
            </w:pPr>
            <w:r>
              <w:t>8</w:t>
            </w:r>
          </w:p>
        </w:tc>
        <w:tc>
          <w:tcPr>
            <w:tcW w:w="2198" w:type="dxa"/>
          </w:tcPr>
          <w:p w14:paraId="3004012C" w14:textId="62C95C61" w:rsidR="00601BFE" w:rsidRDefault="006B1249" w:rsidP="00EF37A3">
            <w:pPr>
              <w:pStyle w:val="TableText"/>
            </w:pPr>
            <w:proofErr w:type="spellStart"/>
            <w:r w:rsidRPr="005D6CB2">
              <w:t>Narrabarba</w:t>
            </w:r>
            <w:proofErr w:type="spellEnd"/>
            <w:r w:rsidRPr="005D6CB2">
              <w:t xml:space="preserve"> </w:t>
            </w:r>
            <w:r>
              <w:t xml:space="preserve">Hill </w:t>
            </w:r>
            <w:r w:rsidR="00691F56">
              <w:t xml:space="preserve">&amp; </w:t>
            </w:r>
            <w:r>
              <w:t xml:space="preserve">North of </w:t>
            </w:r>
            <w:proofErr w:type="spellStart"/>
            <w:r w:rsidRPr="005D6CB2">
              <w:t>Wonboyn</w:t>
            </w:r>
            <w:proofErr w:type="spellEnd"/>
            <w:r w:rsidRPr="005D6CB2">
              <w:t xml:space="preserve"> River</w:t>
            </w:r>
            <w:r>
              <w:t xml:space="preserve"> </w:t>
            </w:r>
          </w:p>
        </w:tc>
        <w:tc>
          <w:tcPr>
            <w:tcW w:w="1380" w:type="dxa"/>
          </w:tcPr>
          <w:p w14:paraId="24ADC921" w14:textId="3C0609FC" w:rsidR="00601BFE" w:rsidRDefault="00601BFE" w:rsidP="00EF37A3">
            <w:pPr>
              <w:pStyle w:val="TableText"/>
              <w:rPr>
                <w:b/>
                <w:bCs/>
              </w:rPr>
            </w:pPr>
            <w:r>
              <w:t xml:space="preserve">220+ </w:t>
            </w:r>
          </w:p>
        </w:tc>
        <w:tc>
          <w:tcPr>
            <w:tcW w:w="2747" w:type="dxa"/>
          </w:tcPr>
          <w:p w14:paraId="3A09D027" w14:textId="77777777" w:rsidR="00601BFE" w:rsidRDefault="00601BFE" w:rsidP="00EF37A3">
            <w:pPr>
              <w:pStyle w:val="TableText"/>
              <w:rPr>
                <w:b/>
                <w:bCs/>
              </w:rPr>
            </w:pPr>
            <w:r>
              <w:t>168</w:t>
            </w:r>
          </w:p>
        </w:tc>
      </w:tr>
      <w:tr w:rsidR="00601BFE" w14:paraId="5EA2A67D" w14:textId="77777777" w:rsidTr="7FA35F82">
        <w:tc>
          <w:tcPr>
            <w:tcW w:w="1047" w:type="dxa"/>
            <w:vMerge w:val="restart"/>
          </w:tcPr>
          <w:p w14:paraId="38684E50" w14:textId="2191BE58" w:rsidR="00601BFE" w:rsidRDefault="00B5784E" w:rsidP="00EF37A3">
            <w:pPr>
              <w:pStyle w:val="TableText"/>
              <w:rPr>
                <w:b/>
                <w:bCs/>
              </w:rPr>
            </w:pPr>
            <w:r>
              <w:t>May</w:t>
            </w:r>
            <w:r w:rsidR="004B31C3">
              <w:t xml:space="preserve"> </w:t>
            </w:r>
            <w:r w:rsidR="00601BFE">
              <w:t>2017</w:t>
            </w:r>
          </w:p>
        </w:tc>
        <w:tc>
          <w:tcPr>
            <w:tcW w:w="1757" w:type="dxa"/>
            <w:vMerge w:val="restart"/>
          </w:tcPr>
          <w:p w14:paraId="14911DEB" w14:textId="77777777" w:rsidR="00601BFE" w:rsidRDefault="00601BFE" w:rsidP="00EF37A3">
            <w:pPr>
              <w:pStyle w:val="TableText"/>
            </w:pPr>
            <w:r>
              <w:t>8</w:t>
            </w:r>
          </w:p>
        </w:tc>
        <w:tc>
          <w:tcPr>
            <w:tcW w:w="2198" w:type="dxa"/>
          </w:tcPr>
          <w:p w14:paraId="1E358575" w14:textId="77777777" w:rsidR="00601BFE" w:rsidRDefault="00601BFE" w:rsidP="00EF37A3">
            <w:pPr>
              <w:pStyle w:val="TableText"/>
            </w:pPr>
            <w:proofErr w:type="spellStart"/>
            <w:r w:rsidRPr="005D6CB2">
              <w:t>Narrabarba</w:t>
            </w:r>
            <w:proofErr w:type="spellEnd"/>
            <w:r w:rsidRPr="005D6CB2">
              <w:t xml:space="preserve"> </w:t>
            </w:r>
            <w:r>
              <w:t>Hill</w:t>
            </w:r>
          </w:p>
        </w:tc>
        <w:tc>
          <w:tcPr>
            <w:tcW w:w="1380" w:type="dxa"/>
          </w:tcPr>
          <w:p w14:paraId="064D9F1E" w14:textId="3A54DB0C" w:rsidR="00601BFE" w:rsidRPr="00CF764B" w:rsidRDefault="00601BFE" w:rsidP="00EF37A3">
            <w:pPr>
              <w:pStyle w:val="TableText"/>
            </w:pPr>
            <w:r w:rsidRPr="00CF764B">
              <w:t>90</w:t>
            </w:r>
          </w:p>
        </w:tc>
        <w:tc>
          <w:tcPr>
            <w:tcW w:w="2747" w:type="dxa"/>
          </w:tcPr>
          <w:p w14:paraId="6ADDEB8E" w14:textId="77777777" w:rsidR="00601BFE" w:rsidRDefault="00601BFE" w:rsidP="00EF37A3">
            <w:pPr>
              <w:pStyle w:val="TableText"/>
              <w:rPr>
                <w:b/>
                <w:bCs/>
              </w:rPr>
            </w:pPr>
            <w:r>
              <w:t>226</w:t>
            </w:r>
          </w:p>
        </w:tc>
      </w:tr>
      <w:tr w:rsidR="00601BFE" w14:paraId="0C3EB457" w14:textId="77777777" w:rsidTr="7FA35F82">
        <w:tc>
          <w:tcPr>
            <w:tcW w:w="1047" w:type="dxa"/>
            <w:vMerge/>
          </w:tcPr>
          <w:p w14:paraId="20D9E5A6" w14:textId="77777777" w:rsidR="00601BFE" w:rsidRDefault="00601BFE" w:rsidP="00EF37A3">
            <w:pPr>
              <w:pStyle w:val="TableText"/>
            </w:pPr>
          </w:p>
        </w:tc>
        <w:tc>
          <w:tcPr>
            <w:tcW w:w="1757" w:type="dxa"/>
            <w:vMerge/>
          </w:tcPr>
          <w:p w14:paraId="624BDBC8" w14:textId="77777777" w:rsidR="00601BFE" w:rsidRDefault="00601BFE" w:rsidP="00EF37A3">
            <w:pPr>
              <w:pStyle w:val="TableText"/>
            </w:pPr>
          </w:p>
        </w:tc>
        <w:tc>
          <w:tcPr>
            <w:tcW w:w="2198" w:type="dxa"/>
          </w:tcPr>
          <w:p w14:paraId="133B76A1" w14:textId="77777777" w:rsidR="00601BFE" w:rsidRDefault="00601BFE" w:rsidP="00EF37A3">
            <w:pPr>
              <w:pStyle w:val="TableText"/>
            </w:pPr>
            <w:r>
              <w:t xml:space="preserve">North of </w:t>
            </w:r>
            <w:proofErr w:type="spellStart"/>
            <w:r w:rsidRPr="005D6CB2">
              <w:t>Wonboyn</w:t>
            </w:r>
            <w:proofErr w:type="spellEnd"/>
            <w:r w:rsidRPr="005D6CB2">
              <w:t xml:space="preserve"> River</w:t>
            </w:r>
          </w:p>
        </w:tc>
        <w:tc>
          <w:tcPr>
            <w:tcW w:w="1380" w:type="dxa"/>
          </w:tcPr>
          <w:p w14:paraId="6B42B256" w14:textId="73F6F712" w:rsidR="00601BFE" w:rsidRDefault="00601BFE" w:rsidP="00EF37A3">
            <w:pPr>
              <w:pStyle w:val="TableText"/>
            </w:pPr>
            <w:r>
              <w:t>3</w:t>
            </w:r>
          </w:p>
        </w:tc>
        <w:tc>
          <w:tcPr>
            <w:tcW w:w="2747" w:type="dxa"/>
          </w:tcPr>
          <w:p w14:paraId="78C081C1" w14:textId="77777777" w:rsidR="00601BFE" w:rsidRDefault="00601BFE" w:rsidP="00EF37A3">
            <w:pPr>
              <w:pStyle w:val="TableText"/>
            </w:pPr>
            <w:r>
              <w:t>10</w:t>
            </w:r>
          </w:p>
        </w:tc>
      </w:tr>
      <w:tr w:rsidR="00B5784E" w14:paraId="1C9602B5" w14:textId="77777777" w:rsidTr="7FA35F82">
        <w:tc>
          <w:tcPr>
            <w:tcW w:w="1047" w:type="dxa"/>
          </w:tcPr>
          <w:p w14:paraId="5C991E62" w14:textId="063664F3" w:rsidR="00B5784E" w:rsidRDefault="00B5784E" w:rsidP="00B5784E">
            <w:pPr>
              <w:pStyle w:val="TableText"/>
              <w:rPr>
                <w:b/>
                <w:bCs/>
              </w:rPr>
            </w:pPr>
            <w:r>
              <w:t>July 2020</w:t>
            </w:r>
          </w:p>
        </w:tc>
        <w:tc>
          <w:tcPr>
            <w:tcW w:w="1757" w:type="dxa"/>
          </w:tcPr>
          <w:p w14:paraId="792F78F4" w14:textId="77777777" w:rsidR="00B5784E" w:rsidRDefault="00B5784E" w:rsidP="00B5784E">
            <w:pPr>
              <w:pStyle w:val="TableText"/>
            </w:pPr>
            <w:r>
              <w:t>8</w:t>
            </w:r>
          </w:p>
        </w:tc>
        <w:tc>
          <w:tcPr>
            <w:tcW w:w="2198" w:type="dxa"/>
          </w:tcPr>
          <w:p w14:paraId="2D40234D" w14:textId="61E9F2F7" w:rsidR="00B5784E" w:rsidRDefault="006B1249" w:rsidP="00B5784E">
            <w:pPr>
              <w:pStyle w:val="TableText"/>
            </w:pPr>
            <w:proofErr w:type="spellStart"/>
            <w:r w:rsidRPr="005D6CB2">
              <w:t>Narrabarba</w:t>
            </w:r>
            <w:proofErr w:type="spellEnd"/>
            <w:r w:rsidRPr="005D6CB2">
              <w:t xml:space="preserve"> </w:t>
            </w:r>
            <w:r>
              <w:t xml:space="preserve">Hill </w:t>
            </w:r>
            <w:r w:rsidR="00691F56">
              <w:t xml:space="preserve">&amp; </w:t>
            </w:r>
            <w:r>
              <w:t xml:space="preserve">North of </w:t>
            </w:r>
            <w:proofErr w:type="spellStart"/>
            <w:r w:rsidRPr="005D6CB2">
              <w:t>Wonboyn</w:t>
            </w:r>
            <w:proofErr w:type="spellEnd"/>
            <w:r w:rsidRPr="005D6CB2">
              <w:t xml:space="preserve"> River</w:t>
            </w:r>
            <w:r>
              <w:t xml:space="preserve"> </w:t>
            </w:r>
          </w:p>
        </w:tc>
        <w:tc>
          <w:tcPr>
            <w:tcW w:w="1380" w:type="dxa"/>
          </w:tcPr>
          <w:p w14:paraId="109701CA" w14:textId="646ED842" w:rsidR="00B5784E" w:rsidRDefault="00B5784E" w:rsidP="00B5784E">
            <w:pPr>
              <w:pStyle w:val="TableText"/>
              <w:rPr>
                <w:b/>
                <w:bCs/>
              </w:rPr>
            </w:pPr>
            <w:r>
              <w:t>3200+</w:t>
            </w:r>
          </w:p>
        </w:tc>
        <w:tc>
          <w:tcPr>
            <w:tcW w:w="2747" w:type="dxa"/>
          </w:tcPr>
          <w:p w14:paraId="0C2C5A6F" w14:textId="77777777" w:rsidR="00B5784E" w:rsidRDefault="00B5784E" w:rsidP="00B5784E">
            <w:pPr>
              <w:pStyle w:val="TableText"/>
              <w:rPr>
                <w:b/>
                <w:bCs/>
              </w:rPr>
            </w:pPr>
            <w:r>
              <w:t>85</w:t>
            </w:r>
          </w:p>
        </w:tc>
      </w:tr>
      <w:tr w:rsidR="00B5784E" w14:paraId="14CE50C4" w14:textId="77777777" w:rsidTr="7FA35F82">
        <w:tc>
          <w:tcPr>
            <w:tcW w:w="1047" w:type="dxa"/>
          </w:tcPr>
          <w:p w14:paraId="41F29DF0" w14:textId="6C8137A4" w:rsidR="00B5784E" w:rsidRDefault="00B5784E" w:rsidP="00B5784E">
            <w:pPr>
              <w:pStyle w:val="TableText"/>
              <w:rPr>
                <w:b/>
                <w:bCs/>
              </w:rPr>
            </w:pPr>
            <w:r>
              <w:t>April 2021</w:t>
            </w:r>
          </w:p>
        </w:tc>
        <w:tc>
          <w:tcPr>
            <w:tcW w:w="1757" w:type="dxa"/>
          </w:tcPr>
          <w:p w14:paraId="13A1E545" w14:textId="77777777" w:rsidR="00B5784E" w:rsidRDefault="00B5784E" w:rsidP="00B5784E">
            <w:pPr>
              <w:pStyle w:val="TableText"/>
            </w:pPr>
            <w:r>
              <w:t>8</w:t>
            </w:r>
          </w:p>
        </w:tc>
        <w:tc>
          <w:tcPr>
            <w:tcW w:w="2198" w:type="dxa"/>
          </w:tcPr>
          <w:p w14:paraId="44E53CD1" w14:textId="61536ED1" w:rsidR="00B5784E" w:rsidRDefault="006B1249" w:rsidP="00B5784E">
            <w:pPr>
              <w:pStyle w:val="TableText"/>
            </w:pPr>
            <w:proofErr w:type="spellStart"/>
            <w:r w:rsidRPr="005D6CB2">
              <w:t>Narrabarba</w:t>
            </w:r>
            <w:proofErr w:type="spellEnd"/>
            <w:r w:rsidRPr="005D6CB2">
              <w:t xml:space="preserve"> </w:t>
            </w:r>
            <w:r>
              <w:t xml:space="preserve">Hill and North of </w:t>
            </w:r>
            <w:proofErr w:type="spellStart"/>
            <w:r w:rsidRPr="005D6CB2">
              <w:t>Wonboyn</w:t>
            </w:r>
            <w:proofErr w:type="spellEnd"/>
            <w:r w:rsidRPr="005D6CB2">
              <w:t xml:space="preserve"> River</w:t>
            </w:r>
          </w:p>
        </w:tc>
        <w:tc>
          <w:tcPr>
            <w:tcW w:w="1380" w:type="dxa"/>
          </w:tcPr>
          <w:p w14:paraId="295AF2F9" w14:textId="5BC89DA6" w:rsidR="00B5784E" w:rsidRPr="00906857" w:rsidRDefault="00B5784E" w:rsidP="00B5784E">
            <w:pPr>
              <w:pStyle w:val="TableText"/>
            </w:pPr>
            <w:r>
              <w:t>3500</w:t>
            </w:r>
          </w:p>
        </w:tc>
        <w:tc>
          <w:tcPr>
            <w:tcW w:w="2747" w:type="dxa"/>
          </w:tcPr>
          <w:p w14:paraId="2127F427" w14:textId="77777777" w:rsidR="00B5784E" w:rsidRDefault="00B5784E" w:rsidP="00B5784E">
            <w:pPr>
              <w:pStyle w:val="TableText"/>
              <w:rPr>
                <w:b/>
                <w:bCs/>
              </w:rPr>
            </w:pPr>
            <w:r>
              <w:t>88</w:t>
            </w:r>
          </w:p>
        </w:tc>
      </w:tr>
      <w:tr w:rsidR="00691F56" w14:paraId="122AD62C" w14:textId="77777777" w:rsidTr="7FA35F82">
        <w:tc>
          <w:tcPr>
            <w:tcW w:w="1047" w:type="dxa"/>
          </w:tcPr>
          <w:p w14:paraId="59E09BFF" w14:textId="296C6627" w:rsidR="00691F56" w:rsidRDefault="00691F56" w:rsidP="00B5784E">
            <w:pPr>
              <w:pStyle w:val="TableText"/>
            </w:pPr>
            <w:r>
              <w:t>November 2021</w:t>
            </w:r>
          </w:p>
        </w:tc>
        <w:tc>
          <w:tcPr>
            <w:tcW w:w="1757" w:type="dxa"/>
          </w:tcPr>
          <w:p w14:paraId="18CD70B6" w14:textId="668F3C36" w:rsidR="00691F56" w:rsidRDefault="00691F56" w:rsidP="00B5784E">
            <w:pPr>
              <w:pStyle w:val="TableText"/>
            </w:pPr>
            <w:r>
              <w:t>1</w:t>
            </w:r>
          </w:p>
        </w:tc>
        <w:tc>
          <w:tcPr>
            <w:tcW w:w="2198" w:type="dxa"/>
          </w:tcPr>
          <w:p w14:paraId="1C69BF40" w14:textId="30765625" w:rsidR="00691F56" w:rsidRPr="005D6CB2" w:rsidRDefault="00691F56" w:rsidP="00B5784E">
            <w:pPr>
              <w:pStyle w:val="TableText"/>
            </w:pPr>
            <w:r>
              <w:t>Green Cape</w:t>
            </w:r>
          </w:p>
        </w:tc>
        <w:tc>
          <w:tcPr>
            <w:tcW w:w="1380" w:type="dxa"/>
          </w:tcPr>
          <w:p w14:paraId="1FDAB885" w14:textId="46D39B30" w:rsidR="00691F56" w:rsidRDefault="00691F56" w:rsidP="00B5784E">
            <w:pPr>
              <w:pStyle w:val="TableText"/>
            </w:pPr>
            <w:r>
              <w:t>5</w:t>
            </w:r>
          </w:p>
        </w:tc>
        <w:tc>
          <w:tcPr>
            <w:tcW w:w="2747" w:type="dxa"/>
          </w:tcPr>
          <w:p w14:paraId="24E5779F" w14:textId="3EF560CC" w:rsidR="00691F56" w:rsidRDefault="00691F56" w:rsidP="00B5784E">
            <w:pPr>
              <w:pStyle w:val="TableText"/>
            </w:pPr>
            <w:r>
              <w:t>4</w:t>
            </w:r>
          </w:p>
        </w:tc>
      </w:tr>
    </w:tbl>
    <w:p w14:paraId="7F37D336" w14:textId="4E33D5F3" w:rsidR="00E3624B" w:rsidRDefault="00E3624B" w:rsidP="00601BFE">
      <w:pPr>
        <w:pStyle w:val="TableText"/>
        <w:rPr>
          <w:lang w:eastAsia="en-AU"/>
        </w:rPr>
      </w:pPr>
      <w:r>
        <w:rPr>
          <w:lang w:eastAsia="en-AU"/>
        </w:rPr>
        <w:t>*</w:t>
      </w:r>
      <w:r w:rsidR="0076739E">
        <w:rPr>
          <w:lang w:eastAsia="en-AU"/>
        </w:rPr>
        <w:t>F</w:t>
      </w:r>
      <w:r w:rsidRPr="00E3624B">
        <w:t xml:space="preserve">rom </w:t>
      </w:r>
      <w:r w:rsidRPr="00E3624B">
        <w:rPr>
          <w:lang w:eastAsia="en-AU"/>
        </w:rPr>
        <w:t xml:space="preserve">Briggs &amp; Leigh 1990; NPSW 2002; </w:t>
      </w:r>
      <w:r w:rsidRPr="00E3624B">
        <w:t>DPIE 2021</w:t>
      </w:r>
      <w:r w:rsidR="0094625F">
        <w:t>a</w:t>
      </w:r>
      <w:r w:rsidRPr="00E3624B">
        <w:t>; G Phillips, pers comm. 23 November 202</w:t>
      </w:r>
      <w:r>
        <w:t>1</w:t>
      </w:r>
    </w:p>
    <w:p w14:paraId="27660BCB" w14:textId="5D2C64A2" w:rsidR="00E3624B" w:rsidRDefault="00E3624B" w:rsidP="00E3624B">
      <w:pPr>
        <w:pStyle w:val="TableText"/>
        <w:rPr>
          <w:lang w:eastAsia="en-AU"/>
        </w:rPr>
      </w:pPr>
      <w:r>
        <w:rPr>
          <w:lang w:eastAsia="en-AU"/>
        </w:rPr>
        <w:t>**</w:t>
      </w:r>
      <w:r w:rsidRPr="00F86245">
        <w:rPr>
          <w:lang w:eastAsia="en-AU"/>
        </w:rPr>
        <w:t xml:space="preserve"> </w:t>
      </w:r>
      <w:r>
        <w:rPr>
          <w:lang w:eastAsia="en-AU"/>
        </w:rPr>
        <w:t>A</w:t>
      </w:r>
      <w:r w:rsidRPr="00EE60A9">
        <w:rPr>
          <w:lang w:eastAsia="en-AU"/>
        </w:rPr>
        <w:t>ssumed to be mature individuals</w:t>
      </w:r>
      <w:r>
        <w:rPr>
          <w:lang w:eastAsia="en-AU"/>
        </w:rPr>
        <w:t xml:space="preserve">, as NPWS (2002) states that all sites are assumed to be comprised of a predominantly even-aged cohort which recruited from soil stored seed after the last major fire event, which was in the early 1980’s. </w:t>
      </w:r>
    </w:p>
    <w:p w14:paraId="22D9AE1A" w14:textId="10DF2F75" w:rsidR="00DD4951" w:rsidRDefault="00DD4951" w:rsidP="00F86245">
      <w:pPr>
        <w:pStyle w:val="TableText"/>
        <w:rPr>
          <w:lang w:eastAsia="en-AU"/>
        </w:rPr>
      </w:pPr>
    </w:p>
    <w:p w14:paraId="069CE60C" w14:textId="33D2F34A" w:rsidR="00802A84" w:rsidRPr="00802A84" w:rsidRDefault="0059715A" w:rsidP="00802A84">
      <w:pPr>
        <w:rPr>
          <w:b/>
          <w:bCs/>
        </w:rPr>
      </w:pPr>
      <w:r w:rsidRPr="00802A84">
        <w:rPr>
          <w:b/>
          <w:bCs/>
        </w:rPr>
        <w:t xml:space="preserve">Table 2. </w:t>
      </w:r>
      <w:proofErr w:type="spellStart"/>
      <w:r w:rsidRPr="00802A84">
        <w:rPr>
          <w:b/>
          <w:bCs/>
        </w:rPr>
        <w:t>Narrabarba</w:t>
      </w:r>
      <w:proofErr w:type="spellEnd"/>
      <w:r w:rsidRPr="00802A84">
        <w:rPr>
          <w:b/>
          <w:bCs/>
        </w:rPr>
        <w:t xml:space="preserve"> wattle survey information</w:t>
      </w:r>
      <w:r w:rsidRPr="00802A84">
        <w:rPr>
          <w:rFonts w:cs="Calibri"/>
          <w:b/>
          <w:bCs/>
        </w:rPr>
        <w:t xml:space="preserve">, across two </w:t>
      </w:r>
      <w:r w:rsidR="00776C03">
        <w:rPr>
          <w:rFonts w:cs="Calibri"/>
          <w:b/>
          <w:bCs/>
        </w:rPr>
        <w:t>rocky outcrops</w:t>
      </w:r>
      <w:r w:rsidR="00F72728">
        <w:rPr>
          <w:rFonts w:cs="Calibri"/>
          <w:b/>
          <w:bCs/>
        </w:rPr>
        <w:t xml:space="preserve">* </w:t>
      </w:r>
    </w:p>
    <w:tbl>
      <w:tblPr>
        <w:tblStyle w:val="TableGrid"/>
        <w:tblW w:w="0" w:type="auto"/>
        <w:tblLook w:val="04A0" w:firstRow="1" w:lastRow="0" w:firstColumn="1" w:lastColumn="0" w:noHBand="0" w:noVBand="1"/>
      </w:tblPr>
      <w:tblGrid>
        <w:gridCol w:w="3020"/>
        <w:gridCol w:w="3020"/>
        <w:gridCol w:w="3020"/>
      </w:tblGrid>
      <w:tr w:rsidR="00802A84" w14:paraId="1D8B091E" w14:textId="77777777" w:rsidTr="00802A84">
        <w:tc>
          <w:tcPr>
            <w:tcW w:w="3020" w:type="dxa"/>
          </w:tcPr>
          <w:p w14:paraId="2A0A7E2D" w14:textId="0BC8E611" w:rsidR="00802A84" w:rsidRDefault="00802A84" w:rsidP="00802A84">
            <w:pPr>
              <w:pStyle w:val="TableHeading"/>
            </w:pPr>
            <w:r>
              <w:t>Date</w:t>
            </w:r>
          </w:p>
        </w:tc>
        <w:tc>
          <w:tcPr>
            <w:tcW w:w="3020" w:type="dxa"/>
          </w:tcPr>
          <w:p w14:paraId="6F975185" w14:textId="4A6D5556" w:rsidR="00802A84" w:rsidRDefault="00CF12EE" w:rsidP="00802A84">
            <w:pPr>
              <w:pStyle w:val="TableHeading"/>
            </w:pPr>
            <w:r>
              <w:t>Seedlings</w:t>
            </w:r>
          </w:p>
        </w:tc>
        <w:tc>
          <w:tcPr>
            <w:tcW w:w="3020" w:type="dxa"/>
          </w:tcPr>
          <w:p w14:paraId="1B1F5EF8" w14:textId="7D2BCDF9" w:rsidR="00802A84" w:rsidRDefault="00802A84" w:rsidP="00802A84">
            <w:pPr>
              <w:pStyle w:val="TableHeading"/>
            </w:pPr>
            <w:r>
              <w:rPr>
                <w:rFonts w:ascii="Arial" w:hAnsi="Arial" w:cs="Arial"/>
                <w:lang w:eastAsia="en-AU"/>
              </w:rPr>
              <w:t xml:space="preserve">Mature </w:t>
            </w:r>
            <w:r w:rsidR="00B92580">
              <w:rPr>
                <w:rFonts w:ascii="Arial" w:hAnsi="Arial" w:cs="Arial"/>
                <w:lang w:eastAsia="en-AU"/>
              </w:rPr>
              <w:t>individuals</w:t>
            </w:r>
          </w:p>
        </w:tc>
      </w:tr>
      <w:tr w:rsidR="00E97E67" w14:paraId="03031813" w14:textId="77777777" w:rsidTr="00802A84">
        <w:tc>
          <w:tcPr>
            <w:tcW w:w="3020" w:type="dxa"/>
          </w:tcPr>
          <w:p w14:paraId="79E98023" w14:textId="2F481D2A" w:rsidR="00E97E67" w:rsidRDefault="00E97E67" w:rsidP="00E97E67">
            <w:pPr>
              <w:pStyle w:val="TableText"/>
            </w:pPr>
            <w:r>
              <w:rPr>
                <w:color w:val="000000"/>
                <w:lang w:eastAsia="en-AU"/>
              </w:rPr>
              <w:t>Autumn 2014</w:t>
            </w:r>
          </w:p>
        </w:tc>
        <w:tc>
          <w:tcPr>
            <w:tcW w:w="3020" w:type="dxa"/>
          </w:tcPr>
          <w:p w14:paraId="0DE5C06B" w14:textId="252EA3F9" w:rsidR="00E97E67" w:rsidRDefault="00147DB7" w:rsidP="00E97E67">
            <w:pPr>
              <w:pStyle w:val="TableText"/>
            </w:pPr>
            <w:r>
              <w:t>168</w:t>
            </w:r>
          </w:p>
        </w:tc>
        <w:tc>
          <w:tcPr>
            <w:tcW w:w="3020" w:type="dxa"/>
          </w:tcPr>
          <w:p w14:paraId="42138C88" w14:textId="324E6546" w:rsidR="00E97E67" w:rsidRDefault="00E97E67" w:rsidP="00E97E67">
            <w:pPr>
              <w:pStyle w:val="TableText"/>
            </w:pPr>
            <w:r w:rsidRPr="00915CDB">
              <w:t>66</w:t>
            </w:r>
          </w:p>
        </w:tc>
      </w:tr>
      <w:tr w:rsidR="00E97E67" w14:paraId="0FF05B7E" w14:textId="77777777" w:rsidTr="00802A84">
        <w:tc>
          <w:tcPr>
            <w:tcW w:w="3020" w:type="dxa"/>
          </w:tcPr>
          <w:p w14:paraId="28BF3C23" w14:textId="232E9117" w:rsidR="00E97E67" w:rsidRDefault="00E97E67" w:rsidP="00E97E67">
            <w:pPr>
              <w:pStyle w:val="TableText"/>
            </w:pPr>
            <w:r>
              <w:rPr>
                <w:lang w:eastAsia="en-AU"/>
              </w:rPr>
              <w:t xml:space="preserve">April </w:t>
            </w:r>
            <w:r>
              <w:rPr>
                <w:color w:val="000000"/>
                <w:lang w:eastAsia="en-AU"/>
              </w:rPr>
              <w:t>2015</w:t>
            </w:r>
          </w:p>
        </w:tc>
        <w:tc>
          <w:tcPr>
            <w:tcW w:w="3020" w:type="dxa"/>
          </w:tcPr>
          <w:p w14:paraId="4B72DD23" w14:textId="0B35C427" w:rsidR="00E97E67" w:rsidRDefault="00147DB7" w:rsidP="00E97E67">
            <w:pPr>
              <w:pStyle w:val="TableText"/>
            </w:pPr>
            <w:r>
              <w:t>22</w:t>
            </w:r>
            <w:r w:rsidR="00F07020">
              <w:t>0</w:t>
            </w:r>
          </w:p>
        </w:tc>
        <w:tc>
          <w:tcPr>
            <w:tcW w:w="3020" w:type="dxa"/>
          </w:tcPr>
          <w:p w14:paraId="109A7111" w14:textId="2A832BD6" w:rsidR="00E97E67" w:rsidRDefault="00E97E67" w:rsidP="00E97E67">
            <w:pPr>
              <w:pStyle w:val="TableText"/>
            </w:pPr>
            <w:r w:rsidRPr="00915CDB">
              <w:t>87</w:t>
            </w:r>
          </w:p>
        </w:tc>
      </w:tr>
      <w:tr w:rsidR="00E97E67" w14:paraId="0320A71B" w14:textId="77777777" w:rsidTr="00802A84">
        <w:tc>
          <w:tcPr>
            <w:tcW w:w="3020" w:type="dxa"/>
          </w:tcPr>
          <w:p w14:paraId="12F29ABD" w14:textId="7A8AF581" w:rsidR="00E97E67" w:rsidRDefault="00E97E67" w:rsidP="00E97E67">
            <w:pPr>
              <w:pStyle w:val="TableText"/>
            </w:pPr>
            <w:r>
              <w:rPr>
                <w:color w:val="000000"/>
                <w:lang w:eastAsia="en-AU"/>
              </w:rPr>
              <w:t>Autumn 2016</w:t>
            </w:r>
          </w:p>
        </w:tc>
        <w:tc>
          <w:tcPr>
            <w:tcW w:w="3020" w:type="dxa"/>
          </w:tcPr>
          <w:p w14:paraId="0026ED5A" w14:textId="1963FB9C" w:rsidR="00E97E67" w:rsidRDefault="00147DB7" w:rsidP="00E97E67">
            <w:pPr>
              <w:pStyle w:val="TableText"/>
            </w:pPr>
            <w:r>
              <w:t>139</w:t>
            </w:r>
          </w:p>
        </w:tc>
        <w:tc>
          <w:tcPr>
            <w:tcW w:w="3020" w:type="dxa"/>
          </w:tcPr>
          <w:p w14:paraId="706C3B02" w14:textId="1D3D86CC" w:rsidR="00E97E67" w:rsidRDefault="00E97E67" w:rsidP="00E97E67">
            <w:pPr>
              <w:pStyle w:val="TableText"/>
            </w:pPr>
            <w:r w:rsidRPr="00915CDB">
              <w:t>77</w:t>
            </w:r>
          </w:p>
        </w:tc>
      </w:tr>
      <w:tr w:rsidR="00E97E67" w14:paraId="6BBB8CDA" w14:textId="77777777" w:rsidTr="00802A84">
        <w:tc>
          <w:tcPr>
            <w:tcW w:w="3020" w:type="dxa"/>
          </w:tcPr>
          <w:p w14:paraId="16B75D8D" w14:textId="7D62050F" w:rsidR="00E97E67" w:rsidRDefault="00E97E67" w:rsidP="00E97E67">
            <w:pPr>
              <w:pStyle w:val="TableText"/>
            </w:pPr>
            <w:r>
              <w:rPr>
                <w:lang w:eastAsia="en-AU"/>
              </w:rPr>
              <w:t xml:space="preserve">May </w:t>
            </w:r>
            <w:r>
              <w:rPr>
                <w:color w:val="000000"/>
                <w:lang w:eastAsia="en-AU"/>
              </w:rPr>
              <w:t>2017</w:t>
            </w:r>
          </w:p>
        </w:tc>
        <w:tc>
          <w:tcPr>
            <w:tcW w:w="3020" w:type="dxa"/>
          </w:tcPr>
          <w:p w14:paraId="138C9A2F" w14:textId="6514436D" w:rsidR="00E97E67" w:rsidRDefault="00147DB7" w:rsidP="00E97E67">
            <w:pPr>
              <w:pStyle w:val="TableText"/>
            </w:pPr>
            <w:r>
              <w:t>90</w:t>
            </w:r>
          </w:p>
        </w:tc>
        <w:tc>
          <w:tcPr>
            <w:tcW w:w="3020" w:type="dxa"/>
          </w:tcPr>
          <w:p w14:paraId="1403AAC9" w14:textId="14BC3A2F" w:rsidR="00E97E67" w:rsidRDefault="00E97E67" w:rsidP="00E97E67">
            <w:pPr>
              <w:pStyle w:val="TableText"/>
            </w:pPr>
            <w:r w:rsidRPr="00915CDB">
              <w:t>62</w:t>
            </w:r>
          </w:p>
        </w:tc>
      </w:tr>
      <w:tr w:rsidR="00E97E67" w14:paraId="2081D3BF" w14:textId="77777777" w:rsidTr="00802A84">
        <w:tc>
          <w:tcPr>
            <w:tcW w:w="3020" w:type="dxa"/>
          </w:tcPr>
          <w:p w14:paraId="15176B01" w14:textId="773877D1" w:rsidR="00E97E67" w:rsidRDefault="00E97E67" w:rsidP="00E97E67">
            <w:pPr>
              <w:pStyle w:val="TableText"/>
            </w:pPr>
            <w:r>
              <w:rPr>
                <w:color w:val="000000"/>
                <w:lang w:eastAsia="en-AU"/>
              </w:rPr>
              <w:lastRenderedPageBreak/>
              <w:t>Autumn 2018</w:t>
            </w:r>
          </w:p>
        </w:tc>
        <w:tc>
          <w:tcPr>
            <w:tcW w:w="3020" w:type="dxa"/>
          </w:tcPr>
          <w:p w14:paraId="3E70B6BE" w14:textId="12C9201C" w:rsidR="00E97E67" w:rsidRDefault="00147DB7" w:rsidP="00E97E67">
            <w:pPr>
              <w:pStyle w:val="TableText"/>
            </w:pPr>
            <w:r>
              <w:t>20</w:t>
            </w:r>
          </w:p>
        </w:tc>
        <w:tc>
          <w:tcPr>
            <w:tcW w:w="3020" w:type="dxa"/>
          </w:tcPr>
          <w:p w14:paraId="051F6567" w14:textId="4754B032" w:rsidR="00E97E67" w:rsidRDefault="00E97E67" w:rsidP="00E97E67">
            <w:pPr>
              <w:pStyle w:val="TableText"/>
            </w:pPr>
            <w:r w:rsidRPr="00915CDB">
              <w:t>53</w:t>
            </w:r>
          </w:p>
        </w:tc>
      </w:tr>
      <w:tr w:rsidR="00E97E67" w14:paraId="4071C0EB" w14:textId="77777777" w:rsidTr="00802A84">
        <w:tc>
          <w:tcPr>
            <w:tcW w:w="3020" w:type="dxa"/>
          </w:tcPr>
          <w:p w14:paraId="2FA50A20" w14:textId="54E559D3" w:rsidR="00E97E67" w:rsidRDefault="00E97E67" w:rsidP="00E97E67">
            <w:pPr>
              <w:pStyle w:val="TableText"/>
            </w:pPr>
            <w:r>
              <w:rPr>
                <w:color w:val="000000"/>
                <w:lang w:eastAsia="en-AU"/>
              </w:rPr>
              <w:t>Autumn 2019</w:t>
            </w:r>
          </w:p>
        </w:tc>
        <w:tc>
          <w:tcPr>
            <w:tcW w:w="3020" w:type="dxa"/>
          </w:tcPr>
          <w:p w14:paraId="698228E4" w14:textId="46A3B7A0" w:rsidR="00E97E67" w:rsidRDefault="00147DB7" w:rsidP="00E97E67">
            <w:pPr>
              <w:pStyle w:val="TableText"/>
            </w:pPr>
            <w:r>
              <w:t>26</w:t>
            </w:r>
          </w:p>
        </w:tc>
        <w:tc>
          <w:tcPr>
            <w:tcW w:w="3020" w:type="dxa"/>
          </w:tcPr>
          <w:p w14:paraId="4167A6AB" w14:textId="34DD67A7" w:rsidR="00E97E67" w:rsidRDefault="00E97E67" w:rsidP="00E97E67">
            <w:pPr>
              <w:pStyle w:val="TableText"/>
            </w:pPr>
            <w:r w:rsidRPr="00915CDB">
              <w:t>40</w:t>
            </w:r>
          </w:p>
        </w:tc>
      </w:tr>
      <w:tr w:rsidR="00E97E67" w14:paraId="1F5D7400" w14:textId="77777777" w:rsidTr="00802A84">
        <w:tc>
          <w:tcPr>
            <w:tcW w:w="3020" w:type="dxa"/>
          </w:tcPr>
          <w:p w14:paraId="6702C632" w14:textId="615AED3B" w:rsidR="00E97E67" w:rsidRDefault="00E97E67" w:rsidP="00E97E67">
            <w:pPr>
              <w:pStyle w:val="TableText"/>
            </w:pPr>
            <w:r>
              <w:rPr>
                <w:lang w:eastAsia="en-AU"/>
              </w:rPr>
              <w:t xml:space="preserve">July </w:t>
            </w:r>
            <w:r>
              <w:rPr>
                <w:color w:val="000000"/>
                <w:lang w:eastAsia="en-AU"/>
              </w:rPr>
              <w:t>2020</w:t>
            </w:r>
          </w:p>
        </w:tc>
        <w:tc>
          <w:tcPr>
            <w:tcW w:w="3020" w:type="dxa"/>
          </w:tcPr>
          <w:p w14:paraId="707A494C" w14:textId="4E619631" w:rsidR="00E97E67" w:rsidRDefault="00E97E67" w:rsidP="00E97E67">
            <w:pPr>
              <w:pStyle w:val="TableText"/>
            </w:pPr>
            <w:r w:rsidRPr="00915CDB">
              <w:t>32</w:t>
            </w:r>
            <w:r w:rsidR="00147DB7">
              <w:t>7</w:t>
            </w:r>
            <w:r w:rsidRPr="00915CDB">
              <w:t>3</w:t>
            </w:r>
          </w:p>
        </w:tc>
        <w:tc>
          <w:tcPr>
            <w:tcW w:w="3020" w:type="dxa"/>
          </w:tcPr>
          <w:p w14:paraId="1E5AE059" w14:textId="5B132BE4" w:rsidR="00E97E67" w:rsidRDefault="00E97E67" w:rsidP="00E97E67">
            <w:pPr>
              <w:pStyle w:val="TableText"/>
            </w:pPr>
            <w:r w:rsidRPr="00915CDB">
              <w:t>10</w:t>
            </w:r>
          </w:p>
        </w:tc>
      </w:tr>
      <w:tr w:rsidR="00E97E67" w14:paraId="48EFA55D" w14:textId="77777777" w:rsidTr="00802A84">
        <w:tc>
          <w:tcPr>
            <w:tcW w:w="3020" w:type="dxa"/>
          </w:tcPr>
          <w:p w14:paraId="3F917421" w14:textId="13CBB55B" w:rsidR="00E97E67" w:rsidRDefault="00E97E67" w:rsidP="00E97E67">
            <w:pPr>
              <w:pStyle w:val="TableText"/>
            </w:pPr>
            <w:r>
              <w:rPr>
                <w:lang w:eastAsia="en-AU"/>
              </w:rPr>
              <w:t xml:space="preserve">April </w:t>
            </w:r>
            <w:r>
              <w:rPr>
                <w:color w:val="000000"/>
                <w:lang w:eastAsia="en-AU"/>
              </w:rPr>
              <w:t>2021</w:t>
            </w:r>
          </w:p>
        </w:tc>
        <w:tc>
          <w:tcPr>
            <w:tcW w:w="3020" w:type="dxa"/>
          </w:tcPr>
          <w:p w14:paraId="4A20DEAB" w14:textId="14859B4B" w:rsidR="00E97E67" w:rsidRDefault="00537D84" w:rsidP="00E97E67">
            <w:pPr>
              <w:pStyle w:val="TableText"/>
            </w:pPr>
            <w:r>
              <w:t>2234</w:t>
            </w:r>
          </w:p>
        </w:tc>
        <w:tc>
          <w:tcPr>
            <w:tcW w:w="3020" w:type="dxa"/>
          </w:tcPr>
          <w:p w14:paraId="6A0B274D" w14:textId="3E9D8BDF" w:rsidR="00E97E67" w:rsidRDefault="00E97E67" w:rsidP="00E97E67">
            <w:pPr>
              <w:pStyle w:val="TableText"/>
            </w:pPr>
            <w:r w:rsidRPr="00915CDB">
              <w:t>28</w:t>
            </w:r>
          </w:p>
        </w:tc>
      </w:tr>
    </w:tbl>
    <w:p w14:paraId="79144050" w14:textId="59E9D1A7" w:rsidR="00802A84" w:rsidRDefault="00F72728" w:rsidP="00802A84">
      <w:pPr>
        <w:rPr>
          <w:sz w:val="18"/>
          <w:szCs w:val="18"/>
        </w:rPr>
      </w:pPr>
      <w:r w:rsidRPr="008E09EC">
        <w:rPr>
          <w:sz w:val="18"/>
          <w:szCs w:val="18"/>
        </w:rPr>
        <w:t>*</w:t>
      </w:r>
      <w:r w:rsidR="0076739E">
        <w:rPr>
          <w:sz w:val="18"/>
          <w:szCs w:val="18"/>
        </w:rPr>
        <w:t xml:space="preserve">From DPIE 2020a. </w:t>
      </w:r>
      <w:r w:rsidR="00C51C64">
        <w:rPr>
          <w:sz w:val="18"/>
          <w:szCs w:val="18"/>
        </w:rPr>
        <w:t xml:space="preserve">This survey data is from </w:t>
      </w:r>
      <w:r w:rsidRPr="008E09EC">
        <w:rPr>
          <w:sz w:val="18"/>
          <w:szCs w:val="18"/>
        </w:rPr>
        <w:t>17 plots of 10x10m across 2</w:t>
      </w:r>
      <w:r w:rsidR="008E09EC" w:rsidRPr="008E09EC">
        <w:rPr>
          <w:sz w:val="18"/>
          <w:szCs w:val="18"/>
        </w:rPr>
        <w:t xml:space="preserve"> rocky</w:t>
      </w:r>
      <w:r w:rsidRPr="008E09EC">
        <w:rPr>
          <w:sz w:val="18"/>
          <w:szCs w:val="18"/>
        </w:rPr>
        <w:t xml:space="preserve"> </w:t>
      </w:r>
      <w:r w:rsidR="007E5D2F" w:rsidRPr="008E09EC">
        <w:rPr>
          <w:sz w:val="18"/>
          <w:szCs w:val="18"/>
        </w:rPr>
        <w:t>outcrops</w:t>
      </w:r>
      <w:r w:rsidRPr="008E09EC">
        <w:rPr>
          <w:sz w:val="18"/>
          <w:szCs w:val="18"/>
        </w:rPr>
        <w:t>, 8</w:t>
      </w:r>
      <w:r w:rsidR="00C51C64">
        <w:rPr>
          <w:sz w:val="18"/>
          <w:szCs w:val="18"/>
        </w:rPr>
        <w:t xml:space="preserve"> of these</w:t>
      </w:r>
      <w:r w:rsidR="002C3980" w:rsidRPr="008E09EC">
        <w:rPr>
          <w:sz w:val="18"/>
          <w:szCs w:val="18"/>
        </w:rPr>
        <w:t xml:space="preserve"> plots</w:t>
      </w:r>
      <w:r w:rsidRPr="008E09EC">
        <w:rPr>
          <w:sz w:val="18"/>
          <w:szCs w:val="18"/>
        </w:rPr>
        <w:t xml:space="preserve"> were burnt in Jan 2020</w:t>
      </w:r>
    </w:p>
    <w:p w14:paraId="426EA4E0" w14:textId="77777777" w:rsidR="00C51C64" w:rsidRDefault="00C51C64" w:rsidP="008064B3">
      <w:pPr>
        <w:pStyle w:val="Caption"/>
      </w:pPr>
    </w:p>
    <w:p w14:paraId="684FE9BE" w14:textId="22DF6DF7" w:rsidR="00E362EF" w:rsidRDefault="007C5B94" w:rsidP="008064B3">
      <w:pPr>
        <w:pStyle w:val="Caption"/>
      </w:pPr>
      <w:r>
        <w:t xml:space="preserve">Map </w:t>
      </w:r>
      <w:r>
        <w:rPr>
          <w:noProof/>
        </w:rPr>
        <w:fldChar w:fldCharType="begin"/>
      </w:r>
      <w:r>
        <w:rPr>
          <w:noProof/>
        </w:rPr>
        <w:instrText xml:space="preserve"> SEQ Map \* ARABIC </w:instrText>
      </w:r>
      <w:r>
        <w:rPr>
          <w:noProof/>
        </w:rPr>
        <w:fldChar w:fldCharType="separate"/>
      </w:r>
      <w:r w:rsidR="00EF0C0C">
        <w:rPr>
          <w:noProof/>
        </w:rPr>
        <w:t>1</w:t>
      </w:r>
      <w:r>
        <w:rPr>
          <w:noProof/>
        </w:rPr>
        <w:fldChar w:fldCharType="end"/>
      </w:r>
      <w:bookmarkEnd w:id="6"/>
      <w:r>
        <w:t xml:space="preserve"> </w:t>
      </w:r>
      <w:bookmarkEnd w:id="7"/>
      <w:bookmarkEnd w:id="8"/>
      <w:r w:rsidR="008064B3">
        <w:t xml:space="preserve">Modelled distribution </w:t>
      </w:r>
      <w:r w:rsidR="004C7F78">
        <w:t xml:space="preserve">of </w:t>
      </w:r>
      <w:proofErr w:type="spellStart"/>
      <w:r w:rsidR="00040531" w:rsidRPr="005D6CB2">
        <w:t>Narrabarba</w:t>
      </w:r>
      <w:proofErr w:type="spellEnd"/>
      <w:r w:rsidR="00040531" w:rsidRPr="005D6CB2">
        <w:t xml:space="preserve"> wattle</w:t>
      </w:r>
    </w:p>
    <w:p w14:paraId="5CC70BDE" w14:textId="2C271E2E" w:rsidR="00E362EF" w:rsidRDefault="00691F56">
      <w:pPr>
        <w:pStyle w:val="Picture"/>
      </w:pPr>
      <w:r>
        <w:drawing>
          <wp:inline distT="0" distB="0" distL="0" distR="0" wp14:anchorId="36B7AF15" wp14:editId="14FDE50D">
            <wp:extent cx="5759450" cy="4066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4066540"/>
                    </a:xfrm>
                    <a:prstGeom prst="rect">
                      <a:avLst/>
                    </a:prstGeom>
                    <a:noFill/>
                    <a:ln>
                      <a:noFill/>
                    </a:ln>
                  </pic:spPr>
                </pic:pic>
              </a:graphicData>
            </a:graphic>
          </wp:inline>
        </w:drawing>
      </w:r>
    </w:p>
    <w:p w14:paraId="0C84CBBD" w14:textId="72DCA28B" w:rsidR="00892674" w:rsidRDefault="00892674" w:rsidP="00892674">
      <w:pPr>
        <w:pStyle w:val="FigureTableNoteSource"/>
      </w:pPr>
      <w:r w:rsidRPr="002A3B07">
        <w:rPr>
          <w:b/>
          <w:bCs/>
        </w:rPr>
        <w:t>Source:</w:t>
      </w:r>
      <w:r>
        <w:t xml:space="preserve"> Base map Geoscience Australia; species distribution data </w:t>
      </w:r>
      <w:hyperlink r:id="rId24" w:history="1">
        <w:r w:rsidRPr="008064B3">
          <w:rPr>
            <w:rStyle w:val="Hyperlink"/>
          </w:rPr>
          <w:t>Species of National Environmental Significance</w:t>
        </w:r>
      </w:hyperlink>
      <w:r>
        <w:t xml:space="preserve"> database.</w:t>
      </w:r>
    </w:p>
    <w:p w14:paraId="5D88C668" w14:textId="77777777" w:rsidR="00892674" w:rsidRDefault="00892674" w:rsidP="00892674">
      <w:pPr>
        <w:pStyle w:val="FigureTableNoteSource"/>
      </w:pPr>
      <w:r w:rsidRPr="002A3B07">
        <w:rPr>
          <w:b/>
          <w:bCs/>
        </w:rPr>
        <w:t>Caveat:</w:t>
      </w:r>
      <w:r>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w:t>
      </w:r>
      <w:proofErr w:type="gramStart"/>
      <w:r>
        <w:t>as a consequence of</w:t>
      </w:r>
      <w:proofErr w:type="gramEnd"/>
      <w:r>
        <w:t>, anything containing herein.</w:t>
      </w:r>
    </w:p>
    <w:p w14:paraId="63307F30" w14:textId="77777777" w:rsidR="00892674" w:rsidRPr="0024487C" w:rsidRDefault="00892674" w:rsidP="00892674">
      <w:pPr>
        <w:pStyle w:val="FigureTableNoteSource"/>
      </w:pPr>
      <w:r w:rsidRPr="002A3B07">
        <w:rPr>
          <w:b/>
          <w:bCs/>
        </w:rPr>
        <w:t>Species distribution mapping:</w:t>
      </w:r>
      <w:r>
        <w:t xml:space="preserve"> The species distribution mapping categories are indicative only and aim to capture (a) the habitat or geographic feature that represents to recent observed locations of the species (known to occur) or habitat occurring </w:t>
      </w:r>
      <w:proofErr w:type="gramStart"/>
      <w:r>
        <w:t>in close proximity to</w:t>
      </w:r>
      <w:proofErr w:type="gramEnd"/>
      <w:r>
        <w:t xml:space="preserve">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555EC333" w14:textId="777BB0E6" w:rsidR="00C304AA" w:rsidRDefault="00C304AA" w:rsidP="00982581">
      <w:pPr>
        <w:pStyle w:val="Heading3"/>
      </w:pPr>
      <w:r>
        <w:t>Cultural and community significance</w:t>
      </w:r>
    </w:p>
    <w:p w14:paraId="793A0274" w14:textId="77777777" w:rsidR="00F155C6" w:rsidRDefault="00526902" w:rsidP="00F155C6">
      <w:r w:rsidRPr="005F7FB7">
        <w:t>This statement of significance is not intended to be comprehensive, applicable to, or speak for, all Indigenous Australians and it is acknowledged that Indigenous groups and individuals are the custodians of this knowledge</w:t>
      </w:r>
      <w:r>
        <w:t>.</w:t>
      </w:r>
    </w:p>
    <w:p w14:paraId="6A1968AF" w14:textId="43E2DDD0" w:rsidR="009A6F7A" w:rsidRDefault="009B0F42" w:rsidP="009A6F7A">
      <w:pPr>
        <w:rPr>
          <w:rFonts w:eastAsia="Cambria" w:cs="Cambria"/>
          <w:color w:val="000000" w:themeColor="text1"/>
        </w:rPr>
      </w:pPr>
      <w:r w:rsidRPr="009B0F42">
        <w:rPr>
          <w:rFonts w:eastAsia="Cambria" w:cs="Cambria"/>
          <w:color w:val="000000" w:themeColor="text1"/>
        </w:rPr>
        <w:lastRenderedPageBreak/>
        <w:t xml:space="preserve">The area </w:t>
      </w:r>
      <w:r w:rsidR="00E3001D">
        <w:rPr>
          <w:rFonts w:eastAsia="Cambria" w:cs="Cambria"/>
          <w:color w:val="000000" w:themeColor="text1"/>
        </w:rPr>
        <w:t xml:space="preserve">where the </w:t>
      </w:r>
      <w:proofErr w:type="spellStart"/>
      <w:r w:rsidR="00E3001D" w:rsidRPr="000642DF">
        <w:t>Narrabarba</w:t>
      </w:r>
      <w:proofErr w:type="spellEnd"/>
      <w:r w:rsidR="00E3001D" w:rsidRPr="000642DF">
        <w:t xml:space="preserve"> </w:t>
      </w:r>
      <w:r w:rsidR="00E3001D">
        <w:t>wattle</w:t>
      </w:r>
      <w:r w:rsidR="00E3001D" w:rsidRPr="000642DF">
        <w:t xml:space="preserve"> </w:t>
      </w:r>
      <w:r w:rsidR="00E3001D">
        <w:rPr>
          <w:rFonts w:eastAsia="Cambria" w:cs="Cambria"/>
          <w:color w:val="000000" w:themeColor="text1"/>
        </w:rPr>
        <w:t>occurs is</w:t>
      </w:r>
      <w:r w:rsidRPr="009B0F42">
        <w:rPr>
          <w:rFonts w:eastAsia="Cambria" w:cs="Cambria"/>
          <w:color w:val="000000" w:themeColor="text1"/>
        </w:rPr>
        <w:t xml:space="preserve"> part of the lands of the Bid</w:t>
      </w:r>
      <w:r w:rsidR="00733E09">
        <w:rPr>
          <w:rFonts w:eastAsia="Cambria" w:cs="Cambria"/>
          <w:color w:val="000000" w:themeColor="text1"/>
        </w:rPr>
        <w:t>well</w:t>
      </w:r>
      <w:r w:rsidRPr="009B0F42">
        <w:rPr>
          <w:rFonts w:eastAsia="Cambria" w:cs="Cambria"/>
          <w:color w:val="000000" w:themeColor="text1"/>
        </w:rPr>
        <w:t xml:space="preserve"> </w:t>
      </w:r>
      <w:r w:rsidR="00456A1C">
        <w:rPr>
          <w:rFonts w:eastAsia="Cambria" w:cs="Cambria"/>
          <w:color w:val="000000" w:themeColor="text1"/>
        </w:rPr>
        <w:t>P</w:t>
      </w:r>
      <w:r w:rsidRPr="009B0F42">
        <w:rPr>
          <w:rFonts w:eastAsia="Cambria" w:cs="Cambria"/>
          <w:color w:val="000000" w:themeColor="text1"/>
        </w:rPr>
        <w:t>eople</w:t>
      </w:r>
      <w:r w:rsidR="00733E09">
        <w:rPr>
          <w:rFonts w:eastAsia="Cambria" w:cs="Cambria"/>
          <w:color w:val="000000" w:themeColor="text1"/>
        </w:rPr>
        <w:t xml:space="preserve"> (</w:t>
      </w:r>
      <w:r w:rsidR="007C6876">
        <w:t xml:space="preserve">AIATSIS </w:t>
      </w:r>
      <w:r w:rsidR="0070763B">
        <w:t>1996</w:t>
      </w:r>
      <w:r w:rsidR="007C6876">
        <w:t>)</w:t>
      </w:r>
      <w:r w:rsidRPr="009B0F42">
        <w:rPr>
          <w:rFonts w:eastAsia="Cambria" w:cs="Cambria"/>
          <w:color w:val="000000" w:themeColor="text1"/>
        </w:rPr>
        <w:t xml:space="preserve">. </w:t>
      </w:r>
      <w:r w:rsidR="009A6F7A" w:rsidRPr="009A6F7A">
        <w:rPr>
          <w:rFonts w:eastAsia="Cambria" w:cs="Cambria"/>
          <w:color w:val="000000" w:themeColor="text1"/>
        </w:rPr>
        <w:t xml:space="preserve">Archaeological evidence confirms that </w:t>
      </w:r>
      <w:r w:rsidR="009A6F7A" w:rsidRPr="005F7FB7">
        <w:t>Indigenous Australians</w:t>
      </w:r>
      <w:r w:rsidR="009A6F7A" w:rsidRPr="009A6F7A">
        <w:rPr>
          <w:rFonts w:eastAsia="Cambria" w:cs="Cambria"/>
          <w:color w:val="000000" w:themeColor="text1"/>
        </w:rPr>
        <w:t xml:space="preserve"> have had a long and continuous association with the South Coast region for thousands of years.</w:t>
      </w:r>
      <w:r w:rsidR="009A6F7A">
        <w:rPr>
          <w:rFonts w:eastAsia="Cambria" w:cs="Cambria"/>
          <w:color w:val="000000" w:themeColor="text1"/>
        </w:rPr>
        <w:t xml:space="preserve"> </w:t>
      </w:r>
      <w:r w:rsidRPr="009B0F42">
        <w:rPr>
          <w:rFonts w:eastAsia="Cambria" w:cs="Cambria"/>
          <w:color w:val="000000" w:themeColor="text1"/>
        </w:rPr>
        <w:t xml:space="preserve">Before settlement, they would travel from as far away as Wollongong, Mallacoota and </w:t>
      </w:r>
      <w:proofErr w:type="spellStart"/>
      <w:r w:rsidRPr="009B0F42">
        <w:rPr>
          <w:rFonts w:eastAsia="Cambria" w:cs="Cambria"/>
          <w:color w:val="000000" w:themeColor="text1"/>
        </w:rPr>
        <w:t>Monaroo</w:t>
      </w:r>
      <w:proofErr w:type="spellEnd"/>
      <w:r w:rsidRPr="009B0F42">
        <w:rPr>
          <w:rFonts w:eastAsia="Cambria" w:cs="Cambria"/>
          <w:color w:val="000000" w:themeColor="text1"/>
        </w:rPr>
        <w:t xml:space="preserve"> to places like Bay Cliff and </w:t>
      </w:r>
      <w:proofErr w:type="spellStart"/>
      <w:r w:rsidRPr="009B0F42">
        <w:rPr>
          <w:rFonts w:eastAsia="Cambria" w:cs="Cambria"/>
          <w:color w:val="000000" w:themeColor="text1"/>
        </w:rPr>
        <w:t>Greenglade</w:t>
      </w:r>
      <w:proofErr w:type="spellEnd"/>
      <w:r w:rsidR="009A6F7A">
        <w:rPr>
          <w:rFonts w:eastAsia="Cambria" w:cs="Cambria"/>
          <w:color w:val="000000" w:themeColor="text1"/>
        </w:rPr>
        <w:t xml:space="preserve"> near </w:t>
      </w:r>
      <w:proofErr w:type="spellStart"/>
      <w:r w:rsidR="009A6F7A">
        <w:rPr>
          <w:rFonts w:eastAsia="Cambria" w:cs="Cambria"/>
          <w:color w:val="000000" w:themeColor="text1"/>
        </w:rPr>
        <w:t>Wonboyn</w:t>
      </w:r>
      <w:proofErr w:type="spellEnd"/>
      <w:r w:rsidRPr="009B0F42">
        <w:rPr>
          <w:rFonts w:eastAsia="Cambria" w:cs="Cambria"/>
          <w:color w:val="000000" w:themeColor="text1"/>
        </w:rPr>
        <w:t xml:space="preserve">. Middens can be seen around </w:t>
      </w:r>
      <w:proofErr w:type="spellStart"/>
      <w:r w:rsidRPr="009B0F42">
        <w:rPr>
          <w:rFonts w:eastAsia="Cambria" w:cs="Cambria"/>
          <w:color w:val="000000" w:themeColor="text1"/>
        </w:rPr>
        <w:t>Wonboyn</w:t>
      </w:r>
      <w:proofErr w:type="spellEnd"/>
      <w:r w:rsidRPr="009B0F42">
        <w:rPr>
          <w:rFonts w:eastAsia="Cambria" w:cs="Cambria"/>
          <w:color w:val="000000" w:themeColor="text1"/>
        </w:rPr>
        <w:t xml:space="preserve"> Lake and along the shore</w:t>
      </w:r>
      <w:r>
        <w:rPr>
          <w:rFonts w:eastAsia="Cambria" w:cs="Cambria"/>
          <w:color w:val="000000" w:themeColor="text1"/>
        </w:rPr>
        <w:t xml:space="preserve"> (NPWS 2021)</w:t>
      </w:r>
      <w:r w:rsidR="00F155C6">
        <w:rPr>
          <w:rFonts w:eastAsia="Cambria" w:cs="Cambria"/>
          <w:color w:val="000000" w:themeColor="text1"/>
        </w:rPr>
        <w:t xml:space="preserve">. </w:t>
      </w:r>
      <w:r w:rsidR="009A6F7A">
        <w:rPr>
          <w:rFonts w:eastAsia="Cambria" w:cs="Cambria"/>
          <w:color w:val="000000" w:themeColor="text1"/>
        </w:rPr>
        <w:t xml:space="preserve">Within Ben Boyd National Park a </w:t>
      </w:r>
      <w:r w:rsidR="009A6F7A" w:rsidRPr="009A6F7A">
        <w:rPr>
          <w:rFonts w:eastAsia="Cambria" w:cs="Cambria"/>
          <w:color w:val="000000" w:themeColor="text1"/>
        </w:rPr>
        <w:t xml:space="preserve">large number of </w:t>
      </w:r>
      <w:r w:rsidR="009A6F7A">
        <w:rPr>
          <w:rFonts w:eastAsia="Cambria" w:cs="Cambria"/>
          <w:color w:val="000000" w:themeColor="text1"/>
        </w:rPr>
        <w:t xml:space="preserve">Indigenous </w:t>
      </w:r>
      <w:r w:rsidR="009A6F7A" w:rsidRPr="009A6F7A">
        <w:rPr>
          <w:rFonts w:eastAsia="Cambria" w:cs="Cambria"/>
          <w:color w:val="000000" w:themeColor="text1"/>
        </w:rPr>
        <w:t xml:space="preserve">sites have been recorded, mainly middens, but also campsites, rock shelters, scarred trees and </w:t>
      </w:r>
      <w:proofErr w:type="gramStart"/>
      <w:r w:rsidR="009A6F7A" w:rsidRPr="009A6F7A">
        <w:rPr>
          <w:rFonts w:eastAsia="Cambria" w:cs="Cambria"/>
          <w:color w:val="000000" w:themeColor="text1"/>
        </w:rPr>
        <w:t>long distance</w:t>
      </w:r>
      <w:proofErr w:type="gramEnd"/>
      <w:r w:rsidR="009A6F7A" w:rsidRPr="009A6F7A">
        <w:rPr>
          <w:rFonts w:eastAsia="Cambria" w:cs="Cambria"/>
          <w:color w:val="000000" w:themeColor="text1"/>
        </w:rPr>
        <w:t xml:space="preserve"> travel routes</w:t>
      </w:r>
      <w:r w:rsidR="0041495E">
        <w:rPr>
          <w:rFonts w:eastAsia="Cambria" w:cs="Cambria"/>
          <w:color w:val="000000" w:themeColor="text1"/>
        </w:rPr>
        <w:t xml:space="preserve"> (</w:t>
      </w:r>
      <w:r w:rsidR="002778E4">
        <w:rPr>
          <w:rFonts w:eastAsia="Cambria" w:cs="Cambria"/>
          <w:color w:val="000000" w:themeColor="text1"/>
        </w:rPr>
        <w:t>DPIE</w:t>
      </w:r>
      <w:r w:rsidR="0041495E">
        <w:rPr>
          <w:rFonts w:eastAsia="Cambria" w:cs="Cambria"/>
          <w:color w:val="000000" w:themeColor="text1"/>
        </w:rPr>
        <w:t xml:space="preserve"> 2021b). </w:t>
      </w:r>
      <w:r w:rsidR="009A6F7A" w:rsidRPr="009A6F7A">
        <w:rPr>
          <w:rFonts w:eastAsia="Cambria" w:cs="Cambria"/>
          <w:color w:val="000000" w:themeColor="text1"/>
        </w:rPr>
        <w:t xml:space="preserve">The Disaster Bay to Green Cape area is particularly significant for its large number of </w:t>
      </w:r>
      <w:r w:rsidR="0041495E">
        <w:rPr>
          <w:rFonts w:eastAsia="Cambria" w:cs="Cambria"/>
          <w:color w:val="000000" w:themeColor="text1"/>
        </w:rPr>
        <w:t>Indigenous</w:t>
      </w:r>
      <w:r w:rsidR="009A6F7A" w:rsidRPr="009A6F7A">
        <w:rPr>
          <w:rFonts w:eastAsia="Cambria" w:cs="Cambria"/>
          <w:color w:val="000000" w:themeColor="text1"/>
        </w:rPr>
        <w:t xml:space="preserve"> sites, and its historic, </w:t>
      </w:r>
      <w:proofErr w:type="gramStart"/>
      <w:r w:rsidR="009A6F7A" w:rsidRPr="009A6F7A">
        <w:rPr>
          <w:rFonts w:eastAsia="Cambria" w:cs="Cambria"/>
          <w:color w:val="000000" w:themeColor="text1"/>
        </w:rPr>
        <w:t>spiritual</w:t>
      </w:r>
      <w:proofErr w:type="gramEnd"/>
      <w:r w:rsidR="009A6F7A" w:rsidRPr="009A6F7A">
        <w:rPr>
          <w:rFonts w:eastAsia="Cambria" w:cs="Cambria"/>
          <w:color w:val="000000" w:themeColor="text1"/>
        </w:rPr>
        <w:t xml:space="preserve"> and contemporary values to local </w:t>
      </w:r>
      <w:r w:rsidR="0041495E" w:rsidRPr="005F7FB7">
        <w:t xml:space="preserve">Indigenous Australians </w:t>
      </w:r>
      <w:r w:rsidR="0041495E">
        <w:rPr>
          <w:rFonts w:eastAsia="Cambria" w:cs="Cambria"/>
          <w:color w:val="000000" w:themeColor="text1"/>
        </w:rPr>
        <w:t>(</w:t>
      </w:r>
      <w:r w:rsidR="002778E4">
        <w:rPr>
          <w:rFonts w:eastAsia="Cambria" w:cs="Cambria"/>
          <w:color w:val="000000" w:themeColor="text1"/>
        </w:rPr>
        <w:t xml:space="preserve">DPIE </w:t>
      </w:r>
      <w:r w:rsidR="0041495E">
        <w:rPr>
          <w:rFonts w:eastAsia="Cambria" w:cs="Cambria"/>
          <w:color w:val="000000" w:themeColor="text1"/>
        </w:rPr>
        <w:t>2021b)</w:t>
      </w:r>
      <w:r w:rsidR="009A6F7A" w:rsidRPr="009A6F7A">
        <w:rPr>
          <w:rFonts w:eastAsia="Cambria" w:cs="Cambria"/>
          <w:color w:val="000000" w:themeColor="text1"/>
        </w:rPr>
        <w:t>.</w:t>
      </w:r>
      <w:r w:rsidR="009A6F7A">
        <w:rPr>
          <w:rFonts w:eastAsia="Cambria" w:cs="Cambria"/>
          <w:color w:val="000000" w:themeColor="text1"/>
        </w:rPr>
        <w:t xml:space="preserve"> </w:t>
      </w:r>
    </w:p>
    <w:p w14:paraId="1A9C173F" w14:textId="751D5BE5" w:rsidR="0059085B" w:rsidRDefault="0059085B" w:rsidP="00F155C6">
      <w:r>
        <w:t xml:space="preserve">Wattles are part of the Australian identity. The Australian national floral emblem is </w:t>
      </w:r>
      <w:r w:rsidRPr="20CB4E9E">
        <w:rPr>
          <w:i/>
          <w:iCs/>
        </w:rPr>
        <w:t xml:space="preserve">Acacia </w:t>
      </w:r>
      <w:proofErr w:type="spellStart"/>
      <w:r w:rsidRPr="20CB4E9E">
        <w:rPr>
          <w:i/>
          <w:iCs/>
        </w:rPr>
        <w:t>pycnantha</w:t>
      </w:r>
      <w:proofErr w:type="spellEnd"/>
      <w:r>
        <w:t xml:space="preserve"> (the golden wattle), and the emblem of the Order of Australia is also a wattle. Australia’s national colours are green and gold, and so the wattle is a symbol of unity, </w:t>
      </w:r>
      <w:proofErr w:type="gramStart"/>
      <w:r>
        <w:t>remembrance</w:t>
      </w:r>
      <w:proofErr w:type="gramEnd"/>
      <w:r>
        <w:t xml:space="preserve"> and reflection (Australian Government 2018). The first of September is National Wattle Day when Australians can celebrate their floral heritage by planting wattles (Australian Government 2018). </w:t>
      </w:r>
    </w:p>
    <w:p w14:paraId="7773809E" w14:textId="12ECC4A9" w:rsidR="00C304AA" w:rsidRDefault="00C304AA" w:rsidP="00C304AA">
      <w:pPr>
        <w:pStyle w:val="Heading3"/>
        <w:ind w:left="964" w:hanging="964"/>
      </w:pPr>
      <w:r>
        <w:t>Relevant biology and ecology</w:t>
      </w:r>
    </w:p>
    <w:p w14:paraId="102A3F10" w14:textId="1FBADFC7" w:rsidR="000E196C" w:rsidRPr="00750AA6" w:rsidRDefault="00750AA6" w:rsidP="00D345F1">
      <w:pPr>
        <w:spacing w:after="0"/>
        <w:rPr>
          <w:i/>
          <w:iCs/>
        </w:rPr>
      </w:pPr>
      <w:r w:rsidRPr="00750AA6">
        <w:rPr>
          <w:i/>
          <w:iCs/>
        </w:rPr>
        <w:t>Habitat</w:t>
      </w:r>
    </w:p>
    <w:p w14:paraId="26FDFFBB" w14:textId="08EF0C6B" w:rsidR="00E87B30" w:rsidRDefault="008220DF" w:rsidP="00D345F1">
      <w:pPr>
        <w:pStyle w:val="Default"/>
        <w:spacing w:line="276" w:lineRule="auto"/>
        <w:rPr>
          <w:rFonts w:ascii="Cambria" w:hAnsi="Cambria"/>
          <w:sz w:val="22"/>
          <w:szCs w:val="22"/>
        </w:rPr>
      </w:pPr>
      <w:r w:rsidRPr="7FA35F82">
        <w:rPr>
          <w:rFonts w:ascii="Cambria" w:hAnsi="Cambria"/>
          <w:sz w:val="22"/>
          <w:szCs w:val="22"/>
        </w:rPr>
        <w:t xml:space="preserve">The </w:t>
      </w:r>
      <w:proofErr w:type="spellStart"/>
      <w:r w:rsidRPr="7FA35F82">
        <w:rPr>
          <w:rFonts w:ascii="Cambria" w:hAnsi="Cambria"/>
          <w:sz w:val="22"/>
          <w:szCs w:val="22"/>
        </w:rPr>
        <w:t>Narrabarba</w:t>
      </w:r>
      <w:proofErr w:type="spellEnd"/>
      <w:r w:rsidRPr="7FA35F82">
        <w:rPr>
          <w:rFonts w:ascii="Cambria" w:hAnsi="Cambria"/>
          <w:sz w:val="22"/>
          <w:szCs w:val="22"/>
        </w:rPr>
        <w:t xml:space="preserve"> wattle is </w:t>
      </w:r>
      <w:r w:rsidR="00EA3C06">
        <w:rPr>
          <w:rFonts w:ascii="Cambria" w:hAnsi="Cambria"/>
          <w:sz w:val="22"/>
          <w:szCs w:val="22"/>
        </w:rPr>
        <w:t xml:space="preserve">found primarily on </w:t>
      </w:r>
      <w:r w:rsidRPr="7FA35F82">
        <w:rPr>
          <w:rFonts w:ascii="Cambria" w:hAnsi="Cambria"/>
          <w:sz w:val="22"/>
          <w:szCs w:val="22"/>
        </w:rPr>
        <w:t>rhyolite and aplite rock</w:t>
      </w:r>
      <w:r w:rsidR="00603A36" w:rsidRPr="7FA35F82">
        <w:rPr>
          <w:rFonts w:ascii="Cambria" w:hAnsi="Cambria"/>
          <w:sz w:val="22"/>
          <w:szCs w:val="22"/>
        </w:rPr>
        <w:t>y</w:t>
      </w:r>
      <w:r w:rsidRPr="7FA35F82">
        <w:rPr>
          <w:rFonts w:ascii="Cambria" w:hAnsi="Cambria"/>
          <w:sz w:val="22"/>
          <w:szCs w:val="22"/>
        </w:rPr>
        <w:t xml:space="preserve"> outcrops</w:t>
      </w:r>
      <w:r w:rsidR="00EA3C06">
        <w:rPr>
          <w:rFonts w:ascii="Cambria" w:hAnsi="Cambria"/>
          <w:sz w:val="22"/>
          <w:szCs w:val="22"/>
        </w:rPr>
        <w:t xml:space="preserve">, but </w:t>
      </w:r>
      <w:r w:rsidR="00222A73">
        <w:rPr>
          <w:rFonts w:ascii="Cambria" w:hAnsi="Cambria"/>
          <w:sz w:val="22"/>
          <w:szCs w:val="22"/>
        </w:rPr>
        <w:t>occasionally</w:t>
      </w:r>
      <w:r w:rsidR="00EA3C06">
        <w:rPr>
          <w:rFonts w:ascii="Cambria" w:hAnsi="Cambria"/>
          <w:sz w:val="22"/>
          <w:szCs w:val="22"/>
        </w:rPr>
        <w:t xml:space="preserve"> occurs on sandstone. The species</w:t>
      </w:r>
      <w:r w:rsidRPr="7FA35F82">
        <w:rPr>
          <w:rFonts w:ascii="Cambria" w:hAnsi="Cambria"/>
          <w:sz w:val="22"/>
          <w:szCs w:val="22"/>
        </w:rPr>
        <w:t xml:space="preserve"> grows mostly in </w:t>
      </w:r>
      <w:r w:rsidR="5C21FBF0" w:rsidRPr="7FA35F82">
        <w:rPr>
          <w:rFonts w:ascii="Cambria" w:hAnsi="Cambria"/>
          <w:sz w:val="22"/>
          <w:szCs w:val="22"/>
        </w:rPr>
        <w:t xml:space="preserve">nutrient </w:t>
      </w:r>
      <w:r w:rsidRPr="7FA35F82">
        <w:rPr>
          <w:rFonts w:ascii="Cambria" w:hAnsi="Cambria"/>
          <w:sz w:val="22"/>
          <w:szCs w:val="22"/>
        </w:rPr>
        <w:t>poor, skeletal soils but sometimes in rich, brown to black loams (Briggs &amp; Leigh 1990; Orchard &amp; Wilson 2001; NPWS 200</w:t>
      </w:r>
      <w:r w:rsidR="00DA2D51" w:rsidRPr="7FA35F82">
        <w:rPr>
          <w:rFonts w:ascii="Cambria" w:hAnsi="Cambria"/>
          <w:sz w:val="22"/>
          <w:szCs w:val="22"/>
        </w:rPr>
        <w:t>2</w:t>
      </w:r>
      <w:r w:rsidRPr="7FA35F82">
        <w:rPr>
          <w:rFonts w:ascii="Cambria" w:hAnsi="Cambria"/>
          <w:sz w:val="22"/>
          <w:szCs w:val="22"/>
        </w:rPr>
        <w:t>; OEH 2021</w:t>
      </w:r>
      <w:r w:rsidR="0010688E" w:rsidRPr="7FA35F82">
        <w:rPr>
          <w:rFonts w:ascii="Cambria" w:hAnsi="Cambria"/>
          <w:sz w:val="22"/>
          <w:szCs w:val="22"/>
        </w:rPr>
        <w:t>a</w:t>
      </w:r>
      <w:r w:rsidRPr="7FA35F82">
        <w:rPr>
          <w:rFonts w:ascii="Cambria" w:hAnsi="Cambria"/>
          <w:sz w:val="22"/>
          <w:szCs w:val="22"/>
        </w:rPr>
        <w:t xml:space="preserve">). </w:t>
      </w:r>
      <w:r w:rsidR="759E9B0C" w:rsidRPr="7FA35F82">
        <w:rPr>
          <w:rFonts w:ascii="Cambria" w:hAnsi="Cambria"/>
          <w:sz w:val="22"/>
          <w:szCs w:val="22"/>
        </w:rPr>
        <w:t xml:space="preserve">The species </w:t>
      </w:r>
      <w:proofErr w:type="gramStart"/>
      <w:r w:rsidR="759E9B0C" w:rsidRPr="7FA35F82">
        <w:rPr>
          <w:rFonts w:ascii="Cambria" w:hAnsi="Cambria"/>
          <w:sz w:val="22"/>
          <w:szCs w:val="22"/>
        </w:rPr>
        <w:t xml:space="preserve">is </w:t>
      </w:r>
      <w:r w:rsidRPr="7FA35F82">
        <w:rPr>
          <w:rFonts w:ascii="Cambria" w:hAnsi="Cambria"/>
          <w:sz w:val="22"/>
          <w:szCs w:val="22"/>
        </w:rPr>
        <w:t xml:space="preserve"> associated</w:t>
      </w:r>
      <w:proofErr w:type="gramEnd"/>
      <w:r w:rsidRPr="7FA35F82">
        <w:rPr>
          <w:rFonts w:ascii="Cambria" w:hAnsi="Cambria"/>
          <w:sz w:val="22"/>
          <w:szCs w:val="22"/>
        </w:rPr>
        <w:t xml:space="preserve"> with a large expanse of bare rock (NPWS </w:t>
      </w:r>
      <w:r w:rsidR="0014173E" w:rsidRPr="7FA35F82">
        <w:rPr>
          <w:rFonts w:ascii="Cambria" w:hAnsi="Cambria"/>
          <w:sz w:val="22"/>
          <w:szCs w:val="22"/>
        </w:rPr>
        <w:t>2002</w:t>
      </w:r>
      <w:r w:rsidRPr="7FA35F82">
        <w:rPr>
          <w:rFonts w:ascii="Cambria" w:hAnsi="Cambria"/>
          <w:sz w:val="22"/>
          <w:szCs w:val="22"/>
        </w:rPr>
        <w:t xml:space="preserve">) and grows on all aspects but predominantly on westerly-facing slopes (Briggs &amp; Leigh 1990). The largest </w:t>
      </w:r>
      <w:r w:rsidR="00C15CE0" w:rsidRPr="7FA35F82">
        <w:rPr>
          <w:rFonts w:ascii="Cambria" w:hAnsi="Cambria"/>
          <w:sz w:val="22"/>
          <w:szCs w:val="22"/>
        </w:rPr>
        <w:t>site</w:t>
      </w:r>
      <w:r w:rsidRPr="7FA35F82">
        <w:rPr>
          <w:rFonts w:ascii="Cambria" w:hAnsi="Cambria"/>
          <w:sz w:val="22"/>
          <w:szCs w:val="22"/>
        </w:rPr>
        <w:t xml:space="preserve"> </w:t>
      </w:r>
      <w:r w:rsidR="2F2B73E3" w:rsidRPr="7FA35F82">
        <w:rPr>
          <w:rFonts w:ascii="Cambria" w:hAnsi="Cambria"/>
          <w:sz w:val="22"/>
          <w:szCs w:val="22"/>
        </w:rPr>
        <w:t>where the species is currently known from is i</w:t>
      </w:r>
      <w:r w:rsidRPr="7FA35F82">
        <w:rPr>
          <w:rFonts w:ascii="Cambria" w:hAnsi="Cambria"/>
          <w:sz w:val="22"/>
          <w:szCs w:val="22"/>
        </w:rPr>
        <w:t xml:space="preserve">n </w:t>
      </w:r>
      <w:proofErr w:type="spellStart"/>
      <w:r w:rsidRPr="7FA35F82">
        <w:rPr>
          <w:rFonts w:ascii="Cambria" w:hAnsi="Cambria"/>
          <w:sz w:val="22"/>
          <w:szCs w:val="22"/>
        </w:rPr>
        <w:t>Narrabarba</w:t>
      </w:r>
      <w:proofErr w:type="spellEnd"/>
      <w:r w:rsidRPr="7FA35F82">
        <w:rPr>
          <w:rFonts w:ascii="Cambria" w:hAnsi="Cambria"/>
          <w:sz w:val="22"/>
          <w:szCs w:val="22"/>
        </w:rPr>
        <w:t xml:space="preserve"> Hill Flora Reserve </w:t>
      </w:r>
      <w:r w:rsidR="7A1953BA" w:rsidRPr="7FA35F82">
        <w:rPr>
          <w:rFonts w:ascii="Cambria" w:hAnsi="Cambria"/>
          <w:sz w:val="22"/>
          <w:szCs w:val="22"/>
        </w:rPr>
        <w:t xml:space="preserve">and </w:t>
      </w:r>
      <w:r w:rsidRPr="7FA35F82">
        <w:rPr>
          <w:rFonts w:ascii="Cambria" w:hAnsi="Cambria"/>
          <w:sz w:val="22"/>
          <w:szCs w:val="22"/>
        </w:rPr>
        <w:t xml:space="preserve">occurs on a long, narrow razorback ridge running north-west to south-east, with very steep exposed rocky slopes (Briggs &amp; Leigh 1990). Other sites </w:t>
      </w:r>
      <w:r w:rsidR="3D273DF9" w:rsidRPr="7FA35F82">
        <w:rPr>
          <w:rFonts w:ascii="Cambria" w:hAnsi="Cambria"/>
          <w:sz w:val="22"/>
          <w:szCs w:val="22"/>
        </w:rPr>
        <w:t xml:space="preserve">occupied by the species </w:t>
      </w:r>
      <w:r w:rsidRPr="7FA35F82">
        <w:rPr>
          <w:rFonts w:ascii="Cambria" w:hAnsi="Cambria"/>
          <w:sz w:val="22"/>
          <w:szCs w:val="22"/>
        </w:rPr>
        <w:t xml:space="preserve">contain large expanses of </w:t>
      </w:r>
      <w:proofErr w:type="gramStart"/>
      <w:r w:rsidRPr="7FA35F82">
        <w:rPr>
          <w:rFonts w:ascii="Cambria" w:hAnsi="Cambria"/>
          <w:sz w:val="22"/>
          <w:szCs w:val="22"/>
        </w:rPr>
        <w:t>fairly flat</w:t>
      </w:r>
      <w:proofErr w:type="gramEnd"/>
      <w:r w:rsidRPr="7FA35F82">
        <w:rPr>
          <w:rFonts w:ascii="Cambria" w:hAnsi="Cambria"/>
          <w:sz w:val="22"/>
          <w:szCs w:val="22"/>
        </w:rPr>
        <w:t xml:space="preserve"> rock. </w:t>
      </w:r>
      <w:r w:rsidR="000F55CC" w:rsidRPr="7FA35F82">
        <w:rPr>
          <w:rFonts w:ascii="Cambria" w:hAnsi="Cambria"/>
          <w:sz w:val="22"/>
          <w:szCs w:val="22"/>
        </w:rPr>
        <w:t xml:space="preserve">The </w:t>
      </w:r>
      <w:proofErr w:type="spellStart"/>
      <w:r w:rsidR="000F55CC" w:rsidRPr="7FA35F82">
        <w:rPr>
          <w:rFonts w:ascii="Cambria" w:hAnsi="Cambria"/>
          <w:sz w:val="22"/>
          <w:szCs w:val="22"/>
        </w:rPr>
        <w:t>Narrabarba</w:t>
      </w:r>
      <w:proofErr w:type="spellEnd"/>
      <w:r w:rsidR="000F55CC" w:rsidRPr="7FA35F82">
        <w:rPr>
          <w:rFonts w:ascii="Cambria" w:hAnsi="Cambria"/>
          <w:sz w:val="22"/>
          <w:szCs w:val="22"/>
        </w:rPr>
        <w:t xml:space="preserve"> wattle </w:t>
      </w:r>
      <w:r w:rsidR="00E87B30" w:rsidRPr="7FA35F82">
        <w:rPr>
          <w:rFonts w:ascii="Cambria" w:hAnsi="Cambria"/>
          <w:sz w:val="22"/>
          <w:szCs w:val="22"/>
        </w:rPr>
        <w:t>is likely to be susceptible to extreme drought since the water-carrying capacity of the soil associated with the outcrops is generally low</w:t>
      </w:r>
      <w:r w:rsidR="000F55CC" w:rsidRPr="7FA35F82">
        <w:rPr>
          <w:rFonts w:ascii="Cambria" w:hAnsi="Cambria"/>
          <w:sz w:val="22"/>
          <w:szCs w:val="22"/>
        </w:rPr>
        <w:t xml:space="preserve"> (NPW</w:t>
      </w:r>
      <w:r w:rsidR="62F3FE42" w:rsidRPr="7FA35F82">
        <w:rPr>
          <w:rFonts w:ascii="Cambria" w:hAnsi="Cambria"/>
          <w:sz w:val="22"/>
          <w:szCs w:val="22"/>
        </w:rPr>
        <w:t>S</w:t>
      </w:r>
      <w:r w:rsidR="000F55CC" w:rsidRPr="7FA35F82">
        <w:rPr>
          <w:rFonts w:ascii="Cambria" w:hAnsi="Cambria"/>
          <w:sz w:val="22"/>
          <w:szCs w:val="22"/>
        </w:rPr>
        <w:t xml:space="preserve"> 200</w:t>
      </w:r>
      <w:r w:rsidR="00DA2D51" w:rsidRPr="7FA35F82">
        <w:rPr>
          <w:rFonts w:ascii="Cambria" w:hAnsi="Cambria"/>
          <w:sz w:val="22"/>
          <w:szCs w:val="22"/>
        </w:rPr>
        <w:t>2</w:t>
      </w:r>
      <w:r w:rsidR="000F55CC" w:rsidRPr="7FA35F82">
        <w:rPr>
          <w:rFonts w:ascii="Cambria" w:hAnsi="Cambria"/>
          <w:sz w:val="22"/>
          <w:szCs w:val="22"/>
        </w:rPr>
        <w:t>)</w:t>
      </w:r>
      <w:r w:rsidR="00E87B30" w:rsidRPr="7FA35F82">
        <w:rPr>
          <w:rFonts w:ascii="Cambria" w:hAnsi="Cambria"/>
          <w:sz w:val="22"/>
          <w:szCs w:val="22"/>
        </w:rPr>
        <w:t xml:space="preserve">. </w:t>
      </w:r>
    </w:p>
    <w:p w14:paraId="32515357" w14:textId="77777777" w:rsidR="00DD4E96" w:rsidRPr="000642DF" w:rsidRDefault="00DD4E96" w:rsidP="00D345F1">
      <w:pPr>
        <w:pStyle w:val="Default"/>
        <w:spacing w:line="276" w:lineRule="auto"/>
        <w:rPr>
          <w:rFonts w:ascii="Cambria" w:hAnsi="Cambria"/>
          <w:sz w:val="22"/>
          <w:szCs w:val="22"/>
        </w:rPr>
      </w:pPr>
    </w:p>
    <w:p w14:paraId="06AC42BE" w14:textId="4570F68D" w:rsidR="008220DF" w:rsidRDefault="00A72392" w:rsidP="008220DF">
      <w:pPr>
        <w:spacing w:after="0"/>
      </w:pPr>
      <w:r>
        <w:t xml:space="preserve">The </w:t>
      </w:r>
      <w:proofErr w:type="spellStart"/>
      <w:r>
        <w:t>N</w:t>
      </w:r>
      <w:r w:rsidR="008220DF">
        <w:t>arrabarba</w:t>
      </w:r>
      <w:proofErr w:type="spellEnd"/>
      <w:r w:rsidR="008220DF">
        <w:t xml:space="preserve"> </w:t>
      </w:r>
      <w:r>
        <w:t>w</w:t>
      </w:r>
      <w:r w:rsidR="008220DF">
        <w:t>attle</w:t>
      </w:r>
      <w:r>
        <w:t xml:space="preserve"> forms almost impenetrable whipstick-like</w:t>
      </w:r>
      <w:r w:rsidR="00ED7C3D">
        <w:t xml:space="preserve"> (tall spindly)</w:t>
      </w:r>
      <w:r>
        <w:t xml:space="preserve"> scrub (Tindale 1980; Orchard &amp; Wilson 2001)</w:t>
      </w:r>
      <w:r w:rsidR="008220DF">
        <w:t xml:space="preserve"> </w:t>
      </w:r>
      <w:r>
        <w:t xml:space="preserve">and </w:t>
      </w:r>
      <w:r w:rsidR="008220DF">
        <w:t>is the dominant or co-dominant shrub or small tree where it occurs on rock</w:t>
      </w:r>
      <w:r w:rsidR="00F35AFB">
        <w:t>y</w:t>
      </w:r>
      <w:r>
        <w:t xml:space="preserve"> </w:t>
      </w:r>
      <w:r w:rsidR="008220DF">
        <w:t>outcrops</w:t>
      </w:r>
      <w:r w:rsidR="00E87B30">
        <w:t xml:space="preserve"> (NPWS 2002)</w:t>
      </w:r>
      <w:r w:rsidR="008220DF">
        <w:t xml:space="preserve">. </w:t>
      </w:r>
      <w:r w:rsidR="003211AD">
        <w:t>The</w:t>
      </w:r>
      <w:r w:rsidR="008220DF">
        <w:t xml:space="preserve"> </w:t>
      </w:r>
      <w:r w:rsidR="00D7468D">
        <w:t>species</w:t>
      </w:r>
      <w:r w:rsidR="008220DF">
        <w:t xml:space="preserve"> </w:t>
      </w:r>
      <w:r w:rsidR="003211AD">
        <w:t xml:space="preserve">can </w:t>
      </w:r>
      <w:r w:rsidR="008220DF">
        <w:t xml:space="preserve">form an open shrubland of </w:t>
      </w:r>
      <w:proofErr w:type="gramStart"/>
      <w:r w:rsidR="008220DF">
        <w:t>sparsely-branched</w:t>
      </w:r>
      <w:proofErr w:type="gramEnd"/>
      <w:r w:rsidR="008220DF">
        <w:t xml:space="preserve"> shrubs </w:t>
      </w:r>
      <w:r w:rsidR="003211AD">
        <w:t xml:space="preserve">up </w:t>
      </w:r>
      <w:r w:rsidR="008220DF">
        <w:t xml:space="preserve">to approximately 3 m high (though individual plants are much larger where more favourable conditions allow, such as at the edges of outcrops with deeper soils). The </w:t>
      </w:r>
      <w:r w:rsidR="00C15CE0">
        <w:t>rocky outcrops</w:t>
      </w:r>
      <w:r w:rsidR="008220DF">
        <w:t xml:space="preserve"> are bounded by forests dominated by </w:t>
      </w:r>
      <w:r w:rsidR="003211AD" w:rsidRPr="20CB4E9E">
        <w:rPr>
          <w:i/>
          <w:iCs/>
        </w:rPr>
        <w:t xml:space="preserve">Eucalyptus </w:t>
      </w:r>
      <w:proofErr w:type="spellStart"/>
      <w:r w:rsidR="003211AD" w:rsidRPr="20CB4E9E">
        <w:rPr>
          <w:i/>
          <w:iCs/>
        </w:rPr>
        <w:t>sieberi</w:t>
      </w:r>
      <w:proofErr w:type="spellEnd"/>
      <w:r w:rsidR="003211AD">
        <w:t xml:space="preserve"> (</w:t>
      </w:r>
      <w:proofErr w:type="spellStart"/>
      <w:r w:rsidR="00B92580">
        <w:t>s</w:t>
      </w:r>
      <w:r w:rsidR="008220DF">
        <w:t>ilvertop</w:t>
      </w:r>
      <w:proofErr w:type="spellEnd"/>
      <w:r w:rsidR="008220DF">
        <w:t xml:space="preserve"> </w:t>
      </w:r>
      <w:r w:rsidR="00B92580">
        <w:t>a</w:t>
      </w:r>
      <w:r w:rsidR="008220DF">
        <w:t>sh)</w:t>
      </w:r>
      <w:r w:rsidR="003211AD">
        <w:t>.</w:t>
      </w:r>
      <w:r w:rsidR="008220DF">
        <w:t xml:space="preserve"> </w:t>
      </w:r>
      <w:proofErr w:type="spellStart"/>
      <w:r w:rsidR="003211AD" w:rsidRPr="20CB4E9E">
        <w:rPr>
          <w:i/>
          <w:iCs/>
        </w:rPr>
        <w:t>Allocasuarina</w:t>
      </w:r>
      <w:proofErr w:type="spellEnd"/>
      <w:r w:rsidR="003211AD" w:rsidRPr="20CB4E9E">
        <w:rPr>
          <w:i/>
          <w:iCs/>
        </w:rPr>
        <w:t xml:space="preserve"> </w:t>
      </w:r>
      <w:proofErr w:type="spellStart"/>
      <w:r w:rsidR="003211AD" w:rsidRPr="20CB4E9E">
        <w:rPr>
          <w:i/>
          <w:iCs/>
        </w:rPr>
        <w:t>littoralis</w:t>
      </w:r>
      <w:proofErr w:type="spellEnd"/>
      <w:r w:rsidR="003211AD" w:rsidRPr="20CB4E9E">
        <w:rPr>
          <w:i/>
          <w:iCs/>
        </w:rPr>
        <w:t xml:space="preserve"> </w:t>
      </w:r>
      <w:r w:rsidR="003211AD">
        <w:t xml:space="preserve">(black </w:t>
      </w:r>
      <w:proofErr w:type="spellStart"/>
      <w:r w:rsidR="003211AD">
        <w:t>sheoak</w:t>
      </w:r>
      <w:proofErr w:type="spellEnd"/>
      <w:r w:rsidR="003211AD">
        <w:t>) is also abundant here</w:t>
      </w:r>
      <w:r w:rsidR="008220DF">
        <w:t xml:space="preserve">, often forming dense stands to 8 m high. These </w:t>
      </w:r>
      <w:r w:rsidR="003211AD">
        <w:t>b</w:t>
      </w:r>
      <w:r w:rsidR="008220DF">
        <w:t xml:space="preserve">lack </w:t>
      </w:r>
      <w:proofErr w:type="spellStart"/>
      <w:r w:rsidR="003211AD">
        <w:t>s</w:t>
      </w:r>
      <w:r w:rsidR="008220DF">
        <w:t>heoak</w:t>
      </w:r>
      <w:proofErr w:type="spellEnd"/>
      <w:r w:rsidR="008220DF">
        <w:t xml:space="preserve"> stands appear to compete strongly with the </w:t>
      </w:r>
      <w:proofErr w:type="spellStart"/>
      <w:r w:rsidR="00B03D99">
        <w:t>N</w:t>
      </w:r>
      <w:r w:rsidR="003211AD">
        <w:t>a</w:t>
      </w:r>
      <w:r w:rsidR="008220DF">
        <w:t>rrabarba</w:t>
      </w:r>
      <w:proofErr w:type="spellEnd"/>
      <w:r w:rsidR="008220DF">
        <w:t xml:space="preserve"> </w:t>
      </w:r>
      <w:r w:rsidR="003211AD">
        <w:t>w</w:t>
      </w:r>
      <w:r w:rsidR="008220DF">
        <w:t xml:space="preserve">attle and mortality of </w:t>
      </w:r>
      <w:r w:rsidR="00D7468D">
        <w:t xml:space="preserve">the </w:t>
      </w:r>
      <w:r w:rsidR="008220DF">
        <w:t xml:space="preserve">subordinate </w:t>
      </w:r>
      <w:proofErr w:type="spellStart"/>
      <w:r w:rsidR="00D7468D">
        <w:t>N</w:t>
      </w:r>
      <w:r w:rsidR="008220DF">
        <w:t>arrabarba</w:t>
      </w:r>
      <w:proofErr w:type="spellEnd"/>
      <w:r w:rsidR="008220DF">
        <w:t xml:space="preserve"> </w:t>
      </w:r>
      <w:r w:rsidR="003211AD">
        <w:t>w</w:t>
      </w:r>
      <w:r w:rsidR="008220DF">
        <w:t>attle is commonly observed, possibly resulting from the combined effects of light and moisture competition</w:t>
      </w:r>
      <w:r w:rsidR="003211AD">
        <w:t xml:space="preserve"> (NPW</w:t>
      </w:r>
      <w:r w:rsidR="5D119A00">
        <w:t>S</w:t>
      </w:r>
      <w:r w:rsidR="003211AD">
        <w:t xml:space="preserve"> 2002)</w:t>
      </w:r>
      <w:r w:rsidR="008220DF">
        <w:t xml:space="preserve">. Other common woody plant species occurring with the </w:t>
      </w:r>
      <w:proofErr w:type="spellStart"/>
      <w:r w:rsidR="00D7468D">
        <w:t>N</w:t>
      </w:r>
      <w:r w:rsidR="008220DF">
        <w:t>arrabarba</w:t>
      </w:r>
      <w:proofErr w:type="spellEnd"/>
      <w:r w:rsidR="008220DF">
        <w:t xml:space="preserve"> </w:t>
      </w:r>
      <w:r w:rsidR="00E87B30">
        <w:t>w</w:t>
      </w:r>
      <w:r w:rsidR="008220DF">
        <w:t>attle include</w:t>
      </w:r>
      <w:r w:rsidRPr="20CB4E9E">
        <w:rPr>
          <w:i/>
          <w:iCs/>
        </w:rPr>
        <w:t xml:space="preserve"> Melaleuca </w:t>
      </w:r>
      <w:proofErr w:type="spellStart"/>
      <w:r w:rsidRPr="20CB4E9E">
        <w:rPr>
          <w:i/>
          <w:iCs/>
        </w:rPr>
        <w:t>armillaris</w:t>
      </w:r>
      <w:proofErr w:type="spellEnd"/>
      <w:r w:rsidRPr="20CB4E9E">
        <w:rPr>
          <w:i/>
          <w:iCs/>
        </w:rPr>
        <w:t xml:space="preserve"> </w:t>
      </w:r>
      <w:r>
        <w:t>subsp</w:t>
      </w:r>
      <w:r w:rsidRPr="20CB4E9E">
        <w:rPr>
          <w:i/>
          <w:iCs/>
        </w:rPr>
        <w:t xml:space="preserve">. </w:t>
      </w:r>
      <w:proofErr w:type="spellStart"/>
      <w:r w:rsidRPr="20CB4E9E">
        <w:rPr>
          <w:i/>
          <w:iCs/>
        </w:rPr>
        <w:t>armillaris</w:t>
      </w:r>
      <w:proofErr w:type="spellEnd"/>
      <w:r>
        <w:t xml:space="preserve"> (giant honey-myrtle), </w:t>
      </w:r>
      <w:proofErr w:type="spellStart"/>
      <w:r w:rsidRPr="20CB4E9E">
        <w:rPr>
          <w:i/>
          <w:iCs/>
        </w:rPr>
        <w:t>Kunzea</w:t>
      </w:r>
      <w:proofErr w:type="spellEnd"/>
      <w:r w:rsidRPr="20CB4E9E">
        <w:rPr>
          <w:i/>
          <w:iCs/>
        </w:rPr>
        <w:t xml:space="preserve"> </w:t>
      </w:r>
      <w:proofErr w:type="spellStart"/>
      <w:r w:rsidRPr="20CB4E9E">
        <w:rPr>
          <w:i/>
          <w:iCs/>
        </w:rPr>
        <w:t>ambigua</w:t>
      </w:r>
      <w:proofErr w:type="spellEnd"/>
      <w:r>
        <w:t xml:space="preserve"> (tick bush), </w:t>
      </w:r>
      <w:proofErr w:type="spellStart"/>
      <w:r w:rsidRPr="20CB4E9E">
        <w:rPr>
          <w:i/>
          <w:iCs/>
        </w:rPr>
        <w:t>Zieria</w:t>
      </w:r>
      <w:proofErr w:type="spellEnd"/>
      <w:r w:rsidRPr="20CB4E9E">
        <w:rPr>
          <w:i/>
          <w:iCs/>
        </w:rPr>
        <w:t xml:space="preserve"> </w:t>
      </w:r>
      <w:proofErr w:type="spellStart"/>
      <w:r w:rsidRPr="20CB4E9E">
        <w:rPr>
          <w:i/>
          <w:iCs/>
        </w:rPr>
        <w:t>littoralis</w:t>
      </w:r>
      <w:proofErr w:type="spellEnd"/>
      <w:r>
        <w:t xml:space="preserve"> (coastal </w:t>
      </w:r>
      <w:proofErr w:type="spellStart"/>
      <w:r>
        <w:t>zieria</w:t>
      </w:r>
      <w:proofErr w:type="spellEnd"/>
      <w:r>
        <w:t xml:space="preserve">) and </w:t>
      </w:r>
      <w:proofErr w:type="spellStart"/>
      <w:r w:rsidRPr="20CB4E9E">
        <w:rPr>
          <w:i/>
          <w:iCs/>
        </w:rPr>
        <w:t>Platysace</w:t>
      </w:r>
      <w:proofErr w:type="spellEnd"/>
      <w:r w:rsidRPr="20CB4E9E">
        <w:rPr>
          <w:i/>
          <w:iCs/>
        </w:rPr>
        <w:t xml:space="preserve"> lanceolata</w:t>
      </w:r>
      <w:r>
        <w:t xml:space="preserve"> (lance-leaf </w:t>
      </w:r>
      <w:proofErr w:type="spellStart"/>
      <w:r>
        <w:t>platysace</w:t>
      </w:r>
      <w:proofErr w:type="spellEnd"/>
      <w:r>
        <w:t>) (NP</w:t>
      </w:r>
      <w:r w:rsidR="3D60389B">
        <w:t>WS</w:t>
      </w:r>
      <w:r>
        <w:t xml:space="preserve"> 2002; OEH 2021</w:t>
      </w:r>
      <w:r w:rsidR="0010688E">
        <w:t>a</w:t>
      </w:r>
      <w:r>
        <w:t>). The herbaceous component of the vegetation is dominated by</w:t>
      </w:r>
      <w:r w:rsidR="006B1249" w:rsidRPr="006B1249">
        <w:rPr>
          <w:i/>
          <w:iCs/>
        </w:rPr>
        <w:t xml:space="preserve"> </w:t>
      </w:r>
      <w:proofErr w:type="spellStart"/>
      <w:r w:rsidR="006B1249" w:rsidRPr="7FA35F82">
        <w:rPr>
          <w:i/>
          <w:iCs/>
        </w:rPr>
        <w:t>Rytidosperma</w:t>
      </w:r>
      <w:proofErr w:type="spellEnd"/>
      <w:r w:rsidR="006B1249" w:rsidRPr="7FA35F82">
        <w:rPr>
          <w:i/>
          <w:iCs/>
        </w:rPr>
        <w:t xml:space="preserve"> </w:t>
      </w:r>
      <w:proofErr w:type="spellStart"/>
      <w:proofErr w:type="gramStart"/>
      <w:r w:rsidR="006B1249" w:rsidRPr="7FA35F82">
        <w:rPr>
          <w:i/>
          <w:iCs/>
        </w:rPr>
        <w:t>longifolium</w:t>
      </w:r>
      <w:proofErr w:type="spellEnd"/>
      <w:r w:rsidR="006B1249" w:rsidRPr="7FA35F82">
        <w:rPr>
          <w:i/>
          <w:iCs/>
        </w:rPr>
        <w:t xml:space="preserve"> </w:t>
      </w:r>
      <w:r w:rsidR="006B1249">
        <w:t xml:space="preserve"> </w:t>
      </w:r>
      <w:r>
        <w:t>(</w:t>
      </w:r>
      <w:proofErr w:type="gramEnd"/>
      <w:r>
        <w:t xml:space="preserve">long-leafed wallaby grass) and </w:t>
      </w:r>
      <w:proofErr w:type="spellStart"/>
      <w:r w:rsidRPr="20CB4E9E">
        <w:rPr>
          <w:i/>
          <w:iCs/>
        </w:rPr>
        <w:t>Lepidosperma</w:t>
      </w:r>
      <w:proofErr w:type="spellEnd"/>
      <w:r w:rsidRPr="20CB4E9E">
        <w:rPr>
          <w:i/>
          <w:iCs/>
        </w:rPr>
        <w:t xml:space="preserve"> </w:t>
      </w:r>
      <w:proofErr w:type="spellStart"/>
      <w:r w:rsidRPr="20CB4E9E">
        <w:rPr>
          <w:i/>
          <w:iCs/>
        </w:rPr>
        <w:t>urophorum</w:t>
      </w:r>
      <w:proofErr w:type="spellEnd"/>
      <w:r w:rsidRPr="20CB4E9E">
        <w:rPr>
          <w:i/>
          <w:iCs/>
        </w:rPr>
        <w:t xml:space="preserve"> </w:t>
      </w:r>
      <w:r>
        <w:t xml:space="preserve">(tailed rapier-sedge) </w:t>
      </w:r>
      <w:r w:rsidR="009705A8">
        <w:t>(NP</w:t>
      </w:r>
      <w:r w:rsidR="4D7E2016">
        <w:t>WS</w:t>
      </w:r>
      <w:r w:rsidR="009705A8">
        <w:t xml:space="preserve"> 2002; OEH 2021</w:t>
      </w:r>
      <w:r w:rsidR="0010688E">
        <w:t>a</w:t>
      </w:r>
      <w:r w:rsidR="009705A8">
        <w:t xml:space="preserve">). </w:t>
      </w:r>
    </w:p>
    <w:p w14:paraId="6D364969" w14:textId="77777777" w:rsidR="00D345F1" w:rsidRDefault="00D345F1" w:rsidP="00D345F1">
      <w:pPr>
        <w:spacing w:after="0"/>
        <w:rPr>
          <w:i/>
          <w:iCs/>
        </w:rPr>
      </w:pPr>
    </w:p>
    <w:p w14:paraId="4EC19C10" w14:textId="5B1C7160" w:rsidR="00366219" w:rsidRDefault="00366219" w:rsidP="00D345F1">
      <w:pPr>
        <w:spacing w:after="0"/>
        <w:rPr>
          <w:i/>
          <w:iCs/>
        </w:rPr>
      </w:pPr>
      <w:r>
        <w:rPr>
          <w:i/>
          <w:iCs/>
        </w:rPr>
        <w:lastRenderedPageBreak/>
        <w:t>Pollination ecology</w:t>
      </w:r>
    </w:p>
    <w:p w14:paraId="4D224334" w14:textId="585FD9EB" w:rsidR="00D345F1" w:rsidRPr="00A65BAA" w:rsidRDefault="008464AA" w:rsidP="00A65BAA">
      <w:pPr>
        <w:rPr>
          <w:rFonts w:cs="Calibri"/>
        </w:rPr>
      </w:pPr>
      <w:bookmarkStart w:id="10" w:name="_Hlk94518876"/>
      <w:r w:rsidRPr="0073329E">
        <w:t xml:space="preserve">The </w:t>
      </w:r>
      <w:proofErr w:type="spellStart"/>
      <w:r w:rsidRPr="0073329E">
        <w:t>Narrabarba</w:t>
      </w:r>
      <w:proofErr w:type="spellEnd"/>
      <w:r w:rsidRPr="0073329E">
        <w:t xml:space="preserve"> wattle</w:t>
      </w:r>
      <w:r w:rsidR="00A65BAA" w:rsidRPr="0073329E">
        <w:t xml:space="preserve"> can have a variable flowering season depending on environmental conditions. Flowering has been observed </w:t>
      </w:r>
      <w:r w:rsidRPr="0073329E">
        <w:t>in June-August, and a few specimens have also been recorded flowering in February and March (NP</w:t>
      </w:r>
      <w:r w:rsidR="72DA5213" w:rsidRPr="0073329E">
        <w:t>WS</w:t>
      </w:r>
      <w:r w:rsidRPr="0073329E">
        <w:t xml:space="preserve"> 2002).</w:t>
      </w:r>
      <w:bookmarkEnd w:id="10"/>
      <w:r w:rsidR="00AB7AE4" w:rsidRPr="0073329E">
        <w:t xml:space="preserve"> Subpopulations burnt in the 2019-2020 bushfires have been recorded flowering in January (D Bain, pers comm. 28 January 2022).</w:t>
      </w:r>
      <w:r>
        <w:t xml:space="preserve"> </w:t>
      </w:r>
      <w:r w:rsidR="004C4538">
        <w:t>The</w:t>
      </w:r>
      <w:r>
        <w:t xml:space="preserve"> species</w:t>
      </w:r>
      <w:r w:rsidR="0A62FB34">
        <w:t>’</w:t>
      </w:r>
      <w:r>
        <w:t xml:space="preserve"> pollinator</w:t>
      </w:r>
      <w:r w:rsidR="43E02983">
        <w:t>s</w:t>
      </w:r>
      <w:r>
        <w:t xml:space="preserve"> </w:t>
      </w:r>
      <w:r w:rsidR="734E0683">
        <w:t>are</w:t>
      </w:r>
      <w:r>
        <w:t xml:space="preserve"> </w:t>
      </w:r>
      <w:proofErr w:type="gramStart"/>
      <w:r w:rsidR="0052763A">
        <w:t>unknown,</w:t>
      </w:r>
      <w:proofErr w:type="gramEnd"/>
      <w:r>
        <w:t xml:space="preserve"> </w:t>
      </w:r>
      <w:r w:rsidR="004C4538">
        <w:t xml:space="preserve">however </w:t>
      </w:r>
      <w:r w:rsidR="1302C571">
        <w:t xml:space="preserve">they are assumed to be </w:t>
      </w:r>
      <w:r w:rsidR="001161B4">
        <w:t>insects</w:t>
      </w:r>
      <w:r w:rsidR="069A01AC">
        <w:t xml:space="preserve"> as is common in other </w:t>
      </w:r>
      <w:r w:rsidR="069A01AC" w:rsidRPr="006B1249">
        <w:rPr>
          <w:i/>
          <w:iCs/>
        </w:rPr>
        <w:t>Acacia</w:t>
      </w:r>
      <w:r w:rsidR="069A01AC">
        <w:t xml:space="preserve"> species</w:t>
      </w:r>
      <w:r w:rsidR="40916F24">
        <w:t xml:space="preserve"> (Stone et al. 2003)</w:t>
      </w:r>
      <w:r w:rsidR="002F1B4C">
        <w:t>. Birds seeking extra-floral nectar may also be involved in pollination (NP</w:t>
      </w:r>
      <w:r w:rsidR="4326C1AE">
        <w:t>WS</w:t>
      </w:r>
      <w:r w:rsidR="002F1B4C">
        <w:t xml:space="preserve"> 2002). </w:t>
      </w:r>
      <w:r w:rsidR="00366219">
        <w:t xml:space="preserve">The most important pollinators for acacias are usually social and solitary bees (including the widely distributed </w:t>
      </w:r>
      <w:r w:rsidR="71ED3044">
        <w:t xml:space="preserve">European </w:t>
      </w:r>
      <w:r w:rsidR="00366219">
        <w:t>honeybee</w:t>
      </w:r>
      <w:r w:rsidR="003E79F2">
        <w:t xml:space="preserve"> (</w:t>
      </w:r>
      <w:proofErr w:type="spellStart"/>
      <w:r w:rsidR="00366219" w:rsidRPr="20CB4E9E">
        <w:rPr>
          <w:i/>
          <w:iCs/>
        </w:rPr>
        <w:t>Apis</w:t>
      </w:r>
      <w:proofErr w:type="spellEnd"/>
      <w:r w:rsidR="00366219" w:rsidRPr="20CB4E9E">
        <w:rPr>
          <w:i/>
          <w:iCs/>
        </w:rPr>
        <w:t xml:space="preserve"> </w:t>
      </w:r>
      <w:proofErr w:type="spellStart"/>
      <w:r w:rsidR="00366219" w:rsidRPr="20CB4E9E">
        <w:rPr>
          <w:i/>
          <w:iCs/>
        </w:rPr>
        <w:t>millifera</w:t>
      </w:r>
      <w:proofErr w:type="spellEnd"/>
      <w:r w:rsidR="002F1B4C">
        <w:t>)</w:t>
      </w:r>
      <w:r w:rsidR="00366219">
        <w:t xml:space="preserve"> and </w:t>
      </w:r>
      <w:r w:rsidR="00366219" w:rsidRPr="20CB4E9E">
        <w:rPr>
          <w:i/>
          <w:iCs/>
        </w:rPr>
        <w:t>Apoidea</w:t>
      </w:r>
      <w:r w:rsidR="00366219">
        <w:t xml:space="preserve"> wasps, followed by flies, beetles and nectar-feeding birds in some cases (Stone et al. 2003). </w:t>
      </w:r>
      <w:r w:rsidR="001161B4">
        <w:t>Seeds</w:t>
      </w:r>
      <w:r>
        <w:t xml:space="preserve"> of the </w:t>
      </w:r>
      <w:proofErr w:type="spellStart"/>
      <w:r>
        <w:t>Narrabarba</w:t>
      </w:r>
      <w:proofErr w:type="spellEnd"/>
      <w:r>
        <w:t xml:space="preserve"> wattle </w:t>
      </w:r>
      <w:r w:rsidR="001161B4">
        <w:t>are assumed to ripen about three months after pollination, as</w:t>
      </w:r>
      <w:r w:rsidR="00104823">
        <w:t xml:space="preserve"> is</w:t>
      </w:r>
      <w:r w:rsidR="001161B4">
        <w:t xml:space="preserve"> typical in</w:t>
      </w:r>
      <w:r>
        <w:t xml:space="preserve"> the genus (NPWS 2002)</w:t>
      </w:r>
      <w:r w:rsidR="001161B4">
        <w:t>.</w:t>
      </w:r>
      <w:r w:rsidR="00812118">
        <w:t xml:space="preserve"> </w:t>
      </w:r>
    </w:p>
    <w:p w14:paraId="6C874034" w14:textId="1BB707B9" w:rsidR="00F608FB" w:rsidRDefault="00F608FB" w:rsidP="00D345F1">
      <w:pPr>
        <w:spacing w:after="0"/>
      </w:pPr>
    </w:p>
    <w:p w14:paraId="750E5407" w14:textId="36791189" w:rsidR="00366219" w:rsidRPr="005E67F9" w:rsidRDefault="00366219" w:rsidP="00D345F1">
      <w:pPr>
        <w:spacing w:after="0"/>
      </w:pPr>
      <w:r>
        <w:rPr>
          <w:i/>
          <w:iCs/>
        </w:rPr>
        <w:t>Seed dispersal</w:t>
      </w:r>
      <w:r>
        <w:rPr>
          <w:i/>
          <w:iCs/>
        </w:rPr>
        <w:br/>
      </w:r>
      <w:r w:rsidRPr="005E67F9">
        <w:t>Seed dispersal in acacias often occurs through passive methods via water, wind, and gravity, though some species also have adaptations for dispersal by birds and/or ants (Gibson et al. 2011). Aside from dispersal, birds and ants also assist with germination. Scarification of the hard seed coat occurs in the bird gut, and ants bury seeds in subterranean nests where the seed will stay until ideal conditions (heat and moisture) are met for germination (Gibson et al. 2011).</w:t>
      </w:r>
    </w:p>
    <w:p w14:paraId="02F56234" w14:textId="77777777" w:rsidR="00496EE7" w:rsidRPr="005E67F9" w:rsidRDefault="00496EE7" w:rsidP="00D345F1">
      <w:pPr>
        <w:spacing w:after="0"/>
        <w:rPr>
          <w:i/>
          <w:iCs/>
        </w:rPr>
      </w:pPr>
    </w:p>
    <w:p w14:paraId="134B3671" w14:textId="670DCF0C" w:rsidR="00366219" w:rsidRPr="005E67F9" w:rsidRDefault="00557876" w:rsidP="00D345F1">
      <w:pPr>
        <w:spacing w:after="0"/>
        <w:rPr>
          <w:i/>
          <w:iCs/>
        </w:rPr>
      </w:pPr>
      <w:r w:rsidRPr="005E67F9">
        <w:rPr>
          <w:i/>
          <w:iCs/>
        </w:rPr>
        <w:t>Fire</w:t>
      </w:r>
      <w:r w:rsidR="00EA48E5" w:rsidRPr="005E67F9">
        <w:rPr>
          <w:i/>
          <w:iCs/>
        </w:rPr>
        <w:t xml:space="preserve"> and disturbance</w:t>
      </w:r>
      <w:r w:rsidRPr="005E67F9">
        <w:rPr>
          <w:i/>
          <w:iCs/>
        </w:rPr>
        <w:t xml:space="preserve"> ecology</w:t>
      </w:r>
    </w:p>
    <w:p w14:paraId="4489AAD4" w14:textId="00005804" w:rsidR="00EF37A3" w:rsidRDefault="009378C9" w:rsidP="00812118">
      <w:pPr>
        <w:spacing w:after="0"/>
      </w:pPr>
      <w:bookmarkStart w:id="11" w:name="_Hlk90292552"/>
      <w:r>
        <w:t>T</w:t>
      </w:r>
      <w:r w:rsidR="00BF58A8">
        <w:t xml:space="preserve">he </w:t>
      </w:r>
      <w:proofErr w:type="spellStart"/>
      <w:r w:rsidR="00BF58A8">
        <w:t>Narrabarba</w:t>
      </w:r>
      <w:proofErr w:type="spellEnd"/>
      <w:r w:rsidR="00BF58A8">
        <w:t xml:space="preserve"> wattle is an </w:t>
      </w:r>
      <w:r w:rsidR="001161B4">
        <w:t xml:space="preserve">obligate </w:t>
      </w:r>
      <w:proofErr w:type="spellStart"/>
      <w:r w:rsidR="001161B4">
        <w:t>seeder</w:t>
      </w:r>
      <w:proofErr w:type="spellEnd"/>
      <w:r w:rsidR="001161B4">
        <w:t xml:space="preserve"> </w:t>
      </w:r>
      <w:r w:rsidR="008C50C4">
        <w:t>–</w:t>
      </w:r>
      <w:r w:rsidR="001161B4">
        <w:t xml:space="preserve"> it is killed by fire and regenerates only from seed</w:t>
      </w:r>
      <w:r w:rsidR="00BF58A8">
        <w:t xml:space="preserve"> </w:t>
      </w:r>
      <w:bookmarkEnd w:id="11"/>
      <w:r w:rsidR="0030006B" w:rsidRPr="00E03784">
        <w:t>(</w:t>
      </w:r>
      <w:r w:rsidR="0030006B">
        <w:t>J</w:t>
      </w:r>
      <w:r w:rsidR="0030006B" w:rsidRPr="00E03784">
        <w:t xml:space="preserve"> </w:t>
      </w:r>
      <w:r w:rsidR="0030006B">
        <w:t>Miles</w:t>
      </w:r>
      <w:r w:rsidR="0030006B" w:rsidRPr="00E03784">
        <w:t xml:space="preserve">, pers comm. </w:t>
      </w:r>
      <w:r w:rsidR="0030006B">
        <w:t>9</w:t>
      </w:r>
      <w:r w:rsidR="0030006B" w:rsidRPr="00E03784">
        <w:t xml:space="preserve"> </w:t>
      </w:r>
      <w:r w:rsidR="0030006B">
        <w:t>December</w:t>
      </w:r>
      <w:r w:rsidR="0030006B" w:rsidRPr="00E03784">
        <w:t xml:space="preserve"> 2021)</w:t>
      </w:r>
      <w:r w:rsidR="001161B4">
        <w:t xml:space="preserve">. </w:t>
      </w:r>
      <w:r w:rsidR="007558D3">
        <w:t xml:space="preserve">The </w:t>
      </w:r>
      <w:r w:rsidR="0030006B">
        <w:t>species has been observed occasionally resprouting</w:t>
      </w:r>
      <w:r w:rsidR="007558D3">
        <w:t xml:space="preserve"> in the absence of fire, with some resprouting observed lower down the stem where the top of a plant has died </w:t>
      </w:r>
      <w:proofErr w:type="gramStart"/>
      <w:r w:rsidR="007558D3">
        <w:t>as a result of</w:t>
      </w:r>
      <w:proofErr w:type="gramEnd"/>
      <w:r w:rsidR="007558D3">
        <w:t xml:space="preserve"> drought</w:t>
      </w:r>
      <w:r w:rsidR="0030006B">
        <w:t xml:space="preserve"> </w:t>
      </w:r>
      <w:r w:rsidR="0030006B" w:rsidRPr="00E03784">
        <w:t>(</w:t>
      </w:r>
      <w:r w:rsidR="0030006B">
        <w:t>J</w:t>
      </w:r>
      <w:r w:rsidR="0030006B" w:rsidRPr="00E03784">
        <w:t xml:space="preserve"> </w:t>
      </w:r>
      <w:r w:rsidR="0030006B">
        <w:t>Miles</w:t>
      </w:r>
      <w:r w:rsidR="0030006B" w:rsidRPr="00E03784">
        <w:t xml:space="preserve">, pers comm. </w:t>
      </w:r>
      <w:r w:rsidR="0030006B">
        <w:t>9</w:t>
      </w:r>
      <w:r w:rsidR="0030006B" w:rsidRPr="00E03784">
        <w:t xml:space="preserve"> </w:t>
      </w:r>
      <w:r w:rsidR="0030006B">
        <w:t>December</w:t>
      </w:r>
      <w:r w:rsidR="0030006B" w:rsidRPr="00E03784">
        <w:t xml:space="preserve"> 2021)</w:t>
      </w:r>
      <w:r w:rsidR="0030006B">
        <w:t xml:space="preserve">.  </w:t>
      </w:r>
      <w:r w:rsidR="00291C35">
        <w:t xml:space="preserve">The species is assumed to develop a long-lived soil-stored seed bank (as does the related black wattle), but no data are available on </w:t>
      </w:r>
      <w:r w:rsidR="009271BA">
        <w:t>the</w:t>
      </w:r>
      <w:r w:rsidR="00291C35">
        <w:t xml:space="preserve"> size or seed longevity</w:t>
      </w:r>
      <w:r w:rsidR="009271BA">
        <w:t xml:space="preserve"> of the seed bank</w:t>
      </w:r>
      <w:r w:rsidR="00812118">
        <w:t xml:space="preserve"> (</w:t>
      </w:r>
      <w:r w:rsidR="0036479E">
        <w:t>NP</w:t>
      </w:r>
      <w:r w:rsidR="0144C267">
        <w:t>WS</w:t>
      </w:r>
      <w:r w:rsidR="0036479E">
        <w:t xml:space="preserve"> 2002</w:t>
      </w:r>
      <w:r w:rsidR="00812118">
        <w:t>)</w:t>
      </w:r>
      <w:r w:rsidR="00291C35">
        <w:t xml:space="preserve">. </w:t>
      </w:r>
      <w:bookmarkStart w:id="12" w:name="_Hlk87435847"/>
      <w:r w:rsidR="00557876">
        <w:t xml:space="preserve">Like other </w:t>
      </w:r>
      <w:r w:rsidR="5A081992" w:rsidRPr="006B1249">
        <w:rPr>
          <w:i/>
          <w:iCs/>
        </w:rPr>
        <w:t>A</w:t>
      </w:r>
      <w:r w:rsidR="00557876" w:rsidRPr="006B1249">
        <w:rPr>
          <w:i/>
          <w:iCs/>
        </w:rPr>
        <w:t>cacia</w:t>
      </w:r>
      <w:r w:rsidR="1A3A64B6">
        <w:t xml:space="preserve"> species</w:t>
      </w:r>
      <w:r w:rsidR="00557876">
        <w:t xml:space="preserve">, the seeds of the </w:t>
      </w:r>
      <w:proofErr w:type="spellStart"/>
      <w:r w:rsidR="00557876">
        <w:t>Narrabarba</w:t>
      </w:r>
      <w:proofErr w:type="spellEnd"/>
      <w:r w:rsidR="00557876">
        <w:t xml:space="preserve"> wattle</w:t>
      </w:r>
      <w:r w:rsidR="00921EBE">
        <w:t xml:space="preserve"> are likely to</w:t>
      </w:r>
      <w:r w:rsidR="00557876">
        <w:t xml:space="preserve"> require heat to break seed dormancy</w:t>
      </w:r>
      <w:r w:rsidR="003E79F2">
        <w:t xml:space="preserve"> (</w:t>
      </w:r>
      <w:r w:rsidR="003E79F2" w:rsidRPr="36350862">
        <w:t>Bradstock &amp; Auld 1995</w:t>
      </w:r>
      <w:r w:rsidR="003E79F2">
        <w:t>)</w:t>
      </w:r>
      <w:r w:rsidR="00557876">
        <w:t xml:space="preserve">. </w:t>
      </w:r>
      <w:bookmarkEnd w:id="12"/>
      <w:proofErr w:type="gramStart"/>
      <w:r w:rsidR="00557876">
        <w:t>However</w:t>
      </w:r>
      <w:proofErr w:type="gramEnd"/>
      <w:r w:rsidR="00557876">
        <w:t xml:space="preserve"> the rate of fire</w:t>
      </w:r>
      <w:r w:rsidR="00EA48E5">
        <w:t>-</w:t>
      </w:r>
      <w:r w:rsidR="00557876">
        <w:t>induced germination</w:t>
      </w:r>
      <w:r>
        <w:t xml:space="preserve"> depends on seed depth</w:t>
      </w:r>
      <w:r w:rsidR="00023FB0">
        <w:t xml:space="preserve"> and</w:t>
      </w:r>
      <w:r>
        <w:t xml:space="preserve"> fire </w:t>
      </w:r>
      <w:r w:rsidR="00F74DE4">
        <w:t>intensity</w:t>
      </w:r>
      <w:r w:rsidR="00023FB0">
        <w:t xml:space="preserve"> (Auld &amp; Denham 2006).</w:t>
      </w:r>
      <w:r w:rsidR="00EF37A3">
        <w:t xml:space="preserve"> </w:t>
      </w:r>
    </w:p>
    <w:p w14:paraId="10466CCD" w14:textId="77777777" w:rsidR="00EF37A3" w:rsidRDefault="00EF37A3" w:rsidP="007A0988">
      <w:pPr>
        <w:spacing w:after="0"/>
      </w:pPr>
    </w:p>
    <w:p w14:paraId="53D00A4A" w14:textId="232AC169" w:rsidR="000C3711" w:rsidRDefault="00713B06" w:rsidP="007A0988">
      <w:pPr>
        <w:spacing w:after="0"/>
      </w:pPr>
      <w:r w:rsidRPr="00E03784">
        <w:t>While further research is required on the species</w:t>
      </w:r>
      <w:r w:rsidR="00EA48E5">
        <w:t>’</w:t>
      </w:r>
      <w:r w:rsidRPr="00E03784">
        <w:t xml:space="preserve"> fire ecology</w:t>
      </w:r>
      <w:r w:rsidR="00EA48E5">
        <w:t>,</w:t>
      </w:r>
      <w:r w:rsidRPr="00E03784">
        <w:t xml:space="preserve"> the recommended fire</w:t>
      </w:r>
      <w:r w:rsidR="00EA48E5">
        <w:t>-</w:t>
      </w:r>
      <w:r w:rsidRPr="00E03784">
        <w:t xml:space="preserve">free interval for the </w:t>
      </w:r>
      <w:proofErr w:type="spellStart"/>
      <w:r w:rsidRPr="00E03784">
        <w:t>Narrabarba</w:t>
      </w:r>
      <w:proofErr w:type="spellEnd"/>
      <w:r w:rsidRPr="00E03784">
        <w:t xml:space="preserve"> wattle to mature and replenish the soil stored seedbank is 15 years </w:t>
      </w:r>
      <w:r w:rsidRPr="0073329E">
        <w:t xml:space="preserve">(OEH 2021a). The survival rate of seedlings to maturity for the </w:t>
      </w:r>
      <w:proofErr w:type="spellStart"/>
      <w:r w:rsidRPr="0073329E">
        <w:t>Narrabarba</w:t>
      </w:r>
      <w:proofErr w:type="spellEnd"/>
      <w:r w:rsidRPr="0073329E">
        <w:t xml:space="preserve"> wattle is </w:t>
      </w:r>
      <w:proofErr w:type="gramStart"/>
      <w:r w:rsidR="0052763A" w:rsidRPr="0073329E">
        <w:t>unknown</w:t>
      </w:r>
      <w:r w:rsidRPr="0073329E">
        <w:t>, but</w:t>
      </w:r>
      <w:proofErr w:type="gramEnd"/>
      <w:r w:rsidRPr="0073329E">
        <w:t xml:space="preserve"> is being </w:t>
      </w:r>
      <w:r w:rsidR="00E03784" w:rsidRPr="0073329E">
        <w:t>investigated</w:t>
      </w:r>
      <w:r w:rsidR="00EB7A82" w:rsidRPr="0073329E">
        <w:t xml:space="preserve"> following the 2019-2020 bushfires</w:t>
      </w:r>
      <w:r w:rsidRPr="0073329E">
        <w:t xml:space="preserve"> </w:t>
      </w:r>
      <w:r w:rsidR="00A14C4E" w:rsidRPr="0073329E">
        <w:t>(D Bain, pers comm. 4 November 2021)</w:t>
      </w:r>
      <w:r w:rsidRPr="0073329E">
        <w:t>.</w:t>
      </w:r>
      <w:r w:rsidR="001D0803" w:rsidRPr="0073329E">
        <w:t xml:space="preserve"> </w:t>
      </w:r>
      <w:r w:rsidR="002A3D6F" w:rsidRPr="0073329E">
        <w:t>Plants burnt in the 2019-2020 bushfires were observed flowering in January 2022, therefore t</w:t>
      </w:r>
      <w:r w:rsidR="001D0803" w:rsidRPr="0073329E">
        <w:t xml:space="preserve">ime to first </w:t>
      </w:r>
      <w:r w:rsidR="006222A4" w:rsidRPr="0073329E">
        <w:t>flowering is two years (D Bain, pers comm. 28 January 2022).</w:t>
      </w:r>
      <w:r w:rsidR="006222A4">
        <w:t xml:space="preserve"> </w:t>
      </w:r>
    </w:p>
    <w:p w14:paraId="337B7BF2" w14:textId="77777777" w:rsidR="001A1A41" w:rsidRDefault="001A1A41" w:rsidP="007A0988">
      <w:pPr>
        <w:spacing w:after="0"/>
      </w:pPr>
    </w:p>
    <w:p w14:paraId="68BF9E6B" w14:textId="50F50487" w:rsidR="001A1A41" w:rsidRDefault="00813EC6" w:rsidP="007A0988">
      <w:pPr>
        <w:spacing w:after="0"/>
      </w:pPr>
      <w:r>
        <w:t xml:space="preserve">Some recruitment </w:t>
      </w:r>
      <w:r w:rsidR="00B134EA">
        <w:t xml:space="preserve">in the absence of fire </w:t>
      </w:r>
      <w:r>
        <w:t xml:space="preserve">has been observed in the </w:t>
      </w:r>
      <w:proofErr w:type="spellStart"/>
      <w:r>
        <w:t>Narrabarba</w:t>
      </w:r>
      <w:proofErr w:type="spellEnd"/>
      <w:r>
        <w:t xml:space="preserve"> wattle following heavy rainfall events and </w:t>
      </w:r>
      <w:r w:rsidR="00695F0A">
        <w:t>disturbance (Miles 20</w:t>
      </w:r>
      <w:r w:rsidR="00CE642F">
        <w:t>1</w:t>
      </w:r>
      <w:r w:rsidR="00695F0A">
        <w:t>7)</w:t>
      </w:r>
      <w:r w:rsidR="009271BA">
        <w:t>.</w:t>
      </w:r>
    </w:p>
    <w:p w14:paraId="6E511431" w14:textId="77777777" w:rsidR="00C304AA" w:rsidRDefault="00C304AA" w:rsidP="00C304AA">
      <w:pPr>
        <w:pStyle w:val="Heading3"/>
        <w:ind w:left="964" w:hanging="964"/>
      </w:pPr>
      <w:r>
        <w:t>Habitat critical to the survival</w:t>
      </w:r>
    </w:p>
    <w:p w14:paraId="24C0C58D" w14:textId="443D37A9" w:rsidR="00966DC9" w:rsidRDefault="00B9324A" w:rsidP="00B409BF">
      <w:pPr>
        <w:rPr>
          <w:rFonts w:cs="Times New Roman"/>
        </w:rPr>
      </w:pPr>
      <w:r w:rsidRPr="7FA35F82">
        <w:t xml:space="preserve">The </w:t>
      </w:r>
      <w:proofErr w:type="spellStart"/>
      <w:r w:rsidRPr="7FA35F82">
        <w:t>Narrabarba</w:t>
      </w:r>
      <w:proofErr w:type="spellEnd"/>
      <w:r w:rsidRPr="7FA35F82">
        <w:t xml:space="preserve"> wattle is </w:t>
      </w:r>
      <w:r>
        <w:t xml:space="preserve">found primarily on </w:t>
      </w:r>
      <w:r w:rsidRPr="7FA35F82">
        <w:t>rhyolite and aplite rocky outcrops</w:t>
      </w:r>
      <w:r>
        <w:t xml:space="preserve"> or their edges and occasionally occurs on sandstone. The species </w:t>
      </w:r>
      <w:proofErr w:type="gramStart"/>
      <w:r>
        <w:t xml:space="preserve">occurs </w:t>
      </w:r>
      <w:r w:rsidR="00966DC9">
        <w:t xml:space="preserve"> in</w:t>
      </w:r>
      <w:proofErr w:type="gramEnd"/>
      <w:r w:rsidR="00966DC9">
        <w:t xml:space="preserve"> mostly poor, skeletal soils but sometimes in rich, brown to black loams (Briggs &amp; Leigh 1990; Orchard &amp; Wilson 2001; NPWS 2002; OEH 2021a). Within the distribution of the </w:t>
      </w:r>
      <w:proofErr w:type="spellStart"/>
      <w:r w:rsidR="00966DC9">
        <w:t>Narrabarba</w:t>
      </w:r>
      <w:proofErr w:type="spellEnd"/>
      <w:r w:rsidR="00966DC9">
        <w:t xml:space="preserve"> wattle in </w:t>
      </w:r>
      <w:r w:rsidR="006563CF">
        <w:t>s</w:t>
      </w:r>
      <w:r w:rsidR="00966DC9">
        <w:t xml:space="preserve">outh-eastern NSW, such </w:t>
      </w:r>
      <w:r w:rsidR="00966DC9">
        <w:lastRenderedPageBreak/>
        <w:t>habitat is likely to be necessary for dispersal</w:t>
      </w:r>
      <w:r w:rsidR="500E4686">
        <w:t xml:space="preserve">, </w:t>
      </w:r>
      <w:r w:rsidR="00966DC9">
        <w:t xml:space="preserve">long-term maintenance </w:t>
      </w:r>
      <w:r w:rsidR="5173BB46">
        <w:t xml:space="preserve">of populations </w:t>
      </w:r>
      <w:r w:rsidR="00966DC9">
        <w:t>and evolutionary development of the species.</w:t>
      </w:r>
    </w:p>
    <w:p w14:paraId="0996EFAB" w14:textId="2E3E3D41" w:rsidR="00B409BF" w:rsidRPr="00524B2E" w:rsidRDefault="00B409BF" w:rsidP="00B409BF">
      <w:pPr>
        <w:rPr>
          <w:rFonts w:cs="Calibri"/>
          <w:b/>
          <w:bCs/>
          <w:sz w:val="28"/>
          <w:szCs w:val="28"/>
        </w:rPr>
      </w:pPr>
      <w:r w:rsidRPr="00524B2E">
        <w:rPr>
          <w:rFonts w:cs="Times New Roman"/>
        </w:rPr>
        <w:t>Habitat critical to the survival of the species includes the area of occupancy of</w:t>
      </w:r>
      <w:r w:rsidR="00C15CE0">
        <w:rPr>
          <w:rFonts w:cs="Times New Roman"/>
        </w:rPr>
        <w:t xml:space="preserve"> the</w:t>
      </w:r>
      <w:r w:rsidRPr="00524B2E">
        <w:rPr>
          <w:rFonts w:cs="Times New Roman"/>
        </w:rPr>
        <w:t xml:space="preserve"> extant </w:t>
      </w:r>
      <w:r w:rsidR="00B44706">
        <w:rPr>
          <w:rFonts w:cs="Times New Roman"/>
        </w:rPr>
        <w:t>sub</w:t>
      </w:r>
      <w:r w:rsidRPr="00524B2E">
        <w:rPr>
          <w:rFonts w:cs="Times New Roman"/>
        </w:rPr>
        <w:t>population</w:t>
      </w:r>
      <w:r w:rsidR="009B1547">
        <w:rPr>
          <w:rFonts w:cs="Times New Roman"/>
        </w:rPr>
        <w:t>s</w:t>
      </w:r>
      <w:r w:rsidRPr="00524B2E">
        <w:rPr>
          <w:rFonts w:cs="Times New Roman"/>
        </w:rPr>
        <w:t>; areas of similar habitat surrounding th</w:t>
      </w:r>
      <w:r w:rsidR="009B1547">
        <w:rPr>
          <w:rFonts w:cs="Times New Roman"/>
        </w:rPr>
        <w:t>ese</w:t>
      </w:r>
      <w:r w:rsidRPr="00524B2E">
        <w:rPr>
          <w:rFonts w:cs="Times New Roman"/>
        </w:rPr>
        <w:t xml:space="preserve"> </w:t>
      </w:r>
      <w:r w:rsidR="00B44706">
        <w:rPr>
          <w:rFonts w:cs="Times New Roman"/>
        </w:rPr>
        <w:t>sub</w:t>
      </w:r>
      <w:r w:rsidRPr="00524B2E">
        <w:rPr>
          <w:rFonts w:cs="Times New Roman"/>
        </w:rPr>
        <w:t>population</w:t>
      </w:r>
      <w:r w:rsidR="009B1547">
        <w:rPr>
          <w:rFonts w:cs="Times New Roman"/>
        </w:rPr>
        <w:t>s</w:t>
      </w:r>
      <w:r w:rsidRPr="00524B2E">
        <w:rPr>
          <w:rFonts w:cs="Times New Roman"/>
        </w:rPr>
        <w:t xml:space="preserve"> that provide potential habitat for natural range extension and are necessary to provide habitat for pollinators; and additional occurrences of similar habitat in the known distribution of the species that may contain the species or be suitable sites for future translocations. </w:t>
      </w:r>
    </w:p>
    <w:p w14:paraId="7E7526B5" w14:textId="77777777" w:rsidR="00B409BF" w:rsidRPr="00524B2E" w:rsidRDefault="00B409BF" w:rsidP="00B409BF">
      <w:r w:rsidRPr="00524B2E">
        <w:t>No Critical Habitat as defined under section 207A of the EPBC Act has been identified or included in the Register of Critical Habitat.</w:t>
      </w:r>
    </w:p>
    <w:p w14:paraId="05943B86" w14:textId="77777777" w:rsidR="00B54C08" w:rsidRDefault="00C304AA" w:rsidP="00476948">
      <w:pPr>
        <w:pStyle w:val="Heading3"/>
      </w:pPr>
      <w:r w:rsidRPr="00476948">
        <w:rPr>
          <w:rFonts w:eastAsiaTheme="minorHAnsi"/>
        </w:rPr>
        <w:t>Important populations</w:t>
      </w:r>
    </w:p>
    <w:p w14:paraId="1781C409" w14:textId="77777777" w:rsidR="0043083A" w:rsidRDefault="0043083A" w:rsidP="0043083A">
      <w:r w:rsidRPr="00BC1F4B">
        <w:t xml:space="preserve">In this section, the word population is used to refer to subpopulation, in keeping with the terminology used in the EPBC Act and state/territory environmental legislation. </w:t>
      </w:r>
      <w:r>
        <w:t>An ‘important population’ is a population that is necessary for a species’ long-term survival and recovery (</w:t>
      </w:r>
      <w:proofErr w:type="spellStart"/>
      <w:r>
        <w:t>DotE</w:t>
      </w:r>
      <w:proofErr w:type="spellEnd"/>
      <w:r>
        <w:t xml:space="preserve"> 2013). </w:t>
      </w:r>
    </w:p>
    <w:p w14:paraId="412113E8" w14:textId="686A1121" w:rsidR="00966DC9" w:rsidRDefault="00966DC9" w:rsidP="00966DC9">
      <w:r>
        <w:t xml:space="preserve">All populations of the </w:t>
      </w:r>
      <w:proofErr w:type="spellStart"/>
      <w:r w:rsidRPr="001161B4">
        <w:t>Narrabarba</w:t>
      </w:r>
      <w:proofErr w:type="spellEnd"/>
      <w:r w:rsidRPr="001161B4">
        <w:t xml:space="preserve"> </w:t>
      </w:r>
      <w:r>
        <w:t>w</w:t>
      </w:r>
      <w:r w:rsidRPr="001161B4">
        <w:t>attle</w:t>
      </w:r>
      <w:r>
        <w:t xml:space="preserve"> are important for the long-term recovery and survival of this s</w:t>
      </w:r>
      <w:r w:rsidRPr="0032575D">
        <w:t>pecies</w:t>
      </w:r>
      <w:r>
        <w:t xml:space="preserve"> due to its very restricted distribution and the presence of ongoing threats.</w:t>
      </w:r>
    </w:p>
    <w:p w14:paraId="08CDF4B6" w14:textId="77777777" w:rsidR="00C304AA" w:rsidRDefault="00C304AA" w:rsidP="001E5131">
      <w:pPr>
        <w:pStyle w:val="Heading3"/>
        <w:ind w:left="964" w:hanging="964"/>
      </w:pPr>
      <w:r>
        <w:t>Threats</w:t>
      </w:r>
    </w:p>
    <w:p w14:paraId="7D574422" w14:textId="5C7A7962" w:rsidR="00CC2AD6" w:rsidRDefault="005C472B" w:rsidP="00FE6BED">
      <w:r>
        <w:t xml:space="preserve">The main threats to the </w:t>
      </w:r>
      <w:proofErr w:type="spellStart"/>
      <w:r>
        <w:t>Narrabarba</w:t>
      </w:r>
      <w:proofErr w:type="spellEnd"/>
      <w:r>
        <w:t xml:space="preserve"> wattle include drought</w:t>
      </w:r>
      <w:r w:rsidR="00DB0498">
        <w:t>, inappropriate fire regimes</w:t>
      </w:r>
      <w:r>
        <w:t xml:space="preserve"> and </w:t>
      </w:r>
      <w:r w:rsidR="004D584C">
        <w:t>competition from native shrubs</w:t>
      </w:r>
      <w:r>
        <w:t xml:space="preserve">. </w:t>
      </w:r>
      <w:r w:rsidR="00A6267A">
        <w:t xml:space="preserve">These threats </w:t>
      </w:r>
      <w:r w:rsidR="00BE6AE4">
        <w:t>also</w:t>
      </w:r>
      <w:r>
        <w:t xml:space="preserve"> interact to influence recovery potential </w:t>
      </w:r>
      <w:r w:rsidR="005B1C46">
        <w:t>of the species</w:t>
      </w:r>
      <w:r w:rsidR="001A69FE">
        <w:t xml:space="preserve">. </w:t>
      </w:r>
      <w:r w:rsidR="004D584C">
        <w:t>Auld et al</w:t>
      </w:r>
      <w:r w:rsidR="00EA48E5">
        <w:t>.</w:t>
      </w:r>
      <w:r w:rsidR="004D584C">
        <w:t xml:space="preserve"> (2020) rank</w:t>
      </w:r>
      <w:r w:rsidR="009F214B">
        <w:t>ed</w:t>
      </w:r>
      <w:r w:rsidR="004D584C">
        <w:t xml:space="preserve"> the </w:t>
      </w:r>
      <w:proofErr w:type="spellStart"/>
      <w:r w:rsidR="004D584C">
        <w:t>Narrabarba</w:t>
      </w:r>
      <w:proofErr w:type="spellEnd"/>
      <w:r w:rsidR="004D584C">
        <w:t xml:space="preserve"> wattle as vulnerable to post-fire herbivory</w:t>
      </w:r>
      <w:r w:rsidR="001E186B">
        <w:t xml:space="preserve"> and recommended exclusion or removal of feral grazers, </w:t>
      </w:r>
      <w:proofErr w:type="gramStart"/>
      <w:r w:rsidR="001E186B">
        <w:t>stock</w:t>
      </w:r>
      <w:proofErr w:type="gramEnd"/>
      <w:r w:rsidR="001E186B">
        <w:t xml:space="preserve"> and excessive native herbivores</w:t>
      </w:r>
      <w:r w:rsidR="00460727">
        <w:t xml:space="preserve">. </w:t>
      </w:r>
      <w:r>
        <w:br/>
      </w:r>
      <w:r w:rsidR="00460727">
        <w:t>On-ground</w:t>
      </w:r>
      <w:r w:rsidR="004C6006">
        <w:t xml:space="preserve"> </w:t>
      </w:r>
      <w:r w:rsidR="004D584C">
        <w:t xml:space="preserve">observations </w:t>
      </w:r>
      <w:r w:rsidR="00460727">
        <w:t xml:space="preserve">show that while </w:t>
      </w:r>
      <w:r w:rsidR="004A0DA5">
        <w:t xml:space="preserve">browsing by </w:t>
      </w:r>
      <w:r w:rsidR="00B9324A">
        <w:t xml:space="preserve">herbivores </w:t>
      </w:r>
      <w:r w:rsidR="00460727">
        <w:t xml:space="preserve">appeared initially to be a threat, </w:t>
      </w:r>
      <w:r w:rsidR="3E8B9022">
        <w:t xml:space="preserve">at </w:t>
      </w:r>
      <w:r w:rsidR="00460727">
        <w:t xml:space="preserve">16 months post-fire browsing pressure had largely ceased and was not considered significant </w:t>
      </w:r>
      <w:r w:rsidR="00FE6BED">
        <w:t xml:space="preserve">(Miles 2021). </w:t>
      </w:r>
    </w:p>
    <w:p w14:paraId="0E785A51" w14:textId="4B05DB7F" w:rsidR="00F507F5" w:rsidRDefault="00A6267A" w:rsidP="00FE6BED">
      <w:r>
        <w:t xml:space="preserve">Phytophthora dieback is a potential threat to the </w:t>
      </w:r>
      <w:proofErr w:type="spellStart"/>
      <w:r w:rsidR="00E2325F">
        <w:t>Narrabarba</w:t>
      </w:r>
      <w:proofErr w:type="spellEnd"/>
      <w:r w:rsidR="00E2325F">
        <w:t xml:space="preserve"> wattle</w:t>
      </w:r>
      <w:r w:rsidR="000C4AE7">
        <w:t xml:space="preserve"> (NPWS 2002)</w:t>
      </w:r>
      <w:r>
        <w:t xml:space="preserve">. </w:t>
      </w:r>
    </w:p>
    <w:p w14:paraId="0AA6C0D0" w14:textId="0B9B35F6" w:rsidR="001B1578" w:rsidRDefault="001B1578" w:rsidP="00CC77B3">
      <w:r>
        <w:t xml:space="preserve">Threats in Table </w:t>
      </w:r>
      <w:r w:rsidR="00A12DD8">
        <w:t>3</w:t>
      </w:r>
      <w:r>
        <w:t xml:space="preserve"> are noted in approximate order of highest to lowest impact, based on available evidence.</w:t>
      </w:r>
    </w:p>
    <w:p w14:paraId="3A3FB4C5" w14:textId="58820D55" w:rsidR="001B1578" w:rsidRPr="00304B01" w:rsidRDefault="001B1578" w:rsidP="001B1578">
      <w:pPr>
        <w:pStyle w:val="Caption"/>
      </w:pPr>
      <w:r w:rsidRPr="00304B01">
        <w:t xml:space="preserve">Table </w:t>
      </w:r>
      <w:r w:rsidR="00A12DD8">
        <w:rPr>
          <w:noProof/>
        </w:rPr>
        <w:t>3</w:t>
      </w:r>
      <w:r w:rsidRPr="00304B01">
        <w:t xml:space="preserve"> Threats </w:t>
      </w:r>
    </w:p>
    <w:tbl>
      <w:tblPr>
        <w:tblStyle w:val="TableGrid"/>
        <w:tblW w:w="0" w:type="auto"/>
        <w:tblLook w:val="04A0" w:firstRow="1" w:lastRow="0" w:firstColumn="1" w:lastColumn="0" w:noHBand="0" w:noVBand="1"/>
      </w:tblPr>
      <w:tblGrid>
        <w:gridCol w:w="1699"/>
        <w:gridCol w:w="3258"/>
        <w:gridCol w:w="4103"/>
      </w:tblGrid>
      <w:tr w:rsidR="00AA0A06" w14:paraId="6853431E" w14:textId="77777777" w:rsidTr="4C23B032">
        <w:trPr>
          <w:cantSplit/>
          <w:tblHeader/>
        </w:trPr>
        <w:tc>
          <w:tcPr>
            <w:tcW w:w="1699" w:type="dxa"/>
          </w:tcPr>
          <w:p w14:paraId="0F0DAC91" w14:textId="77777777" w:rsidR="00957A21" w:rsidRDefault="00957A21" w:rsidP="00D945A0">
            <w:pPr>
              <w:pStyle w:val="TableHeading"/>
            </w:pPr>
            <w:r>
              <w:t xml:space="preserve">Threat </w:t>
            </w:r>
          </w:p>
        </w:tc>
        <w:tc>
          <w:tcPr>
            <w:tcW w:w="3258" w:type="dxa"/>
          </w:tcPr>
          <w:p w14:paraId="1AA1E85B" w14:textId="77777777" w:rsidR="00957A21" w:rsidRDefault="00935CDF" w:rsidP="00D945A0">
            <w:pPr>
              <w:pStyle w:val="TableHeading"/>
            </w:pPr>
            <w:r>
              <w:t>S</w:t>
            </w:r>
            <w:r w:rsidR="00957A21">
              <w:t xml:space="preserve">tatus </w:t>
            </w:r>
            <w:r w:rsidR="00957A21" w:rsidRPr="006E5CC3">
              <w:rPr>
                <w:rStyle w:val="Strong"/>
                <w:vertAlign w:val="superscript"/>
              </w:rPr>
              <w:t>a</w:t>
            </w:r>
          </w:p>
        </w:tc>
        <w:tc>
          <w:tcPr>
            <w:tcW w:w="4103" w:type="dxa"/>
          </w:tcPr>
          <w:p w14:paraId="505BAEF1" w14:textId="77777777" w:rsidR="00957A21" w:rsidRDefault="00957A21" w:rsidP="00D945A0">
            <w:pPr>
              <w:pStyle w:val="TableHeading"/>
            </w:pPr>
            <w:r>
              <w:t xml:space="preserve">Evidence </w:t>
            </w:r>
          </w:p>
        </w:tc>
      </w:tr>
      <w:tr w:rsidR="00AC049E" w:rsidRPr="00B8665C" w14:paraId="6505F8AE" w14:textId="77777777" w:rsidTr="4C23B032">
        <w:tc>
          <w:tcPr>
            <w:tcW w:w="9060" w:type="dxa"/>
            <w:gridSpan w:val="3"/>
          </w:tcPr>
          <w:p w14:paraId="5D42C17E" w14:textId="1963DEBD" w:rsidR="008A24A1" w:rsidRPr="00B8665C" w:rsidRDefault="00B8665C" w:rsidP="00B8665C">
            <w:pPr>
              <w:pStyle w:val="TableText"/>
            </w:pPr>
            <w:r w:rsidRPr="00B8665C">
              <w:t>Climate change</w:t>
            </w:r>
          </w:p>
        </w:tc>
      </w:tr>
      <w:tr w:rsidR="00AA0A06" w14:paraId="3AB6F903" w14:textId="77777777" w:rsidTr="4C23B032">
        <w:tc>
          <w:tcPr>
            <w:tcW w:w="1699" w:type="dxa"/>
          </w:tcPr>
          <w:p w14:paraId="3122195B" w14:textId="41C01F1F" w:rsidR="008A24A1" w:rsidRPr="007605A6" w:rsidRDefault="00B8665C" w:rsidP="00B8665C">
            <w:pPr>
              <w:pStyle w:val="TableText"/>
            </w:pPr>
            <w:r w:rsidRPr="007605A6">
              <w:rPr>
                <w:rFonts w:cs="Arial"/>
                <w:szCs w:val="18"/>
              </w:rPr>
              <w:t>Increased temperature and decreased rainfall</w:t>
            </w:r>
          </w:p>
        </w:tc>
        <w:tc>
          <w:tcPr>
            <w:tcW w:w="3258" w:type="dxa"/>
          </w:tcPr>
          <w:p w14:paraId="281D5735" w14:textId="2ED80C27" w:rsidR="002728CE" w:rsidRPr="007605A6" w:rsidRDefault="002728CE" w:rsidP="002728CE">
            <w:pPr>
              <w:pStyle w:val="TableBullet1"/>
            </w:pPr>
            <w:r w:rsidRPr="007605A6">
              <w:t xml:space="preserve">Timing: current </w:t>
            </w:r>
            <w:r w:rsidR="00774D3B">
              <w:t>and future</w:t>
            </w:r>
          </w:p>
          <w:p w14:paraId="08A7669F" w14:textId="72BA85F3" w:rsidR="002728CE" w:rsidRPr="007605A6" w:rsidRDefault="002728CE" w:rsidP="002728CE">
            <w:pPr>
              <w:pStyle w:val="TableBullet1"/>
            </w:pPr>
            <w:r w:rsidRPr="007605A6">
              <w:t xml:space="preserve">Confidence: observed </w:t>
            </w:r>
          </w:p>
          <w:p w14:paraId="1918977D" w14:textId="77777777" w:rsidR="002728CE" w:rsidRPr="007605A6" w:rsidRDefault="002728CE" w:rsidP="002728CE">
            <w:pPr>
              <w:pStyle w:val="TableBullet1"/>
            </w:pPr>
            <w:r w:rsidRPr="007605A6">
              <w:t>Consequence: major</w:t>
            </w:r>
          </w:p>
          <w:p w14:paraId="6B4AD98C" w14:textId="77777777" w:rsidR="002728CE" w:rsidRPr="007605A6" w:rsidRDefault="002728CE" w:rsidP="002728CE">
            <w:pPr>
              <w:pStyle w:val="TableBullet1"/>
            </w:pPr>
            <w:r w:rsidRPr="007605A6">
              <w:t>Trend: increasing</w:t>
            </w:r>
          </w:p>
          <w:p w14:paraId="62F8805F" w14:textId="5E2923AF" w:rsidR="00957A21" w:rsidRPr="007605A6" w:rsidRDefault="002728CE" w:rsidP="002728CE">
            <w:pPr>
              <w:pStyle w:val="TableBullet1"/>
            </w:pPr>
            <w:r w:rsidRPr="007605A6">
              <w:t>Extent: across the entire range</w:t>
            </w:r>
          </w:p>
        </w:tc>
        <w:tc>
          <w:tcPr>
            <w:tcW w:w="4103" w:type="dxa"/>
          </w:tcPr>
          <w:p w14:paraId="7551E332" w14:textId="5E4EBA46" w:rsidR="001F294D" w:rsidRDefault="43F0F2A0" w:rsidP="008D3E19">
            <w:pPr>
              <w:pStyle w:val="TableText"/>
            </w:pPr>
            <w:r>
              <w:t xml:space="preserve">The </w:t>
            </w:r>
            <w:proofErr w:type="spellStart"/>
            <w:r>
              <w:t>Narrabarba</w:t>
            </w:r>
            <w:proofErr w:type="spellEnd"/>
            <w:r>
              <w:t xml:space="preserve"> wattle is </w:t>
            </w:r>
            <w:r w:rsidR="0052763A">
              <w:t>vulnerable</w:t>
            </w:r>
            <w:r>
              <w:t xml:space="preserve"> to drought as soils associated with rocky outcrops have a low water-carrying capacity (NP</w:t>
            </w:r>
            <w:r w:rsidR="2C537663">
              <w:t>WS</w:t>
            </w:r>
            <w:r>
              <w:t xml:space="preserve"> 2002). Following drought in 1997 and 1998, an estimated 25% of plants at </w:t>
            </w:r>
            <w:proofErr w:type="spellStart"/>
            <w:r>
              <w:t>Narrabarba</w:t>
            </w:r>
            <w:proofErr w:type="spellEnd"/>
            <w:r>
              <w:t xml:space="preserve"> Hill died and other </w:t>
            </w:r>
            <w:r w:rsidR="24B3B93E">
              <w:t>sites</w:t>
            </w:r>
            <w:r>
              <w:t xml:space="preserve"> were similarly affected (N</w:t>
            </w:r>
            <w:r w:rsidR="37C663D8">
              <w:t>PWS</w:t>
            </w:r>
            <w:r>
              <w:t xml:space="preserve"> 2002). </w:t>
            </w:r>
          </w:p>
          <w:p w14:paraId="76F542C8" w14:textId="64FCBBAF" w:rsidR="008D3E19" w:rsidRDefault="56A083AA" w:rsidP="008D3E19">
            <w:pPr>
              <w:pStyle w:val="TableText"/>
            </w:pPr>
            <w:r>
              <w:t xml:space="preserve">Severe drought conditions across NSW from </w:t>
            </w:r>
            <w:bookmarkStart w:id="13" w:name="_Hlk87556709"/>
            <w:r>
              <w:t>early 2017 to late 2019 also impacted the species with the number of mature individuals declining substantially during these years (see Table</w:t>
            </w:r>
            <w:r w:rsidR="2CE4EB16">
              <w:t>s</w:t>
            </w:r>
            <w:r>
              <w:t xml:space="preserve"> 1 and 2 above). </w:t>
            </w:r>
            <w:r w:rsidR="1AF51DA2">
              <w:t xml:space="preserve">The entire modelled range of </w:t>
            </w:r>
            <w:proofErr w:type="spellStart"/>
            <w:r w:rsidR="1AF51DA2">
              <w:t>Narrabarba</w:t>
            </w:r>
            <w:proofErr w:type="spellEnd"/>
            <w:r w:rsidR="1AF51DA2">
              <w:t xml:space="preserve"> wattle was subject to </w:t>
            </w:r>
            <w:r w:rsidR="27C24A6A">
              <w:t xml:space="preserve">high </w:t>
            </w:r>
            <w:r w:rsidR="39EDA952">
              <w:t>accumulated</w:t>
            </w:r>
            <w:r w:rsidR="1AF51DA2">
              <w:t xml:space="preserve"> drought severity in the </w:t>
            </w:r>
            <w:r w:rsidR="752D7D82">
              <w:t>twelve</w:t>
            </w:r>
            <w:r w:rsidR="1AF51DA2">
              <w:t xml:space="preserve"> </w:t>
            </w:r>
            <w:r w:rsidR="1AF51DA2">
              <w:lastRenderedPageBreak/>
              <w:t xml:space="preserve">months prior to the </w:t>
            </w:r>
            <w:r w:rsidR="3B453DE4">
              <w:t>September</w:t>
            </w:r>
            <w:r w:rsidR="1AF51DA2">
              <w:t xml:space="preserve"> 2019</w:t>
            </w:r>
            <w:r w:rsidR="74FE2B11">
              <w:t xml:space="preserve"> (Gallagher</w:t>
            </w:r>
            <w:r w:rsidR="00544210">
              <w:t xml:space="preserve"> et al. 2021</w:t>
            </w:r>
            <w:r w:rsidR="74FE2B11">
              <w:t>)</w:t>
            </w:r>
            <w:r w:rsidR="1AF51DA2">
              <w:t xml:space="preserve">. </w:t>
            </w:r>
          </w:p>
          <w:p w14:paraId="6B2B96B8" w14:textId="5F2B0DC5" w:rsidR="008D3E19" w:rsidRDefault="2CE4EB16" w:rsidP="00B8665C">
            <w:pPr>
              <w:pStyle w:val="TableText"/>
            </w:pPr>
            <w:bookmarkStart w:id="14" w:name="_Hlk87887507"/>
            <w:bookmarkEnd w:id="13"/>
            <w:r w:rsidRPr="7FA35F82">
              <w:rPr>
                <w:lang w:eastAsia="ja-JP"/>
              </w:rPr>
              <w:t>I</w:t>
            </w:r>
            <w:r w:rsidR="6C4993DD" w:rsidRPr="7FA35F82">
              <w:rPr>
                <w:lang w:eastAsia="ja-JP"/>
              </w:rPr>
              <w:t xml:space="preserve">n the </w:t>
            </w:r>
            <w:r w:rsidR="003338D6" w:rsidRPr="7FA35F82">
              <w:rPr>
                <w:lang w:eastAsia="ja-JP"/>
              </w:rPr>
              <w:t>S</w:t>
            </w:r>
            <w:r w:rsidR="249DA7BB" w:rsidRPr="7FA35F82">
              <w:rPr>
                <w:lang w:eastAsia="ja-JP"/>
              </w:rPr>
              <w:t xml:space="preserve">outh </w:t>
            </w:r>
            <w:r w:rsidR="003338D6" w:rsidRPr="7FA35F82">
              <w:rPr>
                <w:lang w:eastAsia="ja-JP"/>
              </w:rPr>
              <w:t>E</w:t>
            </w:r>
            <w:r w:rsidR="249DA7BB" w:rsidRPr="7FA35F82">
              <w:rPr>
                <w:lang w:eastAsia="ja-JP"/>
              </w:rPr>
              <w:t>ast</w:t>
            </w:r>
            <w:r w:rsidR="6C4993DD" w:rsidRPr="7FA35F82">
              <w:rPr>
                <w:lang w:eastAsia="ja-JP"/>
              </w:rPr>
              <w:t xml:space="preserve"> region of NSW, there is a projected increase in minimum and maximum temperatures (maximum temperature increase</w:t>
            </w:r>
            <w:r w:rsidRPr="7FA35F82">
              <w:rPr>
                <w:lang w:eastAsia="ja-JP"/>
              </w:rPr>
              <w:t>s</w:t>
            </w:r>
            <w:r w:rsidR="6C4993DD" w:rsidRPr="7FA35F82">
              <w:rPr>
                <w:lang w:eastAsia="ja-JP"/>
              </w:rPr>
              <w:t xml:space="preserve"> of 0.</w:t>
            </w:r>
            <w:r w:rsidR="249DA7BB" w:rsidRPr="7FA35F82">
              <w:rPr>
                <w:lang w:eastAsia="ja-JP"/>
              </w:rPr>
              <w:t>5</w:t>
            </w:r>
            <w:r w:rsidR="6C4993DD" w:rsidRPr="7FA35F82">
              <w:rPr>
                <w:lang w:eastAsia="ja-JP"/>
              </w:rPr>
              <w:t>–1.0</w:t>
            </w:r>
            <w:r w:rsidR="6C4993DD" w:rsidRPr="7FA35F82">
              <w:rPr>
                <w:rFonts w:ascii="Symbol" w:eastAsia="Symbol" w:hAnsi="Symbol" w:cs="Symbol"/>
                <w:lang w:eastAsia="ja-JP"/>
              </w:rPr>
              <w:t>°</w:t>
            </w:r>
            <w:r w:rsidR="6C4993DD" w:rsidRPr="7FA35F82">
              <w:rPr>
                <w:lang w:eastAsia="ja-JP"/>
              </w:rPr>
              <w:t xml:space="preserve">C by 2039 and </w:t>
            </w:r>
            <w:r w:rsidR="249DA7BB" w:rsidRPr="7FA35F82">
              <w:rPr>
                <w:lang w:eastAsia="ja-JP"/>
              </w:rPr>
              <w:t>1.8</w:t>
            </w:r>
            <w:r w:rsidR="6C4993DD" w:rsidRPr="7FA35F82">
              <w:rPr>
                <w:lang w:eastAsia="ja-JP"/>
              </w:rPr>
              <w:t>–2.</w:t>
            </w:r>
            <w:r w:rsidR="249DA7BB" w:rsidRPr="7FA35F82">
              <w:rPr>
                <w:lang w:eastAsia="ja-JP"/>
              </w:rPr>
              <w:t>5</w:t>
            </w:r>
            <w:r w:rsidR="6C4993DD" w:rsidRPr="7FA35F82">
              <w:rPr>
                <w:rFonts w:ascii="Symbol" w:eastAsia="Symbol" w:hAnsi="Symbol" w:cs="Symbol"/>
                <w:lang w:eastAsia="ja-JP"/>
              </w:rPr>
              <w:t>°</w:t>
            </w:r>
            <w:r w:rsidR="6C4993DD" w:rsidRPr="7FA35F82">
              <w:rPr>
                <w:lang w:eastAsia="ja-JP"/>
              </w:rPr>
              <w:t xml:space="preserve">C by 2060–2079) and an increase in the number of hot </w:t>
            </w:r>
            <w:proofErr w:type="gramStart"/>
            <w:r w:rsidR="6C4993DD" w:rsidRPr="7FA35F82">
              <w:rPr>
                <w:lang w:eastAsia="ja-JP"/>
              </w:rPr>
              <w:t xml:space="preserve">days </w:t>
            </w:r>
            <w:r w:rsidR="249DA7BB" w:rsidRPr="7FA35F82">
              <w:rPr>
                <w:lang w:eastAsia="ja-JP"/>
              </w:rPr>
              <w:t xml:space="preserve"> in</w:t>
            </w:r>
            <w:proofErr w:type="gramEnd"/>
            <w:r w:rsidR="249DA7BB" w:rsidRPr="7FA35F82">
              <w:rPr>
                <w:lang w:eastAsia="ja-JP"/>
              </w:rPr>
              <w:t xml:space="preserve"> summer and spring</w:t>
            </w:r>
            <w:r w:rsidR="6C4993DD" w:rsidRPr="7FA35F82">
              <w:rPr>
                <w:lang w:eastAsia="ja-JP"/>
              </w:rPr>
              <w:t xml:space="preserve">. </w:t>
            </w:r>
            <w:r w:rsidR="249DA7BB" w:rsidRPr="7FA35F82">
              <w:rPr>
                <w:lang w:eastAsia="ja-JP"/>
              </w:rPr>
              <w:t>Rainfall</w:t>
            </w:r>
            <w:r w:rsidR="6C4993DD" w:rsidRPr="7FA35F82">
              <w:rPr>
                <w:lang w:eastAsia="ja-JP"/>
              </w:rPr>
              <w:t xml:space="preserve"> is projected to decrease </w:t>
            </w:r>
            <w:r w:rsidR="249DA7BB" w:rsidRPr="7FA35F82">
              <w:rPr>
                <w:lang w:eastAsia="ja-JP"/>
              </w:rPr>
              <w:t>in spring and</w:t>
            </w:r>
            <w:r w:rsidR="6C4993DD" w:rsidRPr="7FA35F82">
              <w:rPr>
                <w:lang w:eastAsia="ja-JP"/>
              </w:rPr>
              <w:t xml:space="preserve"> winter and increase in </w:t>
            </w:r>
            <w:r w:rsidR="249DA7BB" w:rsidRPr="7FA35F82">
              <w:rPr>
                <w:lang w:eastAsia="ja-JP"/>
              </w:rPr>
              <w:t>summer and autumn</w:t>
            </w:r>
            <w:r w:rsidR="6C4993DD" w:rsidRPr="7FA35F82">
              <w:rPr>
                <w:lang w:eastAsia="ja-JP"/>
              </w:rPr>
              <w:t xml:space="preserve"> </w:t>
            </w:r>
            <w:r w:rsidR="249DA7BB" w:rsidRPr="7FA35F82">
              <w:rPr>
                <w:lang w:eastAsia="ja-JP"/>
              </w:rPr>
              <w:t>(NSW Government 2014)</w:t>
            </w:r>
            <w:r w:rsidR="6C4993DD" w:rsidRPr="7FA35F82">
              <w:rPr>
                <w:lang w:eastAsia="ja-JP"/>
              </w:rPr>
              <w:t xml:space="preserve">. </w:t>
            </w:r>
            <w:r w:rsidR="56A083AA">
              <w:t xml:space="preserve">This is likely to adversely affect the species. </w:t>
            </w:r>
          </w:p>
          <w:bookmarkEnd w:id="14"/>
          <w:p w14:paraId="70EEE6DC" w14:textId="3A7D062C" w:rsidR="00FC2FF9" w:rsidRDefault="00BE6AE4" w:rsidP="00FC2FF9">
            <w:pPr>
              <w:pStyle w:val="TableText"/>
            </w:pPr>
            <w:r>
              <w:t xml:space="preserve">The </w:t>
            </w:r>
            <w:proofErr w:type="spellStart"/>
            <w:r>
              <w:t>Narrabarba</w:t>
            </w:r>
            <w:proofErr w:type="spellEnd"/>
            <w:r>
              <w:t xml:space="preserve"> wattle is </w:t>
            </w:r>
            <w:r w:rsidR="77915A9D">
              <w:t xml:space="preserve">also </w:t>
            </w:r>
            <w:r>
              <w:t xml:space="preserve">ranked as highly vulnerable to the interactive effects of fire and drought (Gallagher </w:t>
            </w:r>
            <w:r w:rsidR="00523722">
              <w:t>et al. 2021</w:t>
            </w:r>
            <w:r>
              <w:t xml:space="preserve">). </w:t>
            </w:r>
            <w:r w:rsidR="6B94D5EE">
              <w:t xml:space="preserve">Pre-fire drought can reduce reproductive output </w:t>
            </w:r>
            <w:r w:rsidR="41BCA4D7">
              <w:t>in fire free periods</w:t>
            </w:r>
            <w:r w:rsidR="6B94D5EE">
              <w:t xml:space="preserve">, impacting the size of the seed bank available for post-fire recruitment. </w:t>
            </w:r>
            <w:r w:rsidR="3C834AB7">
              <w:t xml:space="preserve">Post-fire drought </w:t>
            </w:r>
            <w:r w:rsidR="5F3240F3">
              <w:t xml:space="preserve">may also </w:t>
            </w:r>
            <w:r w:rsidR="3C834AB7">
              <w:t>negatively impact post-fire recruitment success by reducing seed germination and seedling survival</w:t>
            </w:r>
            <w:r w:rsidR="7D65CF2D">
              <w:t xml:space="preserve"> (</w:t>
            </w:r>
            <w:r w:rsidR="355036EA">
              <w:t>Gallagher</w:t>
            </w:r>
            <w:r w:rsidR="004259EC">
              <w:t xml:space="preserve"> et al. 2021</w:t>
            </w:r>
            <w:r w:rsidR="429BA1E7">
              <w:t>).</w:t>
            </w:r>
          </w:p>
          <w:p w14:paraId="278F2CD0" w14:textId="69800FE6" w:rsidR="004D584C" w:rsidRPr="006E5CC3" w:rsidRDefault="004D584C" w:rsidP="00FC2FF9">
            <w:pPr>
              <w:pStyle w:val="TableText"/>
            </w:pPr>
            <w:r>
              <w:t>The e</w:t>
            </w:r>
            <w:r w:rsidRPr="004D584C">
              <w:t xml:space="preserve">ffects of drought </w:t>
            </w:r>
            <w:r>
              <w:t xml:space="preserve">may also </w:t>
            </w:r>
            <w:r w:rsidR="0052763A">
              <w:t xml:space="preserve">be </w:t>
            </w:r>
            <w:r w:rsidR="0052763A" w:rsidRPr="004D584C">
              <w:t>exacerbate</w:t>
            </w:r>
            <w:r w:rsidR="0052763A">
              <w:t>d</w:t>
            </w:r>
            <w:r w:rsidRPr="004D584C">
              <w:t xml:space="preserve"> by other factors such as changes to vegetation structure caused by fire or competition from black </w:t>
            </w:r>
            <w:proofErr w:type="spellStart"/>
            <w:r w:rsidRPr="004D584C">
              <w:t>sheoak</w:t>
            </w:r>
            <w:proofErr w:type="spellEnd"/>
            <w:r w:rsidRPr="004D584C">
              <w:t xml:space="preserve"> and other native shrubs</w:t>
            </w:r>
            <w:r w:rsidR="0074677A">
              <w:t xml:space="preserve"> (see below)</w:t>
            </w:r>
            <w:r w:rsidRPr="004D584C">
              <w:t>.</w:t>
            </w:r>
          </w:p>
        </w:tc>
      </w:tr>
      <w:tr w:rsidR="005E5980" w14:paraId="534EAB76" w14:textId="77777777" w:rsidTr="4C23B032">
        <w:tc>
          <w:tcPr>
            <w:tcW w:w="9060" w:type="dxa"/>
            <w:gridSpan w:val="3"/>
          </w:tcPr>
          <w:p w14:paraId="7F5AA3E6" w14:textId="609A27C1" w:rsidR="005E5980" w:rsidRPr="007605A6" w:rsidRDefault="00E54FE4" w:rsidP="00395CFA">
            <w:pPr>
              <w:pStyle w:val="TableText"/>
            </w:pPr>
            <w:r>
              <w:lastRenderedPageBreak/>
              <w:t>Fire</w:t>
            </w:r>
          </w:p>
        </w:tc>
      </w:tr>
      <w:tr w:rsidR="00F90CD9" w14:paraId="2B5F5E94" w14:textId="77777777" w:rsidTr="4C23B032">
        <w:tc>
          <w:tcPr>
            <w:tcW w:w="1699" w:type="dxa"/>
          </w:tcPr>
          <w:p w14:paraId="355F3BF5" w14:textId="3371850D" w:rsidR="00F90CD9" w:rsidRPr="007605A6" w:rsidRDefault="00F90CD9" w:rsidP="00F90CD9">
            <w:pPr>
              <w:pStyle w:val="TableText"/>
            </w:pPr>
            <w:r w:rsidRPr="007605A6">
              <w:t>Inappropriate fire regimes</w:t>
            </w:r>
          </w:p>
        </w:tc>
        <w:tc>
          <w:tcPr>
            <w:tcW w:w="3258" w:type="dxa"/>
          </w:tcPr>
          <w:p w14:paraId="37ADFE80" w14:textId="75E4AFFF" w:rsidR="00F90CD9" w:rsidRPr="007605A6" w:rsidRDefault="00F90CD9" w:rsidP="00F90CD9">
            <w:pPr>
              <w:pStyle w:val="TableBullet1"/>
            </w:pPr>
            <w:r w:rsidRPr="007605A6">
              <w:t xml:space="preserve">Timing: current </w:t>
            </w:r>
            <w:r>
              <w:t>and future</w:t>
            </w:r>
          </w:p>
          <w:p w14:paraId="290944E6" w14:textId="45598F4C" w:rsidR="00F90CD9" w:rsidRPr="007605A6" w:rsidRDefault="00F90CD9" w:rsidP="00F90CD9">
            <w:pPr>
              <w:pStyle w:val="TableBullet1"/>
            </w:pPr>
            <w:r w:rsidRPr="007605A6">
              <w:t>Confidence: observed</w:t>
            </w:r>
            <w:r>
              <w:t xml:space="preserve"> and inferred</w:t>
            </w:r>
            <w:r w:rsidRPr="007605A6">
              <w:t xml:space="preserve"> </w:t>
            </w:r>
          </w:p>
          <w:p w14:paraId="63A50192" w14:textId="77777777" w:rsidR="00F90CD9" w:rsidRPr="007605A6" w:rsidRDefault="00F90CD9" w:rsidP="00F90CD9">
            <w:pPr>
              <w:pStyle w:val="TableBullet1"/>
            </w:pPr>
            <w:r w:rsidRPr="007605A6">
              <w:t>Consequence: major</w:t>
            </w:r>
          </w:p>
          <w:p w14:paraId="5074F54E" w14:textId="77777777" w:rsidR="00F90CD9" w:rsidRDefault="00F90CD9" w:rsidP="00F90CD9">
            <w:pPr>
              <w:pStyle w:val="TableBullet1"/>
            </w:pPr>
            <w:r w:rsidRPr="007605A6">
              <w:t>Trend: increasing</w:t>
            </w:r>
          </w:p>
          <w:p w14:paraId="218BE3AC" w14:textId="75A83137" w:rsidR="00F90CD9" w:rsidRPr="007605A6" w:rsidRDefault="00F90CD9" w:rsidP="00F90CD9">
            <w:pPr>
              <w:pStyle w:val="TableBullet1"/>
            </w:pPr>
            <w:r w:rsidRPr="007605A6">
              <w:t>Extent: across the entire range</w:t>
            </w:r>
          </w:p>
        </w:tc>
        <w:tc>
          <w:tcPr>
            <w:tcW w:w="4103" w:type="dxa"/>
          </w:tcPr>
          <w:p w14:paraId="67321C46" w14:textId="0D806045" w:rsidR="006D4D62" w:rsidRDefault="006D4D62" w:rsidP="00F90CD9">
            <w:pPr>
              <w:pStyle w:val="TableText"/>
            </w:pPr>
            <w:r w:rsidRPr="00151D51">
              <w:t xml:space="preserve">Obligate </w:t>
            </w:r>
            <w:proofErr w:type="spellStart"/>
            <w:r w:rsidRPr="00151D51">
              <w:t>seeders</w:t>
            </w:r>
            <w:proofErr w:type="spellEnd"/>
            <w:r w:rsidRPr="00151D51">
              <w:t xml:space="preserve"> like the</w:t>
            </w:r>
            <w:r>
              <w:t xml:space="preserve"> </w:t>
            </w:r>
            <w:proofErr w:type="spellStart"/>
            <w:r w:rsidRPr="00B8665C">
              <w:t>Narrabarba</w:t>
            </w:r>
            <w:proofErr w:type="spellEnd"/>
            <w:r w:rsidRPr="00B8665C">
              <w:t xml:space="preserve"> </w:t>
            </w:r>
            <w:r>
              <w:t>w</w:t>
            </w:r>
            <w:r w:rsidRPr="00B8665C">
              <w:t>attle</w:t>
            </w:r>
            <w:r>
              <w:t xml:space="preserve"> </w:t>
            </w:r>
            <w:r w:rsidRPr="00151D51">
              <w:t xml:space="preserve">require a minimum fire-free interval to reach reproductive maturity </w:t>
            </w:r>
            <w:r w:rsidR="00D81C39">
              <w:t>and</w:t>
            </w:r>
            <w:r w:rsidRPr="00151D51">
              <w:t xml:space="preserve"> maintain population size. </w:t>
            </w:r>
          </w:p>
          <w:p w14:paraId="2586A88C" w14:textId="7406A77D" w:rsidR="00D66066" w:rsidRDefault="4C64E7A8" w:rsidP="00F90CD9">
            <w:pPr>
              <w:pStyle w:val="TableText"/>
            </w:pPr>
            <w:bookmarkStart w:id="15" w:name="_Hlk90456430"/>
            <w:r>
              <w:t>Keith (1996) identified several fire driven mechanisms of plant population decline and extinction for obligate seeding shrubs. These mechanisms included death of standing plants and seeds, failure of seed release and/or germination, failure of seedling establishment, interruption of maturation or developmental growth, and failure of seed production. Keith (1996) also identified fire regimes associated with multiple mechanisms of plant population decline and extinction, including both high frequency and low frequency fires.</w:t>
            </w:r>
          </w:p>
          <w:bookmarkEnd w:id="15"/>
          <w:p w14:paraId="695E245C" w14:textId="36AA0549" w:rsidR="009B7C99" w:rsidRPr="009B7C99" w:rsidRDefault="009B7C99" w:rsidP="00F90CD9">
            <w:pPr>
              <w:pStyle w:val="TableText"/>
              <w:rPr>
                <w:i/>
                <w:iCs/>
              </w:rPr>
            </w:pPr>
            <w:r w:rsidRPr="009B7C99">
              <w:rPr>
                <w:i/>
                <w:iCs/>
              </w:rPr>
              <w:t>High frequency fires</w:t>
            </w:r>
          </w:p>
          <w:p w14:paraId="7221D14B" w14:textId="2891DEC3" w:rsidR="009B7C99" w:rsidRDefault="41DA9991" w:rsidP="009B7C99">
            <w:pPr>
              <w:pStyle w:val="TableText"/>
            </w:pPr>
            <w:bookmarkStart w:id="16" w:name="_Hlk87437693"/>
            <w:r>
              <w:t>High frequency fires</w:t>
            </w:r>
            <w:r w:rsidR="1911D8CD">
              <w:t xml:space="preserve"> are recognised as a threat to fire-dependent species, especially as climate change </w:t>
            </w:r>
            <w:r w:rsidR="3D6C5654">
              <w:t xml:space="preserve">increases the likelihood of large scale </w:t>
            </w:r>
            <w:proofErr w:type="gramStart"/>
            <w:r w:rsidR="3D6C5654">
              <w:t xml:space="preserve">fires </w:t>
            </w:r>
            <w:r w:rsidR="1911D8CD">
              <w:t xml:space="preserve"> (</w:t>
            </w:r>
            <w:proofErr w:type="gramEnd"/>
            <w:r w:rsidR="1911D8CD">
              <w:t>Ooi et al. 2006;</w:t>
            </w:r>
            <w:r w:rsidR="277B2174">
              <w:t xml:space="preserve"> </w:t>
            </w:r>
            <w:r w:rsidR="1911D8CD">
              <w:t xml:space="preserve">Enright et al. 2015; Gallagher et al. 2021). Bradstock et al. (1998) found that extinction probabilities in obligate seeding shrubs increased with fire frequency and scale, indicating that too-frequent fire is responsible for extinction more often than too-infrequent fire. Fires that are </w:t>
            </w:r>
            <w:r w:rsidR="182F5CC5">
              <w:t xml:space="preserve">high in </w:t>
            </w:r>
            <w:r w:rsidR="1911D8CD">
              <w:t xml:space="preserve">frequency </w:t>
            </w:r>
            <w:r w:rsidR="182F5CC5">
              <w:t>and</w:t>
            </w:r>
            <w:r w:rsidR="1911D8CD">
              <w:t xml:space="preserve"> low in</w:t>
            </w:r>
            <w:r w:rsidR="66667C32">
              <w:t xml:space="preserve"> </w:t>
            </w:r>
            <w:r w:rsidR="0061036E">
              <w:t>severity</w:t>
            </w:r>
            <w:r w:rsidR="1911D8CD">
              <w:t xml:space="preserve"> could pose a particular threat to the </w:t>
            </w:r>
            <w:proofErr w:type="spellStart"/>
            <w:r w:rsidR="1911D8CD">
              <w:t>Narrabarba</w:t>
            </w:r>
            <w:proofErr w:type="spellEnd"/>
            <w:r w:rsidR="1911D8CD">
              <w:t xml:space="preserve"> wattle</w:t>
            </w:r>
            <w:r w:rsidR="74101CAA">
              <w:t xml:space="preserve"> as they</w:t>
            </w:r>
            <w:r w:rsidR="3CDD510B">
              <w:t xml:space="preserve"> can</w:t>
            </w:r>
            <w:r w:rsidR="74101CAA">
              <w:t xml:space="preserve"> kill mature individuals without stimulating </w:t>
            </w:r>
            <w:r w:rsidR="0651052E">
              <w:t xml:space="preserve">large levels of </w:t>
            </w:r>
            <w:r w:rsidR="74101CAA">
              <w:t>germination</w:t>
            </w:r>
            <w:r w:rsidR="55EF0E8F">
              <w:t xml:space="preserve"> </w:t>
            </w:r>
            <w:r w:rsidR="66667C32">
              <w:t xml:space="preserve">(Keith 1996) </w:t>
            </w:r>
            <w:r w:rsidR="55EF0E8F">
              <w:t xml:space="preserve">and increase competition from native </w:t>
            </w:r>
            <w:r w:rsidR="3C739EEC">
              <w:t>shrubs</w:t>
            </w:r>
            <w:r w:rsidR="55EF0E8F">
              <w:t xml:space="preserve"> (see below)</w:t>
            </w:r>
            <w:r w:rsidR="74101CAA">
              <w:t xml:space="preserve">. </w:t>
            </w:r>
          </w:p>
          <w:p w14:paraId="32BCF25B" w14:textId="77777777" w:rsidR="003C7C31" w:rsidRPr="00D66066" w:rsidRDefault="003C7C31" w:rsidP="003C7C31">
            <w:pPr>
              <w:pStyle w:val="TableText"/>
            </w:pPr>
            <w:r w:rsidRPr="00D66066">
              <w:t xml:space="preserve">While further research is required on the species’ fire ecology, the recommended fire-free interval for the </w:t>
            </w:r>
            <w:proofErr w:type="spellStart"/>
            <w:r w:rsidRPr="00D66066">
              <w:t>Narrabarba</w:t>
            </w:r>
            <w:proofErr w:type="spellEnd"/>
            <w:r w:rsidRPr="00D66066">
              <w:t xml:space="preserve"> wattle to mature and replenish the soil-stored seed bank is 15 years (OEH 2021a).</w:t>
            </w:r>
            <w:r>
              <w:t xml:space="preserve"> </w:t>
            </w:r>
          </w:p>
          <w:p w14:paraId="175E33D4" w14:textId="4213519D" w:rsidR="00BB7AD8" w:rsidRPr="00BB7AD8" w:rsidRDefault="00BB7AD8" w:rsidP="009B7C99">
            <w:pPr>
              <w:pStyle w:val="TableText"/>
              <w:rPr>
                <w:i/>
                <w:iCs/>
              </w:rPr>
            </w:pPr>
            <w:r w:rsidRPr="00BB7AD8">
              <w:rPr>
                <w:i/>
                <w:iCs/>
              </w:rPr>
              <w:lastRenderedPageBreak/>
              <w:t>Low frequency fires</w:t>
            </w:r>
          </w:p>
          <w:bookmarkEnd w:id="16"/>
          <w:p w14:paraId="751FCA17" w14:textId="338842DA" w:rsidR="000D028E" w:rsidRDefault="0B09CCDA" w:rsidP="000D028E">
            <w:pPr>
              <w:pStyle w:val="TableText"/>
            </w:pPr>
            <w:r>
              <w:t>Low frequency fires also pos</w:t>
            </w:r>
            <w:r w:rsidR="2CE4EB16">
              <w:t>e</w:t>
            </w:r>
            <w:r>
              <w:t xml:space="preserve"> a threat to the </w:t>
            </w:r>
            <w:proofErr w:type="spellStart"/>
            <w:r>
              <w:t>Narrabarba</w:t>
            </w:r>
            <w:proofErr w:type="spellEnd"/>
            <w:r>
              <w:t xml:space="preserve"> wattle as it appears to have limited recruitment in the absence of fire. </w:t>
            </w:r>
            <w:r w:rsidR="46E05B80">
              <w:t>The maximum tolerable fire</w:t>
            </w:r>
            <w:r w:rsidR="50ADCD00">
              <w:t>-free</w:t>
            </w:r>
            <w:r w:rsidR="46E05B80">
              <w:t xml:space="preserve"> interval for the species is unknown. </w:t>
            </w:r>
          </w:p>
          <w:p w14:paraId="722F49F0" w14:textId="34BFDC18" w:rsidR="00BB7AD8" w:rsidRPr="00BB7AD8" w:rsidRDefault="00BB7AD8" w:rsidP="000D028E">
            <w:pPr>
              <w:pStyle w:val="TableText"/>
              <w:rPr>
                <w:i/>
                <w:iCs/>
              </w:rPr>
            </w:pPr>
            <w:r w:rsidRPr="00BB7AD8">
              <w:rPr>
                <w:i/>
                <w:iCs/>
              </w:rPr>
              <w:t>Fire history</w:t>
            </w:r>
          </w:p>
          <w:p w14:paraId="5F98BF6D" w14:textId="4138B2EB" w:rsidR="00D66066" w:rsidRPr="00B50FCF" w:rsidRDefault="00D66066" w:rsidP="00D66066">
            <w:pPr>
              <w:pStyle w:val="TableText"/>
            </w:pPr>
            <w:r w:rsidRPr="00B50FCF">
              <w:t>In 2019</w:t>
            </w:r>
            <w:r w:rsidRPr="00B50FCF">
              <w:rPr>
                <w:lang w:eastAsia="ja-JP"/>
              </w:rPr>
              <w:t>–</w:t>
            </w:r>
            <w:r w:rsidRPr="00B50FCF">
              <w:t>2020, catastrophic bushfire conditions resulted in extensive bushfires across eastern Australia</w:t>
            </w:r>
            <w:r>
              <w:t xml:space="preserve"> and the species was prioritised for urgent management intervention (</w:t>
            </w:r>
            <w:r w:rsidRPr="00B50FCF">
              <w:t>Gallagher</w:t>
            </w:r>
            <w:r w:rsidR="00EA3710">
              <w:t xml:space="preserve"> et al. 2021</w:t>
            </w:r>
            <w:r w:rsidRPr="00B50FCF">
              <w:t>)</w:t>
            </w:r>
            <w:r>
              <w:t xml:space="preserve">. </w:t>
            </w:r>
            <w:r w:rsidRPr="00AE17FF">
              <w:t xml:space="preserve">On-ground observations </w:t>
            </w:r>
            <w:r>
              <w:t>showed that</w:t>
            </w:r>
            <w:r w:rsidRPr="00AE17FF">
              <w:t xml:space="preserve"> </w:t>
            </w:r>
            <w:r>
              <w:t xml:space="preserve">eight rocky outcrops where the species occurs were burnt to some degree, although the fire varied in extent and </w:t>
            </w:r>
            <w:r w:rsidR="00F74DE4">
              <w:t>intensity</w:t>
            </w:r>
            <w:r>
              <w:t xml:space="preserve"> across</w:t>
            </w:r>
            <w:r w:rsidRPr="00AE17FF">
              <w:t xml:space="preserve"> </w:t>
            </w:r>
            <w:r>
              <w:t xml:space="preserve">each site </w:t>
            </w:r>
            <w:r w:rsidRPr="00AE17FF">
              <w:t>(</w:t>
            </w:r>
            <w:r>
              <w:t xml:space="preserve">Miles </w:t>
            </w:r>
            <w:r w:rsidRPr="00AE17FF">
              <w:t>2021).</w:t>
            </w:r>
            <w:r w:rsidR="007467CE">
              <w:t xml:space="preserve"> The subpopulation at Green Cape wasn’t burnt, however the fire impact came within 100m of this site (G</w:t>
            </w:r>
            <w:r w:rsidR="007467CE" w:rsidRPr="00E03784">
              <w:t xml:space="preserve"> </w:t>
            </w:r>
            <w:r w:rsidR="007467CE">
              <w:t>Phillips</w:t>
            </w:r>
            <w:r w:rsidR="007467CE" w:rsidRPr="00E03784">
              <w:t xml:space="preserve">, pers comm. </w:t>
            </w:r>
            <w:r w:rsidR="007467CE">
              <w:t>3 December</w:t>
            </w:r>
            <w:r w:rsidR="007467CE" w:rsidRPr="00E03784">
              <w:t xml:space="preserve"> 2021</w:t>
            </w:r>
            <w:r w:rsidR="007467CE">
              <w:t>)</w:t>
            </w:r>
            <w:r w:rsidR="00B9324A">
              <w:t>.</w:t>
            </w:r>
          </w:p>
          <w:p w14:paraId="0EAA03C5" w14:textId="0D5EAEDA" w:rsidR="00D66066" w:rsidRPr="00B8665C" w:rsidRDefault="4C64E7A8" w:rsidP="00D66066">
            <w:pPr>
              <w:pStyle w:val="TableText"/>
            </w:pPr>
            <w:r w:rsidRPr="7FA35F82">
              <w:rPr>
                <w:lang w:eastAsia="ja-JP"/>
              </w:rPr>
              <w:t xml:space="preserve">These bushfires were partially caused by </w:t>
            </w:r>
            <w:r w:rsidR="006B1249">
              <w:rPr>
                <w:lang w:eastAsia="ja-JP"/>
              </w:rPr>
              <w:t>severe</w:t>
            </w:r>
            <w:r w:rsidR="006B1249" w:rsidRPr="7FA35F82">
              <w:rPr>
                <w:lang w:eastAsia="ja-JP"/>
              </w:rPr>
              <w:t xml:space="preserve"> </w:t>
            </w:r>
            <w:r w:rsidR="6A5C3F72" w:rsidRPr="7FA35F82">
              <w:rPr>
                <w:lang w:eastAsia="ja-JP"/>
              </w:rPr>
              <w:t xml:space="preserve">drought conditions in </w:t>
            </w:r>
            <w:r w:rsidRPr="7FA35F82">
              <w:rPr>
                <w:lang w:eastAsia="ja-JP"/>
              </w:rPr>
              <w:t xml:space="preserve">2017–2019 in NSW </w:t>
            </w:r>
            <w:r w:rsidR="09633C78" w:rsidRPr="7FA35F82">
              <w:rPr>
                <w:lang w:eastAsia="ja-JP"/>
              </w:rPr>
              <w:t xml:space="preserve">leading to </w:t>
            </w:r>
            <w:r w:rsidRPr="7FA35F82">
              <w:rPr>
                <w:lang w:eastAsia="ja-JP"/>
              </w:rPr>
              <w:t xml:space="preserve">low fuel moisture content, leaf senescence and shedding, and lack of moist impediments to fire spread (Nolan et al. 2020). </w:t>
            </w:r>
          </w:p>
        </w:tc>
      </w:tr>
      <w:tr w:rsidR="00F60D86" w14:paraId="2DF2B53C" w14:textId="77777777" w:rsidTr="4C23B032">
        <w:tc>
          <w:tcPr>
            <w:tcW w:w="9060" w:type="dxa"/>
            <w:gridSpan w:val="3"/>
          </w:tcPr>
          <w:p w14:paraId="19DC27E1" w14:textId="60CD19DF" w:rsidR="00F60D86" w:rsidRDefault="00F60D86" w:rsidP="00581F19">
            <w:pPr>
              <w:pStyle w:val="TableText"/>
              <w:spacing w:line="276" w:lineRule="auto"/>
            </w:pPr>
            <w:r>
              <w:lastRenderedPageBreak/>
              <w:t>Impacts of native species</w:t>
            </w:r>
          </w:p>
        </w:tc>
      </w:tr>
      <w:tr w:rsidR="00F60D86" w14:paraId="47FEB7ED" w14:textId="77777777" w:rsidTr="4C23B032">
        <w:tc>
          <w:tcPr>
            <w:tcW w:w="1699" w:type="dxa"/>
          </w:tcPr>
          <w:p w14:paraId="50CAA149" w14:textId="4853DA3B" w:rsidR="00F60D86" w:rsidRPr="007605A6" w:rsidRDefault="001C59DB" w:rsidP="00F60D86">
            <w:pPr>
              <w:pStyle w:val="TableText"/>
            </w:pPr>
            <w:r>
              <w:t xml:space="preserve">Competition </w:t>
            </w:r>
            <w:r w:rsidR="00581F19">
              <w:t>from native shrubs</w:t>
            </w:r>
          </w:p>
        </w:tc>
        <w:tc>
          <w:tcPr>
            <w:tcW w:w="3258" w:type="dxa"/>
          </w:tcPr>
          <w:p w14:paraId="06C3AFD5" w14:textId="30EF1139" w:rsidR="00F60D86" w:rsidRDefault="00F60D86" w:rsidP="00F60D86">
            <w:pPr>
              <w:pStyle w:val="TableBullet1"/>
              <w:keepNext/>
              <w:numPr>
                <w:ilvl w:val="0"/>
                <w:numId w:val="12"/>
              </w:numPr>
              <w:ind w:left="284" w:hanging="284"/>
            </w:pPr>
            <w:r>
              <w:t>Timing: current</w:t>
            </w:r>
            <w:r w:rsidR="00774D3B">
              <w:t xml:space="preserve"> and future</w:t>
            </w:r>
          </w:p>
          <w:p w14:paraId="1C3D3920" w14:textId="1565BD82" w:rsidR="00F60D86" w:rsidRDefault="00F60D86" w:rsidP="00F60D86">
            <w:pPr>
              <w:pStyle w:val="TableBullet1"/>
              <w:keepNext/>
              <w:numPr>
                <w:ilvl w:val="0"/>
                <w:numId w:val="12"/>
              </w:numPr>
              <w:ind w:left="284" w:hanging="284"/>
            </w:pPr>
            <w:r>
              <w:t xml:space="preserve">Confidence: </w:t>
            </w:r>
            <w:r w:rsidR="001C59DB">
              <w:t>known</w:t>
            </w:r>
          </w:p>
          <w:p w14:paraId="73C543AF" w14:textId="38C78C0A" w:rsidR="00F60D86" w:rsidRDefault="00F60D86" w:rsidP="00F60D86">
            <w:pPr>
              <w:pStyle w:val="TableBullet1"/>
              <w:keepNext/>
              <w:numPr>
                <w:ilvl w:val="0"/>
                <w:numId w:val="12"/>
              </w:numPr>
              <w:ind w:left="284" w:hanging="284"/>
            </w:pPr>
            <w:r>
              <w:t xml:space="preserve">Consequence: </w:t>
            </w:r>
            <w:r w:rsidR="001C59DB">
              <w:t>moderate</w:t>
            </w:r>
          </w:p>
          <w:p w14:paraId="71C28037" w14:textId="77777777" w:rsidR="00F60D86" w:rsidRDefault="00F60D86" w:rsidP="00F60D86">
            <w:pPr>
              <w:pStyle w:val="TableBullet1"/>
              <w:keepNext/>
              <w:numPr>
                <w:ilvl w:val="0"/>
                <w:numId w:val="12"/>
              </w:numPr>
              <w:ind w:left="284" w:hanging="284"/>
            </w:pPr>
            <w:r>
              <w:t>Trend: unknown</w:t>
            </w:r>
          </w:p>
          <w:p w14:paraId="089A5274" w14:textId="4DBDB0B2" w:rsidR="00F60D86" w:rsidRPr="007605A6" w:rsidRDefault="00F60D86" w:rsidP="00F60D86">
            <w:pPr>
              <w:pStyle w:val="TableBullet1"/>
            </w:pPr>
            <w:r>
              <w:t>Extent: across the entire range</w:t>
            </w:r>
          </w:p>
        </w:tc>
        <w:tc>
          <w:tcPr>
            <w:tcW w:w="4103" w:type="dxa"/>
          </w:tcPr>
          <w:p w14:paraId="5555B176" w14:textId="6FDAEB36" w:rsidR="00F60D86" w:rsidRDefault="7D6B2820" w:rsidP="001C59DB">
            <w:pPr>
              <w:pStyle w:val="TableText"/>
            </w:pPr>
            <w:r>
              <w:t xml:space="preserve">Black </w:t>
            </w:r>
            <w:proofErr w:type="spellStart"/>
            <w:r>
              <w:t>sheoak</w:t>
            </w:r>
            <w:proofErr w:type="spellEnd"/>
            <w:r>
              <w:t xml:space="preserve"> stands appear to compete strongly with the </w:t>
            </w:r>
            <w:proofErr w:type="spellStart"/>
            <w:r>
              <w:t>Narrabarba</w:t>
            </w:r>
            <w:proofErr w:type="spellEnd"/>
            <w:r>
              <w:t xml:space="preserve"> </w:t>
            </w:r>
            <w:r w:rsidR="2CE4EB16">
              <w:t>w</w:t>
            </w:r>
            <w:r>
              <w:t xml:space="preserve">attle and mortality of </w:t>
            </w:r>
            <w:proofErr w:type="spellStart"/>
            <w:r>
              <w:t>Narrabarba</w:t>
            </w:r>
            <w:proofErr w:type="spellEnd"/>
            <w:r>
              <w:t xml:space="preserve"> </w:t>
            </w:r>
            <w:r w:rsidR="2CE4EB16">
              <w:t>w</w:t>
            </w:r>
            <w:r>
              <w:t>attle is common, possibly resulting from the combined effects of light and moisture competition (NPWS 2002).</w:t>
            </w:r>
            <w:r w:rsidR="000C4AE7">
              <w:t xml:space="preserve"> </w:t>
            </w:r>
            <w:r w:rsidR="002319D6">
              <w:t xml:space="preserve">Black </w:t>
            </w:r>
            <w:proofErr w:type="spellStart"/>
            <w:r w:rsidR="002319D6">
              <w:t>sheoak</w:t>
            </w:r>
            <w:proofErr w:type="spellEnd"/>
            <w:r w:rsidR="002319D6">
              <w:t xml:space="preserve"> may also use leaf litter </w:t>
            </w:r>
            <w:r w:rsidR="00222A73">
              <w:t>allelopathy</w:t>
            </w:r>
            <w:r w:rsidR="002319D6">
              <w:t xml:space="preserve"> to </w:t>
            </w:r>
            <w:r w:rsidR="00BA6E33">
              <w:t>dominate ecosystems. Although true allelopathic compounds have yet to be identified</w:t>
            </w:r>
            <w:r w:rsidR="00C80989">
              <w:t xml:space="preserve">, </w:t>
            </w:r>
            <w:r w:rsidR="00BA6E33">
              <w:t>the thick and slowly decomposing litter layer</w:t>
            </w:r>
            <w:r w:rsidR="00D943CF">
              <w:t xml:space="preserve"> produced by </w:t>
            </w:r>
            <w:proofErr w:type="spellStart"/>
            <w:r w:rsidR="00D943CF">
              <w:t>Allocasuarina</w:t>
            </w:r>
            <w:proofErr w:type="spellEnd"/>
            <w:r w:rsidR="00D943CF">
              <w:t xml:space="preserve"> s</w:t>
            </w:r>
            <w:r w:rsidR="00C80989">
              <w:t xml:space="preserve">pecies such as </w:t>
            </w:r>
            <w:r w:rsidR="0015748F">
              <w:t>b</w:t>
            </w:r>
            <w:r w:rsidR="00C80989">
              <w:t xml:space="preserve">lack </w:t>
            </w:r>
            <w:proofErr w:type="spellStart"/>
            <w:r w:rsidR="00C80989">
              <w:t>sheoak</w:t>
            </w:r>
            <w:proofErr w:type="spellEnd"/>
            <w:r w:rsidR="00BA6E33">
              <w:t xml:space="preserve"> is considered to suppress seed germination by shading and then inhibit</w:t>
            </w:r>
            <w:r w:rsidR="00955896">
              <w:t>ing</w:t>
            </w:r>
            <w:r w:rsidR="00BA6E33">
              <w:t xml:space="preserve"> seedling establishment</w:t>
            </w:r>
            <w:r w:rsidR="002319D6">
              <w:t xml:space="preserve"> </w:t>
            </w:r>
            <w:r w:rsidR="00BA6E33">
              <w:t>(</w:t>
            </w:r>
            <w:proofErr w:type="spellStart"/>
            <w:r w:rsidR="00BA6E33">
              <w:t>Audet</w:t>
            </w:r>
            <w:proofErr w:type="spellEnd"/>
            <w:r w:rsidR="00BA6E33">
              <w:t xml:space="preserve"> et al. 2013). </w:t>
            </w:r>
            <w:r>
              <w:t xml:space="preserve">The effects of competition </w:t>
            </w:r>
            <w:r w:rsidR="54F3F677">
              <w:t>could be more significant in drought conditions (see above)</w:t>
            </w:r>
            <w:r>
              <w:t>.</w:t>
            </w:r>
          </w:p>
          <w:p w14:paraId="2359D2F5" w14:textId="4EDBA1C6" w:rsidR="001C59DB" w:rsidRPr="00151D51" w:rsidRDefault="001C59DB" w:rsidP="001C59DB">
            <w:pPr>
              <w:pStyle w:val="TableText"/>
            </w:pPr>
            <w:r>
              <w:t>Low</w:t>
            </w:r>
            <w:r w:rsidR="00C6474B">
              <w:t xml:space="preserve"> </w:t>
            </w:r>
            <w:r w:rsidR="0061036E">
              <w:t>severity</w:t>
            </w:r>
            <w:r>
              <w:t xml:space="preserve"> fire may also increase competition</w:t>
            </w:r>
            <w:r w:rsidR="00581F19">
              <w:t>, especially</w:t>
            </w:r>
            <w:r>
              <w:t xml:space="preserve"> </w:t>
            </w:r>
            <w:r w:rsidRPr="001A69FE">
              <w:t xml:space="preserve">from black </w:t>
            </w:r>
            <w:proofErr w:type="spellStart"/>
            <w:r>
              <w:t>sheoak</w:t>
            </w:r>
            <w:proofErr w:type="spellEnd"/>
            <w:r>
              <w:t>, which</w:t>
            </w:r>
            <w:r w:rsidRPr="001A69FE">
              <w:t xml:space="preserve"> suppresses or kills many </w:t>
            </w:r>
            <w:proofErr w:type="spellStart"/>
            <w:r w:rsidRPr="001A69FE">
              <w:t>Narrabarba</w:t>
            </w:r>
            <w:proofErr w:type="spellEnd"/>
            <w:r w:rsidRPr="001A69FE">
              <w:t xml:space="preserve"> wattle plants at the edges of outcrops. </w:t>
            </w:r>
            <w:r>
              <w:t>B</w:t>
            </w:r>
            <w:r w:rsidRPr="001A69FE">
              <w:t xml:space="preserve">lack </w:t>
            </w:r>
            <w:proofErr w:type="spellStart"/>
            <w:r w:rsidRPr="001A69FE">
              <w:t>sheoak</w:t>
            </w:r>
            <w:proofErr w:type="spellEnd"/>
            <w:r w:rsidRPr="001A69FE">
              <w:t xml:space="preserve">, at least when young, is </w:t>
            </w:r>
            <w:r w:rsidR="00774D3B">
              <w:t>responsive</w:t>
            </w:r>
            <w:r w:rsidR="00774D3B" w:rsidRPr="001A69FE">
              <w:t xml:space="preserve"> </w:t>
            </w:r>
            <w:r w:rsidRPr="001A69FE">
              <w:t>to low</w:t>
            </w:r>
            <w:r w:rsidR="00F0491A">
              <w:t xml:space="preserve"> </w:t>
            </w:r>
            <w:r w:rsidR="0061036E">
              <w:t>severity</w:t>
            </w:r>
            <w:r w:rsidRPr="001A69FE">
              <w:t xml:space="preserve"> burns, and the burns may stimulate high levels of recruitment in this species to the detriment of </w:t>
            </w:r>
            <w:proofErr w:type="spellStart"/>
            <w:r w:rsidRPr="001A69FE">
              <w:t>Narrabarba</w:t>
            </w:r>
            <w:proofErr w:type="spellEnd"/>
            <w:r w:rsidRPr="001A69FE">
              <w:t xml:space="preserve"> </w:t>
            </w:r>
            <w:r>
              <w:t>w</w:t>
            </w:r>
            <w:r w:rsidRPr="001A69FE">
              <w:t xml:space="preserve">attle. It may be that these low </w:t>
            </w:r>
            <w:r w:rsidR="0061036E">
              <w:t>severity</w:t>
            </w:r>
            <w:r w:rsidRPr="001A69FE">
              <w:t xml:space="preserve"> burns are too coo</w:t>
            </w:r>
            <w:r>
              <w:t>l</w:t>
            </w:r>
            <w:r w:rsidRPr="001A69FE">
              <w:t xml:space="preserve"> to stimulate significant recruitment </w:t>
            </w:r>
            <w:r w:rsidR="00AA52E2">
              <w:t xml:space="preserve">of </w:t>
            </w:r>
            <w:proofErr w:type="spellStart"/>
            <w:r w:rsidRPr="001A69FE">
              <w:t>Narrabarba</w:t>
            </w:r>
            <w:proofErr w:type="spellEnd"/>
            <w:r w:rsidRPr="001A69FE">
              <w:t xml:space="preserve"> </w:t>
            </w:r>
            <w:r w:rsidR="00AA52E2">
              <w:t>w</w:t>
            </w:r>
            <w:r w:rsidRPr="001A69FE">
              <w:t xml:space="preserve">attle </w:t>
            </w:r>
            <w:r>
              <w:t>(NPWS 2002).</w:t>
            </w:r>
          </w:p>
        </w:tc>
      </w:tr>
      <w:tr w:rsidR="00F90CD9" w14:paraId="292BA9AA" w14:textId="77777777" w:rsidTr="4C23B032">
        <w:tc>
          <w:tcPr>
            <w:tcW w:w="9060" w:type="dxa"/>
            <w:gridSpan w:val="3"/>
          </w:tcPr>
          <w:p w14:paraId="154F959F" w14:textId="5E1AC690" w:rsidR="00F90CD9" w:rsidRPr="00B8665C" w:rsidRDefault="00F90CD9" w:rsidP="00F90CD9">
            <w:pPr>
              <w:pStyle w:val="TableText"/>
            </w:pPr>
            <w:r>
              <w:t>Disease</w:t>
            </w:r>
          </w:p>
        </w:tc>
      </w:tr>
      <w:tr w:rsidR="00F90CD9" w14:paraId="03F13425" w14:textId="77777777" w:rsidTr="4C23B032">
        <w:tc>
          <w:tcPr>
            <w:tcW w:w="1699" w:type="dxa"/>
          </w:tcPr>
          <w:p w14:paraId="04CD51A2" w14:textId="613FDAFC" w:rsidR="00F90CD9" w:rsidRPr="00D945A0" w:rsidRDefault="00493F53" w:rsidP="00F90CD9">
            <w:pPr>
              <w:pStyle w:val="TableText"/>
            </w:pPr>
            <w:r w:rsidRPr="00937FFE">
              <w:t>Phytophthora dieback caused by</w:t>
            </w:r>
            <w:r>
              <w:t xml:space="preserve"> the introduced soil-borne pathogen</w:t>
            </w:r>
            <w:r>
              <w:rPr>
                <w:i/>
                <w:iCs/>
              </w:rPr>
              <w:t xml:space="preserve"> </w:t>
            </w:r>
            <w:r w:rsidRPr="00937FFE">
              <w:rPr>
                <w:i/>
                <w:iCs/>
              </w:rPr>
              <w:t>Phytophthora</w:t>
            </w:r>
            <w:r w:rsidRPr="007E26C3">
              <w:rPr>
                <w:i/>
              </w:rPr>
              <w:t xml:space="preserve"> </w:t>
            </w:r>
            <w:proofErr w:type="spellStart"/>
            <w:r>
              <w:rPr>
                <w:i/>
                <w:iCs/>
              </w:rPr>
              <w:t>cinnamomi</w:t>
            </w:r>
            <w:proofErr w:type="spellEnd"/>
            <w:r w:rsidRPr="007E26C3">
              <w:t xml:space="preserve"> </w:t>
            </w:r>
            <w:r>
              <w:t xml:space="preserve">and </w:t>
            </w:r>
            <w:proofErr w:type="gramStart"/>
            <w:r>
              <w:t>other</w:t>
            </w:r>
            <w:proofErr w:type="gramEnd"/>
            <w:r>
              <w:t xml:space="preserve"> </w:t>
            </w:r>
            <w:r>
              <w:rPr>
                <w:i/>
                <w:iCs/>
              </w:rPr>
              <w:t xml:space="preserve">Phytophthora </w:t>
            </w:r>
            <w:r>
              <w:t>spp.</w:t>
            </w:r>
          </w:p>
        </w:tc>
        <w:tc>
          <w:tcPr>
            <w:tcW w:w="3258" w:type="dxa"/>
          </w:tcPr>
          <w:p w14:paraId="587C34A7" w14:textId="0CBCC9BB" w:rsidR="00F90CD9" w:rsidRPr="009F5106" w:rsidRDefault="00F90CD9" w:rsidP="00F90CD9">
            <w:pPr>
              <w:pStyle w:val="TableBullet1"/>
            </w:pPr>
            <w:r w:rsidRPr="009F5106">
              <w:t>Timing: future</w:t>
            </w:r>
          </w:p>
          <w:p w14:paraId="2FFCD032" w14:textId="77777777" w:rsidR="00F90CD9" w:rsidRPr="009F5106" w:rsidRDefault="00F90CD9" w:rsidP="00F90CD9">
            <w:pPr>
              <w:pStyle w:val="TableBullet1"/>
            </w:pPr>
            <w:r w:rsidRPr="009F5106">
              <w:t>Confidence: suspected</w:t>
            </w:r>
          </w:p>
          <w:p w14:paraId="10CBECBA" w14:textId="77777777" w:rsidR="00F90CD9" w:rsidRPr="009F5106" w:rsidRDefault="00F90CD9" w:rsidP="00F90CD9">
            <w:pPr>
              <w:pStyle w:val="TableBullet1"/>
            </w:pPr>
            <w:r w:rsidRPr="009F5106">
              <w:t>Consequence: major</w:t>
            </w:r>
          </w:p>
          <w:p w14:paraId="32191A5A" w14:textId="77777777" w:rsidR="00F90CD9" w:rsidRDefault="00F90CD9" w:rsidP="00F90CD9">
            <w:pPr>
              <w:pStyle w:val="TableBullet1"/>
            </w:pPr>
            <w:r w:rsidRPr="009F5106">
              <w:t>Trend: unknown</w:t>
            </w:r>
          </w:p>
          <w:p w14:paraId="53C16B39" w14:textId="6967118C" w:rsidR="00F90CD9" w:rsidRPr="00B8665C" w:rsidRDefault="00F90CD9" w:rsidP="00F90CD9">
            <w:pPr>
              <w:pStyle w:val="TableBullet1"/>
            </w:pPr>
            <w:r w:rsidRPr="009F5106">
              <w:t>Extent: across the entire range</w:t>
            </w:r>
          </w:p>
        </w:tc>
        <w:tc>
          <w:tcPr>
            <w:tcW w:w="4103" w:type="dxa"/>
          </w:tcPr>
          <w:p w14:paraId="3887524E" w14:textId="187EA70D" w:rsidR="00F90CD9" w:rsidRPr="00151D51" w:rsidRDefault="00493F53" w:rsidP="00F90CD9">
            <w:pPr>
              <w:pStyle w:val="TableText"/>
            </w:pPr>
            <w:r w:rsidRPr="4C23B032">
              <w:rPr>
                <w:i/>
                <w:iCs/>
              </w:rPr>
              <w:t xml:space="preserve">P. </w:t>
            </w:r>
            <w:proofErr w:type="spellStart"/>
            <w:r w:rsidRPr="4C23B032">
              <w:rPr>
                <w:i/>
                <w:iCs/>
              </w:rPr>
              <w:t>cinnamomi</w:t>
            </w:r>
            <w:proofErr w:type="spellEnd"/>
            <w:r>
              <w:t xml:space="preserve"> is an introduced soil-borne pathogen which infects a large range of plant species, and which may contribute to plant death</w:t>
            </w:r>
            <w:r w:rsidR="4E04169E">
              <w:t xml:space="preserve"> directly or</w:t>
            </w:r>
            <w:r>
              <w:t xml:space="preserve"> when other stresses are present such as waterlogging, drought and bushfire. </w:t>
            </w:r>
            <w:r w:rsidR="61B08EF0" w:rsidRPr="4C23B032">
              <w:rPr>
                <w:i/>
                <w:iCs/>
              </w:rPr>
              <w:t xml:space="preserve">Phytophthora </w:t>
            </w:r>
            <w:proofErr w:type="spellStart"/>
            <w:r w:rsidR="61B08EF0" w:rsidRPr="4C23B032">
              <w:rPr>
                <w:i/>
                <w:iCs/>
              </w:rPr>
              <w:t>cinnamomi</w:t>
            </w:r>
            <w:proofErr w:type="spellEnd"/>
            <w:r w:rsidR="61B08EF0">
              <w:t xml:space="preserve"> is listed as a Key Threatening Process under the EPBC Act (</w:t>
            </w:r>
            <w:proofErr w:type="spellStart"/>
            <w:r>
              <w:t>DoEE</w:t>
            </w:r>
            <w:proofErr w:type="spellEnd"/>
            <w:r>
              <w:t xml:space="preserve"> </w:t>
            </w:r>
            <w:r w:rsidR="61B08EF0">
              <w:t>2018).</w:t>
            </w:r>
          </w:p>
          <w:p w14:paraId="3E3B4C77" w14:textId="5D8941F8" w:rsidR="00F90CD9" w:rsidRPr="00B8665C" w:rsidRDefault="00F90CD9" w:rsidP="004D584C">
            <w:pPr>
              <w:pStyle w:val="TableText"/>
            </w:pPr>
            <w:r w:rsidRPr="002737B0">
              <w:rPr>
                <w:i/>
                <w:iCs/>
              </w:rPr>
              <w:t xml:space="preserve">Acacia </w:t>
            </w:r>
            <w:r>
              <w:t xml:space="preserve">species are known to be susceptible to </w:t>
            </w:r>
            <w:r w:rsidRPr="00EC27F0">
              <w:rPr>
                <w:i/>
              </w:rPr>
              <w:t>P</w:t>
            </w:r>
            <w:r>
              <w:rPr>
                <w:i/>
              </w:rPr>
              <w:t>.</w:t>
            </w:r>
            <w:r w:rsidRPr="00EC27F0">
              <w:rPr>
                <w:i/>
              </w:rPr>
              <w:t xml:space="preserve"> </w:t>
            </w:r>
            <w:proofErr w:type="spellStart"/>
            <w:r w:rsidRPr="00EC27F0">
              <w:rPr>
                <w:i/>
              </w:rPr>
              <w:t>cinnamomi</w:t>
            </w:r>
            <w:proofErr w:type="spellEnd"/>
            <w:r>
              <w:t xml:space="preserve"> and areas of forest adjacent to </w:t>
            </w:r>
            <w:r w:rsidR="00E6036B">
              <w:t xml:space="preserve">the </w:t>
            </w:r>
            <w:proofErr w:type="spellStart"/>
            <w:r w:rsidR="00E6036B" w:rsidRPr="00B8665C">
              <w:t>Narrabarba</w:t>
            </w:r>
            <w:proofErr w:type="spellEnd"/>
            <w:r w:rsidR="00E6036B" w:rsidRPr="00B8665C">
              <w:t xml:space="preserve"> </w:t>
            </w:r>
            <w:r w:rsidR="00E6036B">
              <w:t>w</w:t>
            </w:r>
            <w:r w:rsidR="00E6036B" w:rsidRPr="00B8665C">
              <w:t>attle</w:t>
            </w:r>
            <w:r>
              <w:t xml:space="preserve"> </w:t>
            </w:r>
            <w:r w:rsidR="0053584B">
              <w:t xml:space="preserve">have shown </w:t>
            </w:r>
            <w:r w:rsidRPr="00B8665C">
              <w:t xml:space="preserve">symptoms of </w:t>
            </w:r>
            <w:r w:rsidRPr="00B8665C">
              <w:lastRenderedPageBreak/>
              <w:t xml:space="preserve">infection with </w:t>
            </w:r>
            <w:r>
              <w:t>the pathogen.</w:t>
            </w:r>
            <w:r w:rsidRPr="00E6036B">
              <w:t xml:space="preserve"> </w:t>
            </w:r>
            <w:proofErr w:type="gramStart"/>
            <w:r w:rsidRPr="00E6036B">
              <w:t>However</w:t>
            </w:r>
            <w:proofErr w:type="gramEnd"/>
            <w:r>
              <w:t xml:space="preserve"> the </w:t>
            </w:r>
            <w:r w:rsidRPr="00B8665C">
              <w:t xml:space="preserve">susceptibility of </w:t>
            </w:r>
            <w:r>
              <w:t xml:space="preserve">the </w:t>
            </w:r>
            <w:proofErr w:type="spellStart"/>
            <w:r w:rsidRPr="00E3141F">
              <w:t>Narrabarba</w:t>
            </w:r>
            <w:proofErr w:type="spellEnd"/>
            <w:r w:rsidRPr="00E3141F">
              <w:t xml:space="preserve"> </w:t>
            </w:r>
            <w:r>
              <w:t xml:space="preserve">wattle </w:t>
            </w:r>
            <w:r w:rsidRPr="00B8665C">
              <w:t xml:space="preserve">to </w:t>
            </w:r>
            <w:r w:rsidRPr="001730F5">
              <w:rPr>
                <w:i/>
                <w:iCs/>
              </w:rPr>
              <w:t xml:space="preserve">P. </w:t>
            </w:r>
            <w:proofErr w:type="spellStart"/>
            <w:r w:rsidRPr="001730F5">
              <w:rPr>
                <w:i/>
                <w:iCs/>
              </w:rPr>
              <w:t>cinnamomi</w:t>
            </w:r>
            <w:proofErr w:type="spellEnd"/>
            <w:r w:rsidRPr="00B8665C">
              <w:t xml:space="preserve"> is unknown </w:t>
            </w:r>
            <w:r>
              <w:t>(</w:t>
            </w:r>
            <w:r w:rsidRPr="00B8665C">
              <w:t>NPWS</w:t>
            </w:r>
            <w:r>
              <w:t xml:space="preserve"> 2002</w:t>
            </w:r>
            <w:r w:rsidRPr="00B8665C">
              <w:t>)</w:t>
            </w:r>
            <w:r>
              <w:t xml:space="preserve">. </w:t>
            </w:r>
          </w:p>
        </w:tc>
      </w:tr>
    </w:tbl>
    <w:p w14:paraId="55F54051" w14:textId="77777777" w:rsidR="00F3106E" w:rsidRPr="00304B01" w:rsidRDefault="00F3106E" w:rsidP="00F3106E">
      <w:pPr>
        <w:pStyle w:val="TableText"/>
      </w:pPr>
      <w:bookmarkStart w:id="17" w:name="_Ref43127879"/>
      <w:bookmarkStart w:id="18" w:name="_Toc430782162"/>
      <w:bookmarkStart w:id="19" w:name="_Toc511376531"/>
      <w:r w:rsidRPr="009F5106">
        <w:lastRenderedPageBreak/>
        <w:t>T</w:t>
      </w:r>
      <w:r>
        <w:t>iming</w:t>
      </w:r>
      <w:r w:rsidRPr="00304B01">
        <w:t xml:space="preserve">—identify the temporal nature of the </w:t>
      </w:r>
      <w:proofErr w:type="gramStart"/>
      <w:r w:rsidRPr="00304B01">
        <w:t>threat;</w:t>
      </w:r>
      <w:proofErr w:type="gramEnd"/>
    </w:p>
    <w:p w14:paraId="3CB13912" w14:textId="77777777" w:rsidR="00F3106E" w:rsidRPr="00304B01" w:rsidRDefault="00F3106E" w:rsidP="00F3106E">
      <w:pPr>
        <w:pStyle w:val="TableText"/>
      </w:pPr>
      <w:r w:rsidRPr="00304B01">
        <w:t xml:space="preserve">Confidence—identify the extent to which we have confidence about the impact of the threat on the </w:t>
      </w:r>
      <w:proofErr w:type="gramStart"/>
      <w:r>
        <w:t>species</w:t>
      </w:r>
      <w:r w:rsidRPr="00304B01">
        <w:t>;</w:t>
      </w:r>
      <w:proofErr w:type="gramEnd"/>
    </w:p>
    <w:p w14:paraId="75E7329D" w14:textId="77777777" w:rsidR="00F3106E" w:rsidRPr="009A615F" w:rsidRDefault="00F3106E" w:rsidP="00F3106E">
      <w:pPr>
        <w:pStyle w:val="TableText"/>
      </w:pPr>
      <w:r w:rsidRPr="00304B01">
        <w:t xml:space="preserve">Consequence—identify the severity of the </w:t>
      </w:r>
      <w:proofErr w:type="gramStart"/>
      <w:r w:rsidRPr="00304B01">
        <w:t>threat;</w:t>
      </w:r>
      <w:proofErr w:type="gramEnd"/>
    </w:p>
    <w:p w14:paraId="418DB163" w14:textId="77777777" w:rsidR="00F3106E" w:rsidRPr="009A615F" w:rsidRDefault="00F3106E" w:rsidP="00F3106E">
      <w:pPr>
        <w:pStyle w:val="TableText"/>
      </w:pPr>
      <w:r w:rsidRPr="009A615F">
        <w:t xml:space="preserve">Trend—identify the extent to which it will continue to operate on the </w:t>
      </w:r>
      <w:proofErr w:type="gramStart"/>
      <w:r>
        <w:t>species</w:t>
      </w:r>
      <w:r w:rsidRPr="009A615F">
        <w:t>;</w:t>
      </w:r>
      <w:proofErr w:type="gramEnd"/>
    </w:p>
    <w:p w14:paraId="73DB02A5" w14:textId="77777777" w:rsidR="00F3106E" w:rsidRDefault="00F3106E" w:rsidP="00F3106E">
      <w:pPr>
        <w:pStyle w:val="TableText"/>
      </w:pPr>
      <w:r w:rsidRPr="009A615F">
        <w:t xml:space="preserve">Extent—identify its spatial content in terms of the range of the </w:t>
      </w:r>
      <w:r>
        <w:t>species</w:t>
      </w:r>
      <w:r w:rsidRPr="009A615F">
        <w:t>.</w:t>
      </w:r>
    </w:p>
    <w:p w14:paraId="3401726C" w14:textId="77777777" w:rsidR="00F3106E" w:rsidRPr="009A615F" w:rsidRDefault="00F3106E" w:rsidP="00F3106E">
      <w:pPr>
        <w:pStyle w:val="TableText"/>
      </w:pPr>
    </w:p>
    <w:p w14:paraId="368F6417" w14:textId="5FA9822C" w:rsidR="00F3106E" w:rsidRDefault="00F3106E" w:rsidP="00F3106E">
      <w:r>
        <w:t xml:space="preserve">Each threat has been described in Table </w:t>
      </w:r>
      <w:r w:rsidR="00936695">
        <w:t>4</w:t>
      </w:r>
      <w:r>
        <w:t xml:space="preserve"> in terms of the extent that it is operating on the species. The risk matrix (</w:t>
      </w:r>
      <w:r w:rsidR="00EA3080">
        <w:t>3</w:t>
      </w:r>
      <w:r>
        <w:t xml:space="preserve">) provides a visual depiction of the level of risk being imposed by a threat and supports the prioritisation of subsequent management and conservation actions. In preparing a risk matrix, several factors have been taken into consideration, they </w:t>
      </w:r>
      <w:proofErr w:type="gramStart"/>
      <w:r>
        <w:t>are:</w:t>
      </w:r>
      <w:proofErr w:type="gramEnd"/>
      <w:r>
        <w:t xml:space="preserve"> the life stage they affect; the duration of the impact; and the efficacy of curre</w:t>
      </w:r>
      <w:r w:rsidRPr="00B038DF">
        <w:t>nt management regimes, assuming that management will continue to be applied appropriately. The risk matrix and ranking of threats has been developed in consultation with experts and using available literature.</w:t>
      </w:r>
    </w:p>
    <w:p w14:paraId="10848A41" w14:textId="4E0F004A" w:rsidR="00774EAA" w:rsidRDefault="00774EAA" w:rsidP="00774EAA">
      <w:pPr>
        <w:pStyle w:val="Caption"/>
      </w:pPr>
      <w:r>
        <w:t xml:space="preserve">Table </w:t>
      </w:r>
      <w:bookmarkEnd w:id="17"/>
      <w:r w:rsidR="00936695">
        <w:rPr>
          <w:noProof/>
        </w:rPr>
        <w:t>4</w:t>
      </w:r>
      <w:r>
        <w:t xml:space="preserve"> </w:t>
      </w:r>
      <w:r w:rsidR="00322655">
        <w:t>R</w:t>
      </w:r>
      <w:r>
        <w:t xml:space="preserve">isk </w:t>
      </w:r>
      <w:r w:rsidR="00322655">
        <w:t>M</w:t>
      </w:r>
      <w:r>
        <w:t>atrix</w:t>
      </w:r>
      <w:r w:rsidR="00C06CC4">
        <w:t xml:space="preserve"> </w:t>
      </w:r>
      <w:r w:rsidR="00EA3080">
        <w:t>for</w:t>
      </w:r>
      <w:r w:rsidR="004225F4" w:rsidRPr="004225F4">
        <w:t xml:space="preserve"> </w:t>
      </w:r>
      <w:r w:rsidR="004225F4">
        <w:t xml:space="preserve">the </w:t>
      </w:r>
      <w:proofErr w:type="spellStart"/>
      <w:r w:rsidR="004225F4" w:rsidRPr="00B8665C">
        <w:t>Narrabarba</w:t>
      </w:r>
      <w:proofErr w:type="spellEnd"/>
      <w:r w:rsidR="004225F4" w:rsidRPr="00B8665C">
        <w:t xml:space="preserve"> </w:t>
      </w:r>
      <w:r w:rsidR="004225F4">
        <w:t>w</w:t>
      </w:r>
      <w:r w:rsidR="004225F4" w:rsidRPr="00B8665C">
        <w:t>attle</w:t>
      </w:r>
    </w:p>
    <w:tbl>
      <w:tblPr>
        <w:tblStyle w:val="TableGrid"/>
        <w:tblW w:w="8824" w:type="dxa"/>
        <w:tblCellMar>
          <w:top w:w="85" w:type="dxa"/>
          <w:bottom w:w="85" w:type="dxa"/>
        </w:tblCellMar>
        <w:tblLook w:val="04A0" w:firstRow="1" w:lastRow="0" w:firstColumn="1" w:lastColumn="0" w:noHBand="0" w:noVBand="1"/>
      </w:tblPr>
      <w:tblGrid>
        <w:gridCol w:w="1479"/>
        <w:gridCol w:w="1460"/>
        <w:gridCol w:w="1518"/>
        <w:gridCol w:w="1360"/>
        <w:gridCol w:w="1476"/>
        <w:gridCol w:w="1531"/>
      </w:tblGrid>
      <w:tr w:rsidR="00564B2A" w14:paraId="439123D7" w14:textId="77777777" w:rsidTr="00E56BDD">
        <w:trPr>
          <w:tblHeader/>
        </w:trPr>
        <w:tc>
          <w:tcPr>
            <w:tcW w:w="1479" w:type="dxa"/>
            <w:vMerge w:val="restart"/>
          </w:tcPr>
          <w:p w14:paraId="609D3435" w14:textId="77777777" w:rsidR="00564B2A" w:rsidRDefault="00564B2A" w:rsidP="00E56BDD">
            <w:pPr>
              <w:pStyle w:val="TableHeading"/>
              <w:spacing w:before="0" w:after="0"/>
            </w:pPr>
            <w:r>
              <w:t>Likelihood</w:t>
            </w:r>
          </w:p>
        </w:tc>
        <w:tc>
          <w:tcPr>
            <w:tcW w:w="7345" w:type="dxa"/>
            <w:gridSpan w:val="5"/>
          </w:tcPr>
          <w:p w14:paraId="09E8D071" w14:textId="77777777" w:rsidR="00564B2A" w:rsidRDefault="00564B2A" w:rsidP="00E56BDD">
            <w:pPr>
              <w:pStyle w:val="TableHeading"/>
              <w:spacing w:before="0" w:after="0"/>
            </w:pPr>
            <w:r>
              <w:t>Consequences</w:t>
            </w:r>
          </w:p>
        </w:tc>
      </w:tr>
      <w:tr w:rsidR="00564B2A" w14:paraId="1DF0968E" w14:textId="77777777" w:rsidTr="00564B2A">
        <w:trPr>
          <w:tblHeader/>
        </w:trPr>
        <w:tc>
          <w:tcPr>
            <w:tcW w:w="1479" w:type="dxa"/>
            <w:vMerge/>
          </w:tcPr>
          <w:p w14:paraId="3218D010" w14:textId="77777777" w:rsidR="00564B2A" w:rsidRDefault="00564B2A" w:rsidP="00E56BDD">
            <w:pPr>
              <w:pStyle w:val="TableHeading"/>
              <w:spacing w:before="0" w:after="0"/>
            </w:pPr>
          </w:p>
        </w:tc>
        <w:tc>
          <w:tcPr>
            <w:tcW w:w="1460" w:type="dxa"/>
          </w:tcPr>
          <w:p w14:paraId="7CF2D14C" w14:textId="77777777" w:rsidR="00564B2A" w:rsidRDefault="00564B2A" w:rsidP="00E56BDD">
            <w:pPr>
              <w:pStyle w:val="TableHeading"/>
              <w:spacing w:before="0" w:after="0"/>
            </w:pPr>
            <w:r>
              <w:t>Not significant</w:t>
            </w:r>
          </w:p>
        </w:tc>
        <w:tc>
          <w:tcPr>
            <w:tcW w:w="1518" w:type="dxa"/>
          </w:tcPr>
          <w:p w14:paraId="0A544880" w14:textId="77777777" w:rsidR="00564B2A" w:rsidRDefault="00564B2A" w:rsidP="00E56BDD">
            <w:pPr>
              <w:pStyle w:val="TableHeading"/>
              <w:spacing w:before="0" w:after="0"/>
            </w:pPr>
            <w:r>
              <w:t>Minor</w:t>
            </w:r>
          </w:p>
        </w:tc>
        <w:tc>
          <w:tcPr>
            <w:tcW w:w="1360" w:type="dxa"/>
          </w:tcPr>
          <w:p w14:paraId="5E6DFB97" w14:textId="77777777" w:rsidR="00564B2A" w:rsidRDefault="00564B2A" w:rsidP="00E56BDD">
            <w:pPr>
              <w:pStyle w:val="TableHeading"/>
              <w:spacing w:before="0" w:after="0"/>
            </w:pPr>
            <w:r>
              <w:t>Moderate</w:t>
            </w:r>
          </w:p>
        </w:tc>
        <w:tc>
          <w:tcPr>
            <w:tcW w:w="1476" w:type="dxa"/>
          </w:tcPr>
          <w:p w14:paraId="3C59A653" w14:textId="77777777" w:rsidR="00564B2A" w:rsidRDefault="00564B2A" w:rsidP="00E56BDD">
            <w:pPr>
              <w:pStyle w:val="TableHeading"/>
              <w:spacing w:before="0" w:after="0"/>
            </w:pPr>
            <w:r>
              <w:t>Major</w:t>
            </w:r>
          </w:p>
        </w:tc>
        <w:tc>
          <w:tcPr>
            <w:tcW w:w="1531" w:type="dxa"/>
          </w:tcPr>
          <w:p w14:paraId="564E8928" w14:textId="77777777" w:rsidR="00564B2A" w:rsidRDefault="00564B2A" w:rsidP="00E56BDD">
            <w:pPr>
              <w:pStyle w:val="TableHeading"/>
              <w:spacing w:before="0" w:after="0"/>
            </w:pPr>
            <w:r>
              <w:t>Catastrophic</w:t>
            </w:r>
          </w:p>
        </w:tc>
      </w:tr>
      <w:tr w:rsidR="00564B2A" w14:paraId="472AEF32" w14:textId="77777777" w:rsidTr="00564B2A">
        <w:trPr>
          <w:tblHeader/>
        </w:trPr>
        <w:tc>
          <w:tcPr>
            <w:tcW w:w="1479" w:type="dxa"/>
          </w:tcPr>
          <w:p w14:paraId="31CC82F4" w14:textId="77777777" w:rsidR="00564B2A" w:rsidRPr="00774EAA" w:rsidRDefault="00564B2A" w:rsidP="00564B2A">
            <w:pPr>
              <w:pStyle w:val="TableText"/>
              <w:keepNext/>
              <w:spacing w:before="0" w:after="0"/>
              <w:rPr>
                <w:rStyle w:val="Strong"/>
                <w:sz w:val="22"/>
              </w:rPr>
            </w:pPr>
            <w:r w:rsidRPr="00774EAA">
              <w:rPr>
                <w:rStyle w:val="Strong"/>
              </w:rPr>
              <w:t>Almost certain</w:t>
            </w:r>
          </w:p>
        </w:tc>
        <w:tc>
          <w:tcPr>
            <w:tcW w:w="1460" w:type="dxa"/>
            <w:shd w:val="clear" w:color="auto" w:fill="C2D69B" w:themeFill="accent3" w:themeFillTint="99"/>
          </w:tcPr>
          <w:p w14:paraId="0DC89B6B" w14:textId="77777777" w:rsidR="00564B2A" w:rsidRDefault="00564B2A" w:rsidP="00564B2A">
            <w:pPr>
              <w:pStyle w:val="TableText"/>
              <w:keepNext/>
              <w:spacing w:before="0" w:after="0"/>
            </w:pPr>
          </w:p>
        </w:tc>
        <w:tc>
          <w:tcPr>
            <w:tcW w:w="1518" w:type="dxa"/>
            <w:shd w:val="clear" w:color="auto" w:fill="8DB3E2" w:themeFill="text2" w:themeFillTint="66"/>
          </w:tcPr>
          <w:p w14:paraId="63FF0401" w14:textId="77777777" w:rsidR="00564B2A" w:rsidRDefault="00564B2A" w:rsidP="00564B2A">
            <w:pPr>
              <w:pStyle w:val="TableText"/>
              <w:keepNext/>
              <w:spacing w:before="0" w:after="0"/>
            </w:pPr>
          </w:p>
        </w:tc>
        <w:tc>
          <w:tcPr>
            <w:tcW w:w="1360" w:type="dxa"/>
            <w:shd w:val="clear" w:color="auto" w:fill="D99594" w:themeFill="accent2" w:themeFillTint="99"/>
          </w:tcPr>
          <w:p w14:paraId="494973AD" w14:textId="6033FD65" w:rsidR="00564B2A" w:rsidRDefault="00564B2A" w:rsidP="00564B2A">
            <w:pPr>
              <w:pStyle w:val="TableText"/>
              <w:keepNext/>
              <w:spacing w:before="0" w:after="0"/>
            </w:pPr>
            <w:r w:rsidRPr="00EB1097">
              <w:rPr>
                <w:b/>
                <w:bCs/>
              </w:rPr>
              <w:t>Competition from native shrubs</w:t>
            </w:r>
          </w:p>
        </w:tc>
        <w:tc>
          <w:tcPr>
            <w:tcW w:w="1476" w:type="dxa"/>
            <w:shd w:val="clear" w:color="auto" w:fill="D99594" w:themeFill="accent2" w:themeFillTint="99"/>
          </w:tcPr>
          <w:p w14:paraId="4D1CD83C" w14:textId="77777777" w:rsidR="00564B2A" w:rsidRPr="00EB1097" w:rsidRDefault="00564B2A" w:rsidP="00564B2A">
            <w:pPr>
              <w:pStyle w:val="TableText"/>
              <w:rPr>
                <w:rFonts w:cs="Arial"/>
                <w:b/>
                <w:bCs/>
                <w:szCs w:val="18"/>
              </w:rPr>
            </w:pPr>
            <w:r w:rsidRPr="00EB1097">
              <w:rPr>
                <w:rFonts w:cs="Arial"/>
                <w:b/>
                <w:bCs/>
                <w:szCs w:val="18"/>
              </w:rPr>
              <w:t xml:space="preserve">Increased temperature and decreased </w:t>
            </w:r>
            <w:proofErr w:type="gramStart"/>
            <w:r w:rsidRPr="00EB1097">
              <w:rPr>
                <w:rFonts w:cs="Arial"/>
                <w:b/>
                <w:bCs/>
                <w:szCs w:val="18"/>
              </w:rPr>
              <w:t>rainfall;</w:t>
            </w:r>
            <w:proofErr w:type="gramEnd"/>
          </w:p>
          <w:p w14:paraId="21E7A178" w14:textId="66A06596" w:rsidR="00564B2A" w:rsidRDefault="00564B2A" w:rsidP="00564B2A">
            <w:pPr>
              <w:pStyle w:val="TableText"/>
              <w:keepNext/>
              <w:spacing w:before="0" w:after="0"/>
            </w:pPr>
            <w:r w:rsidRPr="00EB1097">
              <w:rPr>
                <w:b/>
                <w:bCs/>
              </w:rPr>
              <w:t>Inappropriate fire regimes</w:t>
            </w:r>
          </w:p>
        </w:tc>
        <w:tc>
          <w:tcPr>
            <w:tcW w:w="1531" w:type="dxa"/>
            <w:shd w:val="clear" w:color="auto" w:fill="D99594" w:themeFill="accent2" w:themeFillTint="99"/>
          </w:tcPr>
          <w:p w14:paraId="4E2A4877" w14:textId="77777777" w:rsidR="00564B2A" w:rsidRDefault="00564B2A" w:rsidP="00564B2A">
            <w:pPr>
              <w:pStyle w:val="TableText"/>
              <w:keepNext/>
              <w:spacing w:before="0" w:after="0"/>
            </w:pPr>
          </w:p>
        </w:tc>
      </w:tr>
      <w:tr w:rsidR="00564B2A" w14:paraId="2BD04B04" w14:textId="77777777" w:rsidTr="00564B2A">
        <w:trPr>
          <w:tblHeader/>
        </w:trPr>
        <w:tc>
          <w:tcPr>
            <w:tcW w:w="1479" w:type="dxa"/>
          </w:tcPr>
          <w:p w14:paraId="55273591" w14:textId="77777777" w:rsidR="00564B2A" w:rsidRPr="00774EAA" w:rsidRDefault="00564B2A" w:rsidP="00E56BDD">
            <w:pPr>
              <w:pStyle w:val="TableText"/>
              <w:keepNext/>
              <w:spacing w:before="0" w:after="0"/>
              <w:rPr>
                <w:rStyle w:val="Strong"/>
                <w:sz w:val="22"/>
              </w:rPr>
            </w:pPr>
            <w:r w:rsidRPr="00774EAA">
              <w:rPr>
                <w:rStyle w:val="Strong"/>
              </w:rPr>
              <w:t>Likely</w:t>
            </w:r>
          </w:p>
        </w:tc>
        <w:tc>
          <w:tcPr>
            <w:tcW w:w="1460" w:type="dxa"/>
            <w:shd w:val="clear" w:color="auto" w:fill="C2D69B" w:themeFill="accent3" w:themeFillTint="99"/>
          </w:tcPr>
          <w:p w14:paraId="5C3EE4CC" w14:textId="77777777" w:rsidR="00564B2A" w:rsidRDefault="00564B2A" w:rsidP="00E56BDD">
            <w:pPr>
              <w:pStyle w:val="TableText"/>
              <w:keepNext/>
              <w:spacing w:before="0" w:after="0"/>
            </w:pPr>
          </w:p>
        </w:tc>
        <w:tc>
          <w:tcPr>
            <w:tcW w:w="1518" w:type="dxa"/>
            <w:shd w:val="clear" w:color="auto" w:fill="8DB3E2" w:themeFill="text2" w:themeFillTint="66"/>
          </w:tcPr>
          <w:p w14:paraId="73DC603D" w14:textId="77777777" w:rsidR="00564B2A" w:rsidRDefault="00564B2A" w:rsidP="00E56BDD">
            <w:pPr>
              <w:pStyle w:val="TableText"/>
              <w:keepNext/>
              <w:spacing w:before="0" w:after="0"/>
            </w:pPr>
          </w:p>
        </w:tc>
        <w:tc>
          <w:tcPr>
            <w:tcW w:w="1360" w:type="dxa"/>
            <w:shd w:val="clear" w:color="auto" w:fill="FFC000"/>
          </w:tcPr>
          <w:p w14:paraId="68650735" w14:textId="77777777" w:rsidR="00564B2A" w:rsidRDefault="00564B2A" w:rsidP="00E56BDD">
            <w:pPr>
              <w:pStyle w:val="TableText"/>
              <w:keepNext/>
              <w:spacing w:before="0" w:after="0"/>
            </w:pPr>
          </w:p>
        </w:tc>
        <w:tc>
          <w:tcPr>
            <w:tcW w:w="1476" w:type="dxa"/>
            <w:shd w:val="clear" w:color="auto" w:fill="D99594" w:themeFill="accent2" w:themeFillTint="99"/>
          </w:tcPr>
          <w:p w14:paraId="06D2709F" w14:textId="77777777" w:rsidR="00564B2A" w:rsidRDefault="00564B2A" w:rsidP="00E56BDD">
            <w:pPr>
              <w:pStyle w:val="TableText"/>
              <w:keepNext/>
              <w:spacing w:before="0" w:after="0"/>
            </w:pPr>
          </w:p>
        </w:tc>
        <w:tc>
          <w:tcPr>
            <w:tcW w:w="1531" w:type="dxa"/>
            <w:shd w:val="clear" w:color="auto" w:fill="D99594" w:themeFill="accent2" w:themeFillTint="99"/>
          </w:tcPr>
          <w:p w14:paraId="52373A9C" w14:textId="77777777" w:rsidR="00564B2A" w:rsidRDefault="00564B2A" w:rsidP="00E56BDD">
            <w:pPr>
              <w:pStyle w:val="TableText"/>
              <w:keepNext/>
              <w:spacing w:before="0" w:after="0"/>
            </w:pPr>
          </w:p>
        </w:tc>
      </w:tr>
      <w:tr w:rsidR="00564B2A" w14:paraId="1F8A3636" w14:textId="77777777" w:rsidTr="00564B2A">
        <w:trPr>
          <w:tblHeader/>
        </w:trPr>
        <w:tc>
          <w:tcPr>
            <w:tcW w:w="1479" w:type="dxa"/>
          </w:tcPr>
          <w:p w14:paraId="70DA91D8" w14:textId="77777777" w:rsidR="00564B2A" w:rsidRPr="00774EAA" w:rsidRDefault="00564B2A" w:rsidP="00E56BDD">
            <w:pPr>
              <w:pStyle w:val="TableText"/>
              <w:keepNext/>
              <w:spacing w:before="0" w:after="0"/>
              <w:rPr>
                <w:rStyle w:val="Strong"/>
                <w:sz w:val="22"/>
              </w:rPr>
            </w:pPr>
            <w:r w:rsidRPr="00774EAA">
              <w:rPr>
                <w:rStyle w:val="Strong"/>
              </w:rPr>
              <w:t>Possible</w:t>
            </w:r>
          </w:p>
        </w:tc>
        <w:tc>
          <w:tcPr>
            <w:tcW w:w="1460" w:type="dxa"/>
            <w:shd w:val="clear" w:color="auto" w:fill="C2D69B" w:themeFill="accent3" w:themeFillTint="99"/>
          </w:tcPr>
          <w:p w14:paraId="0C1A10EB" w14:textId="77777777" w:rsidR="00564B2A" w:rsidRDefault="00564B2A" w:rsidP="00E56BDD">
            <w:pPr>
              <w:pStyle w:val="TableText"/>
              <w:keepNext/>
              <w:spacing w:before="0" w:after="0"/>
            </w:pPr>
          </w:p>
        </w:tc>
        <w:tc>
          <w:tcPr>
            <w:tcW w:w="1518" w:type="dxa"/>
            <w:shd w:val="clear" w:color="auto" w:fill="8DB3E2" w:themeFill="text2" w:themeFillTint="66"/>
          </w:tcPr>
          <w:p w14:paraId="5F07CE2D" w14:textId="0D6F8AB1" w:rsidR="00564B2A" w:rsidRPr="00663987" w:rsidRDefault="00564B2A" w:rsidP="00E56BDD">
            <w:pPr>
              <w:pStyle w:val="TableText"/>
              <w:keepNext/>
              <w:spacing w:before="0" w:after="0"/>
              <w:rPr>
                <w:b/>
                <w:bCs/>
              </w:rPr>
            </w:pPr>
          </w:p>
        </w:tc>
        <w:tc>
          <w:tcPr>
            <w:tcW w:w="1360" w:type="dxa"/>
            <w:shd w:val="clear" w:color="auto" w:fill="FFC000"/>
          </w:tcPr>
          <w:p w14:paraId="497D8723" w14:textId="77777777" w:rsidR="00564B2A" w:rsidRDefault="00564B2A" w:rsidP="00E56BDD">
            <w:pPr>
              <w:pStyle w:val="TableText"/>
              <w:keepNext/>
              <w:spacing w:before="0" w:after="0"/>
            </w:pPr>
          </w:p>
        </w:tc>
        <w:tc>
          <w:tcPr>
            <w:tcW w:w="1476" w:type="dxa"/>
            <w:shd w:val="clear" w:color="auto" w:fill="D99594" w:themeFill="accent2" w:themeFillTint="99"/>
          </w:tcPr>
          <w:p w14:paraId="6FB62E0B" w14:textId="0B13B0BA" w:rsidR="00564B2A" w:rsidRDefault="00564B2A" w:rsidP="00E56BDD">
            <w:pPr>
              <w:pStyle w:val="TableText"/>
              <w:keepNext/>
              <w:spacing w:before="0" w:after="0"/>
            </w:pPr>
            <w:r w:rsidRPr="00EB1097">
              <w:rPr>
                <w:b/>
                <w:bCs/>
              </w:rPr>
              <w:t xml:space="preserve">Dieback caused by </w:t>
            </w:r>
            <w:r w:rsidRPr="00EB1097">
              <w:rPr>
                <w:b/>
                <w:bCs/>
                <w:i/>
              </w:rPr>
              <w:t xml:space="preserve">P. </w:t>
            </w:r>
            <w:proofErr w:type="spellStart"/>
            <w:r w:rsidRPr="00EB1097">
              <w:rPr>
                <w:b/>
                <w:bCs/>
                <w:i/>
              </w:rPr>
              <w:t>cinnamomi</w:t>
            </w:r>
            <w:proofErr w:type="spellEnd"/>
          </w:p>
        </w:tc>
        <w:tc>
          <w:tcPr>
            <w:tcW w:w="1531" w:type="dxa"/>
            <w:shd w:val="clear" w:color="auto" w:fill="D99594" w:themeFill="accent2" w:themeFillTint="99"/>
          </w:tcPr>
          <w:p w14:paraId="3B113E27" w14:textId="77777777" w:rsidR="00564B2A" w:rsidRDefault="00564B2A" w:rsidP="00E56BDD">
            <w:pPr>
              <w:pStyle w:val="TableText"/>
              <w:keepNext/>
              <w:spacing w:before="0" w:after="0"/>
            </w:pPr>
          </w:p>
        </w:tc>
      </w:tr>
      <w:tr w:rsidR="00564B2A" w14:paraId="61172D6A" w14:textId="77777777" w:rsidTr="00564B2A">
        <w:trPr>
          <w:tblHeader/>
        </w:trPr>
        <w:tc>
          <w:tcPr>
            <w:tcW w:w="1479" w:type="dxa"/>
          </w:tcPr>
          <w:p w14:paraId="144E7981" w14:textId="77777777" w:rsidR="00564B2A" w:rsidRPr="00774EAA" w:rsidRDefault="00564B2A" w:rsidP="00E56BDD">
            <w:pPr>
              <w:pStyle w:val="TableText"/>
              <w:keepNext/>
              <w:spacing w:before="0" w:after="0"/>
              <w:rPr>
                <w:rStyle w:val="Strong"/>
                <w:sz w:val="22"/>
              </w:rPr>
            </w:pPr>
            <w:r w:rsidRPr="00774EAA">
              <w:rPr>
                <w:rStyle w:val="Strong"/>
              </w:rPr>
              <w:t>Unlikely</w:t>
            </w:r>
          </w:p>
        </w:tc>
        <w:tc>
          <w:tcPr>
            <w:tcW w:w="1460" w:type="dxa"/>
            <w:shd w:val="clear" w:color="auto" w:fill="C2D69B" w:themeFill="accent3" w:themeFillTint="99"/>
          </w:tcPr>
          <w:p w14:paraId="21981312" w14:textId="77777777" w:rsidR="00564B2A" w:rsidRDefault="00564B2A" w:rsidP="00E56BDD">
            <w:pPr>
              <w:pStyle w:val="TableText"/>
              <w:keepNext/>
              <w:spacing w:before="0" w:after="0"/>
            </w:pPr>
          </w:p>
        </w:tc>
        <w:tc>
          <w:tcPr>
            <w:tcW w:w="1518" w:type="dxa"/>
            <w:shd w:val="clear" w:color="auto" w:fill="C2D69B" w:themeFill="accent3" w:themeFillTint="99"/>
          </w:tcPr>
          <w:p w14:paraId="62205EC5" w14:textId="77777777" w:rsidR="00564B2A" w:rsidRDefault="00564B2A" w:rsidP="00E56BDD">
            <w:pPr>
              <w:pStyle w:val="TableText"/>
              <w:keepNext/>
              <w:spacing w:before="0" w:after="0"/>
            </w:pPr>
          </w:p>
        </w:tc>
        <w:tc>
          <w:tcPr>
            <w:tcW w:w="1360" w:type="dxa"/>
            <w:shd w:val="clear" w:color="auto" w:fill="8DB3E2" w:themeFill="text2" w:themeFillTint="66"/>
          </w:tcPr>
          <w:p w14:paraId="0EE0A57A" w14:textId="77777777" w:rsidR="00564B2A" w:rsidRDefault="00564B2A" w:rsidP="00E56BDD">
            <w:pPr>
              <w:pStyle w:val="TableText"/>
              <w:keepNext/>
              <w:spacing w:before="0" w:after="0"/>
            </w:pPr>
          </w:p>
        </w:tc>
        <w:tc>
          <w:tcPr>
            <w:tcW w:w="1476" w:type="dxa"/>
            <w:shd w:val="clear" w:color="auto" w:fill="FFC000"/>
          </w:tcPr>
          <w:p w14:paraId="5B39011A" w14:textId="77777777" w:rsidR="00564B2A" w:rsidRDefault="00564B2A" w:rsidP="00E56BDD">
            <w:pPr>
              <w:pStyle w:val="TableText"/>
              <w:keepNext/>
              <w:spacing w:before="0" w:after="0"/>
            </w:pPr>
          </w:p>
        </w:tc>
        <w:tc>
          <w:tcPr>
            <w:tcW w:w="1531" w:type="dxa"/>
            <w:shd w:val="clear" w:color="auto" w:fill="D99594" w:themeFill="accent2" w:themeFillTint="99"/>
          </w:tcPr>
          <w:p w14:paraId="34EC1CBC" w14:textId="77777777" w:rsidR="00564B2A" w:rsidRDefault="00564B2A" w:rsidP="00E56BDD">
            <w:pPr>
              <w:pStyle w:val="TableText"/>
              <w:keepNext/>
              <w:spacing w:before="0" w:after="0"/>
            </w:pPr>
          </w:p>
        </w:tc>
      </w:tr>
      <w:tr w:rsidR="00564B2A" w14:paraId="3067017F" w14:textId="77777777" w:rsidTr="00564B2A">
        <w:trPr>
          <w:tblHeader/>
        </w:trPr>
        <w:tc>
          <w:tcPr>
            <w:tcW w:w="1479" w:type="dxa"/>
          </w:tcPr>
          <w:p w14:paraId="51362289" w14:textId="77777777" w:rsidR="00564B2A" w:rsidRPr="00774EAA" w:rsidRDefault="00564B2A" w:rsidP="00E56BDD">
            <w:pPr>
              <w:pStyle w:val="TableText"/>
              <w:keepNext/>
              <w:spacing w:before="0" w:after="0"/>
              <w:rPr>
                <w:rStyle w:val="Strong"/>
                <w:sz w:val="22"/>
              </w:rPr>
            </w:pPr>
            <w:r w:rsidRPr="00774EAA">
              <w:rPr>
                <w:rStyle w:val="Strong"/>
              </w:rPr>
              <w:t>Unknown</w:t>
            </w:r>
          </w:p>
        </w:tc>
        <w:tc>
          <w:tcPr>
            <w:tcW w:w="1460" w:type="dxa"/>
            <w:shd w:val="clear" w:color="auto" w:fill="C2D69B" w:themeFill="accent3" w:themeFillTint="99"/>
          </w:tcPr>
          <w:p w14:paraId="24D7B23F" w14:textId="77777777" w:rsidR="00564B2A" w:rsidRDefault="00564B2A" w:rsidP="00E56BDD">
            <w:pPr>
              <w:pStyle w:val="TableText"/>
              <w:keepNext/>
              <w:spacing w:before="0" w:after="0"/>
            </w:pPr>
          </w:p>
        </w:tc>
        <w:tc>
          <w:tcPr>
            <w:tcW w:w="1518" w:type="dxa"/>
            <w:shd w:val="clear" w:color="auto" w:fill="C2D69B" w:themeFill="accent3" w:themeFillTint="99"/>
          </w:tcPr>
          <w:p w14:paraId="01DDD183" w14:textId="77777777" w:rsidR="00564B2A" w:rsidRDefault="00564B2A" w:rsidP="00E56BDD">
            <w:pPr>
              <w:pStyle w:val="TableText"/>
              <w:keepNext/>
              <w:spacing w:before="0" w:after="0"/>
            </w:pPr>
          </w:p>
        </w:tc>
        <w:tc>
          <w:tcPr>
            <w:tcW w:w="1360" w:type="dxa"/>
            <w:shd w:val="clear" w:color="auto" w:fill="8DB3E2" w:themeFill="text2" w:themeFillTint="66"/>
          </w:tcPr>
          <w:p w14:paraId="35BB5207" w14:textId="77777777" w:rsidR="00564B2A" w:rsidRDefault="00564B2A" w:rsidP="00E56BDD">
            <w:pPr>
              <w:pStyle w:val="TableText"/>
              <w:keepNext/>
              <w:spacing w:before="0" w:after="0"/>
            </w:pPr>
          </w:p>
        </w:tc>
        <w:tc>
          <w:tcPr>
            <w:tcW w:w="1476" w:type="dxa"/>
            <w:shd w:val="clear" w:color="auto" w:fill="FFC000"/>
          </w:tcPr>
          <w:p w14:paraId="6E469C4D" w14:textId="77777777" w:rsidR="00564B2A" w:rsidRDefault="00564B2A" w:rsidP="00E56BDD">
            <w:pPr>
              <w:pStyle w:val="TableText"/>
              <w:keepNext/>
              <w:spacing w:before="0" w:after="0"/>
            </w:pPr>
          </w:p>
        </w:tc>
        <w:tc>
          <w:tcPr>
            <w:tcW w:w="1531" w:type="dxa"/>
            <w:shd w:val="clear" w:color="auto" w:fill="D99594" w:themeFill="accent2" w:themeFillTint="99"/>
          </w:tcPr>
          <w:p w14:paraId="25E72AF0" w14:textId="77777777" w:rsidR="00564B2A" w:rsidRDefault="00564B2A" w:rsidP="00E56BDD">
            <w:pPr>
              <w:pStyle w:val="TableText"/>
              <w:keepNext/>
              <w:spacing w:before="0" w:after="0"/>
            </w:pPr>
          </w:p>
        </w:tc>
      </w:tr>
    </w:tbl>
    <w:p w14:paraId="7AB12379" w14:textId="77777777" w:rsidR="00564B2A" w:rsidRDefault="00564B2A" w:rsidP="00564B2A">
      <w:pPr>
        <w:pStyle w:val="FootnoteText"/>
        <w:keepNext/>
      </w:pPr>
      <w:r>
        <w:t xml:space="preserve">Risk Matrix legend/Risk rating: </w:t>
      </w:r>
    </w:p>
    <w:tbl>
      <w:tblPr>
        <w:tblStyle w:val="TableGrid"/>
        <w:tblW w:w="0" w:type="auto"/>
        <w:tblLook w:val="04A0" w:firstRow="1" w:lastRow="0" w:firstColumn="1" w:lastColumn="0" w:noHBand="0" w:noVBand="1"/>
      </w:tblPr>
      <w:tblGrid>
        <w:gridCol w:w="1907"/>
        <w:gridCol w:w="2395"/>
        <w:gridCol w:w="2104"/>
        <w:gridCol w:w="2445"/>
      </w:tblGrid>
      <w:tr w:rsidR="00564B2A" w14:paraId="0C97A9E2" w14:textId="77777777" w:rsidTr="00E56BDD">
        <w:trPr>
          <w:trHeight w:val="198"/>
        </w:trPr>
        <w:tc>
          <w:tcPr>
            <w:tcW w:w="1907" w:type="dxa"/>
            <w:shd w:val="clear" w:color="auto" w:fill="C2D69B" w:themeFill="accent3" w:themeFillTint="99"/>
          </w:tcPr>
          <w:p w14:paraId="78AADDF4" w14:textId="77777777" w:rsidR="00564B2A" w:rsidRDefault="00564B2A" w:rsidP="00E56BDD">
            <w:pPr>
              <w:pStyle w:val="TableText"/>
              <w:keepNext/>
              <w:jc w:val="center"/>
            </w:pPr>
            <w:r>
              <w:t>Low Risk</w:t>
            </w:r>
          </w:p>
        </w:tc>
        <w:tc>
          <w:tcPr>
            <w:tcW w:w="2395" w:type="dxa"/>
            <w:shd w:val="clear" w:color="auto" w:fill="8DB3E2" w:themeFill="text2" w:themeFillTint="66"/>
          </w:tcPr>
          <w:p w14:paraId="4E11C35D" w14:textId="77777777" w:rsidR="00564B2A" w:rsidRDefault="00564B2A" w:rsidP="00E56BDD">
            <w:pPr>
              <w:pStyle w:val="FootnoteText"/>
              <w:keepNext/>
              <w:jc w:val="center"/>
            </w:pPr>
            <w:r>
              <w:t>Moderate Risk</w:t>
            </w:r>
          </w:p>
        </w:tc>
        <w:tc>
          <w:tcPr>
            <w:tcW w:w="2104" w:type="dxa"/>
            <w:shd w:val="clear" w:color="auto" w:fill="FFC000"/>
          </w:tcPr>
          <w:p w14:paraId="1A80AC04" w14:textId="77777777" w:rsidR="00564B2A" w:rsidRDefault="00564B2A" w:rsidP="00E56BDD">
            <w:pPr>
              <w:pStyle w:val="FootnoteText"/>
              <w:keepNext/>
              <w:jc w:val="center"/>
            </w:pPr>
            <w:r>
              <w:t>High Risk</w:t>
            </w:r>
          </w:p>
        </w:tc>
        <w:tc>
          <w:tcPr>
            <w:tcW w:w="2445" w:type="dxa"/>
            <w:shd w:val="clear" w:color="auto" w:fill="D99594" w:themeFill="accent2" w:themeFillTint="99"/>
          </w:tcPr>
          <w:p w14:paraId="5553D823" w14:textId="77777777" w:rsidR="00564B2A" w:rsidRDefault="00564B2A" w:rsidP="00E56BDD">
            <w:pPr>
              <w:pStyle w:val="FootnoteText"/>
              <w:keepNext/>
              <w:jc w:val="center"/>
            </w:pPr>
            <w:r>
              <w:t>Very High Risk</w:t>
            </w:r>
          </w:p>
        </w:tc>
      </w:tr>
    </w:tbl>
    <w:p w14:paraId="3C487C11" w14:textId="77777777" w:rsidR="00801E11" w:rsidRDefault="00801E11" w:rsidP="002B6A3F">
      <w:pPr>
        <w:pStyle w:val="Heading2"/>
        <w:ind w:left="720" w:hanging="720"/>
        <w:rPr>
          <w:rFonts w:ascii="Cambria" w:eastAsiaTheme="minorHAnsi" w:hAnsi="Cambria"/>
          <w:bCs w:val="0"/>
          <w:color w:val="auto"/>
          <w:sz w:val="22"/>
          <w:szCs w:val="22"/>
          <w:lang w:eastAsia="en-US"/>
        </w:rPr>
      </w:pPr>
    </w:p>
    <w:p w14:paraId="3CC7EB51" w14:textId="77777777" w:rsidR="008528B4" w:rsidRDefault="00801E11" w:rsidP="00801E11">
      <w:pPr>
        <w:pStyle w:val="Heading2"/>
        <w:ind w:hanging="11"/>
        <w:rPr>
          <w:rFonts w:ascii="Cambria" w:eastAsiaTheme="minorHAnsi" w:hAnsi="Cambria"/>
          <w:bCs w:val="0"/>
          <w:color w:val="auto"/>
          <w:sz w:val="22"/>
          <w:szCs w:val="22"/>
          <w:lang w:eastAsia="en-US"/>
        </w:rPr>
      </w:pPr>
      <w:r w:rsidRPr="00801E11">
        <w:rPr>
          <w:rFonts w:ascii="Cambria" w:eastAsiaTheme="minorHAnsi" w:hAnsi="Cambria"/>
          <w:bCs w:val="0"/>
          <w:color w:val="auto"/>
          <w:sz w:val="22"/>
          <w:szCs w:val="22"/>
          <w:lang w:eastAsia="en-US"/>
        </w:rPr>
        <w:t>Priority actions have then been developed to manage the threats, particularly where the risk was deemed to be ‘very high’ (red shading) or ‘high’ (orange shading). For those threats with an unknown or low risk (blue and green shading respectively) research and monitoring actions have been developed to understand and evaluate the impact of the threats, where</w:t>
      </w:r>
      <w:r w:rsidR="008528B4">
        <w:rPr>
          <w:rFonts w:ascii="Cambria" w:eastAsiaTheme="minorHAnsi" w:hAnsi="Cambria"/>
          <w:bCs w:val="0"/>
          <w:color w:val="auto"/>
          <w:sz w:val="22"/>
          <w:szCs w:val="22"/>
          <w:lang w:eastAsia="en-US"/>
        </w:rPr>
        <w:t xml:space="preserve"> </w:t>
      </w:r>
      <w:r w:rsidRPr="00801E11">
        <w:rPr>
          <w:rFonts w:ascii="Cambria" w:eastAsiaTheme="minorHAnsi" w:hAnsi="Cambria"/>
          <w:bCs w:val="0"/>
          <w:color w:val="auto"/>
          <w:sz w:val="22"/>
          <w:szCs w:val="22"/>
          <w:lang w:eastAsia="en-US"/>
        </w:rPr>
        <w:t>appropriate.</w:t>
      </w:r>
    </w:p>
    <w:p w14:paraId="785C2814" w14:textId="506E9145" w:rsidR="002B6A3F" w:rsidRDefault="002B6A3F" w:rsidP="00801E11">
      <w:pPr>
        <w:pStyle w:val="Heading2"/>
        <w:ind w:hanging="11"/>
      </w:pPr>
      <w:r>
        <w:t xml:space="preserve">Conservation and recovery </w:t>
      </w:r>
      <w:r w:rsidRPr="002B6A3F">
        <w:t>actions</w:t>
      </w:r>
    </w:p>
    <w:p w14:paraId="027A903D" w14:textId="77777777" w:rsidR="002B6A3F" w:rsidRDefault="002B6A3F" w:rsidP="002B6A3F">
      <w:pPr>
        <w:pStyle w:val="Heading3"/>
        <w:ind w:left="964" w:hanging="964"/>
      </w:pPr>
      <w:r>
        <w:t xml:space="preserve">Primary conservation </w:t>
      </w:r>
      <w:r w:rsidR="003A6771">
        <w:t>objective</w:t>
      </w:r>
    </w:p>
    <w:p w14:paraId="6A3F30E4" w14:textId="4CCAD65F" w:rsidR="005E6655" w:rsidRPr="00211A51" w:rsidRDefault="004E2AAD" w:rsidP="00211A51">
      <w:pPr>
        <w:pStyle w:val="ListBullet"/>
        <w:rPr>
          <w:rFonts w:ascii="Segoe UI" w:hAnsi="Segoe UI"/>
          <w:sz w:val="21"/>
          <w:szCs w:val="21"/>
          <w:lang w:eastAsia="en-AU"/>
        </w:rPr>
      </w:pPr>
      <w:r>
        <w:t>By 203</w:t>
      </w:r>
      <w:r w:rsidR="00323AD5">
        <w:t>1</w:t>
      </w:r>
      <w:r>
        <w:t xml:space="preserve">, the population of </w:t>
      </w:r>
      <w:proofErr w:type="spellStart"/>
      <w:r w:rsidR="00211A51" w:rsidRPr="001161B4">
        <w:t>Narrabarba</w:t>
      </w:r>
      <w:proofErr w:type="spellEnd"/>
      <w:r w:rsidR="00211A51" w:rsidRPr="001161B4">
        <w:t xml:space="preserve"> </w:t>
      </w:r>
      <w:r w:rsidR="00211A51">
        <w:t>w</w:t>
      </w:r>
      <w:r w:rsidR="00211A51" w:rsidRPr="001161B4">
        <w:t>attle</w:t>
      </w:r>
      <w:r w:rsidR="00211A51">
        <w:t xml:space="preserve"> </w:t>
      </w:r>
      <w:r>
        <w:t xml:space="preserve">will have increased in abundance </w:t>
      </w:r>
      <w:r w:rsidR="00211A51">
        <w:t>and sustained in habitats where threats are managed effectively.</w:t>
      </w:r>
    </w:p>
    <w:p w14:paraId="05050F97" w14:textId="77777777" w:rsidR="002B6A3F" w:rsidRDefault="002B6A3F" w:rsidP="008A51E7">
      <w:pPr>
        <w:pStyle w:val="Heading3"/>
        <w:ind w:left="964" w:hanging="964"/>
      </w:pPr>
      <w:r>
        <w:lastRenderedPageBreak/>
        <w:t>Conservation and management priorities</w:t>
      </w:r>
    </w:p>
    <w:p w14:paraId="315D22BA" w14:textId="77777777" w:rsidR="00B15785" w:rsidRDefault="00B15785" w:rsidP="00B15785">
      <w:pPr>
        <w:pStyle w:val="Heading4"/>
        <w:ind w:left="964" w:hanging="964"/>
      </w:pPr>
      <w:r>
        <w:t>Climate change and severe weather impacts</w:t>
      </w:r>
    </w:p>
    <w:p w14:paraId="67B053B4" w14:textId="77777777" w:rsidR="0083146D" w:rsidRDefault="0083146D" w:rsidP="0083146D">
      <w:pPr>
        <w:pStyle w:val="ListBullet"/>
      </w:pPr>
      <w:r>
        <w:t>Map the exposure of the species to climate change using distribution modelling and climate change projections, to locate existing habitat patches and identify future habitat that would be suitable for the species.</w:t>
      </w:r>
    </w:p>
    <w:p w14:paraId="353EE81D" w14:textId="04C97082" w:rsidR="00DD4E96" w:rsidRPr="0003645E" w:rsidRDefault="00DD4E96" w:rsidP="00DD4E96">
      <w:pPr>
        <w:pStyle w:val="ListBullet"/>
      </w:pPr>
      <w:r w:rsidRPr="063C85A6">
        <w:rPr>
          <w:rFonts w:eastAsia="Calibri"/>
        </w:rPr>
        <w:t>Undertake vulnerability assessments of the species</w:t>
      </w:r>
      <w:r w:rsidR="00ED35EE">
        <w:rPr>
          <w:rFonts w:eastAsia="Calibri"/>
        </w:rPr>
        <w:t>’</w:t>
      </w:r>
      <w:r w:rsidRPr="063C85A6">
        <w:rPr>
          <w:rFonts w:eastAsia="Calibri"/>
        </w:rPr>
        <w:t xml:space="preserve"> sensitivity and adaptive capacity to changing climate conditions which draw from genetic, </w:t>
      </w:r>
      <w:proofErr w:type="gramStart"/>
      <w:r w:rsidRPr="063C85A6">
        <w:rPr>
          <w:rFonts w:eastAsia="Calibri"/>
        </w:rPr>
        <w:t>physiological</w:t>
      </w:r>
      <w:proofErr w:type="gramEnd"/>
      <w:r w:rsidRPr="063C85A6">
        <w:rPr>
          <w:rFonts w:eastAsia="Calibri"/>
        </w:rPr>
        <w:t xml:space="preserve"> or ecological evidence. </w:t>
      </w:r>
    </w:p>
    <w:p w14:paraId="66BB9AE0" w14:textId="77777777" w:rsidR="00B15785" w:rsidRDefault="00B15785" w:rsidP="00B15785">
      <w:pPr>
        <w:pStyle w:val="Heading4"/>
        <w:ind w:left="964" w:hanging="964"/>
      </w:pPr>
      <w:r>
        <w:t>Fire impacts</w:t>
      </w:r>
    </w:p>
    <w:p w14:paraId="65DC424F" w14:textId="5731B09A" w:rsidR="0003645E" w:rsidRDefault="0003645E" w:rsidP="0003645E">
      <w:pPr>
        <w:pStyle w:val="ListBullet"/>
      </w:pPr>
      <w:r>
        <w:t xml:space="preserve">Implement a fire management strategy to protect </w:t>
      </w:r>
      <w:r w:rsidR="007F4503">
        <w:t>sub</w:t>
      </w:r>
      <w:r>
        <w:t>population</w:t>
      </w:r>
      <w:r w:rsidR="00944CFF">
        <w:t>s</w:t>
      </w:r>
      <w:r>
        <w:t xml:space="preserve"> from further fire within </w:t>
      </w:r>
      <w:r w:rsidR="00543459">
        <w:t xml:space="preserve">15 years </w:t>
      </w:r>
      <w:r>
        <w:t>of the 2019–</w:t>
      </w:r>
      <w:r w:rsidR="009311B3">
        <w:t>20</w:t>
      </w:r>
      <w:r>
        <w:t xml:space="preserve">20 bushfires. Exclude planned fire (and bushfire where possible) from </w:t>
      </w:r>
      <w:r w:rsidR="007F4503">
        <w:t>sub</w:t>
      </w:r>
      <w:r>
        <w:t>population</w:t>
      </w:r>
      <w:r w:rsidR="00944CFF">
        <w:t>s</w:t>
      </w:r>
      <w:r>
        <w:t xml:space="preserve"> until seedlings mature and the soil-stored seed bank is </w:t>
      </w:r>
      <w:r w:rsidR="349FBB2B">
        <w:t>replenished</w:t>
      </w:r>
      <w:r w:rsidR="00D75C47">
        <w:t>.</w:t>
      </w:r>
      <w:r w:rsidR="053BC9EB">
        <w:t xml:space="preserve"> </w:t>
      </w:r>
    </w:p>
    <w:p w14:paraId="4DE8B806" w14:textId="5A258D85" w:rsidR="0003645E" w:rsidRDefault="0003645E" w:rsidP="0003645E">
      <w:pPr>
        <w:pStyle w:val="ListBullet"/>
      </w:pPr>
      <w:r>
        <w:t xml:space="preserve">If planned fire impacts </w:t>
      </w:r>
      <w:r w:rsidR="007F4503">
        <w:t>sub</w:t>
      </w:r>
      <w:r>
        <w:t>population</w:t>
      </w:r>
      <w:r w:rsidR="00944CFF">
        <w:t>s</w:t>
      </w:r>
      <w:r>
        <w:t>, managers must ensure that subsequent unplanned fires do not occur within the critical regeneration period</w:t>
      </w:r>
      <w:r w:rsidR="00ED35EE">
        <w:t>,</w:t>
      </w:r>
      <w:r>
        <w:t xml:space="preserve"> to allow the species to </w:t>
      </w:r>
      <w:r w:rsidR="5CD5E718">
        <w:t xml:space="preserve">replenish </w:t>
      </w:r>
      <w:r w:rsidR="00D75C47">
        <w:t xml:space="preserve">its </w:t>
      </w:r>
      <w:r>
        <w:t>soil seed</w:t>
      </w:r>
      <w:r w:rsidR="00ED35EE">
        <w:t xml:space="preserve"> </w:t>
      </w:r>
      <w:r>
        <w:t xml:space="preserve">bank to sustain </w:t>
      </w:r>
      <w:r w:rsidR="007F4503">
        <w:t>sub</w:t>
      </w:r>
      <w:r>
        <w:t>population</w:t>
      </w:r>
      <w:r w:rsidR="00944CFF">
        <w:t>s</w:t>
      </w:r>
      <w:r>
        <w:t xml:space="preserve"> through the next fire event.</w:t>
      </w:r>
    </w:p>
    <w:p w14:paraId="73E8AA86" w14:textId="2E8037A2" w:rsidR="0003645E" w:rsidRDefault="0003645E" w:rsidP="0003645E">
      <w:pPr>
        <w:pStyle w:val="ListBullet"/>
      </w:pPr>
      <w:r>
        <w:t>Ensure that the location</w:t>
      </w:r>
      <w:r w:rsidR="00881984">
        <w:t xml:space="preserve"> of </w:t>
      </w:r>
      <w:r w:rsidR="007F4503">
        <w:t>sub</w:t>
      </w:r>
      <w:r>
        <w:t>population</w:t>
      </w:r>
      <w:r w:rsidR="00944CFF">
        <w:t>s</w:t>
      </w:r>
      <w:r>
        <w:t xml:space="preserve"> </w:t>
      </w:r>
      <w:proofErr w:type="gramStart"/>
      <w:r w:rsidR="00944CFF">
        <w:t>are</w:t>
      </w:r>
      <w:proofErr w:type="gramEnd"/>
      <w:r>
        <w:t xml:space="preserve"> recorded </w:t>
      </w:r>
      <w:r w:rsidR="00ED35EE">
        <w:t>i</w:t>
      </w:r>
      <w:r>
        <w:t>n relevant state databases, including those used by land manage</w:t>
      </w:r>
      <w:r w:rsidR="00B109B1">
        <w:t>rs</w:t>
      </w:r>
      <w:r>
        <w:t xml:space="preserve"> and fire response agencies.</w:t>
      </w:r>
    </w:p>
    <w:p w14:paraId="3FE2C98C" w14:textId="4B3758CC" w:rsidR="0003645E" w:rsidRDefault="0003645E" w:rsidP="0003645E">
      <w:pPr>
        <w:pStyle w:val="ListBullet"/>
      </w:pPr>
      <w:r>
        <w:t>If required, undertake supplementary watering of post-fire seedlings to protect against drought-induced mortality.</w:t>
      </w:r>
    </w:p>
    <w:p w14:paraId="318CDF17" w14:textId="11759858" w:rsidR="00ED70C3" w:rsidRDefault="003874AC" w:rsidP="00ED70C3">
      <w:pPr>
        <w:pStyle w:val="Heading4"/>
        <w:ind w:left="964" w:hanging="964"/>
      </w:pPr>
      <w:r>
        <w:t>N</w:t>
      </w:r>
      <w:r w:rsidR="00ED70C3">
        <w:t>ative species</w:t>
      </w:r>
      <w:r>
        <w:t xml:space="preserve"> impacts</w:t>
      </w:r>
    </w:p>
    <w:p w14:paraId="04573473" w14:textId="3B9DA15A" w:rsidR="00ED70C3" w:rsidRDefault="000C4AE7" w:rsidP="00ED70C3">
      <w:pPr>
        <w:pStyle w:val="ListBullet"/>
        <w:numPr>
          <w:ilvl w:val="0"/>
          <w:numId w:val="11"/>
        </w:numPr>
      </w:pPr>
      <w:r>
        <w:t>C</w:t>
      </w:r>
      <w:r w:rsidR="00ED48F4">
        <w:t xml:space="preserve">onsider </w:t>
      </w:r>
      <w:r w:rsidR="00ED70C3">
        <w:t xml:space="preserve">biomass </w:t>
      </w:r>
      <w:r w:rsidR="00ED48F4">
        <w:t xml:space="preserve">reduction </w:t>
      </w:r>
      <w:r w:rsidR="00ED70C3">
        <w:t>of competing native vegetation</w:t>
      </w:r>
      <w:r>
        <w:t xml:space="preserve"> where evidence demonstrates</w:t>
      </w:r>
      <w:r w:rsidR="00AA766D">
        <w:t xml:space="preserve"> this </w:t>
      </w:r>
      <w:r w:rsidR="003905A7">
        <w:t>has a positive benefit</w:t>
      </w:r>
      <w:r w:rsidR="00AA766D">
        <w:t xml:space="preserve"> to the species</w:t>
      </w:r>
      <w:r w:rsidR="003905A7">
        <w:t xml:space="preserve"> and does not adversely affect </w:t>
      </w:r>
      <w:r w:rsidR="008566F9">
        <w:t xml:space="preserve">the </w:t>
      </w:r>
      <w:proofErr w:type="gramStart"/>
      <w:r w:rsidR="008566F9">
        <w:t>long term</w:t>
      </w:r>
      <w:proofErr w:type="gramEnd"/>
      <w:r w:rsidR="008566F9">
        <w:t xml:space="preserve"> survival of </w:t>
      </w:r>
      <w:r w:rsidR="003905A7">
        <w:t>other native species</w:t>
      </w:r>
      <w:r w:rsidR="00AA766D">
        <w:t xml:space="preserve">. </w:t>
      </w:r>
    </w:p>
    <w:p w14:paraId="64BC3ACB" w14:textId="77777777" w:rsidR="00B15785" w:rsidRDefault="00B15785" w:rsidP="00B15785">
      <w:pPr>
        <w:pStyle w:val="Heading4"/>
        <w:ind w:left="964" w:hanging="964"/>
      </w:pPr>
      <w:r>
        <w:t>Disease impacts</w:t>
      </w:r>
    </w:p>
    <w:p w14:paraId="5F18495F" w14:textId="75053230" w:rsidR="00ED70C3" w:rsidRDefault="00ED70C3" w:rsidP="00ED70C3">
      <w:pPr>
        <w:pStyle w:val="ListBullet"/>
      </w:pPr>
      <w:r>
        <w:t xml:space="preserve">Ensure appropriate </w:t>
      </w:r>
      <w:proofErr w:type="spellStart"/>
      <w:r w:rsidR="3D229CC3">
        <w:t>phyto</w:t>
      </w:r>
      <w:r>
        <w:t>hygiene</w:t>
      </w:r>
      <w:proofErr w:type="spellEnd"/>
      <w:r>
        <w:t xml:space="preserve"> protocols are adhered to when entering or exiting sites for survey, monitoring and management activities.</w:t>
      </w:r>
    </w:p>
    <w:p w14:paraId="41C3992E" w14:textId="5CDD610C" w:rsidR="00ED70C3" w:rsidRDefault="00ED70C3" w:rsidP="00ED70C3">
      <w:pPr>
        <w:pStyle w:val="ListBullet"/>
      </w:pPr>
      <w:r>
        <w:t xml:space="preserve">If found to be susceptible to </w:t>
      </w:r>
      <w:r>
        <w:rPr>
          <w:i/>
          <w:iCs/>
        </w:rPr>
        <w:t>P</w:t>
      </w:r>
      <w:r w:rsidR="00485392">
        <w:rPr>
          <w:i/>
          <w:iCs/>
        </w:rPr>
        <w:t>.</w:t>
      </w:r>
      <w:r>
        <w:rPr>
          <w:i/>
          <w:iCs/>
        </w:rPr>
        <w:t xml:space="preserve"> </w:t>
      </w:r>
      <w:proofErr w:type="spellStart"/>
      <w:r>
        <w:rPr>
          <w:i/>
          <w:iCs/>
        </w:rPr>
        <w:t>cinnamomi</w:t>
      </w:r>
      <w:proofErr w:type="spellEnd"/>
      <w:r>
        <w:rPr>
          <w:i/>
          <w:iCs/>
        </w:rPr>
        <w:t xml:space="preserve">, </w:t>
      </w:r>
      <w:r>
        <w:t xml:space="preserve">develop and implement a </w:t>
      </w:r>
      <w:r>
        <w:rPr>
          <w:i/>
          <w:iCs/>
        </w:rPr>
        <w:t xml:space="preserve">P. </w:t>
      </w:r>
      <w:proofErr w:type="spellStart"/>
      <w:r>
        <w:rPr>
          <w:i/>
          <w:iCs/>
        </w:rPr>
        <w:t>cinnamomi</w:t>
      </w:r>
      <w:proofErr w:type="spellEnd"/>
      <w:r>
        <w:rPr>
          <w:i/>
          <w:iCs/>
        </w:rPr>
        <w:t xml:space="preserve"> </w:t>
      </w:r>
      <w:r>
        <w:t>management plan to ensure it is not introduced into known locations of</w:t>
      </w:r>
      <w:r w:rsidR="00E261B2">
        <w:t xml:space="preserve"> </w:t>
      </w:r>
      <w:proofErr w:type="spellStart"/>
      <w:r w:rsidR="00E261B2" w:rsidRPr="001161B4">
        <w:t>Narrabarba</w:t>
      </w:r>
      <w:proofErr w:type="spellEnd"/>
      <w:r w:rsidR="00E261B2" w:rsidRPr="001161B4">
        <w:t xml:space="preserve"> </w:t>
      </w:r>
      <w:r w:rsidR="00E261B2">
        <w:t>w</w:t>
      </w:r>
      <w:r w:rsidR="00E261B2" w:rsidRPr="001161B4">
        <w:t>attle</w:t>
      </w:r>
      <w:r>
        <w:t>.</w:t>
      </w:r>
    </w:p>
    <w:p w14:paraId="0A15C5D4" w14:textId="14E9DE2B" w:rsidR="004263D2" w:rsidRDefault="004263D2" w:rsidP="004263D2">
      <w:pPr>
        <w:pStyle w:val="Heading4"/>
        <w:spacing w:line="276" w:lineRule="auto"/>
        <w:ind w:left="964" w:hanging="964"/>
      </w:pPr>
      <w:r>
        <w:t xml:space="preserve">Ex situ </w:t>
      </w:r>
      <w:r w:rsidR="001E04E7">
        <w:t>recovery actions</w:t>
      </w:r>
    </w:p>
    <w:p w14:paraId="5A69DFA3" w14:textId="35298A36" w:rsidR="004263D2" w:rsidRPr="004263D2" w:rsidRDefault="004263D2" w:rsidP="004263D2">
      <w:pPr>
        <w:pStyle w:val="ListBullet"/>
      </w:pPr>
      <w:r w:rsidRPr="004263D2">
        <w:t xml:space="preserve">Collect and store </w:t>
      </w:r>
      <w:proofErr w:type="gramStart"/>
      <w:r w:rsidRPr="004263D2">
        <w:t>sufficient quantities of</w:t>
      </w:r>
      <w:proofErr w:type="gramEnd"/>
      <w:r w:rsidRPr="004263D2">
        <w:t xml:space="preserve"> seed in long-term storage to preserve genetic material, in accordance with the </w:t>
      </w:r>
      <w:r w:rsidR="00ED48F4">
        <w:t>p</w:t>
      </w:r>
      <w:r w:rsidRPr="004263D2">
        <w:t xml:space="preserve">lant </w:t>
      </w:r>
      <w:r w:rsidR="00ED48F4">
        <w:t>g</w:t>
      </w:r>
      <w:r w:rsidRPr="004263D2">
        <w:t xml:space="preserve">ermplasm </w:t>
      </w:r>
      <w:r w:rsidR="00ED48F4">
        <w:t>c</w:t>
      </w:r>
      <w:r w:rsidRPr="004263D2">
        <w:t xml:space="preserve">onservation </w:t>
      </w:r>
      <w:r w:rsidR="00ED48F4">
        <w:t>g</w:t>
      </w:r>
      <w:r w:rsidRPr="004263D2">
        <w:t xml:space="preserve">uidelines (Martyn </w:t>
      </w:r>
      <w:proofErr w:type="spellStart"/>
      <w:r w:rsidRPr="004263D2">
        <w:t>Yenson</w:t>
      </w:r>
      <w:proofErr w:type="spellEnd"/>
      <w:r w:rsidRPr="004263D2">
        <w:t xml:space="preserve"> et al. 2021).</w:t>
      </w:r>
    </w:p>
    <w:p w14:paraId="04B2A8A4" w14:textId="77777777" w:rsidR="004263D2" w:rsidRDefault="004263D2" w:rsidP="004263D2">
      <w:pPr>
        <w:pStyle w:val="ListBullet"/>
      </w:pPr>
      <w:r>
        <w:t xml:space="preserve">Identify additional sites suitable for the establishment of new subpopulations through translocation. </w:t>
      </w:r>
    </w:p>
    <w:p w14:paraId="36FF510B" w14:textId="7BB1ACF1" w:rsidR="00787EB2" w:rsidRPr="00114881" w:rsidRDefault="004263D2" w:rsidP="00523366">
      <w:pPr>
        <w:pStyle w:val="ListBullet"/>
        <w:rPr>
          <w:rFonts w:asciiTheme="minorHAnsi" w:eastAsiaTheme="minorEastAsia" w:hAnsiTheme="minorHAnsi"/>
        </w:rPr>
      </w:pPr>
      <w:r>
        <w:t xml:space="preserve">If appropriate, undertake ex situ propagation </w:t>
      </w:r>
      <w:bookmarkStart w:id="20" w:name="_Hlk54856776"/>
      <w:r>
        <w:t xml:space="preserve">and translocations in accordance with the </w:t>
      </w:r>
      <w:r>
        <w:rPr>
          <w:i/>
          <w:iCs/>
        </w:rPr>
        <w:t xml:space="preserve">Guidelines for the Translocation of Threatened Plants in Australia </w:t>
      </w:r>
      <w:r>
        <w:t>(Commander et al. 2018)</w:t>
      </w:r>
      <w:bookmarkEnd w:id="20"/>
      <w:r>
        <w:t xml:space="preserve">. Monitor all translocated individuals to maturity, seed set and recruitment to ensure they are viable and are contributing to a reduction in the extinction risk for the species.  </w:t>
      </w:r>
    </w:p>
    <w:p w14:paraId="7BD7AE52" w14:textId="77777777" w:rsidR="002B6A3F" w:rsidRDefault="002B6A3F" w:rsidP="009E7A91">
      <w:pPr>
        <w:pStyle w:val="Heading3"/>
        <w:ind w:left="964" w:hanging="964"/>
      </w:pPr>
      <w:r>
        <w:lastRenderedPageBreak/>
        <w:t>Stakeholder engagement/community engagement</w:t>
      </w:r>
    </w:p>
    <w:p w14:paraId="4CC4E1E3" w14:textId="6E659DB3" w:rsidR="00523366" w:rsidRDefault="007E2CC7" w:rsidP="00523366">
      <w:pPr>
        <w:pStyle w:val="ListBullet"/>
      </w:pPr>
      <w:r>
        <w:t xml:space="preserve">Liaise with land managers and Indigenous communities regarding the management of the </w:t>
      </w:r>
      <w:proofErr w:type="spellStart"/>
      <w:r>
        <w:t>N</w:t>
      </w:r>
      <w:r w:rsidRPr="001161B4">
        <w:t>arrabarba</w:t>
      </w:r>
      <w:proofErr w:type="spellEnd"/>
      <w:r w:rsidRPr="001161B4">
        <w:t xml:space="preserve"> </w:t>
      </w:r>
      <w:r>
        <w:t>w</w:t>
      </w:r>
      <w:r w:rsidRPr="001161B4">
        <w:t>attle</w:t>
      </w:r>
      <w:r>
        <w:t xml:space="preserve">. </w:t>
      </w:r>
      <w:r w:rsidR="00523366">
        <w:t xml:space="preserve">Engage and involve Traditional Owners in conservation actions, including surveying for new </w:t>
      </w:r>
      <w:r w:rsidR="0094396F">
        <w:t>sub</w:t>
      </w:r>
      <w:r w:rsidR="00523366">
        <w:t xml:space="preserve">populations and management actions. </w:t>
      </w:r>
    </w:p>
    <w:p w14:paraId="708837BD" w14:textId="4F8D593A" w:rsidR="00523366" w:rsidRDefault="00523366" w:rsidP="00523366">
      <w:pPr>
        <w:pStyle w:val="ListBullet"/>
      </w:pPr>
      <w:r>
        <w:t xml:space="preserve">Liaise with the local community and government agencies to ensure that up-to-date </w:t>
      </w:r>
      <w:r w:rsidR="005E08B1">
        <w:t>sub</w:t>
      </w:r>
      <w:r>
        <w:t>population data inform the implementation of management actions.</w:t>
      </w:r>
    </w:p>
    <w:p w14:paraId="34CF52BC" w14:textId="07AACAE8" w:rsidR="00523366" w:rsidRDefault="00523366" w:rsidP="00523366">
      <w:pPr>
        <w:pStyle w:val="ListBullet"/>
      </w:pPr>
      <w:r>
        <w:t xml:space="preserve">Promote public awareness of biodiversity conservation and protection </w:t>
      </w:r>
      <w:r w:rsidR="00ED48F4">
        <w:t xml:space="preserve">by </w:t>
      </w:r>
      <w:r>
        <w:t>dissemin</w:t>
      </w:r>
      <w:r w:rsidR="00ED48F4">
        <w:t>ating</w:t>
      </w:r>
      <w:r>
        <w:t xml:space="preserve"> information through physical and digital media.</w:t>
      </w:r>
    </w:p>
    <w:p w14:paraId="28D28183" w14:textId="77777777" w:rsidR="002B6A3F" w:rsidRDefault="002B6A3F" w:rsidP="009E7A91">
      <w:pPr>
        <w:pStyle w:val="Heading3"/>
        <w:ind w:left="964" w:hanging="964"/>
      </w:pPr>
      <w:r>
        <w:t xml:space="preserve">Survey and </w:t>
      </w:r>
      <w:r w:rsidR="009F08D5">
        <w:t>m</w:t>
      </w:r>
      <w:r>
        <w:t>onitoring priorities</w:t>
      </w:r>
    </w:p>
    <w:p w14:paraId="3F88EE6F" w14:textId="1440EF2F" w:rsidR="0001229B" w:rsidRDefault="63B01233" w:rsidP="0001229B">
      <w:pPr>
        <w:pStyle w:val="ListBullet"/>
        <w:rPr>
          <w:rFonts w:eastAsia="Cambria" w:cs="Cambria"/>
        </w:rPr>
      </w:pPr>
      <w:r>
        <w:t xml:space="preserve">Identify and map habitat critical to the survival of the </w:t>
      </w:r>
      <w:proofErr w:type="spellStart"/>
      <w:r>
        <w:t>Narrabarba</w:t>
      </w:r>
      <w:proofErr w:type="spellEnd"/>
      <w:r>
        <w:t xml:space="preserve"> wattle. </w:t>
      </w:r>
    </w:p>
    <w:p w14:paraId="3EAFD292" w14:textId="60EC90A9" w:rsidR="0001229B" w:rsidRDefault="0001229B" w:rsidP="0001229B">
      <w:pPr>
        <w:pStyle w:val="ListBullet"/>
      </w:pPr>
      <w:r>
        <w:t xml:space="preserve">Continue </w:t>
      </w:r>
      <w:r w:rsidR="005E08B1">
        <w:t>sub</w:t>
      </w:r>
      <w:r>
        <w:t xml:space="preserve">population monitoring at known sites to identify trends in health, </w:t>
      </w:r>
      <w:r w:rsidR="005E08B1">
        <w:t>sub</w:t>
      </w:r>
      <w:r>
        <w:t xml:space="preserve">population size and structure, and habitat condition. </w:t>
      </w:r>
    </w:p>
    <w:p w14:paraId="7AC22E96" w14:textId="6C208AE2" w:rsidR="00AA32A6" w:rsidRDefault="009B2ABF" w:rsidP="0001229B">
      <w:pPr>
        <w:pStyle w:val="ListBullet"/>
      </w:pPr>
      <w:r>
        <w:t>M</w:t>
      </w:r>
      <w:r w:rsidR="00AA32A6">
        <w:t>onitor the progress of recovery, including the effectiveness of management actions and the need to adapt them if necessary.</w:t>
      </w:r>
    </w:p>
    <w:p w14:paraId="06822695" w14:textId="26E11A97" w:rsidR="00AA32A6" w:rsidRDefault="00AA32A6" w:rsidP="00AA32A6">
      <w:pPr>
        <w:pStyle w:val="ListBullet"/>
      </w:pPr>
      <w:r>
        <w:t>Identify, map, and survey potential habitat across the range of the species, looking for previously undiscovered subpopulations within this habitat.</w:t>
      </w:r>
    </w:p>
    <w:p w14:paraId="768435EC" w14:textId="77777777" w:rsidR="002B6A3F" w:rsidRDefault="002B6A3F" w:rsidP="009E7A91">
      <w:pPr>
        <w:pStyle w:val="Heading3"/>
        <w:ind w:left="964" w:hanging="964"/>
      </w:pPr>
      <w:r>
        <w:t xml:space="preserve">Information and </w:t>
      </w:r>
      <w:r w:rsidR="009F08D5">
        <w:t>r</w:t>
      </w:r>
      <w:r>
        <w:t>esearch priorities</w:t>
      </w:r>
    </w:p>
    <w:p w14:paraId="03C970BA" w14:textId="56A657AB" w:rsidR="0001229B" w:rsidRDefault="00AD06AB" w:rsidP="0001229B">
      <w:pPr>
        <w:pStyle w:val="ListBullet"/>
      </w:pPr>
      <w:r>
        <w:t xml:space="preserve">Undertake research to </w:t>
      </w:r>
      <w:r w:rsidR="00ED48F4">
        <w:t xml:space="preserve">address </w:t>
      </w:r>
      <w:r>
        <w:t xml:space="preserve">information </w:t>
      </w:r>
      <w:r w:rsidR="00ED48F4">
        <w:t>gaps</w:t>
      </w:r>
      <w:r>
        <w:t xml:space="preserve"> on the species</w:t>
      </w:r>
      <w:r w:rsidR="00ED48F4">
        <w:t>’</w:t>
      </w:r>
      <w:r>
        <w:t xml:space="preserve"> biology and ecology, including</w:t>
      </w:r>
      <w:r w:rsidR="0001229B">
        <w:t>:</w:t>
      </w:r>
    </w:p>
    <w:p w14:paraId="07411DD7" w14:textId="7B93EECE" w:rsidR="0001229B" w:rsidRDefault="0001229B" w:rsidP="0001229B">
      <w:pPr>
        <w:pStyle w:val="ListBullet2"/>
      </w:pPr>
      <w:r>
        <w:t>soil seed</w:t>
      </w:r>
      <w:r w:rsidR="00ED48F4">
        <w:t xml:space="preserve"> </w:t>
      </w:r>
      <w:r>
        <w:t xml:space="preserve">bank dynamics and the role of </w:t>
      </w:r>
      <w:r w:rsidR="00547901">
        <w:t>fire</w:t>
      </w:r>
      <w:r>
        <w:t xml:space="preserve"> (</w:t>
      </w:r>
      <w:r w:rsidR="00547901">
        <w:t>and other disturbance</w:t>
      </w:r>
      <w:r>
        <w:t>)</w:t>
      </w:r>
      <w:r w:rsidR="00547901">
        <w:t xml:space="preserve"> and</w:t>
      </w:r>
      <w:r>
        <w:t xml:space="preserve"> rainfall in germination and recruitment</w:t>
      </w:r>
      <w:r w:rsidR="00ED48F4">
        <w:t>,</w:t>
      </w:r>
      <w:r>
        <w:t xml:space="preserve"> </w:t>
      </w:r>
    </w:p>
    <w:p w14:paraId="4F02DC25" w14:textId="299B6601" w:rsidR="5B19F48D" w:rsidRDefault="00F845C9" w:rsidP="4C23B032">
      <w:pPr>
        <w:pStyle w:val="ListBullet2"/>
      </w:pPr>
      <w:r>
        <w:rPr>
          <w:rFonts w:eastAsia="Calibri"/>
        </w:rPr>
        <w:t>l</w:t>
      </w:r>
      <w:r w:rsidR="5B19F48D" w:rsidRPr="4C23B032">
        <w:rPr>
          <w:rFonts w:eastAsia="Calibri"/>
        </w:rPr>
        <w:t>ongevity of ex situ seed bank collections</w:t>
      </w:r>
      <w:r w:rsidR="5537904B" w:rsidRPr="4C23B032">
        <w:rPr>
          <w:rFonts w:eastAsia="Calibri"/>
        </w:rPr>
        <w:t xml:space="preserve">: </w:t>
      </w:r>
      <w:r w:rsidR="5B19F48D" w:rsidRPr="4C23B032">
        <w:rPr>
          <w:rFonts w:eastAsia="Calibri"/>
        </w:rPr>
        <w:t xml:space="preserve">ensure monitoring and storage conditions are optimal for </w:t>
      </w:r>
      <w:r w:rsidR="639B6870" w:rsidRPr="4C23B032">
        <w:rPr>
          <w:rFonts w:eastAsia="Calibri"/>
        </w:rPr>
        <w:t>long-term conservation of the species</w:t>
      </w:r>
      <w:r>
        <w:rPr>
          <w:rFonts w:eastAsia="Calibri"/>
        </w:rPr>
        <w:t xml:space="preserve">, </w:t>
      </w:r>
    </w:p>
    <w:p w14:paraId="753D4B72" w14:textId="7AB296E3" w:rsidR="00DA62BB" w:rsidRDefault="00DA62BB" w:rsidP="00DA62BB">
      <w:pPr>
        <w:pStyle w:val="ListBullet2"/>
      </w:pPr>
      <w:r>
        <w:t>the survival rate of seedlings to maturity</w:t>
      </w:r>
    </w:p>
    <w:p w14:paraId="3A015719" w14:textId="49A4FF24" w:rsidR="0B3CAB40" w:rsidRDefault="0B3CAB40" w:rsidP="4C23B032">
      <w:pPr>
        <w:pStyle w:val="ListBullet2"/>
      </w:pPr>
      <w:r w:rsidRPr="4C23B032">
        <w:rPr>
          <w:rFonts w:eastAsia="Calibri"/>
        </w:rPr>
        <w:t>Investigate the specificity of nitrogen fixing bacteria</w:t>
      </w:r>
      <w:r w:rsidR="0BC0DD62" w:rsidRPr="4C23B032">
        <w:rPr>
          <w:rFonts w:eastAsia="Calibri"/>
        </w:rPr>
        <w:t xml:space="preserve"> for survival and growth of the seedlings</w:t>
      </w:r>
      <w:r w:rsidRPr="4C23B032">
        <w:rPr>
          <w:rFonts w:eastAsia="Calibri"/>
        </w:rPr>
        <w:t xml:space="preserve"> and that the seedlings </w:t>
      </w:r>
      <w:proofErr w:type="gramStart"/>
      <w:r w:rsidRPr="4C23B032">
        <w:rPr>
          <w:rFonts w:eastAsia="Calibri"/>
        </w:rPr>
        <w:t>are capable of securing</w:t>
      </w:r>
      <w:proofErr w:type="gramEnd"/>
      <w:r w:rsidRPr="4C23B032">
        <w:rPr>
          <w:rFonts w:eastAsia="Calibri"/>
        </w:rPr>
        <w:t xml:space="preserve"> appropriate levels and diversity of </w:t>
      </w:r>
      <w:proofErr w:type="spellStart"/>
      <w:r w:rsidRPr="4C23B032">
        <w:rPr>
          <w:rFonts w:eastAsia="Calibri"/>
        </w:rPr>
        <w:t>inocula</w:t>
      </w:r>
      <w:proofErr w:type="spellEnd"/>
      <w:r w:rsidR="00F845C9">
        <w:rPr>
          <w:rFonts w:eastAsia="Calibri"/>
        </w:rPr>
        <w:t xml:space="preserve">, </w:t>
      </w:r>
    </w:p>
    <w:p w14:paraId="4B439E74" w14:textId="230462B7" w:rsidR="00DA62BB" w:rsidRDefault="00DA62BB" w:rsidP="0001229B">
      <w:pPr>
        <w:pStyle w:val="ListBullet2"/>
      </w:pPr>
      <w:r>
        <w:t xml:space="preserve">longevity, </w:t>
      </w:r>
    </w:p>
    <w:p w14:paraId="03FD155A" w14:textId="6FEB1C89" w:rsidR="00633C61" w:rsidRDefault="0001229B" w:rsidP="00633C61">
      <w:pPr>
        <w:pStyle w:val="ListBullet2"/>
      </w:pPr>
      <w:r>
        <w:t>pollinator biology and requirements</w:t>
      </w:r>
      <w:r w:rsidR="00ED48F4">
        <w:t>, and</w:t>
      </w:r>
    </w:p>
    <w:p w14:paraId="55E4200D" w14:textId="12C7A79D" w:rsidR="00633C61" w:rsidRPr="0073329E" w:rsidRDefault="00633C61" w:rsidP="00633C61">
      <w:pPr>
        <w:pStyle w:val="ListBullet2"/>
      </w:pPr>
      <w:r w:rsidRPr="00633C61">
        <w:rPr>
          <w:lang w:eastAsia="en-AU"/>
        </w:rPr>
        <w:t>appropriate fire regime</w:t>
      </w:r>
      <w:r w:rsidR="00ED48F4">
        <w:rPr>
          <w:lang w:eastAsia="en-AU"/>
        </w:rPr>
        <w:t>s</w:t>
      </w:r>
      <w:r w:rsidRPr="00633C61">
        <w:rPr>
          <w:lang w:eastAsia="en-AU"/>
        </w:rPr>
        <w:t xml:space="preserve"> for the species </w:t>
      </w:r>
      <w:r w:rsidR="009B2ABF">
        <w:rPr>
          <w:lang w:eastAsia="en-AU"/>
        </w:rPr>
        <w:t>(</w:t>
      </w:r>
      <w:r w:rsidRPr="00633C61">
        <w:rPr>
          <w:lang w:eastAsia="en-AU"/>
        </w:rPr>
        <w:t>and amend</w:t>
      </w:r>
      <w:r w:rsidR="00ED48F4">
        <w:rPr>
          <w:lang w:eastAsia="en-AU"/>
        </w:rPr>
        <w:t>ments to the</w:t>
      </w:r>
      <w:r w:rsidRPr="00633C61">
        <w:rPr>
          <w:lang w:eastAsia="en-AU"/>
        </w:rPr>
        <w:t xml:space="preserve"> minimum </w:t>
      </w:r>
      <w:r w:rsidRPr="0073329E">
        <w:rPr>
          <w:lang w:eastAsia="en-AU"/>
        </w:rPr>
        <w:t>recommended fire interval of 15 years if necessary</w:t>
      </w:r>
      <w:r w:rsidR="009B2ABF" w:rsidRPr="0073329E">
        <w:rPr>
          <w:lang w:eastAsia="en-AU"/>
        </w:rPr>
        <w:t>)</w:t>
      </w:r>
      <w:r w:rsidRPr="0073329E">
        <w:rPr>
          <w:lang w:eastAsia="en-AU"/>
        </w:rPr>
        <w:t>.</w:t>
      </w:r>
    </w:p>
    <w:p w14:paraId="41764458" w14:textId="6442475D" w:rsidR="001536D3" w:rsidRPr="0073329E" w:rsidRDefault="001536D3" w:rsidP="00543459">
      <w:pPr>
        <w:pStyle w:val="ListBullet"/>
        <w:rPr>
          <w:lang w:eastAsia="en-AU"/>
        </w:rPr>
      </w:pPr>
      <w:r w:rsidRPr="0073329E">
        <w:t>Undertake additional work</w:t>
      </w:r>
      <w:r w:rsidR="006222A4" w:rsidRPr="0073329E">
        <w:t>, including genetic analysis if required,</w:t>
      </w:r>
      <w:r w:rsidRPr="0073329E">
        <w:t xml:space="preserve"> to comprehensively determine the presence and extent of the population </w:t>
      </w:r>
      <w:r w:rsidR="006222A4" w:rsidRPr="0073329E">
        <w:t>at Green Cape</w:t>
      </w:r>
      <w:r w:rsidRPr="0073329E">
        <w:t xml:space="preserve"> </w:t>
      </w:r>
    </w:p>
    <w:p w14:paraId="2D3BB6CB" w14:textId="72EE77C9" w:rsidR="00543459" w:rsidRPr="00543459" w:rsidRDefault="00543459" w:rsidP="00543459">
      <w:pPr>
        <w:pStyle w:val="ListBullet"/>
        <w:rPr>
          <w:lang w:eastAsia="en-AU"/>
        </w:rPr>
      </w:pPr>
      <w:r w:rsidRPr="4C23B032">
        <w:rPr>
          <w:lang w:eastAsia="en-AU"/>
        </w:rPr>
        <w:t xml:space="preserve">Investigate the role of competition from other native vegetation in the decline </w:t>
      </w:r>
      <w:proofErr w:type="gramStart"/>
      <w:r w:rsidRPr="4C23B032">
        <w:rPr>
          <w:lang w:eastAsia="en-AU"/>
        </w:rPr>
        <w:t xml:space="preserve">of  </w:t>
      </w:r>
      <w:r w:rsidR="005E08B1" w:rsidRPr="4C23B032">
        <w:rPr>
          <w:lang w:eastAsia="en-AU"/>
        </w:rPr>
        <w:t>sub</w:t>
      </w:r>
      <w:r w:rsidRPr="4C23B032">
        <w:rPr>
          <w:lang w:eastAsia="en-AU"/>
        </w:rPr>
        <w:t>population</w:t>
      </w:r>
      <w:r w:rsidR="00944CFF" w:rsidRPr="4C23B032">
        <w:rPr>
          <w:lang w:eastAsia="en-AU"/>
        </w:rPr>
        <w:t>s</w:t>
      </w:r>
      <w:proofErr w:type="gramEnd"/>
      <w:r w:rsidR="1C750F5C" w:rsidRPr="4C23B032">
        <w:rPr>
          <w:lang w:eastAsia="en-AU"/>
        </w:rPr>
        <w:t xml:space="preserve"> and develop appropriate response strategies if demonstrated to be necessary to preserve the species</w:t>
      </w:r>
    </w:p>
    <w:p w14:paraId="18A88DE2" w14:textId="1075E85D" w:rsidR="00DB3D59" w:rsidRDefault="00DB3D59" w:rsidP="00DB3D59">
      <w:pPr>
        <w:pStyle w:val="ListBullet"/>
      </w:pPr>
      <w:r>
        <w:rPr>
          <w:rFonts w:cs="Arial"/>
          <w:szCs w:val="18"/>
        </w:rPr>
        <w:t>Determine the impact of drier, hotter conditions on the species</w:t>
      </w:r>
      <w:r w:rsidR="007B4CF3">
        <w:rPr>
          <w:rFonts w:cs="Arial"/>
          <w:szCs w:val="18"/>
        </w:rPr>
        <w:t>,</w:t>
      </w:r>
      <w:r>
        <w:t xml:space="preserve"> and identify and protect modelled potential areas of climate refug</w:t>
      </w:r>
      <w:r w:rsidR="00ED48F4">
        <w:t>es</w:t>
      </w:r>
      <w:r>
        <w:t xml:space="preserve"> for the species under projected climate change scenarios.</w:t>
      </w:r>
    </w:p>
    <w:p w14:paraId="6844362C" w14:textId="77777777" w:rsidR="003C4259" w:rsidRDefault="003C4259" w:rsidP="003C4259">
      <w:pPr>
        <w:pStyle w:val="ListBullet"/>
      </w:pPr>
      <w:r>
        <w:t xml:space="preserve">Determine the susceptibility of the </w:t>
      </w:r>
      <w:proofErr w:type="spellStart"/>
      <w:r w:rsidRPr="001161B4">
        <w:t>Narrabarba</w:t>
      </w:r>
      <w:proofErr w:type="spellEnd"/>
      <w:r w:rsidRPr="001161B4">
        <w:t xml:space="preserve"> </w:t>
      </w:r>
      <w:r>
        <w:t>w</w:t>
      </w:r>
      <w:r w:rsidRPr="001161B4">
        <w:t>attle</w:t>
      </w:r>
      <w:r>
        <w:t xml:space="preserve"> to </w:t>
      </w:r>
      <w:r>
        <w:rPr>
          <w:i/>
          <w:iCs/>
        </w:rPr>
        <w:t>Phytophthora</w:t>
      </w:r>
      <w:r>
        <w:t xml:space="preserve"> </w:t>
      </w:r>
      <w:proofErr w:type="spellStart"/>
      <w:r>
        <w:rPr>
          <w:i/>
          <w:iCs/>
        </w:rPr>
        <w:t>cinnamomi</w:t>
      </w:r>
      <w:proofErr w:type="spellEnd"/>
      <w:r>
        <w:t>.</w:t>
      </w:r>
    </w:p>
    <w:p w14:paraId="52289374" w14:textId="77777777" w:rsidR="002B6A3F" w:rsidRDefault="002B6A3F" w:rsidP="00387E7C">
      <w:pPr>
        <w:pStyle w:val="Heading3"/>
        <w:ind w:left="964" w:hanging="964"/>
      </w:pPr>
      <w:r>
        <w:lastRenderedPageBreak/>
        <w:t xml:space="preserve">Recovery </w:t>
      </w:r>
      <w:r w:rsidR="001E4765">
        <w:t>p</w:t>
      </w:r>
      <w:r>
        <w:t xml:space="preserve">lan </w:t>
      </w:r>
      <w:r w:rsidR="009F08D5">
        <w:t>d</w:t>
      </w:r>
      <w:r>
        <w:t>ecision</w:t>
      </w:r>
    </w:p>
    <w:p w14:paraId="55BC988C" w14:textId="695C024E" w:rsidR="00011E4D" w:rsidRDefault="00011E4D" w:rsidP="00752600">
      <w:r>
        <w:t xml:space="preserve">A draft recovery plan </w:t>
      </w:r>
      <w:r w:rsidR="00034F88">
        <w:t>was</w:t>
      </w:r>
      <w:r>
        <w:t xml:space="preserve"> in place for the </w:t>
      </w:r>
      <w:proofErr w:type="spellStart"/>
      <w:r w:rsidRPr="001161B4">
        <w:t>Narrabarba</w:t>
      </w:r>
      <w:proofErr w:type="spellEnd"/>
      <w:r w:rsidRPr="001161B4">
        <w:t xml:space="preserve"> </w:t>
      </w:r>
      <w:r>
        <w:t>w</w:t>
      </w:r>
      <w:r w:rsidRPr="001161B4">
        <w:t>a</w:t>
      </w:r>
      <w:r>
        <w:t>ttle</w:t>
      </w:r>
      <w:r w:rsidR="007461DE">
        <w:t xml:space="preserve"> which also cover</w:t>
      </w:r>
      <w:r w:rsidR="007B4CF3">
        <w:t>ed</w:t>
      </w:r>
      <w:r w:rsidR="007461DE">
        <w:t xml:space="preserve"> other threatened flora of rocky outcrops in south</w:t>
      </w:r>
      <w:r w:rsidR="007B4CF3">
        <w:t>-</w:t>
      </w:r>
      <w:r w:rsidR="007461DE">
        <w:t>eastern NSW</w:t>
      </w:r>
      <w:r w:rsidR="00D05EE3">
        <w:t xml:space="preserve"> (NPWS 2002). </w:t>
      </w:r>
    </w:p>
    <w:p w14:paraId="57C04B15" w14:textId="5425ECC7" w:rsidR="00DA5FCB" w:rsidRDefault="00011E4D" w:rsidP="00DA5FCB">
      <w:r w:rsidRPr="007461DE">
        <w:t xml:space="preserve">A Saving Our Species Strategy is in place for the species in NSW where it is listed as </w:t>
      </w:r>
      <w:r w:rsidR="0052763A" w:rsidRPr="007461DE">
        <w:t>Vulnerable</w:t>
      </w:r>
      <w:r w:rsidRPr="007461DE">
        <w:t xml:space="preserve"> under state legislation</w:t>
      </w:r>
      <w:r w:rsidR="00543459" w:rsidRPr="007461DE">
        <w:t xml:space="preserve"> (OEH</w:t>
      </w:r>
      <w:r w:rsidR="0010688E" w:rsidRPr="007461DE">
        <w:t xml:space="preserve"> </w:t>
      </w:r>
      <w:r w:rsidR="00543459" w:rsidRPr="007461DE">
        <w:t>2021</w:t>
      </w:r>
      <w:r w:rsidR="00B67A60" w:rsidRPr="007461DE">
        <w:t>b</w:t>
      </w:r>
      <w:r w:rsidR="00543459" w:rsidRPr="007461DE">
        <w:t>).</w:t>
      </w:r>
      <w:r w:rsidR="00543459">
        <w:t xml:space="preserve"> </w:t>
      </w:r>
    </w:p>
    <w:p w14:paraId="39101931" w14:textId="6F3F8337" w:rsidR="00DA5FCB" w:rsidRDefault="00DA5FCB" w:rsidP="00DA5FCB">
      <w:r w:rsidRPr="00034F88">
        <w:t>A decision about whether there should be a</w:t>
      </w:r>
      <w:r w:rsidR="00F912D4" w:rsidRPr="00034F88">
        <w:t>n up</w:t>
      </w:r>
      <w:r w:rsidR="004304B4" w:rsidRPr="00034F88">
        <w:t>d</w:t>
      </w:r>
      <w:r w:rsidR="00F912D4" w:rsidRPr="00034F88">
        <w:t>ated</w:t>
      </w:r>
      <w:r w:rsidRPr="00034F88">
        <w:t xml:space="preserve"> recovery plan for this species has not yet been determined. The purpose of this consultation document is to elicit additional information to help inform this decision.</w:t>
      </w:r>
      <w:r>
        <w:t xml:space="preserve"> </w:t>
      </w:r>
    </w:p>
    <w:p w14:paraId="2848D1C6" w14:textId="77777777" w:rsidR="002B6A3F" w:rsidRDefault="002B6A3F" w:rsidP="00CC062B">
      <w:pPr>
        <w:pStyle w:val="Heading2"/>
        <w:ind w:left="720" w:hanging="720"/>
      </w:pPr>
      <w:r>
        <w:t>Links to relevant implementation documents</w:t>
      </w:r>
    </w:p>
    <w:p w14:paraId="14525D36" w14:textId="28C7AE55" w:rsidR="00D05EE3" w:rsidRDefault="00486B38" w:rsidP="00D05EE3">
      <w:hyperlink r:id="rId25" w:history="1">
        <w:r w:rsidR="00D05EE3" w:rsidRPr="00752600">
          <w:rPr>
            <w:rStyle w:val="Hyperlink"/>
          </w:rPr>
          <w:t xml:space="preserve">Recovery Plan for Threatened Flora of Rocky Outcrops in </w:t>
        </w:r>
        <w:proofErr w:type="gramStart"/>
        <w:r w:rsidR="00D05EE3" w:rsidRPr="00752600">
          <w:rPr>
            <w:rStyle w:val="Hyperlink"/>
          </w:rPr>
          <w:t>South Eastern</w:t>
        </w:r>
        <w:proofErr w:type="gramEnd"/>
        <w:r w:rsidR="00D05EE3" w:rsidRPr="00752600">
          <w:rPr>
            <w:rStyle w:val="Hyperlink"/>
          </w:rPr>
          <w:t xml:space="preserve"> New South Wales (</w:t>
        </w:r>
        <w:r w:rsidR="00D05EE3">
          <w:rPr>
            <w:rStyle w:val="Hyperlink"/>
          </w:rPr>
          <w:t xml:space="preserve">NPWS </w:t>
        </w:r>
        <w:r w:rsidR="00D05EE3" w:rsidRPr="00752600">
          <w:rPr>
            <w:rStyle w:val="Hyperlink"/>
          </w:rPr>
          <w:t>2002)</w:t>
        </w:r>
      </w:hyperlink>
    </w:p>
    <w:p w14:paraId="227D964A" w14:textId="0D19CE7E" w:rsidR="00433495" w:rsidRPr="00E6189E" w:rsidRDefault="00E6189E" w:rsidP="00D05EE3">
      <w:pPr>
        <w:rPr>
          <w:rStyle w:val="Hyperlink"/>
        </w:rPr>
      </w:pPr>
      <w:r>
        <w:fldChar w:fldCharType="begin"/>
      </w:r>
      <w:r>
        <w:instrText xml:space="preserve"> HYPERLINK "https://www.environment.nsw.gov.au/savingourspeciesapp/project.aspx?ProfileID=10010" </w:instrText>
      </w:r>
      <w:r>
        <w:fldChar w:fldCharType="separate"/>
      </w:r>
      <w:r w:rsidR="00433495" w:rsidRPr="00E6189E">
        <w:rPr>
          <w:rStyle w:val="Hyperlink"/>
        </w:rPr>
        <w:t xml:space="preserve">Saving our Species Strategy – </w:t>
      </w:r>
      <w:proofErr w:type="spellStart"/>
      <w:r w:rsidR="00433495" w:rsidRPr="00E6189E">
        <w:rPr>
          <w:rStyle w:val="Hyperlink"/>
        </w:rPr>
        <w:t>Narrabarba</w:t>
      </w:r>
      <w:proofErr w:type="spellEnd"/>
      <w:r w:rsidR="00433495" w:rsidRPr="00E6189E">
        <w:rPr>
          <w:rStyle w:val="Hyperlink"/>
        </w:rPr>
        <w:t xml:space="preserve"> Wattle (</w:t>
      </w:r>
      <w:r w:rsidR="00433495" w:rsidRPr="0052763A">
        <w:rPr>
          <w:rStyle w:val="Hyperlink"/>
          <w:i/>
          <w:iCs/>
        </w:rPr>
        <w:t xml:space="preserve">Acacia </w:t>
      </w:r>
      <w:proofErr w:type="spellStart"/>
      <w:r w:rsidR="00433495" w:rsidRPr="0052763A">
        <w:rPr>
          <w:rStyle w:val="Hyperlink"/>
          <w:i/>
          <w:iCs/>
        </w:rPr>
        <w:t>constablei</w:t>
      </w:r>
      <w:proofErr w:type="spellEnd"/>
      <w:r w:rsidR="00433495" w:rsidRPr="00E6189E">
        <w:rPr>
          <w:rStyle w:val="Hyperlink"/>
        </w:rPr>
        <w:t xml:space="preserve">) </w:t>
      </w:r>
    </w:p>
    <w:p w14:paraId="7D526792" w14:textId="6B43950C" w:rsidR="00D05EE3" w:rsidRDefault="00E6189E" w:rsidP="00D05EE3">
      <w:r>
        <w:fldChar w:fldCharType="end"/>
      </w:r>
      <w:hyperlink r:id="rId26" w:history="1">
        <w:r w:rsidR="00D05EE3">
          <w:rPr>
            <w:rStyle w:val="Hyperlink"/>
          </w:rPr>
          <w:t xml:space="preserve">Threat abatement plan for disease in natural ecosystems caused by </w:t>
        </w:r>
        <w:r w:rsidR="00D05EE3">
          <w:rPr>
            <w:rStyle w:val="Hyperlink"/>
            <w:i/>
            <w:iCs/>
          </w:rPr>
          <w:t xml:space="preserve">Phytophthora </w:t>
        </w:r>
        <w:proofErr w:type="spellStart"/>
        <w:r w:rsidR="00D05EE3">
          <w:rPr>
            <w:rStyle w:val="Hyperlink"/>
            <w:i/>
            <w:iCs/>
          </w:rPr>
          <w:t>cinnamomi</w:t>
        </w:r>
        <w:proofErr w:type="spellEnd"/>
        <w:r w:rsidR="00D05EE3">
          <w:rPr>
            <w:rStyle w:val="Hyperlink"/>
          </w:rPr>
          <w:t xml:space="preserve"> (2018)</w:t>
        </w:r>
        <w:r w:rsidR="00D05EE3">
          <w:rPr>
            <w:rStyle w:val="Hyperlink"/>
            <w:rFonts w:ascii="Calibri" w:hAnsi="Calibri" w:cs="Arial"/>
            <w:i/>
            <w:iCs/>
          </w:rPr>
          <w:t xml:space="preserve"> </w:t>
        </w:r>
      </w:hyperlink>
    </w:p>
    <w:p w14:paraId="1765C443" w14:textId="77777777" w:rsidR="002319AB" w:rsidRDefault="002319AB" w:rsidP="002319AB">
      <w:pPr>
        <w:pStyle w:val="Heading2"/>
        <w:spacing w:before="120"/>
        <w:ind w:left="709" w:hanging="709"/>
      </w:pPr>
      <w:r>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18"/>
      <w:bookmarkEnd w:id="19"/>
      <w:r w:rsidR="0012461E">
        <w:t>L</w:t>
      </w:r>
      <w:r>
        <w:t xml:space="preserve">isting </w:t>
      </w:r>
      <w:r w:rsidR="0012461E">
        <w:t>A</w:t>
      </w:r>
      <w:r>
        <w:t>ssessment references</w:t>
      </w:r>
    </w:p>
    <w:p w14:paraId="35FBCCF4" w14:textId="0CF6D232" w:rsidR="00E93048" w:rsidRDefault="00F13317" w:rsidP="00E93048">
      <w:pPr>
        <w:pStyle w:val="EndNoteBibliography"/>
        <w:spacing w:after="240"/>
        <w:ind w:left="709" w:hanging="709"/>
        <w:rPr>
          <w:rStyle w:val="Hyperlink"/>
        </w:rPr>
      </w:pPr>
      <w:r>
        <w:t>AIATSIS (</w:t>
      </w:r>
      <w:r w:rsidR="0070763B">
        <w:t>1996</w:t>
      </w:r>
      <w:r>
        <w:t xml:space="preserve">) </w:t>
      </w:r>
      <w:r>
        <w:rPr>
          <w:lang w:val="en"/>
        </w:rPr>
        <w:t xml:space="preserve">Map of Indigenous Australia. </w:t>
      </w:r>
      <w:r>
        <w:t>Viewed</w:t>
      </w:r>
      <w:r w:rsidRPr="00324FE3">
        <w:t xml:space="preserve"> </w:t>
      </w:r>
      <w:r>
        <w:t>25 October</w:t>
      </w:r>
      <w:r w:rsidRPr="00324FE3">
        <w:t xml:space="preserve"> 2021. Available at:</w:t>
      </w:r>
      <w:r w:rsidRPr="00314C37">
        <w:t xml:space="preserve"> </w:t>
      </w:r>
      <w:hyperlink r:id="rId27" w:history="1">
        <w:r w:rsidRPr="005E7951">
          <w:rPr>
            <w:rStyle w:val="Hyperlink"/>
          </w:rPr>
          <w:t>https://aiatsis.gov.au/explore/map-indigenous-australia</w:t>
        </w:r>
      </w:hyperlink>
    </w:p>
    <w:p w14:paraId="050AD66E" w14:textId="3141AC37" w:rsidR="00E93048" w:rsidRPr="00E93048" w:rsidRDefault="00E93048" w:rsidP="00E93048">
      <w:pPr>
        <w:pStyle w:val="EndNoteBibliography"/>
        <w:spacing w:after="240"/>
        <w:ind w:left="709" w:hanging="709"/>
        <w:rPr>
          <w:color w:val="165788"/>
          <w:u w:val="single"/>
        </w:rPr>
      </w:pPr>
      <w:r>
        <w:t xml:space="preserve">Audet P, Gravina A, Glenn V, McKenna P, Vickers H, Gillespie M &amp; Mulligan D (2013) Structural development of vegetation on rehabilitated North Stradbroke Island: Above/belowground feedback may facilitate alternative ecological outcomes. </w:t>
      </w:r>
      <w:r w:rsidRPr="7FA35F82">
        <w:rPr>
          <w:i/>
          <w:iCs/>
        </w:rPr>
        <w:t>Ecological Processes</w:t>
      </w:r>
      <w:r>
        <w:t xml:space="preserve"> </w:t>
      </w:r>
      <w:r w:rsidRPr="00E93048">
        <w:t>2</w:t>
      </w:r>
      <w:r w:rsidR="002F54BD">
        <w:t>(1)</w:t>
      </w:r>
      <w:r>
        <w:t xml:space="preserve"> 1-17.</w:t>
      </w:r>
    </w:p>
    <w:p w14:paraId="65A15E7E" w14:textId="5B668D4A" w:rsidR="005378C2" w:rsidRPr="005378C2" w:rsidRDefault="005E67F9" w:rsidP="005E67F9">
      <w:pPr>
        <w:pStyle w:val="EndNoteBibliography"/>
        <w:spacing w:after="240"/>
        <w:ind w:left="709" w:hanging="709"/>
        <w:rPr>
          <w:color w:val="165788"/>
          <w:u w:val="single"/>
        </w:rPr>
      </w:pPr>
      <w:r w:rsidRPr="005E67F9">
        <w:t>Auld TD, Mackenzie</w:t>
      </w:r>
      <w:r>
        <w:t xml:space="preserve"> </w:t>
      </w:r>
      <w:r w:rsidRPr="005E67F9">
        <w:t xml:space="preserve">BE, Le Breton T, Keith DA, Ooi MK, Allen S </w:t>
      </w:r>
      <w:r>
        <w:t xml:space="preserve">&amp; </w:t>
      </w:r>
      <w:r w:rsidRPr="005E67F9">
        <w:t xml:space="preserve">Gallagher R </w:t>
      </w:r>
      <w:r>
        <w:t>(</w:t>
      </w:r>
      <w:r w:rsidRPr="005E67F9">
        <w:t>2020</w:t>
      </w:r>
      <w:r>
        <w:t>)</w:t>
      </w:r>
      <w:r w:rsidRPr="005E67F9">
        <w:t xml:space="preserve"> </w:t>
      </w:r>
      <w:r w:rsidRPr="005E67F9">
        <w:rPr>
          <w:i/>
          <w:iCs/>
        </w:rPr>
        <w:t>A preliminary assessment of the impact of the 2019/2020 fires on NSW plants of national significance</w:t>
      </w:r>
      <w:r w:rsidRPr="005E67F9">
        <w:t>. NSW Government Department of Planning Industry and Environment: Paramatta, NSW.</w:t>
      </w:r>
    </w:p>
    <w:p w14:paraId="7B44E078" w14:textId="67681AB2" w:rsidR="001D4A1A" w:rsidRPr="007D5FC8" w:rsidRDefault="001D4A1A" w:rsidP="001D4A1A">
      <w:pPr>
        <w:widowControl w:val="0"/>
        <w:autoSpaceDE w:val="0"/>
        <w:autoSpaceDN w:val="0"/>
        <w:adjustRightInd w:val="0"/>
        <w:ind w:left="680" w:hanging="720"/>
        <w:rPr>
          <w:rFonts w:cs="Arial"/>
          <w:color w:val="222222"/>
          <w:shd w:val="clear" w:color="auto" w:fill="FFFFFF"/>
        </w:rPr>
      </w:pPr>
      <w:r w:rsidRPr="002A7ED4">
        <w:t>Auld TD &amp; Denham AJ (2006) How much seed remains in the soil after a fire? Plant ecology 187, 15-24.</w:t>
      </w:r>
    </w:p>
    <w:p w14:paraId="23D91126" w14:textId="58BFE356" w:rsidR="0079683D" w:rsidRDefault="001715F4" w:rsidP="0079683D">
      <w:pPr>
        <w:widowControl w:val="0"/>
        <w:autoSpaceDE w:val="0"/>
        <w:autoSpaceDN w:val="0"/>
        <w:adjustRightInd w:val="0"/>
        <w:ind w:left="720" w:hanging="720"/>
      </w:pPr>
      <w:r>
        <w:t xml:space="preserve">Australian Government (2018) </w:t>
      </w:r>
      <w:r w:rsidRPr="00992276">
        <w:rPr>
          <w:i/>
          <w:iCs/>
        </w:rPr>
        <w:t>Australian floral emblem</w:t>
      </w:r>
      <w:r>
        <w:t xml:space="preserve">. Viewed: 21 October August 2021 Available at: </w:t>
      </w:r>
      <w:hyperlink r:id="rId28" w:history="1">
        <w:r w:rsidRPr="00BA74DB">
          <w:rPr>
            <w:rStyle w:val="Hyperlink"/>
          </w:rPr>
          <w:t>https://pmc.gov.au/government/australian-national-symbols/australian-floral-emblem</w:t>
        </w:r>
      </w:hyperlink>
      <w:r>
        <w:t xml:space="preserve"> </w:t>
      </w:r>
    </w:p>
    <w:p w14:paraId="2425AEA4" w14:textId="2459E373" w:rsidR="00AF1A37" w:rsidRDefault="008E12E2" w:rsidP="00AF1A37">
      <w:pPr>
        <w:widowControl w:val="0"/>
        <w:autoSpaceDE w:val="0"/>
        <w:autoSpaceDN w:val="0"/>
        <w:adjustRightInd w:val="0"/>
        <w:ind w:left="720" w:hanging="720"/>
      </w:pPr>
      <w:r>
        <w:t xml:space="preserve">Bain D (2021) </w:t>
      </w:r>
      <w:r>
        <w:rPr>
          <w:rFonts w:cs="Arial"/>
          <w:color w:val="222222"/>
          <w:shd w:val="clear" w:color="auto" w:fill="FFFFFF"/>
        </w:rPr>
        <w:t xml:space="preserve">Personal communication by email, 4 November 2021. </w:t>
      </w:r>
      <w:r w:rsidRPr="008E12E2">
        <w:rPr>
          <w:rFonts w:cs="Arial"/>
          <w:color w:val="222222"/>
          <w:shd w:val="clear" w:color="auto" w:fill="FFFFFF"/>
        </w:rPr>
        <w:t>Senior Threatened Species Office</w:t>
      </w:r>
      <w:r>
        <w:rPr>
          <w:rFonts w:cs="Arial"/>
          <w:color w:val="222222"/>
          <w:shd w:val="clear" w:color="auto" w:fill="FFFFFF"/>
        </w:rPr>
        <w:t xml:space="preserve">, </w:t>
      </w:r>
      <w:proofErr w:type="gramStart"/>
      <w:r>
        <w:rPr>
          <w:rFonts w:cs="Arial"/>
          <w:color w:val="222222"/>
          <w:shd w:val="clear" w:color="auto" w:fill="FFFFFF"/>
        </w:rPr>
        <w:t>South East</w:t>
      </w:r>
      <w:proofErr w:type="gramEnd"/>
      <w:r>
        <w:rPr>
          <w:rFonts w:cs="Arial"/>
          <w:color w:val="222222"/>
          <w:shd w:val="clear" w:color="auto" w:fill="FFFFFF"/>
        </w:rPr>
        <w:t xml:space="preserve"> Branch</w:t>
      </w:r>
      <w:r w:rsidR="004C72D6">
        <w:rPr>
          <w:rFonts w:cs="Arial"/>
          <w:color w:val="222222"/>
          <w:shd w:val="clear" w:color="auto" w:fill="FFFFFF"/>
        </w:rPr>
        <w:t>.</w:t>
      </w:r>
      <w:r>
        <w:rPr>
          <w:rFonts w:cs="Arial"/>
          <w:color w:val="222222"/>
          <w:shd w:val="clear" w:color="auto" w:fill="FFFFFF"/>
        </w:rPr>
        <w:t xml:space="preserve"> </w:t>
      </w:r>
      <w:r w:rsidRPr="00A958FF">
        <w:t>Department of Planning, Industry and Environment</w:t>
      </w:r>
      <w:r>
        <w:t>, NSW.</w:t>
      </w:r>
      <w:bookmarkStart w:id="21" w:name="_Hlk86082422"/>
    </w:p>
    <w:p w14:paraId="7E9E4613" w14:textId="77777777" w:rsidR="003E79F2" w:rsidRPr="007D5FC8" w:rsidRDefault="003E79F2" w:rsidP="003E79F2">
      <w:pPr>
        <w:widowControl w:val="0"/>
        <w:autoSpaceDE w:val="0"/>
        <w:autoSpaceDN w:val="0"/>
        <w:adjustRightInd w:val="0"/>
        <w:ind w:left="680" w:hanging="720"/>
      </w:pPr>
      <w:r w:rsidRPr="007D5FC8">
        <w:t xml:space="preserve">Bradstock RA &amp; Auld TD (1995) Soil Temperatures During Experimental Bushfires in Relation to Fire Intensity: Consequences for Legume Germination and Fire Management in South-Eastern Australia. </w:t>
      </w:r>
      <w:r w:rsidRPr="007D5FC8">
        <w:rPr>
          <w:i/>
          <w:iCs/>
        </w:rPr>
        <w:t>The Journal of Applied Ecology</w:t>
      </w:r>
      <w:r w:rsidRPr="007D5FC8">
        <w:t xml:space="preserve"> 32, 76.</w:t>
      </w:r>
    </w:p>
    <w:p w14:paraId="61D0EDE9" w14:textId="7C3BFB54" w:rsidR="00011244" w:rsidRPr="00AF1A37" w:rsidRDefault="00011244" w:rsidP="00AF1A37">
      <w:pPr>
        <w:widowControl w:val="0"/>
        <w:autoSpaceDE w:val="0"/>
        <w:autoSpaceDN w:val="0"/>
        <w:adjustRightInd w:val="0"/>
        <w:ind w:left="720" w:hanging="720"/>
      </w:pPr>
      <w:r w:rsidRPr="007D5FC8">
        <w:rPr>
          <w:rFonts w:cs="Arial"/>
        </w:rPr>
        <w:t xml:space="preserve">Bradstock RA, Gill AM, Kenny BJ &amp; Scott J (1998) Bushfire risk at the urban interface estimated from historical weather records: consequences for the use of prescribed fire in the </w:t>
      </w:r>
      <w:r w:rsidRPr="007D5FC8">
        <w:rPr>
          <w:rFonts w:cs="Arial"/>
        </w:rPr>
        <w:lastRenderedPageBreak/>
        <w:t xml:space="preserve">Sydney region of </w:t>
      </w:r>
      <w:proofErr w:type="spellStart"/>
      <w:r w:rsidRPr="007D5FC8">
        <w:rPr>
          <w:rFonts w:cs="Arial"/>
        </w:rPr>
        <w:t>southeastern</w:t>
      </w:r>
      <w:proofErr w:type="spellEnd"/>
      <w:r w:rsidRPr="007D5FC8">
        <w:rPr>
          <w:rFonts w:cs="Arial"/>
        </w:rPr>
        <w:t xml:space="preserve"> Australia. </w:t>
      </w:r>
      <w:r w:rsidRPr="007D5FC8">
        <w:rPr>
          <w:rFonts w:cs="Arial"/>
          <w:i/>
          <w:iCs/>
        </w:rPr>
        <w:t xml:space="preserve">Journal of Environmental Management </w:t>
      </w:r>
      <w:r w:rsidRPr="007D5FC8">
        <w:rPr>
          <w:rFonts w:cs="Arial"/>
        </w:rPr>
        <w:t>52, 259–271.</w:t>
      </w:r>
    </w:p>
    <w:bookmarkEnd w:id="21"/>
    <w:p w14:paraId="702FEA8C" w14:textId="08E2906A" w:rsidR="00AF1A37" w:rsidRDefault="00CD4AC3" w:rsidP="00AF1A37">
      <w:pPr>
        <w:widowControl w:val="0"/>
        <w:autoSpaceDE w:val="0"/>
        <w:autoSpaceDN w:val="0"/>
        <w:adjustRightInd w:val="0"/>
        <w:ind w:left="720" w:hanging="720"/>
      </w:pPr>
      <w:r>
        <w:t xml:space="preserve">Briggs JD </w:t>
      </w:r>
      <w:r w:rsidR="00A97B47">
        <w:t>&amp;</w:t>
      </w:r>
      <w:r>
        <w:t xml:space="preserve"> Leigh</w:t>
      </w:r>
      <w:r w:rsidR="00E16CCF">
        <w:t xml:space="preserve"> JH</w:t>
      </w:r>
      <w:r>
        <w:t xml:space="preserve"> (1990) Delineation of Important Habitats of Threatened Plant Species in South-Eastern New South Wales. Canberra: Australian Heritage Commission</w:t>
      </w:r>
      <w:r w:rsidR="00AF1A37">
        <w:t>.</w:t>
      </w:r>
    </w:p>
    <w:p w14:paraId="606D0BA6" w14:textId="77777777" w:rsidR="00AF1A37" w:rsidRPr="00237B4B" w:rsidRDefault="00AF1A37" w:rsidP="00AF1A37">
      <w:pPr>
        <w:pStyle w:val="EndNoteBibliography"/>
        <w:spacing w:after="240"/>
        <w:ind w:left="720" w:hanging="720"/>
      </w:pPr>
      <w:r w:rsidRPr="00237B4B">
        <w:t xml:space="preserve">Bureau of Meteorology &amp; CSIRO </w:t>
      </w:r>
      <w:r>
        <w:t>(</w:t>
      </w:r>
      <w:r w:rsidRPr="002D333B">
        <w:t>Commonwealth Scientific and Industrial Research Organisation</w:t>
      </w:r>
      <w:r>
        <w:t xml:space="preserve">) </w:t>
      </w:r>
      <w:r w:rsidRPr="00237B4B">
        <w:t xml:space="preserve">(2020) </w:t>
      </w:r>
      <w:r w:rsidRPr="00237B4B">
        <w:rPr>
          <w:i/>
        </w:rPr>
        <w:t xml:space="preserve">State of the </w:t>
      </w:r>
      <w:r>
        <w:rPr>
          <w:i/>
        </w:rPr>
        <w:t>c</w:t>
      </w:r>
      <w:r w:rsidRPr="00237B4B">
        <w:rPr>
          <w:i/>
        </w:rPr>
        <w:t>limate</w:t>
      </w:r>
      <w:r w:rsidRPr="00237B4B">
        <w:t>. Commonwealth of Australia, Australia.</w:t>
      </w:r>
    </w:p>
    <w:p w14:paraId="01E3B815" w14:textId="182F7889" w:rsidR="007F54C0" w:rsidRDefault="007F54C0" w:rsidP="00AF1A37">
      <w:pPr>
        <w:widowControl w:val="0"/>
        <w:autoSpaceDE w:val="0"/>
        <w:autoSpaceDN w:val="0"/>
        <w:adjustRightInd w:val="0"/>
        <w:ind w:left="720" w:hanging="720"/>
      </w:pPr>
      <w:r>
        <w:t xml:space="preserve">Commander LE, Coates D, Broadhurst L, Offord CA, </w:t>
      </w:r>
      <w:proofErr w:type="spellStart"/>
      <w:r>
        <w:t>Makinson</w:t>
      </w:r>
      <w:proofErr w:type="spellEnd"/>
      <w:r>
        <w:t xml:space="preserve"> RO &amp; </w:t>
      </w:r>
      <w:proofErr w:type="spellStart"/>
      <w:r>
        <w:t>Matthes</w:t>
      </w:r>
      <w:proofErr w:type="spellEnd"/>
      <w:r>
        <w:t xml:space="preserve"> M (2018) </w:t>
      </w:r>
      <w:r>
        <w:rPr>
          <w:i/>
          <w:iCs/>
        </w:rPr>
        <w:t>Guidelines for the translocation of threatened plants in Australia</w:t>
      </w:r>
      <w:r>
        <w:t xml:space="preserve"> </w:t>
      </w:r>
      <w:r>
        <w:rPr>
          <w:i/>
          <w:iCs/>
        </w:rPr>
        <w:t>Third Edition</w:t>
      </w:r>
      <w:r>
        <w:t>. Australian Network for Plant Conservation, Canberra.</w:t>
      </w:r>
    </w:p>
    <w:p w14:paraId="79EB7123" w14:textId="77777777" w:rsidR="005E2D73" w:rsidRDefault="005E2D73" w:rsidP="005E2D73">
      <w:pPr>
        <w:pStyle w:val="EndnoteBiolography"/>
        <w:rPr>
          <w:rStyle w:val="Hyperlink"/>
        </w:rPr>
      </w:pPr>
      <w:r>
        <w:t xml:space="preserve">DAWE (Department of Agriulture, Water and the Environment) (2021) </w:t>
      </w:r>
      <w:r w:rsidRPr="007E100A">
        <w:rPr>
          <w:i/>
          <w:iCs/>
        </w:rPr>
        <w:t xml:space="preserve">Interim Biogeographic Regionalisation </w:t>
      </w:r>
      <w:r>
        <w:rPr>
          <w:i/>
          <w:iCs/>
        </w:rPr>
        <w:t>for</w:t>
      </w:r>
      <w:r w:rsidRPr="007E100A">
        <w:rPr>
          <w:i/>
          <w:iCs/>
        </w:rPr>
        <w:t xml:space="preserve"> Australia</w:t>
      </w:r>
      <w:r>
        <w:rPr>
          <w:i/>
          <w:iCs/>
        </w:rPr>
        <w:t xml:space="preserve">, </w:t>
      </w:r>
      <w:r w:rsidRPr="007E100A">
        <w:rPr>
          <w:i/>
          <w:iCs/>
        </w:rPr>
        <w:t xml:space="preserve">Version </w:t>
      </w:r>
      <w:r>
        <w:rPr>
          <w:i/>
          <w:iCs/>
        </w:rPr>
        <w:t>7</w:t>
      </w:r>
      <w:r w:rsidRPr="007E100A">
        <w:rPr>
          <w:i/>
          <w:iCs/>
        </w:rPr>
        <w:t xml:space="preserve">. </w:t>
      </w:r>
      <w:r>
        <w:t>Department of Environment and Heritage, Canberra.</w:t>
      </w:r>
      <w:r w:rsidRPr="00493F53">
        <w:t xml:space="preserve"> </w:t>
      </w:r>
      <w:r>
        <w:t xml:space="preserve">Accessed 25 October 2021. Available at: </w:t>
      </w:r>
      <w:hyperlink r:id="rId29" w:history="1">
        <w:r w:rsidRPr="00782308">
          <w:rPr>
            <w:rStyle w:val="Hyperlink"/>
          </w:rPr>
          <w:t>https://www.awe.gov.au/agriculture-land/land/nrs/science/ibra/australias-bioregions-maps</w:t>
        </w:r>
      </w:hyperlink>
    </w:p>
    <w:p w14:paraId="3768ECC5" w14:textId="4A9854F6" w:rsidR="00493F53" w:rsidRDefault="00493F53" w:rsidP="00493F53">
      <w:pPr>
        <w:pStyle w:val="EndNoteBibliography"/>
        <w:spacing w:after="240"/>
        <w:ind w:left="720" w:hanging="720"/>
        <w:rPr>
          <w:rFonts w:cs="Times New Roman"/>
          <w:lang w:val="en-GB"/>
        </w:rPr>
      </w:pPr>
      <w:r>
        <w:rPr>
          <w:rFonts w:cs="Times New Roman"/>
          <w:lang w:val="en-GB"/>
        </w:rPr>
        <w:t>DoEE (</w:t>
      </w:r>
      <w:r w:rsidRPr="006824FC">
        <w:rPr>
          <w:rFonts w:cs="Times New Roman"/>
          <w:lang w:val="en-GB"/>
        </w:rPr>
        <w:t>Department of Energy and Environment</w:t>
      </w:r>
      <w:r>
        <w:rPr>
          <w:rFonts w:cs="Times New Roman"/>
          <w:lang w:val="en-GB"/>
        </w:rPr>
        <w:t>)</w:t>
      </w:r>
      <w:r w:rsidRPr="006824FC">
        <w:rPr>
          <w:rFonts w:cs="Times New Roman"/>
          <w:lang w:val="en-GB"/>
        </w:rPr>
        <w:t xml:space="preserve"> (2018) </w:t>
      </w:r>
      <w:r w:rsidRPr="006824FC">
        <w:rPr>
          <w:rFonts w:cs="Times New Roman"/>
          <w:i/>
          <w:iCs/>
          <w:lang w:val="en-GB"/>
        </w:rPr>
        <w:t>Threat abatement plan for disease in natural ecosystems caused by Phytophthora cinnamomi</w:t>
      </w:r>
      <w:r>
        <w:rPr>
          <w:rFonts w:cs="Times New Roman"/>
          <w:lang w:val="en-GB"/>
        </w:rPr>
        <w:t xml:space="preserve">. </w:t>
      </w:r>
      <w:r w:rsidRPr="006824FC">
        <w:rPr>
          <w:rFonts w:cs="Times New Roman"/>
          <w:lang w:val="en-GB"/>
        </w:rPr>
        <w:t>Department of Energy and Environment</w:t>
      </w:r>
      <w:r>
        <w:rPr>
          <w:rFonts w:cs="Times New Roman"/>
          <w:lang w:val="en-GB"/>
        </w:rPr>
        <w:t>,</w:t>
      </w:r>
      <w:r w:rsidRPr="006824FC">
        <w:rPr>
          <w:rFonts w:cs="Times New Roman"/>
          <w:lang w:val="en-GB"/>
        </w:rPr>
        <w:t xml:space="preserve"> Canberra.</w:t>
      </w:r>
    </w:p>
    <w:p w14:paraId="15032729" w14:textId="44A5C2F3" w:rsidR="00A958FF" w:rsidRDefault="00A958FF" w:rsidP="00A958FF">
      <w:pPr>
        <w:pStyle w:val="EndNoteBibliography"/>
        <w:spacing w:after="240"/>
        <w:ind w:left="720" w:hanging="720"/>
      </w:pPr>
      <w:r>
        <w:t>DPIE</w:t>
      </w:r>
      <w:r w:rsidRPr="001F1546">
        <w:t xml:space="preserve"> </w:t>
      </w:r>
      <w:r>
        <w:t>(</w:t>
      </w:r>
      <w:r w:rsidRPr="00A958FF">
        <w:t>Department of Planning, Industry and Environment</w:t>
      </w:r>
      <w:r>
        <w:t>) (2021</w:t>
      </w:r>
      <w:r w:rsidR="00742B12">
        <w:t>a</w:t>
      </w:r>
      <w:r>
        <w:t>) Unpublished data</w:t>
      </w:r>
      <w:r w:rsidR="00AA766D">
        <w:t xml:space="preserve"> on </w:t>
      </w:r>
      <w:r w:rsidR="00AA766D" w:rsidRPr="00AF5442">
        <w:rPr>
          <w:i/>
          <w:iCs/>
        </w:rPr>
        <w:t xml:space="preserve">Acacia constablei </w:t>
      </w:r>
      <w:r w:rsidR="00AA766D" w:rsidRPr="00AA766D">
        <w:t>(Narrabarba wattle)</w:t>
      </w:r>
      <w:r w:rsidR="00BE2FFC">
        <w:t>.</w:t>
      </w:r>
      <w:r>
        <w:t xml:space="preserve"> </w:t>
      </w:r>
      <w:r w:rsidRPr="00A958FF">
        <w:t>Department of Planning, Industry and Environment</w:t>
      </w:r>
      <w:r>
        <w:t>, NSW.</w:t>
      </w:r>
    </w:p>
    <w:p w14:paraId="2E1D66CD" w14:textId="2139C6D2" w:rsidR="00742B12" w:rsidRDefault="00742B12" w:rsidP="00742B12">
      <w:pPr>
        <w:spacing w:after="0" w:line="240" w:lineRule="auto"/>
        <w:ind w:left="720" w:hanging="720"/>
        <w:rPr>
          <w:rFonts w:cs="Arial"/>
          <w:i/>
          <w:iCs/>
          <w:shd w:val="clear" w:color="auto" w:fill="FFFFFF"/>
        </w:rPr>
      </w:pPr>
      <w:r>
        <w:t>DPIE</w:t>
      </w:r>
      <w:r w:rsidRPr="001F1546">
        <w:t xml:space="preserve"> </w:t>
      </w:r>
      <w:r>
        <w:t>(</w:t>
      </w:r>
      <w:r w:rsidRPr="00A958FF">
        <w:t>Department of Planning, Industry and Environment</w:t>
      </w:r>
      <w:r>
        <w:t>) (2021b)</w:t>
      </w:r>
      <w:r w:rsidRPr="00E17C99">
        <w:t xml:space="preserve"> </w:t>
      </w:r>
      <w:r w:rsidRPr="00E17C99">
        <w:rPr>
          <w:i/>
          <w:iCs/>
        </w:rPr>
        <w:t>Ben Boyd National Park and Bell Bird Creek Nature Reserve Plan of Management</w:t>
      </w:r>
      <w:r>
        <w:t xml:space="preserve">. Department of Planning, Industry and Environment, NSW. </w:t>
      </w:r>
    </w:p>
    <w:p w14:paraId="38FDA329" w14:textId="77777777" w:rsidR="00742B12" w:rsidRDefault="00742B12" w:rsidP="00742B12">
      <w:pPr>
        <w:spacing w:after="0" w:line="240" w:lineRule="auto"/>
        <w:ind w:left="720" w:hanging="720"/>
        <w:rPr>
          <w:rFonts w:cs="Arial"/>
          <w:i/>
          <w:iCs/>
          <w:shd w:val="clear" w:color="auto" w:fill="FFFFFF"/>
        </w:rPr>
      </w:pPr>
    </w:p>
    <w:p w14:paraId="133A1521" w14:textId="35FD4171" w:rsidR="009425C1" w:rsidRDefault="009425C1" w:rsidP="00A958FF">
      <w:pPr>
        <w:pStyle w:val="EndNoteBibliography"/>
        <w:spacing w:after="240"/>
        <w:ind w:left="720" w:hanging="720"/>
      </w:pPr>
      <w:r>
        <w:t>Forestry Corporation of NSW (2015) N</w:t>
      </w:r>
      <w:r w:rsidRPr="009425C1">
        <w:t>adgee</w:t>
      </w:r>
      <w:r>
        <w:t xml:space="preserve"> State Forest Comparatments </w:t>
      </w:r>
      <w:r w:rsidRPr="009425C1">
        <w:t>144</w:t>
      </w:r>
      <w:r>
        <w:t xml:space="preserve"> </w:t>
      </w:r>
      <w:r w:rsidRPr="009425C1">
        <w:t>and</w:t>
      </w:r>
      <w:r>
        <w:t xml:space="preserve"> </w:t>
      </w:r>
      <w:r w:rsidRPr="009425C1">
        <w:t>146</w:t>
      </w:r>
      <w:r>
        <w:t xml:space="preserve"> Ha</w:t>
      </w:r>
      <w:r w:rsidRPr="009425C1">
        <w:t>rvest</w:t>
      </w:r>
      <w:r>
        <w:t xml:space="preserve"> P</w:t>
      </w:r>
      <w:r w:rsidRPr="009425C1">
        <w:t>lan</w:t>
      </w:r>
      <w:r>
        <w:t xml:space="preserve">. Accessed </w:t>
      </w:r>
      <w:r w:rsidR="002A0DC1">
        <w:t>19 November</w:t>
      </w:r>
      <w:r>
        <w:t xml:space="preserve"> 2021. Available at: </w:t>
      </w:r>
      <w:hyperlink r:id="rId30" w:history="1">
        <w:r w:rsidRPr="00CF0B0B">
          <w:rPr>
            <w:rStyle w:val="Hyperlink"/>
          </w:rPr>
          <w:t>https://www.forestrycorporation.com.au/__data/assets/pdf_file/0006/559401/nadgee-sate-forest-compartments-144-and-146-harvest-plan.pdf</w:t>
        </w:r>
      </w:hyperlink>
    </w:p>
    <w:p w14:paraId="1217F7B1" w14:textId="578C95B3" w:rsidR="00DB18DF" w:rsidRDefault="00DB18DF" w:rsidP="009A65C6">
      <w:pPr>
        <w:pStyle w:val="EndNoteBibliography"/>
        <w:spacing w:after="240"/>
        <w:ind w:left="720" w:hanging="720"/>
        <w:rPr>
          <w:color w:val="000000"/>
        </w:rPr>
      </w:pPr>
      <w:r w:rsidRPr="00DB18DF">
        <w:rPr>
          <w:noProof w:val="0"/>
          <w:lang w:val="en-AU"/>
        </w:rPr>
        <w:t>Gallagher R</w:t>
      </w:r>
      <w:r w:rsidR="001020A6">
        <w:rPr>
          <w:noProof w:val="0"/>
          <w:lang w:val="en-AU"/>
        </w:rPr>
        <w:t>V</w:t>
      </w:r>
      <w:r w:rsidRPr="00DB18DF">
        <w:rPr>
          <w:noProof w:val="0"/>
          <w:lang w:val="en-AU"/>
        </w:rPr>
        <w:t xml:space="preserve"> (2021) Bushfire Expert Panel - Fire-affected plant species data. </w:t>
      </w:r>
      <w:r w:rsidRPr="001E01E9">
        <w:t xml:space="preserve">Accessed: </w:t>
      </w:r>
      <w:r>
        <w:t>2 February 2022.</w:t>
      </w:r>
      <w:r w:rsidRPr="001E01E9">
        <w:t xml:space="preserve"> Available at:</w:t>
      </w:r>
      <w:r>
        <w:t xml:space="preserve"> </w:t>
      </w:r>
      <w:hyperlink r:id="rId31" w:history="1">
        <w:r w:rsidRPr="00DB18DF">
          <w:rPr>
            <w:rStyle w:val="Hyperlink"/>
          </w:rPr>
          <w:t>https://doi.org/10.5281/zenodo.5908826</w:t>
        </w:r>
      </w:hyperlink>
    </w:p>
    <w:p w14:paraId="4757D43C" w14:textId="229E1D6C" w:rsidR="0095418F" w:rsidRDefault="0095418F" w:rsidP="009A65C6">
      <w:pPr>
        <w:pStyle w:val="EndNoteBibliography"/>
        <w:spacing w:after="240"/>
        <w:ind w:left="720" w:hanging="720"/>
        <w:rPr>
          <w:noProof w:val="0"/>
          <w:lang w:val="en-AU"/>
        </w:rPr>
      </w:pPr>
      <w:r w:rsidRPr="0095418F">
        <w:rPr>
          <w:noProof w:val="0"/>
          <w:lang w:val="en-AU"/>
        </w:rPr>
        <w:t>Gallagher RV, Allen S</w:t>
      </w:r>
      <w:r>
        <w:rPr>
          <w:noProof w:val="0"/>
          <w:lang w:val="en-AU"/>
        </w:rPr>
        <w:t xml:space="preserve"> &amp; </w:t>
      </w:r>
      <w:r w:rsidRPr="0095418F">
        <w:rPr>
          <w:noProof w:val="0"/>
          <w:lang w:val="en-AU"/>
        </w:rPr>
        <w:t xml:space="preserve">Mackenzie BDE et al. </w:t>
      </w:r>
      <w:r>
        <w:rPr>
          <w:noProof w:val="0"/>
          <w:lang w:val="en-AU"/>
        </w:rPr>
        <w:t xml:space="preserve">(2021) </w:t>
      </w:r>
      <w:r w:rsidRPr="0095418F">
        <w:rPr>
          <w:noProof w:val="0"/>
          <w:lang w:val="en-AU"/>
        </w:rPr>
        <w:t xml:space="preserve">High fire frequency and the impact of the 2019–2020 megafires on Australian plant diversity. </w:t>
      </w:r>
      <w:r w:rsidRPr="007D5FC8">
        <w:rPr>
          <w:rFonts w:cs="Arial"/>
          <w:color w:val="222222"/>
          <w:shd w:val="clear" w:color="auto" w:fill="FFFFFF"/>
        </w:rPr>
        <w:t> </w:t>
      </w:r>
      <w:r w:rsidRPr="007D5FC8">
        <w:rPr>
          <w:rFonts w:cs="Arial"/>
          <w:i/>
          <w:iCs/>
          <w:color w:val="222222"/>
          <w:shd w:val="clear" w:color="auto" w:fill="FFFFFF"/>
        </w:rPr>
        <w:t>Diversity and Distributions</w:t>
      </w:r>
      <w:r w:rsidRPr="007D5FC8">
        <w:rPr>
          <w:rFonts w:cs="Arial"/>
          <w:color w:val="222222"/>
          <w:shd w:val="clear" w:color="auto" w:fill="FFFFFF"/>
        </w:rPr>
        <w:t xml:space="preserve"> 27, 1166</w:t>
      </w:r>
      <w:r>
        <w:rPr>
          <w:rFonts w:cs="Arial"/>
          <w:color w:val="222222"/>
          <w:shd w:val="clear" w:color="auto" w:fill="FFFFFF"/>
        </w:rPr>
        <w:t>–</w:t>
      </w:r>
      <w:r w:rsidRPr="007D5FC8">
        <w:rPr>
          <w:rFonts w:cs="Arial"/>
          <w:color w:val="222222"/>
          <w:shd w:val="clear" w:color="auto" w:fill="FFFFFF"/>
        </w:rPr>
        <w:t>1179</w:t>
      </w:r>
      <w:r w:rsidRPr="0095418F">
        <w:rPr>
          <w:noProof w:val="0"/>
          <w:lang w:val="en-AU"/>
        </w:rPr>
        <w:t xml:space="preserve">. </w:t>
      </w:r>
      <w:r w:rsidR="008819BE" w:rsidRPr="001E01E9">
        <w:t xml:space="preserve">Accessed: </w:t>
      </w:r>
      <w:r w:rsidR="008819BE">
        <w:t>2 February 2022.</w:t>
      </w:r>
      <w:r w:rsidR="008819BE" w:rsidRPr="001E01E9">
        <w:t xml:space="preserve"> Available at:</w:t>
      </w:r>
      <w:r w:rsidR="008819BE">
        <w:t xml:space="preserve"> </w:t>
      </w:r>
      <w:hyperlink r:id="rId32" w:history="1">
        <w:r w:rsidR="008819BE" w:rsidRPr="00857CDF">
          <w:rPr>
            <w:rStyle w:val="Hyperlink"/>
            <w:noProof w:val="0"/>
            <w:lang w:val="en-AU"/>
          </w:rPr>
          <w:t>https://doi.org/10.1111/ddi.13265</w:t>
        </w:r>
      </w:hyperlink>
    </w:p>
    <w:p w14:paraId="6825B380" w14:textId="77777777" w:rsidR="0079683D" w:rsidRDefault="0079683D" w:rsidP="0079683D">
      <w:pPr>
        <w:widowControl w:val="0"/>
        <w:autoSpaceDE w:val="0"/>
        <w:autoSpaceDN w:val="0"/>
        <w:adjustRightInd w:val="0"/>
        <w:ind w:left="720" w:hanging="720"/>
      </w:pPr>
      <w:r>
        <w:t xml:space="preserve">Gibson MR, Richardson DM, </w:t>
      </w:r>
      <w:proofErr w:type="spellStart"/>
      <w:r>
        <w:t>Marchante</w:t>
      </w:r>
      <w:proofErr w:type="spellEnd"/>
      <w:r>
        <w:t xml:space="preserve"> E, </w:t>
      </w:r>
      <w:proofErr w:type="spellStart"/>
      <w:r>
        <w:t>Marchante</w:t>
      </w:r>
      <w:proofErr w:type="spellEnd"/>
      <w:r>
        <w:t xml:space="preserve"> H, Rodger JG, Stone GN, Byrne M, Fuentes-Ramírez A, George N, Harris C, Johnson SD, Le Roux JJ, Miller JT, Murphy DJ, </w:t>
      </w:r>
      <w:proofErr w:type="spellStart"/>
      <w:r>
        <w:t>Pauw</w:t>
      </w:r>
      <w:proofErr w:type="spellEnd"/>
      <w:r>
        <w:t xml:space="preserve"> A, Prescott MN, </w:t>
      </w:r>
      <w:proofErr w:type="spellStart"/>
      <w:r>
        <w:t>Wandrag</w:t>
      </w:r>
      <w:proofErr w:type="spellEnd"/>
      <w:r>
        <w:t xml:space="preserve"> EM &amp; Wilson JRU (2011) Reproductive biology of Australian acacias: Important mediator of invasiveness? </w:t>
      </w:r>
      <w:r w:rsidRPr="00704CAC">
        <w:rPr>
          <w:i/>
          <w:iCs/>
        </w:rPr>
        <w:t>Diversity and Distributions</w:t>
      </w:r>
      <w:r>
        <w:t xml:space="preserve"> 17, 911–933</w:t>
      </w:r>
    </w:p>
    <w:p w14:paraId="55EAB50A" w14:textId="2810D704" w:rsidR="006345EE" w:rsidRDefault="00CD4AC3" w:rsidP="006345EE">
      <w:pPr>
        <w:widowControl w:val="0"/>
        <w:autoSpaceDE w:val="0"/>
        <w:autoSpaceDN w:val="0"/>
        <w:adjustRightInd w:val="0"/>
        <w:ind w:left="720" w:hanging="720"/>
        <w:rPr>
          <w:rStyle w:val="Hyperlink"/>
        </w:rPr>
      </w:pPr>
      <w:r>
        <w:t>Harden GJ (ed.) (200</w:t>
      </w:r>
      <w:r w:rsidR="00AC69C4">
        <w:t>2</w:t>
      </w:r>
      <w:r>
        <w:t xml:space="preserve">). </w:t>
      </w:r>
      <w:r w:rsidRPr="00371AD8">
        <w:rPr>
          <w:i/>
          <w:iCs/>
        </w:rPr>
        <w:t>Flora of New South Wales</w:t>
      </w:r>
      <w:r>
        <w:t>, Volume Two. Royal Botanic Gardens &amp; Domain Trust, Sydney</w:t>
      </w:r>
      <w:r w:rsidR="00371AD8">
        <w:t xml:space="preserve">.  </w:t>
      </w:r>
      <w:r w:rsidR="00371AD8" w:rsidRPr="001E01E9">
        <w:t xml:space="preserve">Accessed: </w:t>
      </w:r>
      <w:r w:rsidR="00371AD8">
        <w:t>5 October 2021.</w:t>
      </w:r>
      <w:r w:rsidR="00371AD8" w:rsidRPr="001E01E9">
        <w:t xml:space="preserve"> Available at:</w:t>
      </w:r>
      <w:r w:rsidR="0079683D">
        <w:t xml:space="preserve"> </w:t>
      </w:r>
      <w:hyperlink r:id="rId33" w:history="1">
        <w:r w:rsidR="0042386C" w:rsidRPr="0042386C">
          <w:rPr>
            <w:rStyle w:val="Hyperlink"/>
          </w:rPr>
          <w:t>https://plantnet.rbgsyd.nsw.gov.au/cgibin/NSWfl.pl?page=nswfl&amp;lvl=sp&amp;name=Acacia~constablei</w:t>
        </w:r>
      </w:hyperlink>
    </w:p>
    <w:p w14:paraId="29158A06" w14:textId="3A5CCC4A" w:rsidR="005E2D73" w:rsidRDefault="005E2D73" w:rsidP="006345EE">
      <w:pPr>
        <w:widowControl w:val="0"/>
        <w:autoSpaceDE w:val="0"/>
        <w:autoSpaceDN w:val="0"/>
        <w:adjustRightInd w:val="0"/>
        <w:ind w:left="720" w:hanging="720"/>
      </w:pPr>
      <w:r w:rsidRPr="007D5FC8">
        <w:rPr>
          <w:rFonts w:cs="Arial"/>
        </w:rPr>
        <w:lastRenderedPageBreak/>
        <w:t xml:space="preserve">Keith D (1996) Fire-driven extinction of plant populations: a synthesis of theory and review of evidence from Australian vegetation. </w:t>
      </w:r>
      <w:r w:rsidRPr="007D5FC8">
        <w:rPr>
          <w:rFonts w:cs="Arial"/>
          <w:i/>
          <w:iCs/>
        </w:rPr>
        <w:t>Proceedings of the Linnean Society of New South Wales</w:t>
      </w:r>
      <w:r w:rsidRPr="007D5FC8">
        <w:rPr>
          <w:rFonts w:cs="Arial"/>
        </w:rPr>
        <w:t xml:space="preserve"> 116</w:t>
      </w:r>
      <w:r w:rsidRPr="007D5FC8">
        <w:rPr>
          <w:rFonts w:cs="Arial"/>
          <w:i/>
          <w:iCs/>
        </w:rPr>
        <w:t>,</w:t>
      </w:r>
      <w:r w:rsidRPr="007D5FC8">
        <w:rPr>
          <w:rFonts w:cs="Arial"/>
        </w:rPr>
        <w:t xml:space="preserve"> 37–78.</w:t>
      </w:r>
    </w:p>
    <w:p w14:paraId="1DC797FB" w14:textId="40C17310" w:rsidR="00AB5B20" w:rsidRDefault="00AB5B20" w:rsidP="00AB5B20">
      <w:pPr>
        <w:spacing w:before="240"/>
        <w:ind w:left="720" w:hanging="720"/>
        <w:rPr>
          <w:color w:val="222222"/>
          <w:shd w:val="clear" w:color="auto" w:fill="FFFFFF"/>
        </w:rPr>
      </w:pPr>
      <w:r>
        <w:rPr>
          <w:color w:val="222222"/>
          <w:shd w:val="clear" w:color="auto" w:fill="FFFFFF"/>
        </w:rPr>
        <w:t xml:space="preserve">Martyn </w:t>
      </w:r>
      <w:proofErr w:type="spellStart"/>
      <w:r>
        <w:rPr>
          <w:color w:val="222222"/>
          <w:shd w:val="clear" w:color="auto" w:fill="FFFFFF"/>
        </w:rPr>
        <w:t>Yenson</w:t>
      </w:r>
      <w:proofErr w:type="spellEnd"/>
      <w:r>
        <w:rPr>
          <w:color w:val="222222"/>
          <w:shd w:val="clear" w:color="auto" w:fill="FFFFFF"/>
        </w:rPr>
        <w:t xml:space="preserve"> AJ, Offord CA, Meagher PF, Auld T, Bush D, Coates DJ, Commander LE, </w:t>
      </w:r>
      <w:proofErr w:type="spellStart"/>
      <w:r>
        <w:rPr>
          <w:color w:val="222222"/>
          <w:shd w:val="clear" w:color="auto" w:fill="FFFFFF"/>
        </w:rPr>
        <w:t>Guja</w:t>
      </w:r>
      <w:proofErr w:type="spellEnd"/>
      <w:r>
        <w:rPr>
          <w:color w:val="222222"/>
          <w:shd w:val="clear" w:color="auto" w:fill="FFFFFF"/>
        </w:rPr>
        <w:t xml:space="preserve"> LK, Norton SL, </w:t>
      </w:r>
      <w:proofErr w:type="spellStart"/>
      <w:r>
        <w:rPr>
          <w:color w:val="222222"/>
          <w:shd w:val="clear" w:color="auto" w:fill="FFFFFF"/>
        </w:rPr>
        <w:t>Makinson</w:t>
      </w:r>
      <w:proofErr w:type="spellEnd"/>
      <w:r>
        <w:rPr>
          <w:color w:val="222222"/>
          <w:shd w:val="clear" w:color="auto" w:fill="FFFFFF"/>
        </w:rPr>
        <w:t xml:space="preserve"> RO, Stanley R, Walsh N, Wrigley D, Broadhurst L (2021) </w:t>
      </w:r>
      <w:r>
        <w:rPr>
          <w:i/>
          <w:iCs/>
          <w:color w:val="222222"/>
          <w:shd w:val="clear" w:color="auto" w:fill="FFFFFF"/>
        </w:rPr>
        <w:t xml:space="preserve">Plant Germplasm Conservation in Australia: strategies and guidelines for developing, </w:t>
      </w:r>
      <w:proofErr w:type="gramStart"/>
      <w:r>
        <w:rPr>
          <w:i/>
          <w:iCs/>
          <w:color w:val="222222"/>
          <w:shd w:val="clear" w:color="auto" w:fill="FFFFFF"/>
        </w:rPr>
        <w:t>managing</w:t>
      </w:r>
      <w:proofErr w:type="gramEnd"/>
      <w:r>
        <w:rPr>
          <w:i/>
          <w:iCs/>
          <w:color w:val="222222"/>
          <w:shd w:val="clear" w:color="auto" w:fill="FFFFFF"/>
        </w:rPr>
        <w:t xml:space="preserve"> and utilising ex situ collection. Third edition.</w:t>
      </w:r>
      <w:r>
        <w:rPr>
          <w:color w:val="222222"/>
          <w:shd w:val="clear" w:color="auto" w:fill="FFFFFF"/>
        </w:rPr>
        <w:t xml:space="preserve"> Australian Network for Plant Conservation, Canberra.</w:t>
      </w:r>
    </w:p>
    <w:p w14:paraId="7681C7F6" w14:textId="42953135" w:rsidR="00936153" w:rsidRDefault="00936153" w:rsidP="00936153">
      <w:pPr>
        <w:spacing w:before="240"/>
        <w:ind w:left="720" w:hanging="720"/>
        <w:rPr>
          <w:color w:val="222222"/>
          <w:shd w:val="clear" w:color="auto" w:fill="FFFFFF"/>
        </w:rPr>
      </w:pPr>
      <w:r>
        <w:rPr>
          <w:color w:val="222222"/>
          <w:shd w:val="clear" w:color="auto" w:fill="FFFFFF"/>
        </w:rPr>
        <w:t>Miles J (2017)</w:t>
      </w:r>
      <w:r w:rsidR="00C10459">
        <w:rPr>
          <w:color w:val="222222"/>
          <w:shd w:val="clear" w:color="auto" w:fill="FFFFFF"/>
        </w:rPr>
        <w:t xml:space="preserve">. </w:t>
      </w:r>
      <w:r w:rsidR="00C10459" w:rsidRPr="00F2266D">
        <w:rPr>
          <w:rStyle w:val="Emphasis"/>
        </w:rPr>
        <w:t xml:space="preserve">Acacia </w:t>
      </w:r>
      <w:proofErr w:type="spellStart"/>
      <w:r w:rsidR="00C10459" w:rsidRPr="00F2266D">
        <w:rPr>
          <w:rStyle w:val="Emphasis"/>
        </w:rPr>
        <w:t>constablei</w:t>
      </w:r>
      <w:proofErr w:type="spellEnd"/>
      <w:r w:rsidR="00C10459" w:rsidRPr="00C10459">
        <w:rPr>
          <w:color w:val="222222"/>
          <w:shd w:val="clear" w:color="auto" w:fill="FFFFFF"/>
        </w:rPr>
        <w:t xml:space="preserve"> </w:t>
      </w:r>
      <w:proofErr w:type="gramStart"/>
      <w:r w:rsidR="00C10459">
        <w:rPr>
          <w:color w:val="222222"/>
          <w:shd w:val="clear" w:color="auto" w:fill="FFFFFF"/>
        </w:rPr>
        <w:t>Post-fire</w:t>
      </w:r>
      <w:proofErr w:type="gramEnd"/>
      <w:r w:rsidR="00C10459">
        <w:rPr>
          <w:color w:val="222222"/>
          <w:shd w:val="clear" w:color="auto" w:fill="FFFFFF"/>
        </w:rPr>
        <w:t xml:space="preserve"> resurvey. </w:t>
      </w:r>
      <w:r w:rsidR="00C10459" w:rsidRPr="00C10459">
        <w:rPr>
          <w:color w:val="222222"/>
          <w:shd w:val="clear" w:color="auto" w:fill="FFFFFF"/>
        </w:rPr>
        <w:t xml:space="preserve">Report prepared for </w:t>
      </w:r>
      <w:r w:rsidR="00C10459" w:rsidRPr="00A958FF">
        <w:t>Department of Planning, Industry and Environment</w:t>
      </w:r>
      <w:r w:rsidR="00C10459">
        <w:t xml:space="preserve">, NSW. </w:t>
      </w:r>
    </w:p>
    <w:p w14:paraId="4E1EAB8C" w14:textId="02BE9CF1" w:rsidR="00C10459" w:rsidRDefault="00C10459" w:rsidP="00C10459">
      <w:pPr>
        <w:spacing w:before="240"/>
        <w:ind w:left="720" w:hanging="720"/>
      </w:pPr>
      <w:r>
        <w:rPr>
          <w:color w:val="222222"/>
          <w:shd w:val="clear" w:color="auto" w:fill="FFFFFF"/>
        </w:rPr>
        <w:t xml:space="preserve">Miles J (2021). </w:t>
      </w:r>
      <w:r w:rsidRPr="00F2266D">
        <w:rPr>
          <w:rStyle w:val="Emphasis"/>
        </w:rPr>
        <w:t xml:space="preserve">Acacia </w:t>
      </w:r>
      <w:proofErr w:type="spellStart"/>
      <w:r w:rsidRPr="00F2266D">
        <w:rPr>
          <w:rStyle w:val="Emphasis"/>
        </w:rPr>
        <w:t>constablei</w:t>
      </w:r>
      <w:proofErr w:type="spellEnd"/>
      <w:r w:rsidRPr="00C10459">
        <w:rPr>
          <w:color w:val="222222"/>
          <w:shd w:val="clear" w:color="auto" w:fill="FFFFFF"/>
        </w:rPr>
        <w:t xml:space="preserve"> </w:t>
      </w:r>
      <w:proofErr w:type="gramStart"/>
      <w:r>
        <w:rPr>
          <w:color w:val="222222"/>
          <w:shd w:val="clear" w:color="auto" w:fill="FFFFFF"/>
        </w:rPr>
        <w:t>Post-fire</w:t>
      </w:r>
      <w:proofErr w:type="gramEnd"/>
      <w:r>
        <w:rPr>
          <w:color w:val="222222"/>
          <w:shd w:val="clear" w:color="auto" w:fill="FFFFFF"/>
        </w:rPr>
        <w:t xml:space="preserve"> resurvey. </w:t>
      </w:r>
      <w:r w:rsidRPr="00C10459">
        <w:rPr>
          <w:color w:val="222222"/>
          <w:shd w:val="clear" w:color="auto" w:fill="FFFFFF"/>
        </w:rPr>
        <w:t xml:space="preserve">Report prepared for </w:t>
      </w:r>
      <w:r w:rsidRPr="00A958FF">
        <w:t>Department of Planning, Industry and Environment</w:t>
      </w:r>
      <w:r>
        <w:t xml:space="preserve">, NSW. </w:t>
      </w:r>
    </w:p>
    <w:p w14:paraId="5D549B75" w14:textId="60FE5DF0" w:rsidR="00AF5442" w:rsidRDefault="00AF5442" w:rsidP="00AF5442">
      <w:pPr>
        <w:widowControl w:val="0"/>
        <w:autoSpaceDE w:val="0"/>
        <w:autoSpaceDN w:val="0"/>
        <w:adjustRightInd w:val="0"/>
        <w:ind w:left="720" w:hanging="720"/>
      </w:pPr>
      <w:r>
        <w:t xml:space="preserve">Miles J (2021) </w:t>
      </w:r>
      <w:r>
        <w:rPr>
          <w:rFonts w:cs="Arial"/>
          <w:color w:val="222222"/>
          <w:shd w:val="clear" w:color="auto" w:fill="FFFFFF"/>
        </w:rPr>
        <w:t xml:space="preserve">Personal communication by email, </w:t>
      </w:r>
      <w:r w:rsidR="001C7F43">
        <w:rPr>
          <w:rFonts w:cs="Arial"/>
          <w:color w:val="222222"/>
          <w:shd w:val="clear" w:color="auto" w:fill="FFFFFF"/>
        </w:rPr>
        <w:t>9 &amp; 10 December</w:t>
      </w:r>
      <w:r>
        <w:rPr>
          <w:rFonts w:cs="Arial"/>
          <w:color w:val="222222"/>
          <w:shd w:val="clear" w:color="auto" w:fill="FFFFFF"/>
        </w:rPr>
        <w:t xml:space="preserve"> 2021. </w:t>
      </w:r>
      <w:r w:rsidR="001C7F43" w:rsidRPr="001C7F43">
        <w:rPr>
          <w:rFonts w:cs="Arial"/>
          <w:color w:val="222222"/>
          <w:shd w:val="clear" w:color="auto" w:fill="FFFFFF"/>
        </w:rPr>
        <w:t>Consultant Botanist</w:t>
      </w:r>
      <w:r>
        <w:t>, NSW.</w:t>
      </w:r>
    </w:p>
    <w:p w14:paraId="373D4363" w14:textId="308BF7AD" w:rsidR="006E4F30" w:rsidRDefault="006E4F30" w:rsidP="006E4F30">
      <w:pPr>
        <w:widowControl w:val="0"/>
        <w:autoSpaceDE w:val="0"/>
        <w:autoSpaceDN w:val="0"/>
        <w:adjustRightInd w:val="0"/>
        <w:ind w:left="720" w:hanging="720"/>
      </w:pPr>
      <w:r>
        <w:t xml:space="preserve">Miles J (2022) </w:t>
      </w:r>
      <w:r w:rsidR="00833204">
        <w:t xml:space="preserve">Wattle Identification from Pulpit Rock Area, Green Cape, Ben Boyd National Park. Report prepared </w:t>
      </w:r>
      <w:r w:rsidR="00833204" w:rsidRPr="00C10459">
        <w:rPr>
          <w:color w:val="222222"/>
          <w:shd w:val="clear" w:color="auto" w:fill="FFFFFF"/>
        </w:rPr>
        <w:t xml:space="preserve">for </w:t>
      </w:r>
      <w:r w:rsidR="00833204" w:rsidRPr="00A958FF">
        <w:t>Department of Planning, Industry and Environment</w:t>
      </w:r>
      <w:r w:rsidR="00833204">
        <w:t xml:space="preserve">. </w:t>
      </w:r>
    </w:p>
    <w:p w14:paraId="089C4B26" w14:textId="671A699F" w:rsidR="001D0EDA" w:rsidRDefault="00C73305" w:rsidP="001D0EDA">
      <w:pPr>
        <w:spacing w:after="0" w:line="240" w:lineRule="auto"/>
        <w:ind w:left="720" w:hanging="720"/>
        <w:rPr>
          <w:rFonts w:cs="Arial"/>
          <w:i/>
          <w:iCs/>
          <w:shd w:val="clear" w:color="auto" w:fill="FFFFFF"/>
        </w:rPr>
      </w:pPr>
      <w:r>
        <w:rPr>
          <w:rFonts w:cs="Arial"/>
          <w:shd w:val="clear" w:color="auto" w:fill="FFFFFF"/>
        </w:rPr>
        <w:t xml:space="preserve">Nolan RH, Boer MM, Collins L. </w:t>
      </w:r>
      <w:proofErr w:type="spellStart"/>
      <w:r>
        <w:rPr>
          <w:rFonts w:cs="Arial"/>
          <w:shd w:val="clear" w:color="auto" w:fill="FFFFFF"/>
        </w:rPr>
        <w:t>Resco</w:t>
      </w:r>
      <w:proofErr w:type="spellEnd"/>
      <w:r>
        <w:rPr>
          <w:rFonts w:cs="Arial"/>
          <w:shd w:val="clear" w:color="auto" w:fill="FFFFFF"/>
        </w:rPr>
        <w:t xml:space="preserve"> de Dios Victor, Clarke H, Jenkins M, Kenny B &amp; Bradstock RA (2020) Causes and consequences of eastern Australia’s 2019–20 season of mega-fires. </w:t>
      </w:r>
      <w:r>
        <w:rPr>
          <w:rFonts w:cs="Arial"/>
          <w:i/>
          <w:iCs/>
          <w:shd w:val="clear" w:color="auto" w:fill="FFFFFF"/>
        </w:rPr>
        <w:t>Global change biology</w:t>
      </w:r>
      <w:r>
        <w:rPr>
          <w:rFonts w:cs="Arial"/>
          <w:shd w:val="clear" w:color="auto" w:fill="FFFFFF"/>
        </w:rPr>
        <w:t xml:space="preserve">. </w:t>
      </w:r>
      <w:r>
        <w:rPr>
          <w:rFonts w:cs="Arial"/>
          <w:i/>
          <w:iCs/>
          <w:shd w:val="clear" w:color="auto" w:fill="FFFFFF"/>
        </w:rPr>
        <w:t xml:space="preserve"> </w:t>
      </w:r>
    </w:p>
    <w:p w14:paraId="44C0A803" w14:textId="77777777" w:rsidR="001D0EDA" w:rsidRDefault="001D0EDA" w:rsidP="001D0EDA">
      <w:pPr>
        <w:spacing w:after="0" w:line="240" w:lineRule="auto"/>
        <w:ind w:left="720" w:hanging="720"/>
        <w:rPr>
          <w:rFonts w:cs="Arial"/>
          <w:i/>
          <w:iCs/>
          <w:shd w:val="clear" w:color="auto" w:fill="FFFFFF"/>
        </w:rPr>
      </w:pPr>
    </w:p>
    <w:p w14:paraId="02C053A2" w14:textId="3D3643BF" w:rsidR="001D0EDA" w:rsidRDefault="001D0EDA" w:rsidP="001D0EDA">
      <w:pPr>
        <w:spacing w:after="0" w:line="240" w:lineRule="auto"/>
        <w:ind w:left="720" w:hanging="720"/>
        <w:rPr>
          <w:rFonts w:cs="Arial"/>
          <w:i/>
          <w:iCs/>
          <w:shd w:val="clear" w:color="auto" w:fill="FFFFFF"/>
        </w:rPr>
      </w:pPr>
      <w:r>
        <w:t xml:space="preserve">NSW Government (2014) </w:t>
      </w:r>
      <w:proofErr w:type="gramStart"/>
      <w:r>
        <w:t>South East</w:t>
      </w:r>
      <w:proofErr w:type="gramEnd"/>
      <w:r>
        <w:t xml:space="preserve"> and Tablelands Climate change snapshot Overview of North Coast Region climate change. NSW Government, Sydney. </w:t>
      </w:r>
    </w:p>
    <w:p w14:paraId="09B85080" w14:textId="77777777" w:rsidR="001D0EDA" w:rsidRDefault="001D0EDA" w:rsidP="001D0EDA">
      <w:pPr>
        <w:spacing w:after="0" w:line="240" w:lineRule="auto"/>
        <w:ind w:left="720" w:hanging="720"/>
        <w:rPr>
          <w:rFonts w:cs="Arial"/>
          <w:i/>
          <w:iCs/>
          <w:shd w:val="clear" w:color="auto" w:fill="FFFFFF"/>
        </w:rPr>
      </w:pPr>
    </w:p>
    <w:p w14:paraId="2576186D" w14:textId="27552D51" w:rsidR="00C73305" w:rsidRDefault="00CD4AC3" w:rsidP="001D0EDA">
      <w:pPr>
        <w:spacing w:after="0" w:line="240" w:lineRule="auto"/>
        <w:ind w:left="720" w:hanging="720"/>
        <w:rPr>
          <w:rFonts w:cs="Arial"/>
          <w:i/>
          <w:iCs/>
          <w:shd w:val="clear" w:color="auto" w:fill="FFFFFF"/>
        </w:rPr>
      </w:pPr>
      <w:r>
        <w:t>NPWS (National Parks and Wildlife Service) (200</w:t>
      </w:r>
      <w:r w:rsidR="00354C29">
        <w:t>2</w:t>
      </w:r>
      <w:r>
        <w:t xml:space="preserve">). Recovery Plan for Threatened Flora of Rocky Outcrops in </w:t>
      </w:r>
      <w:proofErr w:type="gramStart"/>
      <w:r>
        <w:t>South Eastern</w:t>
      </w:r>
      <w:proofErr w:type="gramEnd"/>
      <w:r>
        <w:t xml:space="preserve"> New South Wales. NSW National Parks and Wildlife Service. Hurstville, NSW. </w:t>
      </w:r>
    </w:p>
    <w:p w14:paraId="461D9F2B" w14:textId="77777777" w:rsidR="00C73305" w:rsidRDefault="00C73305" w:rsidP="00C73305">
      <w:pPr>
        <w:spacing w:after="0" w:line="240" w:lineRule="auto"/>
        <w:ind w:left="720" w:hanging="720"/>
        <w:rPr>
          <w:rFonts w:cs="Arial"/>
          <w:i/>
          <w:iCs/>
          <w:shd w:val="clear" w:color="auto" w:fill="FFFFFF"/>
        </w:rPr>
      </w:pPr>
    </w:p>
    <w:p w14:paraId="768A8707" w14:textId="3FF1D7CA" w:rsidR="00C73305" w:rsidRDefault="009B0F42" w:rsidP="00C73305">
      <w:pPr>
        <w:spacing w:after="0" w:line="240" w:lineRule="auto"/>
        <w:ind w:left="720" w:hanging="720"/>
        <w:rPr>
          <w:rStyle w:val="Hyperlink"/>
        </w:rPr>
      </w:pPr>
      <w:r>
        <w:t xml:space="preserve">NPWS (National Parks and Wildlife Service) (2021). </w:t>
      </w:r>
      <w:proofErr w:type="spellStart"/>
      <w:r>
        <w:t>Nadgee</w:t>
      </w:r>
      <w:proofErr w:type="spellEnd"/>
      <w:r>
        <w:t xml:space="preserve"> Nature Reserve. Accessed 25 October 2021. Available at: </w:t>
      </w:r>
      <w:hyperlink r:id="rId34" w:history="1">
        <w:r w:rsidR="00C73305" w:rsidRPr="006A16B1">
          <w:rPr>
            <w:rStyle w:val="Hyperlink"/>
          </w:rPr>
          <w:t>https://www.nationalparks.nsw.gov.au/visit-a-park/parks/nadgee-nature-reserve/learn-more</w:t>
        </w:r>
      </w:hyperlink>
    </w:p>
    <w:p w14:paraId="08725FD7" w14:textId="77777777" w:rsidR="00E17C99" w:rsidRDefault="00E17C99" w:rsidP="00C73305">
      <w:pPr>
        <w:spacing w:after="0" w:line="240" w:lineRule="auto"/>
        <w:ind w:left="720" w:hanging="720"/>
      </w:pPr>
    </w:p>
    <w:p w14:paraId="1E0C690B" w14:textId="29FA8215" w:rsidR="00C73305" w:rsidRDefault="00B2067E" w:rsidP="00C73305">
      <w:pPr>
        <w:spacing w:after="0" w:line="240" w:lineRule="auto"/>
        <w:ind w:left="720" w:hanging="720"/>
      </w:pPr>
      <w:r w:rsidRPr="005329F8">
        <w:t xml:space="preserve">NRM </w:t>
      </w:r>
      <w:r w:rsidR="00EC12A8" w:rsidRPr="005329F8">
        <w:t>Regions Australia (</w:t>
      </w:r>
      <w:r w:rsidRPr="005329F8">
        <w:t>2021</w:t>
      </w:r>
      <w:r w:rsidR="00EC12A8" w:rsidRPr="005329F8">
        <w:t>)</w:t>
      </w:r>
      <w:r w:rsidR="00D6511D" w:rsidRPr="005329F8">
        <w:t xml:space="preserve"> NRM regional organisation map. Accessed 25 October 2021. Available at: </w:t>
      </w:r>
      <w:hyperlink r:id="rId35" w:history="1">
        <w:r w:rsidR="00D6511D" w:rsidRPr="005329F8">
          <w:rPr>
            <w:rStyle w:val="Hyperlink"/>
          </w:rPr>
          <w:t>https://nrmregionsaustralia.com.au/nrm-regions-map/</w:t>
        </w:r>
      </w:hyperlink>
    </w:p>
    <w:p w14:paraId="2AD4225A" w14:textId="77777777" w:rsidR="00C73305" w:rsidRDefault="00C73305" w:rsidP="00C73305">
      <w:pPr>
        <w:spacing w:after="0" w:line="240" w:lineRule="auto"/>
        <w:ind w:left="720" w:hanging="720"/>
        <w:rPr>
          <w:rFonts w:cs="Arial"/>
          <w:i/>
          <w:iCs/>
          <w:shd w:val="clear" w:color="auto" w:fill="FFFFFF"/>
        </w:rPr>
      </w:pPr>
    </w:p>
    <w:p w14:paraId="36CEADBC" w14:textId="1E18B5C3" w:rsidR="00C73305" w:rsidRDefault="006345EE" w:rsidP="00C73305">
      <w:pPr>
        <w:spacing w:after="0" w:line="240" w:lineRule="auto"/>
        <w:ind w:left="720" w:hanging="720"/>
        <w:rPr>
          <w:rStyle w:val="Hyperlink"/>
        </w:rPr>
      </w:pPr>
      <w:r>
        <w:t>OEH (Office of the Environment &amp; Heritage) (2021</w:t>
      </w:r>
      <w:r w:rsidR="0010688E">
        <w:t>a</w:t>
      </w:r>
      <w:r>
        <w:t xml:space="preserve">) Species profile for </w:t>
      </w:r>
      <w:r w:rsidRPr="00496EE7">
        <w:rPr>
          <w:i/>
          <w:iCs/>
        </w:rPr>
        <w:t xml:space="preserve">Acacia </w:t>
      </w:r>
      <w:proofErr w:type="spellStart"/>
      <w:r w:rsidRPr="00496EE7">
        <w:rPr>
          <w:i/>
          <w:iCs/>
        </w:rPr>
        <w:t>constablei</w:t>
      </w:r>
      <w:proofErr w:type="spellEnd"/>
      <w:r w:rsidRPr="00496EE7">
        <w:rPr>
          <w:i/>
          <w:iCs/>
        </w:rPr>
        <w:t xml:space="preserve"> </w:t>
      </w:r>
      <w:r w:rsidRPr="00DA51C7">
        <w:t>(</w:t>
      </w:r>
      <w:proofErr w:type="spellStart"/>
      <w:r w:rsidRPr="00DA51C7">
        <w:t>Narrabarba</w:t>
      </w:r>
      <w:proofErr w:type="spellEnd"/>
      <w:r w:rsidRPr="00DA51C7">
        <w:t xml:space="preserve"> wattle)</w:t>
      </w:r>
      <w:r>
        <w:t xml:space="preserve">. </w:t>
      </w:r>
      <w:r w:rsidRPr="001E01E9">
        <w:t xml:space="preserve">Accessed: </w:t>
      </w:r>
      <w:r>
        <w:t>5 October 2021.</w:t>
      </w:r>
      <w:r w:rsidRPr="001E01E9">
        <w:t xml:space="preserve"> Available at:</w:t>
      </w:r>
      <w:r>
        <w:t xml:space="preserve"> </w:t>
      </w:r>
      <w:hyperlink r:id="rId36" w:history="1">
        <w:r w:rsidRPr="001E619A">
          <w:rPr>
            <w:rStyle w:val="Hyperlink"/>
          </w:rPr>
          <w:t>https://www.environment.nsw.gov.au/threatenedSpeciesApp/profile.aspx?id=10010</w:t>
        </w:r>
      </w:hyperlink>
    </w:p>
    <w:p w14:paraId="32C1CDC7" w14:textId="77777777" w:rsidR="002C6C03" w:rsidRDefault="002C6C03" w:rsidP="00C73305">
      <w:pPr>
        <w:spacing w:after="0" w:line="240" w:lineRule="auto"/>
        <w:ind w:left="720" w:hanging="720"/>
      </w:pPr>
    </w:p>
    <w:p w14:paraId="71014844" w14:textId="1BD5F470" w:rsidR="00D05EE3" w:rsidRDefault="00496EE7" w:rsidP="00496EE7">
      <w:pPr>
        <w:spacing w:after="0" w:line="240" w:lineRule="auto"/>
        <w:ind w:left="720" w:hanging="720"/>
        <w:rPr>
          <w:rStyle w:val="Hyperlink"/>
          <w:rFonts w:cs="Arial"/>
          <w:color w:val="auto"/>
          <w:u w:val="none"/>
          <w:shd w:val="clear" w:color="auto" w:fill="FFFFFF"/>
        </w:rPr>
      </w:pPr>
      <w:r>
        <w:t>OEH (Office of the Environment &amp; Heritage) (2021</w:t>
      </w:r>
      <w:r w:rsidR="0010688E">
        <w:t>b</w:t>
      </w:r>
      <w:r>
        <w:t xml:space="preserve">) Saving our Species strategy for </w:t>
      </w:r>
      <w:r w:rsidRPr="00496EE7">
        <w:rPr>
          <w:i/>
          <w:iCs/>
        </w:rPr>
        <w:t xml:space="preserve">Acacia </w:t>
      </w:r>
      <w:proofErr w:type="spellStart"/>
      <w:r w:rsidRPr="00496EE7">
        <w:rPr>
          <w:i/>
          <w:iCs/>
        </w:rPr>
        <w:t>constablei</w:t>
      </w:r>
      <w:proofErr w:type="spellEnd"/>
      <w:r w:rsidRPr="00496EE7">
        <w:rPr>
          <w:i/>
          <w:iCs/>
        </w:rPr>
        <w:t xml:space="preserve"> </w:t>
      </w:r>
      <w:r w:rsidRPr="00DA51C7">
        <w:t>(</w:t>
      </w:r>
      <w:proofErr w:type="spellStart"/>
      <w:r w:rsidRPr="00DA51C7">
        <w:t>Narrabarba</w:t>
      </w:r>
      <w:proofErr w:type="spellEnd"/>
      <w:r w:rsidRPr="00DA51C7">
        <w:t xml:space="preserve"> wattle)</w:t>
      </w:r>
      <w:r>
        <w:t xml:space="preserve">. </w:t>
      </w:r>
      <w:hyperlink r:id="rId37" w:history="1">
        <w:r w:rsidRPr="00870087">
          <w:rPr>
            <w:rStyle w:val="Hyperlink"/>
            <w:rFonts w:cs="Arial"/>
            <w:shd w:val="clear" w:color="auto" w:fill="FFFFFF"/>
          </w:rPr>
          <w:t>https://www.environment.nsw.gov.au/savingourspeciesapp/project.aspx?ProfileID=10010</w:t>
        </w:r>
      </w:hyperlink>
    </w:p>
    <w:p w14:paraId="68409F11" w14:textId="35DF63A6" w:rsidR="002C6C03" w:rsidRDefault="002C6C03" w:rsidP="00C73305">
      <w:pPr>
        <w:spacing w:after="0" w:line="240" w:lineRule="auto"/>
        <w:ind w:left="720" w:hanging="720"/>
      </w:pPr>
    </w:p>
    <w:p w14:paraId="263511BF" w14:textId="77777777" w:rsidR="00CB032C" w:rsidRPr="007D5FC8" w:rsidRDefault="00CB032C" w:rsidP="00CB032C">
      <w:pPr>
        <w:ind w:left="680" w:hanging="720"/>
        <w:rPr>
          <w:rFonts w:cs="Arial"/>
          <w:color w:val="222222"/>
          <w:shd w:val="clear" w:color="auto" w:fill="FFFFFF"/>
        </w:rPr>
      </w:pPr>
      <w:r w:rsidRPr="007D5FC8">
        <w:rPr>
          <w:rFonts w:cs="Arial"/>
          <w:color w:val="222222"/>
          <w:shd w:val="clear" w:color="auto" w:fill="FFFFFF"/>
        </w:rPr>
        <w:t xml:space="preserve">Ooi MK, Whelan RJ &amp; Auld TD (2006) Persistence of obligate-seeding species at the population scale: Effects of fire intensity, fire patchiness and long fire-free intervals. </w:t>
      </w:r>
      <w:r w:rsidRPr="007D5FC8">
        <w:rPr>
          <w:rFonts w:cs="Arial"/>
          <w:i/>
          <w:iCs/>
          <w:color w:val="222222"/>
          <w:shd w:val="clear" w:color="auto" w:fill="FFFFFF"/>
        </w:rPr>
        <w:t>International Journal of Wildland Fire</w:t>
      </w:r>
      <w:r w:rsidRPr="007D5FC8">
        <w:rPr>
          <w:rFonts w:cs="Arial"/>
          <w:color w:val="222222"/>
          <w:shd w:val="clear" w:color="auto" w:fill="FFFFFF"/>
        </w:rPr>
        <w:t xml:space="preserve"> 15, 261–269. </w:t>
      </w:r>
    </w:p>
    <w:p w14:paraId="3698A508" w14:textId="54CF60F9" w:rsidR="00510B20" w:rsidRDefault="00CD4AC3" w:rsidP="00510B20">
      <w:pPr>
        <w:spacing w:after="0" w:line="240" w:lineRule="auto"/>
        <w:ind w:left="720" w:hanging="720"/>
      </w:pPr>
      <w:r>
        <w:lastRenderedPageBreak/>
        <w:t xml:space="preserve">Orchard AE </w:t>
      </w:r>
      <w:r w:rsidR="00A97B47">
        <w:t>&amp;</w:t>
      </w:r>
      <w:r>
        <w:t xml:space="preserve"> AJG Wilson (eds) (2001) </w:t>
      </w:r>
      <w:r w:rsidRPr="003F510C">
        <w:rPr>
          <w:i/>
          <w:iCs/>
        </w:rPr>
        <w:t>Flora of Australia</w:t>
      </w:r>
      <w:r>
        <w:t xml:space="preserve">, Volume 11A, Mimosaceae, Acacia </w:t>
      </w:r>
      <w:r w:rsidR="00510B20">
        <w:br/>
      </w:r>
      <w:r>
        <w:t>Part 1.</w:t>
      </w:r>
    </w:p>
    <w:p w14:paraId="32C80607" w14:textId="77777777" w:rsidR="000F6F03" w:rsidRDefault="000F6F03" w:rsidP="00510B20">
      <w:pPr>
        <w:spacing w:after="0" w:line="240" w:lineRule="auto"/>
        <w:ind w:left="720" w:hanging="720"/>
      </w:pPr>
    </w:p>
    <w:p w14:paraId="2FB65A0F" w14:textId="5FCAB357" w:rsidR="00510B20" w:rsidRDefault="007D1723" w:rsidP="00F00573">
      <w:pPr>
        <w:widowControl w:val="0"/>
        <w:autoSpaceDE w:val="0"/>
        <w:autoSpaceDN w:val="0"/>
        <w:adjustRightInd w:val="0"/>
        <w:ind w:left="720" w:hanging="720"/>
      </w:pPr>
      <w:r>
        <w:t xml:space="preserve">Phillips G (2021) </w:t>
      </w:r>
      <w:r>
        <w:rPr>
          <w:rFonts w:cs="Arial"/>
          <w:color w:val="222222"/>
          <w:shd w:val="clear" w:color="auto" w:fill="FFFFFF"/>
        </w:rPr>
        <w:t xml:space="preserve">Personal communication by email, </w:t>
      </w:r>
      <w:r w:rsidR="00FD727A">
        <w:rPr>
          <w:rFonts w:cs="Arial"/>
          <w:color w:val="222222"/>
          <w:shd w:val="clear" w:color="auto" w:fill="FFFFFF"/>
        </w:rPr>
        <w:t>23</w:t>
      </w:r>
      <w:r>
        <w:rPr>
          <w:rFonts w:cs="Arial"/>
          <w:color w:val="222222"/>
          <w:shd w:val="clear" w:color="auto" w:fill="FFFFFF"/>
        </w:rPr>
        <w:t xml:space="preserve"> </w:t>
      </w:r>
      <w:r w:rsidR="00FD727A">
        <w:rPr>
          <w:rFonts w:cs="Arial"/>
          <w:color w:val="222222"/>
          <w:shd w:val="clear" w:color="auto" w:fill="FFFFFF"/>
        </w:rPr>
        <w:t>November</w:t>
      </w:r>
      <w:r w:rsidR="00D00812">
        <w:rPr>
          <w:rFonts w:cs="Arial"/>
          <w:color w:val="222222"/>
          <w:shd w:val="clear" w:color="auto" w:fill="FFFFFF"/>
        </w:rPr>
        <w:t xml:space="preserve"> &amp; 3 December</w:t>
      </w:r>
      <w:r>
        <w:rPr>
          <w:rFonts w:cs="Arial"/>
          <w:color w:val="222222"/>
          <w:shd w:val="clear" w:color="auto" w:fill="FFFFFF"/>
        </w:rPr>
        <w:t xml:space="preserve"> 2021.</w:t>
      </w:r>
      <w:r w:rsidR="00F00573">
        <w:t xml:space="preserve"> </w:t>
      </w:r>
      <w:r w:rsidR="00FD727A">
        <w:t xml:space="preserve">Seedbank </w:t>
      </w:r>
      <w:proofErr w:type="gramStart"/>
      <w:r w:rsidR="00FD727A">
        <w:t>Officer</w:t>
      </w:r>
      <w:r w:rsidR="00D916C8">
        <w:t xml:space="preserve">, </w:t>
      </w:r>
      <w:r w:rsidR="00FD727A">
        <w:t xml:space="preserve"> Australian</w:t>
      </w:r>
      <w:proofErr w:type="gramEnd"/>
      <w:r w:rsidR="00FD727A">
        <w:t xml:space="preserve"> Institute of Botanical Science</w:t>
      </w:r>
      <w:r w:rsidR="00D916C8">
        <w:t xml:space="preserve">, </w:t>
      </w:r>
      <w:r w:rsidR="00FD727A">
        <w:t>Royal Botanic Gardens and Domain Trust</w:t>
      </w:r>
      <w:r w:rsidR="00D916C8">
        <w:t xml:space="preserve">, NSW. </w:t>
      </w:r>
    </w:p>
    <w:p w14:paraId="75E2D717" w14:textId="36A70BD9" w:rsidR="00510B20" w:rsidRDefault="00510B20" w:rsidP="00510B20">
      <w:pPr>
        <w:spacing w:after="0" w:line="240" w:lineRule="auto"/>
        <w:ind w:left="720" w:hanging="720"/>
        <w:rPr>
          <w:rFonts w:cs="Arial"/>
          <w:color w:val="222222"/>
          <w:shd w:val="clear" w:color="auto" w:fill="FFFFFF"/>
        </w:rPr>
      </w:pPr>
      <w:r w:rsidRPr="00D17E55">
        <w:rPr>
          <w:rFonts w:cs="Arial"/>
          <w:color w:val="222222"/>
          <w:shd w:val="clear" w:color="auto" w:fill="FFFFFF"/>
        </w:rPr>
        <w:t xml:space="preserve">Stone GN, Raine NE, Prescott M &amp; </w:t>
      </w:r>
      <w:proofErr w:type="spellStart"/>
      <w:r w:rsidRPr="00D17E55">
        <w:rPr>
          <w:rFonts w:cs="Arial"/>
          <w:color w:val="222222"/>
          <w:shd w:val="clear" w:color="auto" w:fill="FFFFFF"/>
        </w:rPr>
        <w:t>Willmer</w:t>
      </w:r>
      <w:proofErr w:type="spellEnd"/>
      <w:r w:rsidRPr="00D17E55">
        <w:rPr>
          <w:rFonts w:cs="Arial"/>
          <w:color w:val="222222"/>
          <w:shd w:val="clear" w:color="auto" w:fill="FFFFFF"/>
        </w:rPr>
        <w:t xml:space="preserve"> PG (2003) Pollination ecology of acacias (Fabaceae, </w:t>
      </w:r>
      <w:proofErr w:type="spellStart"/>
      <w:r w:rsidRPr="00D17E55">
        <w:rPr>
          <w:rFonts w:cs="Arial"/>
          <w:color w:val="222222"/>
          <w:shd w:val="clear" w:color="auto" w:fill="FFFFFF"/>
        </w:rPr>
        <w:t>Mimosoideae</w:t>
      </w:r>
      <w:proofErr w:type="spellEnd"/>
      <w:r w:rsidRPr="00D17E55">
        <w:rPr>
          <w:rFonts w:cs="Arial"/>
          <w:color w:val="222222"/>
          <w:shd w:val="clear" w:color="auto" w:fill="FFFFFF"/>
        </w:rPr>
        <w:t xml:space="preserve">). </w:t>
      </w:r>
      <w:r w:rsidRPr="00AF6825">
        <w:rPr>
          <w:rFonts w:cs="Arial"/>
          <w:i/>
          <w:iCs/>
          <w:color w:val="222222"/>
          <w:shd w:val="clear" w:color="auto" w:fill="FFFFFF"/>
        </w:rPr>
        <w:t>Australian Systematic Botany</w:t>
      </w:r>
      <w:r w:rsidRPr="00D17E55">
        <w:rPr>
          <w:rFonts w:cs="Arial"/>
          <w:color w:val="222222"/>
          <w:shd w:val="clear" w:color="auto" w:fill="FFFFFF"/>
        </w:rPr>
        <w:t xml:space="preserve"> 16, 103–118</w:t>
      </w:r>
    </w:p>
    <w:p w14:paraId="417E5EA5" w14:textId="77777777" w:rsidR="0029637B" w:rsidRPr="00510B20" w:rsidRDefault="0029637B" w:rsidP="00510B20">
      <w:pPr>
        <w:spacing w:after="0" w:line="240" w:lineRule="auto"/>
        <w:ind w:left="720" w:hanging="720"/>
      </w:pPr>
    </w:p>
    <w:p w14:paraId="49F520C0" w14:textId="556AEB02" w:rsidR="00CD4AC3" w:rsidRPr="00C73305" w:rsidRDefault="00CD4AC3" w:rsidP="00C73305">
      <w:pPr>
        <w:spacing w:after="0" w:line="240" w:lineRule="auto"/>
        <w:ind w:left="720" w:hanging="720"/>
        <w:rPr>
          <w:rFonts w:cs="Arial"/>
          <w:i/>
          <w:iCs/>
          <w:shd w:val="clear" w:color="auto" w:fill="FFFFFF"/>
        </w:rPr>
      </w:pPr>
      <w:r>
        <w:t>Tindale MD (1980). Notes on Australian taxa of Acacia No. 6. Telopea 1 (6):429-449.</w:t>
      </w:r>
    </w:p>
    <w:p w14:paraId="4B3156DB" w14:textId="1E82BE32" w:rsidR="003A06CA" w:rsidRDefault="003A06CA" w:rsidP="003A06CA">
      <w:pPr>
        <w:pStyle w:val="Heading2"/>
        <w:pageBreakBefore/>
        <w:ind w:left="720" w:hanging="720"/>
      </w:pPr>
      <w:r>
        <w:lastRenderedPageBreak/>
        <w:t xml:space="preserve">Attachment A: Listing </w:t>
      </w:r>
      <w:r w:rsidR="0012461E">
        <w:t>A</w:t>
      </w:r>
      <w:r>
        <w:t xml:space="preserve">ssessment for </w:t>
      </w:r>
      <w:r w:rsidR="00BE56E7" w:rsidRPr="00F2266D">
        <w:rPr>
          <w:rStyle w:val="Emphasis"/>
        </w:rPr>
        <w:t xml:space="preserve">Acacia </w:t>
      </w:r>
      <w:proofErr w:type="spellStart"/>
      <w:r w:rsidR="00BE56E7" w:rsidRPr="00F2266D">
        <w:rPr>
          <w:rStyle w:val="Emphasis"/>
        </w:rPr>
        <w:t>constablei</w:t>
      </w:r>
      <w:proofErr w:type="spellEnd"/>
    </w:p>
    <w:p w14:paraId="3EDDFB9B" w14:textId="7BB4B657" w:rsidR="003A06CA" w:rsidRDefault="003A06CA" w:rsidP="00933A0D">
      <w:pPr>
        <w:pStyle w:val="Heading3"/>
        <w:ind w:left="964" w:hanging="964"/>
        <w:rPr>
          <w:lang w:eastAsia="ja-JP"/>
        </w:rPr>
      </w:pPr>
      <w:r>
        <w:rPr>
          <w:lang w:eastAsia="ja-JP"/>
        </w:rPr>
        <w:t>Reason for assessment</w:t>
      </w:r>
    </w:p>
    <w:p w14:paraId="3DA2744B" w14:textId="6C02EC49" w:rsidR="00D338ED" w:rsidRPr="00FC1CAF" w:rsidRDefault="00EC640B" w:rsidP="00D338ED">
      <w:pPr>
        <w:rPr>
          <w:lang w:eastAsia="ja-JP"/>
        </w:rPr>
      </w:pPr>
      <w:r w:rsidRPr="0042386C">
        <w:rPr>
          <w:i/>
          <w:lang w:eastAsia="ja-JP"/>
        </w:rPr>
        <w:t xml:space="preserve">Acacia </w:t>
      </w:r>
      <w:r w:rsidR="00876DD9" w:rsidRPr="0042386C">
        <w:rPr>
          <w:i/>
          <w:lang w:eastAsia="ja-JP"/>
        </w:rPr>
        <w:t>constable</w:t>
      </w:r>
      <w:r w:rsidR="00876DD9" w:rsidRPr="00EC640B">
        <w:rPr>
          <w:lang w:eastAsia="ja-JP"/>
        </w:rPr>
        <w:t xml:space="preserve"> </w:t>
      </w:r>
      <w:r w:rsidR="00876DD9" w:rsidRPr="00FC1CAF">
        <w:rPr>
          <w:lang w:eastAsia="ja-JP"/>
        </w:rPr>
        <w:t>was</w:t>
      </w:r>
      <w:r w:rsidR="00D338ED" w:rsidRPr="00FC1CAF">
        <w:rPr>
          <w:lang w:eastAsia="ja-JP"/>
        </w:rPr>
        <w:t xml:space="preserve"> listed as </w:t>
      </w:r>
      <w:sdt>
        <w:sdtPr>
          <w:id w:val="-986937263"/>
          <w:placeholder>
            <w:docPart w:val="5E36D0F3077F4FF186E9FD6C0016B54E"/>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listItem w:displayText="Extinct" w:value="Extinct"/>
          </w:dropDownList>
        </w:sdtPr>
        <w:sdtEndPr/>
        <w:sdtContent>
          <w:r w:rsidR="00D338ED" w:rsidRPr="00FC1CAF">
            <w:t>Endangered</w:t>
          </w:r>
        </w:sdtContent>
      </w:sdt>
      <w:r w:rsidR="00D338ED" w:rsidRPr="00FC1CAF" w:rsidDel="00933A0D">
        <w:rPr>
          <w:lang w:eastAsia="ja-JP"/>
        </w:rPr>
        <w:t xml:space="preserve"> </w:t>
      </w:r>
      <w:r w:rsidR="00D338ED" w:rsidRPr="00FC1CAF">
        <w:rPr>
          <w:lang w:eastAsia="ja-JP"/>
        </w:rPr>
        <w:t xml:space="preserve">under the </w:t>
      </w:r>
      <w:r w:rsidR="00D338ED" w:rsidRPr="00FC1CAF">
        <w:rPr>
          <w:rStyle w:val="Emphasis"/>
        </w:rPr>
        <w:t xml:space="preserve">Endangered </w:t>
      </w:r>
      <w:r w:rsidR="00D338ED">
        <w:rPr>
          <w:rStyle w:val="Emphasis"/>
        </w:rPr>
        <w:t>Species</w:t>
      </w:r>
      <w:r w:rsidR="00D338ED" w:rsidRPr="00FC1CAF">
        <w:rPr>
          <w:rStyle w:val="Emphasis"/>
        </w:rPr>
        <w:t xml:space="preserve"> Protection Act 1992</w:t>
      </w:r>
      <w:r w:rsidR="00D338ED" w:rsidRPr="00FC1CAF">
        <w:rPr>
          <w:lang w:eastAsia="ja-JP"/>
        </w:rPr>
        <w:t xml:space="preserve"> and transferred to the </w:t>
      </w:r>
      <w:r w:rsidR="00D338ED" w:rsidRPr="00FC1CAF">
        <w:rPr>
          <w:rStyle w:val="Emphasis"/>
        </w:rPr>
        <w:t>Environment Protection and Biodiversity Conservation Act 1999</w:t>
      </w:r>
      <w:r w:rsidR="00D338ED" w:rsidRPr="00FC1CAF">
        <w:rPr>
          <w:lang w:eastAsia="ja-JP"/>
        </w:rPr>
        <w:t xml:space="preserve"> (EPBC Act) when it commenced in July 2000.</w:t>
      </w:r>
    </w:p>
    <w:p w14:paraId="1C542881" w14:textId="77777777" w:rsidR="00D338ED" w:rsidRDefault="00D338ED" w:rsidP="00D338ED">
      <w:pPr>
        <w:rPr>
          <w:lang w:eastAsia="ja-JP"/>
        </w:rPr>
      </w:pPr>
      <w:r w:rsidRPr="00FC1CAF">
        <w:t>This assessment follows</w:t>
      </w:r>
      <w:r w:rsidRPr="00FC1CAF">
        <w:rPr>
          <w:lang w:eastAsia="ja-JP"/>
        </w:rPr>
        <w:t xml:space="preserve"> prioritisation of a nomination from the TSSC.</w:t>
      </w:r>
      <w:r>
        <w:rPr>
          <w:lang w:eastAsia="ja-JP"/>
        </w:rPr>
        <w:t xml:space="preserve"> </w:t>
      </w:r>
    </w:p>
    <w:p w14:paraId="62188982" w14:textId="77777777" w:rsidR="003A06CA" w:rsidRDefault="003A06CA" w:rsidP="004D61C9">
      <w:pPr>
        <w:pStyle w:val="Heading3"/>
        <w:ind w:left="964" w:hanging="964"/>
        <w:rPr>
          <w:lang w:eastAsia="ja-JP"/>
        </w:rPr>
      </w:pPr>
      <w:r>
        <w:rPr>
          <w:lang w:eastAsia="ja-JP"/>
        </w:rPr>
        <w:t>Assessment of eligibility for listing</w:t>
      </w:r>
    </w:p>
    <w:p w14:paraId="62601CFC" w14:textId="77777777" w:rsidR="003A06CA" w:rsidRDefault="003A06CA" w:rsidP="003A06CA">
      <w:pPr>
        <w:rPr>
          <w:lang w:eastAsia="ja-JP"/>
        </w:rPr>
      </w:pPr>
      <w:r>
        <w:rPr>
          <w:lang w:eastAsia="ja-JP"/>
        </w:rPr>
        <w:t xml:space="preserve">This </w:t>
      </w:r>
      <w:r w:rsidRPr="008D2DCF">
        <w:rPr>
          <w:lang w:eastAsia="ja-JP"/>
        </w:rPr>
        <w:t>assessment</w:t>
      </w:r>
      <w:r>
        <w:rPr>
          <w:lang w:eastAsia="ja-JP"/>
        </w:rPr>
        <w:t xml:space="preserve"> uses the criteria set out in the </w:t>
      </w:r>
      <w:hyperlink r:id="rId38" w:history="1">
        <w:r w:rsidRPr="00C77CE3">
          <w:rPr>
            <w:rStyle w:val="Hyperlink"/>
            <w:lang w:eastAsia="ja-JP"/>
          </w:rPr>
          <w:t>EPBC Regulations</w:t>
        </w:r>
      </w:hyperlink>
      <w:r>
        <w:rPr>
          <w:lang w:eastAsia="ja-JP"/>
        </w:rPr>
        <w:t xml:space="preserve">. The thresholds used correspond with those in the </w:t>
      </w:r>
      <w:hyperlink r:id="rId39"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1C44EACE" w14:textId="77777777" w:rsidR="0077351A" w:rsidRDefault="0077351A" w:rsidP="0077351A">
      <w:pPr>
        <w:pStyle w:val="Heading3"/>
        <w:rPr>
          <w:lang w:eastAsia="ja-JP"/>
        </w:rPr>
      </w:pPr>
      <w:r>
        <w:rPr>
          <w:lang w:eastAsia="ja-JP"/>
        </w:rPr>
        <w:t>Key assessment parameters</w:t>
      </w:r>
    </w:p>
    <w:p w14:paraId="1AF0B2F6" w14:textId="781E3065" w:rsidR="007019A7" w:rsidRDefault="0077351A" w:rsidP="0077351A">
      <w:pPr>
        <w:rPr>
          <w:lang w:eastAsia="ja-JP"/>
        </w:rPr>
      </w:pPr>
      <w:r>
        <w:rPr>
          <w:lang w:eastAsia="ja-JP"/>
        </w:rPr>
        <w:t xml:space="preserve">Table </w:t>
      </w:r>
      <w:r w:rsidR="00936695">
        <w:rPr>
          <w:lang w:eastAsia="ja-JP"/>
        </w:rPr>
        <w:t>5</w:t>
      </w:r>
      <w:r>
        <w:rPr>
          <w:lang w:eastAsia="ja-JP"/>
        </w:rPr>
        <w:t xml:space="preserve"> includes the key assessment parameters used in the </w:t>
      </w:r>
      <w:r w:rsidRPr="008D2DCF">
        <w:rPr>
          <w:lang w:eastAsia="ja-JP"/>
        </w:rPr>
        <w:t>assessment</w:t>
      </w:r>
      <w:r>
        <w:rPr>
          <w:lang w:eastAsia="ja-JP"/>
        </w:rPr>
        <w:t xml:space="preserve"> of eligibility for listing</w:t>
      </w:r>
      <w:r w:rsidR="00E22344">
        <w:rPr>
          <w:lang w:eastAsia="ja-JP"/>
        </w:rPr>
        <w:t xml:space="preserve"> against the criteria</w:t>
      </w:r>
      <w:r>
        <w:rPr>
          <w:lang w:eastAsia="ja-JP"/>
        </w:rPr>
        <w:t>.</w:t>
      </w:r>
    </w:p>
    <w:p w14:paraId="00673CF9" w14:textId="0B6BE35F" w:rsidR="0077351A" w:rsidRPr="009502E2" w:rsidRDefault="0077351A" w:rsidP="0077351A">
      <w:pPr>
        <w:pStyle w:val="Caption"/>
      </w:pPr>
      <w:r w:rsidRPr="009502E2">
        <w:t xml:space="preserve">Table </w:t>
      </w:r>
      <w:r w:rsidR="00936695">
        <w:t>5</w:t>
      </w:r>
      <w:r w:rsidR="00EC640B">
        <w:t xml:space="preserve"> </w:t>
      </w:r>
      <w:r w:rsidR="001376F1">
        <w:t>K</w:t>
      </w:r>
      <w:r w:rsidRPr="009502E2">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CD441B" w:rsidRPr="00D20C80" w14:paraId="3B0C533D" w14:textId="77777777" w:rsidTr="20CB4E9E">
        <w:trPr>
          <w:cantSplit/>
          <w:tblHeader/>
        </w:trPr>
        <w:tc>
          <w:tcPr>
            <w:tcW w:w="1741" w:type="dxa"/>
          </w:tcPr>
          <w:p w14:paraId="139AC419" w14:textId="77777777" w:rsidR="00CD441B" w:rsidRPr="00D20C80" w:rsidRDefault="00CD441B" w:rsidP="00C5493E">
            <w:pPr>
              <w:pStyle w:val="TableHeading"/>
              <w:keepNext w:val="0"/>
            </w:pPr>
            <w:bookmarkStart w:id="22" w:name="_Hlk66963083"/>
            <w:r w:rsidRPr="00D20C80">
              <w:t>Metric</w:t>
            </w:r>
          </w:p>
        </w:tc>
        <w:tc>
          <w:tcPr>
            <w:tcW w:w="1422" w:type="dxa"/>
          </w:tcPr>
          <w:p w14:paraId="3361A9EF" w14:textId="77777777" w:rsidR="00CD441B" w:rsidRPr="00D20C80" w:rsidRDefault="00CD441B" w:rsidP="00FD515C">
            <w:pPr>
              <w:pStyle w:val="TableHeading"/>
              <w:keepNext w:val="0"/>
            </w:pPr>
            <w:r w:rsidRPr="00D20C80">
              <w:t>Estimate</w:t>
            </w:r>
            <w:r w:rsidR="00E22344">
              <w:t xml:space="preserve"> used in the assessment</w:t>
            </w:r>
          </w:p>
        </w:tc>
        <w:tc>
          <w:tcPr>
            <w:tcW w:w="1409" w:type="dxa"/>
          </w:tcPr>
          <w:p w14:paraId="44C0F62B" w14:textId="77777777" w:rsidR="00CD441B" w:rsidRPr="00D20C80" w:rsidRDefault="00CD441B" w:rsidP="00FD515C">
            <w:pPr>
              <w:pStyle w:val="TableHeading"/>
              <w:keepNext w:val="0"/>
            </w:pPr>
            <w:r w:rsidRPr="00D20C80">
              <w:t>Minimum</w:t>
            </w:r>
            <w:r w:rsidR="00E22344">
              <w:t xml:space="preserve"> plausible value</w:t>
            </w:r>
          </w:p>
        </w:tc>
        <w:tc>
          <w:tcPr>
            <w:tcW w:w="1414" w:type="dxa"/>
          </w:tcPr>
          <w:p w14:paraId="39B0B274" w14:textId="77777777" w:rsidR="00CD441B" w:rsidRPr="00D20C80" w:rsidRDefault="00CD441B" w:rsidP="00FD515C">
            <w:pPr>
              <w:pStyle w:val="TableHeading"/>
              <w:keepNext w:val="0"/>
            </w:pPr>
            <w:r w:rsidRPr="00D20C80">
              <w:t>Maximum</w:t>
            </w:r>
            <w:r w:rsidR="00E22344">
              <w:t xml:space="preserve"> plausible value</w:t>
            </w:r>
          </w:p>
        </w:tc>
        <w:tc>
          <w:tcPr>
            <w:tcW w:w="3074" w:type="dxa"/>
          </w:tcPr>
          <w:p w14:paraId="7CB15B66" w14:textId="576161B0" w:rsidR="00CD441B" w:rsidRPr="00D20C80" w:rsidRDefault="00CD441B" w:rsidP="000042DA">
            <w:pPr>
              <w:pStyle w:val="TableHeading"/>
              <w:keepNext w:val="0"/>
            </w:pPr>
            <w:r w:rsidRPr="00D20C80">
              <w:t>Justification</w:t>
            </w:r>
          </w:p>
        </w:tc>
      </w:tr>
      <w:tr w:rsidR="00D37773" w14:paraId="0F1586FA" w14:textId="77777777" w:rsidTr="20CB4E9E">
        <w:trPr>
          <w:cantSplit/>
        </w:trPr>
        <w:tc>
          <w:tcPr>
            <w:tcW w:w="1741" w:type="dxa"/>
          </w:tcPr>
          <w:p w14:paraId="62E21650" w14:textId="77777777" w:rsidR="00D37773" w:rsidRDefault="00D37773" w:rsidP="002E31FA">
            <w:pPr>
              <w:pStyle w:val="TableHeading"/>
              <w:keepNext w:val="0"/>
              <w:rPr>
                <w:rStyle w:val="Strong"/>
                <w:b/>
                <w:bCs w:val="0"/>
              </w:rPr>
            </w:pPr>
            <w:r w:rsidRPr="00D20C80">
              <w:rPr>
                <w:rStyle w:val="Strong"/>
                <w:b/>
                <w:bCs w:val="0"/>
              </w:rPr>
              <w:t>Number of mature individuals</w:t>
            </w:r>
          </w:p>
          <w:p w14:paraId="167EDC06" w14:textId="77777777" w:rsidR="00D37773" w:rsidRPr="00D20C80" w:rsidRDefault="00D37773" w:rsidP="001376F1">
            <w:pPr>
              <w:pStyle w:val="TableText"/>
              <w:rPr>
                <w:rStyle w:val="Strong"/>
                <w:b w:val="0"/>
                <w:bCs w:val="0"/>
              </w:rPr>
            </w:pPr>
          </w:p>
        </w:tc>
        <w:tc>
          <w:tcPr>
            <w:tcW w:w="1422" w:type="dxa"/>
            <w:shd w:val="clear" w:color="auto" w:fill="auto"/>
          </w:tcPr>
          <w:p w14:paraId="1BCB874E" w14:textId="353C5294" w:rsidR="00D37773" w:rsidRDefault="00EE2C49" w:rsidP="002E31FA">
            <w:pPr>
              <w:pStyle w:val="TableText"/>
            </w:pPr>
            <w:r>
              <w:t>&lt;</w:t>
            </w:r>
            <w:r w:rsidR="00724929">
              <w:t>236</w:t>
            </w:r>
          </w:p>
        </w:tc>
        <w:tc>
          <w:tcPr>
            <w:tcW w:w="1409" w:type="dxa"/>
            <w:shd w:val="clear" w:color="auto" w:fill="auto"/>
          </w:tcPr>
          <w:p w14:paraId="6A128CDB" w14:textId="2CA34D15" w:rsidR="00D37773" w:rsidRDefault="006572DB" w:rsidP="002E31FA">
            <w:pPr>
              <w:pStyle w:val="TableText"/>
            </w:pPr>
            <w:r>
              <w:t>92</w:t>
            </w:r>
          </w:p>
        </w:tc>
        <w:tc>
          <w:tcPr>
            <w:tcW w:w="1414" w:type="dxa"/>
            <w:shd w:val="clear" w:color="auto" w:fill="auto"/>
          </w:tcPr>
          <w:p w14:paraId="64B29F5F" w14:textId="3C87C5DC" w:rsidR="00D37773" w:rsidRDefault="2216CD78" w:rsidP="002E31FA">
            <w:pPr>
              <w:pStyle w:val="TableText"/>
            </w:pPr>
            <w:r>
              <w:t>236</w:t>
            </w:r>
          </w:p>
        </w:tc>
        <w:tc>
          <w:tcPr>
            <w:tcW w:w="3074" w:type="dxa"/>
            <w:shd w:val="clear" w:color="auto" w:fill="auto"/>
          </w:tcPr>
          <w:p w14:paraId="0B63605D" w14:textId="245FDBF3" w:rsidR="00CF48A7" w:rsidRPr="00EF28B7" w:rsidRDefault="00CF48A7" w:rsidP="00CF48A7">
            <w:pPr>
              <w:pStyle w:val="TableText"/>
            </w:pPr>
            <w:r w:rsidRPr="00EF28B7">
              <w:rPr>
                <w:bCs/>
              </w:rPr>
              <w:t xml:space="preserve">The </w:t>
            </w:r>
            <w:proofErr w:type="spellStart"/>
            <w:r w:rsidRPr="00B84EDE">
              <w:rPr>
                <w:rStyle w:val="Emphasis"/>
                <w:i w:val="0"/>
                <w:iCs w:val="0"/>
              </w:rPr>
              <w:t>Narrabarba</w:t>
            </w:r>
            <w:proofErr w:type="spellEnd"/>
            <w:r w:rsidRPr="00B84EDE">
              <w:rPr>
                <w:rStyle w:val="Emphasis"/>
                <w:i w:val="0"/>
                <w:iCs w:val="0"/>
              </w:rPr>
              <w:t xml:space="preserve"> wattle</w:t>
            </w:r>
            <w:r w:rsidRPr="00EF28B7">
              <w:t xml:space="preserve"> </w:t>
            </w:r>
            <w:r w:rsidRPr="00EF28B7">
              <w:rPr>
                <w:bCs/>
              </w:rPr>
              <w:t xml:space="preserve">undergoes </w:t>
            </w:r>
            <w:r w:rsidRPr="00EF28B7">
              <w:t xml:space="preserve">natural fluctuations in the number of mature individuals, as mature individuals are killed following fire </w:t>
            </w:r>
            <w:r>
              <w:t>and</w:t>
            </w:r>
            <w:r w:rsidRPr="00EF28B7">
              <w:t xml:space="preserve"> </w:t>
            </w:r>
            <w:r w:rsidR="00D52EDC">
              <w:t xml:space="preserve">germination from soil-stored seeds is stimulated </w:t>
            </w:r>
            <w:r w:rsidRPr="00EF28B7">
              <w:rPr>
                <w:noProof/>
              </w:rPr>
              <w:t>(</w:t>
            </w:r>
            <w:r w:rsidRPr="001B15CB">
              <w:t>Gallagher 202</w:t>
            </w:r>
            <w:r w:rsidR="00366F04">
              <w:t>1</w:t>
            </w:r>
            <w:r>
              <w:t>; OEH 2021a)</w:t>
            </w:r>
          </w:p>
          <w:p w14:paraId="2197B416" w14:textId="694F8BA0" w:rsidR="00D37773" w:rsidRDefault="00CF48A7" w:rsidP="002E3BA0">
            <w:pPr>
              <w:pStyle w:val="TableText"/>
              <w:rPr>
                <w:bCs/>
              </w:rPr>
            </w:pPr>
            <w:r w:rsidRPr="00EF28B7">
              <w:rPr>
                <w:bCs/>
              </w:rPr>
              <w:t>The minimum estimate</w:t>
            </w:r>
            <w:r>
              <w:rPr>
                <w:bCs/>
              </w:rPr>
              <w:t xml:space="preserve"> of the number of mature individuals</w:t>
            </w:r>
            <w:r w:rsidRPr="00EF28B7">
              <w:rPr>
                <w:bCs/>
              </w:rPr>
              <w:t xml:space="preserve"> is the</w:t>
            </w:r>
            <w:r>
              <w:rPr>
                <w:bCs/>
              </w:rPr>
              <w:t xml:space="preserve"> 2021</w:t>
            </w:r>
            <w:r w:rsidRPr="00EF28B7">
              <w:rPr>
                <w:bCs/>
              </w:rPr>
              <w:t xml:space="preserve"> post-fire estimate </w:t>
            </w:r>
            <w:r w:rsidR="00E11D38">
              <w:rPr>
                <w:bCs/>
              </w:rPr>
              <w:t>(DPIE 2021</w:t>
            </w:r>
            <w:r w:rsidR="0094625F">
              <w:rPr>
                <w:bCs/>
              </w:rPr>
              <w:t>a</w:t>
            </w:r>
            <w:r w:rsidRPr="00EF28B7">
              <w:rPr>
                <w:bCs/>
              </w:rPr>
              <w:t>)</w:t>
            </w:r>
            <w:r>
              <w:rPr>
                <w:bCs/>
              </w:rPr>
              <w:t>; t</w:t>
            </w:r>
            <w:r w:rsidRPr="00EF28B7">
              <w:rPr>
                <w:bCs/>
              </w:rPr>
              <w:t xml:space="preserve">he maximum estimate is the </w:t>
            </w:r>
            <w:r>
              <w:rPr>
                <w:bCs/>
              </w:rPr>
              <w:t xml:space="preserve">2017 </w:t>
            </w:r>
            <w:r w:rsidRPr="00EF28B7">
              <w:rPr>
                <w:bCs/>
              </w:rPr>
              <w:t>pre-fire estimate (</w:t>
            </w:r>
            <w:r w:rsidR="00E11D38">
              <w:rPr>
                <w:bCs/>
              </w:rPr>
              <w:t>DPIE 2021</w:t>
            </w:r>
            <w:r w:rsidR="0094625F">
              <w:rPr>
                <w:bCs/>
              </w:rPr>
              <w:t>a</w:t>
            </w:r>
            <w:r w:rsidRPr="00EF28B7">
              <w:rPr>
                <w:bCs/>
              </w:rPr>
              <w:t>).</w:t>
            </w:r>
          </w:p>
          <w:p w14:paraId="3398FC58" w14:textId="3950FCCD" w:rsidR="00813AEB" w:rsidRDefault="773D3491" w:rsidP="003641C8">
            <w:pPr>
              <w:pStyle w:val="TableText"/>
            </w:pPr>
            <w:r>
              <w:t>The estimate used in this assessment is &lt;236 mature individuals (i.e., less than estimated number of mature individuals in 2017), as a net loss of mature individuals is projected due to the impacts of drought</w:t>
            </w:r>
            <w:r w:rsidR="000E0830">
              <w:t xml:space="preserve">, inappropriate fire </w:t>
            </w:r>
            <w:r w:rsidR="00222A73">
              <w:t>regimes and</w:t>
            </w:r>
            <w:r>
              <w:t xml:space="preserve"> competition from native shrubs (see </w:t>
            </w:r>
            <w:r w:rsidR="00955896">
              <w:t>c</w:t>
            </w:r>
            <w:r>
              <w:t>riteri</w:t>
            </w:r>
            <w:r w:rsidR="007B4CF3">
              <w:t>a</w:t>
            </w:r>
            <w:r>
              <w:t xml:space="preserve"> </w:t>
            </w:r>
            <w:r w:rsidR="1900BAEA">
              <w:t xml:space="preserve">1 and </w:t>
            </w:r>
            <w:r>
              <w:t xml:space="preserve">2). </w:t>
            </w:r>
          </w:p>
        </w:tc>
      </w:tr>
      <w:tr w:rsidR="00D37773" w14:paraId="10F5EA2B" w14:textId="77777777" w:rsidTr="20CB4E9E">
        <w:trPr>
          <w:cantSplit/>
        </w:trPr>
        <w:tc>
          <w:tcPr>
            <w:tcW w:w="1741" w:type="dxa"/>
          </w:tcPr>
          <w:p w14:paraId="47E7D17A" w14:textId="77777777" w:rsidR="00D37773" w:rsidRPr="00D20C80" w:rsidRDefault="00D37773" w:rsidP="002E31FA">
            <w:pPr>
              <w:pStyle w:val="TableHeading"/>
              <w:keepNext w:val="0"/>
              <w:rPr>
                <w:rStyle w:val="Strong"/>
                <w:b/>
                <w:bCs w:val="0"/>
              </w:rPr>
            </w:pPr>
            <w:r w:rsidRPr="00D20C80">
              <w:rPr>
                <w:rStyle w:val="Strong"/>
                <w:b/>
                <w:bCs w:val="0"/>
              </w:rPr>
              <w:t>Trend</w:t>
            </w:r>
          </w:p>
        </w:tc>
        <w:tc>
          <w:tcPr>
            <w:tcW w:w="4245" w:type="dxa"/>
            <w:gridSpan w:val="3"/>
            <w:shd w:val="clear" w:color="auto" w:fill="auto"/>
          </w:tcPr>
          <w:p w14:paraId="1F39D87F" w14:textId="1BB07578" w:rsidR="00D37773" w:rsidRDefault="00550B60" w:rsidP="001376F1">
            <w:pPr>
              <w:pStyle w:val="TableText"/>
            </w:pPr>
            <w:r>
              <w:t>Declining</w:t>
            </w:r>
          </w:p>
        </w:tc>
        <w:tc>
          <w:tcPr>
            <w:tcW w:w="3074" w:type="dxa"/>
            <w:shd w:val="clear" w:color="auto" w:fill="auto"/>
          </w:tcPr>
          <w:p w14:paraId="093352A3" w14:textId="3B2F9487" w:rsidR="00D37773" w:rsidRDefault="00B44706" w:rsidP="002E31FA">
            <w:pPr>
              <w:pStyle w:val="TableText"/>
            </w:pPr>
            <w:r>
              <w:t>A net loss of mature individuals is projected, due to the impacts</w:t>
            </w:r>
            <w:r w:rsidR="000E0830">
              <w:t xml:space="preserve"> </w:t>
            </w:r>
            <w:r w:rsidR="00222A73">
              <w:t>of drought</w:t>
            </w:r>
            <w:r w:rsidR="00955896">
              <w:t>,</w:t>
            </w:r>
            <w:r w:rsidR="000E0830">
              <w:t xml:space="preserve"> inappropriate fire regimes</w:t>
            </w:r>
            <w:r>
              <w:t xml:space="preserve"> and competition from native shrubs. (</w:t>
            </w:r>
            <w:proofErr w:type="gramStart"/>
            <w:r>
              <w:t>see</w:t>
            </w:r>
            <w:proofErr w:type="gramEnd"/>
            <w:r>
              <w:t xml:space="preserve"> Criterion 2 for further information).</w:t>
            </w:r>
          </w:p>
        </w:tc>
      </w:tr>
      <w:tr w:rsidR="00D37773" w14:paraId="3EEA8274" w14:textId="77777777" w:rsidTr="20CB4E9E">
        <w:trPr>
          <w:cantSplit/>
        </w:trPr>
        <w:tc>
          <w:tcPr>
            <w:tcW w:w="1741" w:type="dxa"/>
          </w:tcPr>
          <w:p w14:paraId="45253AE1" w14:textId="77777777" w:rsidR="00D37773" w:rsidRPr="0073329E" w:rsidRDefault="00D37773" w:rsidP="002E31FA">
            <w:pPr>
              <w:pStyle w:val="TableHeading"/>
              <w:keepNext w:val="0"/>
              <w:rPr>
                <w:rStyle w:val="Strong"/>
                <w:b/>
                <w:bCs w:val="0"/>
              </w:rPr>
            </w:pPr>
            <w:r w:rsidRPr="0073329E">
              <w:rPr>
                <w:rStyle w:val="Strong"/>
                <w:b/>
                <w:bCs w:val="0"/>
              </w:rPr>
              <w:t>Generation time (years)</w:t>
            </w:r>
          </w:p>
        </w:tc>
        <w:tc>
          <w:tcPr>
            <w:tcW w:w="1422" w:type="dxa"/>
            <w:shd w:val="clear" w:color="auto" w:fill="auto"/>
          </w:tcPr>
          <w:p w14:paraId="4050999D" w14:textId="27E2D66D" w:rsidR="00D37773" w:rsidRPr="0073329E" w:rsidRDefault="5F9F5C88">
            <w:pPr>
              <w:pStyle w:val="TableText"/>
              <w:rPr>
                <w:rFonts w:eastAsia="Calibri"/>
                <w:szCs w:val="18"/>
              </w:rPr>
            </w:pPr>
            <w:r w:rsidRPr="0073329E">
              <w:t>2</w:t>
            </w:r>
            <w:r w:rsidR="00B92BB6" w:rsidRPr="0073329E">
              <w:t>1</w:t>
            </w:r>
          </w:p>
        </w:tc>
        <w:tc>
          <w:tcPr>
            <w:tcW w:w="1409" w:type="dxa"/>
            <w:shd w:val="clear" w:color="auto" w:fill="auto"/>
          </w:tcPr>
          <w:p w14:paraId="6F21E7A3" w14:textId="3A00D36F" w:rsidR="00D37773" w:rsidRPr="0073329E" w:rsidRDefault="00B16815" w:rsidP="002E31FA">
            <w:pPr>
              <w:pStyle w:val="TableText"/>
            </w:pPr>
            <w:r w:rsidRPr="0073329E">
              <w:t>2</w:t>
            </w:r>
            <w:r w:rsidR="00B92BB6" w:rsidRPr="0073329E">
              <w:t>1</w:t>
            </w:r>
          </w:p>
        </w:tc>
        <w:tc>
          <w:tcPr>
            <w:tcW w:w="1414" w:type="dxa"/>
            <w:shd w:val="clear" w:color="auto" w:fill="auto"/>
          </w:tcPr>
          <w:p w14:paraId="02C03C9F" w14:textId="3A0285E6" w:rsidR="00D37773" w:rsidRPr="0073329E" w:rsidRDefault="00B92BB6" w:rsidP="002E31FA">
            <w:pPr>
              <w:pStyle w:val="TableText"/>
            </w:pPr>
            <w:r w:rsidRPr="0073329E">
              <w:t>Unknown</w:t>
            </w:r>
          </w:p>
        </w:tc>
        <w:tc>
          <w:tcPr>
            <w:tcW w:w="3074" w:type="dxa"/>
            <w:shd w:val="clear" w:color="auto" w:fill="auto"/>
          </w:tcPr>
          <w:p w14:paraId="23E26286" w14:textId="212AF4A5" w:rsidR="00D37773" w:rsidRDefault="11B17E83" w:rsidP="002E31FA">
            <w:pPr>
              <w:pStyle w:val="TableText"/>
            </w:pPr>
            <w:r w:rsidRPr="0073329E">
              <w:t xml:space="preserve">The species generation length is </w:t>
            </w:r>
            <w:r w:rsidR="00B16815" w:rsidRPr="0073329E">
              <w:t>estimated</w:t>
            </w:r>
            <w:r w:rsidRPr="0073329E">
              <w:t xml:space="preserve"> to be </w:t>
            </w:r>
            <w:r w:rsidR="004B2CFA" w:rsidRPr="0073329E">
              <w:t>2</w:t>
            </w:r>
            <w:r w:rsidR="00B92BB6" w:rsidRPr="0073329E">
              <w:t>1</w:t>
            </w:r>
            <w:r w:rsidR="00EE2C49" w:rsidRPr="0073329E">
              <w:t xml:space="preserve"> </w:t>
            </w:r>
            <w:r w:rsidRPr="0073329E">
              <w:t>years based on calculations under Criterion 1 below.</w:t>
            </w:r>
            <w:r>
              <w:t xml:space="preserve"> </w:t>
            </w:r>
          </w:p>
        </w:tc>
      </w:tr>
      <w:tr w:rsidR="00CD441B" w14:paraId="5353CFFB" w14:textId="77777777" w:rsidTr="20CB4E9E">
        <w:trPr>
          <w:cantSplit/>
        </w:trPr>
        <w:tc>
          <w:tcPr>
            <w:tcW w:w="1741" w:type="dxa"/>
          </w:tcPr>
          <w:p w14:paraId="459B6977" w14:textId="77777777" w:rsidR="00CD441B" w:rsidRPr="00D20C80" w:rsidRDefault="00CD441B" w:rsidP="00FD515C">
            <w:pPr>
              <w:pStyle w:val="TableHeading"/>
              <w:keepNext w:val="0"/>
              <w:rPr>
                <w:rStyle w:val="Strong"/>
                <w:b/>
                <w:sz w:val="22"/>
              </w:rPr>
            </w:pPr>
            <w:r w:rsidRPr="00D20C80">
              <w:rPr>
                <w:rStyle w:val="Strong"/>
                <w:b/>
                <w:bCs w:val="0"/>
              </w:rPr>
              <w:lastRenderedPageBreak/>
              <w:t>Extent of occurrence</w:t>
            </w:r>
          </w:p>
          <w:p w14:paraId="7629E573" w14:textId="77777777" w:rsidR="00CD441B" w:rsidRPr="00D20C80" w:rsidRDefault="00CD441B" w:rsidP="001376F1">
            <w:pPr>
              <w:pStyle w:val="TableText"/>
              <w:rPr>
                <w:rStyle w:val="Strong"/>
                <w:b w:val="0"/>
                <w:bCs w:val="0"/>
              </w:rPr>
            </w:pPr>
          </w:p>
        </w:tc>
        <w:tc>
          <w:tcPr>
            <w:tcW w:w="1422" w:type="dxa"/>
            <w:shd w:val="clear" w:color="auto" w:fill="auto"/>
          </w:tcPr>
          <w:p w14:paraId="40546A35" w14:textId="6E844F30" w:rsidR="00CD441B" w:rsidRDefault="005F0B99" w:rsidP="00FD515C">
            <w:pPr>
              <w:pStyle w:val="TableText"/>
            </w:pPr>
            <w:r>
              <w:t>20</w:t>
            </w:r>
            <w:r w:rsidR="00B44880">
              <w:t xml:space="preserve"> km</w:t>
            </w:r>
            <w:r w:rsidR="00B44880" w:rsidRPr="00EE13D6">
              <w:rPr>
                <w:bCs/>
                <w:vertAlign w:val="superscript"/>
              </w:rPr>
              <w:t>2</w:t>
            </w:r>
          </w:p>
        </w:tc>
        <w:tc>
          <w:tcPr>
            <w:tcW w:w="1409" w:type="dxa"/>
            <w:shd w:val="clear" w:color="auto" w:fill="auto"/>
          </w:tcPr>
          <w:p w14:paraId="017B4FCB" w14:textId="0DED6D9B" w:rsidR="00CD441B" w:rsidRDefault="005F0B99" w:rsidP="00FD515C">
            <w:pPr>
              <w:pStyle w:val="TableText"/>
            </w:pPr>
            <w:r>
              <w:t>20</w:t>
            </w:r>
            <w:r w:rsidR="00B44880">
              <w:t xml:space="preserve"> km</w:t>
            </w:r>
            <w:r w:rsidR="00B44880" w:rsidRPr="00EE13D6">
              <w:rPr>
                <w:bCs/>
                <w:vertAlign w:val="superscript"/>
              </w:rPr>
              <w:t>2</w:t>
            </w:r>
          </w:p>
        </w:tc>
        <w:tc>
          <w:tcPr>
            <w:tcW w:w="1414" w:type="dxa"/>
            <w:shd w:val="clear" w:color="auto" w:fill="auto"/>
          </w:tcPr>
          <w:p w14:paraId="72B0DEBB" w14:textId="47A9D5A8" w:rsidR="00CD441B" w:rsidRDefault="00641B3E" w:rsidP="00FD515C">
            <w:pPr>
              <w:pStyle w:val="TableText"/>
            </w:pPr>
            <w:r>
              <w:t>Unknown</w:t>
            </w:r>
          </w:p>
        </w:tc>
        <w:tc>
          <w:tcPr>
            <w:tcW w:w="3074" w:type="dxa"/>
            <w:shd w:val="clear" w:color="auto" w:fill="auto"/>
          </w:tcPr>
          <w:p w14:paraId="065DB0C9" w14:textId="034FF1DC" w:rsidR="00CD441B" w:rsidRDefault="2B8A1F88" w:rsidP="00FD515C">
            <w:pPr>
              <w:pStyle w:val="TableText"/>
            </w:pPr>
            <w:r w:rsidRPr="7FA35F82">
              <w:rPr>
                <w:rFonts w:cs="Arial"/>
              </w:rPr>
              <w:t xml:space="preserve">The extent of occurrence (EOO) is estimated at </w:t>
            </w:r>
            <w:r w:rsidR="005F0B99">
              <w:rPr>
                <w:rFonts w:cs="Arial"/>
              </w:rPr>
              <w:t>20</w:t>
            </w:r>
            <w:r w:rsidR="00EE2C49" w:rsidRPr="7FA35F82">
              <w:rPr>
                <w:rFonts w:cs="Arial"/>
              </w:rPr>
              <w:t xml:space="preserve"> </w:t>
            </w:r>
            <w:r w:rsidRPr="7FA35F82">
              <w:rPr>
                <w:rFonts w:cs="Arial"/>
              </w:rPr>
              <w:t>km</w:t>
            </w:r>
            <w:r w:rsidRPr="7FA35F82">
              <w:rPr>
                <w:rFonts w:cs="Arial"/>
                <w:vertAlign w:val="superscript"/>
              </w:rPr>
              <w:t>2</w:t>
            </w:r>
            <w:r w:rsidRPr="7FA35F82">
              <w:rPr>
                <w:rFonts w:cs="Arial"/>
              </w:rPr>
              <w:t xml:space="preserve">.  </w:t>
            </w:r>
            <w:r>
              <w:t xml:space="preserve">This figure is based on the mapping of point records from a </w:t>
            </w:r>
            <w:r w:rsidR="2E0B6901">
              <w:t>22</w:t>
            </w:r>
            <w:r>
              <w:t xml:space="preserve">-year period (1999–2021) obtained from state governments, </w:t>
            </w:r>
            <w:proofErr w:type="gramStart"/>
            <w:r>
              <w:t>museums</w:t>
            </w:r>
            <w:proofErr w:type="gramEnd"/>
            <w:r>
              <w:t xml:space="preserve"> and CSIRO. The EOO was calculated using a minimum convex hull, based on the IUCN Red List Guidelines (IUCN 2019).</w:t>
            </w:r>
          </w:p>
        </w:tc>
      </w:tr>
      <w:tr w:rsidR="00CD441B" w14:paraId="5DF553D0" w14:textId="77777777" w:rsidTr="20CB4E9E">
        <w:trPr>
          <w:cantSplit/>
        </w:trPr>
        <w:tc>
          <w:tcPr>
            <w:tcW w:w="1741" w:type="dxa"/>
          </w:tcPr>
          <w:p w14:paraId="515EBC87"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7B18A493" w14:textId="6513A96F" w:rsidR="00CD441B" w:rsidRDefault="00DE5B1F" w:rsidP="00FD515C">
            <w:pPr>
              <w:pStyle w:val="TableText"/>
            </w:pPr>
            <w:r>
              <w:t>Stable</w:t>
            </w:r>
          </w:p>
        </w:tc>
        <w:tc>
          <w:tcPr>
            <w:tcW w:w="3074" w:type="dxa"/>
            <w:shd w:val="clear" w:color="auto" w:fill="auto"/>
          </w:tcPr>
          <w:p w14:paraId="656593DB" w14:textId="16D3D0B5" w:rsidR="00CD441B" w:rsidRDefault="00467C4F" w:rsidP="00FD515C">
            <w:pPr>
              <w:pStyle w:val="TableText"/>
            </w:pPr>
            <w:r>
              <w:t>While the number of site</w:t>
            </w:r>
            <w:r w:rsidR="007B4CF3">
              <w:t>s</w:t>
            </w:r>
            <w:r>
              <w:t xml:space="preserve"> where the species has </w:t>
            </w:r>
            <w:r w:rsidR="007A0ADB">
              <w:t xml:space="preserve">been recorded has increased in the last 20 years, this is likely to represent increased survey effort rather than establishment of new </w:t>
            </w:r>
            <w:r w:rsidR="004C7CA9">
              <w:t>sites</w:t>
            </w:r>
            <w:r w:rsidR="007A0ADB">
              <w:t xml:space="preserve">. </w:t>
            </w:r>
          </w:p>
          <w:p w14:paraId="7B6E9FCC" w14:textId="07345BF7" w:rsidR="004233BE" w:rsidRDefault="004233BE" w:rsidP="00FD515C">
            <w:pPr>
              <w:pStyle w:val="TableText"/>
            </w:pPr>
            <w:proofErr w:type="gramStart"/>
            <w:r>
              <w:t xml:space="preserve">All </w:t>
            </w:r>
            <w:r w:rsidRPr="003F0048">
              <w:t>of</w:t>
            </w:r>
            <w:proofErr w:type="gramEnd"/>
            <w:r w:rsidRPr="003F0048">
              <w:t xml:space="preserve"> </w:t>
            </w:r>
            <w:r>
              <w:t xml:space="preserve">the </w:t>
            </w:r>
            <w:r w:rsidR="00B45BF6">
              <w:t>species</w:t>
            </w:r>
            <w:r w:rsidRPr="003F0048">
              <w:t xml:space="preserve">’ distribution </w:t>
            </w:r>
            <w:r w:rsidRPr="000E4C24">
              <w:t xml:space="preserve">occurs within </w:t>
            </w:r>
            <w:r>
              <w:t xml:space="preserve">the </w:t>
            </w:r>
            <w:proofErr w:type="spellStart"/>
            <w:r>
              <w:t>Narrabarba</w:t>
            </w:r>
            <w:proofErr w:type="spellEnd"/>
            <w:r>
              <w:t xml:space="preserve"> Hill Flora Reserve</w:t>
            </w:r>
            <w:r w:rsidR="00BC61C3">
              <w:t xml:space="preserve"> and Ben Boyd National Park</w:t>
            </w:r>
            <w:r w:rsidRPr="000E4C24">
              <w:t>.</w:t>
            </w:r>
            <w:r>
              <w:t xml:space="preserve"> There have been no recorded declines in the </w:t>
            </w:r>
            <w:r w:rsidR="00B45BF6">
              <w:t>species</w:t>
            </w:r>
            <w:r>
              <w:t xml:space="preserve">’ </w:t>
            </w:r>
            <w:proofErr w:type="gramStart"/>
            <w:r>
              <w:t>EOO</w:t>
            </w:r>
            <w:proofErr w:type="gramEnd"/>
            <w:r>
              <w:t xml:space="preserve"> and it is considered stable.</w:t>
            </w:r>
          </w:p>
        </w:tc>
      </w:tr>
      <w:tr w:rsidR="00CD441B" w14:paraId="5A3F1AA9" w14:textId="77777777" w:rsidTr="20CB4E9E">
        <w:trPr>
          <w:cantSplit/>
        </w:trPr>
        <w:tc>
          <w:tcPr>
            <w:tcW w:w="1741" w:type="dxa"/>
          </w:tcPr>
          <w:p w14:paraId="279D3266" w14:textId="77777777" w:rsidR="00CD441B" w:rsidRDefault="00CD441B" w:rsidP="00FD515C">
            <w:pPr>
              <w:pStyle w:val="TableHeading"/>
              <w:keepNext w:val="0"/>
              <w:rPr>
                <w:rStyle w:val="Strong"/>
                <w:b/>
                <w:sz w:val="22"/>
              </w:rPr>
            </w:pPr>
            <w:r w:rsidRPr="00D20C80">
              <w:rPr>
                <w:rStyle w:val="Strong"/>
                <w:b/>
                <w:bCs w:val="0"/>
              </w:rPr>
              <w:t>Area of Occupancy</w:t>
            </w:r>
          </w:p>
          <w:p w14:paraId="54A332BE" w14:textId="77777777" w:rsidR="00CD441B" w:rsidRPr="00D20C80" w:rsidRDefault="00CD441B" w:rsidP="001376F1">
            <w:pPr>
              <w:pStyle w:val="TableText"/>
              <w:rPr>
                <w:rStyle w:val="Strong"/>
                <w:b w:val="0"/>
                <w:bCs w:val="0"/>
              </w:rPr>
            </w:pPr>
          </w:p>
        </w:tc>
        <w:tc>
          <w:tcPr>
            <w:tcW w:w="1422" w:type="dxa"/>
            <w:shd w:val="clear" w:color="auto" w:fill="auto"/>
          </w:tcPr>
          <w:p w14:paraId="13DE8C00" w14:textId="14B169B2" w:rsidR="00CD441B" w:rsidRDefault="00724D8A" w:rsidP="00FD515C">
            <w:pPr>
              <w:pStyle w:val="TableText"/>
            </w:pPr>
            <w:r>
              <w:t>&gt;</w:t>
            </w:r>
            <w:r w:rsidR="005F0B99">
              <w:t>20</w:t>
            </w:r>
            <w:r w:rsidR="00641B3E">
              <w:t xml:space="preserve"> km</w:t>
            </w:r>
            <w:r w:rsidR="00641B3E" w:rsidRPr="00EE13D6">
              <w:rPr>
                <w:bCs/>
                <w:vertAlign w:val="superscript"/>
              </w:rPr>
              <w:t>2</w:t>
            </w:r>
          </w:p>
        </w:tc>
        <w:tc>
          <w:tcPr>
            <w:tcW w:w="1409" w:type="dxa"/>
            <w:shd w:val="clear" w:color="auto" w:fill="auto"/>
          </w:tcPr>
          <w:p w14:paraId="5BADA1D5" w14:textId="3A6BFF16" w:rsidR="00CD441B" w:rsidRDefault="00724D8A" w:rsidP="00FD515C">
            <w:pPr>
              <w:pStyle w:val="TableText"/>
            </w:pPr>
            <w:r>
              <w:t>&gt;</w:t>
            </w:r>
            <w:r w:rsidR="005F0B99">
              <w:t>20</w:t>
            </w:r>
            <w:r w:rsidR="00641B3E">
              <w:t xml:space="preserve"> km</w:t>
            </w:r>
            <w:r w:rsidR="00641B3E" w:rsidRPr="00EE13D6">
              <w:rPr>
                <w:bCs/>
                <w:vertAlign w:val="superscript"/>
              </w:rPr>
              <w:t>2</w:t>
            </w:r>
          </w:p>
        </w:tc>
        <w:tc>
          <w:tcPr>
            <w:tcW w:w="1414" w:type="dxa"/>
            <w:shd w:val="clear" w:color="auto" w:fill="auto"/>
          </w:tcPr>
          <w:p w14:paraId="2F264D4F" w14:textId="14888B27" w:rsidR="00CD441B" w:rsidRDefault="00641B3E" w:rsidP="00FD515C">
            <w:pPr>
              <w:pStyle w:val="TableText"/>
            </w:pPr>
            <w:r>
              <w:t>Unknown</w:t>
            </w:r>
          </w:p>
        </w:tc>
        <w:tc>
          <w:tcPr>
            <w:tcW w:w="3074" w:type="dxa"/>
            <w:shd w:val="clear" w:color="auto" w:fill="auto"/>
          </w:tcPr>
          <w:p w14:paraId="6B709CDF" w14:textId="680EE3D4" w:rsidR="00CD441B" w:rsidRDefault="00641B3E" w:rsidP="00FD515C">
            <w:pPr>
              <w:pStyle w:val="TableText"/>
            </w:pPr>
            <w:r w:rsidRPr="00DC0F94">
              <w:t>Th</w:t>
            </w:r>
            <w:r w:rsidR="007B4CF3">
              <w:t>e</w:t>
            </w:r>
            <w:r>
              <w:t xml:space="preserve"> estimate used in the assessment is based on the </w:t>
            </w:r>
            <w:r w:rsidRPr="00037E2C">
              <w:t xml:space="preserve">mapping of point records from </w:t>
            </w:r>
            <w:r w:rsidR="00D30463">
              <w:t>1999</w:t>
            </w:r>
            <w:r>
              <w:t>–2021</w:t>
            </w:r>
            <w:r w:rsidRPr="00037E2C">
              <w:t xml:space="preserve"> obtained from state governments, </w:t>
            </w:r>
            <w:proofErr w:type="gramStart"/>
            <w:r w:rsidRPr="00037E2C">
              <w:t>museums</w:t>
            </w:r>
            <w:proofErr w:type="gramEnd"/>
            <w:r w:rsidRPr="00037E2C">
              <w:t xml:space="preserve"> and CSIRO.</w:t>
            </w:r>
            <w:r>
              <w:t xml:space="preserve"> The area of occupancy (AOO) was calculated </w:t>
            </w:r>
            <w:r w:rsidRPr="00037E2C">
              <w:t xml:space="preserve">using a 2x2 km grid cell method, </w:t>
            </w:r>
            <w:r>
              <w:t xml:space="preserve">based on </w:t>
            </w:r>
            <w:r w:rsidRPr="00037E2C">
              <w:t>the IUCN Red List Guidelines</w:t>
            </w:r>
            <w:r>
              <w:t xml:space="preserve"> </w:t>
            </w:r>
            <w:r w:rsidRPr="00037E2C">
              <w:t>(</w:t>
            </w:r>
            <w:r>
              <w:t>IUCN 2019</w:t>
            </w:r>
            <w:r w:rsidRPr="00037E2C">
              <w:t>).</w:t>
            </w:r>
          </w:p>
        </w:tc>
      </w:tr>
      <w:tr w:rsidR="00CD441B" w14:paraId="76D33084" w14:textId="77777777" w:rsidTr="20CB4E9E">
        <w:trPr>
          <w:cantSplit/>
        </w:trPr>
        <w:tc>
          <w:tcPr>
            <w:tcW w:w="1741" w:type="dxa"/>
          </w:tcPr>
          <w:p w14:paraId="41EEA4C7"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0EC066DB" w14:textId="2DAF3EF5" w:rsidR="00CD441B" w:rsidRDefault="00E87686" w:rsidP="00605A86">
            <w:pPr>
              <w:pStyle w:val="TableText"/>
            </w:pPr>
            <w:r>
              <w:t>Contracting</w:t>
            </w:r>
          </w:p>
        </w:tc>
        <w:tc>
          <w:tcPr>
            <w:tcW w:w="3074" w:type="dxa"/>
            <w:shd w:val="clear" w:color="auto" w:fill="auto"/>
          </w:tcPr>
          <w:p w14:paraId="063693DD" w14:textId="1E4727EA" w:rsidR="00CD441B" w:rsidRDefault="00E87686" w:rsidP="00E87686">
            <w:pPr>
              <w:pStyle w:val="TableText"/>
            </w:pPr>
            <w:r>
              <w:t xml:space="preserve">The species’ AOO is likely to be contracting due to a decline in mature individuals </w:t>
            </w:r>
            <w:r w:rsidR="0015338B">
              <w:t>which</w:t>
            </w:r>
            <w:r>
              <w:t xml:space="preserve"> is ongoing </w:t>
            </w:r>
            <w:proofErr w:type="gramStart"/>
            <w:r>
              <w:t>as a result of</w:t>
            </w:r>
            <w:proofErr w:type="gramEnd"/>
            <w:r>
              <w:t xml:space="preserve"> drought and other ongoing threats (see Criteri</w:t>
            </w:r>
            <w:r w:rsidR="007B4CF3">
              <w:t>a</w:t>
            </w:r>
            <w:r>
              <w:t xml:space="preserve"> </w:t>
            </w:r>
            <w:r w:rsidR="00783328">
              <w:t>1 and 2</w:t>
            </w:r>
            <w:r>
              <w:t xml:space="preserve">). </w:t>
            </w:r>
          </w:p>
        </w:tc>
      </w:tr>
      <w:tr w:rsidR="00CD441B" w14:paraId="238BB4F0" w14:textId="77777777" w:rsidTr="20CB4E9E">
        <w:trPr>
          <w:cantSplit/>
        </w:trPr>
        <w:tc>
          <w:tcPr>
            <w:tcW w:w="1741" w:type="dxa"/>
          </w:tcPr>
          <w:p w14:paraId="1EF930BD" w14:textId="77777777" w:rsidR="00CD441B" w:rsidRDefault="00CD441B" w:rsidP="00FD515C">
            <w:pPr>
              <w:pStyle w:val="TableHeading"/>
              <w:keepNext w:val="0"/>
              <w:rPr>
                <w:rStyle w:val="Strong"/>
                <w:b/>
                <w:sz w:val="22"/>
              </w:rPr>
            </w:pPr>
            <w:r w:rsidRPr="00D20C80">
              <w:rPr>
                <w:rStyle w:val="Strong"/>
                <w:b/>
                <w:bCs w:val="0"/>
              </w:rPr>
              <w:t>Number of subpopulations</w:t>
            </w:r>
          </w:p>
          <w:p w14:paraId="58CF9501" w14:textId="77777777" w:rsidR="00CD441B" w:rsidRPr="00D20C80" w:rsidRDefault="00CD441B" w:rsidP="001376F1">
            <w:pPr>
              <w:pStyle w:val="TableText"/>
              <w:rPr>
                <w:rStyle w:val="Strong"/>
                <w:b w:val="0"/>
                <w:bCs w:val="0"/>
              </w:rPr>
            </w:pPr>
          </w:p>
        </w:tc>
        <w:tc>
          <w:tcPr>
            <w:tcW w:w="1422" w:type="dxa"/>
            <w:shd w:val="clear" w:color="auto" w:fill="auto"/>
          </w:tcPr>
          <w:p w14:paraId="2E94391B" w14:textId="7E74BC8C" w:rsidR="00CD441B" w:rsidRDefault="00724D8A">
            <w:pPr>
              <w:pStyle w:val="TableText"/>
              <w:rPr>
                <w:rFonts w:eastAsia="Calibri"/>
                <w:szCs w:val="18"/>
              </w:rPr>
            </w:pPr>
            <w:r>
              <w:t>3</w:t>
            </w:r>
          </w:p>
        </w:tc>
        <w:tc>
          <w:tcPr>
            <w:tcW w:w="1409" w:type="dxa"/>
            <w:shd w:val="clear" w:color="auto" w:fill="auto"/>
          </w:tcPr>
          <w:p w14:paraId="075F9050" w14:textId="3B06860D" w:rsidR="00CD441B" w:rsidRDefault="00724D8A" w:rsidP="00FD515C">
            <w:pPr>
              <w:pStyle w:val="TableText"/>
            </w:pPr>
            <w:r>
              <w:t>3</w:t>
            </w:r>
          </w:p>
        </w:tc>
        <w:tc>
          <w:tcPr>
            <w:tcW w:w="1414" w:type="dxa"/>
            <w:shd w:val="clear" w:color="auto" w:fill="auto"/>
          </w:tcPr>
          <w:p w14:paraId="782FF5D2" w14:textId="4222F727" w:rsidR="00CD441B" w:rsidRDefault="00724D8A">
            <w:pPr>
              <w:pStyle w:val="TableText"/>
              <w:rPr>
                <w:rFonts w:eastAsia="Calibri"/>
                <w:szCs w:val="18"/>
              </w:rPr>
            </w:pPr>
            <w:r>
              <w:t>3</w:t>
            </w:r>
          </w:p>
        </w:tc>
        <w:tc>
          <w:tcPr>
            <w:tcW w:w="3074" w:type="dxa"/>
            <w:shd w:val="clear" w:color="auto" w:fill="auto"/>
          </w:tcPr>
          <w:p w14:paraId="62F6724C" w14:textId="4BBE8E55" w:rsidR="00CD441B" w:rsidRDefault="005E08B1" w:rsidP="00FD515C">
            <w:pPr>
              <w:pStyle w:val="TableText"/>
            </w:pPr>
            <w:r>
              <w:t xml:space="preserve">The species is known from </w:t>
            </w:r>
            <w:r w:rsidR="00724D8A">
              <w:t xml:space="preserve">three </w:t>
            </w:r>
            <w:r>
              <w:t>subpopulation</w:t>
            </w:r>
            <w:r w:rsidR="007B4CF3">
              <w:t>s</w:t>
            </w:r>
            <w:r>
              <w:t xml:space="preserve"> which </w:t>
            </w:r>
            <w:r w:rsidR="00954A59">
              <w:t>are found</w:t>
            </w:r>
            <w:r>
              <w:t xml:space="preserve"> on and around </w:t>
            </w:r>
            <w:proofErr w:type="spellStart"/>
            <w:r w:rsidRPr="005D6CB2">
              <w:t>Narrabarba</w:t>
            </w:r>
            <w:proofErr w:type="spellEnd"/>
            <w:r w:rsidRPr="005D6CB2">
              <w:t xml:space="preserve"> Hill</w:t>
            </w:r>
            <w:r w:rsidR="00954A59">
              <w:t>,</w:t>
            </w:r>
            <w:r w:rsidRPr="005D6CB2">
              <w:t xml:space="preserve"> to the north </w:t>
            </w:r>
            <w:r>
              <w:t xml:space="preserve">of </w:t>
            </w:r>
            <w:proofErr w:type="spellStart"/>
            <w:r w:rsidRPr="005D6CB2">
              <w:t>Narrabarba</w:t>
            </w:r>
            <w:proofErr w:type="spellEnd"/>
            <w:r w:rsidRPr="005D6CB2">
              <w:t xml:space="preserve"> Hil</w:t>
            </w:r>
            <w:r>
              <w:t xml:space="preserve">l </w:t>
            </w:r>
            <w:r w:rsidRPr="005D6CB2">
              <w:t xml:space="preserve">on the other side of the </w:t>
            </w:r>
            <w:proofErr w:type="spellStart"/>
            <w:r w:rsidRPr="005D6CB2">
              <w:t>Wonboyn</w:t>
            </w:r>
            <w:proofErr w:type="spellEnd"/>
            <w:r w:rsidRPr="005D6CB2">
              <w:t xml:space="preserve"> River</w:t>
            </w:r>
            <w:r w:rsidR="00F46DC7">
              <w:t>,</w:t>
            </w:r>
            <w:r w:rsidR="00724D8A">
              <w:t xml:space="preserve"> </w:t>
            </w:r>
            <w:r w:rsidR="00222A73">
              <w:t>and</w:t>
            </w:r>
            <w:r w:rsidR="00724D8A">
              <w:t xml:space="preserve"> at Green Cape</w:t>
            </w:r>
            <w:r w:rsidR="00F46DC7">
              <w:t>.</w:t>
            </w:r>
            <w:r>
              <w:t xml:space="preserve"> </w:t>
            </w:r>
          </w:p>
        </w:tc>
      </w:tr>
      <w:tr w:rsidR="00CD441B" w14:paraId="3FAF79A1" w14:textId="77777777" w:rsidTr="20CB4E9E">
        <w:trPr>
          <w:cantSplit/>
        </w:trPr>
        <w:tc>
          <w:tcPr>
            <w:tcW w:w="1741" w:type="dxa"/>
          </w:tcPr>
          <w:p w14:paraId="41A9212C"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5C2ABD58" w14:textId="2DCB6FDD" w:rsidR="00CD441B" w:rsidRDefault="00064A28" w:rsidP="00FD515C">
            <w:pPr>
              <w:pStyle w:val="TableText"/>
            </w:pPr>
            <w:r>
              <w:t>Declining</w:t>
            </w:r>
          </w:p>
        </w:tc>
        <w:tc>
          <w:tcPr>
            <w:tcW w:w="3074" w:type="dxa"/>
            <w:shd w:val="clear" w:color="auto" w:fill="auto"/>
          </w:tcPr>
          <w:p w14:paraId="6EAEB700" w14:textId="2AD30511" w:rsidR="00CD441B" w:rsidRPr="001B7D1F" w:rsidRDefault="00F3068E" w:rsidP="00FD515C">
            <w:pPr>
              <w:pStyle w:val="TableText"/>
            </w:pPr>
            <w:r>
              <w:t>The number of subpopulations may decline due to the threat of drought and inappropriate fire regimes</w:t>
            </w:r>
            <w:r w:rsidR="007B4CF3">
              <w:t xml:space="preserve"> driven by climate change</w:t>
            </w:r>
            <w:r>
              <w:t xml:space="preserve">. </w:t>
            </w:r>
          </w:p>
        </w:tc>
      </w:tr>
      <w:tr w:rsidR="00A12773" w14:paraId="3F8165D9" w14:textId="77777777" w:rsidTr="20CB4E9E">
        <w:trPr>
          <w:cantSplit/>
        </w:trPr>
        <w:tc>
          <w:tcPr>
            <w:tcW w:w="1741" w:type="dxa"/>
          </w:tcPr>
          <w:p w14:paraId="49D9EE6E" w14:textId="77777777" w:rsidR="00A12773" w:rsidRDefault="00A12773" w:rsidP="00A12773">
            <w:pPr>
              <w:pStyle w:val="TableHeading"/>
              <w:keepNext w:val="0"/>
              <w:rPr>
                <w:rStyle w:val="Strong"/>
                <w:b/>
                <w:sz w:val="22"/>
              </w:rPr>
            </w:pPr>
            <w:r w:rsidRPr="00D20C80">
              <w:rPr>
                <w:rStyle w:val="Strong"/>
                <w:b/>
                <w:bCs w:val="0"/>
              </w:rPr>
              <w:t>Basis of assessment of subpopulation number</w:t>
            </w:r>
          </w:p>
          <w:p w14:paraId="489CBCBD" w14:textId="77777777" w:rsidR="00A12773" w:rsidRPr="00D20C80" w:rsidRDefault="00A12773" w:rsidP="00A12773">
            <w:pPr>
              <w:pStyle w:val="TableText"/>
              <w:rPr>
                <w:rStyle w:val="Strong"/>
                <w:b w:val="0"/>
                <w:bCs w:val="0"/>
              </w:rPr>
            </w:pPr>
          </w:p>
        </w:tc>
        <w:tc>
          <w:tcPr>
            <w:tcW w:w="7319" w:type="dxa"/>
            <w:gridSpan w:val="4"/>
            <w:shd w:val="clear" w:color="auto" w:fill="auto"/>
          </w:tcPr>
          <w:p w14:paraId="1510C5CF" w14:textId="59A41B15" w:rsidR="00A12773" w:rsidRDefault="0042386C" w:rsidP="00A12773">
            <w:pPr>
              <w:pStyle w:val="TableText"/>
            </w:pPr>
            <w:r>
              <w:t xml:space="preserve">The number is based on </w:t>
            </w:r>
            <w:r w:rsidR="00C548EC">
              <w:t xml:space="preserve">three </w:t>
            </w:r>
            <w:r>
              <w:t>geographically separated subpopulations.</w:t>
            </w:r>
            <w:r w:rsidDel="0042386C">
              <w:t xml:space="preserve"> </w:t>
            </w:r>
          </w:p>
        </w:tc>
      </w:tr>
      <w:tr w:rsidR="00A12773" w14:paraId="3FD35680" w14:textId="77777777" w:rsidTr="20CB4E9E">
        <w:trPr>
          <w:cantSplit/>
        </w:trPr>
        <w:tc>
          <w:tcPr>
            <w:tcW w:w="1741" w:type="dxa"/>
          </w:tcPr>
          <w:p w14:paraId="622D12E4" w14:textId="77777777" w:rsidR="00A12773" w:rsidRDefault="00A12773" w:rsidP="00A12773">
            <w:pPr>
              <w:pStyle w:val="TableHeading"/>
              <w:keepNext w:val="0"/>
              <w:rPr>
                <w:rStyle w:val="Strong"/>
                <w:b/>
                <w:sz w:val="22"/>
              </w:rPr>
            </w:pPr>
            <w:r w:rsidRPr="00D20C80">
              <w:rPr>
                <w:rStyle w:val="Strong"/>
                <w:b/>
                <w:bCs w:val="0"/>
              </w:rPr>
              <w:lastRenderedPageBreak/>
              <w:t>No. locations</w:t>
            </w:r>
          </w:p>
          <w:p w14:paraId="763AA598" w14:textId="77777777" w:rsidR="00A12773" w:rsidRPr="00DD47BD" w:rsidRDefault="00A12773" w:rsidP="00A12773">
            <w:pPr>
              <w:pStyle w:val="TableText"/>
              <w:rPr>
                <w:rStyle w:val="Strong"/>
                <w:b w:val="0"/>
                <w:bCs w:val="0"/>
              </w:rPr>
            </w:pPr>
          </w:p>
        </w:tc>
        <w:tc>
          <w:tcPr>
            <w:tcW w:w="1422" w:type="dxa"/>
            <w:shd w:val="clear" w:color="auto" w:fill="auto"/>
          </w:tcPr>
          <w:p w14:paraId="42EFA038" w14:textId="014E03B7" w:rsidR="00A12773" w:rsidRDefault="00083EF7">
            <w:pPr>
              <w:pStyle w:val="TableText"/>
              <w:rPr>
                <w:rFonts w:eastAsia="Calibri"/>
                <w:szCs w:val="18"/>
              </w:rPr>
            </w:pPr>
            <w:r>
              <w:t>1</w:t>
            </w:r>
          </w:p>
        </w:tc>
        <w:tc>
          <w:tcPr>
            <w:tcW w:w="1409" w:type="dxa"/>
            <w:shd w:val="clear" w:color="auto" w:fill="auto"/>
          </w:tcPr>
          <w:p w14:paraId="7DE262AD" w14:textId="28F12E6B" w:rsidR="00A12773" w:rsidRDefault="00083EF7">
            <w:pPr>
              <w:pStyle w:val="TableText"/>
              <w:rPr>
                <w:rFonts w:eastAsia="Calibri"/>
                <w:szCs w:val="18"/>
              </w:rPr>
            </w:pPr>
            <w:r>
              <w:t>1</w:t>
            </w:r>
          </w:p>
        </w:tc>
        <w:tc>
          <w:tcPr>
            <w:tcW w:w="1414" w:type="dxa"/>
            <w:shd w:val="clear" w:color="auto" w:fill="auto"/>
          </w:tcPr>
          <w:p w14:paraId="70F07AFC" w14:textId="478E756C" w:rsidR="00A12773" w:rsidRDefault="00083EF7">
            <w:pPr>
              <w:pStyle w:val="TableText"/>
              <w:rPr>
                <w:rFonts w:eastAsia="Calibri"/>
                <w:szCs w:val="18"/>
              </w:rPr>
            </w:pPr>
            <w:r>
              <w:t>1</w:t>
            </w:r>
          </w:p>
        </w:tc>
        <w:tc>
          <w:tcPr>
            <w:tcW w:w="3074" w:type="dxa"/>
            <w:shd w:val="clear" w:color="auto" w:fill="auto"/>
          </w:tcPr>
          <w:p w14:paraId="38C528DA" w14:textId="677F3B74" w:rsidR="00083EF7" w:rsidRDefault="00BD2D03" w:rsidP="00A12773">
            <w:pPr>
              <w:pStyle w:val="TableText"/>
            </w:pPr>
            <w:r>
              <w:t>The number of locations is estimated at one. Drought</w:t>
            </w:r>
            <w:r w:rsidR="00120A71">
              <w:t xml:space="preserve"> and bushfires have</w:t>
            </w:r>
            <w:r>
              <w:t xml:space="preserve"> impacted </w:t>
            </w:r>
            <w:r w:rsidR="00EC55DF">
              <w:t>at least two of the three known</w:t>
            </w:r>
            <w:r>
              <w:t xml:space="preserve"> subpopulations</w:t>
            </w:r>
            <w:r w:rsidR="00083EF7">
              <w:t xml:space="preserve">. </w:t>
            </w:r>
          </w:p>
          <w:p w14:paraId="54AB045D" w14:textId="04257B78" w:rsidR="00083EF7" w:rsidRDefault="008E2E57" w:rsidP="00083EF7">
            <w:pPr>
              <w:pStyle w:val="TableText"/>
            </w:pPr>
            <w:r>
              <w:t>F</w:t>
            </w:r>
            <w:r w:rsidR="00120A71">
              <w:t xml:space="preserve">uture drought </w:t>
            </w:r>
            <w:r>
              <w:t>and/</w:t>
            </w:r>
            <w:r w:rsidR="00120A71">
              <w:t xml:space="preserve">or a bushfire </w:t>
            </w:r>
            <w:r w:rsidR="00BD2D03">
              <w:t>event could cause the rapid extinction of all remaining subpopulations of this species, particularly</w:t>
            </w:r>
            <w:r w:rsidR="00120A71">
              <w:t xml:space="preserve"> while</w:t>
            </w:r>
            <w:r w:rsidR="00BD2D03">
              <w:t xml:space="preserve"> subpopulations contain mostly immature individuals.</w:t>
            </w:r>
          </w:p>
        </w:tc>
      </w:tr>
      <w:tr w:rsidR="00A12773" w14:paraId="7C8C4711" w14:textId="77777777" w:rsidTr="20CB4E9E">
        <w:trPr>
          <w:cantSplit/>
        </w:trPr>
        <w:tc>
          <w:tcPr>
            <w:tcW w:w="1741" w:type="dxa"/>
          </w:tcPr>
          <w:p w14:paraId="29AA49DD" w14:textId="77777777" w:rsidR="00A12773" w:rsidRPr="00D20C80" w:rsidRDefault="00A12773" w:rsidP="00A12773">
            <w:pPr>
              <w:pStyle w:val="TableHeading"/>
              <w:keepNext w:val="0"/>
              <w:rPr>
                <w:rStyle w:val="Strong"/>
                <w:b/>
                <w:sz w:val="22"/>
              </w:rPr>
            </w:pPr>
            <w:r w:rsidRPr="00D20C80">
              <w:rPr>
                <w:rStyle w:val="Strong"/>
                <w:b/>
                <w:bCs w:val="0"/>
              </w:rPr>
              <w:t>Trend</w:t>
            </w:r>
          </w:p>
        </w:tc>
        <w:tc>
          <w:tcPr>
            <w:tcW w:w="4245" w:type="dxa"/>
            <w:gridSpan w:val="3"/>
            <w:shd w:val="clear" w:color="auto" w:fill="auto"/>
          </w:tcPr>
          <w:p w14:paraId="2F4A730C" w14:textId="27918A2E" w:rsidR="00A12773" w:rsidRDefault="00A12773" w:rsidP="00A12773">
            <w:pPr>
              <w:pStyle w:val="TableText"/>
            </w:pPr>
            <w:r>
              <w:t>Stable</w:t>
            </w:r>
          </w:p>
        </w:tc>
        <w:tc>
          <w:tcPr>
            <w:tcW w:w="3074" w:type="dxa"/>
            <w:shd w:val="clear" w:color="auto" w:fill="auto"/>
          </w:tcPr>
          <w:p w14:paraId="562C4CD4" w14:textId="72C05532" w:rsidR="00A12773" w:rsidRDefault="005D3F63" w:rsidP="00A12773">
            <w:pPr>
              <w:pStyle w:val="TableText"/>
            </w:pPr>
            <w:r>
              <w:t>The number of locations is estimate</w:t>
            </w:r>
            <w:r w:rsidR="007B4CF3">
              <w:t>d</w:t>
            </w:r>
            <w:r>
              <w:t xml:space="preserve"> at one, which is unlikely to increase and cannot decline. </w:t>
            </w:r>
          </w:p>
        </w:tc>
      </w:tr>
      <w:tr w:rsidR="00A12773" w14:paraId="320E0387" w14:textId="77777777" w:rsidTr="20CB4E9E">
        <w:trPr>
          <w:cantSplit/>
        </w:trPr>
        <w:tc>
          <w:tcPr>
            <w:tcW w:w="1741" w:type="dxa"/>
          </w:tcPr>
          <w:p w14:paraId="2C8F4027" w14:textId="77777777" w:rsidR="00A12773" w:rsidRPr="00D20C80" w:rsidRDefault="00A12773" w:rsidP="00A12773">
            <w:pPr>
              <w:pStyle w:val="TableHeading"/>
              <w:keepNext w:val="0"/>
              <w:rPr>
                <w:rStyle w:val="Strong"/>
                <w:b/>
                <w:sz w:val="22"/>
              </w:rPr>
            </w:pPr>
            <w:bookmarkStart w:id="23" w:name="_Hlk51878889"/>
            <w:r w:rsidRPr="00D20C80">
              <w:rPr>
                <w:rStyle w:val="Strong"/>
                <w:b/>
                <w:bCs w:val="0"/>
              </w:rPr>
              <w:t>Basis of assessment of location number</w:t>
            </w:r>
            <w:bookmarkEnd w:id="23"/>
          </w:p>
        </w:tc>
        <w:tc>
          <w:tcPr>
            <w:tcW w:w="7319" w:type="dxa"/>
            <w:gridSpan w:val="4"/>
            <w:shd w:val="clear" w:color="auto" w:fill="auto"/>
          </w:tcPr>
          <w:p w14:paraId="33006ACD" w14:textId="43A265D2" w:rsidR="00A12773" w:rsidRDefault="00120A71" w:rsidP="00B62FFD">
            <w:pPr>
              <w:pStyle w:val="TableText"/>
            </w:pPr>
            <w:r>
              <w:t>The number of locations</w:t>
            </w:r>
            <w:r w:rsidR="00B62FFD">
              <w:t xml:space="preserve"> is based on the most plausible serious threats of drought and fire impacting all known subpopulations. These threats may occur separately or together.</w:t>
            </w:r>
            <w:r>
              <w:t xml:space="preserve"> </w:t>
            </w:r>
          </w:p>
        </w:tc>
      </w:tr>
      <w:tr w:rsidR="00A12773" w14:paraId="5034F819" w14:textId="77777777" w:rsidTr="20CB4E9E">
        <w:trPr>
          <w:cantSplit/>
        </w:trPr>
        <w:tc>
          <w:tcPr>
            <w:tcW w:w="1741" w:type="dxa"/>
          </w:tcPr>
          <w:p w14:paraId="5EAA2FB4" w14:textId="77777777" w:rsidR="00A12773" w:rsidRDefault="00A12773" w:rsidP="00A12773">
            <w:pPr>
              <w:pStyle w:val="TableHeading"/>
              <w:keepNext w:val="0"/>
              <w:rPr>
                <w:rStyle w:val="Strong"/>
                <w:b/>
                <w:bCs w:val="0"/>
              </w:rPr>
            </w:pPr>
            <w:r w:rsidRPr="00D20C80">
              <w:rPr>
                <w:rStyle w:val="Strong"/>
                <w:b/>
                <w:bCs w:val="0"/>
              </w:rPr>
              <w:t>Fragmentation</w:t>
            </w:r>
          </w:p>
          <w:p w14:paraId="41F4E82E" w14:textId="77777777" w:rsidR="00A12773" w:rsidRPr="00D20C80" w:rsidRDefault="00A12773" w:rsidP="00A12773">
            <w:pPr>
              <w:pStyle w:val="TableText"/>
              <w:rPr>
                <w:rStyle w:val="Strong"/>
                <w:b w:val="0"/>
                <w:bCs w:val="0"/>
              </w:rPr>
            </w:pPr>
          </w:p>
        </w:tc>
        <w:tc>
          <w:tcPr>
            <w:tcW w:w="7319" w:type="dxa"/>
            <w:gridSpan w:val="4"/>
            <w:shd w:val="clear" w:color="auto" w:fill="auto"/>
          </w:tcPr>
          <w:p w14:paraId="0D42A15C" w14:textId="5387906D" w:rsidR="00A12773" w:rsidRDefault="00A12773" w:rsidP="00A12773">
            <w:pPr>
              <w:pStyle w:val="TableText"/>
            </w:pPr>
            <w:r w:rsidRPr="00692D59">
              <w:t>Not severely fragmented</w:t>
            </w:r>
            <w:r w:rsidR="00AF0008">
              <w:t xml:space="preserve"> </w:t>
            </w:r>
            <w:r w:rsidRPr="00692D59">
              <w:t xml:space="preserve">– A taxon can </w:t>
            </w:r>
            <w:proofErr w:type="gramStart"/>
            <w:r w:rsidRPr="00692D59">
              <w:t>be considered to be</w:t>
            </w:r>
            <w:proofErr w:type="gramEnd"/>
            <w:r w:rsidRPr="00692D59">
              <w:t xml:space="preserve"> severely fragmented if most (&gt;50%) of its total area of occupancy is in habitat patches that are (1) smaller than would be required to support a viable population, and (2) separated from other habitat patches by a large distance” (IUCN 2019). </w:t>
            </w:r>
            <w:r w:rsidR="00D86CAE">
              <w:t>The</w:t>
            </w:r>
            <w:r w:rsidRPr="00692D59">
              <w:t xml:space="preserve"> </w:t>
            </w:r>
            <w:proofErr w:type="spellStart"/>
            <w:r w:rsidRPr="00692D59">
              <w:t>Narrabarba</w:t>
            </w:r>
            <w:proofErr w:type="spellEnd"/>
            <w:r w:rsidRPr="00692D59">
              <w:t xml:space="preserve"> wattle occurs in </w:t>
            </w:r>
            <w:r w:rsidR="00D86CAE">
              <w:t>three</w:t>
            </w:r>
            <w:r w:rsidRPr="00692D59">
              <w:t xml:space="preserve"> subpopulation</w:t>
            </w:r>
            <w:r w:rsidR="0069627E">
              <w:t>s</w:t>
            </w:r>
            <w:r w:rsidR="00D86CAE">
              <w:t>. Two of these</w:t>
            </w:r>
            <w:r w:rsidR="00222A73">
              <w:t xml:space="preserve"> are found</w:t>
            </w:r>
            <w:r w:rsidRPr="00692D59">
              <w:t xml:space="preserve"> across </w:t>
            </w:r>
            <w:r w:rsidR="00F85BFA">
              <w:t>eight</w:t>
            </w:r>
            <w:r w:rsidRPr="00692D59">
              <w:t xml:space="preserve"> rocky outcrops within close distance of each other</w:t>
            </w:r>
            <w:r w:rsidR="00D86CAE">
              <w:t xml:space="preserve">. While the third subpopulation occurs </w:t>
            </w:r>
            <w:r w:rsidR="00222A73">
              <w:t>approximately</w:t>
            </w:r>
            <w:r w:rsidR="00015EAE">
              <w:t xml:space="preserve"> 20 km from</w:t>
            </w:r>
            <w:r w:rsidR="006572DB">
              <w:t xml:space="preserve"> the other two, it only contains four mature individuals and therefore most of the </w:t>
            </w:r>
            <w:r w:rsidR="00DA31CA">
              <w:t>species’</w:t>
            </w:r>
            <w:r w:rsidR="006572DB">
              <w:t xml:space="preserve"> subpopulations </w:t>
            </w:r>
            <w:r w:rsidR="00945205">
              <w:t>are not separated by a large distance</w:t>
            </w:r>
            <w:r w:rsidR="006572DB">
              <w:t xml:space="preserve">. </w:t>
            </w:r>
            <w:proofErr w:type="gramStart"/>
            <w:r w:rsidR="006572DB">
              <w:t>Therefore</w:t>
            </w:r>
            <w:proofErr w:type="gramEnd"/>
            <w:r w:rsidR="006572DB">
              <w:t xml:space="preserve"> this species is </w:t>
            </w:r>
            <w:r w:rsidRPr="00692D59">
              <w:t>not considered to be severely fragmented.</w:t>
            </w:r>
          </w:p>
        </w:tc>
      </w:tr>
      <w:tr w:rsidR="00A12773" w14:paraId="7CA9F12D" w14:textId="77777777" w:rsidTr="20CB4E9E">
        <w:trPr>
          <w:cantSplit/>
        </w:trPr>
        <w:tc>
          <w:tcPr>
            <w:tcW w:w="1741" w:type="dxa"/>
          </w:tcPr>
          <w:p w14:paraId="1B1EC155" w14:textId="77777777" w:rsidR="00A12773" w:rsidRDefault="00A12773" w:rsidP="00A12773">
            <w:pPr>
              <w:pStyle w:val="TableHeading"/>
              <w:keepNext w:val="0"/>
              <w:rPr>
                <w:rStyle w:val="Strong"/>
                <w:b/>
                <w:sz w:val="22"/>
              </w:rPr>
            </w:pPr>
            <w:r w:rsidRPr="00D20C80">
              <w:rPr>
                <w:rStyle w:val="Strong"/>
                <w:b/>
                <w:bCs w:val="0"/>
              </w:rPr>
              <w:t>Fluctuations</w:t>
            </w:r>
          </w:p>
          <w:p w14:paraId="05EBA316" w14:textId="77777777" w:rsidR="00A12773" w:rsidRPr="00D20C80" w:rsidRDefault="00A12773" w:rsidP="00A12773">
            <w:pPr>
              <w:pStyle w:val="TableText"/>
              <w:rPr>
                <w:rStyle w:val="Strong"/>
                <w:b w:val="0"/>
                <w:bCs w:val="0"/>
              </w:rPr>
            </w:pPr>
          </w:p>
        </w:tc>
        <w:tc>
          <w:tcPr>
            <w:tcW w:w="7319" w:type="dxa"/>
            <w:gridSpan w:val="4"/>
            <w:shd w:val="clear" w:color="auto" w:fill="auto"/>
          </w:tcPr>
          <w:p w14:paraId="0CCBAC9E" w14:textId="60725790" w:rsidR="00A12773" w:rsidRDefault="00A12773" w:rsidP="00A12773">
            <w:pPr>
              <w:pStyle w:val="TableText"/>
            </w:pPr>
            <w:r w:rsidRPr="001B203F">
              <w:t>T</w:t>
            </w:r>
            <w:r>
              <w:t>hough the</w:t>
            </w:r>
            <w:r>
              <w:rPr>
                <w:lang w:eastAsia="en-AU"/>
              </w:rPr>
              <w:t xml:space="preserve"> </w:t>
            </w:r>
            <w:proofErr w:type="spellStart"/>
            <w:r>
              <w:rPr>
                <w:lang w:eastAsia="en-AU"/>
              </w:rPr>
              <w:t>Narrabarba</w:t>
            </w:r>
            <w:proofErr w:type="spellEnd"/>
            <w:r>
              <w:rPr>
                <w:lang w:eastAsia="en-AU"/>
              </w:rPr>
              <w:t xml:space="preserve"> wattle does undergo</w:t>
            </w:r>
            <w:r w:rsidRPr="001B203F">
              <w:t xml:space="preserve"> fluctuations </w:t>
            </w:r>
            <w:r>
              <w:t>in mature individuals through</w:t>
            </w:r>
            <w:r w:rsidRPr="001B203F">
              <w:t xml:space="preserve"> fire events, there is no evidence to suggest that these fluctuations exceed one order of magnitude. Furthermore, </w:t>
            </w:r>
            <w:proofErr w:type="gramStart"/>
            <w:r w:rsidRPr="001B203F">
              <w:t>in order for</w:t>
            </w:r>
            <w:proofErr w:type="gramEnd"/>
            <w:r w:rsidRPr="001B203F">
              <w:t xml:space="preserve"> plants that germinate from soil-stored seed to experience extreme fluctuations under IUCN criteria, stored seed must be exhaustible in a single event (IUCN 2019)</w:t>
            </w:r>
            <w:r>
              <w:t>. I</w:t>
            </w:r>
            <w:r w:rsidRPr="001B203F">
              <w:t xml:space="preserve">t </w:t>
            </w:r>
            <w:r>
              <w:t xml:space="preserve">is unknown whether </w:t>
            </w:r>
            <w:proofErr w:type="spellStart"/>
            <w:r>
              <w:rPr>
                <w:lang w:eastAsia="en-AU"/>
              </w:rPr>
              <w:t>Narrabarba</w:t>
            </w:r>
            <w:proofErr w:type="spellEnd"/>
            <w:r>
              <w:rPr>
                <w:lang w:eastAsia="en-AU"/>
              </w:rPr>
              <w:t xml:space="preserve"> wattle</w:t>
            </w:r>
            <w:r w:rsidRPr="001B203F">
              <w:t xml:space="preserve"> seeds </w:t>
            </w:r>
            <w:r>
              <w:t xml:space="preserve">are </w:t>
            </w:r>
            <w:r w:rsidRPr="001B203F">
              <w:t xml:space="preserve">exhausted by </w:t>
            </w:r>
            <w:r>
              <w:t xml:space="preserve">a single fire. </w:t>
            </w:r>
          </w:p>
        </w:tc>
      </w:tr>
      <w:bookmarkEnd w:id="22"/>
    </w:tbl>
    <w:p w14:paraId="4B0C3FDB" w14:textId="77777777" w:rsidR="00EC1CFB" w:rsidRDefault="00EC1CFB" w:rsidP="00D447A7">
      <w:pPr>
        <w:pStyle w:val="Caption"/>
        <w:rPr>
          <w:lang w:eastAsia="ja-JP"/>
        </w:rPr>
      </w:pPr>
    </w:p>
    <w:p w14:paraId="1E964C00" w14:textId="7F03ACE1" w:rsidR="003A06CA" w:rsidRDefault="00C2736A" w:rsidP="00D447A7">
      <w:pPr>
        <w:pStyle w:val="Caption"/>
        <w:rPr>
          <w:lang w:eastAsia="ja-JP"/>
        </w:rPr>
      </w:pPr>
      <w:r>
        <w:rPr>
          <w:lang w:eastAsia="ja-JP"/>
        </w:rPr>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047952CD" w14:textId="77777777" w:rsidTr="0050535B">
        <w:trPr>
          <w:cantSplit/>
          <w:trHeight w:val="606"/>
        </w:trPr>
        <w:tc>
          <w:tcPr>
            <w:tcW w:w="9975" w:type="dxa"/>
            <w:gridSpan w:val="6"/>
            <w:shd w:val="clear" w:color="auto" w:fill="595959" w:themeFill="text1" w:themeFillTint="A6"/>
            <w:vAlign w:val="center"/>
          </w:tcPr>
          <w:p w14:paraId="06EE7133" w14:textId="77777777"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47C7012E"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D6A2876" w14:textId="77777777"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2C9F143B" w14:textId="77777777" w:rsidR="00DD3067" w:rsidRPr="00936152" w:rsidRDefault="00DD3067" w:rsidP="00476948">
            <w:pPr>
              <w:pStyle w:val="TableText"/>
              <w:keepNext/>
              <w:rPr>
                <w:rStyle w:val="Strong"/>
              </w:rPr>
            </w:pPr>
            <w:r w:rsidRPr="00936152">
              <w:rPr>
                <w:rStyle w:val="Strong"/>
              </w:rPr>
              <w:t>Critically Endangered</w:t>
            </w:r>
          </w:p>
          <w:p w14:paraId="6DD7DB58"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0D06BCDA" w14:textId="77777777" w:rsidR="00DD3067" w:rsidRPr="00936152" w:rsidRDefault="00DD3067" w:rsidP="00476948">
            <w:pPr>
              <w:pStyle w:val="TableText"/>
              <w:keepNext/>
              <w:rPr>
                <w:rStyle w:val="Strong"/>
              </w:rPr>
            </w:pPr>
            <w:r w:rsidRPr="00936152">
              <w:rPr>
                <w:rStyle w:val="Strong"/>
              </w:rPr>
              <w:t>Endangered</w:t>
            </w:r>
          </w:p>
          <w:p w14:paraId="5687B0AA"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2E914FD0" w14:textId="77777777" w:rsidR="00DD3067" w:rsidRPr="00936152" w:rsidRDefault="00DD3067" w:rsidP="00476948">
            <w:pPr>
              <w:pStyle w:val="TableText"/>
              <w:keepNext/>
              <w:rPr>
                <w:rStyle w:val="Strong"/>
              </w:rPr>
            </w:pPr>
            <w:r w:rsidRPr="00936152">
              <w:rPr>
                <w:rStyle w:val="Strong"/>
              </w:rPr>
              <w:t>Vulnerable</w:t>
            </w:r>
          </w:p>
          <w:p w14:paraId="17AFA12D"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18320A6D"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388526A4"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67282EC1"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0B967F67"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27A24B5E" w14:textId="77777777" w:rsidR="00DD3067" w:rsidRPr="00556843" w:rsidRDefault="00DD3067" w:rsidP="00476948">
            <w:pPr>
              <w:pStyle w:val="TableText"/>
              <w:keepNext/>
            </w:pPr>
            <w:r w:rsidRPr="00556843">
              <w:t>≥ 50%</w:t>
            </w:r>
          </w:p>
        </w:tc>
      </w:tr>
      <w:tr w:rsidR="00DD3067" w:rsidRPr="00556843" w14:paraId="4859B6E2"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52C6B0B1"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2B755FE0"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0EBEB97"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05B9EA2F" w14:textId="77777777" w:rsidR="00DD3067" w:rsidRPr="00556843" w:rsidRDefault="00DD3067" w:rsidP="00476948">
            <w:pPr>
              <w:pStyle w:val="TableText"/>
              <w:keepNext/>
            </w:pPr>
            <w:r w:rsidRPr="00556843">
              <w:t>≥ 30%</w:t>
            </w:r>
          </w:p>
        </w:tc>
      </w:tr>
      <w:tr w:rsidR="00266DC5" w:rsidRPr="00556843" w14:paraId="461914CD"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34C9E394" w14:textId="77777777" w:rsidR="00266DC5" w:rsidRPr="00556843" w:rsidRDefault="00266DC5" w:rsidP="000D55BC">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402C78B0"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051EBC33"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0726B637"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73290C9B" w14:textId="77777777"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4B84A88A" wp14:editId="3B428868">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7CB3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rsidR="00266DC5">
              <w:t>B</w:t>
            </w:r>
            <w:r w:rsidR="00266DC5" w:rsidRPr="00CE7C59">
              <w:t>ased on any of the following</w:t>
            </w:r>
          </w:p>
        </w:tc>
        <w:tc>
          <w:tcPr>
            <w:tcW w:w="2664" w:type="dxa"/>
            <w:gridSpan w:val="2"/>
            <w:tcBorders>
              <w:top w:val="nil"/>
              <w:left w:val="nil"/>
            </w:tcBorders>
          </w:tcPr>
          <w:p w14:paraId="08D59218"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045258E5" w14:textId="77777777" w:rsidR="00266DC5" w:rsidRDefault="00266DC5" w:rsidP="000D55BC">
            <w:pPr>
              <w:pStyle w:val="TableText"/>
              <w:ind w:left="312" w:hanging="312"/>
            </w:pPr>
            <w:r w:rsidRPr="00556843">
              <w:t>(b)</w:t>
            </w:r>
            <w:r w:rsidRPr="00556843">
              <w:tab/>
              <w:t>an index of abundance appropriate to the taxon</w:t>
            </w:r>
          </w:p>
          <w:p w14:paraId="6629092E" w14:textId="77777777"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4F520832" w14:textId="77777777" w:rsidR="00266DC5" w:rsidRPr="00556843" w:rsidRDefault="00266DC5" w:rsidP="000D55BC">
            <w:pPr>
              <w:pStyle w:val="TableText"/>
              <w:ind w:left="312" w:hanging="312"/>
            </w:pPr>
            <w:r w:rsidRPr="00556843">
              <w:t>(d)</w:t>
            </w:r>
            <w:r w:rsidRPr="00556843">
              <w:tab/>
              <w:t>actual or potential levels of exploitation</w:t>
            </w:r>
          </w:p>
          <w:p w14:paraId="191141E1" w14:textId="77777777" w:rsidR="00266DC5" w:rsidRPr="00556843" w:rsidRDefault="00266DC5" w:rsidP="000D55BC">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4B3FE1ED" w14:textId="77777777" w:rsidR="000F3D21" w:rsidRPr="00844823" w:rsidRDefault="00C2736A" w:rsidP="00B52E90">
      <w:pPr>
        <w:pStyle w:val="Heading3"/>
        <w:rPr>
          <w:lang w:eastAsia="ja-JP"/>
        </w:rPr>
      </w:pPr>
      <w:r w:rsidRPr="00844823">
        <w:rPr>
          <w:lang w:eastAsia="ja-JP"/>
        </w:rPr>
        <w:t>Criterion 1 e</w:t>
      </w:r>
      <w:r w:rsidR="000F3D21" w:rsidRPr="00844823">
        <w:rPr>
          <w:lang w:eastAsia="ja-JP"/>
        </w:rPr>
        <w:t>vidence</w:t>
      </w:r>
    </w:p>
    <w:p w14:paraId="6CCB18B0" w14:textId="2266111B" w:rsidR="00CF270B" w:rsidRDefault="000F3D21" w:rsidP="00CF270B">
      <w:pPr>
        <w:rPr>
          <w:lang w:eastAsia="ja-JP"/>
        </w:rPr>
      </w:pPr>
      <w:r w:rsidRPr="00844823">
        <w:rPr>
          <w:rStyle w:val="Strong"/>
        </w:rPr>
        <w:t>Eligible under Criterion 1</w:t>
      </w:r>
      <w:r w:rsidRPr="00844823">
        <w:rPr>
          <w:lang w:eastAsia="ja-JP"/>
        </w:rPr>
        <w:t xml:space="preserve"> </w:t>
      </w:r>
      <w:r w:rsidR="00A026B3" w:rsidRPr="00844823">
        <w:rPr>
          <w:b/>
          <w:bCs/>
        </w:rPr>
        <w:t>A2a</w:t>
      </w:r>
      <w:r w:rsidR="00347206" w:rsidRPr="00844823">
        <w:t xml:space="preserve"> </w:t>
      </w:r>
      <w:r w:rsidR="00347206" w:rsidRPr="00844823">
        <w:rPr>
          <w:b/>
          <w:bCs/>
        </w:rPr>
        <w:t>for listing as</w:t>
      </w:r>
      <w:r w:rsidR="009F10A8" w:rsidRPr="00844823">
        <w:t xml:space="preserve"> </w:t>
      </w:r>
      <w:sdt>
        <w:sdtPr>
          <w:rPr>
            <w:b/>
            <w:bCs/>
          </w:rPr>
          <w:id w:val="-796447343"/>
          <w:placeholder>
            <w:docPart w:val="EFDD723ED5D54C95BBC024940443A025"/>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Conservation Dependant" w:value="Conservation Dependant"/>
            <w:listItem w:displayText="Extinct in the Wild" w:value="Extinct in the Wild"/>
            <w:listItem w:displayText="Extinct" w:value="Extinct"/>
          </w:dropDownList>
        </w:sdtPr>
        <w:sdtEndPr/>
        <w:sdtContent>
          <w:r w:rsidR="00747FF7">
            <w:rPr>
              <w:b/>
              <w:bCs/>
            </w:rPr>
            <w:t>Endangered</w:t>
          </w:r>
        </w:sdtContent>
      </w:sdt>
    </w:p>
    <w:p w14:paraId="7EC1D900" w14:textId="5C47388B" w:rsidR="00504684" w:rsidRPr="009F28E0" w:rsidRDefault="00495E8B" w:rsidP="00504684">
      <w:pPr>
        <w:rPr>
          <w:lang w:eastAsia="ja-JP"/>
        </w:rPr>
      </w:pPr>
      <w:r>
        <w:rPr>
          <w:i/>
          <w:iCs/>
          <w:lang w:eastAsia="ja-JP"/>
        </w:rPr>
        <w:t>G</w:t>
      </w:r>
      <w:r w:rsidR="00504684" w:rsidRPr="009F28E0">
        <w:rPr>
          <w:i/>
          <w:iCs/>
          <w:lang w:eastAsia="ja-JP"/>
        </w:rPr>
        <w:t>eneration length</w:t>
      </w:r>
    </w:p>
    <w:p w14:paraId="715FF30F" w14:textId="1C2BA262" w:rsidR="00E56BDD" w:rsidRDefault="00504684" w:rsidP="00E56BDD">
      <w:pPr>
        <w:rPr>
          <w:lang w:eastAsia="en-AU"/>
        </w:rPr>
      </w:pPr>
      <w:r>
        <w:rPr>
          <w:lang w:eastAsia="en-AU"/>
        </w:rPr>
        <w:t>An</w:t>
      </w:r>
      <w:r w:rsidRPr="000B6319">
        <w:rPr>
          <w:lang w:eastAsia="en-AU"/>
        </w:rPr>
        <w:t xml:space="preserve"> equation</w:t>
      </w:r>
      <w:r>
        <w:rPr>
          <w:lang w:eastAsia="en-AU"/>
        </w:rPr>
        <w:t xml:space="preserve"> for generation time given in </w:t>
      </w:r>
      <w:r w:rsidRPr="000B6319">
        <w:rPr>
          <w:lang w:eastAsia="en-AU"/>
        </w:rPr>
        <w:t xml:space="preserve">IUCN (2019) </w:t>
      </w:r>
      <w:r>
        <w:rPr>
          <w:lang w:eastAsia="en-AU"/>
        </w:rPr>
        <w:t>is</w:t>
      </w:r>
      <w:r w:rsidRPr="000B6319">
        <w:rPr>
          <w:lang w:eastAsia="en-AU"/>
        </w:rPr>
        <w:t xml:space="preserve">: </w:t>
      </w:r>
      <w:r>
        <w:rPr>
          <w:lang w:eastAsia="en-AU"/>
        </w:rPr>
        <w:t xml:space="preserve"> </w:t>
      </w:r>
      <w:r w:rsidRPr="000B6319">
        <w:rPr>
          <w:lang w:eastAsia="en-AU"/>
        </w:rPr>
        <w:t>Generation time</w:t>
      </w:r>
      <w:r w:rsidR="00AF0008">
        <w:rPr>
          <w:lang w:eastAsia="en-AU"/>
        </w:rPr>
        <w:t xml:space="preserve"> </w:t>
      </w:r>
      <w:r w:rsidRPr="000B6319">
        <w:rPr>
          <w:lang w:eastAsia="en-AU"/>
        </w:rPr>
        <w:t>= age of first reproduction + [0.5 * (length of reproductive period)]</w:t>
      </w:r>
      <w:r w:rsidR="00AF0008">
        <w:rPr>
          <w:lang w:eastAsia="en-AU"/>
        </w:rPr>
        <w:t>.</w:t>
      </w:r>
    </w:p>
    <w:p w14:paraId="4B70F4FD" w14:textId="5F79E80C" w:rsidR="00844382" w:rsidRPr="0073329E" w:rsidRDefault="009A5FCB" w:rsidP="00844382">
      <w:pPr>
        <w:spacing w:after="0"/>
      </w:pPr>
      <w:r>
        <w:t xml:space="preserve">The longevity of </w:t>
      </w:r>
      <w:r w:rsidRPr="20CB4E9E">
        <w:rPr>
          <w:lang w:eastAsia="en-AU"/>
        </w:rPr>
        <w:t xml:space="preserve">the </w:t>
      </w:r>
      <w:proofErr w:type="spellStart"/>
      <w:r w:rsidRPr="20CB4E9E">
        <w:rPr>
          <w:lang w:eastAsia="en-AU"/>
        </w:rPr>
        <w:t>Narrabarba</w:t>
      </w:r>
      <w:proofErr w:type="spellEnd"/>
      <w:r w:rsidRPr="20CB4E9E">
        <w:rPr>
          <w:lang w:eastAsia="en-AU"/>
        </w:rPr>
        <w:t xml:space="preserve"> wattle is unkno</w:t>
      </w:r>
      <w:r>
        <w:t xml:space="preserve">wn. </w:t>
      </w:r>
      <w:r w:rsidR="007C7E6E">
        <w:t>M</w:t>
      </w:r>
      <w:r>
        <w:t xml:space="preserve">ost plants that were recruited from seed following the fire in 1980 had died or </w:t>
      </w:r>
      <w:r w:rsidRPr="20CB4E9E">
        <w:rPr>
          <w:color w:val="000000" w:themeColor="text1"/>
          <w:lang w:eastAsia="en-AU"/>
        </w:rPr>
        <w:t xml:space="preserve">were senescing prior to the 2019-2020 </w:t>
      </w:r>
      <w:r w:rsidR="005F608F" w:rsidRPr="20CB4E9E">
        <w:rPr>
          <w:color w:val="000000" w:themeColor="text1"/>
          <w:lang w:eastAsia="en-AU"/>
        </w:rPr>
        <w:t>fire</w:t>
      </w:r>
      <w:r w:rsidR="00A43744" w:rsidRPr="20CB4E9E">
        <w:rPr>
          <w:color w:val="000000" w:themeColor="text1"/>
          <w:lang w:eastAsia="en-AU"/>
        </w:rPr>
        <w:t xml:space="preserve">. </w:t>
      </w:r>
      <w:r w:rsidR="008172B4">
        <w:t xml:space="preserve">Based on </w:t>
      </w:r>
      <w:r w:rsidR="008172B4" w:rsidRPr="0073329E">
        <w:t>these observations, it is assumed plants c</w:t>
      </w:r>
      <w:r w:rsidR="00AF0008" w:rsidRPr="0073329E">
        <w:t xml:space="preserve">an </w:t>
      </w:r>
      <w:r w:rsidR="008172B4" w:rsidRPr="0073329E">
        <w:t xml:space="preserve">live </w:t>
      </w:r>
      <w:r w:rsidR="00DD3E18" w:rsidRPr="0073329E">
        <w:t xml:space="preserve">a maximum of </w:t>
      </w:r>
      <w:r w:rsidR="009F2111" w:rsidRPr="0073329E">
        <w:t>40 years (</w:t>
      </w:r>
      <w:r w:rsidR="00DD3E18" w:rsidRPr="0073329E">
        <w:t>J Miles, pers comm. 10 December 2021)</w:t>
      </w:r>
      <w:r w:rsidR="008172B4" w:rsidRPr="0073329E">
        <w:t xml:space="preserve">. </w:t>
      </w:r>
      <w:r w:rsidR="00844382" w:rsidRPr="0073329E">
        <w:t xml:space="preserve">Plants burnt in the 2019-2020 bushfires were observed flowering in January 2022, therefore time to first flowering is two years (D Bain, pers comm. 28 January 2022). Based on these figures the generation length is estimated as: </w:t>
      </w:r>
    </w:p>
    <w:p w14:paraId="303CD053" w14:textId="77777777" w:rsidR="00844382" w:rsidRDefault="00844382" w:rsidP="00844382">
      <w:pPr>
        <w:rPr>
          <w:lang w:eastAsia="en-AU"/>
        </w:rPr>
      </w:pPr>
      <w:r w:rsidRPr="0073329E">
        <w:rPr>
          <w:lang w:eastAsia="en-AU"/>
        </w:rPr>
        <w:t xml:space="preserve">Generation time = </w:t>
      </w:r>
      <w:proofErr w:type="gramStart"/>
      <w:r w:rsidRPr="0073329E">
        <w:rPr>
          <w:lang w:eastAsia="en-AU"/>
        </w:rPr>
        <w:t>2  +</w:t>
      </w:r>
      <w:proofErr w:type="gramEnd"/>
      <w:r w:rsidRPr="0073329E">
        <w:rPr>
          <w:lang w:eastAsia="en-AU"/>
        </w:rPr>
        <w:t xml:space="preserve"> [0.5 * (40-2)] =21, assuming a juvenile period of two years and longevity of 40 years. </w:t>
      </w:r>
      <w:r w:rsidRPr="0073329E">
        <w:t>This gives an estimated three-generation period of approximately 63 years.</w:t>
      </w:r>
    </w:p>
    <w:p w14:paraId="193E1FA0" w14:textId="4EB1FACA" w:rsidR="006E6DE9" w:rsidRPr="006E6DE9" w:rsidRDefault="006E6DE9" w:rsidP="00291154">
      <w:pPr>
        <w:rPr>
          <w:i/>
          <w:iCs/>
          <w:lang w:eastAsia="ja-JP"/>
        </w:rPr>
      </w:pPr>
      <w:r w:rsidRPr="006E6DE9">
        <w:rPr>
          <w:i/>
          <w:iCs/>
        </w:rPr>
        <w:t xml:space="preserve">Past population </w:t>
      </w:r>
      <w:r>
        <w:rPr>
          <w:i/>
          <w:iCs/>
        </w:rPr>
        <w:t>reduction</w:t>
      </w:r>
    </w:p>
    <w:p w14:paraId="425CA30F" w14:textId="6682A590" w:rsidR="009311B3" w:rsidRDefault="00F4581C" w:rsidP="00F4581C">
      <w:pPr>
        <w:rPr>
          <w:lang w:eastAsia="ja-JP"/>
        </w:rPr>
      </w:pPr>
      <w:r w:rsidRPr="4C23B032">
        <w:rPr>
          <w:lang w:eastAsia="ja-JP"/>
        </w:rPr>
        <w:t xml:space="preserve">As the </w:t>
      </w:r>
      <w:proofErr w:type="spellStart"/>
      <w:r w:rsidRPr="4C23B032">
        <w:rPr>
          <w:lang w:eastAsia="en-AU"/>
        </w:rPr>
        <w:t>Narrabarba</w:t>
      </w:r>
      <w:proofErr w:type="spellEnd"/>
      <w:r w:rsidRPr="4C23B032">
        <w:rPr>
          <w:lang w:eastAsia="en-AU"/>
        </w:rPr>
        <w:t xml:space="preserve"> wattle </w:t>
      </w:r>
      <w:r w:rsidRPr="4C23B032">
        <w:rPr>
          <w:lang w:eastAsia="ja-JP"/>
        </w:rPr>
        <w:t xml:space="preserve">is an obligate </w:t>
      </w:r>
      <w:proofErr w:type="spellStart"/>
      <w:r w:rsidRPr="4C23B032">
        <w:rPr>
          <w:lang w:eastAsia="ja-JP"/>
        </w:rPr>
        <w:t>seeder</w:t>
      </w:r>
      <w:proofErr w:type="spellEnd"/>
      <w:r w:rsidRPr="4C23B032">
        <w:rPr>
          <w:lang w:eastAsia="ja-JP"/>
        </w:rPr>
        <w:t xml:space="preserve">, it undergoes natural fluctuations in numbers of mature individuals as plants are killed by fire and </w:t>
      </w:r>
      <w:r w:rsidR="6DD83C6A" w:rsidRPr="4C23B032">
        <w:rPr>
          <w:lang w:eastAsia="ja-JP"/>
        </w:rPr>
        <w:t xml:space="preserve">regeneration occurs </w:t>
      </w:r>
      <w:r w:rsidRPr="4C23B032">
        <w:rPr>
          <w:lang w:eastAsia="ja-JP"/>
        </w:rPr>
        <w:t xml:space="preserve">from soil-stored seed. The number of mature individuals has fluctuated over the past 41 years (see below).  During this time there were two recorded bushfire events, one in 1980 and </w:t>
      </w:r>
      <w:r w:rsidR="00ED069B" w:rsidRPr="4C23B032">
        <w:rPr>
          <w:lang w:eastAsia="ja-JP"/>
        </w:rPr>
        <w:t>another</w:t>
      </w:r>
      <w:r w:rsidRPr="4C23B032">
        <w:rPr>
          <w:lang w:eastAsia="ja-JP"/>
        </w:rPr>
        <w:t xml:space="preserve"> in 2020. There are no </w:t>
      </w:r>
      <w:r w:rsidRPr="4C23B032">
        <w:rPr>
          <w:lang w:eastAsia="ja-JP"/>
        </w:rPr>
        <w:lastRenderedPageBreak/>
        <w:t xml:space="preserve">data on number of mature individuals or fire history prior to the 1980 bushfire event. </w:t>
      </w:r>
      <w:r w:rsidR="005C20AC" w:rsidRPr="4C23B032">
        <w:rPr>
          <w:lang w:eastAsia="ja-JP"/>
        </w:rPr>
        <w:t>However, two sites</w:t>
      </w:r>
      <w:r w:rsidR="00157556" w:rsidRPr="4C23B032">
        <w:rPr>
          <w:lang w:eastAsia="ja-JP"/>
        </w:rPr>
        <w:t xml:space="preserve"> with 1200+ mature individuals</w:t>
      </w:r>
      <w:r w:rsidR="005C20AC" w:rsidRPr="4C23B032">
        <w:rPr>
          <w:lang w:eastAsia="ja-JP"/>
        </w:rPr>
        <w:t xml:space="preserve"> recorded in 1986</w:t>
      </w:r>
      <w:r w:rsidR="0050586B" w:rsidRPr="4C23B032">
        <w:rPr>
          <w:lang w:eastAsia="ja-JP"/>
        </w:rPr>
        <w:t>-</w:t>
      </w:r>
      <w:r w:rsidR="005C20AC" w:rsidRPr="4C23B032">
        <w:rPr>
          <w:lang w:eastAsia="ja-JP"/>
        </w:rPr>
        <w:t xml:space="preserve">87 were unburnt during the 1980 bushfire, suggesting that the number of mature individuals prior to this bushfire could have been </w:t>
      </w:r>
      <w:r w:rsidR="00FD66BC" w:rsidRPr="4C23B032">
        <w:rPr>
          <w:lang w:eastAsia="ja-JP"/>
        </w:rPr>
        <w:t>thousands</w:t>
      </w:r>
      <w:r w:rsidR="005C20AC" w:rsidRPr="4C23B032">
        <w:rPr>
          <w:lang w:eastAsia="ja-JP"/>
        </w:rPr>
        <w:t xml:space="preserve">. </w:t>
      </w:r>
    </w:p>
    <w:p w14:paraId="5EAB15D3" w14:textId="0F6937AB" w:rsidR="00425D12" w:rsidRPr="00906857" w:rsidRDefault="00B62FFD" w:rsidP="00291154">
      <w:pPr>
        <w:rPr>
          <w:b/>
          <w:bCs/>
          <w:lang w:eastAsia="ja-JP"/>
        </w:rPr>
      </w:pPr>
      <w:r>
        <w:rPr>
          <w:b/>
          <w:bCs/>
          <w:lang w:eastAsia="ja-JP"/>
        </w:rPr>
        <w:t xml:space="preserve">Table 6. </w:t>
      </w:r>
      <w:r w:rsidR="00425D12" w:rsidRPr="00906857">
        <w:rPr>
          <w:b/>
          <w:bCs/>
          <w:lang w:eastAsia="ja-JP"/>
        </w:rPr>
        <w:t xml:space="preserve">No. of mature </w:t>
      </w:r>
      <w:r w:rsidR="00906857" w:rsidRPr="00906857">
        <w:rPr>
          <w:b/>
          <w:bCs/>
          <w:lang w:eastAsia="ja-JP"/>
        </w:rPr>
        <w:t>individuals</w:t>
      </w:r>
      <w:r w:rsidR="00425D12" w:rsidRPr="00906857">
        <w:rPr>
          <w:b/>
          <w:bCs/>
          <w:lang w:eastAsia="ja-JP"/>
        </w:rPr>
        <w:t xml:space="preserve"> across all survey sites over past 3</w:t>
      </w:r>
      <w:r w:rsidR="00906857">
        <w:rPr>
          <w:b/>
          <w:bCs/>
          <w:lang w:eastAsia="ja-JP"/>
        </w:rPr>
        <w:t>9</w:t>
      </w:r>
      <w:r w:rsidR="00425D12" w:rsidRPr="00906857">
        <w:rPr>
          <w:b/>
          <w:bCs/>
          <w:lang w:eastAsia="ja-JP"/>
        </w:rPr>
        <w:t xml:space="preserve"> years</w:t>
      </w:r>
    </w:p>
    <w:tbl>
      <w:tblPr>
        <w:tblStyle w:val="TableGrid"/>
        <w:tblW w:w="0" w:type="auto"/>
        <w:tblLook w:val="04A0" w:firstRow="1" w:lastRow="0" w:firstColumn="1" w:lastColumn="0" w:noHBand="0" w:noVBand="1"/>
      </w:tblPr>
      <w:tblGrid>
        <w:gridCol w:w="3339"/>
        <w:gridCol w:w="3039"/>
        <w:gridCol w:w="2682"/>
      </w:tblGrid>
      <w:tr w:rsidR="00680C3A" w:rsidRPr="00680C3A" w14:paraId="1DCEAFB7" w14:textId="320C55F5" w:rsidTr="20CB4E9E">
        <w:tc>
          <w:tcPr>
            <w:tcW w:w="3339" w:type="dxa"/>
          </w:tcPr>
          <w:p w14:paraId="34AF1FF5" w14:textId="57A2E007" w:rsidR="00680C3A" w:rsidRPr="00680C3A" w:rsidRDefault="00680C3A" w:rsidP="00FA33A1">
            <w:pPr>
              <w:pStyle w:val="TableHeading"/>
              <w:rPr>
                <w:lang w:eastAsia="ja-JP"/>
              </w:rPr>
            </w:pPr>
            <w:r w:rsidRPr="00680C3A">
              <w:rPr>
                <w:lang w:eastAsia="ja-JP"/>
              </w:rPr>
              <w:t>Mature individuals</w:t>
            </w:r>
          </w:p>
        </w:tc>
        <w:tc>
          <w:tcPr>
            <w:tcW w:w="3039" w:type="dxa"/>
          </w:tcPr>
          <w:p w14:paraId="3D69C59B" w14:textId="3EAC78CF" w:rsidR="00680C3A" w:rsidRPr="00680C3A" w:rsidRDefault="00680C3A" w:rsidP="00FA33A1">
            <w:pPr>
              <w:pStyle w:val="TableHeading"/>
              <w:rPr>
                <w:lang w:eastAsia="ja-JP"/>
              </w:rPr>
            </w:pPr>
            <w:r w:rsidRPr="00680C3A">
              <w:rPr>
                <w:lang w:eastAsia="ja-JP"/>
              </w:rPr>
              <w:t>Date</w:t>
            </w:r>
          </w:p>
        </w:tc>
        <w:tc>
          <w:tcPr>
            <w:tcW w:w="2682" w:type="dxa"/>
          </w:tcPr>
          <w:p w14:paraId="1E4A6063" w14:textId="3D1667B2" w:rsidR="00680C3A" w:rsidRPr="00680C3A" w:rsidRDefault="27BD9645" w:rsidP="00FA33A1">
            <w:pPr>
              <w:pStyle w:val="TableHeading"/>
              <w:rPr>
                <w:lang w:eastAsia="ja-JP"/>
              </w:rPr>
            </w:pPr>
            <w:r w:rsidRPr="20CB4E9E">
              <w:rPr>
                <w:lang w:eastAsia="ja-JP"/>
              </w:rPr>
              <w:t>Year</w:t>
            </w:r>
            <w:r w:rsidR="324232CC" w:rsidRPr="20CB4E9E">
              <w:rPr>
                <w:lang w:eastAsia="ja-JP"/>
              </w:rPr>
              <w:t>s</w:t>
            </w:r>
            <w:r w:rsidRPr="20CB4E9E">
              <w:rPr>
                <w:lang w:eastAsia="ja-JP"/>
              </w:rPr>
              <w:t xml:space="preserve"> </w:t>
            </w:r>
            <w:r w:rsidR="2EDC6291" w:rsidRPr="20CB4E9E">
              <w:rPr>
                <w:lang w:eastAsia="ja-JP"/>
              </w:rPr>
              <w:t xml:space="preserve">since </w:t>
            </w:r>
            <w:r w:rsidRPr="20CB4E9E">
              <w:rPr>
                <w:lang w:eastAsia="ja-JP"/>
              </w:rPr>
              <w:t>fire</w:t>
            </w:r>
          </w:p>
        </w:tc>
      </w:tr>
      <w:tr w:rsidR="00680C3A" w14:paraId="139651EF" w14:textId="0B253594" w:rsidTr="20CB4E9E">
        <w:tc>
          <w:tcPr>
            <w:tcW w:w="3339" w:type="dxa"/>
          </w:tcPr>
          <w:p w14:paraId="1D37C23E" w14:textId="1703791C" w:rsidR="00680C3A" w:rsidRDefault="00680C3A" w:rsidP="00FA33A1">
            <w:pPr>
              <w:pStyle w:val="TableText"/>
              <w:rPr>
                <w:lang w:eastAsia="ja-JP"/>
              </w:rPr>
            </w:pPr>
            <w:r>
              <w:rPr>
                <w:lang w:eastAsia="ja-JP"/>
              </w:rPr>
              <w:t>1200+ (approximately)</w:t>
            </w:r>
            <w:r w:rsidR="009A1845">
              <w:rPr>
                <w:lang w:eastAsia="ja-JP"/>
              </w:rPr>
              <w:t xml:space="preserve"> </w:t>
            </w:r>
          </w:p>
        </w:tc>
        <w:tc>
          <w:tcPr>
            <w:tcW w:w="3039" w:type="dxa"/>
          </w:tcPr>
          <w:p w14:paraId="7F23984A" w14:textId="2D193508" w:rsidR="00680C3A" w:rsidRDefault="27BD9645" w:rsidP="00FA33A1">
            <w:pPr>
              <w:pStyle w:val="TableText"/>
              <w:rPr>
                <w:lang w:eastAsia="ja-JP"/>
              </w:rPr>
            </w:pPr>
            <w:r w:rsidRPr="20CB4E9E">
              <w:rPr>
                <w:lang w:eastAsia="ja-JP"/>
              </w:rPr>
              <w:t>1986</w:t>
            </w:r>
            <w:r w:rsidR="0050586B" w:rsidRPr="20CB4E9E">
              <w:rPr>
                <w:lang w:eastAsia="ja-JP"/>
              </w:rPr>
              <w:t>-</w:t>
            </w:r>
            <w:r w:rsidRPr="20CB4E9E">
              <w:rPr>
                <w:lang w:eastAsia="ja-JP"/>
              </w:rPr>
              <w:t>87 (</w:t>
            </w:r>
            <w:r w:rsidR="009A1845" w:rsidRPr="20CB4E9E">
              <w:rPr>
                <w:lang w:eastAsia="ja-JP"/>
              </w:rPr>
              <w:t xml:space="preserve">across </w:t>
            </w:r>
            <w:r w:rsidR="7D07DE4C" w:rsidRPr="20CB4E9E">
              <w:rPr>
                <w:lang w:eastAsia="ja-JP"/>
              </w:rPr>
              <w:t>four</w:t>
            </w:r>
            <w:r w:rsidR="009A1845" w:rsidRPr="20CB4E9E">
              <w:rPr>
                <w:lang w:eastAsia="ja-JP"/>
              </w:rPr>
              <w:t xml:space="preserve"> sites</w:t>
            </w:r>
            <w:r w:rsidR="005C20AC" w:rsidRPr="20CB4E9E">
              <w:rPr>
                <w:lang w:eastAsia="ja-JP"/>
              </w:rPr>
              <w:t xml:space="preserve">, </w:t>
            </w:r>
            <w:r w:rsidR="6D8AA5BA" w:rsidRPr="20CB4E9E">
              <w:rPr>
                <w:lang w:eastAsia="ja-JP"/>
              </w:rPr>
              <w:t>two</w:t>
            </w:r>
            <w:r w:rsidR="005C20AC" w:rsidRPr="20CB4E9E">
              <w:rPr>
                <w:lang w:eastAsia="ja-JP"/>
              </w:rPr>
              <w:t xml:space="preserve"> burnt</w:t>
            </w:r>
            <w:r w:rsidRPr="20CB4E9E">
              <w:rPr>
                <w:lang w:eastAsia="ja-JP"/>
              </w:rPr>
              <w:t>)</w:t>
            </w:r>
          </w:p>
        </w:tc>
        <w:tc>
          <w:tcPr>
            <w:tcW w:w="2682" w:type="dxa"/>
          </w:tcPr>
          <w:p w14:paraId="2D852311" w14:textId="16B16A0D" w:rsidR="00680C3A" w:rsidRDefault="009A1845" w:rsidP="00FA33A1">
            <w:pPr>
              <w:pStyle w:val="TableText"/>
              <w:rPr>
                <w:lang w:eastAsia="ja-JP"/>
              </w:rPr>
            </w:pPr>
            <w:r>
              <w:rPr>
                <w:lang w:eastAsia="ja-JP"/>
              </w:rPr>
              <w:t>6-7</w:t>
            </w:r>
          </w:p>
        </w:tc>
      </w:tr>
      <w:tr w:rsidR="00680C3A" w14:paraId="79F3FEA5" w14:textId="01E8C90C" w:rsidTr="20CB4E9E">
        <w:tc>
          <w:tcPr>
            <w:tcW w:w="3339" w:type="dxa"/>
          </w:tcPr>
          <w:p w14:paraId="7222AC9F" w14:textId="02791AC9" w:rsidR="00680C3A" w:rsidRDefault="00680C3A" w:rsidP="00FA33A1">
            <w:pPr>
              <w:pStyle w:val="TableText"/>
              <w:rPr>
                <w:lang w:eastAsia="ja-JP"/>
              </w:rPr>
            </w:pPr>
            <w:r>
              <w:rPr>
                <w:lang w:eastAsia="ja-JP"/>
              </w:rPr>
              <w:t>5700 (approximately)</w:t>
            </w:r>
          </w:p>
        </w:tc>
        <w:tc>
          <w:tcPr>
            <w:tcW w:w="3039" w:type="dxa"/>
          </w:tcPr>
          <w:p w14:paraId="374555A9" w14:textId="3B14467A" w:rsidR="00680C3A" w:rsidRDefault="27BD9645" w:rsidP="00FA33A1">
            <w:pPr>
              <w:pStyle w:val="TableText"/>
              <w:rPr>
                <w:lang w:eastAsia="ja-JP"/>
              </w:rPr>
            </w:pPr>
            <w:r w:rsidRPr="20CB4E9E">
              <w:rPr>
                <w:lang w:eastAsia="ja-JP"/>
              </w:rPr>
              <w:t xml:space="preserve">2002 (across </w:t>
            </w:r>
            <w:r w:rsidR="379976FA" w:rsidRPr="20CB4E9E">
              <w:rPr>
                <w:lang w:eastAsia="ja-JP"/>
              </w:rPr>
              <w:t>six</w:t>
            </w:r>
            <w:r w:rsidRPr="20CB4E9E">
              <w:rPr>
                <w:lang w:eastAsia="ja-JP"/>
              </w:rPr>
              <w:t xml:space="preserve"> sites)</w:t>
            </w:r>
          </w:p>
        </w:tc>
        <w:tc>
          <w:tcPr>
            <w:tcW w:w="2682" w:type="dxa"/>
          </w:tcPr>
          <w:p w14:paraId="5A75765F" w14:textId="6C83F9AC" w:rsidR="00680C3A" w:rsidRDefault="00680C3A" w:rsidP="00FA33A1">
            <w:pPr>
              <w:pStyle w:val="TableText"/>
              <w:rPr>
                <w:lang w:eastAsia="ja-JP"/>
              </w:rPr>
            </w:pPr>
            <w:r>
              <w:rPr>
                <w:lang w:eastAsia="ja-JP"/>
              </w:rPr>
              <w:t>22</w:t>
            </w:r>
          </w:p>
        </w:tc>
      </w:tr>
      <w:tr w:rsidR="00680C3A" w14:paraId="751C4DB2" w14:textId="758C04F1" w:rsidTr="20CB4E9E">
        <w:tc>
          <w:tcPr>
            <w:tcW w:w="3339" w:type="dxa"/>
          </w:tcPr>
          <w:p w14:paraId="4CE17E38" w14:textId="14C11E38" w:rsidR="00680C3A" w:rsidRDefault="00680C3A" w:rsidP="00FA33A1">
            <w:pPr>
              <w:pStyle w:val="TableText"/>
              <w:rPr>
                <w:lang w:eastAsia="ja-JP"/>
              </w:rPr>
            </w:pPr>
            <w:r>
              <w:rPr>
                <w:lang w:eastAsia="ja-JP"/>
              </w:rPr>
              <w:t xml:space="preserve">236 </w:t>
            </w:r>
          </w:p>
        </w:tc>
        <w:tc>
          <w:tcPr>
            <w:tcW w:w="3039" w:type="dxa"/>
          </w:tcPr>
          <w:p w14:paraId="01B4187E" w14:textId="13E0969B" w:rsidR="00680C3A" w:rsidRDefault="27BD9645" w:rsidP="00FA33A1">
            <w:pPr>
              <w:pStyle w:val="TableText"/>
              <w:rPr>
                <w:lang w:eastAsia="ja-JP"/>
              </w:rPr>
            </w:pPr>
            <w:r w:rsidRPr="20CB4E9E">
              <w:rPr>
                <w:lang w:eastAsia="ja-JP"/>
              </w:rPr>
              <w:t xml:space="preserve">2017 (across </w:t>
            </w:r>
            <w:r w:rsidR="61FEF316" w:rsidRPr="20CB4E9E">
              <w:rPr>
                <w:lang w:eastAsia="ja-JP"/>
              </w:rPr>
              <w:t>eight</w:t>
            </w:r>
            <w:r w:rsidRPr="20CB4E9E">
              <w:rPr>
                <w:lang w:eastAsia="ja-JP"/>
              </w:rPr>
              <w:t xml:space="preserve"> sites)</w:t>
            </w:r>
          </w:p>
        </w:tc>
        <w:tc>
          <w:tcPr>
            <w:tcW w:w="2682" w:type="dxa"/>
          </w:tcPr>
          <w:p w14:paraId="17A679A1" w14:textId="1F51ABF0" w:rsidR="00680C3A" w:rsidRDefault="00680C3A" w:rsidP="00FA33A1">
            <w:pPr>
              <w:pStyle w:val="TableText"/>
              <w:rPr>
                <w:lang w:eastAsia="ja-JP"/>
              </w:rPr>
            </w:pPr>
            <w:r>
              <w:rPr>
                <w:lang w:eastAsia="ja-JP"/>
              </w:rPr>
              <w:t>37</w:t>
            </w:r>
          </w:p>
        </w:tc>
      </w:tr>
      <w:tr w:rsidR="00680C3A" w14:paraId="702E3EB7" w14:textId="64A964F8" w:rsidTr="20CB4E9E">
        <w:tc>
          <w:tcPr>
            <w:tcW w:w="3339" w:type="dxa"/>
          </w:tcPr>
          <w:p w14:paraId="6CAC8F61" w14:textId="79293FDC" w:rsidR="00680C3A" w:rsidRDefault="00BF3EB8" w:rsidP="00FA33A1">
            <w:pPr>
              <w:pStyle w:val="TableText"/>
              <w:rPr>
                <w:lang w:eastAsia="ja-JP"/>
              </w:rPr>
            </w:pPr>
            <w:r>
              <w:rPr>
                <w:lang w:eastAsia="ja-JP"/>
              </w:rPr>
              <w:t>92</w:t>
            </w:r>
          </w:p>
        </w:tc>
        <w:tc>
          <w:tcPr>
            <w:tcW w:w="3039" w:type="dxa"/>
          </w:tcPr>
          <w:p w14:paraId="33055F85" w14:textId="548858A0" w:rsidR="00680C3A" w:rsidRDefault="27BD9645" w:rsidP="00FA33A1">
            <w:pPr>
              <w:pStyle w:val="TableText"/>
              <w:rPr>
                <w:lang w:eastAsia="ja-JP"/>
              </w:rPr>
            </w:pPr>
            <w:r w:rsidRPr="20CB4E9E">
              <w:rPr>
                <w:lang w:eastAsia="ja-JP"/>
              </w:rPr>
              <w:t xml:space="preserve">2021 (across </w:t>
            </w:r>
            <w:r w:rsidR="00BF3EB8">
              <w:rPr>
                <w:lang w:eastAsia="ja-JP"/>
              </w:rPr>
              <w:t>nine</w:t>
            </w:r>
            <w:r w:rsidRPr="20CB4E9E">
              <w:rPr>
                <w:lang w:eastAsia="ja-JP"/>
              </w:rPr>
              <w:t xml:space="preserve"> sites</w:t>
            </w:r>
            <w:r w:rsidR="009A1845" w:rsidRPr="20CB4E9E">
              <w:rPr>
                <w:lang w:eastAsia="ja-JP"/>
              </w:rPr>
              <w:t>,</w:t>
            </w:r>
            <w:r w:rsidR="00BF4790" w:rsidRPr="20CB4E9E">
              <w:rPr>
                <w:lang w:eastAsia="ja-JP"/>
              </w:rPr>
              <w:t xml:space="preserve"> </w:t>
            </w:r>
            <w:r w:rsidR="0093642E">
              <w:rPr>
                <w:lang w:eastAsia="ja-JP"/>
              </w:rPr>
              <w:t xml:space="preserve">eight of these </w:t>
            </w:r>
            <w:r w:rsidR="1F2F7C0D" w:rsidRPr="20CB4E9E">
              <w:rPr>
                <w:lang w:eastAsia="ja-JP"/>
              </w:rPr>
              <w:t>burnt</w:t>
            </w:r>
            <w:r w:rsidR="00BF3EB8">
              <w:rPr>
                <w:lang w:eastAsia="ja-JP"/>
              </w:rPr>
              <w:t xml:space="preserve"> </w:t>
            </w:r>
            <w:r w:rsidR="1F2F7C0D" w:rsidRPr="20CB4E9E">
              <w:rPr>
                <w:lang w:eastAsia="ja-JP"/>
              </w:rPr>
              <w:t xml:space="preserve">but fire extent and </w:t>
            </w:r>
            <w:r w:rsidR="0061036E" w:rsidRPr="20CB4E9E">
              <w:rPr>
                <w:lang w:eastAsia="ja-JP"/>
              </w:rPr>
              <w:t>severity</w:t>
            </w:r>
            <w:r w:rsidR="1F2F7C0D" w:rsidRPr="20CB4E9E">
              <w:rPr>
                <w:lang w:eastAsia="ja-JP"/>
              </w:rPr>
              <w:t xml:space="preserve"> varied</w:t>
            </w:r>
            <w:r w:rsidRPr="20CB4E9E">
              <w:rPr>
                <w:lang w:eastAsia="ja-JP"/>
              </w:rPr>
              <w:t>)</w:t>
            </w:r>
          </w:p>
        </w:tc>
        <w:tc>
          <w:tcPr>
            <w:tcW w:w="2682" w:type="dxa"/>
          </w:tcPr>
          <w:p w14:paraId="51935FA6" w14:textId="3EFA3DE9" w:rsidR="00680C3A" w:rsidRDefault="00680C3A" w:rsidP="00FA33A1">
            <w:pPr>
              <w:pStyle w:val="TableText"/>
              <w:rPr>
                <w:lang w:eastAsia="ja-JP"/>
              </w:rPr>
            </w:pPr>
            <w:r>
              <w:rPr>
                <w:lang w:eastAsia="ja-JP"/>
              </w:rPr>
              <w:t>1</w:t>
            </w:r>
          </w:p>
        </w:tc>
      </w:tr>
    </w:tbl>
    <w:p w14:paraId="168355FF" w14:textId="78955897" w:rsidR="00701CAB" w:rsidRDefault="009A1845" w:rsidP="00FA33A1">
      <w:pPr>
        <w:pStyle w:val="TableText"/>
        <w:rPr>
          <w:lang w:eastAsia="ja-JP"/>
        </w:rPr>
      </w:pPr>
      <w:r>
        <w:rPr>
          <w:lang w:eastAsia="ja-JP"/>
        </w:rPr>
        <w:t xml:space="preserve">*The mature individuals were recorded across </w:t>
      </w:r>
      <w:r w:rsidR="00B72F2E">
        <w:rPr>
          <w:lang w:eastAsia="ja-JP"/>
        </w:rPr>
        <w:t>the two</w:t>
      </w:r>
      <w:r>
        <w:rPr>
          <w:lang w:eastAsia="ja-JP"/>
        </w:rPr>
        <w:t xml:space="preserve"> unburnt sites</w:t>
      </w:r>
      <w:r w:rsidR="00B72F2E">
        <w:rPr>
          <w:lang w:eastAsia="ja-JP"/>
        </w:rPr>
        <w:t xml:space="preserve">. At </w:t>
      </w:r>
      <w:r>
        <w:rPr>
          <w:lang w:eastAsia="ja-JP"/>
        </w:rPr>
        <w:t xml:space="preserve">the two burnt sites, only young plants were recorded. </w:t>
      </w:r>
    </w:p>
    <w:p w14:paraId="147497A3" w14:textId="77777777" w:rsidR="0080306D" w:rsidRDefault="0080306D" w:rsidP="00FA33A1">
      <w:pPr>
        <w:pStyle w:val="TableText"/>
        <w:rPr>
          <w:lang w:eastAsia="ja-JP"/>
        </w:rPr>
      </w:pPr>
    </w:p>
    <w:p w14:paraId="33C9CCEB" w14:textId="7FC06B60" w:rsidR="00226F4C" w:rsidRDefault="00701CAB" w:rsidP="00226F4C">
      <w:pPr>
        <w:rPr>
          <w:lang w:eastAsia="ja-JP"/>
        </w:rPr>
      </w:pPr>
      <w:r w:rsidRPr="7FA35F82">
        <w:rPr>
          <w:lang w:eastAsia="ja-JP"/>
        </w:rPr>
        <w:t xml:space="preserve">Comparing the </w:t>
      </w:r>
      <w:r w:rsidR="00425D12" w:rsidRPr="7FA35F82">
        <w:rPr>
          <w:lang w:eastAsia="ja-JP"/>
        </w:rPr>
        <w:t>number of mature individuals</w:t>
      </w:r>
      <w:r w:rsidR="00906857" w:rsidRPr="7FA35F82">
        <w:rPr>
          <w:lang w:eastAsia="ja-JP"/>
        </w:rPr>
        <w:t xml:space="preserve"> </w:t>
      </w:r>
      <w:r w:rsidRPr="7FA35F82">
        <w:rPr>
          <w:lang w:eastAsia="ja-JP"/>
        </w:rPr>
        <w:t xml:space="preserve">post-fire </w:t>
      </w:r>
      <w:r w:rsidR="009A1845" w:rsidRPr="7FA35F82">
        <w:rPr>
          <w:lang w:eastAsia="ja-JP"/>
        </w:rPr>
        <w:t>in 1986</w:t>
      </w:r>
      <w:r w:rsidR="0050586B" w:rsidRPr="7FA35F82">
        <w:rPr>
          <w:lang w:eastAsia="ja-JP"/>
        </w:rPr>
        <w:t>-</w:t>
      </w:r>
      <w:r w:rsidR="009A1845" w:rsidRPr="7FA35F82">
        <w:rPr>
          <w:lang w:eastAsia="ja-JP"/>
        </w:rPr>
        <w:t xml:space="preserve">87 </w:t>
      </w:r>
      <w:r w:rsidR="00226F4C" w:rsidRPr="7FA35F82">
        <w:rPr>
          <w:lang w:eastAsia="ja-JP"/>
        </w:rPr>
        <w:t xml:space="preserve">(1200+) </w:t>
      </w:r>
      <w:r w:rsidR="009A1845" w:rsidRPr="7FA35F82">
        <w:rPr>
          <w:lang w:eastAsia="ja-JP"/>
        </w:rPr>
        <w:t>with the number post-fire in 2021</w:t>
      </w:r>
      <w:r w:rsidR="00226F4C" w:rsidRPr="7FA35F82">
        <w:rPr>
          <w:lang w:eastAsia="ja-JP"/>
        </w:rPr>
        <w:t xml:space="preserve"> (</w:t>
      </w:r>
      <w:r w:rsidR="00BF3EB8">
        <w:rPr>
          <w:lang w:eastAsia="ja-JP"/>
        </w:rPr>
        <w:t>92</w:t>
      </w:r>
      <w:r w:rsidR="00226F4C" w:rsidRPr="7FA35F82">
        <w:rPr>
          <w:lang w:eastAsia="ja-JP"/>
        </w:rPr>
        <w:t>)</w:t>
      </w:r>
      <w:r w:rsidR="009A1845" w:rsidRPr="7FA35F82">
        <w:rPr>
          <w:lang w:eastAsia="ja-JP"/>
        </w:rPr>
        <w:t xml:space="preserve">, </w:t>
      </w:r>
      <w:r w:rsidR="006319F0" w:rsidRPr="7FA35F82">
        <w:rPr>
          <w:lang w:eastAsia="ja-JP"/>
        </w:rPr>
        <w:t>it’s</w:t>
      </w:r>
      <w:r w:rsidR="00906857" w:rsidRPr="7FA35F82">
        <w:rPr>
          <w:lang w:eastAsia="ja-JP"/>
        </w:rPr>
        <w:t xml:space="preserve"> likely the species has undergone a decline in mature individuals that </w:t>
      </w:r>
      <w:r w:rsidR="00226F4C" w:rsidRPr="7FA35F82">
        <w:rPr>
          <w:lang w:eastAsia="ja-JP"/>
        </w:rPr>
        <w:t xml:space="preserve">is </w:t>
      </w:r>
      <w:r w:rsidR="00BF4790" w:rsidRPr="7FA35F82">
        <w:rPr>
          <w:lang w:eastAsia="ja-JP"/>
        </w:rPr>
        <w:t>beyond</w:t>
      </w:r>
      <w:r w:rsidR="00226F4C" w:rsidRPr="7FA35F82">
        <w:rPr>
          <w:lang w:eastAsia="ja-JP"/>
        </w:rPr>
        <w:t xml:space="preserve"> natural fluctuations</w:t>
      </w:r>
      <w:r w:rsidR="00906857" w:rsidRPr="7FA35F82">
        <w:rPr>
          <w:lang w:eastAsia="ja-JP"/>
        </w:rPr>
        <w:t>.</w:t>
      </w:r>
      <w:r w:rsidR="00CE7172" w:rsidRPr="7FA35F82">
        <w:rPr>
          <w:lang w:eastAsia="ja-JP"/>
        </w:rPr>
        <w:t xml:space="preserve"> </w:t>
      </w:r>
      <w:bookmarkStart w:id="24" w:name="_Hlk90456107"/>
      <w:r w:rsidR="00DD6739" w:rsidRPr="7FA35F82">
        <w:rPr>
          <w:lang w:eastAsia="ja-JP"/>
        </w:rPr>
        <w:t xml:space="preserve">Declines over this period are attributable to </w:t>
      </w:r>
      <w:r w:rsidR="161A0764" w:rsidRPr="7FA35F82">
        <w:rPr>
          <w:lang w:eastAsia="en-AU"/>
        </w:rPr>
        <w:t xml:space="preserve">more severe or </w:t>
      </w:r>
      <w:r w:rsidR="6140847C" w:rsidRPr="7FA35F82">
        <w:rPr>
          <w:lang w:eastAsia="en-AU"/>
        </w:rPr>
        <w:t>longer periods of</w:t>
      </w:r>
      <w:r w:rsidR="00AB7025" w:rsidRPr="7FA35F82">
        <w:rPr>
          <w:lang w:eastAsia="en-AU"/>
        </w:rPr>
        <w:t xml:space="preserve"> drought</w:t>
      </w:r>
      <w:r w:rsidR="003B6ABF">
        <w:rPr>
          <w:lang w:eastAsia="en-AU"/>
        </w:rPr>
        <w:t xml:space="preserve"> </w:t>
      </w:r>
      <w:r w:rsidR="00226F4C" w:rsidRPr="7FA35F82">
        <w:rPr>
          <w:lang w:eastAsia="en-AU"/>
        </w:rPr>
        <w:t xml:space="preserve">and possibly competition from native shrubs (which is exacerbated during drought conditions). </w:t>
      </w:r>
    </w:p>
    <w:bookmarkEnd w:id="24"/>
    <w:p w14:paraId="6EF1A2DC" w14:textId="49AF9E62" w:rsidR="00436502" w:rsidRDefault="00436502" w:rsidP="00436502">
      <w:r>
        <w:t>Following drought in</w:t>
      </w:r>
      <w:r w:rsidRPr="00E3141F">
        <w:t xml:space="preserve"> 1997 </w:t>
      </w:r>
      <w:r>
        <w:t>and</w:t>
      </w:r>
      <w:r w:rsidRPr="00E3141F">
        <w:t xml:space="preserve"> 1998, an estimated 25</w:t>
      </w:r>
      <w:r>
        <w:t xml:space="preserve"> percent</w:t>
      </w:r>
      <w:r w:rsidRPr="00E3141F">
        <w:t xml:space="preserve"> of plants at </w:t>
      </w:r>
      <w:r>
        <w:t xml:space="preserve">the </w:t>
      </w:r>
      <w:proofErr w:type="spellStart"/>
      <w:r w:rsidRPr="00E3141F">
        <w:t>Narrabarba</w:t>
      </w:r>
      <w:proofErr w:type="spellEnd"/>
      <w:r w:rsidRPr="00E3141F">
        <w:t xml:space="preserve"> Hill </w:t>
      </w:r>
      <w:r>
        <w:t xml:space="preserve">site </w:t>
      </w:r>
      <w:r w:rsidRPr="00E3141F">
        <w:t xml:space="preserve">died and other </w:t>
      </w:r>
      <w:r>
        <w:t>sites</w:t>
      </w:r>
      <w:r w:rsidRPr="00E3141F">
        <w:t xml:space="preserve"> were similarly affected (NWPS </w:t>
      </w:r>
      <w:r>
        <w:t>2002</w:t>
      </w:r>
      <w:r w:rsidRPr="00E3141F">
        <w:t>).</w:t>
      </w:r>
      <w:r>
        <w:t xml:space="preserve"> Further drought occurred from </w:t>
      </w:r>
      <w:r w:rsidRPr="00F4581C">
        <w:t>early 2017 to late 2019</w:t>
      </w:r>
      <w:r>
        <w:t xml:space="preserve">. While survey data for these years </w:t>
      </w:r>
      <w:r w:rsidR="0080306D">
        <w:t>are</w:t>
      </w:r>
      <w:r>
        <w:t xml:space="preserve"> only available across two sites (see Table 2 under </w:t>
      </w:r>
      <w:r w:rsidR="009E62C4">
        <w:t>D</w:t>
      </w:r>
      <w:r>
        <w:t xml:space="preserve">istribution section), the number of mature individuals declined across these years from 77 in 2016 to 40 in 2019. This represents a 48 percent reduction </w:t>
      </w:r>
      <w:r w:rsidR="0080306D">
        <w:t xml:space="preserve">in </w:t>
      </w:r>
      <w:r>
        <w:t xml:space="preserve">mature individuals across these two sites. </w:t>
      </w:r>
      <w:r w:rsidR="00B5587C">
        <w:t xml:space="preserve">A similar rate of decline could be assumed across </w:t>
      </w:r>
      <w:r w:rsidR="0093642E">
        <w:t xml:space="preserve">all </w:t>
      </w:r>
      <w:r w:rsidR="00B5587C">
        <w:t>subpopulation</w:t>
      </w:r>
      <w:r w:rsidR="00EA4220">
        <w:t>s</w:t>
      </w:r>
      <w:r w:rsidR="00B5587C">
        <w:t xml:space="preserve"> given drought </w:t>
      </w:r>
      <w:r w:rsidR="00936695">
        <w:t xml:space="preserve">conditions were likely to have impacted all known sites. </w:t>
      </w:r>
      <w:r w:rsidR="0080306D">
        <w:t>Across the population</w:t>
      </w:r>
      <w:r w:rsidR="00B5587C">
        <w:t xml:space="preserve"> the species is </w:t>
      </w:r>
      <w:r w:rsidR="009E62C4">
        <w:t xml:space="preserve">estimated </w:t>
      </w:r>
      <w:r w:rsidR="00B5587C">
        <w:t xml:space="preserve">to have undergone a </w:t>
      </w:r>
      <w:r w:rsidR="00C3282B">
        <w:t>64</w:t>
      </w:r>
      <w:r w:rsidR="00B5587C">
        <w:t xml:space="preserve"> percent decline </w:t>
      </w:r>
      <w:r w:rsidR="00A026B3">
        <w:t>over 22 years</w:t>
      </w:r>
      <w:r w:rsidR="006340EE">
        <w:t xml:space="preserve"> </w:t>
      </w:r>
      <w:r w:rsidR="00224D09">
        <w:t xml:space="preserve">due to the impacts of drought </w:t>
      </w:r>
      <w:r w:rsidR="006340EE">
        <w:t>(based on a</w:t>
      </w:r>
      <w:r w:rsidR="00096E21">
        <w:t>n initial 25 percent decline in 1997-1998 and then</w:t>
      </w:r>
      <w:r w:rsidR="006340EE">
        <w:t xml:space="preserve"> </w:t>
      </w:r>
      <w:r w:rsidR="00096E21">
        <w:t xml:space="preserve">a </w:t>
      </w:r>
      <w:r w:rsidR="006340EE">
        <w:t xml:space="preserve">48 percent decline of the remaining population </w:t>
      </w:r>
      <w:r w:rsidR="00096E21">
        <w:t>from</w:t>
      </w:r>
      <w:r w:rsidR="006340EE">
        <w:t xml:space="preserve"> 2016</w:t>
      </w:r>
      <w:r w:rsidR="00096E21">
        <w:t>-2019</w:t>
      </w:r>
      <w:r w:rsidR="006340EE">
        <w:t>)</w:t>
      </w:r>
      <w:r w:rsidR="00936695">
        <w:t xml:space="preserve">. </w:t>
      </w:r>
    </w:p>
    <w:p w14:paraId="1B3CAC5F" w14:textId="63409EAA" w:rsidR="00B5587C" w:rsidRPr="00CD37D3" w:rsidRDefault="00B5587C" w:rsidP="00B5587C">
      <w:pPr>
        <w:rPr>
          <w:i/>
          <w:iCs/>
          <w:lang w:eastAsia="ja-JP"/>
        </w:rPr>
      </w:pPr>
      <w:r>
        <w:rPr>
          <w:i/>
          <w:iCs/>
          <w:lang w:eastAsia="ja-JP"/>
        </w:rPr>
        <w:t>Future population reduction</w:t>
      </w:r>
    </w:p>
    <w:p w14:paraId="10B00F05" w14:textId="5981876D" w:rsidR="00CA3165" w:rsidRDefault="00B5587C" w:rsidP="00744127">
      <w:pPr>
        <w:keepLines/>
      </w:pPr>
      <w:r>
        <w:rPr>
          <w:color w:val="000000"/>
          <w:lang w:eastAsia="en-AU"/>
        </w:rPr>
        <w:t xml:space="preserve">The 2019-20 bushfire stimulated a large germination event, which </w:t>
      </w:r>
      <w:r w:rsidR="009E62C4">
        <w:rPr>
          <w:color w:val="000000"/>
          <w:lang w:eastAsia="en-AU"/>
        </w:rPr>
        <w:t>was</w:t>
      </w:r>
      <w:r>
        <w:rPr>
          <w:color w:val="000000"/>
          <w:lang w:eastAsia="en-AU"/>
        </w:rPr>
        <w:t xml:space="preserve"> enhanced by the favourable conditions over </w:t>
      </w:r>
      <w:r w:rsidR="00571934">
        <w:rPr>
          <w:color w:val="000000"/>
          <w:lang w:eastAsia="en-AU"/>
        </w:rPr>
        <w:t>the following</w:t>
      </w:r>
      <w:r>
        <w:rPr>
          <w:color w:val="000000"/>
          <w:lang w:eastAsia="en-AU"/>
        </w:rPr>
        <w:t xml:space="preserve"> 18 months</w:t>
      </w:r>
      <w:r w:rsidR="00936695">
        <w:rPr>
          <w:color w:val="000000"/>
          <w:lang w:eastAsia="en-AU"/>
        </w:rPr>
        <w:t xml:space="preserve"> (</w:t>
      </w:r>
      <w:r w:rsidR="00936695" w:rsidRPr="00E03784">
        <w:t>D Bain, pers comm. 4 November 2021)</w:t>
      </w:r>
      <w:r>
        <w:rPr>
          <w:color w:val="000000"/>
          <w:lang w:eastAsia="en-AU"/>
        </w:rPr>
        <w:t xml:space="preserve">. </w:t>
      </w:r>
      <w:r w:rsidR="00F07020">
        <w:rPr>
          <w:color w:val="000000"/>
          <w:lang w:eastAsia="en-AU"/>
        </w:rPr>
        <w:t>Approximately 3500</w:t>
      </w:r>
      <w:r>
        <w:rPr>
          <w:color w:val="000000"/>
          <w:lang w:eastAsia="en-AU"/>
        </w:rPr>
        <w:t xml:space="preserve"> seedings </w:t>
      </w:r>
      <w:r w:rsidR="009E62C4">
        <w:rPr>
          <w:color w:val="000000"/>
          <w:lang w:eastAsia="en-AU"/>
        </w:rPr>
        <w:t>were</w:t>
      </w:r>
      <w:r>
        <w:rPr>
          <w:color w:val="000000"/>
          <w:lang w:eastAsia="en-AU"/>
        </w:rPr>
        <w:t xml:space="preserve"> recorded across </w:t>
      </w:r>
      <w:r w:rsidR="0052609E">
        <w:rPr>
          <w:color w:val="000000"/>
          <w:lang w:eastAsia="en-AU"/>
        </w:rPr>
        <w:t>eight</w:t>
      </w:r>
      <w:r>
        <w:rPr>
          <w:color w:val="000000"/>
          <w:lang w:eastAsia="en-AU"/>
        </w:rPr>
        <w:t xml:space="preserve"> sites</w:t>
      </w:r>
      <w:r w:rsidR="009E62C4">
        <w:rPr>
          <w:color w:val="000000"/>
          <w:lang w:eastAsia="en-AU"/>
        </w:rPr>
        <w:t xml:space="preserve"> in </w:t>
      </w:r>
      <w:r w:rsidR="00870C2F">
        <w:rPr>
          <w:color w:val="000000"/>
          <w:lang w:eastAsia="en-AU"/>
        </w:rPr>
        <w:t xml:space="preserve">April </w:t>
      </w:r>
      <w:r w:rsidR="009E62C4">
        <w:rPr>
          <w:color w:val="000000"/>
          <w:lang w:eastAsia="en-AU"/>
        </w:rPr>
        <w:t>2021</w:t>
      </w:r>
      <w:r w:rsidR="00CA3165">
        <w:rPr>
          <w:color w:val="000000"/>
          <w:lang w:eastAsia="en-AU"/>
        </w:rPr>
        <w:t xml:space="preserve"> (see Table 1)</w:t>
      </w:r>
      <w:r>
        <w:rPr>
          <w:color w:val="000000"/>
          <w:lang w:eastAsia="en-AU"/>
        </w:rPr>
        <w:t>. However, it is difficult to project future population numbers as</w:t>
      </w:r>
      <w:r>
        <w:t xml:space="preserve"> no data </w:t>
      </w:r>
      <w:r w:rsidR="00A87DAD">
        <w:t xml:space="preserve">are </w:t>
      </w:r>
      <w:r>
        <w:t>available on seedling survival rate</w:t>
      </w:r>
      <w:r w:rsidR="00A87DAD">
        <w:t>s</w:t>
      </w:r>
      <w:r>
        <w:t xml:space="preserve"> or rates of adult senescence. </w:t>
      </w:r>
    </w:p>
    <w:p w14:paraId="017B9A9E" w14:textId="59354E5E" w:rsidR="007D1009" w:rsidRDefault="00CA3165" w:rsidP="00744127">
      <w:pPr>
        <w:keepLines/>
      </w:pPr>
      <w:r>
        <w:t>The r</w:t>
      </w:r>
      <w:r w:rsidRPr="000F1DA6">
        <w:t>isk of future fires occurring before seedlings can mature and replenish seed banks may</w:t>
      </w:r>
      <w:r>
        <w:t xml:space="preserve"> </w:t>
      </w:r>
      <w:r w:rsidRPr="000F1DA6">
        <w:t xml:space="preserve">threaten the species. Changes to fire conditions under climate change may expose the species to “interval squeeze”, which is a narrowing </w:t>
      </w:r>
      <w:r w:rsidR="00F94834">
        <w:t xml:space="preserve">of </w:t>
      </w:r>
      <w:r w:rsidRPr="000F1DA6">
        <w:t xml:space="preserve">the favourable interval between fires, accelerating population decline (Enright et al. 2015). </w:t>
      </w:r>
      <w:r>
        <w:t xml:space="preserve">The species is </w:t>
      </w:r>
      <w:r w:rsidR="00A32CC0">
        <w:t>especially</w:t>
      </w:r>
      <w:r w:rsidR="00744127">
        <w:t xml:space="preserve"> vulnerable to </w:t>
      </w:r>
      <w:r>
        <w:t xml:space="preserve">the impacts of high </w:t>
      </w:r>
      <w:r w:rsidR="000E3BB5">
        <w:t xml:space="preserve">frequency, low </w:t>
      </w:r>
      <w:r w:rsidR="0061036E">
        <w:t>severity</w:t>
      </w:r>
      <w:r>
        <w:t xml:space="preserve"> fires </w:t>
      </w:r>
      <w:r w:rsidR="004713AD">
        <w:t xml:space="preserve">as these kill mature individuals without promotion large </w:t>
      </w:r>
      <w:r w:rsidR="00546C7C">
        <w:t xml:space="preserve">levels of </w:t>
      </w:r>
      <w:r w:rsidR="004713AD">
        <w:t xml:space="preserve">germination </w:t>
      </w:r>
      <w:r w:rsidR="008539C0">
        <w:t>(Keith 1996)</w:t>
      </w:r>
      <w:r w:rsidR="004713AD">
        <w:t xml:space="preserve">. </w:t>
      </w:r>
    </w:p>
    <w:p w14:paraId="0400A06C" w14:textId="6A643E4F" w:rsidR="007D1009" w:rsidRDefault="007D1009" w:rsidP="007D1009">
      <w:r>
        <w:lastRenderedPageBreak/>
        <w:t xml:space="preserve">In Australia, average temperatures have increased by approximately 1.5°C since 1910, leading to increased frequency of extreme heat events </w:t>
      </w:r>
      <w:r>
        <w:rPr>
          <w:noProof/>
        </w:rPr>
        <w:t>(Bureau of Meteorology &amp; CSIRO 2020)</w:t>
      </w:r>
      <w:r>
        <w:t>. Additionally, in south-eastern Australia, rainfall has declined by approximately 12 percent in the cool season (April</w:t>
      </w:r>
      <w:r w:rsidRPr="007D41BD">
        <w:t>–</w:t>
      </w:r>
      <w:r>
        <w:t xml:space="preserve">October) </w:t>
      </w:r>
      <w:r w:rsidR="00F94834">
        <w:t>since</w:t>
      </w:r>
      <w:r>
        <w:t xml:space="preserve"> the late 1990s</w:t>
      </w:r>
      <w:r w:rsidRPr="007D41BD">
        <w:t>–</w:t>
      </w:r>
      <w:r>
        <w:t xml:space="preserve">2020 </w:t>
      </w:r>
      <w:r>
        <w:rPr>
          <w:noProof/>
        </w:rPr>
        <w:t>(Bureau of Meteorology &amp; CSIRO 2020)</w:t>
      </w:r>
      <w:r>
        <w:t xml:space="preserve">. </w:t>
      </w:r>
      <w:r w:rsidRPr="0039665A">
        <w:t>In southern and eastern Australia, cool season rainfall is predicted to continue to decrease</w:t>
      </w:r>
      <w:r>
        <w:t xml:space="preserve">, </w:t>
      </w:r>
      <w:r w:rsidRPr="0039665A">
        <w:t xml:space="preserve">while temperatures are predicted to continue to increase, leading to more time in drought (as well as more intense, short duration heavy rainfall events) </w:t>
      </w:r>
      <w:r>
        <w:t xml:space="preserve">due to climate change </w:t>
      </w:r>
      <w:r w:rsidRPr="0039665A">
        <w:rPr>
          <w:noProof/>
        </w:rPr>
        <w:t>(Bureau of Meteorology &amp; CSIRO 2020)</w:t>
      </w:r>
      <w:r w:rsidRPr="0039665A">
        <w:t>.</w:t>
      </w:r>
    </w:p>
    <w:p w14:paraId="77AADFC0" w14:textId="6D2AEDA0" w:rsidR="007D1009" w:rsidRDefault="00F94834" w:rsidP="007D1009">
      <w:pPr>
        <w:keepNext/>
        <w:keepLines/>
      </w:pPr>
      <w:r>
        <w:t>I</w:t>
      </w:r>
      <w:r w:rsidR="007D1009" w:rsidRPr="007D1009">
        <w:t xml:space="preserve">n the </w:t>
      </w:r>
      <w:proofErr w:type="gramStart"/>
      <w:r w:rsidR="007D1009" w:rsidRPr="007D1009">
        <w:t>South East</w:t>
      </w:r>
      <w:proofErr w:type="gramEnd"/>
      <w:r w:rsidR="007D1009" w:rsidRPr="007D1009">
        <w:t xml:space="preserve"> region of NSW, there is a projected increase in minimum and maximum temperatures (maximum temperature increase of 0.5–1.0</w:t>
      </w:r>
      <w:r>
        <w:t>°</w:t>
      </w:r>
      <w:r w:rsidR="007D1009" w:rsidRPr="007D1009">
        <w:t>C by 2039 and 1.8–2.5</w:t>
      </w:r>
      <w:r>
        <w:t>°</w:t>
      </w:r>
      <w:r w:rsidR="007D1009" w:rsidRPr="007D1009">
        <w:t xml:space="preserve">C by 2060–2079) and an increase in the number of hot days and severe fire weather days in summer and spring. Rainfall is projected to decrease in spring and winter and increase in summer and autumn (NSW Government 2014). </w:t>
      </w:r>
      <w:r w:rsidR="007D1009">
        <w:t xml:space="preserve">Given the species is vulnerable to drought (as soils associated with rocky outcrops have a low </w:t>
      </w:r>
      <w:r w:rsidR="007D1009" w:rsidRPr="001A69FE">
        <w:t>water-carrying capacity</w:t>
      </w:r>
      <w:r w:rsidR="007D1009">
        <w:t>), c</w:t>
      </w:r>
      <w:r w:rsidR="007D1009" w:rsidRPr="00B84B53">
        <w:t xml:space="preserve">hanges to rainfall patterns and </w:t>
      </w:r>
      <w:r w:rsidR="00A32CC0" w:rsidRPr="00B84B53">
        <w:t>temperature</w:t>
      </w:r>
      <w:r w:rsidR="007D1009" w:rsidRPr="00B84B53">
        <w:t xml:space="preserve">, and more time in drought are likely to result in a net loss of mature individuals and an ongoing decline in population size of the species in </w:t>
      </w:r>
      <w:r w:rsidR="007D1009">
        <w:t>the future</w:t>
      </w:r>
      <w:r w:rsidR="007D1009" w:rsidRPr="00B84B53">
        <w:t xml:space="preserve">. However, there is insufficient evidence (e.g., modelling) at the time of this assessment to </w:t>
      </w:r>
      <w:r w:rsidR="007D1009">
        <w:t>determine the rate of decline</w:t>
      </w:r>
      <w:r w:rsidR="007D1009" w:rsidRPr="00B84B53">
        <w:t xml:space="preserve"> under these projected climate conditions. As such</w:t>
      </w:r>
      <w:r w:rsidR="007D1009">
        <w:t>, there appears to be is insufficient evidence to consider the species under A3 (future reduction).</w:t>
      </w:r>
    </w:p>
    <w:p w14:paraId="56775C3F" w14:textId="2F4314A6" w:rsidR="00226F4C" w:rsidRPr="00E37342" w:rsidRDefault="00226F4C" w:rsidP="00226F4C">
      <w:pPr>
        <w:rPr>
          <w:i/>
          <w:lang w:eastAsia="ja-JP"/>
        </w:rPr>
      </w:pPr>
      <w:r w:rsidRPr="00E37342">
        <w:rPr>
          <w:i/>
          <w:lang w:eastAsia="ja-JP"/>
        </w:rPr>
        <w:t>Conclusion</w:t>
      </w:r>
    </w:p>
    <w:p w14:paraId="3DDB3843" w14:textId="248CC1F0" w:rsidR="00A026B3" w:rsidRDefault="009E62C4" w:rsidP="00226F4C">
      <w:pPr>
        <w:rPr>
          <w:bCs/>
        </w:rPr>
      </w:pPr>
      <w:r w:rsidRPr="00A32CC0">
        <w:rPr>
          <w:lang w:eastAsia="en-AU"/>
        </w:rPr>
        <w:t xml:space="preserve">The </w:t>
      </w:r>
      <w:proofErr w:type="spellStart"/>
      <w:r w:rsidRPr="00A32CC0">
        <w:rPr>
          <w:lang w:eastAsia="en-AU"/>
        </w:rPr>
        <w:t>Narrabarba</w:t>
      </w:r>
      <w:proofErr w:type="spellEnd"/>
      <w:r w:rsidRPr="00A32CC0">
        <w:rPr>
          <w:lang w:eastAsia="en-AU"/>
        </w:rPr>
        <w:t xml:space="preserve"> wattle</w:t>
      </w:r>
      <w:r w:rsidRPr="00A32CC0">
        <w:rPr>
          <w:bCs/>
        </w:rPr>
        <w:t xml:space="preserve"> has undergone an estimated</w:t>
      </w:r>
      <w:r w:rsidR="00226F4C" w:rsidRPr="00A32CC0">
        <w:rPr>
          <w:bCs/>
        </w:rPr>
        <w:t xml:space="preserve"> decline of </w:t>
      </w:r>
      <w:r w:rsidR="00A026B3" w:rsidRPr="00A32CC0">
        <w:rPr>
          <w:bCs/>
        </w:rPr>
        <w:t xml:space="preserve">at least </w:t>
      </w:r>
      <w:r w:rsidR="006D4C5D" w:rsidRPr="00A32CC0">
        <w:rPr>
          <w:bCs/>
        </w:rPr>
        <w:t xml:space="preserve">64 </w:t>
      </w:r>
      <w:r w:rsidR="0007141C" w:rsidRPr="00A32CC0">
        <w:rPr>
          <w:bCs/>
        </w:rPr>
        <w:t>percent</w:t>
      </w:r>
      <w:r w:rsidR="00A026B3" w:rsidRPr="00A32CC0">
        <w:rPr>
          <w:bCs/>
        </w:rPr>
        <w:t xml:space="preserve"> </w:t>
      </w:r>
      <w:r w:rsidR="00226F4C" w:rsidRPr="00A32CC0">
        <w:rPr>
          <w:bCs/>
        </w:rPr>
        <w:t xml:space="preserve">over </w:t>
      </w:r>
      <w:r w:rsidR="00936695" w:rsidRPr="00A32CC0">
        <w:rPr>
          <w:bCs/>
        </w:rPr>
        <w:t xml:space="preserve">the last </w:t>
      </w:r>
      <w:r w:rsidR="00A026B3" w:rsidRPr="00A32CC0">
        <w:rPr>
          <w:bCs/>
        </w:rPr>
        <w:t>22</w:t>
      </w:r>
      <w:r w:rsidR="00936695" w:rsidRPr="00A32CC0">
        <w:rPr>
          <w:bCs/>
        </w:rPr>
        <w:t xml:space="preserve"> </w:t>
      </w:r>
      <w:r w:rsidR="00A026B3" w:rsidRPr="00A32CC0">
        <w:rPr>
          <w:bCs/>
        </w:rPr>
        <w:t xml:space="preserve">years </w:t>
      </w:r>
      <w:r w:rsidR="006D4C5D" w:rsidRPr="00A32CC0">
        <w:rPr>
          <w:bCs/>
        </w:rPr>
        <w:t>due to drought</w:t>
      </w:r>
      <w:r w:rsidR="00A026B3" w:rsidRPr="00A32CC0">
        <w:rPr>
          <w:bCs/>
        </w:rPr>
        <w:t>.</w:t>
      </w:r>
      <w:r w:rsidR="00A026B3">
        <w:rPr>
          <w:bCs/>
        </w:rPr>
        <w:t xml:space="preserve"> </w:t>
      </w:r>
    </w:p>
    <w:p w14:paraId="6A8A1097" w14:textId="12B17B7D" w:rsidR="00226F4C" w:rsidRPr="00991EC3" w:rsidRDefault="00226F4C" w:rsidP="00226F4C">
      <w:pPr>
        <w:rPr>
          <w:bCs/>
        </w:rPr>
      </w:pPr>
      <w:r w:rsidRPr="0070060B">
        <w:rPr>
          <w:lang w:eastAsia="ja-JP"/>
        </w:rPr>
        <w:t>Therefore, the species has</w:t>
      </w:r>
      <w:r>
        <w:rPr>
          <w:lang w:eastAsia="ja-JP"/>
        </w:rPr>
        <w:t xml:space="preserve"> met the relevant elements of Criterion 1 A</w:t>
      </w:r>
      <w:r w:rsidR="00B5587C">
        <w:rPr>
          <w:lang w:eastAsia="ja-JP"/>
        </w:rPr>
        <w:t>2</w:t>
      </w:r>
      <w:r>
        <w:rPr>
          <w:lang w:eastAsia="ja-JP"/>
        </w:rPr>
        <w:t xml:space="preserve">a to make it eligible for listing as </w:t>
      </w:r>
      <w:sdt>
        <w:sdtPr>
          <w:rPr>
            <w:b/>
          </w:rPr>
          <w:id w:val="-1921095176"/>
          <w:placeholder>
            <w:docPart w:val="9817936306014F9B9494CF8962D5EB3D"/>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Conservation Dependant" w:value="Conservation Dependant"/>
            <w:listItem w:displayText="Extinct" w:value="Extinct"/>
            <w:listItem w:displayText="Extinct in the Wild" w:value="Extinct in the Wild"/>
          </w:dropDownList>
        </w:sdtPr>
        <w:sdtEndPr>
          <w:rPr>
            <w:b w:val="0"/>
          </w:rPr>
        </w:sdtEndPr>
        <w:sdtContent>
          <w:r w:rsidR="00A026B3" w:rsidRPr="009271BA">
            <w:rPr>
              <w:b/>
            </w:rPr>
            <w:t>Endangered</w:t>
          </w:r>
        </w:sdtContent>
      </w:sdt>
      <w:r>
        <w:rPr>
          <w:lang w:eastAsia="ja-JP"/>
        </w:rPr>
        <w:t>.</w:t>
      </w:r>
      <w:r>
        <w:rPr>
          <w:bCs/>
          <w:lang w:eastAsia="ja-JP"/>
        </w:rPr>
        <w:t xml:space="preserve"> </w:t>
      </w:r>
      <w:r w:rsidRPr="00DF1653">
        <w:rPr>
          <w:rFonts w:asciiTheme="majorHAnsi" w:hAnsiTheme="majorHAnsi"/>
          <w:lang w:eastAsia="ja-JP"/>
        </w:rPr>
        <w:t xml:space="preserve">However, the purpose of this consultation document is to elicit additional information to better understand the </w:t>
      </w:r>
      <w:r>
        <w:rPr>
          <w:rFonts w:asciiTheme="majorHAnsi" w:hAnsiTheme="majorHAnsi"/>
          <w:lang w:eastAsia="ja-JP"/>
        </w:rPr>
        <w:t>species’</w:t>
      </w:r>
      <w:r w:rsidRPr="00DF1653">
        <w:rPr>
          <w:rFonts w:asciiTheme="majorHAnsi" w:hAnsiTheme="majorHAnsi"/>
          <w:lang w:eastAsia="ja-JP"/>
        </w:rPr>
        <w:t xml:space="preserve"> status. This conclusion should therefore </w:t>
      </w:r>
      <w:proofErr w:type="gramStart"/>
      <w:r w:rsidRPr="00DF1653">
        <w:rPr>
          <w:rFonts w:asciiTheme="majorHAnsi" w:hAnsiTheme="majorHAnsi"/>
          <w:lang w:eastAsia="ja-JP"/>
        </w:rPr>
        <w:t>be considered to be</w:t>
      </w:r>
      <w:proofErr w:type="gramEnd"/>
      <w:r w:rsidRPr="00DF1653">
        <w:rPr>
          <w:rFonts w:asciiTheme="majorHAnsi" w:hAnsiTheme="majorHAnsi"/>
          <w:lang w:eastAsia="ja-JP"/>
        </w:rPr>
        <w:t xml:space="preserve"> tentative at this stage, as it may be changed as a result of responses to this consultation process.</w:t>
      </w:r>
    </w:p>
    <w:p w14:paraId="0219F448" w14:textId="77777777" w:rsidR="00B6264B" w:rsidRDefault="00B6264B" w:rsidP="00B6264B">
      <w:pPr>
        <w:pStyle w:val="Caption"/>
        <w:rPr>
          <w:lang w:eastAsia="ja-JP"/>
        </w:rPr>
      </w:pPr>
      <w:r>
        <w:rPr>
          <w:lang w:eastAsia="ja-JP"/>
        </w:rPr>
        <w:lastRenderedPageBreak/>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481C93EB" w14:textId="77777777" w:rsidTr="00B6264B">
        <w:trPr>
          <w:trHeight w:val="350"/>
        </w:trPr>
        <w:tc>
          <w:tcPr>
            <w:tcW w:w="10738" w:type="dxa"/>
            <w:gridSpan w:val="4"/>
            <w:tcBorders>
              <w:bottom w:val="nil"/>
            </w:tcBorders>
            <w:shd w:val="clear" w:color="auto" w:fill="595959" w:themeFill="text1" w:themeFillTint="A6"/>
            <w:vAlign w:val="center"/>
          </w:tcPr>
          <w:p w14:paraId="38BD1006" w14:textId="77777777"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7D898B78" w14:textId="77777777" w:rsidTr="00B6264B">
        <w:tc>
          <w:tcPr>
            <w:tcW w:w="4111" w:type="dxa"/>
            <w:tcBorders>
              <w:top w:val="nil"/>
              <w:bottom w:val="nil"/>
              <w:right w:val="nil"/>
            </w:tcBorders>
          </w:tcPr>
          <w:p w14:paraId="0B6371C5" w14:textId="77777777"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01104C6A" w14:textId="77777777" w:rsidR="00B6264B" w:rsidRPr="00795F43" w:rsidRDefault="00B6264B" w:rsidP="000E630E">
            <w:pPr>
              <w:pStyle w:val="TableText"/>
              <w:keepNext/>
              <w:rPr>
                <w:rStyle w:val="Strong"/>
              </w:rPr>
            </w:pPr>
            <w:r w:rsidRPr="00795F43">
              <w:rPr>
                <w:rStyle w:val="Strong"/>
              </w:rPr>
              <w:t>Critically Endangered</w:t>
            </w:r>
          </w:p>
          <w:p w14:paraId="69503AAC"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45E7D338" w14:textId="77777777" w:rsidR="00B6264B" w:rsidRPr="00556843" w:rsidRDefault="00B6264B" w:rsidP="000E630E">
            <w:pPr>
              <w:pStyle w:val="TableText"/>
              <w:keepNext/>
              <w:rPr>
                <w:b/>
              </w:rPr>
            </w:pPr>
            <w:r w:rsidRPr="00556843">
              <w:rPr>
                <w:b/>
              </w:rPr>
              <w:t>Endangered</w:t>
            </w:r>
          </w:p>
          <w:p w14:paraId="699EDE83"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0ECB3942" w14:textId="77777777" w:rsidR="00B6264B" w:rsidRPr="00556843" w:rsidRDefault="00B6264B" w:rsidP="000E630E">
            <w:pPr>
              <w:pStyle w:val="TableText"/>
              <w:keepNext/>
              <w:rPr>
                <w:b/>
              </w:rPr>
            </w:pPr>
            <w:r w:rsidRPr="00556843">
              <w:rPr>
                <w:b/>
              </w:rPr>
              <w:t>Vulnerable</w:t>
            </w:r>
          </w:p>
          <w:p w14:paraId="25606182" w14:textId="77777777" w:rsidR="00B6264B" w:rsidRPr="00556843" w:rsidRDefault="00B6264B" w:rsidP="000E630E">
            <w:pPr>
              <w:pStyle w:val="TableText"/>
              <w:keepNext/>
              <w:rPr>
                <w:b/>
              </w:rPr>
            </w:pPr>
            <w:r w:rsidRPr="00556843">
              <w:rPr>
                <w:b/>
              </w:rPr>
              <w:t>Limited</w:t>
            </w:r>
          </w:p>
        </w:tc>
      </w:tr>
      <w:tr w:rsidR="00B6264B" w:rsidRPr="00556843" w14:paraId="58FC4B61"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20B8733B"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5F2962FE"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51C78BD4"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6F4C30E2"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07E189DE"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61E4BD0D"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1F357C62"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61F17B37"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0810CEFE"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386953CE" w14:textId="77777777" w:rsidTr="00B6264B">
        <w:tc>
          <w:tcPr>
            <w:tcW w:w="10738" w:type="dxa"/>
            <w:gridSpan w:val="4"/>
            <w:tcBorders>
              <w:top w:val="nil"/>
              <w:bottom w:val="nil"/>
            </w:tcBorders>
          </w:tcPr>
          <w:p w14:paraId="7272C7D6"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1B8C8DB3"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3BC0D170"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6F2F9A17"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10374D7C"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34A43B88" w14:textId="77777777" w:rsidR="00B6264B" w:rsidRPr="00556843" w:rsidRDefault="00B6264B" w:rsidP="000E630E">
            <w:pPr>
              <w:pStyle w:val="TableText"/>
              <w:keepNext/>
              <w:rPr>
                <w:b/>
              </w:rPr>
            </w:pPr>
            <w:r w:rsidRPr="00556843">
              <w:rPr>
                <w:b/>
              </w:rPr>
              <w:t>≤ 10</w:t>
            </w:r>
          </w:p>
        </w:tc>
      </w:tr>
      <w:tr w:rsidR="00B6264B" w:rsidRPr="00556843" w14:paraId="722C22FE"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7A24D5D4" w14:textId="77777777" w:rsidR="00B6264B" w:rsidRPr="00556843" w:rsidRDefault="00B6264B" w:rsidP="000D55BC">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w:t>
            </w:r>
            <w:proofErr w:type="spellStart"/>
            <w:r w:rsidRPr="00556843">
              <w:t>i</w:t>
            </w:r>
            <w:proofErr w:type="spellEnd"/>
            <w:r w:rsidRPr="00556843">
              <w:t>) extent of occurrence; (ii) area of occupancy; (iii) area, extent and/or quality of habitat; (iv) number of locations or subpopulations; (v) number of mature individuals</w:t>
            </w:r>
          </w:p>
        </w:tc>
      </w:tr>
      <w:tr w:rsidR="00B6264B" w:rsidRPr="00556843" w14:paraId="28AA1D9F" w14:textId="77777777" w:rsidTr="00B6264B">
        <w:tc>
          <w:tcPr>
            <w:tcW w:w="10738" w:type="dxa"/>
            <w:gridSpan w:val="4"/>
            <w:tcBorders>
              <w:top w:val="single" w:sz="4" w:space="0" w:color="FFFFFF" w:themeColor="background1"/>
            </w:tcBorders>
            <w:shd w:val="clear" w:color="auto" w:fill="BFBFBF" w:themeFill="background1" w:themeFillShade="BF"/>
          </w:tcPr>
          <w:p w14:paraId="22476994" w14:textId="77777777" w:rsidR="00B6264B" w:rsidRPr="00556843" w:rsidRDefault="00B6264B" w:rsidP="000D55BC">
            <w:pPr>
              <w:pStyle w:val="TableText"/>
              <w:ind w:left="492" w:hanging="492"/>
            </w:pPr>
            <w:r w:rsidRPr="00556843">
              <w:t>(c)</w:t>
            </w:r>
            <w:r w:rsidRPr="00556843">
              <w:tab/>
              <w:t>Extreme fluctuations in any of: (</w:t>
            </w:r>
            <w:proofErr w:type="spellStart"/>
            <w:r w:rsidRPr="00556843">
              <w:t>i</w:t>
            </w:r>
            <w:proofErr w:type="spellEnd"/>
            <w:r w:rsidRPr="00556843">
              <w:t>) extent of occurrence; (ii) area of occupancy; (iii) number of locations or subpopulations; (iv) number of mature individuals</w:t>
            </w:r>
          </w:p>
        </w:tc>
      </w:tr>
    </w:tbl>
    <w:p w14:paraId="213F21D9" w14:textId="77777777"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0E024772" w14:textId="42583B3A" w:rsidR="00F52A16" w:rsidRDefault="00B6264B" w:rsidP="00B6264B">
      <w:pPr>
        <w:rPr>
          <w:b/>
          <w:bCs/>
          <w:lang w:eastAsia="ja-JP"/>
        </w:rPr>
      </w:pPr>
      <w:r w:rsidRPr="0050586B">
        <w:rPr>
          <w:rStyle w:val="Strong"/>
        </w:rPr>
        <w:t>Eligible under Criterion 2</w:t>
      </w:r>
      <w:r w:rsidRPr="0050586B">
        <w:rPr>
          <w:bCs/>
          <w:lang w:eastAsia="ja-JP"/>
        </w:rPr>
        <w:t xml:space="preserve"> </w:t>
      </w:r>
      <w:r w:rsidR="00A85421" w:rsidRPr="0050586B">
        <w:rPr>
          <w:b/>
          <w:lang w:eastAsia="ja-JP"/>
        </w:rPr>
        <w:t>B1ab(</w:t>
      </w:r>
      <w:proofErr w:type="spellStart"/>
      <w:r w:rsidR="00A85421" w:rsidRPr="0050586B">
        <w:rPr>
          <w:b/>
          <w:lang w:eastAsia="ja-JP"/>
        </w:rPr>
        <w:t>i</w:t>
      </w:r>
      <w:proofErr w:type="spellEnd"/>
      <w:r w:rsidR="0050586B" w:rsidRPr="0050586B">
        <w:rPr>
          <w:b/>
          <w:lang w:eastAsia="ja-JP"/>
        </w:rPr>
        <w:t>)</w:t>
      </w:r>
      <w:r w:rsidR="00A85421" w:rsidRPr="0050586B">
        <w:rPr>
          <w:bCs/>
          <w:lang w:eastAsia="ja-JP"/>
        </w:rPr>
        <w:t xml:space="preserve"> </w:t>
      </w:r>
      <w:r w:rsidRPr="0050586B">
        <w:rPr>
          <w:rStyle w:val="Strong"/>
        </w:rPr>
        <w:t>for listing as</w:t>
      </w:r>
      <w:r w:rsidRPr="0050586B">
        <w:rPr>
          <w:b/>
          <w:bCs/>
          <w:lang w:eastAsia="ja-JP"/>
        </w:rPr>
        <w:t xml:space="preserve"> </w:t>
      </w:r>
      <w:sdt>
        <w:sdtPr>
          <w:rPr>
            <w:b/>
            <w:bCs/>
          </w:rPr>
          <w:id w:val="1779288282"/>
          <w:placeholder>
            <w:docPart w:val="9661D063E11849CB88D8EA4D720D107E"/>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Conservation Dependant" w:value="Conservation Dependant"/>
            <w:listItem w:displayText="Extinct" w:value="Extinct"/>
            <w:listItem w:displayText="Extinct in the Wild" w:value="Extinct in the Wild"/>
          </w:dropDownList>
        </w:sdtPr>
        <w:sdtEndPr/>
        <w:sdtContent>
          <w:r w:rsidR="0050586B" w:rsidRPr="00283E70">
            <w:rPr>
              <w:b/>
              <w:bCs/>
            </w:rPr>
            <w:t>Critically Endangered</w:t>
          </w:r>
        </w:sdtContent>
      </w:sdt>
      <w:r w:rsidR="00A85421" w:rsidRPr="00283E70">
        <w:rPr>
          <w:b/>
          <w:bCs/>
          <w:lang w:eastAsia="ja-JP"/>
        </w:rPr>
        <w:t xml:space="preserve"> </w:t>
      </w:r>
    </w:p>
    <w:p w14:paraId="3F11ABEF" w14:textId="77777777" w:rsidR="00F63272" w:rsidRPr="0014559E" w:rsidRDefault="00F63272" w:rsidP="00F63272">
      <w:pPr>
        <w:rPr>
          <w:i/>
          <w:iCs/>
          <w:lang w:eastAsia="ja-JP"/>
        </w:rPr>
      </w:pPr>
      <w:r w:rsidRPr="0014559E">
        <w:rPr>
          <w:i/>
          <w:iCs/>
          <w:lang w:eastAsia="ja-JP"/>
        </w:rPr>
        <w:t>E</w:t>
      </w:r>
      <w:r>
        <w:rPr>
          <w:i/>
          <w:iCs/>
          <w:lang w:eastAsia="ja-JP"/>
        </w:rPr>
        <w:t>xtent of occurrence (EOO) and area of occupancy (AOO)</w:t>
      </w:r>
    </w:p>
    <w:p w14:paraId="363688C0" w14:textId="26CD0451" w:rsidR="00F63272" w:rsidRDefault="00993455" w:rsidP="00F63272">
      <w:r w:rsidRPr="00981602">
        <w:rPr>
          <w:rFonts w:asciiTheme="majorHAnsi" w:hAnsiTheme="majorHAnsi"/>
          <w:lang w:eastAsia="ja-JP"/>
        </w:rPr>
        <w:t xml:space="preserve">The </w:t>
      </w:r>
      <w:r>
        <w:rPr>
          <w:rFonts w:asciiTheme="majorHAnsi" w:hAnsiTheme="majorHAnsi"/>
          <w:lang w:eastAsia="ja-JP"/>
        </w:rPr>
        <w:t>EOO and AOO</w:t>
      </w:r>
      <w:r w:rsidRPr="00981602">
        <w:rPr>
          <w:rFonts w:asciiTheme="majorHAnsi" w:hAnsiTheme="majorHAnsi"/>
          <w:lang w:eastAsia="ja-JP"/>
        </w:rPr>
        <w:t xml:space="preserve"> of the </w:t>
      </w:r>
      <w:proofErr w:type="spellStart"/>
      <w:r>
        <w:rPr>
          <w:lang w:eastAsia="en-AU"/>
        </w:rPr>
        <w:t>Narrabarba</w:t>
      </w:r>
      <w:proofErr w:type="spellEnd"/>
      <w:r>
        <w:rPr>
          <w:lang w:eastAsia="en-AU"/>
        </w:rPr>
        <w:t xml:space="preserve"> wattle</w:t>
      </w:r>
      <w:r w:rsidRPr="00B76D3E">
        <w:rPr>
          <w:lang w:eastAsia="en-AU"/>
        </w:rPr>
        <w:t xml:space="preserve"> </w:t>
      </w:r>
      <w:r>
        <w:rPr>
          <w:rFonts w:asciiTheme="majorHAnsi" w:hAnsiTheme="majorHAnsi"/>
          <w:lang w:eastAsia="ja-JP"/>
        </w:rPr>
        <w:t>gum</w:t>
      </w:r>
      <w:r w:rsidRPr="00D806AF">
        <w:rPr>
          <w:rFonts w:asciiTheme="majorHAnsi" w:hAnsiTheme="majorHAnsi"/>
          <w:lang w:eastAsia="ja-JP"/>
        </w:rPr>
        <w:t xml:space="preserve"> </w:t>
      </w:r>
      <w:r>
        <w:rPr>
          <w:rFonts w:asciiTheme="majorHAnsi" w:hAnsiTheme="majorHAnsi"/>
          <w:lang w:eastAsia="ja-JP"/>
        </w:rPr>
        <w:t>are</w:t>
      </w:r>
      <w:r w:rsidRPr="00981602">
        <w:rPr>
          <w:rFonts w:asciiTheme="majorHAnsi" w:hAnsiTheme="majorHAnsi"/>
          <w:lang w:eastAsia="ja-JP"/>
        </w:rPr>
        <w:t xml:space="preserve"> estimated at </w:t>
      </w:r>
      <w:r w:rsidR="002F2973">
        <w:rPr>
          <w:rFonts w:asciiTheme="majorHAnsi" w:hAnsiTheme="majorHAnsi"/>
        </w:rPr>
        <w:t>20</w:t>
      </w:r>
      <w:r w:rsidRPr="00981602">
        <w:rPr>
          <w:rFonts w:asciiTheme="majorHAnsi" w:hAnsiTheme="majorHAnsi"/>
        </w:rPr>
        <w:t xml:space="preserve"> km</w:t>
      </w:r>
      <w:r w:rsidRPr="00981602">
        <w:rPr>
          <w:rFonts w:asciiTheme="majorHAnsi" w:hAnsiTheme="majorHAnsi"/>
          <w:vertAlign w:val="superscript"/>
        </w:rPr>
        <w:t>2</w:t>
      </w:r>
      <w:r>
        <w:rPr>
          <w:rFonts w:asciiTheme="majorHAnsi" w:hAnsiTheme="majorHAnsi"/>
          <w:lang w:eastAsia="ja-JP"/>
        </w:rPr>
        <w:t xml:space="preserve"> and </w:t>
      </w:r>
      <w:r w:rsidR="003B6ABF">
        <w:rPr>
          <w:rFonts w:asciiTheme="majorHAnsi" w:hAnsiTheme="majorHAnsi"/>
          <w:lang w:eastAsia="ja-JP"/>
        </w:rPr>
        <w:t xml:space="preserve">equal or </w:t>
      </w:r>
      <w:r w:rsidR="002F3C96">
        <w:rPr>
          <w:rFonts w:asciiTheme="majorHAnsi" w:hAnsiTheme="majorHAnsi"/>
          <w:lang w:eastAsia="ja-JP"/>
        </w:rPr>
        <w:t xml:space="preserve">less than </w:t>
      </w:r>
      <w:r w:rsidR="002F2973">
        <w:rPr>
          <w:rFonts w:asciiTheme="majorHAnsi" w:hAnsiTheme="majorHAnsi"/>
          <w:lang w:eastAsia="ja-JP"/>
        </w:rPr>
        <w:t>20</w:t>
      </w:r>
      <w:r>
        <w:rPr>
          <w:rFonts w:asciiTheme="majorHAnsi" w:hAnsiTheme="majorHAnsi"/>
          <w:lang w:eastAsia="ja-JP"/>
        </w:rPr>
        <w:t xml:space="preserve"> km</w:t>
      </w:r>
      <w:r w:rsidRPr="00214F1E">
        <w:rPr>
          <w:rFonts w:asciiTheme="majorHAnsi" w:hAnsiTheme="majorHAnsi"/>
          <w:vertAlign w:val="superscript"/>
          <w:lang w:eastAsia="ja-JP"/>
        </w:rPr>
        <w:t>2</w:t>
      </w:r>
      <w:r>
        <w:rPr>
          <w:rFonts w:asciiTheme="majorHAnsi" w:hAnsiTheme="majorHAnsi"/>
          <w:lang w:eastAsia="ja-JP"/>
        </w:rPr>
        <w:t xml:space="preserve"> respectively (see Table </w:t>
      </w:r>
      <w:r w:rsidR="00571934">
        <w:rPr>
          <w:rFonts w:asciiTheme="majorHAnsi" w:hAnsiTheme="majorHAnsi"/>
          <w:lang w:eastAsia="ja-JP"/>
        </w:rPr>
        <w:t>5</w:t>
      </w:r>
      <w:r>
        <w:rPr>
          <w:rFonts w:asciiTheme="majorHAnsi" w:hAnsiTheme="majorHAnsi"/>
          <w:lang w:eastAsia="ja-JP"/>
        </w:rPr>
        <w:t>).</w:t>
      </w:r>
      <w:r w:rsidRPr="00981602">
        <w:rPr>
          <w:rFonts w:asciiTheme="majorHAnsi" w:hAnsiTheme="majorHAnsi"/>
          <w:lang w:eastAsia="ja-JP"/>
        </w:rPr>
        <w:t xml:space="preserve"> </w:t>
      </w:r>
      <w:r w:rsidR="00F63272">
        <w:t>T</w:t>
      </w:r>
      <w:r w:rsidR="00F63272" w:rsidRPr="009A6E8A">
        <w:t xml:space="preserve">he species’ EOO </w:t>
      </w:r>
      <w:r w:rsidR="00F63272">
        <w:t>appears</w:t>
      </w:r>
      <w:r w:rsidR="00F63272" w:rsidRPr="009A6E8A">
        <w:t xml:space="preserve"> </w:t>
      </w:r>
      <w:r w:rsidR="00F63272">
        <w:t xml:space="preserve">to </w:t>
      </w:r>
      <w:r w:rsidR="00F63272" w:rsidRPr="009A6E8A">
        <w:t xml:space="preserve">meet the requirements for listing as </w:t>
      </w:r>
      <w:r w:rsidR="00F63272">
        <w:t>Critically</w:t>
      </w:r>
      <w:r w:rsidR="00F63272" w:rsidRPr="009A6E8A">
        <w:t xml:space="preserve"> </w:t>
      </w:r>
      <w:r w:rsidR="00F63272">
        <w:t xml:space="preserve">Endangered </w:t>
      </w:r>
      <w:r w:rsidR="00F63272" w:rsidRPr="009A6E8A">
        <w:t>under B1 (&lt;</w:t>
      </w:r>
      <w:r w:rsidR="00F63272">
        <w:t>100</w:t>
      </w:r>
      <w:r w:rsidR="00F63272" w:rsidRPr="009A6E8A">
        <w:t xml:space="preserve"> km</w:t>
      </w:r>
      <w:r w:rsidR="00F63272" w:rsidRPr="009A6E8A">
        <w:rPr>
          <w:vertAlign w:val="superscript"/>
        </w:rPr>
        <w:t>2</w:t>
      </w:r>
      <w:r w:rsidR="00F63272" w:rsidRPr="009A6E8A">
        <w:t>)</w:t>
      </w:r>
      <w:r w:rsidR="00F63272">
        <w:t xml:space="preserve">. The species’ AOO appears to meet the requirements for listing as Endangered under B2 </w:t>
      </w:r>
      <w:r w:rsidR="00F63272" w:rsidRPr="009A6E8A">
        <w:t>(&lt;</w:t>
      </w:r>
      <w:r w:rsidR="00F63272">
        <w:t>500 </w:t>
      </w:r>
      <w:r w:rsidR="00F63272" w:rsidRPr="009A6E8A">
        <w:t>km</w:t>
      </w:r>
      <w:r w:rsidR="00F63272" w:rsidRPr="009A6E8A">
        <w:rPr>
          <w:vertAlign w:val="superscript"/>
        </w:rPr>
        <w:t>2</w:t>
      </w:r>
      <w:r w:rsidR="00F63272" w:rsidRPr="009A6E8A">
        <w:t>)</w:t>
      </w:r>
      <w:r w:rsidR="00F63272">
        <w:t>.</w:t>
      </w:r>
    </w:p>
    <w:p w14:paraId="1E9215E6" w14:textId="752AFED3" w:rsidR="00F63272" w:rsidRPr="000F685A" w:rsidRDefault="00F63272" w:rsidP="00F63272">
      <w:pPr>
        <w:keepNext/>
        <w:keepLines/>
        <w:rPr>
          <w:i/>
          <w:iCs/>
          <w:lang w:eastAsia="ja-JP"/>
        </w:rPr>
      </w:pPr>
      <w:bookmarkStart w:id="25" w:name="_Hlk85561551"/>
      <w:r>
        <w:rPr>
          <w:i/>
          <w:iCs/>
          <w:lang w:eastAsia="ja-JP"/>
        </w:rPr>
        <w:t>Number of locations</w:t>
      </w:r>
      <w:r w:rsidR="00F92409">
        <w:rPr>
          <w:i/>
          <w:iCs/>
          <w:lang w:eastAsia="ja-JP"/>
        </w:rPr>
        <w:t xml:space="preserve"> and severe fragmentation</w:t>
      </w:r>
    </w:p>
    <w:bookmarkEnd w:id="25"/>
    <w:p w14:paraId="269B27C1" w14:textId="31D70C2A" w:rsidR="00F63272" w:rsidRDefault="00F63272" w:rsidP="00AA3B75">
      <w:pPr>
        <w:spacing w:after="240"/>
      </w:pPr>
      <w:r>
        <w:t>The number of locations used in this assessment is one</w:t>
      </w:r>
      <w:r w:rsidR="008806DC">
        <w:t>. This is based on the most plausible serious threats of drought and fire impacting all known subpopulations</w:t>
      </w:r>
      <w:r w:rsidR="00AA3B75">
        <w:t xml:space="preserve"> (see Table 5</w:t>
      </w:r>
      <w:proofErr w:type="gramStart"/>
      <w:r w:rsidR="00AA3B75">
        <w:t xml:space="preserve">) </w:t>
      </w:r>
      <w:r>
        <w:t>.</w:t>
      </w:r>
      <w:proofErr w:type="gramEnd"/>
      <w:r>
        <w:t xml:space="preserve"> </w:t>
      </w:r>
      <w:r w:rsidRPr="009A6E8A">
        <w:t>The species’ number of locations meet</w:t>
      </w:r>
      <w:r w:rsidR="008629EB">
        <w:t>s</w:t>
      </w:r>
      <w:r w:rsidRPr="009A6E8A">
        <w:t xml:space="preserve"> the requirement for listing as </w:t>
      </w:r>
      <w:r>
        <w:t xml:space="preserve">Critically </w:t>
      </w:r>
      <w:r w:rsidRPr="009A6E8A">
        <w:t>Endangered under this criterion.</w:t>
      </w:r>
    </w:p>
    <w:p w14:paraId="7F363714" w14:textId="1C65A1B5" w:rsidR="00F92409" w:rsidRPr="00137CB0" w:rsidRDefault="00F92409" w:rsidP="00F92409">
      <w:r w:rsidRPr="00BA7D61">
        <w:t xml:space="preserve">A taxon can </w:t>
      </w:r>
      <w:proofErr w:type="gramStart"/>
      <w:r w:rsidRPr="00BA7D61">
        <w:t>be considered to be</w:t>
      </w:r>
      <w:proofErr w:type="gramEnd"/>
      <w:r w:rsidRPr="00BA7D61">
        <w:t xml:space="preserve"> severely fragmented if most (&gt;50%) of its total area of occupancy is in habitat patches that are (1) smaller than would be required to support a viable population, and (2) separated from other habitat patches by a large distance</w:t>
      </w:r>
      <w:r>
        <w:t xml:space="preserve">” </w:t>
      </w:r>
      <w:r w:rsidRPr="00BA7D61">
        <w:t>(IUCN 2019</w:t>
      </w:r>
      <w:r>
        <w:t xml:space="preserve">). As </w:t>
      </w:r>
      <w:r w:rsidR="00870C2F">
        <w:t xml:space="preserve">most subpopulations of </w:t>
      </w:r>
      <w:r>
        <w:t>the</w:t>
      </w:r>
      <w:r>
        <w:rPr>
          <w:lang w:eastAsia="en-AU"/>
        </w:rPr>
        <w:t xml:space="preserve"> </w:t>
      </w:r>
      <w:proofErr w:type="spellStart"/>
      <w:r>
        <w:rPr>
          <w:lang w:eastAsia="en-AU"/>
        </w:rPr>
        <w:t>Narra</w:t>
      </w:r>
      <w:r w:rsidRPr="00F92409">
        <w:rPr>
          <w:lang w:eastAsia="en-AU"/>
        </w:rPr>
        <w:t>barba</w:t>
      </w:r>
      <w:proofErr w:type="spellEnd"/>
      <w:r w:rsidRPr="00F92409">
        <w:rPr>
          <w:lang w:eastAsia="en-AU"/>
        </w:rPr>
        <w:t xml:space="preserve"> wattle </w:t>
      </w:r>
      <w:r w:rsidR="00870C2F">
        <w:rPr>
          <w:lang w:eastAsia="en-AU"/>
        </w:rPr>
        <w:t>occur</w:t>
      </w:r>
      <w:r w:rsidR="00044FCC">
        <w:rPr>
          <w:lang w:eastAsia="en-AU"/>
        </w:rPr>
        <w:t xml:space="preserve"> across </w:t>
      </w:r>
      <w:r w:rsidR="00F85BFA">
        <w:rPr>
          <w:lang w:eastAsia="en-AU"/>
        </w:rPr>
        <w:t>eight</w:t>
      </w:r>
      <w:r w:rsidR="00044FCC">
        <w:rPr>
          <w:lang w:eastAsia="en-AU"/>
        </w:rPr>
        <w:t xml:space="preserve"> rocky outcrops within close distance of each other</w:t>
      </w:r>
      <w:r w:rsidRPr="00F92409">
        <w:rPr>
          <w:lang w:eastAsia="en-AU"/>
        </w:rPr>
        <w:t xml:space="preserve">, it is not considered to be </w:t>
      </w:r>
      <w:r w:rsidRPr="00F92409">
        <w:rPr>
          <w:lang w:eastAsia="ja-JP"/>
        </w:rPr>
        <w:t xml:space="preserve">severely fragmented. </w:t>
      </w:r>
    </w:p>
    <w:p w14:paraId="6F15A364" w14:textId="22734AC7" w:rsidR="00F63272" w:rsidRDefault="00F63272" w:rsidP="00F63272">
      <w:pPr>
        <w:rPr>
          <w:i/>
          <w:iCs/>
        </w:rPr>
      </w:pPr>
      <w:r>
        <w:rPr>
          <w:i/>
          <w:iCs/>
        </w:rPr>
        <w:t xml:space="preserve">Continuing decline </w:t>
      </w:r>
    </w:p>
    <w:p w14:paraId="484506DA" w14:textId="2B2AF0B6" w:rsidR="003338D6" w:rsidRDefault="003338D6" w:rsidP="00F63272">
      <w:r>
        <w:t xml:space="preserve">The </w:t>
      </w:r>
      <w:proofErr w:type="spellStart"/>
      <w:r>
        <w:rPr>
          <w:lang w:eastAsia="en-AU"/>
        </w:rPr>
        <w:t>Narra</w:t>
      </w:r>
      <w:r w:rsidRPr="00F92409">
        <w:rPr>
          <w:lang w:eastAsia="en-AU"/>
        </w:rPr>
        <w:t>barba</w:t>
      </w:r>
      <w:proofErr w:type="spellEnd"/>
      <w:r w:rsidRPr="00F92409">
        <w:rPr>
          <w:lang w:eastAsia="en-AU"/>
        </w:rPr>
        <w:t xml:space="preserve"> watt</w:t>
      </w:r>
      <w:r w:rsidR="00CB127E">
        <w:rPr>
          <w:lang w:eastAsia="en-AU"/>
        </w:rPr>
        <w:t>le</w:t>
      </w:r>
      <w:r>
        <w:t xml:space="preserve"> is subject to ongoing threats including </w:t>
      </w:r>
      <w:r w:rsidR="00456505">
        <w:t xml:space="preserve">more time in drought </w:t>
      </w:r>
      <w:proofErr w:type="gramStart"/>
      <w:r w:rsidR="00456505">
        <w:t>as a result of</w:t>
      </w:r>
      <w:proofErr w:type="gramEnd"/>
      <w:r w:rsidR="00456505">
        <w:t xml:space="preserve"> climate change</w:t>
      </w:r>
      <w:r>
        <w:t xml:space="preserve">. The species is estimated to have undergone </w:t>
      </w:r>
      <w:r w:rsidR="006D4C5D">
        <w:t>64</w:t>
      </w:r>
      <w:r>
        <w:t xml:space="preserve"> percent decline over 22 years (from 1997 to 2019) due to the impacts of drought</w:t>
      </w:r>
      <w:r w:rsidR="00047161">
        <w:t xml:space="preserve"> </w:t>
      </w:r>
      <w:r>
        <w:t xml:space="preserve">(see Criterion 1).  This is likely to continue </w:t>
      </w:r>
      <w:r>
        <w:lastRenderedPageBreak/>
        <w:t xml:space="preserve">given </w:t>
      </w:r>
      <w:r w:rsidR="00401E84" w:rsidRPr="00401E84">
        <w:t>there is a projected increase in maximum temperatures</w:t>
      </w:r>
      <w:r w:rsidR="00CD59F3">
        <w:t xml:space="preserve"> in the</w:t>
      </w:r>
      <w:r w:rsidR="00CD59F3" w:rsidRPr="00401E84">
        <w:t xml:space="preserve"> </w:t>
      </w:r>
      <w:proofErr w:type="gramStart"/>
      <w:r w:rsidR="00CD59F3" w:rsidRPr="00401E84">
        <w:t>South East</w:t>
      </w:r>
      <w:proofErr w:type="gramEnd"/>
      <w:r w:rsidR="00CD59F3" w:rsidRPr="00401E84">
        <w:t xml:space="preserve"> region of NSW,</w:t>
      </w:r>
      <w:r w:rsidR="00401E84" w:rsidRPr="00401E84">
        <w:t xml:space="preserve"> and an increase in the number of hot days and severe fire weather days in summer and spring. Rainfall is </w:t>
      </w:r>
      <w:r w:rsidR="00CD59F3">
        <w:t xml:space="preserve">also </w:t>
      </w:r>
      <w:r w:rsidR="00401E84" w:rsidRPr="00401E84">
        <w:t xml:space="preserve">projected to decrease in spring and winter and increase in summer and autumn (NSW Government 2014). </w:t>
      </w:r>
    </w:p>
    <w:p w14:paraId="3C260535" w14:textId="1F8F1A9B" w:rsidR="00CD59F3" w:rsidRDefault="00CD59F3" w:rsidP="00CD59F3">
      <w:pPr>
        <w:rPr>
          <w:i/>
          <w:iCs/>
        </w:rPr>
      </w:pPr>
      <w:r>
        <w:t>The r</w:t>
      </w:r>
      <w:r w:rsidRPr="000F1DA6">
        <w:t xml:space="preserve">isk of future fires occurring before seedlings can mature and replenish seed banks may </w:t>
      </w:r>
      <w:r>
        <w:t xml:space="preserve">also </w:t>
      </w:r>
      <w:r w:rsidRPr="000F1DA6">
        <w:t>threaten the species. Changes to fire conditions under climate change may expose the species to “interval squeeze”, which is a narrowing the favourable interval between fires, accelerating population decline (Enright et al. 2015).</w:t>
      </w:r>
      <w:r>
        <w:t xml:space="preserve"> </w:t>
      </w:r>
      <w:r w:rsidRPr="00E03784">
        <w:t>While further research is required on the species fire ecology</w:t>
      </w:r>
      <w:r w:rsidR="00841796">
        <w:t>,</w:t>
      </w:r>
      <w:r w:rsidRPr="00E03784">
        <w:t xml:space="preserve"> the recommended fire free interval for the </w:t>
      </w:r>
      <w:proofErr w:type="spellStart"/>
      <w:r w:rsidRPr="00E03784">
        <w:t>Narrabarba</w:t>
      </w:r>
      <w:proofErr w:type="spellEnd"/>
      <w:r w:rsidRPr="00E03784">
        <w:t xml:space="preserve"> wattle to mature and replenish the soil stored seed</w:t>
      </w:r>
      <w:r w:rsidR="006D4C5D">
        <w:t xml:space="preserve"> </w:t>
      </w:r>
      <w:r w:rsidRPr="00E03784">
        <w:t>bank is 15 years (OEH 2021a).</w:t>
      </w:r>
    </w:p>
    <w:p w14:paraId="40B95597" w14:textId="34C92B8C" w:rsidR="003338D6" w:rsidRDefault="00CD59F3" w:rsidP="00F63272">
      <w:r>
        <w:t>The</w:t>
      </w:r>
      <w:r w:rsidR="003338D6">
        <w:t xml:space="preserve"> effects</w:t>
      </w:r>
      <w:r>
        <w:t xml:space="preserve"> of bushfires can be </w:t>
      </w:r>
      <w:r w:rsidR="003338D6">
        <w:t xml:space="preserve">further exacerbated by drought </w:t>
      </w:r>
      <w:proofErr w:type="gramStart"/>
      <w:r w:rsidR="06D91ABB">
        <w:t xml:space="preserve">across </w:t>
      </w:r>
      <w:r w:rsidR="003338D6">
        <w:t xml:space="preserve"> the</w:t>
      </w:r>
      <w:proofErr w:type="gramEnd"/>
      <w:r w:rsidR="003338D6">
        <w:t xml:space="preserve"> species’ distribution. Drought depletes carbohydrate resources held within plant tissues and reduces reproductive output </w:t>
      </w:r>
      <w:r w:rsidR="675F14BE">
        <w:t xml:space="preserve">in the years leading up to </w:t>
      </w:r>
      <w:r>
        <w:t>a fire</w:t>
      </w:r>
      <w:r w:rsidR="0A302573">
        <w:t xml:space="preserve"> event</w:t>
      </w:r>
      <w:r>
        <w:t>, impacting on the size of the seed bank available for post-fire recruitment</w:t>
      </w:r>
      <w:r w:rsidR="007249D2">
        <w:t xml:space="preserve"> (Nolan et al. 2021)</w:t>
      </w:r>
      <w:r>
        <w:t xml:space="preserve">. Post-fire drought can negatively impact post-fire recruitment success by reducing seed germination and seedling survival (Gallagher </w:t>
      </w:r>
      <w:r w:rsidR="00D92F91">
        <w:t>et al. 2021</w:t>
      </w:r>
      <w:r w:rsidR="003338D6">
        <w:t xml:space="preserve">). </w:t>
      </w:r>
      <w:r w:rsidR="00EE6E8B">
        <w:t xml:space="preserve">The species is also threatened by competition from native shrubs, particularly the black </w:t>
      </w:r>
      <w:proofErr w:type="spellStart"/>
      <w:r w:rsidR="00EE6E8B">
        <w:t>sheoak</w:t>
      </w:r>
      <w:proofErr w:type="spellEnd"/>
      <w:r w:rsidR="00EE6E8B">
        <w:t>, w</w:t>
      </w:r>
      <w:r w:rsidR="29AD2A59">
        <w:t xml:space="preserve">ith such interactions </w:t>
      </w:r>
      <w:proofErr w:type="gramStart"/>
      <w:r w:rsidR="29AD2A59">
        <w:t xml:space="preserve">intensifying </w:t>
      </w:r>
      <w:r w:rsidR="00EE6E8B">
        <w:t xml:space="preserve"> during</w:t>
      </w:r>
      <w:proofErr w:type="gramEnd"/>
      <w:r w:rsidR="00EE6E8B">
        <w:t xml:space="preserve"> drought</w:t>
      </w:r>
      <w:r w:rsidR="007D1009">
        <w:t xml:space="preserve"> as plants compete for soil moisture</w:t>
      </w:r>
      <w:r w:rsidR="00EE6E8B">
        <w:t xml:space="preserve">. </w:t>
      </w:r>
    </w:p>
    <w:p w14:paraId="74DFEBD0" w14:textId="3896BD2E" w:rsidR="00CA3165" w:rsidRDefault="00CA3165" w:rsidP="00CA3165">
      <w:pPr>
        <w:rPr>
          <w:i/>
          <w:iCs/>
          <w:lang w:eastAsia="ja-JP"/>
        </w:rPr>
      </w:pPr>
      <w:r w:rsidRPr="00CA3165">
        <w:rPr>
          <w:i/>
          <w:iCs/>
          <w:lang w:eastAsia="ja-JP"/>
        </w:rPr>
        <w:t>Conclusion</w:t>
      </w:r>
    </w:p>
    <w:p w14:paraId="1A6B1DA3" w14:textId="5F3A9B26" w:rsidR="00FB2302" w:rsidRDefault="00FB2302" w:rsidP="00FB2302">
      <w:pPr>
        <w:keepNext/>
        <w:keepLines/>
        <w:rPr>
          <w:lang w:eastAsia="ja-JP"/>
        </w:rPr>
      </w:pPr>
      <w:r w:rsidRPr="004E6D51">
        <w:rPr>
          <w:lang w:eastAsia="ja-JP"/>
        </w:rPr>
        <w:t xml:space="preserve">The </w:t>
      </w:r>
      <w:proofErr w:type="spellStart"/>
      <w:r w:rsidR="0092743B">
        <w:rPr>
          <w:lang w:eastAsia="en-AU"/>
        </w:rPr>
        <w:t>Narra</w:t>
      </w:r>
      <w:r w:rsidR="0092743B" w:rsidRPr="00F92409">
        <w:rPr>
          <w:lang w:eastAsia="en-AU"/>
        </w:rPr>
        <w:t>barba</w:t>
      </w:r>
      <w:proofErr w:type="spellEnd"/>
      <w:r w:rsidR="0092743B" w:rsidRPr="00F92409">
        <w:rPr>
          <w:lang w:eastAsia="en-AU"/>
        </w:rPr>
        <w:t xml:space="preserve"> watt</w:t>
      </w:r>
      <w:r w:rsidR="0092743B">
        <w:rPr>
          <w:lang w:eastAsia="en-AU"/>
        </w:rPr>
        <w:t>le</w:t>
      </w:r>
      <w:r w:rsidR="0092743B">
        <w:t xml:space="preserve">’s </w:t>
      </w:r>
      <w:r w:rsidRPr="004E6D51">
        <w:rPr>
          <w:lang w:eastAsia="ja-JP"/>
        </w:rPr>
        <w:t>EOO</w:t>
      </w:r>
      <w:r>
        <w:rPr>
          <w:lang w:eastAsia="ja-JP"/>
        </w:rPr>
        <w:t xml:space="preserve"> is</w:t>
      </w:r>
      <w:r w:rsidRPr="004E6D51">
        <w:rPr>
          <w:lang w:eastAsia="ja-JP"/>
        </w:rPr>
        <w:t xml:space="preserve"> </w:t>
      </w:r>
      <w:r>
        <w:rPr>
          <w:lang w:eastAsia="ja-JP"/>
        </w:rPr>
        <w:t xml:space="preserve">very </w:t>
      </w:r>
      <w:r w:rsidRPr="004E6D51">
        <w:rPr>
          <w:lang w:eastAsia="ja-JP"/>
        </w:rPr>
        <w:t>restricted</w:t>
      </w:r>
      <w:r w:rsidR="0092743B">
        <w:rPr>
          <w:lang w:eastAsia="ja-JP"/>
        </w:rPr>
        <w:t>, the species is known from one location</w:t>
      </w:r>
      <w:r>
        <w:rPr>
          <w:lang w:eastAsia="ja-JP"/>
        </w:rPr>
        <w:t xml:space="preserve"> and continuing decline is inferred in the number of </w:t>
      </w:r>
      <w:r w:rsidRPr="007D4A85">
        <w:rPr>
          <w:lang w:eastAsia="ja-JP"/>
        </w:rPr>
        <w:t>mature individuals</w:t>
      </w:r>
      <w:r>
        <w:rPr>
          <w:lang w:eastAsia="ja-JP"/>
        </w:rPr>
        <w:t xml:space="preserve">.  </w:t>
      </w:r>
    </w:p>
    <w:p w14:paraId="18809E75" w14:textId="194B9B04" w:rsidR="00CA3165" w:rsidRPr="00CA3165" w:rsidRDefault="00CA3165" w:rsidP="00CA3165">
      <w:pPr>
        <w:rPr>
          <w:i/>
          <w:iCs/>
          <w:lang w:eastAsia="ja-JP"/>
        </w:rPr>
      </w:pPr>
      <w:r w:rsidRPr="004E6D51">
        <w:rPr>
          <w:lang w:eastAsia="ja-JP"/>
        </w:rPr>
        <w:t xml:space="preserve">The data presented above appear to demonstrate that the species is eligible for listing as </w:t>
      </w:r>
      <w:r w:rsidRPr="00093770">
        <w:rPr>
          <w:b/>
          <w:bCs/>
          <w:lang w:eastAsia="ja-JP"/>
        </w:rPr>
        <w:t>Critically Endangered</w:t>
      </w:r>
      <w:r w:rsidRPr="004E6D51">
        <w:rPr>
          <w:lang w:eastAsia="ja-JP"/>
        </w:rPr>
        <w:t xml:space="preserve"> under this criterion. However, the purpose of this consultation document is to elicit additional information to better understand the species’ status. This conclusion should therefore </w:t>
      </w:r>
      <w:proofErr w:type="gramStart"/>
      <w:r w:rsidRPr="004E6D51">
        <w:rPr>
          <w:lang w:eastAsia="ja-JP"/>
        </w:rPr>
        <w:t>be considered to be</w:t>
      </w:r>
      <w:proofErr w:type="gramEnd"/>
      <w:r w:rsidRPr="004E6D51">
        <w:rPr>
          <w:lang w:eastAsia="ja-JP"/>
        </w:rPr>
        <w:t xml:space="preserve"> tentative at this stage, as it may be changed as a result of responses to this consultation process.</w:t>
      </w:r>
    </w:p>
    <w:p w14:paraId="5BB855D0" w14:textId="77777777" w:rsidR="002B69E4" w:rsidRPr="008C531D" w:rsidRDefault="002B69E4" w:rsidP="002B69E4">
      <w:pPr>
        <w:pStyle w:val="Caption"/>
        <w:rPr>
          <w:lang w:eastAsia="ja-JP"/>
        </w:rPr>
      </w:pPr>
      <w:r w:rsidRPr="002B69E4">
        <w:rPr>
          <w:lang w:eastAsia="ja-JP"/>
        </w:rPr>
        <w:lastRenderedPageBreak/>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0CF419D0"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49C10546"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128610EA" w14:textId="77777777" w:rsidTr="002B134C">
        <w:tc>
          <w:tcPr>
            <w:tcW w:w="3395" w:type="dxa"/>
            <w:gridSpan w:val="2"/>
            <w:tcBorders>
              <w:top w:val="nil"/>
              <w:left w:val="single" w:sz="4" w:space="0" w:color="auto"/>
              <w:bottom w:val="nil"/>
              <w:right w:val="nil"/>
            </w:tcBorders>
          </w:tcPr>
          <w:p w14:paraId="0B8EE9B4"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04A84728" w14:textId="77777777" w:rsidR="002B134C" w:rsidRPr="00556843" w:rsidRDefault="002B134C" w:rsidP="00F658E8">
            <w:pPr>
              <w:pStyle w:val="TableText"/>
              <w:keepNext/>
              <w:rPr>
                <w:b/>
              </w:rPr>
            </w:pPr>
            <w:r w:rsidRPr="00556843">
              <w:rPr>
                <w:b/>
              </w:rPr>
              <w:t>Critically Endangered</w:t>
            </w:r>
          </w:p>
          <w:p w14:paraId="46BE75D0"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13BA93D1" w14:textId="77777777" w:rsidR="002B134C" w:rsidRPr="00556843" w:rsidRDefault="002B134C" w:rsidP="00F658E8">
            <w:pPr>
              <w:pStyle w:val="TableText"/>
              <w:keepNext/>
              <w:rPr>
                <w:b/>
              </w:rPr>
            </w:pPr>
            <w:r w:rsidRPr="00556843">
              <w:rPr>
                <w:b/>
              </w:rPr>
              <w:t>Endangered</w:t>
            </w:r>
          </w:p>
          <w:p w14:paraId="77C577F0"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6D97292C" w14:textId="77777777" w:rsidR="002B134C" w:rsidRPr="00556843" w:rsidRDefault="002B134C" w:rsidP="00F658E8">
            <w:pPr>
              <w:pStyle w:val="TableText"/>
              <w:keepNext/>
              <w:rPr>
                <w:b/>
              </w:rPr>
            </w:pPr>
            <w:r w:rsidRPr="00556843">
              <w:rPr>
                <w:b/>
              </w:rPr>
              <w:t>Vulnerable</w:t>
            </w:r>
          </w:p>
          <w:p w14:paraId="5B1367E8" w14:textId="77777777" w:rsidR="002B134C" w:rsidRPr="00556843" w:rsidRDefault="002B134C" w:rsidP="00F658E8">
            <w:pPr>
              <w:pStyle w:val="TableText"/>
              <w:keepNext/>
              <w:rPr>
                <w:b/>
              </w:rPr>
            </w:pPr>
            <w:r w:rsidRPr="00556843">
              <w:rPr>
                <w:b/>
              </w:rPr>
              <w:t>Limited</w:t>
            </w:r>
          </w:p>
        </w:tc>
      </w:tr>
      <w:tr w:rsidR="002B134C" w:rsidRPr="00556843" w14:paraId="6DC258F9"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3C43AE7C"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0B899DD9"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3979364B" w14:textId="77777777"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7A24B861" w14:textId="77777777" w:rsidR="002B134C" w:rsidRPr="00556843" w:rsidRDefault="002B134C" w:rsidP="00F658E8">
            <w:pPr>
              <w:pStyle w:val="TableText"/>
              <w:keepNext/>
            </w:pPr>
            <w:r w:rsidRPr="00556843">
              <w:rPr>
                <w:b/>
              </w:rPr>
              <w:t xml:space="preserve">&lt; 10,000 </w:t>
            </w:r>
          </w:p>
        </w:tc>
      </w:tr>
      <w:tr w:rsidR="002B134C" w:rsidRPr="00556843" w14:paraId="41179D22"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53DC2C7C"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40A37DC5"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5B1CB78C"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77BA4C8C" w14:textId="77777777" w:rsidR="002B134C" w:rsidRPr="00556843" w:rsidRDefault="002B134C" w:rsidP="00F658E8">
            <w:pPr>
              <w:pStyle w:val="TableText"/>
              <w:keepNext/>
              <w:rPr>
                <w:b/>
              </w:rPr>
            </w:pPr>
          </w:p>
        </w:tc>
      </w:tr>
      <w:tr w:rsidR="002B134C" w:rsidRPr="00556843" w14:paraId="79E6B33B"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41F3E802" w14:textId="7777777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45187994" w14:textId="77777777" w:rsidR="002B134C" w:rsidRPr="00556843" w:rsidRDefault="002B134C" w:rsidP="00F658E8">
            <w:pPr>
              <w:pStyle w:val="TableText"/>
              <w:keepNext/>
              <w:rPr>
                <w:b/>
              </w:rPr>
            </w:pPr>
            <w:r w:rsidRPr="00556843">
              <w:rPr>
                <w:b/>
              </w:rPr>
              <w:t>Very high rate</w:t>
            </w:r>
          </w:p>
          <w:p w14:paraId="56FD0F56" w14:textId="77777777" w:rsidR="002B134C" w:rsidRPr="00556843" w:rsidRDefault="002B134C" w:rsidP="00F658E8">
            <w:pPr>
              <w:pStyle w:val="TableText"/>
              <w:keepNext/>
              <w:rPr>
                <w:b/>
              </w:rPr>
            </w:pPr>
            <w:r w:rsidRPr="00556843">
              <w:rPr>
                <w:b/>
              </w:rPr>
              <w:t>25% in 3 years or 1 generation</w:t>
            </w:r>
          </w:p>
          <w:p w14:paraId="454237A6"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85DBA3E" w14:textId="77777777" w:rsidR="002B134C" w:rsidRPr="00556843" w:rsidRDefault="002B134C" w:rsidP="00F658E8">
            <w:pPr>
              <w:pStyle w:val="TableText"/>
              <w:keepNext/>
              <w:rPr>
                <w:b/>
              </w:rPr>
            </w:pPr>
            <w:r w:rsidRPr="00556843">
              <w:rPr>
                <w:b/>
              </w:rPr>
              <w:t>High rate</w:t>
            </w:r>
          </w:p>
          <w:p w14:paraId="5EBE9551" w14:textId="77777777" w:rsidR="002B134C" w:rsidRPr="00556843" w:rsidRDefault="002B134C" w:rsidP="00F658E8">
            <w:pPr>
              <w:pStyle w:val="TableText"/>
              <w:keepNext/>
              <w:rPr>
                <w:b/>
              </w:rPr>
            </w:pPr>
            <w:r w:rsidRPr="00556843">
              <w:rPr>
                <w:b/>
              </w:rPr>
              <w:t>20% in 5 years or 2 generation</w:t>
            </w:r>
          </w:p>
          <w:p w14:paraId="5073387D"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6F4AFB1C" w14:textId="77777777" w:rsidR="002B134C" w:rsidRPr="00556843" w:rsidRDefault="002B134C" w:rsidP="00F658E8">
            <w:pPr>
              <w:pStyle w:val="TableText"/>
              <w:keepNext/>
              <w:rPr>
                <w:b/>
              </w:rPr>
            </w:pPr>
            <w:r w:rsidRPr="00556843">
              <w:rPr>
                <w:b/>
              </w:rPr>
              <w:t>Substantial rate</w:t>
            </w:r>
          </w:p>
          <w:p w14:paraId="2A904A00" w14:textId="77777777" w:rsidR="002B134C" w:rsidRPr="00556843" w:rsidRDefault="002B134C" w:rsidP="00F658E8">
            <w:pPr>
              <w:pStyle w:val="TableText"/>
              <w:keepNext/>
              <w:rPr>
                <w:b/>
              </w:rPr>
            </w:pPr>
            <w:r w:rsidRPr="00556843">
              <w:rPr>
                <w:b/>
              </w:rPr>
              <w:t>10% in 10 years or 3 generations</w:t>
            </w:r>
          </w:p>
          <w:p w14:paraId="7C7399F8"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r>
      <w:tr w:rsidR="002B134C" w:rsidRPr="00556843" w14:paraId="065CC960"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2276CD41" w14:textId="77777777" w:rsidR="002B134C" w:rsidRPr="00556843" w:rsidRDefault="002B134C" w:rsidP="00F658E8">
            <w:pPr>
              <w:pStyle w:val="TableText"/>
              <w:keepNext/>
              <w:ind w:left="336" w:hanging="336"/>
            </w:pPr>
            <w:r w:rsidRPr="00855316">
              <w:rPr>
                <w:rStyle w:val="Strong"/>
              </w:rPr>
              <w:t>C2</w:t>
            </w:r>
            <w:r w:rsidR="00855316">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42AD02F7" w14:textId="77777777" w:rsidR="002B134C" w:rsidRPr="00556843" w:rsidRDefault="002B134C" w:rsidP="00F658E8">
            <w:pPr>
              <w:pStyle w:val="TableText"/>
              <w:keepNext/>
            </w:pPr>
          </w:p>
        </w:tc>
        <w:tc>
          <w:tcPr>
            <w:tcW w:w="1833" w:type="dxa"/>
            <w:tcBorders>
              <w:top w:val="nil"/>
              <w:left w:val="nil"/>
              <w:bottom w:val="nil"/>
              <w:right w:val="nil"/>
            </w:tcBorders>
          </w:tcPr>
          <w:p w14:paraId="02579B18"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75E5A7A1" w14:textId="77777777" w:rsidR="002B134C" w:rsidRPr="00556843" w:rsidRDefault="002B134C" w:rsidP="00F658E8">
            <w:pPr>
              <w:pStyle w:val="TableText"/>
              <w:keepNext/>
            </w:pPr>
          </w:p>
        </w:tc>
      </w:tr>
      <w:tr w:rsidR="002B134C" w:rsidRPr="00556843" w14:paraId="312360D1"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30A61210"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6E0FAD67" w14:textId="77777777" w:rsidR="002B134C" w:rsidRPr="00556843" w:rsidRDefault="002B134C" w:rsidP="00F658E8">
            <w:pPr>
              <w:pStyle w:val="TableText"/>
              <w:keepNext/>
              <w:ind w:left="340" w:hanging="340"/>
            </w:pPr>
            <w:r w:rsidRPr="00556843">
              <w:t>(</w:t>
            </w:r>
            <w:proofErr w:type="spellStart"/>
            <w:r w:rsidRPr="00556843">
              <w:t>i</w:t>
            </w:r>
            <w:proofErr w:type="spellEnd"/>
            <w:r w:rsidRPr="00556843">
              <w:t>)</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6A7C2E18"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9013B4A"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7F4C6749" w14:textId="77777777" w:rsidR="002B134C" w:rsidRPr="00556843" w:rsidRDefault="002B134C" w:rsidP="00F658E8">
            <w:pPr>
              <w:pStyle w:val="TableText"/>
              <w:keepNext/>
              <w:rPr>
                <w:b/>
              </w:rPr>
            </w:pPr>
            <w:r w:rsidRPr="00556843">
              <w:rPr>
                <w:b/>
              </w:rPr>
              <w:t>≤ 1,000</w:t>
            </w:r>
          </w:p>
        </w:tc>
      </w:tr>
      <w:tr w:rsidR="002B134C" w:rsidRPr="00556843" w14:paraId="3FD39AB9"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35461129"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C0D2690"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7F8D45E3"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69BF2506"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64FC5847" w14:textId="77777777" w:rsidR="002B134C" w:rsidRPr="00556843" w:rsidRDefault="002B134C" w:rsidP="00F658E8">
            <w:pPr>
              <w:pStyle w:val="TableText"/>
              <w:keepNext/>
              <w:rPr>
                <w:b/>
              </w:rPr>
            </w:pPr>
            <w:r w:rsidRPr="00556843">
              <w:rPr>
                <w:b/>
              </w:rPr>
              <w:t>100%</w:t>
            </w:r>
          </w:p>
        </w:tc>
      </w:tr>
      <w:tr w:rsidR="002B134C" w:rsidRPr="00556843" w14:paraId="525A32AB"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33E37982"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38B942F3"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364A2C22"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568BF59C" w14:textId="77777777" w:rsidR="002B134C" w:rsidRPr="00556843" w:rsidRDefault="002B134C" w:rsidP="00F658E8">
            <w:pPr>
              <w:pStyle w:val="TableText"/>
              <w:keepNext/>
            </w:pPr>
          </w:p>
        </w:tc>
      </w:tr>
    </w:tbl>
    <w:p w14:paraId="6956B185" w14:textId="77777777" w:rsidR="002B69E4" w:rsidRPr="002B69E4" w:rsidRDefault="00C2736A" w:rsidP="00CD30FC">
      <w:pPr>
        <w:pStyle w:val="Heading3"/>
        <w:spacing w:before="240"/>
        <w:ind w:left="964" w:hanging="964"/>
      </w:pPr>
      <w:r>
        <w:t>Criterion 3 e</w:t>
      </w:r>
      <w:r w:rsidR="002B69E4" w:rsidRPr="002B69E4">
        <w:t>vidence</w:t>
      </w:r>
    </w:p>
    <w:p w14:paraId="7AAE5E24" w14:textId="4D449957" w:rsidR="00960F4C" w:rsidRDefault="002B69E4" w:rsidP="00960F4C">
      <w:pPr>
        <w:rPr>
          <w:b/>
          <w:bCs/>
        </w:rPr>
      </w:pPr>
      <w:r w:rsidRPr="00844823">
        <w:rPr>
          <w:rStyle w:val="Strong"/>
        </w:rPr>
        <w:t>Eligible under Criterion 3</w:t>
      </w:r>
      <w:r w:rsidRPr="00844823">
        <w:rPr>
          <w:bCs/>
        </w:rPr>
        <w:t xml:space="preserve"> </w:t>
      </w:r>
      <w:r w:rsidRPr="00844823">
        <w:rPr>
          <w:b/>
          <w:bCs/>
        </w:rPr>
        <w:t>C2a(</w:t>
      </w:r>
      <w:proofErr w:type="spellStart"/>
      <w:r w:rsidRPr="00844823">
        <w:rPr>
          <w:b/>
          <w:bCs/>
        </w:rPr>
        <w:t>i</w:t>
      </w:r>
      <w:proofErr w:type="spellEnd"/>
      <w:r w:rsidRPr="00844823">
        <w:rPr>
          <w:b/>
          <w:bCs/>
        </w:rPr>
        <w:t>)</w:t>
      </w:r>
      <w:r w:rsidRPr="00844823">
        <w:rPr>
          <w:bCs/>
        </w:rPr>
        <w:t xml:space="preserve"> </w:t>
      </w:r>
      <w:r w:rsidRPr="00844823">
        <w:rPr>
          <w:rStyle w:val="Strong"/>
        </w:rPr>
        <w:t>for listing as</w:t>
      </w:r>
      <w:r w:rsidRPr="00844823">
        <w:rPr>
          <w:bCs/>
        </w:rPr>
        <w:t xml:space="preserve"> </w:t>
      </w:r>
      <w:sdt>
        <w:sdtPr>
          <w:rPr>
            <w:b/>
            <w:bCs/>
          </w:rPr>
          <w:id w:val="702371327"/>
          <w:placeholder>
            <w:docPart w:val="288F2F32AF5742178EB5D29337DD90FD"/>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Conservation Dependant" w:value="Conservation Dependant"/>
            <w:listItem w:displayText="Extinct in the Wild" w:value="Extinct in the Wild"/>
            <w:listItem w:displayText="Extinct" w:value="Extinct"/>
          </w:dropDownList>
        </w:sdtPr>
        <w:sdtEndPr/>
        <w:sdtContent>
          <w:r w:rsidR="00844823" w:rsidRPr="00E1039C">
            <w:rPr>
              <w:b/>
              <w:bCs/>
            </w:rPr>
            <w:t>Endangered</w:t>
          </w:r>
        </w:sdtContent>
      </w:sdt>
      <w:r w:rsidRPr="002B69E4">
        <w:rPr>
          <w:b/>
          <w:bCs/>
        </w:rPr>
        <w:t xml:space="preserve"> </w:t>
      </w:r>
      <w:r w:rsidR="00612AA8">
        <w:rPr>
          <w:b/>
          <w:bCs/>
        </w:rPr>
        <w:t xml:space="preserve"> </w:t>
      </w:r>
    </w:p>
    <w:p w14:paraId="4943C345" w14:textId="77777777" w:rsidR="00494122" w:rsidRDefault="00494122" w:rsidP="00494122">
      <w:pPr>
        <w:rPr>
          <w:bCs/>
          <w:i/>
          <w:iCs/>
        </w:rPr>
      </w:pPr>
      <w:r>
        <w:rPr>
          <w:bCs/>
          <w:i/>
          <w:iCs/>
        </w:rPr>
        <w:t>Number of mature individuals</w:t>
      </w:r>
    </w:p>
    <w:p w14:paraId="0064F0B6" w14:textId="5047771D" w:rsidR="008B7658" w:rsidRDefault="008B7658" w:rsidP="00960F4C">
      <w:r>
        <w:rPr>
          <w:bCs/>
        </w:rPr>
        <w:t>The</w:t>
      </w:r>
      <w:r w:rsidRPr="007D7031">
        <w:rPr>
          <w:bCs/>
        </w:rPr>
        <w:t xml:space="preserve"> total number of mature individuals is </w:t>
      </w:r>
      <w:r>
        <w:rPr>
          <w:bCs/>
        </w:rPr>
        <w:t>estimated to be fewer than</w:t>
      </w:r>
      <w:r w:rsidRPr="007D7031">
        <w:rPr>
          <w:bCs/>
        </w:rPr>
        <w:t xml:space="preserve"> </w:t>
      </w:r>
      <w:r>
        <w:rPr>
          <w:bCs/>
        </w:rPr>
        <w:t>236</w:t>
      </w:r>
      <w:r w:rsidRPr="007D7031">
        <w:rPr>
          <w:bCs/>
        </w:rPr>
        <w:t xml:space="preserve"> which is </w:t>
      </w:r>
      <w:r>
        <w:rPr>
          <w:bCs/>
        </w:rPr>
        <w:t>considered</w:t>
      </w:r>
      <w:r w:rsidRPr="007D7031">
        <w:rPr>
          <w:bCs/>
        </w:rPr>
        <w:t xml:space="preserve"> </w:t>
      </w:r>
      <w:r>
        <w:rPr>
          <w:bCs/>
        </w:rPr>
        <w:t xml:space="preserve">very </w:t>
      </w:r>
      <w:r w:rsidRPr="007D7031">
        <w:rPr>
          <w:bCs/>
        </w:rPr>
        <w:t>low</w:t>
      </w:r>
      <w:r>
        <w:rPr>
          <w:bCs/>
        </w:rPr>
        <w:t xml:space="preserve"> under this Criterion</w:t>
      </w:r>
      <w:r w:rsidR="00960F4C">
        <w:rPr>
          <w:bCs/>
        </w:rPr>
        <w:t xml:space="preserve"> (</w:t>
      </w:r>
      <w:r w:rsidR="00960F4C" w:rsidRPr="00960F4C">
        <w:rPr>
          <w:bCs/>
        </w:rPr>
        <w:t>≤ 250</w:t>
      </w:r>
      <w:r w:rsidR="00960F4C">
        <w:rPr>
          <w:bCs/>
        </w:rPr>
        <w:t>)</w:t>
      </w:r>
      <w:r>
        <w:rPr>
          <w:bCs/>
        </w:rPr>
        <w:t xml:space="preserve">. </w:t>
      </w:r>
    </w:p>
    <w:p w14:paraId="7466A4AE" w14:textId="77777777" w:rsidR="00494122" w:rsidRPr="00EF28B7" w:rsidRDefault="00494122" w:rsidP="00494122">
      <w:pPr>
        <w:keepNext/>
        <w:rPr>
          <w:i/>
          <w:iCs/>
          <w:lang w:eastAsia="ja-JP"/>
        </w:rPr>
      </w:pPr>
      <w:r w:rsidRPr="00EF28B7">
        <w:rPr>
          <w:i/>
          <w:iCs/>
          <w:lang w:eastAsia="ja-JP"/>
        </w:rPr>
        <w:t>Continuing decline</w:t>
      </w:r>
    </w:p>
    <w:p w14:paraId="5314606B" w14:textId="64970854" w:rsidR="00494122" w:rsidRDefault="00494122" w:rsidP="00494122">
      <w:pPr>
        <w:keepNext/>
      </w:pPr>
      <w:r w:rsidRPr="00EF28B7">
        <w:rPr>
          <w:lang w:eastAsia="ja-JP"/>
        </w:rPr>
        <w:t>As</w:t>
      </w:r>
      <w:r w:rsidRPr="00EF28B7">
        <w:t xml:space="preserve"> discussed in Criterion 2 above, </w:t>
      </w:r>
      <w:bookmarkStart w:id="26" w:name="_Hlk82518554"/>
      <w:r w:rsidRPr="00EF28B7">
        <w:t xml:space="preserve">the species appears to be undergoing continuing decline in </w:t>
      </w:r>
      <w:r w:rsidRPr="00EF28B7">
        <w:rPr>
          <w:lang w:eastAsia="ja-JP"/>
        </w:rPr>
        <w:t>the number of mature individuals</w:t>
      </w:r>
      <w:r>
        <w:rPr>
          <w:lang w:eastAsia="ja-JP"/>
        </w:rPr>
        <w:t xml:space="preserve"> due to the threats of</w:t>
      </w:r>
      <w:r>
        <w:rPr>
          <w:bCs/>
        </w:rPr>
        <w:t xml:space="preserve"> drought, inappropriate fire regimes </w:t>
      </w:r>
      <w:r>
        <w:t>and competition from native shrubs. These threats also interact to influence recovery potential of the species.</w:t>
      </w:r>
      <w:r w:rsidRPr="00EF28B7">
        <w:t xml:space="preserve"> </w:t>
      </w:r>
      <w:bookmarkEnd w:id="26"/>
      <w:r w:rsidRPr="00EF28B7">
        <w:rPr>
          <w:lang w:eastAsia="ja-JP"/>
        </w:rPr>
        <w:t xml:space="preserve">However, the rate of </w:t>
      </w:r>
      <w:r>
        <w:rPr>
          <w:lang w:eastAsia="ja-JP"/>
        </w:rPr>
        <w:t xml:space="preserve">this </w:t>
      </w:r>
      <w:r w:rsidRPr="00EF28B7">
        <w:rPr>
          <w:lang w:eastAsia="ja-JP"/>
        </w:rPr>
        <w:t>decline is unknown. Accordingly, the species</w:t>
      </w:r>
      <w:r w:rsidRPr="00EF28B7">
        <w:t xml:space="preserve"> appears to only meet the C2 continuing decline requirement for listing under this criterion and not C1</w:t>
      </w:r>
      <w:r w:rsidR="00714E37">
        <w:t>.</w:t>
      </w:r>
      <w:r w:rsidRPr="00EF28B7">
        <w:t xml:space="preserve"> </w:t>
      </w:r>
    </w:p>
    <w:p w14:paraId="1BBBE000" w14:textId="6855E2EB" w:rsidR="00594906" w:rsidRDefault="00594906" w:rsidP="00594906">
      <w:pPr>
        <w:keepNext/>
        <w:keepLines/>
        <w:rPr>
          <w:bCs/>
          <w:i/>
          <w:iCs/>
        </w:rPr>
      </w:pPr>
      <w:r>
        <w:rPr>
          <w:bCs/>
          <w:i/>
          <w:iCs/>
        </w:rPr>
        <w:t>Number</w:t>
      </w:r>
      <w:r w:rsidR="003B6ABF">
        <w:rPr>
          <w:bCs/>
          <w:i/>
          <w:iCs/>
        </w:rPr>
        <w:t xml:space="preserve"> </w:t>
      </w:r>
      <w:proofErr w:type="gramStart"/>
      <w:r w:rsidR="003B6ABF">
        <w:rPr>
          <w:bCs/>
          <w:i/>
          <w:iCs/>
        </w:rPr>
        <w:t xml:space="preserve">of </w:t>
      </w:r>
      <w:r>
        <w:rPr>
          <w:bCs/>
          <w:i/>
          <w:iCs/>
        </w:rPr>
        <w:t xml:space="preserve"> mature</w:t>
      </w:r>
      <w:proofErr w:type="gramEnd"/>
      <w:r>
        <w:rPr>
          <w:bCs/>
          <w:i/>
          <w:iCs/>
        </w:rPr>
        <w:t xml:space="preserve"> individuals</w:t>
      </w:r>
    </w:p>
    <w:p w14:paraId="238224D6" w14:textId="6AC36D2E" w:rsidR="003B6ABF" w:rsidRDefault="00594906" w:rsidP="00594906">
      <w:pPr>
        <w:keepNext/>
      </w:pPr>
      <w:r w:rsidRPr="00370117">
        <w:rPr>
          <w:bCs/>
        </w:rPr>
        <w:t xml:space="preserve">The species </w:t>
      </w:r>
      <w:r w:rsidR="00610C83">
        <w:rPr>
          <w:bCs/>
        </w:rPr>
        <w:t xml:space="preserve">is known from </w:t>
      </w:r>
      <w:r w:rsidR="00870C2F">
        <w:rPr>
          <w:bCs/>
        </w:rPr>
        <w:t>three</w:t>
      </w:r>
      <w:r w:rsidR="00870C2F" w:rsidRPr="00370117">
        <w:rPr>
          <w:bCs/>
        </w:rPr>
        <w:t xml:space="preserve"> </w:t>
      </w:r>
      <w:r w:rsidRPr="00370117">
        <w:rPr>
          <w:bCs/>
        </w:rPr>
        <w:t>subpopulation</w:t>
      </w:r>
      <w:r w:rsidR="00714E37">
        <w:rPr>
          <w:bCs/>
        </w:rPr>
        <w:t>s</w:t>
      </w:r>
      <w:r w:rsidR="00610C83">
        <w:rPr>
          <w:bCs/>
        </w:rPr>
        <w:t xml:space="preserve">. The </w:t>
      </w:r>
      <w:proofErr w:type="spellStart"/>
      <w:r w:rsidR="00610C83" w:rsidRPr="005D6CB2">
        <w:t>Narrabarba</w:t>
      </w:r>
      <w:proofErr w:type="spellEnd"/>
      <w:r w:rsidR="00610C83" w:rsidRPr="005D6CB2">
        <w:t xml:space="preserve"> Hill</w:t>
      </w:r>
      <w:r w:rsidR="00610C83">
        <w:rPr>
          <w:bCs/>
        </w:rPr>
        <w:t xml:space="preserve"> subpopulation</w:t>
      </w:r>
      <w:r>
        <w:rPr>
          <w:bCs/>
        </w:rPr>
        <w:t xml:space="preserve"> contain</w:t>
      </w:r>
      <w:r w:rsidR="00610C83">
        <w:rPr>
          <w:bCs/>
        </w:rPr>
        <w:t>s an estimated 226 mature individuals</w:t>
      </w:r>
      <w:r w:rsidR="0026779A">
        <w:rPr>
          <w:bCs/>
        </w:rPr>
        <w:t>,</w:t>
      </w:r>
      <w:r w:rsidR="00BF7D1B">
        <w:rPr>
          <w:bCs/>
        </w:rPr>
        <w:t xml:space="preserve"> </w:t>
      </w:r>
      <w:r w:rsidR="00610C83">
        <w:rPr>
          <w:bCs/>
        </w:rPr>
        <w:t xml:space="preserve">the </w:t>
      </w:r>
      <w:proofErr w:type="spellStart"/>
      <w:r w:rsidR="00610C83" w:rsidRPr="005D6CB2">
        <w:t>Wonboyn</w:t>
      </w:r>
      <w:proofErr w:type="spellEnd"/>
      <w:r w:rsidR="00610C83" w:rsidRPr="005D6CB2">
        <w:t xml:space="preserve"> </w:t>
      </w:r>
      <w:r w:rsidR="00610C83">
        <w:t>River subpopulation contains 10</w:t>
      </w:r>
      <w:r w:rsidR="0026779A">
        <w:t xml:space="preserve"> and the</w:t>
      </w:r>
      <w:r w:rsidR="0090148B">
        <w:t xml:space="preserve"> Green Cape subpopulation contains 4</w:t>
      </w:r>
      <w:r w:rsidR="00610C83">
        <w:t xml:space="preserve"> (</w:t>
      </w:r>
      <w:r w:rsidR="00047161">
        <w:t>See Table 1</w:t>
      </w:r>
      <w:r w:rsidR="00610C83">
        <w:t xml:space="preserve">). </w:t>
      </w:r>
      <w:proofErr w:type="gramStart"/>
      <w:r w:rsidR="0090148B">
        <w:t>Therefore</w:t>
      </w:r>
      <w:proofErr w:type="gramEnd"/>
      <w:r w:rsidR="0090148B">
        <w:t xml:space="preserve"> all subpopulations have fewer than 250 </w:t>
      </w:r>
      <w:r w:rsidR="0090148B">
        <w:lastRenderedPageBreak/>
        <w:t>mature individuals.</w:t>
      </w:r>
      <w:r w:rsidR="003B6ABF">
        <w:t xml:space="preserve"> </w:t>
      </w:r>
      <w:r w:rsidR="003B6ABF" w:rsidRPr="003B6ABF">
        <w:rPr>
          <w:bCs/>
        </w:rPr>
        <w:t>T</w:t>
      </w:r>
      <w:r w:rsidR="003B6ABF">
        <w:rPr>
          <w:bCs/>
        </w:rPr>
        <w:t>he species has met the requirements for listing as Endangered under C2a(</w:t>
      </w:r>
      <w:proofErr w:type="spellStart"/>
      <w:r w:rsidR="003B6ABF">
        <w:rPr>
          <w:bCs/>
        </w:rPr>
        <w:t>i</w:t>
      </w:r>
      <w:proofErr w:type="spellEnd"/>
      <w:r w:rsidR="003B6ABF">
        <w:rPr>
          <w:bCs/>
        </w:rPr>
        <w:t>) under this Criterion.</w:t>
      </w:r>
      <w:r w:rsidR="0090148B">
        <w:t xml:space="preserve"> </w:t>
      </w:r>
    </w:p>
    <w:p w14:paraId="536D68B4" w14:textId="03DEC4D2" w:rsidR="003B6ABF" w:rsidRDefault="003B6ABF" w:rsidP="003B6ABF">
      <w:pPr>
        <w:keepNext/>
        <w:keepLines/>
        <w:rPr>
          <w:bCs/>
          <w:i/>
          <w:iCs/>
        </w:rPr>
      </w:pPr>
      <w:r>
        <w:rPr>
          <w:bCs/>
          <w:i/>
          <w:iCs/>
        </w:rPr>
        <w:t xml:space="preserve">Proportion </w:t>
      </w:r>
      <w:proofErr w:type="gramStart"/>
      <w:r>
        <w:rPr>
          <w:bCs/>
          <w:i/>
          <w:iCs/>
        </w:rPr>
        <w:t>of  mature</w:t>
      </w:r>
      <w:proofErr w:type="gramEnd"/>
      <w:r>
        <w:rPr>
          <w:bCs/>
          <w:i/>
          <w:iCs/>
        </w:rPr>
        <w:t xml:space="preserve"> individuals</w:t>
      </w:r>
    </w:p>
    <w:p w14:paraId="35E89189" w14:textId="14318C11" w:rsidR="00594906" w:rsidRPr="00370117" w:rsidRDefault="0026779A" w:rsidP="00594906">
      <w:pPr>
        <w:keepNext/>
        <w:rPr>
          <w:bCs/>
        </w:rPr>
      </w:pPr>
      <w:r>
        <w:t xml:space="preserve">The percentage of mature individuals in each subpopulation is </w:t>
      </w:r>
      <w:r w:rsidR="00610C83">
        <w:t>9</w:t>
      </w:r>
      <w:r w:rsidR="0090148B">
        <w:t>4</w:t>
      </w:r>
      <w:r w:rsidR="00610C83">
        <w:t xml:space="preserve"> percent</w:t>
      </w:r>
      <w:r>
        <w:t xml:space="preserve"> (</w:t>
      </w:r>
      <w:proofErr w:type="spellStart"/>
      <w:r w:rsidRPr="005D6CB2">
        <w:t>Narrabarba</w:t>
      </w:r>
      <w:proofErr w:type="spellEnd"/>
      <w:r w:rsidRPr="005D6CB2">
        <w:t xml:space="preserve"> Hill</w:t>
      </w:r>
      <w:r>
        <w:rPr>
          <w:bCs/>
        </w:rPr>
        <w:t xml:space="preserve"> subpopulation)</w:t>
      </w:r>
      <w:r w:rsidR="0090148B">
        <w:t>,</w:t>
      </w:r>
      <w:r w:rsidR="00610C83">
        <w:t xml:space="preserve"> 4 percent </w:t>
      </w:r>
      <w:r>
        <w:t>(</w:t>
      </w:r>
      <w:proofErr w:type="spellStart"/>
      <w:r w:rsidRPr="005D6CB2">
        <w:t>Wonboyn</w:t>
      </w:r>
      <w:proofErr w:type="spellEnd"/>
      <w:r w:rsidRPr="005D6CB2">
        <w:t xml:space="preserve"> </w:t>
      </w:r>
      <w:r>
        <w:t xml:space="preserve">River subpopulation) </w:t>
      </w:r>
      <w:r w:rsidR="0090148B">
        <w:t xml:space="preserve">and 2 percent </w:t>
      </w:r>
      <w:r>
        <w:t>(Green Cape subpopulation)</w:t>
      </w:r>
      <w:r w:rsidR="00610C83">
        <w:t xml:space="preserve">. </w:t>
      </w:r>
      <w:proofErr w:type="gramStart"/>
      <w:r>
        <w:t>T</w:t>
      </w:r>
      <w:r w:rsidR="0090148B">
        <w:t>herefore</w:t>
      </w:r>
      <w:proofErr w:type="gramEnd"/>
      <w:r w:rsidR="00045361">
        <w:rPr>
          <w:bCs/>
        </w:rPr>
        <w:t xml:space="preserve"> </w:t>
      </w:r>
      <w:r>
        <w:rPr>
          <w:bCs/>
        </w:rPr>
        <w:t xml:space="preserve">the </w:t>
      </w:r>
      <w:r w:rsidR="00045361">
        <w:rPr>
          <w:bCs/>
        </w:rPr>
        <w:t>percent</w:t>
      </w:r>
      <w:r w:rsidR="003B6ABF">
        <w:rPr>
          <w:bCs/>
        </w:rPr>
        <w:t>age</w:t>
      </w:r>
      <w:r w:rsidR="00045361">
        <w:rPr>
          <w:bCs/>
        </w:rPr>
        <w:t xml:space="preserve"> of mature individuals in one subpopulation</w:t>
      </w:r>
      <w:r w:rsidR="003B6ABF">
        <w:rPr>
          <w:bCs/>
        </w:rPr>
        <w:t xml:space="preserve"> doesn’t met the value required for this Criterion (</w:t>
      </w:r>
      <w:r w:rsidR="00045361">
        <w:rPr>
          <w:bCs/>
        </w:rPr>
        <w:t xml:space="preserve">95 </w:t>
      </w:r>
      <w:r w:rsidR="003B6ABF">
        <w:rPr>
          <w:bCs/>
        </w:rPr>
        <w:t>–</w:t>
      </w:r>
      <w:r w:rsidR="00045361">
        <w:rPr>
          <w:bCs/>
        </w:rPr>
        <w:t xml:space="preserve"> 100</w:t>
      </w:r>
      <w:r w:rsidR="003B6ABF">
        <w:rPr>
          <w:bCs/>
        </w:rPr>
        <w:t xml:space="preserve"> percent)</w:t>
      </w:r>
      <w:r w:rsidR="0090148B">
        <w:rPr>
          <w:bCs/>
        </w:rPr>
        <w:t xml:space="preserve">. </w:t>
      </w:r>
    </w:p>
    <w:p w14:paraId="6D397517" w14:textId="77777777" w:rsidR="00594906" w:rsidRDefault="00594906" w:rsidP="00594906">
      <w:pPr>
        <w:keepNext/>
        <w:keepLines/>
        <w:rPr>
          <w:i/>
          <w:iCs/>
          <w:lang w:eastAsia="ja-JP"/>
        </w:rPr>
      </w:pPr>
      <w:r>
        <w:rPr>
          <w:i/>
          <w:iCs/>
          <w:lang w:eastAsia="ja-JP"/>
        </w:rPr>
        <w:t>Extreme fluctuations</w:t>
      </w:r>
    </w:p>
    <w:p w14:paraId="504DF79A" w14:textId="7BB291C2" w:rsidR="00594906" w:rsidRDefault="00594906" w:rsidP="00594906">
      <w:pPr>
        <w:keepNext/>
        <w:keepLines/>
        <w:rPr>
          <w:bCs/>
          <w:i/>
          <w:iCs/>
          <w:lang w:eastAsia="ja-JP"/>
        </w:rPr>
      </w:pPr>
      <w:r>
        <w:t xml:space="preserve">There are no known extreme fluctuations in the number of mature individuals (see </w:t>
      </w:r>
      <w:r w:rsidR="00AF0EA5">
        <w:t>Table 5</w:t>
      </w:r>
      <w:r>
        <w:t>). The species does not appear to meet the extreme fluctuations requirement for listing under this criterion.</w:t>
      </w:r>
    </w:p>
    <w:p w14:paraId="2ACD9E1A" w14:textId="77777777" w:rsidR="00936FA1" w:rsidRDefault="00936FA1" w:rsidP="00936FA1">
      <w:pPr>
        <w:keepNext/>
        <w:rPr>
          <w:bCs/>
          <w:i/>
          <w:iCs/>
        </w:rPr>
      </w:pPr>
      <w:r>
        <w:rPr>
          <w:bCs/>
          <w:i/>
          <w:iCs/>
        </w:rPr>
        <w:t>Conclusion</w:t>
      </w:r>
    </w:p>
    <w:p w14:paraId="36596D0F" w14:textId="3D5D388C" w:rsidR="00494122" w:rsidRPr="00494122" w:rsidRDefault="00936FA1" w:rsidP="00936FA1">
      <w:pPr>
        <w:keepNext/>
      </w:pPr>
      <w:r w:rsidRPr="00663D5A">
        <w:t xml:space="preserve">The data presented above appear to demonstrate that the species is eligible for listing as </w:t>
      </w:r>
      <w:r w:rsidR="00370117">
        <w:rPr>
          <w:b/>
        </w:rPr>
        <w:t>Endangered</w:t>
      </w:r>
      <w:r w:rsidRPr="00663D5A">
        <w:t xml:space="preserve"> under this criterion. However, the purpose of this consultation document is to elicit additional information to better understand the species’ status. This conclusion should therefore </w:t>
      </w:r>
      <w:proofErr w:type="gramStart"/>
      <w:r w:rsidRPr="00663D5A">
        <w:t>be considered to be</w:t>
      </w:r>
      <w:proofErr w:type="gramEnd"/>
      <w:r w:rsidRPr="00663D5A">
        <w:t xml:space="preserve"> tentative at this stage, as it may be changed as a result of responses to this consultation process.</w:t>
      </w:r>
      <w:r w:rsidR="00494122">
        <w:rPr>
          <w:bCs/>
        </w:rPr>
        <w:t xml:space="preserve"> </w:t>
      </w:r>
    </w:p>
    <w:p w14:paraId="6D58FC92" w14:textId="77777777" w:rsidR="00166185" w:rsidRDefault="00166185" w:rsidP="00166185">
      <w:pPr>
        <w:pStyle w:val="Caption"/>
      </w:pPr>
      <w:r w:rsidRPr="00166185">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34FAB64E"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09DE6CA5" w14:textId="77777777" w:rsidR="00166185" w:rsidRPr="00166185" w:rsidRDefault="00166185" w:rsidP="000E630E">
            <w:pPr>
              <w:pStyle w:val="TableText"/>
              <w:keepNext/>
            </w:pPr>
          </w:p>
        </w:tc>
      </w:tr>
      <w:tr w:rsidR="00166185" w:rsidRPr="00166185" w14:paraId="7841DDE3"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1130A94D" w14:textId="77777777"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12DBB615" w14:textId="77777777" w:rsidR="00166185" w:rsidRPr="009E3E71" w:rsidRDefault="00166185" w:rsidP="000E630E">
            <w:pPr>
              <w:pStyle w:val="TableText"/>
              <w:keepNext/>
              <w:rPr>
                <w:rStyle w:val="Strong"/>
              </w:rPr>
            </w:pPr>
            <w:r w:rsidRPr="009E3E71">
              <w:rPr>
                <w:rStyle w:val="Strong"/>
              </w:rPr>
              <w:t>Critically Endangered</w:t>
            </w:r>
          </w:p>
          <w:p w14:paraId="11E50592"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1A135F86" w14:textId="77777777" w:rsidR="00166185" w:rsidRPr="009E3E71" w:rsidRDefault="00166185" w:rsidP="000E630E">
            <w:pPr>
              <w:pStyle w:val="TableText"/>
              <w:keepNext/>
              <w:rPr>
                <w:rStyle w:val="Strong"/>
              </w:rPr>
            </w:pPr>
            <w:r w:rsidRPr="009E3E71">
              <w:rPr>
                <w:rStyle w:val="Strong"/>
              </w:rPr>
              <w:t>Endangered</w:t>
            </w:r>
          </w:p>
          <w:p w14:paraId="744454F8"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7C7C9E42" w14:textId="77777777" w:rsidR="00166185" w:rsidRPr="009E3E71" w:rsidRDefault="00166185" w:rsidP="000E630E">
            <w:pPr>
              <w:pStyle w:val="TableText"/>
              <w:keepNext/>
              <w:rPr>
                <w:rStyle w:val="Strong"/>
              </w:rPr>
            </w:pPr>
            <w:r w:rsidRPr="009E3E71">
              <w:rPr>
                <w:rStyle w:val="Strong"/>
              </w:rPr>
              <w:t>Vulnerable</w:t>
            </w:r>
          </w:p>
          <w:p w14:paraId="53D04708" w14:textId="77777777" w:rsidR="00166185" w:rsidRPr="009E3E71" w:rsidRDefault="00166185" w:rsidP="000E630E">
            <w:pPr>
              <w:pStyle w:val="TableText"/>
              <w:keepNext/>
              <w:rPr>
                <w:rStyle w:val="Strong"/>
              </w:rPr>
            </w:pPr>
            <w:r w:rsidRPr="009E3E71">
              <w:rPr>
                <w:rStyle w:val="Strong"/>
              </w:rPr>
              <w:t>Low</w:t>
            </w:r>
          </w:p>
        </w:tc>
      </w:tr>
      <w:tr w:rsidR="00166185" w:rsidRPr="00166185" w14:paraId="6054633B"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11EA4175" w14:textId="77777777"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62DDDFDF"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74E25AF4"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2AC846E4" w14:textId="77777777"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59EE5EE8"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206FB670" w14:textId="77777777"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78B69EA8"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10F1872C"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1CDB6B71"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28B59A54"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28BBD4AE" w14:textId="77777777"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0" w:history="1">
        <w:r w:rsidRPr="00166185">
          <w:rPr>
            <w:rStyle w:val="Hyperlink"/>
            <w:bCs/>
            <w:i/>
            <w:iCs/>
          </w:rPr>
          <w:t>common assessment method</w:t>
        </w:r>
      </w:hyperlink>
      <w:r w:rsidRPr="00166185">
        <w:t>.</w:t>
      </w:r>
    </w:p>
    <w:p w14:paraId="48DAEE5A" w14:textId="77777777" w:rsidR="00C2736A" w:rsidRPr="00C2736A" w:rsidRDefault="00C2736A">
      <w:pPr>
        <w:pStyle w:val="Heading3"/>
        <w:ind w:left="964" w:hanging="964"/>
      </w:pPr>
      <w:r>
        <w:t>Criterion 4 e</w:t>
      </w:r>
      <w:r w:rsidR="00BE530B" w:rsidRPr="00BE530B">
        <w:t>vidence</w:t>
      </w:r>
    </w:p>
    <w:p w14:paraId="75198F7A" w14:textId="77777777" w:rsidR="002805E4" w:rsidRDefault="002805E4" w:rsidP="002805E4">
      <w:pPr>
        <w:rPr>
          <w:b/>
          <w:bCs/>
        </w:rPr>
      </w:pPr>
      <w:r w:rsidRPr="00C14D04">
        <w:rPr>
          <w:rStyle w:val="Strong"/>
        </w:rPr>
        <w:t xml:space="preserve">Eligible under Criterion </w:t>
      </w:r>
      <w:r>
        <w:rPr>
          <w:b/>
          <w:bCs/>
        </w:rPr>
        <w:t>4 D as Endangered</w:t>
      </w:r>
    </w:p>
    <w:p w14:paraId="60BB7C34" w14:textId="779ED23C" w:rsidR="00A3773F" w:rsidRPr="001E64F9" w:rsidRDefault="00A3773F" w:rsidP="00A3773F">
      <w:pPr>
        <w:rPr>
          <w:bCs/>
        </w:rPr>
      </w:pPr>
      <w:r>
        <w:rPr>
          <w:bCs/>
        </w:rPr>
        <w:lastRenderedPageBreak/>
        <w:t>The</w:t>
      </w:r>
      <w:r w:rsidRPr="007D7031">
        <w:rPr>
          <w:bCs/>
        </w:rPr>
        <w:t xml:space="preserve"> total number of mature individuals is </w:t>
      </w:r>
      <w:r>
        <w:rPr>
          <w:bCs/>
        </w:rPr>
        <w:t>estimated to be fewer than</w:t>
      </w:r>
      <w:r w:rsidRPr="007D7031">
        <w:rPr>
          <w:bCs/>
        </w:rPr>
        <w:t xml:space="preserve"> </w:t>
      </w:r>
      <w:r w:rsidR="00E77E7B">
        <w:rPr>
          <w:bCs/>
        </w:rPr>
        <w:t>236</w:t>
      </w:r>
      <w:r w:rsidRPr="007D7031">
        <w:rPr>
          <w:bCs/>
        </w:rPr>
        <w:t xml:space="preserve"> which is </w:t>
      </w:r>
      <w:r w:rsidR="008B7658">
        <w:rPr>
          <w:bCs/>
        </w:rPr>
        <w:t>considered</w:t>
      </w:r>
      <w:r w:rsidRPr="007D7031">
        <w:rPr>
          <w:bCs/>
        </w:rPr>
        <w:t xml:space="preserve"> </w:t>
      </w:r>
      <w:r w:rsidR="00C63400">
        <w:rPr>
          <w:bCs/>
        </w:rPr>
        <w:t xml:space="preserve">very </w:t>
      </w:r>
      <w:r w:rsidRPr="007D7031">
        <w:rPr>
          <w:bCs/>
        </w:rPr>
        <w:t>low</w:t>
      </w:r>
      <w:r w:rsidR="008B7658">
        <w:rPr>
          <w:bCs/>
        </w:rPr>
        <w:t xml:space="preserve"> under this Criterion</w:t>
      </w:r>
      <w:r>
        <w:rPr>
          <w:bCs/>
        </w:rPr>
        <w:t xml:space="preserve">. </w:t>
      </w:r>
      <w:r w:rsidRPr="007D7031">
        <w:rPr>
          <w:bCs/>
        </w:rPr>
        <w:t xml:space="preserve">Therefore, the </w:t>
      </w:r>
      <w:r>
        <w:rPr>
          <w:bCs/>
        </w:rPr>
        <w:t>species</w:t>
      </w:r>
      <w:r w:rsidRPr="007D7031">
        <w:rPr>
          <w:bCs/>
        </w:rPr>
        <w:t xml:space="preserve"> has met the relevant elements of </w:t>
      </w:r>
      <w:r>
        <w:rPr>
          <w:bCs/>
        </w:rPr>
        <w:t xml:space="preserve">sub-criterion D </w:t>
      </w:r>
      <w:r w:rsidRPr="007D7031">
        <w:rPr>
          <w:bCs/>
        </w:rPr>
        <w:t>to make it eligible for listing as</w:t>
      </w:r>
      <w:r>
        <w:rPr>
          <w:bCs/>
        </w:rPr>
        <w:t xml:space="preserve"> </w:t>
      </w:r>
      <w:r w:rsidRPr="007E237F">
        <w:rPr>
          <w:b/>
        </w:rPr>
        <w:t>Endangered</w:t>
      </w:r>
      <w:r>
        <w:t>.</w:t>
      </w:r>
    </w:p>
    <w:p w14:paraId="1398B54E" w14:textId="02A9B075" w:rsidR="00A3773F" w:rsidRDefault="00A3773F" w:rsidP="00A3773F">
      <w:pPr>
        <w:rPr>
          <w:bCs/>
        </w:rPr>
      </w:pPr>
      <w:r>
        <w:rPr>
          <w:bCs/>
        </w:rPr>
        <w:t xml:space="preserve">Species cannot be listed under sub-criterion D2 in the EPBC Act (see </w:t>
      </w:r>
      <w:r w:rsidRPr="00280752">
        <w:rPr>
          <w:bCs/>
          <w:vertAlign w:val="superscript"/>
        </w:rPr>
        <w:t>1</w:t>
      </w:r>
      <w:r>
        <w:rPr>
          <w:bCs/>
        </w:rPr>
        <w:t xml:space="preserve">). However, given the </w:t>
      </w:r>
      <w:r w:rsidR="00B45BF6">
        <w:rPr>
          <w:bCs/>
        </w:rPr>
        <w:t>species</w:t>
      </w:r>
      <w:r>
        <w:rPr>
          <w:bCs/>
        </w:rPr>
        <w:t xml:space="preserve">’ AOO is </w:t>
      </w:r>
      <w:r w:rsidRPr="00166185">
        <w:rPr>
          <w:szCs w:val="18"/>
        </w:rPr>
        <w:t>20 km</w:t>
      </w:r>
      <w:r w:rsidRPr="00166185">
        <w:rPr>
          <w:szCs w:val="18"/>
          <w:vertAlign w:val="superscript"/>
        </w:rPr>
        <w:t>2</w:t>
      </w:r>
      <w:r w:rsidRPr="00166185">
        <w:rPr>
          <w:szCs w:val="18"/>
        </w:rPr>
        <w:t xml:space="preserve"> </w:t>
      </w:r>
      <w:r>
        <w:rPr>
          <w:szCs w:val="18"/>
        </w:rPr>
        <w:t xml:space="preserve">and the </w:t>
      </w:r>
      <w:r>
        <w:rPr>
          <w:bCs/>
        </w:rPr>
        <w:t xml:space="preserve">number of locations is </w:t>
      </w:r>
      <w:r>
        <w:t>one</w:t>
      </w:r>
      <w:r w:rsidRPr="006B5300" w:rsidDel="00280752">
        <w:rPr>
          <w:bCs/>
        </w:rPr>
        <w:t xml:space="preserve"> </w:t>
      </w:r>
      <w:r>
        <w:rPr>
          <w:bCs/>
        </w:rPr>
        <w:t xml:space="preserve">(see </w:t>
      </w:r>
      <w:r w:rsidR="00C63400">
        <w:rPr>
          <w:bCs/>
        </w:rPr>
        <w:t>Table 5</w:t>
      </w:r>
      <w:r>
        <w:rPr>
          <w:bCs/>
        </w:rPr>
        <w:t xml:space="preserve">), the species may meet the requirements for listing in the Vulnerable category under D2 in other legislation. </w:t>
      </w:r>
    </w:p>
    <w:p w14:paraId="119CBB8D" w14:textId="5F2AB55B" w:rsidR="002805E4" w:rsidRDefault="00A3773F" w:rsidP="00C23042">
      <w:pPr>
        <w:rPr>
          <w:rFonts w:ascii="Calibri" w:hAnsi="Calibri"/>
          <w:b/>
          <w:bCs/>
          <w:sz w:val="24"/>
          <w:szCs w:val="18"/>
        </w:rPr>
      </w:pPr>
      <w:r w:rsidRPr="000A5525">
        <w:rPr>
          <w:bCs/>
        </w:rPr>
        <w:t>However, the</w:t>
      </w:r>
      <w:r w:rsidRPr="00374C7B">
        <w:rPr>
          <w:bCs/>
        </w:rPr>
        <w:t xml:space="preserve"> purpose of this consultation document is to elicit additional information to better understand the </w:t>
      </w:r>
      <w:r w:rsidR="00B45BF6">
        <w:rPr>
          <w:bCs/>
        </w:rPr>
        <w:t>species</w:t>
      </w:r>
      <w:r w:rsidRPr="00374C7B">
        <w:rPr>
          <w:bCs/>
        </w:rPr>
        <w:t xml:space="preserve">’ status. This conclusion should therefore </w:t>
      </w:r>
      <w:proofErr w:type="gramStart"/>
      <w:r w:rsidRPr="00374C7B">
        <w:rPr>
          <w:bCs/>
        </w:rPr>
        <w:t>be considered to be</w:t>
      </w:r>
      <w:proofErr w:type="gramEnd"/>
      <w:r w:rsidRPr="00374C7B">
        <w:rPr>
          <w:bCs/>
        </w:rPr>
        <w:t xml:space="preserve"> tentative at this stage, as it may be changed as a result of responses to this consultation process.</w:t>
      </w:r>
    </w:p>
    <w:p w14:paraId="4D4BCFB0" w14:textId="14DA3129" w:rsidR="00AD2722" w:rsidRDefault="00AD2722" w:rsidP="00AD2722">
      <w:pPr>
        <w:pStyle w:val="Caption"/>
      </w:pPr>
      <w:r w:rsidRPr="00AD2722">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64B47A67"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706B6FFF" w14:textId="77777777" w:rsidR="00AD2722" w:rsidRPr="00556843" w:rsidRDefault="00AD2722" w:rsidP="000E630E">
            <w:pPr>
              <w:keepNext/>
              <w:tabs>
                <w:tab w:val="left" w:pos="284"/>
              </w:tabs>
              <w:rPr>
                <w:rFonts w:ascii="Arial" w:hAnsi="Arial" w:cs="Arial"/>
                <w:b/>
                <w:color w:val="FFFFFF" w:themeColor="background1"/>
              </w:rPr>
            </w:pPr>
          </w:p>
        </w:tc>
      </w:tr>
      <w:tr w:rsidR="00AD2722" w:rsidRPr="00556843" w14:paraId="201E4A5D" w14:textId="77777777" w:rsidTr="001C7420">
        <w:trPr>
          <w:trHeight w:val="439"/>
        </w:trPr>
        <w:tc>
          <w:tcPr>
            <w:tcW w:w="4042" w:type="dxa"/>
            <w:tcBorders>
              <w:top w:val="nil"/>
              <w:left w:val="single" w:sz="4" w:space="0" w:color="auto"/>
              <w:bottom w:val="nil"/>
              <w:right w:val="nil"/>
            </w:tcBorders>
          </w:tcPr>
          <w:p w14:paraId="7AC8A97D" w14:textId="77777777"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7F1B2C13" w14:textId="77777777" w:rsidR="00AD2722" w:rsidRPr="009E3E71" w:rsidRDefault="00AD2722" w:rsidP="000E630E">
            <w:pPr>
              <w:pStyle w:val="TableText"/>
              <w:keepNext/>
              <w:rPr>
                <w:rStyle w:val="Strong"/>
              </w:rPr>
            </w:pPr>
            <w:r w:rsidRPr="009E3E71">
              <w:rPr>
                <w:rStyle w:val="Strong"/>
              </w:rPr>
              <w:t>Critically Endangered</w:t>
            </w:r>
          </w:p>
          <w:p w14:paraId="5076C4EB"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776D5A7D" w14:textId="77777777" w:rsidR="00AD2722" w:rsidRPr="009E3E71" w:rsidRDefault="00AD2722" w:rsidP="000E630E">
            <w:pPr>
              <w:pStyle w:val="TableText"/>
              <w:keepNext/>
              <w:rPr>
                <w:rStyle w:val="Strong"/>
              </w:rPr>
            </w:pPr>
            <w:r w:rsidRPr="009E3E71">
              <w:rPr>
                <w:rStyle w:val="Strong"/>
              </w:rPr>
              <w:t>Endangered</w:t>
            </w:r>
          </w:p>
          <w:p w14:paraId="39355590"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4E203B5F" w14:textId="77777777" w:rsidR="00AD2722" w:rsidRPr="009E3E71" w:rsidRDefault="00AD2722" w:rsidP="000E630E">
            <w:pPr>
              <w:pStyle w:val="TableText"/>
              <w:keepNext/>
              <w:rPr>
                <w:rStyle w:val="Strong"/>
              </w:rPr>
            </w:pPr>
            <w:r w:rsidRPr="009E3E71">
              <w:rPr>
                <w:rStyle w:val="Strong"/>
              </w:rPr>
              <w:t>Vulnerable</w:t>
            </w:r>
          </w:p>
          <w:p w14:paraId="45927EFB"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255960FC"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451789D5"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330F8520"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7572E0CF"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53274A47"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70EA5931" w14:textId="77777777" w:rsidR="00AD2722" w:rsidRPr="00AD2722" w:rsidRDefault="00C2736A" w:rsidP="00A41058">
      <w:pPr>
        <w:pStyle w:val="Heading3"/>
        <w:spacing w:before="240"/>
        <w:ind w:left="964" w:hanging="964"/>
      </w:pPr>
      <w:r>
        <w:t>Criterion 5 e</w:t>
      </w:r>
      <w:r w:rsidR="00AD2722" w:rsidRPr="00AD2722">
        <w:t>vidence</w:t>
      </w:r>
    </w:p>
    <w:p w14:paraId="7576B8A3" w14:textId="77777777" w:rsidR="00A3773F" w:rsidRPr="006B3525" w:rsidRDefault="00A3773F" w:rsidP="00A3773F">
      <w:pPr>
        <w:rPr>
          <w:rStyle w:val="Strong"/>
        </w:rPr>
      </w:pPr>
      <w:r w:rsidRPr="006B3525">
        <w:rPr>
          <w:rStyle w:val="Strong"/>
        </w:rPr>
        <w:t xml:space="preserve">Insufficient data to determine eligibility </w:t>
      </w:r>
    </w:p>
    <w:p w14:paraId="06F7CA51" w14:textId="77777777" w:rsidR="00A3773F" w:rsidRDefault="00A3773F" w:rsidP="00A3773F">
      <w:pPr>
        <w:rPr>
          <w:bCs/>
        </w:rPr>
      </w:pPr>
      <w:r w:rsidRPr="00AD2722">
        <w:rPr>
          <w:bCs/>
        </w:rPr>
        <w:t xml:space="preserve">Population viability analysis has not been undertaken. </w:t>
      </w:r>
    </w:p>
    <w:p w14:paraId="6B1926B1" w14:textId="4006BE0E" w:rsidR="00A3773F" w:rsidRDefault="00A3773F" w:rsidP="00A3773F">
      <w:pPr>
        <w:rPr>
          <w:lang w:eastAsia="ja-JP"/>
        </w:rPr>
      </w:pPr>
      <w:r w:rsidRPr="000A5525">
        <w:rPr>
          <w:bCs/>
        </w:rPr>
        <w:t xml:space="preserve">There are insufficient data to demonstrate if the </w:t>
      </w:r>
      <w:r w:rsidR="00B45BF6">
        <w:rPr>
          <w:bCs/>
        </w:rPr>
        <w:t>species</w:t>
      </w:r>
      <w:r w:rsidRPr="000A5525">
        <w:rPr>
          <w:bCs/>
        </w:rPr>
        <w:t xml:space="preserve"> is eligible for listing under this criterion. However, the</w:t>
      </w:r>
      <w:r w:rsidRPr="00374C7B">
        <w:rPr>
          <w:bCs/>
        </w:rPr>
        <w:t xml:space="preserve"> purpose of this consultation document is to elicit additional information to better understand the </w:t>
      </w:r>
      <w:r w:rsidR="00B45BF6">
        <w:rPr>
          <w:bCs/>
        </w:rPr>
        <w:t>species</w:t>
      </w:r>
      <w:r w:rsidRPr="00374C7B">
        <w:rPr>
          <w:bCs/>
        </w:rPr>
        <w:t xml:space="preserve">’ status. This conclusion should therefore </w:t>
      </w:r>
      <w:proofErr w:type="gramStart"/>
      <w:r w:rsidRPr="00374C7B">
        <w:rPr>
          <w:bCs/>
        </w:rPr>
        <w:t>be considered to be</w:t>
      </w:r>
      <w:proofErr w:type="gramEnd"/>
      <w:r w:rsidRPr="00374C7B">
        <w:rPr>
          <w:bCs/>
        </w:rPr>
        <w:t xml:space="preserve"> tentative at this stage, as it may be changed as a result of responses to this consultation process.</w:t>
      </w:r>
      <w:r>
        <w:rPr>
          <w:bCs/>
        </w:rPr>
        <w:t xml:space="preserve"> </w:t>
      </w:r>
    </w:p>
    <w:p w14:paraId="1858C280" w14:textId="77777777" w:rsidR="00AD2722" w:rsidRPr="00AD2722" w:rsidRDefault="00AD2722" w:rsidP="00F20180">
      <w:pPr>
        <w:pStyle w:val="Heading3"/>
        <w:ind w:left="964" w:hanging="964"/>
      </w:pPr>
      <w:r w:rsidRPr="00AD2722">
        <w:t>Adequacy of survey</w:t>
      </w:r>
    </w:p>
    <w:p w14:paraId="0AE11542" w14:textId="16597FBE" w:rsidR="00A3773F" w:rsidRDefault="00A3773F" w:rsidP="00A3773F">
      <w:r>
        <w:t>The survey effort has been considered adequate and there is sufficient scientific evidence to support the assessment.</w:t>
      </w:r>
    </w:p>
    <w:p w14:paraId="770C0301" w14:textId="77777777" w:rsidR="00CC1A26" w:rsidRDefault="00CC1A26" w:rsidP="00CC1A26">
      <w:pPr>
        <w:pStyle w:val="Heading3"/>
        <w:ind w:left="964" w:hanging="964"/>
      </w:pPr>
      <w:r>
        <w:t>Public consultation</w:t>
      </w:r>
    </w:p>
    <w:p w14:paraId="22DC2CB6" w14:textId="77777777" w:rsidR="00CC1A26" w:rsidRDefault="00CC1A26" w:rsidP="00CC1A26">
      <w:r>
        <w:t>Notice of the proposed amendment and a consultation document is made available for public comment for a minimum of 30 business days. Any comments received relevant to the survival of the species/subspecies are considered by the Committee as part of the assessment process.</w:t>
      </w:r>
    </w:p>
    <w:p w14:paraId="73AC0985" w14:textId="77777777" w:rsidR="00CC1A26" w:rsidRDefault="00CC1A26" w:rsidP="00CC1A26">
      <w:pPr>
        <w:pStyle w:val="Heading3"/>
      </w:pPr>
      <w:r>
        <w:t>Listing and Recovery Plan Recommendations</w:t>
      </w:r>
    </w:p>
    <w:p w14:paraId="29F6377E" w14:textId="77777777" w:rsidR="00CC1A26" w:rsidRDefault="00CC1A26" w:rsidP="00CC1A26">
      <w:r>
        <w:t>A decision about whether there should be a Recovery Plan for this species has not yet been determined. The purpose of this consultation document is to elicit additional information to help inform this decision.</w:t>
      </w:r>
    </w:p>
    <w:p w14:paraId="35B644D0" w14:textId="77777777" w:rsidR="00AD44EA" w:rsidRPr="00C30025" w:rsidRDefault="00AD44EA" w:rsidP="000202F4">
      <w:pPr>
        <w:pStyle w:val="Normalsmall"/>
        <w:pageBreakBefore/>
      </w:pPr>
      <w:r w:rsidRPr="00C30025">
        <w:lastRenderedPageBreak/>
        <w:t>© Commonwealth of Australia 202</w:t>
      </w:r>
      <w:r w:rsidR="008C5A24" w:rsidRPr="00C30025">
        <w:t>1</w:t>
      </w:r>
      <w:r w:rsidR="00D431C8" w:rsidRPr="00C30025">
        <w:t xml:space="preserve"> </w:t>
      </w:r>
      <w:r w:rsidR="00D431C8" w:rsidRPr="00C30025">
        <w:rPr>
          <w:noProof/>
        </w:rPr>
        <w:drawing>
          <wp:inline distT="0" distB="0" distL="0" distR="0" wp14:anchorId="0277C232" wp14:editId="4761A56C">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25166" cy="218731"/>
                    </a:xfrm>
                    <a:prstGeom prst="rect">
                      <a:avLst/>
                    </a:prstGeom>
                  </pic:spPr>
                </pic:pic>
              </a:graphicData>
            </a:graphic>
          </wp:inline>
        </w:drawing>
      </w:r>
    </w:p>
    <w:p w14:paraId="2C7AA805" w14:textId="77777777" w:rsidR="00AD44EA" w:rsidRPr="00C30025" w:rsidRDefault="00AD44EA" w:rsidP="00AD44EA">
      <w:pPr>
        <w:pStyle w:val="Normalsmall"/>
        <w:rPr>
          <w:rStyle w:val="Strong"/>
        </w:rPr>
      </w:pPr>
      <w:r w:rsidRPr="00C30025">
        <w:rPr>
          <w:rStyle w:val="Strong"/>
        </w:rPr>
        <w:t>Ownership of intellectual property rights</w:t>
      </w:r>
    </w:p>
    <w:p w14:paraId="788C9417" w14:textId="77777777" w:rsidR="00AD44EA" w:rsidRPr="00C30025" w:rsidRDefault="00AD44EA" w:rsidP="00AD44EA">
      <w:pPr>
        <w:pStyle w:val="Normalsmall"/>
      </w:pPr>
      <w:r w:rsidRPr="00C30025">
        <w:t>Unless otherwise noted, copyright (and any other intellectual property rights) in this publication is owned by the Commonwealth of Australia (referred to as the Commonwealth).</w:t>
      </w:r>
    </w:p>
    <w:p w14:paraId="441A331C" w14:textId="77777777" w:rsidR="00AD44EA" w:rsidRPr="00C30025" w:rsidRDefault="00AD44EA" w:rsidP="00AD44EA">
      <w:pPr>
        <w:pStyle w:val="Normalsmall"/>
        <w:rPr>
          <w:rStyle w:val="Strong"/>
        </w:rPr>
      </w:pPr>
      <w:r w:rsidRPr="00C30025">
        <w:rPr>
          <w:rStyle w:val="Strong"/>
        </w:rPr>
        <w:t>Creative Commons licence</w:t>
      </w:r>
    </w:p>
    <w:p w14:paraId="3C27A3A5" w14:textId="77777777" w:rsidR="00AD44EA" w:rsidRPr="00C30025" w:rsidRDefault="00AD44EA" w:rsidP="00AD44EA">
      <w:pPr>
        <w:pStyle w:val="Normalsmall"/>
      </w:pPr>
      <w:r w:rsidRPr="00C30025">
        <w:t xml:space="preserve">All material in this publication is licensed under a </w:t>
      </w:r>
      <w:hyperlink r:id="rId42" w:history="1">
        <w:r w:rsidRPr="00C30025">
          <w:rPr>
            <w:rStyle w:val="Hyperlink"/>
          </w:rPr>
          <w:t>Creative Commons Attribution 4.0 International Licence</w:t>
        </w:r>
      </w:hyperlink>
      <w:r w:rsidRPr="00C30025">
        <w:t xml:space="preserve"> except content supplied by third parties, </w:t>
      </w:r>
      <w:proofErr w:type="gramStart"/>
      <w:r w:rsidRPr="00C30025">
        <w:t>logos</w:t>
      </w:r>
      <w:proofErr w:type="gramEnd"/>
      <w:r w:rsidRPr="00C30025">
        <w:t xml:space="preserve"> and the Commonwealth Coat of Arms.</w:t>
      </w:r>
    </w:p>
    <w:p w14:paraId="57BDCF0D" w14:textId="77777777" w:rsidR="00AD44EA" w:rsidRPr="00C30025" w:rsidRDefault="00AD44EA" w:rsidP="00AD44EA">
      <w:pPr>
        <w:pStyle w:val="Normalsmall"/>
      </w:pPr>
      <w:r w:rsidRPr="00C30025">
        <w:t xml:space="preserve">Inquiries about the licence and any use of this document should be emailed to </w:t>
      </w:r>
      <w:hyperlink r:id="rId43" w:history="1">
        <w:r w:rsidRPr="00C30025">
          <w:rPr>
            <w:rStyle w:val="Hyperlink"/>
          </w:rPr>
          <w:t>copyright@awe.gov.au</w:t>
        </w:r>
      </w:hyperlink>
      <w:r w:rsidRPr="00C30025">
        <w:t>.</w:t>
      </w:r>
    </w:p>
    <w:p w14:paraId="27BD04F5" w14:textId="77777777" w:rsidR="00AD44EA" w:rsidRPr="00C30025" w:rsidRDefault="00AD44EA" w:rsidP="00AD44EA">
      <w:pPr>
        <w:pStyle w:val="Normalsmall"/>
        <w:rPr>
          <w:rStyle w:val="Strong"/>
        </w:rPr>
      </w:pPr>
      <w:r w:rsidRPr="00C30025">
        <w:rPr>
          <w:rStyle w:val="Strong"/>
        </w:rPr>
        <w:t>Cataloguing data</w:t>
      </w:r>
    </w:p>
    <w:p w14:paraId="0B0CA3DB" w14:textId="77777777" w:rsidR="00CF0724" w:rsidRDefault="00AD44EA" w:rsidP="00AD44EA">
      <w:pPr>
        <w:pStyle w:val="Normalsmall"/>
      </w:pPr>
      <w:r w:rsidRPr="00C30025">
        <w:t>This publication (and any material sourced from it) should be attributed as: Department of Agriculture, Water and the Environment 202</w:t>
      </w:r>
      <w:r w:rsidR="00CF0724" w:rsidRPr="00C30025">
        <w:t>1</w:t>
      </w:r>
      <w:r w:rsidRPr="00C30025">
        <w:t xml:space="preserve">, </w:t>
      </w:r>
      <w:r w:rsidRPr="00C30025">
        <w:rPr>
          <w:i/>
        </w:rPr>
        <w:t xml:space="preserve">Conservation </w:t>
      </w:r>
      <w:r w:rsidR="0010557C" w:rsidRPr="00C30025">
        <w:rPr>
          <w:i/>
        </w:rPr>
        <w:t>A</w:t>
      </w:r>
      <w:r w:rsidRPr="00C30025">
        <w:rPr>
          <w:i/>
        </w:rPr>
        <w:t xml:space="preserve">dvice for </w:t>
      </w:r>
      <w:r w:rsidR="00CF0724" w:rsidRPr="00C30025">
        <w:rPr>
          <w:i/>
          <w:iCs/>
        </w:rPr>
        <w:t xml:space="preserve">Acacia </w:t>
      </w:r>
      <w:proofErr w:type="spellStart"/>
      <w:r w:rsidR="00CF0724" w:rsidRPr="00C30025">
        <w:rPr>
          <w:i/>
          <w:iCs/>
        </w:rPr>
        <w:t>constablei</w:t>
      </w:r>
      <w:proofErr w:type="spellEnd"/>
      <w:r w:rsidR="00CF0724" w:rsidRPr="00C30025">
        <w:rPr>
          <w:i/>
          <w:iCs/>
        </w:rPr>
        <w:t xml:space="preserve"> </w:t>
      </w:r>
      <w:r w:rsidR="00CF0724" w:rsidRPr="00C30025">
        <w:t>(</w:t>
      </w:r>
      <w:proofErr w:type="spellStart"/>
      <w:r w:rsidR="00CF0724" w:rsidRPr="00C30025">
        <w:t>Narrabarba</w:t>
      </w:r>
      <w:proofErr w:type="spellEnd"/>
      <w:r w:rsidR="00CF0724" w:rsidRPr="00C30025">
        <w:t xml:space="preserve"> wattle)</w:t>
      </w:r>
      <w:r w:rsidRPr="00C30025">
        <w:t>, Canberra.</w:t>
      </w:r>
    </w:p>
    <w:p w14:paraId="1973FFAD" w14:textId="1A42ADA7" w:rsidR="00AD44EA" w:rsidRDefault="00AD44EA" w:rsidP="00AD44EA">
      <w:pPr>
        <w:pStyle w:val="Normalsmall"/>
      </w:pPr>
      <w:r>
        <w:t xml:space="preserve"> </w:t>
      </w:r>
      <w:r w:rsidR="003E1291" w:rsidRPr="00D431C8">
        <w:rPr>
          <w:noProof/>
        </w:rPr>
        <w:drawing>
          <wp:inline distT="0" distB="0" distL="0" distR="0" wp14:anchorId="0813EEFD" wp14:editId="7FC426B7">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25166" cy="218731"/>
                    </a:xfrm>
                    <a:prstGeom prst="rect">
                      <a:avLst/>
                    </a:prstGeom>
                  </pic:spPr>
                </pic:pic>
              </a:graphicData>
            </a:graphic>
          </wp:inline>
        </w:drawing>
      </w:r>
    </w:p>
    <w:p w14:paraId="15AD4804" w14:textId="614EAB62" w:rsidR="00AD44EA" w:rsidRDefault="00AD44EA" w:rsidP="00AD44EA">
      <w:pPr>
        <w:pStyle w:val="Normalsmall"/>
      </w:pPr>
      <w:r>
        <w:t xml:space="preserve">This publication is </w:t>
      </w:r>
      <w:r w:rsidRPr="00E20810">
        <w:t>available at</w:t>
      </w:r>
      <w:r w:rsidR="00BA28D1">
        <w:t xml:space="preserve"> the </w:t>
      </w:r>
      <w:hyperlink r:id="rId44" w:history="1">
        <w:r w:rsidR="00BA28D1" w:rsidRPr="006D4B29">
          <w:rPr>
            <w:rStyle w:val="Hyperlink"/>
          </w:rPr>
          <w:t xml:space="preserve">SPRAT profile for </w:t>
        </w:r>
        <w:r w:rsidR="006D4B29" w:rsidRPr="006D4B29">
          <w:rPr>
            <w:rStyle w:val="Hyperlink"/>
            <w:i/>
            <w:iCs/>
          </w:rPr>
          <w:t xml:space="preserve">Acacia </w:t>
        </w:r>
        <w:proofErr w:type="spellStart"/>
        <w:r w:rsidR="006D4B29" w:rsidRPr="006D4B29">
          <w:rPr>
            <w:rStyle w:val="Hyperlink"/>
            <w:i/>
            <w:iCs/>
          </w:rPr>
          <w:t>constablei</w:t>
        </w:r>
        <w:proofErr w:type="spellEnd"/>
        <w:r w:rsidR="006D4B29" w:rsidRPr="006D4B29">
          <w:rPr>
            <w:rStyle w:val="Hyperlink"/>
            <w:i/>
            <w:iCs/>
          </w:rPr>
          <w:t xml:space="preserve"> </w:t>
        </w:r>
        <w:r w:rsidR="006D4B29" w:rsidRPr="006D4B29">
          <w:rPr>
            <w:rStyle w:val="Hyperlink"/>
          </w:rPr>
          <w:t>(</w:t>
        </w:r>
        <w:proofErr w:type="spellStart"/>
        <w:r w:rsidR="006D4B29" w:rsidRPr="006D4B29">
          <w:rPr>
            <w:rStyle w:val="Hyperlink"/>
          </w:rPr>
          <w:t>Narrabarba</w:t>
        </w:r>
        <w:proofErr w:type="spellEnd"/>
        <w:r w:rsidR="006D4B29" w:rsidRPr="006D4B29">
          <w:rPr>
            <w:rStyle w:val="Hyperlink"/>
          </w:rPr>
          <w:t xml:space="preserve"> wattle)</w:t>
        </w:r>
      </w:hyperlink>
      <w:r w:rsidR="00BA28D1" w:rsidRPr="006D4B29">
        <w:rPr>
          <w:i/>
        </w:rPr>
        <w:t>.</w:t>
      </w:r>
    </w:p>
    <w:p w14:paraId="33B075D4" w14:textId="77777777" w:rsidR="00AD44EA" w:rsidRDefault="00AD44EA" w:rsidP="00AD44EA">
      <w:pPr>
        <w:pStyle w:val="Normalsmall"/>
        <w:spacing w:after="0"/>
      </w:pPr>
      <w:r>
        <w:t xml:space="preserve">Department of Agriculture, </w:t>
      </w:r>
      <w:proofErr w:type="gramStart"/>
      <w:r>
        <w:t>Water</w:t>
      </w:r>
      <w:proofErr w:type="gramEnd"/>
      <w:r>
        <w:t xml:space="preserve"> and the Environment</w:t>
      </w:r>
    </w:p>
    <w:p w14:paraId="13A51E95" w14:textId="77777777" w:rsidR="00AD44EA" w:rsidRDefault="00AD44EA" w:rsidP="00AD44EA">
      <w:pPr>
        <w:pStyle w:val="Normalsmall"/>
        <w:spacing w:after="0"/>
      </w:pPr>
      <w:r>
        <w:t>GPO Box 858</w:t>
      </w:r>
      <w:r w:rsidR="00B16806">
        <w:t>,</w:t>
      </w:r>
      <w:r>
        <w:t xml:space="preserve"> Canberra ACT 2601</w:t>
      </w:r>
    </w:p>
    <w:p w14:paraId="4093086E" w14:textId="77777777" w:rsidR="00AD44EA" w:rsidRDefault="00AD44EA" w:rsidP="00AD44EA">
      <w:pPr>
        <w:pStyle w:val="Normalsmall"/>
        <w:spacing w:after="0"/>
      </w:pPr>
      <w:r>
        <w:t xml:space="preserve">Telephone </w:t>
      </w:r>
      <w:r w:rsidRPr="00773056">
        <w:t>1800 900 090</w:t>
      </w:r>
    </w:p>
    <w:p w14:paraId="63B736AE" w14:textId="77777777" w:rsidR="00AD44EA" w:rsidRDefault="00AD44EA" w:rsidP="00AD44EA">
      <w:pPr>
        <w:pStyle w:val="Normalsmall"/>
      </w:pPr>
      <w:r w:rsidRPr="00E20810">
        <w:t xml:space="preserve">Web </w:t>
      </w:r>
      <w:hyperlink r:id="rId45" w:history="1">
        <w:r w:rsidRPr="00E20810">
          <w:rPr>
            <w:rStyle w:val="Hyperlink"/>
          </w:rPr>
          <w:t>awe.gov.au</w:t>
        </w:r>
      </w:hyperlink>
    </w:p>
    <w:p w14:paraId="06B99F6F" w14:textId="77777777" w:rsidR="00AD44EA" w:rsidRDefault="00AD44EA" w:rsidP="00AD44EA">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1A262038" w14:textId="77777777" w:rsidR="00AD44EA" w:rsidRDefault="00AD44EA" w:rsidP="00AD44EA">
      <w:pPr>
        <w:pStyle w:val="Normalsmall"/>
        <w:rPr>
          <w:rStyle w:val="Strong"/>
          <w:highlight w:val="yellow"/>
        </w:rPr>
      </w:pPr>
      <w:r w:rsidRPr="00CF0724">
        <w:rPr>
          <w:rStyle w:val="Strong"/>
        </w:rPr>
        <w:t>Acknowledgements</w:t>
      </w:r>
    </w:p>
    <w:p w14:paraId="43AED557" w14:textId="77777777" w:rsidR="00AD44EA" w:rsidRDefault="006807B3" w:rsidP="006807B3">
      <w:pPr>
        <w:pStyle w:val="Instructiontext"/>
      </w:pPr>
      <w:r w:rsidRPr="006807B3">
        <w:t>[Include acknowledgements here if relevant.]</w:t>
      </w:r>
    </w:p>
    <w:p w14:paraId="253B5202" w14:textId="77777777" w:rsidR="00AD44EA" w:rsidRDefault="009E30E5" w:rsidP="009E30E5">
      <w:pPr>
        <w:pStyle w:val="Caption"/>
      </w:pPr>
      <w:r>
        <w:t>Version history table</w:t>
      </w:r>
    </w:p>
    <w:p w14:paraId="6FC5E3AD" w14:textId="77777777" w:rsidR="009E30E5" w:rsidRPr="00AF6941" w:rsidRDefault="000A4134" w:rsidP="00AF6941">
      <w:pPr>
        <w:pStyle w:val="Instructiontext"/>
      </w:pPr>
      <w:r>
        <w:t>[</w:t>
      </w:r>
      <w:r w:rsidR="009E30E5" w:rsidRPr="00AF6941">
        <w:t xml:space="preserve">Only include any previous approved listing </w:t>
      </w:r>
      <w:proofErr w:type="gramStart"/>
      <w:r w:rsidR="009E30E5" w:rsidRPr="00AF6941">
        <w:t>advices</w:t>
      </w:r>
      <w:proofErr w:type="gramEnd"/>
      <w:r w:rsidR="009E30E5" w:rsidRPr="00AF6941">
        <w:t xml:space="preserve">, conservation advices (not drafts) and </w:t>
      </w:r>
      <w:r w:rsidR="00B16806">
        <w:t xml:space="preserve">published </w:t>
      </w:r>
      <w:r w:rsidR="009E30E5" w:rsidRPr="00AF6941">
        <w:t xml:space="preserve">consultation </w:t>
      </w:r>
      <w:r w:rsidR="00B16806">
        <w:t>draft assessments</w:t>
      </w:r>
      <w:r w:rsidR="009E30E5" w:rsidRPr="00AF6941">
        <w:t>.</w:t>
      </w:r>
      <w: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E30E5" w14:paraId="5FD42C8A" w14:textId="77777777" w:rsidTr="005F3E72">
        <w:trPr>
          <w:cantSplit/>
          <w:tblHeader/>
        </w:trPr>
        <w:tc>
          <w:tcPr>
            <w:tcW w:w="3020" w:type="dxa"/>
            <w:tcBorders>
              <w:top w:val="single" w:sz="4" w:space="0" w:color="auto"/>
              <w:bottom w:val="single" w:sz="4" w:space="0" w:color="auto"/>
            </w:tcBorders>
          </w:tcPr>
          <w:p w14:paraId="15BC5298" w14:textId="77777777" w:rsidR="009E30E5" w:rsidRDefault="009E30E5" w:rsidP="009E30E5">
            <w:pPr>
              <w:pStyle w:val="TableHeading"/>
            </w:pPr>
            <w:r>
              <w:t>Document type</w:t>
            </w:r>
          </w:p>
        </w:tc>
        <w:tc>
          <w:tcPr>
            <w:tcW w:w="3020" w:type="dxa"/>
            <w:tcBorders>
              <w:top w:val="single" w:sz="4" w:space="0" w:color="auto"/>
              <w:bottom w:val="single" w:sz="4" w:space="0" w:color="auto"/>
            </w:tcBorders>
          </w:tcPr>
          <w:p w14:paraId="74B956AD" w14:textId="77777777" w:rsidR="009E30E5" w:rsidRDefault="009E30E5" w:rsidP="009E30E5">
            <w:pPr>
              <w:pStyle w:val="TableHeading"/>
            </w:pPr>
            <w:r>
              <w:t>Title</w:t>
            </w:r>
          </w:p>
        </w:tc>
        <w:tc>
          <w:tcPr>
            <w:tcW w:w="3020" w:type="dxa"/>
            <w:tcBorders>
              <w:top w:val="single" w:sz="4" w:space="0" w:color="auto"/>
              <w:bottom w:val="single" w:sz="4" w:space="0" w:color="auto"/>
            </w:tcBorders>
          </w:tcPr>
          <w:p w14:paraId="053F134D" w14:textId="77777777" w:rsidR="009E30E5" w:rsidRDefault="00EE0F9A" w:rsidP="009E30E5">
            <w:pPr>
              <w:pStyle w:val="TableHeading"/>
            </w:pPr>
            <w:r>
              <w:t>Date</w:t>
            </w:r>
            <w:r w:rsidR="009E30E5">
              <w:t xml:space="preserve"> [dd mm </w:t>
            </w:r>
            <w:proofErr w:type="spellStart"/>
            <w:r w:rsidR="009E30E5">
              <w:t>yyyy</w:t>
            </w:r>
            <w:proofErr w:type="spellEnd"/>
            <w:r w:rsidR="009E30E5">
              <w:t>]</w:t>
            </w:r>
          </w:p>
        </w:tc>
      </w:tr>
      <w:tr w:rsidR="009E30E5" w14:paraId="12EB3170" w14:textId="77777777" w:rsidTr="009E30E5">
        <w:tc>
          <w:tcPr>
            <w:tcW w:w="3020" w:type="dxa"/>
            <w:tcBorders>
              <w:top w:val="single" w:sz="4" w:space="0" w:color="auto"/>
            </w:tcBorders>
          </w:tcPr>
          <w:p w14:paraId="69BD937B" w14:textId="77777777" w:rsidR="009E30E5" w:rsidRDefault="005F3E72" w:rsidP="009E30E5">
            <w:pPr>
              <w:pStyle w:val="TableText"/>
            </w:pPr>
            <w:r>
              <w:t>–</w:t>
            </w:r>
          </w:p>
        </w:tc>
        <w:tc>
          <w:tcPr>
            <w:tcW w:w="3020" w:type="dxa"/>
            <w:tcBorders>
              <w:top w:val="single" w:sz="4" w:space="0" w:color="auto"/>
            </w:tcBorders>
          </w:tcPr>
          <w:p w14:paraId="28CFBE5C" w14:textId="77777777" w:rsidR="009E30E5" w:rsidRDefault="00D17C18" w:rsidP="009E30E5">
            <w:pPr>
              <w:pStyle w:val="TableText"/>
            </w:pPr>
            <w:r>
              <w:t>–</w:t>
            </w:r>
          </w:p>
        </w:tc>
        <w:tc>
          <w:tcPr>
            <w:tcW w:w="3020" w:type="dxa"/>
            <w:tcBorders>
              <w:top w:val="single" w:sz="4" w:space="0" w:color="auto"/>
            </w:tcBorders>
          </w:tcPr>
          <w:p w14:paraId="44C69FBF" w14:textId="77777777" w:rsidR="009E30E5" w:rsidRDefault="00D17C18" w:rsidP="009E30E5">
            <w:pPr>
              <w:pStyle w:val="TableText"/>
            </w:pPr>
            <w:r>
              <w:t>–</w:t>
            </w:r>
          </w:p>
        </w:tc>
      </w:tr>
      <w:tr w:rsidR="009E30E5" w14:paraId="1162AAEB" w14:textId="77777777" w:rsidTr="009E30E5">
        <w:tc>
          <w:tcPr>
            <w:tcW w:w="3020" w:type="dxa"/>
          </w:tcPr>
          <w:p w14:paraId="63D4615D" w14:textId="77777777" w:rsidR="009E30E5" w:rsidRDefault="00D17C18" w:rsidP="009E30E5">
            <w:pPr>
              <w:pStyle w:val="TableText"/>
            </w:pPr>
            <w:r>
              <w:t>–</w:t>
            </w:r>
          </w:p>
        </w:tc>
        <w:tc>
          <w:tcPr>
            <w:tcW w:w="3020" w:type="dxa"/>
          </w:tcPr>
          <w:p w14:paraId="65A81828" w14:textId="77777777" w:rsidR="009E30E5" w:rsidRDefault="00D17C18" w:rsidP="009E30E5">
            <w:pPr>
              <w:pStyle w:val="TableText"/>
            </w:pPr>
            <w:r>
              <w:t>–</w:t>
            </w:r>
          </w:p>
        </w:tc>
        <w:tc>
          <w:tcPr>
            <w:tcW w:w="3020" w:type="dxa"/>
          </w:tcPr>
          <w:p w14:paraId="7CB39B88" w14:textId="77777777" w:rsidR="009E30E5" w:rsidRDefault="00D17C18" w:rsidP="009E30E5">
            <w:pPr>
              <w:pStyle w:val="TableText"/>
            </w:pPr>
            <w:r>
              <w:t>–</w:t>
            </w:r>
          </w:p>
        </w:tc>
      </w:tr>
    </w:tbl>
    <w:p w14:paraId="1143AC40" w14:textId="5F0D3890" w:rsidR="009E30E5" w:rsidRDefault="009E30E5" w:rsidP="009E30E5"/>
    <w:p w14:paraId="193FE074" w14:textId="42928A72" w:rsidR="00CC1A26" w:rsidRDefault="00CC1A26" w:rsidP="009E30E5"/>
    <w:p w14:paraId="0AD61C1F" w14:textId="77777777" w:rsidR="00CC1A26" w:rsidRPr="009E30E5" w:rsidRDefault="00CC1A26" w:rsidP="009E30E5"/>
    <w:sectPr w:rsidR="00CC1A26" w:rsidRPr="009E30E5" w:rsidSect="002F232F">
      <w:headerReference w:type="even" r:id="rId46"/>
      <w:headerReference w:type="default" r:id="rId47"/>
      <w:footerReference w:type="default" r:id="rId48"/>
      <w:headerReference w:type="first" r:id="rId49"/>
      <w:footerReference w:type="first" r:id="rId50"/>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B044" w14:textId="77777777" w:rsidR="00C77877" w:rsidRDefault="00C77877">
      <w:r>
        <w:separator/>
      </w:r>
    </w:p>
    <w:p w14:paraId="7A75E170" w14:textId="77777777" w:rsidR="00C77877" w:rsidRDefault="00C77877"/>
    <w:p w14:paraId="1756837F" w14:textId="77777777" w:rsidR="00C77877" w:rsidRDefault="00C77877"/>
    <w:p w14:paraId="6CFF51B6" w14:textId="77777777" w:rsidR="00C77877" w:rsidRDefault="00C77877"/>
  </w:endnote>
  <w:endnote w:type="continuationSeparator" w:id="0">
    <w:p w14:paraId="73205C9A" w14:textId="77777777" w:rsidR="00C77877" w:rsidRDefault="00C77877">
      <w:r>
        <w:continuationSeparator/>
      </w:r>
    </w:p>
    <w:p w14:paraId="3B8D7DFA" w14:textId="77777777" w:rsidR="00C77877" w:rsidRDefault="00C77877"/>
    <w:p w14:paraId="3E26A761" w14:textId="77777777" w:rsidR="00C77877" w:rsidRDefault="00C77877"/>
    <w:p w14:paraId="6BEFF99F" w14:textId="77777777" w:rsidR="00C77877" w:rsidRDefault="00C77877"/>
  </w:endnote>
  <w:endnote w:type="continuationNotice" w:id="1">
    <w:p w14:paraId="1B897281" w14:textId="77777777" w:rsidR="00C77877" w:rsidRDefault="00C77877">
      <w:pPr>
        <w:pStyle w:val="Footer"/>
      </w:pPr>
    </w:p>
    <w:p w14:paraId="02FA7A96" w14:textId="77777777" w:rsidR="00C77877" w:rsidRDefault="00C77877"/>
    <w:p w14:paraId="5E3D770D" w14:textId="77777777" w:rsidR="00C77877" w:rsidRDefault="00C77877"/>
    <w:p w14:paraId="770D0E28" w14:textId="77777777" w:rsidR="00C77877" w:rsidRDefault="00C77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360387"/>
      <w:docPartObj>
        <w:docPartGallery w:val="Page Numbers (Bottom of Page)"/>
        <w:docPartUnique/>
      </w:docPartObj>
    </w:sdtPr>
    <w:sdtEndPr>
      <w:rPr>
        <w:noProof/>
      </w:rPr>
    </w:sdtEndPr>
    <w:sdtContent>
      <w:p w14:paraId="56222764" w14:textId="079254A8" w:rsidR="0073329E" w:rsidRDefault="0073329E">
        <w:pPr>
          <w:pStyle w:val="Footer"/>
        </w:pPr>
        <w:r>
          <w:fldChar w:fldCharType="begin"/>
        </w:r>
        <w:r>
          <w:instrText xml:space="preserve"> PAGE   \* MERGEFORMAT </w:instrText>
        </w:r>
        <w:r>
          <w:fldChar w:fldCharType="separate"/>
        </w:r>
        <w:r>
          <w:rPr>
            <w:noProof/>
          </w:rPr>
          <w:t>2</w:t>
        </w:r>
        <w:r>
          <w:rPr>
            <w:noProof/>
          </w:rPr>
          <w:fldChar w:fldCharType="end"/>
        </w:r>
      </w:p>
    </w:sdtContent>
  </w:sdt>
  <w:p w14:paraId="04908F04" w14:textId="062C491E" w:rsidR="0073329E" w:rsidRPr="00334A15" w:rsidRDefault="0073329E" w:rsidP="00251CE6">
    <w:pPr>
      <w:pStyle w:val="Footer"/>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93F4" w14:textId="77777777" w:rsidR="0073329E" w:rsidRDefault="0073329E" w:rsidP="002F232F">
    <w:pPr>
      <w:pStyle w:val="Footer"/>
    </w:pPr>
    <w:r>
      <w:t>Threatened Species Scientific Committee</w:t>
    </w:r>
  </w:p>
  <w:p w14:paraId="188EB875" w14:textId="77777777" w:rsidR="0073329E" w:rsidRDefault="0073329E"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7FA6" w14:textId="77777777" w:rsidR="00C77877" w:rsidRDefault="00C77877">
      <w:r>
        <w:separator/>
      </w:r>
    </w:p>
    <w:p w14:paraId="74C2D1C0" w14:textId="77777777" w:rsidR="00C77877" w:rsidRDefault="00C77877"/>
    <w:p w14:paraId="70F5B9C5" w14:textId="77777777" w:rsidR="00C77877" w:rsidRDefault="00C77877"/>
    <w:p w14:paraId="1DE4A0B2" w14:textId="77777777" w:rsidR="00C77877" w:rsidRDefault="00C77877"/>
  </w:footnote>
  <w:footnote w:type="continuationSeparator" w:id="0">
    <w:p w14:paraId="76949077" w14:textId="77777777" w:rsidR="00C77877" w:rsidRDefault="00C77877">
      <w:r>
        <w:continuationSeparator/>
      </w:r>
    </w:p>
    <w:p w14:paraId="3C772CC7" w14:textId="77777777" w:rsidR="00C77877" w:rsidRDefault="00C77877"/>
    <w:p w14:paraId="42FD9866" w14:textId="77777777" w:rsidR="00C77877" w:rsidRDefault="00C77877"/>
    <w:p w14:paraId="15CC4D2F" w14:textId="77777777" w:rsidR="00C77877" w:rsidRDefault="00C77877"/>
  </w:footnote>
  <w:footnote w:type="continuationNotice" w:id="1">
    <w:p w14:paraId="47E849AF" w14:textId="77777777" w:rsidR="00C77877" w:rsidRDefault="00C77877">
      <w:pPr>
        <w:pStyle w:val="Footer"/>
      </w:pPr>
    </w:p>
    <w:p w14:paraId="355F94F8" w14:textId="77777777" w:rsidR="00C77877" w:rsidRDefault="00C77877"/>
    <w:p w14:paraId="2EE2B221" w14:textId="77777777" w:rsidR="00C77877" w:rsidRDefault="00C77877"/>
    <w:p w14:paraId="49D87321" w14:textId="77777777" w:rsidR="00C77877" w:rsidRDefault="00C77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E11C" w14:textId="77777777" w:rsidR="0073329E" w:rsidRDefault="00486B38">
    <w:pPr>
      <w:pStyle w:val="Header"/>
    </w:pPr>
    <w:r>
      <w:rPr>
        <w:noProof/>
      </w:rPr>
      <w:pict w14:anchorId="502B7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2" o:spid="_x0000_s1055" type="#_x0000_t136" style="position:absolute;left:0;text-align:left;margin-left:0;margin-top:0;width:456.7pt;height:182.6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35FF" w14:textId="05B359F1" w:rsidR="0073329E" w:rsidRDefault="00486B38" w:rsidP="008E7C80">
    <w:pPr>
      <w:pStyle w:val="Header"/>
    </w:pPr>
    <w:r>
      <w:rPr>
        <w:i/>
        <w:iCs/>
        <w:noProof/>
      </w:rPr>
      <w:pict w14:anchorId="2EFFD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3" o:spid="_x0000_s1056" type="#_x0000_t136" style="position:absolute;left:0;text-align:left;margin-left:0;margin-top:0;width:456.7pt;height:182.65pt;rotation:315;z-index:-25165823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73329E" w:rsidRPr="0065333B">
      <w:rPr>
        <w:i/>
        <w:iCs/>
      </w:rPr>
      <w:t xml:space="preserve"> </w:t>
    </w:r>
    <w:r w:rsidR="0073329E" w:rsidRPr="0065333B">
      <w:rPr>
        <w:i/>
        <w:iCs/>
        <w:noProof/>
      </w:rPr>
      <w:t>Acacia constablei</w:t>
    </w:r>
    <w:r w:rsidR="0073329E" w:rsidRPr="0065333B">
      <w:rPr>
        <w:noProof/>
      </w:rPr>
      <w:t xml:space="preserve"> (Narrabarba wattle)</w:t>
    </w:r>
    <w:r w:rsidR="0073329E">
      <w:t xml:space="preserve">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5B50" w14:textId="77777777" w:rsidR="0073329E" w:rsidRPr="003E30FD" w:rsidRDefault="00486B38" w:rsidP="005208A6">
    <w:pPr>
      <w:pStyle w:val="Header"/>
      <w:rPr>
        <w:sz w:val="28"/>
        <w:szCs w:val="28"/>
        <w14:shadow w14:blurRad="50800" w14:dist="38100" w14:dir="2700000" w14:sx="100000" w14:sy="100000" w14:kx="0" w14:ky="0" w14:algn="tl">
          <w14:srgbClr w14:val="000000">
            <w14:alpha w14:val="60000"/>
          </w14:srgbClr>
        </w14:shadow>
      </w:rPr>
    </w:pPr>
    <w:r>
      <w:rPr>
        <w:noProof/>
      </w:rPr>
      <w:pict w14:anchorId="291BB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1" o:spid="_x0000_s1054" type="#_x0000_t136" style="position:absolute;left:0;text-align:left;margin-left:0;margin-top:0;width:456.7pt;height:182.6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73329E"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4063E6F3" w14:textId="77777777" w:rsidR="0073329E" w:rsidRPr="00D728A1" w:rsidRDefault="0073329E"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539FDEC7" w14:textId="77777777" w:rsidR="0073329E" w:rsidRDefault="0073329E" w:rsidP="00B66CC6">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9997BB3"/>
    <w:multiLevelType w:val="hybridMultilevel"/>
    <w:tmpl w:val="1E02A1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F93FC2"/>
    <w:multiLevelType w:val="multilevel"/>
    <w:tmpl w:val="8C52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AA2430A"/>
    <w:multiLevelType w:val="multilevel"/>
    <w:tmpl w:val="24EC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9"/>
  </w:num>
  <w:num w:numId="2">
    <w:abstractNumId w:val="3"/>
  </w:num>
  <w:num w:numId="3">
    <w:abstractNumId w:val="12"/>
  </w:num>
  <w:num w:numId="4">
    <w:abstractNumId w:val="14"/>
  </w:num>
  <w:num w:numId="5">
    <w:abstractNumId w:val="5"/>
  </w:num>
  <w:num w:numId="6">
    <w:abstractNumId w:val="11"/>
  </w:num>
  <w:num w:numId="7">
    <w:abstractNumId w:val="4"/>
  </w:num>
  <w:num w:numId="8">
    <w:abstractNumId w:val="10"/>
  </w:num>
  <w:num w:numId="9">
    <w:abstractNumId w:val="1"/>
  </w:num>
  <w:num w:numId="10">
    <w:abstractNumId w:val="12"/>
  </w:num>
  <w:num w:numId="11">
    <w:abstractNumId w:val="12"/>
  </w:num>
  <w:num w:numId="12">
    <w:abstractNumId w:val="3"/>
  </w:num>
  <w:num w:numId="13">
    <w:abstractNumId w:val="6"/>
  </w:num>
  <w:num w:numId="14">
    <w:abstractNumId w:val="13"/>
  </w:num>
  <w:num w:numId="15">
    <w:abstractNumId w:val="8"/>
  </w:num>
  <w:num w:numId="16">
    <w:abstractNumId w:val="7"/>
  </w:num>
  <w:num w:numId="17">
    <w:abstractNumId w:val="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DD"/>
    <w:rsid w:val="000007FB"/>
    <w:rsid w:val="00000AC3"/>
    <w:rsid w:val="000011D8"/>
    <w:rsid w:val="000042DA"/>
    <w:rsid w:val="000051DE"/>
    <w:rsid w:val="000057F8"/>
    <w:rsid w:val="0000751A"/>
    <w:rsid w:val="000075C7"/>
    <w:rsid w:val="00007955"/>
    <w:rsid w:val="00010D07"/>
    <w:rsid w:val="00010EBA"/>
    <w:rsid w:val="00011244"/>
    <w:rsid w:val="00011E4D"/>
    <w:rsid w:val="0001229B"/>
    <w:rsid w:val="0001339B"/>
    <w:rsid w:val="00015EAE"/>
    <w:rsid w:val="000202F4"/>
    <w:rsid w:val="000213FD"/>
    <w:rsid w:val="00022C5C"/>
    <w:rsid w:val="00023060"/>
    <w:rsid w:val="00023FB0"/>
    <w:rsid w:val="0002419A"/>
    <w:rsid w:val="00024C2B"/>
    <w:rsid w:val="00025619"/>
    <w:rsid w:val="000272C8"/>
    <w:rsid w:val="000314FD"/>
    <w:rsid w:val="00033701"/>
    <w:rsid w:val="000341E0"/>
    <w:rsid w:val="00034F88"/>
    <w:rsid w:val="0003645E"/>
    <w:rsid w:val="000378A4"/>
    <w:rsid w:val="00037E15"/>
    <w:rsid w:val="00040531"/>
    <w:rsid w:val="00041499"/>
    <w:rsid w:val="00042673"/>
    <w:rsid w:val="00044FCC"/>
    <w:rsid w:val="00045361"/>
    <w:rsid w:val="0004550E"/>
    <w:rsid w:val="00045CEC"/>
    <w:rsid w:val="00047161"/>
    <w:rsid w:val="000472ED"/>
    <w:rsid w:val="00052FE5"/>
    <w:rsid w:val="000543D3"/>
    <w:rsid w:val="00055AFD"/>
    <w:rsid w:val="000561FA"/>
    <w:rsid w:val="00057676"/>
    <w:rsid w:val="0006114D"/>
    <w:rsid w:val="00063C71"/>
    <w:rsid w:val="00063E78"/>
    <w:rsid w:val="000642DF"/>
    <w:rsid w:val="00064A28"/>
    <w:rsid w:val="00065F4B"/>
    <w:rsid w:val="0006679B"/>
    <w:rsid w:val="000700D7"/>
    <w:rsid w:val="00071129"/>
    <w:rsid w:val="0007141C"/>
    <w:rsid w:val="0007233A"/>
    <w:rsid w:val="00073C60"/>
    <w:rsid w:val="0007404C"/>
    <w:rsid w:val="00080AC9"/>
    <w:rsid w:val="000814E0"/>
    <w:rsid w:val="00081B46"/>
    <w:rsid w:val="00082347"/>
    <w:rsid w:val="000835A0"/>
    <w:rsid w:val="00083EF7"/>
    <w:rsid w:val="0008478C"/>
    <w:rsid w:val="00085069"/>
    <w:rsid w:val="0008655C"/>
    <w:rsid w:val="000907ED"/>
    <w:rsid w:val="00094C09"/>
    <w:rsid w:val="00094F22"/>
    <w:rsid w:val="000959C5"/>
    <w:rsid w:val="00095B65"/>
    <w:rsid w:val="00096E21"/>
    <w:rsid w:val="00097167"/>
    <w:rsid w:val="00097670"/>
    <w:rsid w:val="000A4134"/>
    <w:rsid w:val="000A5C2B"/>
    <w:rsid w:val="000A6133"/>
    <w:rsid w:val="000A68DC"/>
    <w:rsid w:val="000A722E"/>
    <w:rsid w:val="000A79AA"/>
    <w:rsid w:val="000B0E43"/>
    <w:rsid w:val="000B1BB8"/>
    <w:rsid w:val="000B546D"/>
    <w:rsid w:val="000B5E97"/>
    <w:rsid w:val="000B7CE7"/>
    <w:rsid w:val="000C1AC9"/>
    <w:rsid w:val="000C3711"/>
    <w:rsid w:val="000C4AE7"/>
    <w:rsid w:val="000C55A6"/>
    <w:rsid w:val="000C63AB"/>
    <w:rsid w:val="000C6797"/>
    <w:rsid w:val="000C7486"/>
    <w:rsid w:val="000D028E"/>
    <w:rsid w:val="000D1830"/>
    <w:rsid w:val="000D2390"/>
    <w:rsid w:val="000D3DA6"/>
    <w:rsid w:val="000D51F3"/>
    <w:rsid w:val="000D55BC"/>
    <w:rsid w:val="000D5CAA"/>
    <w:rsid w:val="000D717B"/>
    <w:rsid w:val="000D738D"/>
    <w:rsid w:val="000D7FAF"/>
    <w:rsid w:val="000E0830"/>
    <w:rsid w:val="000E196C"/>
    <w:rsid w:val="000E3BB5"/>
    <w:rsid w:val="000E41D9"/>
    <w:rsid w:val="000E630E"/>
    <w:rsid w:val="000E690C"/>
    <w:rsid w:val="000E699F"/>
    <w:rsid w:val="000F018A"/>
    <w:rsid w:val="000F194B"/>
    <w:rsid w:val="000F30DC"/>
    <w:rsid w:val="000F3D21"/>
    <w:rsid w:val="000F55CC"/>
    <w:rsid w:val="000F615D"/>
    <w:rsid w:val="000F6D5A"/>
    <w:rsid w:val="000F6F03"/>
    <w:rsid w:val="00101AAD"/>
    <w:rsid w:val="001020A6"/>
    <w:rsid w:val="001028E4"/>
    <w:rsid w:val="00102FDA"/>
    <w:rsid w:val="00104823"/>
    <w:rsid w:val="0010557C"/>
    <w:rsid w:val="00105970"/>
    <w:rsid w:val="001061F7"/>
    <w:rsid w:val="0010688E"/>
    <w:rsid w:val="001112AB"/>
    <w:rsid w:val="00114207"/>
    <w:rsid w:val="00114881"/>
    <w:rsid w:val="001161B4"/>
    <w:rsid w:val="0011667C"/>
    <w:rsid w:val="00117E48"/>
    <w:rsid w:val="001200FA"/>
    <w:rsid w:val="00120A71"/>
    <w:rsid w:val="00120CED"/>
    <w:rsid w:val="0012122B"/>
    <w:rsid w:val="001231F3"/>
    <w:rsid w:val="0012461E"/>
    <w:rsid w:val="00127671"/>
    <w:rsid w:val="00127FCD"/>
    <w:rsid w:val="00130A0B"/>
    <w:rsid w:val="00132274"/>
    <w:rsid w:val="00133292"/>
    <w:rsid w:val="001376F1"/>
    <w:rsid w:val="00137F5A"/>
    <w:rsid w:val="001414F8"/>
    <w:rsid w:val="0014173E"/>
    <w:rsid w:val="00142AE7"/>
    <w:rsid w:val="00145862"/>
    <w:rsid w:val="00145DB1"/>
    <w:rsid w:val="00147DB7"/>
    <w:rsid w:val="001506BA"/>
    <w:rsid w:val="00151F7B"/>
    <w:rsid w:val="00152C3D"/>
    <w:rsid w:val="0015338B"/>
    <w:rsid w:val="001536D3"/>
    <w:rsid w:val="00153D62"/>
    <w:rsid w:val="00154B5B"/>
    <w:rsid w:val="00155AED"/>
    <w:rsid w:val="00155BA9"/>
    <w:rsid w:val="00155F62"/>
    <w:rsid w:val="001573B8"/>
    <w:rsid w:val="0015748F"/>
    <w:rsid w:val="00157556"/>
    <w:rsid w:val="0016081E"/>
    <w:rsid w:val="00160900"/>
    <w:rsid w:val="00161C3D"/>
    <w:rsid w:val="00161E8C"/>
    <w:rsid w:val="001633F4"/>
    <w:rsid w:val="001647CE"/>
    <w:rsid w:val="00165364"/>
    <w:rsid w:val="00166185"/>
    <w:rsid w:val="00170795"/>
    <w:rsid w:val="001715F4"/>
    <w:rsid w:val="00172CCD"/>
    <w:rsid w:val="00172CFB"/>
    <w:rsid w:val="001730F5"/>
    <w:rsid w:val="001737CA"/>
    <w:rsid w:val="001739A8"/>
    <w:rsid w:val="00174986"/>
    <w:rsid w:val="00177744"/>
    <w:rsid w:val="0017795A"/>
    <w:rsid w:val="00180329"/>
    <w:rsid w:val="0018058D"/>
    <w:rsid w:val="00181850"/>
    <w:rsid w:val="001821D1"/>
    <w:rsid w:val="00182689"/>
    <w:rsid w:val="0018452F"/>
    <w:rsid w:val="00186635"/>
    <w:rsid w:val="001923E3"/>
    <w:rsid w:val="00194059"/>
    <w:rsid w:val="0019598A"/>
    <w:rsid w:val="001A0FF1"/>
    <w:rsid w:val="001A1093"/>
    <w:rsid w:val="001A1A41"/>
    <w:rsid w:val="001A1FA3"/>
    <w:rsid w:val="001A2D13"/>
    <w:rsid w:val="001A3C77"/>
    <w:rsid w:val="001A4869"/>
    <w:rsid w:val="001A569E"/>
    <w:rsid w:val="001A69FE"/>
    <w:rsid w:val="001A6BC8"/>
    <w:rsid w:val="001B077B"/>
    <w:rsid w:val="001B1578"/>
    <w:rsid w:val="001B15CB"/>
    <w:rsid w:val="001B19FD"/>
    <w:rsid w:val="001B29E3"/>
    <w:rsid w:val="001B2BE2"/>
    <w:rsid w:val="001B3F20"/>
    <w:rsid w:val="001B441B"/>
    <w:rsid w:val="001B55AE"/>
    <w:rsid w:val="001B6655"/>
    <w:rsid w:val="001B729C"/>
    <w:rsid w:val="001C0493"/>
    <w:rsid w:val="001C05EC"/>
    <w:rsid w:val="001C1283"/>
    <w:rsid w:val="001C176B"/>
    <w:rsid w:val="001C31E1"/>
    <w:rsid w:val="001C3F42"/>
    <w:rsid w:val="001C59DB"/>
    <w:rsid w:val="001C5BAF"/>
    <w:rsid w:val="001C68B0"/>
    <w:rsid w:val="001C7420"/>
    <w:rsid w:val="001C7BF3"/>
    <w:rsid w:val="001C7F43"/>
    <w:rsid w:val="001D0803"/>
    <w:rsid w:val="001D0EDA"/>
    <w:rsid w:val="001D2591"/>
    <w:rsid w:val="001D4A1A"/>
    <w:rsid w:val="001D7617"/>
    <w:rsid w:val="001D7E7F"/>
    <w:rsid w:val="001E04E7"/>
    <w:rsid w:val="001E17D5"/>
    <w:rsid w:val="001E186B"/>
    <w:rsid w:val="001E3289"/>
    <w:rsid w:val="001E38E6"/>
    <w:rsid w:val="001E4765"/>
    <w:rsid w:val="001E5131"/>
    <w:rsid w:val="001E68C4"/>
    <w:rsid w:val="001E6D0A"/>
    <w:rsid w:val="001E7C8D"/>
    <w:rsid w:val="001E7D47"/>
    <w:rsid w:val="001F0544"/>
    <w:rsid w:val="001F12CC"/>
    <w:rsid w:val="001F1C51"/>
    <w:rsid w:val="001F1F34"/>
    <w:rsid w:val="001F294D"/>
    <w:rsid w:val="001F6329"/>
    <w:rsid w:val="00200175"/>
    <w:rsid w:val="00202562"/>
    <w:rsid w:val="002056AD"/>
    <w:rsid w:val="00207791"/>
    <w:rsid w:val="00211A51"/>
    <w:rsid w:val="00212644"/>
    <w:rsid w:val="0021433D"/>
    <w:rsid w:val="00216BA8"/>
    <w:rsid w:val="00221209"/>
    <w:rsid w:val="0022142B"/>
    <w:rsid w:val="00222A73"/>
    <w:rsid w:val="00223138"/>
    <w:rsid w:val="00224D09"/>
    <w:rsid w:val="002269EF"/>
    <w:rsid w:val="00226F4C"/>
    <w:rsid w:val="0023010D"/>
    <w:rsid w:val="002319AB"/>
    <w:rsid w:val="002319D6"/>
    <w:rsid w:val="00232977"/>
    <w:rsid w:val="00232E31"/>
    <w:rsid w:val="00237B40"/>
    <w:rsid w:val="00237FDF"/>
    <w:rsid w:val="00243014"/>
    <w:rsid w:val="0024549B"/>
    <w:rsid w:val="002465BE"/>
    <w:rsid w:val="00250B82"/>
    <w:rsid w:val="00251CE6"/>
    <w:rsid w:val="00251F5A"/>
    <w:rsid w:val="00252237"/>
    <w:rsid w:val="00252454"/>
    <w:rsid w:val="002526DD"/>
    <w:rsid w:val="00254CEA"/>
    <w:rsid w:val="00256A28"/>
    <w:rsid w:val="00260CFA"/>
    <w:rsid w:val="0026178E"/>
    <w:rsid w:val="002626C8"/>
    <w:rsid w:val="00266C2B"/>
    <w:rsid w:val="00266DC5"/>
    <w:rsid w:val="0026779A"/>
    <w:rsid w:val="00270D1A"/>
    <w:rsid w:val="002717D8"/>
    <w:rsid w:val="002725C9"/>
    <w:rsid w:val="002728CE"/>
    <w:rsid w:val="00272B7B"/>
    <w:rsid w:val="002737B0"/>
    <w:rsid w:val="00273CA5"/>
    <w:rsid w:val="00274B8A"/>
    <w:rsid w:val="00276E5C"/>
    <w:rsid w:val="002778E4"/>
    <w:rsid w:val="00277AED"/>
    <w:rsid w:val="002802A2"/>
    <w:rsid w:val="002803B8"/>
    <w:rsid w:val="002805E4"/>
    <w:rsid w:val="00280857"/>
    <w:rsid w:val="0028144F"/>
    <w:rsid w:val="0028148E"/>
    <w:rsid w:val="0028163E"/>
    <w:rsid w:val="002825B4"/>
    <w:rsid w:val="00282859"/>
    <w:rsid w:val="002834EC"/>
    <w:rsid w:val="00283E70"/>
    <w:rsid w:val="0028483D"/>
    <w:rsid w:val="00284E69"/>
    <w:rsid w:val="0028601D"/>
    <w:rsid w:val="00286A76"/>
    <w:rsid w:val="00286E84"/>
    <w:rsid w:val="002906BC"/>
    <w:rsid w:val="00291107"/>
    <w:rsid w:val="00291154"/>
    <w:rsid w:val="00291C35"/>
    <w:rsid w:val="0029281C"/>
    <w:rsid w:val="00292F01"/>
    <w:rsid w:val="0029531A"/>
    <w:rsid w:val="0029637B"/>
    <w:rsid w:val="00297049"/>
    <w:rsid w:val="002970BE"/>
    <w:rsid w:val="0029756F"/>
    <w:rsid w:val="002A0B5E"/>
    <w:rsid w:val="002A0DC1"/>
    <w:rsid w:val="002A3D6F"/>
    <w:rsid w:val="002A4C30"/>
    <w:rsid w:val="002A52F1"/>
    <w:rsid w:val="002A6BDE"/>
    <w:rsid w:val="002A74BF"/>
    <w:rsid w:val="002A7652"/>
    <w:rsid w:val="002B01EE"/>
    <w:rsid w:val="002B134C"/>
    <w:rsid w:val="002B1F3E"/>
    <w:rsid w:val="002B69E4"/>
    <w:rsid w:val="002B6A3F"/>
    <w:rsid w:val="002B76C9"/>
    <w:rsid w:val="002C0AD0"/>
    <w:rsid w:val="002C3980"/>
    <w:rsid w:val="002C3F5C"/>
    <w:rsid w:val="002C5E2F"/>
    <w:rsid w:val="002C6C03"/>
    <w:rsid w:val="002C793E"/>
    <w:rsid w:val="002D12E1"/>
    <w:rsid w:val="002D28E2"/>
    <w:rsid w:val="002D49CF"/>
    <w:rsid w:val="002E1A84"/>
    <w:rsid w:val="002E2A02"/>
    <w:rsid w:val="002E31FA"/>
    <w:rsid w:val="002E32CA"/>
    <w:rsid w:val="002E34B7"/>
    <w:rsid w:val="002E3BA0"/>
    <w:rsid w:val="002F1B4C"/>
    <w:rsid w:val="002F232F"/>
    <w:rsid w:val="002F2973"/>
    <w:rsid w:val="002F345B"/>
    <w:rsid w:val="002F34D8"/>
    <w:rsid w:val="002F3AEA"/>
    <w:rsid w:val="002F3C96"/>
    <w:rsid w:val="002F4C9D"/>
    <w:rsid w:val="002F4DAD"/>
    <w:rsid w:val="002F54BD"/>
    <w:rsid w:val="002F5B68"/>
    <w:rsid w:val="002F66D4"/>
    <w:rsid w:val="002F6E20"/>
    <w:rsid w:val="002F7DA0"/>
    <w:rsid w:val="0030006B"/>
    <w:rsid w:val="003006A3"/>
    <w:rsid w:val="00302E1D"/>
    <w:rsid w:val="00302E66"/>
    <w:rsid w:val="00302F57"/>
    <w:rsid w:val="0030306A"/>
    <w:rsid w:val="003045A0"/>
    <w:rsid w:val="00310B23"/>
    <w:rsid w:val="003113EE"/>
    <w:rsid w:val="003125D6"/>
    <w:rsid w:val="00312BDC"/>
    <w:rsid w:val="00315D53"/>
    <w:rsid w:val="00315F32"/>
    <w:rsid w:val="003169DD"/>
    <w:rsid w:val="00316F49"/>
    <w:rsid w:val="003211AD"/>
    <w:rsid w:val="00322655"/>
    <w:rsid w:val="00323378"/>
    <w:rsid w:val="00323AD5"/>
    <w:rsid w:val="00323C50"/>
    <w:rsid w:val="00325F8B"/>
    <w:rsid w:val="003338D6"/>
    <w:rsid w:val="00334A15"/>
    <w:rsid w:val="00337360"/>
    <w:rsid w:val="003415D9"/>
    <w:rsid w:val="003437D5"/>
    <w:rsid w:val="0034440C"/>
    <w:rsid w:val="003445EF"/>
    <w:rsid w:val="00344617"/>
    <w:rsid w:val="00346541"/>
    <w:rsid w:val="00346CD7"/>
    <w:rsid w:val="00347206"/>
    <w:rsid w:val="003507F5"/>
    <w:rsid w:val="00351E68"/>
    <w:rsid w:val="00354C29"/>
    <w:rsid w:val="003558BA"/>
    <w:rsid w:val="00355F1B"/>
    <w:rsid w:val="003607B9"/>
    <w:rsid w:val="00360ACE"/>
    <w:rsid w:val="003641C8"/>
    <w:rsid w:val="0036479E"/>
    <w:rsid w:val="00366219"/>
    <w:rsid w:val="00366F04"/>
    <w:rsid w:val="0036721F"/>
    <w:rsid w:val="00370117"/>
    <w:rsid w:val="00371AD8"/>
    <w:rsid w:val="0037602E"/>
    <w:rsid w:val="00382240"/>
    <w:rsid w:val="00382EB5"/>
    <w:rsid w:val="003833F4"/>
    <w:rsid w:val="0038356D"/>
    <w:rsid w:val="00383D4D"/>
    <w:rsid w:val="003844EE"/>
    <w:rsid w:val="003874AC"/>
    <w:rsid w:val="00387E7C"/>
    <w:rsid w:val="003905A7"/>
    <w:rsid w:val="0039336C"/>
    <w:rsid w:val="00394AB6"/>
    <w:rsid w:val="00395CFA"/>
    <w:rsid w:val="003A06CA"/>
    <w:rsid w:val="003A0A84"/>
    <w:rsid w:val="003A2DB7"/>
    <w:rsid w:val="003A4214"/>
    <w:rsid w:val="003A6771"/>
    <w:rsid w:val="003A7DAC"/>
    <w:rsid w:val="003A7E69"/>
    <w:rsid w:val="003B1A0E"/>
    <w:rsid w:val="003B2A51"/>
    <w:rsid w:val="003B37C6"/>
    <w:rsid w:val="003B5E74"/>
    <w:rsid w:val="003B6ABF"/>
    <w:rsid w:val="003B7E7C"/>
    <w:rsid w:val="003C4259"/>
    <w:rsid w:val="003C445C"/>
    <w:rsid w:val="003C7B5E"/>
    <w:rsid w:val="003C7C31"/>
    <w:rsid w:val="003D0ADB"/>
    <w:rsid w:val="003D14D5"/>
    <w:rsid w:val="003D64D0"/>
    <w:rsid w:val="003E1291"/>
    <w:rsid w:val="003E2A89"/>
    <w:rsid w:val="003E2F67"/>
    <w:rsid w:val="003E30FD"/>
    <w:rsid w:val="003E3909"/>
    <w:rsid w:val="003E5E90"/>
    <w:rsid w:val="003E6102"/>
    <w:rsid w:val="003E627F"/>
    <w:rsid w:val="003E77D1"/>
    <w:rsid w:val="003E79F2"/>
    <w:rsid w:val="003F22EA"/>
    <w:rsid w:val="003F41E5"/>
    <w:rsid w:val="003F4E9C"/>
    <w:rsid w:val="003F510C"/>
    <w:rsid w:val="003F60E2"/>
    <w:rsid w:val="003F6EE8"/>
    <w:rsid w:val="0040031A"/>
    <w:rsid w:val="00400468"/>
    <w:rsid w:val="00400494"/>
    <w:rsid w:val="00401E84"/>
    <w:rsid w:val="0040258A"/>
    <w:rsid w:val="0040369D"/>
    <w:rsid w:val="004037B8"/>
    <w:rsid w:val="00405576"/>
    <w:rsid w:val="004059AD"/>
    <w:rsid w:val="00406B94"/>
    <w:rsid w:val="00412830"/>
    <w:rsid w:val="004132D6"/>
    <w:rsid w:val="0041495E"/>
    <w:rsid w:val="00415563"/>
    <w:rsid w:val="004155CA"/>
    <w:rsid w:val="00420E21"/>
    <w:rsid w:val="004218F0"/>
    <w:rsid w:val="00421E71"/>
    <w:rsid w:val="00421FA6"/>
    <w:rsid w:val="004225F4"/>
    <w:rsid w:val="004231AC"/>
    <w:rsid w:val="004233BE"/>
    <w:rsid w:val="004233F7"/>
    <w:rsid w:val="004236E0"/>
    <w:rsid w:val="0042386C"/>
    <w:rsid w:val="004247E0"/>
    <w:rsid w:val="004259EC"/>
    <w:rsid w:val="00425D12"/>
    <w:rsid w:val="004263D2"/>
    <w:rsid w:val="0042728D"/>
    <w:rsid w:val="004304B4"/>
    <w:rsid w:val="0043083A"/>
    <w:rsid w:val="00432BB0"/>
    <w:rsid w:val="00433495"/>
    <w:rsid w:val="0043513C"/>
    <w:rsid w:val="00436502"/>
    <w:rsid w:val="00436882"/>
    <w:rsid w:val="00437E66"/>
    <w:rsid w:val="00440C79"/>
    <w:rsid w:val="004414E2"/>
    <w:rsid w:val="0044181B"/>
    <w:rsid w:val="0044391F"/>
    <w:rsid w:val="00450727"/>
    <w:rsid w:val="00454E06"/>
    <w:rsid w:val="00456505"/>
    <w:rsid w:val="00456A1C"/>
    <w:rsid w:val="00456A1E"/>
    <w:rsid w:val="00460727"/>
    <w:rsid w:val="00460C44"/>
    <w:rsid w:val="00460D54"/>
    <w:rsid w:val="00460F8B"/>
    <w:rsid w:val="0046168A"/>
    <w:rsid w:val="00467C4F"/>
    <w:rsid w:val="004713AD"/>
    <w:rsid w:val="004716D9"/>
    <w:rsid w:val="00473104"/>
    <w:rsid w:val="00473DF9"/>
    <w:rsid w:val="00475585"/>
    <w:rsid w:val="00475FF3"/>
    <w:rsid w:val="00476948"/>
    <w:rsid w:val="00480C78"/>
    <w:rsid w:val="00481223"/>
    <w:rsid w:val="00482558"/>
    <w:rsid w:val="00484A0C"/>
    <w:rsid w:val="00485392"/>
    <w:rsid w:val="00486B38"/>
    <w:rsid w:val="00486C20"/>
    <w:rsid w:val="004905CD"/>
    <w:rsid w:val="00492C3D"/>
    <w:rsid w:val="00493F53"/>
    <w:rsid w:val="00494122"/>
    <w:rsid w:val="0049477E"/>
    <w:rsid w:val="00494E86"/>
    <w:rsid w:val="00495E8B"/>
    <w:rsid w:val="00496EE7"/>
    <w:rsid w:val="00497BCE"/>
    <w:rsid w:val="004A0DA5"/>
    <w:rsid w:val="004A3350"/>
    <w:rsid w:val="004A6B9E"/>
    <w:rsid w:val="004A71C9"/>
    <w:rsid w:val="004B0577"/>
    <w:rsid w:val="004B06F9"/>
    <w:rsid w:val="004B1469"/>
    <w:rsid w:val="004B2CFA"/>
    <w:rsid w:val="004B3170"/>
    <w:rsid w:val="004B31C3"/>
    <w:rsid w:val="004B32AB"/>
    <w:rsid w:val="004B38BC"/>
    <w:rsid w:val="004B3FEA"/>
    <w:rsid w:val="004B4A69"/>
    <w:rsid w:val="004B5430"/>
    <w:rsid w:val="004C14D0"/>
    <w:rsid w:val="004C25B8"/>
    <w:rsid w:val="004C3033"/>
    <w:rsid w:val="004C380C"/>
    <w:rsid w:val="004C4253"/>
    <w:rsid w:val="004C4538"/>
    <w:rsid w:val="004C49CE"/>
    <w:rsid w:val="004C531D"/>
    <w:rsid w:val="004C6006"/>
    <w:rsid w:val="004C6D5B"/>
    <w:rsid w:val="004C72D6"/>
    <w:rsid w:val="004C77BF"/>
    <w:rsid w:val="004C7CA9"/>
    <w:rsid w:val="004C7CCC"/>
    <w:rsid w:val="004C7F78"/>
    <w:rsid w:val="004D0400"/>
    <w:rsid w:val="004D1083"/>
    <w:rsid w:val="004D2790"/>
    <w:rsid w:val="004D2E53"/>
    <w:rsid w:val="004D48AF"/>
    <w:rsid w:val="004D4959"/>
    <w:rsid w:val="004D4A89"/>
    <w:rsid w:val="004D584C"/>
    <w:rsid w:val="004D61C9"/>
    <w:rsid w:val="004E0E1E"/>
    <w:rsid w:val="004E12EB"/>
    <w:rsid w:val="004E2AAD"/>
    <w:rsid w:val="004E4CCE"/>
    <w:rsid w:val="004E51DB"/>
    <w:rsid w:val="004E59E9"/>
    <w:rsid w:val="004E5E52"/>
    <w:rsid w:val="004E60AB"/>
    <w:rsid w:val="004E7AAB"/>
    <w:rsid w:val="004F25D5"/>
    <w:rsid w:val="004F32AB"/>
    <w:rsid w:val="004F412F"/>
    <w:rsid w:val="004F5120"/>
    <w:rsid w:val="004F5429"/>
    <w:rsid w:val="004F6767"/>
    <w:rsid w:val="0050079E"/>
    <w:rsid w:val="00501322"/>
    <w:rsid w:val="00501D99"/>
    <w:rsid w:val="005033A2"/>
    <w:rsid w:val="0050438E"/>
    <w:rsid w:val="00504684"/>
    <w:rsid w:val="00504740"/>
    <w:rsid w:val="00504942"/>
    <w:rsid w:val="00504E67"/>
    <w:rsid w:val="0050535B"/>
    <w:rsid w:val="0050545D"/>
    <w:rsid w:val="0050586B"/>
    <w:rsid w:val="005059FD"/>
    <w:rsid w:val="00507B95"/>
    <w:rsid w:val="00510B20"/>
    <w:rsid w:val="00510CEA"/>
    <w:rsid w:val="0051202F"/>
    <w:rsid w:val="00512081"/>
    <w:rsid w:val="00513053"/>
    <w:rsid w:val="00514A37"/>
    <w:rsid w:val="0051701F"/>
    <w:rsid w:val="005171E6"/>
    <w:rsid w:val="0052048E"/>
    <w:rsid w:val="005208A6"/>
    <w:rsid w:val="005219AD"/>
    <w:rsid w:val="005229BC"/>
    <w:rsid w:val="00523366"/>
    <w:rsid w:val="00523722"/>
    <w:rsid w:val="0052387A"/>
    <w:rsid w:val="0052609E"/>
    <w:rsid w:val="00526902"/>
    <w:rsid w:val="0052763A"/>
    <w:rsid w:val="00527915"/>
    <w:rsid w:val="00527B48"/>
    <w:rsid w:val="005306BA"/>
    <w:rsid w:val="00531321"/>
    <w:rsid w:val="00531AA0"/>
    <w:rsid w:val="00531B09"/>
    <w:rsid w:val="005329F8"/>
    <w:rsid w:val="0053381D"/>
    <w:rsid w:val="0053584B"/>
    <w:rsid w:val="00537742"/>
    <w:rsid w:val="005378C2"/>
    <w:rsid w:val="00537D84"/>
    <w:rsid w:val="00540EBD"/>
    <w:rsid w:val="0054145C"/>
    <w:rsid w:val="0054151D"/>
    <w:rsid w:val="00541778"/>
    <w:rsid w:val="00543459"/>
    <w:rsid w:val="00543C07"/>
    <w:rsid w:val="00544210"/>
    <w:rsid w:val="0054559E"/>
    <w:rsid w:val="00546C7C"/>
    <w:rsid w:val="00547901"/>
    <w:rsid w:val="0055033C"/>
    <w:rsid w:val="00550B60"/>
    <w:rsid w:val="00551A0A"/>
    <w:rsid w:val="005568E4"/>
    <w:rsid w:val="00557876"/>
    <w:rsid w:val="0056348C"/>
    <w:rsid w:val="00563809"/>
    <w:rsid w:val="0056396C"/>
    <w:rsid w:val="0056441A"/>
    <w:rsid w:val="00564B2A"/>
    <w:rsid w:val="00564C0C"/>
    <w:rsid w:val="00565F5A"/>
    <w:rsid w:val="00571934"/>
    <w:rsid w:val="005729AE"/>
    <w:rsid w:val="00573B2C"/>
    <w:rsid w:val="005751D8"/>
    <w:rsid w:val="005775D1"/>
    <w:rsid w:val="00580CAA"/>
    <w:rsid w:val="0058168E"/>
    <w:rsid w:val="00581F19"/>
    <w:rsid w:val="00582BE5"/>
    <w:rsid w:val="005854DF"/>
    <w:rsid w:val="0058583E"/>
    <w:rsid w:val="0059085B"/>
    <w:rsid w:val="00590A81"/>
    <w:rsid w:val="00590E2A"/>
    <w:rsid w:val="00592B44"/>
    <w:rsid w:val="0059428E"/>
    <w:rsid w:val="00594906"/>
    <w:rsid w:val="005960E3"/>
    <w:rsid w:val="0059715A"/>
    <w:rsid w:val="0059777E"/>
    <w:rsid w:val="00597FC4"/>
    <w:rsid w:val="005A02CB"/>
    <w:rsid w:val="005A3DAB"/>
    <w:rsid w:val="005A5154"/>
    <w:rsid w:val="005B1C46"/>
    <w:rsid w:val="005B2DA0"/>
    <w:rsid w:val="005B2F0B"/>
    <w:rsid w:val="005B3D88"/>
    <w:rsid w:val="005B4504"/>
    <w:rsid w:val="005C1D68"/>
    <w:rsid w:val="005C1F76"/>
    <w:rsid w:val="005C20AC"/>
    <w:rsid w:val="005C2594"/>
    <w:rsid w:val="005C472B"/>
    <w:rsid w:val="005C4878"/>
    <w:rsid w:val="005C62F2"/>
    <w:rsid w:val="005D0B73"/>
    <w:rsid w:val="005D2006"/>
    <w:rsid w:val="005D22D0"/>
    <w:rsid w:val="005D258C"/>
    <w:rsid w:val="005D3AAC"/>
    <w:rsid w:val="005D3F63"/>
    <w:rsid w:val="005D452F"/>
    <w:rsid w:val="005D5124"/>
    <w:rsid w:val="005D6CB2"/>
    <w:rsid w:val="005D790A"/>
    <w:rsid w:val="005D7DF1"/>
    <w:rsid w:val="005D7F8D"/>
    <w:rsid w:val="005E07DA"/>
    <w:rsid w:val="005E08B1"/>
    <w:rsid w:val="005E2D73"/>
    <w:rsid w:val="005E3DB6"/>
    <w:rsid w:val="005E4997"/>
    <w:rsid w:val="005E4AF2"/>
    <w:rsid w:val="005E5902"/>
    <w:rsid w:val="005E5980"/>
    <w:rsid w:val="005E59A4"/>
    <w:rsid w:val="005E6655"/>
    <w:rsid w:val="005E67F9"/>
    <w:rsid w:val="005E6FA6"/>
    <w:rsid w:val="005E72DF"/>
    <w:rsid w:val="005F0B99"/>
    <w:rsid w:val="005F0E4D"/>
    <w:rsid w:val="005F1325"/>
    <w:rsid w:val="005F23CA"/>
    <w:rsid w:val="005F32B4"/>
    <w:rsid w:val="005F376D"/>
    <w:rsid w:val="005F3E72"/>
    <w:rsid w:val="005F42A1"/>
    <w:rsid w:val="005F446E"/>
    <w:rsid w:val="005F608F"/>
    <w:rsid w:val="00600C41"/>
    <w:rsid w:val="00601A91"/>
    <w:rsid w:val="00601BDF"/>
    <w:rsid w:val="00601BFE"/>
    <w:rsid w:val="00601FF6"/>
    <w:rsid w:val="00602452"/>
    <w:rsid w:val="0060367E"/>
    <w:rsid w:val="00603A36"/>
    <w:rsid w:val="00605A86"/>
    <w:rsid w:val="00605BF7"/>
    <w:rsid w:val="00606C35"/>
    <w:rsid w:val="00607399"/>
    <w:rsid w:val="0061036E"/>
    <w:rsid w:val="00610431"/>
    <w:rsid w:val="00610C83"/>
    <w:rsid w:val="00611FAC"/>
    <w:rsid w:val="006129B6"/>
    <w:rsid w:val="00612AA8"/>
    <w:rsid w:val="006130C2"/>
    <w:rsid w:val="006134A7"/>
    <w:rsid w:val="0061515E"/>
    <w:rsid w:val="006157FE"/>
    <w:rsid w:val="00616182"/>
    <w:rsid w:val="006167EE"/>
    <w:rsid w:val="00621A9B"/>
    <w:rsid w:val="00621AEB"/>
    <w:rsid w:val="006222A4"/>
    <w:rsid w:val="00622D0D"/>
    <w:rsid w:val="00624970"/>
    <w:rsid w:val="00624A10"/>
    <w:rsid w:val="0062536C"/>
    <w:rsid w:val="00625A55"/>
    <w:rsid w:val="006319F0"/>
    <w:rsid w:val="006323A3"/>
    <w:rsid w:val="00633C61"/>
    <w:rsid w:val="006340EE"/>
    <w:rsid w:val="006345EE"/>
    <w:rsid w:val="00635A46"/>
    <w:rsid w:val="006415F2"/>
    <w:rsid w:val="00641B3E"/>
    <w:rsid w:val="0064295B"/>
    <w:rsid w:val="00643D03"/>
    <w:rsid w:val="00643EE8"/>
    <w:rsid w:val="0064551D"/>
    <w:rsid w:val="0064774F"/>
    <w:rsid w:val="006505A3"/>
    <w:rsid w:val="0065073D"/>
    <w:rsid w:val="00651F93"/>
    <w:rsid w:val="00652A21"/>
    <w:rsid w:val="00652E4C"/>
    <w:rsid w:val="0065333B"/>
    <w:rsid w:val="00655AF5"/>
    <w:rsid w:val="00655BD3"/>
    <w:rsid w:val="0065615F"/>
    <w:rsid w:val="006563CF"/>
    <w:rsid w:val="006572DB"/>
    <w:rsid w:val="006604F0"/>
    <w:rsid w:val="00660636"/>
    <w:rsid w:val="0066106F"/>
    <w:rsid w:val="00661CF1"/>
    <w:rsid w:val="00663F00"/>
    <w:rsid w:val="00667137"/>
    <w:rsid w:val="006673D6"/>
    <w:rsid w:val="00667733"/>
    <w:rsid w:val="0067024E"/>
    <w:rsid w:val="00672EC4"/>
    <w:rsid w:val="0067667E"/>
    <w:rsid w:val="00677456"/>
    <w:rsid w:val="00680123"/>
    <w:rsid w:val="006807B3"/>
    <w:rsid w:val="00680C3A"/>
    <w:rsid w:val="006837E3"/>
    <w:rsid w:val="00683895"/>
    <w:rsid w:val="00683B26"/>
    <w:rsid w:val="00683E7C"/>
    <w:rsid w:val="00685944"/>
    <w:rsid w:val="00687ACA"/>
    <w:rsid w:val="00690F8A"/>
    <w:rsid w:val="00691AC8"/>
    <w:rsid w:val="00691F56"/>
    <w:rsid w:val="00692D59"/>
    <w:rsid w:val="006934A7"/>
    <w:rsid w:val="006937A7"/>
    <w:rsid w:val="00695903"/>
    <w:rsid w:val="00695BF3"/>
    <w:rsid w:val="00695F0A"/>
    <w:rsid w:val="0069627E"/>
    <w:rsid w:val="006963FB"/>
    <w:rsid w:val="00697115"/>
    <w:rsid w:val="006974EF"/>
    <w:rsid w:val="006975EE"/>
    <w:rsid w:val="00697EA2"/>
    <w:rsid w:val="006A049D"/>
    <w:rsid w:val="006A0F0C"/>
    <w:rsid w:val="006A26A7"/>
    <w:rsid w:val="006A5604"/>
    <w:rsid w:val="006A6526"/>
    <w:rsid w:val="006A7709"/>
    <w:rsid w:val="006A78FE"/>
    <w:rsid w:val="006A7AEA"/>
    <w:rsid w:val="006B0195"/>
    <w:rsid w:val="006B1249"/>
    <w:rsid w:val="006B264D"/>
    <w:rsid w:val="006B36F2"/>
    <w:rsid w:val="006C07A3"/>
    <w:rsid w:val="006C133C"/>
    <w:rsid w:val="006C225D"/>
    <w:rsid w:val="006C290D"/>
    <w:rsid w:val="006C3730"/>
    <w:rsid w:val="006C3C3A"/>
    <w:rsid w:val="006C3C59"/>
    <w:rsid w:val="006C480C"/>
    <w:rsid w:val="006C5497"/>
    <w:rsid w:val="006C5AE4"/>
    <w:rsid w:val="006C693E"/>
    <w:rsid w:val="006C7342"/>
    <w:rsid w:val="006D0068"/>
    <w:rsid w:val="006D247E"/>
    <w:rsid w:val="006D3581"/>
    <w:rsid w:val="006D384D"/>
    <w:rsid w:val="006D456B"/>
    <w:rsid w:val="006D4B29"/>
    <w:rsid w:val="006D4C5D"/>
    <w:rsid w:val="006D4D62"/>
    <w:rsid w:val="006D6C77"/>
    <w:rsid w:val="006D779F"/>
    <w:rsid w:val="006E0429"/>
    <w:rsid w:val="006E04A7"/>
    <w:rsid w:val="006E3AB2"/>
    <w:rsid w:val="006E4F30"/>
    <w:rsid w:val="006E5CC3"/>
    <w:rsid w:val="006E6507"/>
    <w:rsid w:val="006E6DE9"/>
    <w:rsid w:val="006E7B8E"/>
    <w:rsid w:val="006F1D0B"/>
    <w:rsid w:val="006F1DB5"/>
    <w:rsid w:val="006F34F8"/>
    <w:rsid w:val="006F4AC3"/>
    <w:rsid w:val="006F6134"/>
    <w:rsid w:val="006F6500"/>
    <w:rsid w:val="006F77A8"/>
    <w:rsid w:val="007000D7"/>
    <w:rsid w:val="007019A7"/>
    <w:rsid w:val="00701CAB"/>
    <w:rsid w:val="0070330D"/>
    <w:rsid w:val="0070330E"/>
    <w:rsid w:val="00703A2C"/>
    <w:rsid w:val="00703DF6"/>
    <w:rsid w:val="007051A5"/>
    <w:rsid w:val="007062CB"/>
    <w:rsid w:val="007063FF"/>
    <w:rsid w:val="007068EE"/>
    <w:rsid w:val="007073B3"/>
    <w:rsid w:val="0070763B"/>
    <w:rsid w:val="00713006"/>
    <w:rsid w:val="00713B06"/>
    <w:rsid w:val="00714E37"/>
    <w:rsid w:val="0071552D"/>
    <w:rsid w:val="007156EE"/>
    <w:rsid w:val="00715C18"/>
    <w:rsid w:val="007174D2"/>
    <w:rsid w:val="00717587"/>
    <w:rsid w:val="00720F63"/>
    <w:rsid w:val="007210AB"/>
    <w:rsid w:val="00721392"/>
    <w:rsid w:val="0072275E"/>
    <w:rsid w:val="0072328F"/>
    <w:rsid w:val="00724399"/>
    <w:rsid w:val="00724929"/>
    <w:rsid w:val="007249D2"/>
    <w:rsid w:val="00724D8A"/>
    <w:rsid w:val="007250E2"/>
    <w:rsid w:val="007259D1"/>
    <w:rsid w:val="00725AEA"/>
    <w:rsid w:val="007269A3"/>
    <w:rsid w:val="00730212"/>
    <w:rsid w:val="00730CF3"/>
    <w:rsid w:val="0073329E"/>
    <w:rsid w:val="00733E09"/>
    <w:rsid w:val="00734925"/>
    <w:rsid w:val="00734D13"/>
    <w:rsid w:val="0073584B"/>
    <w:rsid w:val="007405CB"/>
    <w:rsid w:val="00742B12"/>
    <w:rsid w:val="0074317F"/>
    <w:rsid w:val="00743AA2"/>
    <w:rsid w:val="00744127"/>
    <w:rsid w:val="0074480F"/>
    <w:rsid w:val="00744F4C"/>
    <w:rsid w:val="00745F00"/>
    <w:rsid w:val="007461DE"/>
    <w:rsid w:val="0074658B"/>
    <w:rsid w:val="0074677A"/>
    <w:rsid w:val="007467CE"/>
    <w:rsid w:val="00746B45"/>
    <w:rsid w:val="00747871"/>
    <w:rsid w:val="00747FF7"/>
    <w:rsid w:val="00750AA6"/>
    <w:rsid w:val="00752600"/>
    <w:rsid w:val="007531FC"/>
    <w:rsid w:val="0075388B"/>
    <w:rsid w:val="007558D3"/>
    <w:rsid w:val="0076046D"/>
    <w:rsid w:val="007605A6"/>
    <w:rsid w:val="00760FF8"/>
    <w:rsid w:val="0076197C"/>
    <w:rsid w:val="0076209A"/>
    <w:rsid w:val="00763F74"/>
    <w:rsid w:val="00764A67"/>
    <w:rsid w:val="0076539A"/>
    <w:rsid w:val="0076542A"/>
    <w:rsid w:val="00765819"/>
    <w:rsid w:val="0076739E"/>
    <w:rsid w:val="00772527"/>
    <w:rsid w:val="0077351A"/>
    <w:rsid w:val="00774D3B"/>
    <w:rsid w:val="00774EAA"/>
    <w:rsid w:val="007755A1"/>
    <w:rsid w:val="0077667D"/>
    <w:rsid w:val="00776C03"/>
    <w:rsid w:val="007779A3"/>
    <w:rsid w:val="007803EC"/>
    <w:rsid w:val="00780907"/>
    <w:rsid w:val="0078307B"/>
    <w:rsid w:val="00783314"/>
    <w:rsid w:val="00783328"/>
    <w:rsid w:val="00783F28"/>
    <w:rsid w:val="00783F62"/>
    <w:rsid w:val="00785249"/>
    <w:rsid w:val="00785AC0"/>
    <w:rsid w:val="00787EB2"/>
    <w:rsid w:val="00792E2B"/>
    <w:rsid w:val="00794BA6"/>
    <w:rsid w:val="00795F43"/>
    <w:rsid w:val="0079683D"/>
    <w:rsid w:val="00797133"/>
    <w:rsid w:val="007A0988"/>
    <w:rsid w:val="007A0ADB"/>
    <w:rsid w:val="007A0EAB"/>
    <w:rsid w:val="007A351D"/>
    <w:rsid w:val="007A3729"/>
    <w:rsid w:val="007A52B0"/>
    <w:rsid w:val="007A5898"/>
    <w:rsid w:val="007A7A33"/>
    <w:rsid w:val="007B028A"/>
    <w:rsid w:val="007B1BA0"/>
    <w:rsid w:val="007B2ECB"/>
    <w:rsid w:val="007B40C1"/>
    <w:rsid w:val="007B4CF3"/>
    <w:rsid w:val="007B7FDD"/>
    <w:rsid w:val="007C0912"/>
    <w:rsid w:val="007C1000"/>
    <w:rsid w:val="007C5B94"/>
    <w:rsid w:val="007C6876"/>
    <w:rsid w:val="007C7E6E"/>
    <w:rsid w:val="007D0BB0"/>
    <w:rsid w:val="007D1009"/>
    <w:rsid w:val="007D1723"/>
    <w:rsid w:val="007D2ABE"/>
    <w:rsid w:val="007E2011"/>
    <w:rsid w:val="007E237F"/>
    <w:rsid w:val="007E2ACF"/>
    <w:rsid w:val="007E2AD8"/>
    <w:rsid w:val="007E2BD0"/>
    <w:rsid w:val="007E2CC7"/>
    <w:rsid w:val="007E496C"/>
    <w:rsid w:val="007E5D2F"/>
    <w:rsid w:val="007F07C8"/>
    <w:rsid w:val="007F0E79"/>
    <w:rsid w:val="007F4024"/>
    <w:rsid w:val="007F4224"/>
    <w:rsid w:val="007F4503"/>
    <w:rsid w:val="007F4EF2"/>
    <w:rsid w:val="007F4FA5"/>
    <w:rsid w:val="007F54C0"/>
    <w:rsid w:val="007F5773"/>
    <w:rsid w:val="007F7B65"/>
    <w:rsid w:val="00801E11"/>
    <w:rsid w:val="00802198"/>
    <w:rsid w:val="00802773"/>
    <w:rsid w:val="00802A84"/>
    <w:rsid w:val="00802C21"/>
    <w:rsid w:val="0080306D"/>
    <w:rsid w:val="00804704"/>
    <w:rsid w:val="00805DF5"/>
    <w:rsid w:val="008064B3"/>
    <w:rsid w:val="00807052"/>
    <w:rsid w:val="0080761E"/>
    <w:rsid w:val="00807B0C"/>
    <w:rsid w:val="0081175C"/>
    <w:rsid w:val="00811B14"/>
    <w:rsid w:val="00812118"/>
    <w:rsid w:val="00813450"/>
    <w:rsid w:val="00813AEB"/>
    <w:rsid w:val="00813EC6"/>
    <w:rsid w:val="00814CBA"/>
    <w:rsid w:val="008172B4"/>
    <w:rsid w:val="00820849"/>
    <w:rsid w:val="008210F3"/>
    <w:rsid w:val="008220DF"/>
    <w:rsid w:val="0082249A"/>
    <w:rsid w:val="00824D00"/>
    <w:rsid w:val="00826439"/>
    <w:rsid w:val="0083146D"/>
    <w:rsid w:val="00832E99"/>
    <w:rsid w:val="00832FAC"/>
    <w:rsid w:val="00833204"/>
    <w:rsid w:val="00833933"/>
    <w:rsid w:val="008353B2"/>
    <w:rsid w:val="008353EE"/>
    <w:rsid w:val="00837F53"/>
    <w:rsid w:val="00840E76"/>
    <w:rsid w:val="00841796"/>
    <w:rsid w:val="00842827"/>
    <w:rsid w:val="00844382"/>
    <w:rsid w:val="00844823"/>
    <w:rsid w:val="008464AA"/>
    <w:rsid w:val="0085136A"/>
    <w:rsid w:val="008528B4"/>
    <w:rsid w:val="008539C0"/>
    <w:rsid w:val="00855316"/>
    <w:rsid w:val="008556F1"/>
    <w:rsid w:val="00855BD7"/>
    <w:rsid w:val="008566F9"/>
    <w:rsid w:val="0085689A"/>
    <w:rsid w:val="008570BE"/>
    <w:rsid w:val="00857B90"/>
    <w:rsid w:val="0086194F"/>
    <w:rsid w:val="008629EB"/>
    <w:rsid w:val="008633CF"/>
    <w:rsid w:val="0086619D"/>
    <w:rsid w:val="008670E2"/>
    <w:rsid w:val="00870C2F"/>
    <w:rsid w:val="00871C8E"/>
    <w:rsid w:val="00872E14"/>
    <w:rsid w:val="00872F4D"/>
    <w:rsid w:val="008745FF"/>
    <w:rsid w:val="00876DD9"/>
    <w:rsid w:val="00880060"/>
    <w:rsid w:val="008804F9"/>
    <w:rsid w:val="008806DC"/>
    <w:rsid w:val="00880E00"/>
    <w:rsid w:val="00881197"/>
    <w:rsid w:val="00881205"/>
    <w:rsid w:val="00881984"/>
    <w:rsid w:val="008819BE"/>
    <w:rsid w:val="00881F33"/>
    <w:rsid w:val="00885209"/>
    <w:rsid w:val="00885861"/>
    <w:rsid w:val="008861BF"/>
    <w:rsid w:val="00887CFD"/>
    <w:rsid w:val="00892674"/>
    <w:rsid w:val="008938D3"/>
    <w:rsid w:val="00895793"/>
    <w:rsid w:val="0089596B"/>
    <w:rsid w:val="00895D42"/>
    <w:rsid w:val="00897010"/>
    <w:rsid w:val="008A17E1"/>
    <w:rsid w:val="008A18B0"/>
    <w:rsid w:val="008A24A1"/>
    <w:rsid w:val="008A25FE"/>
    <w:rsid w:val="008A313C"/>
    <w:rsid w:val="008A35DD"/>
    <w:rsid w:val="008A3D0A"/>
    <w:rsid w:val="008A51E7"/>
    <w:rsid w:val="008A54E9"/>
    <w:rsid w:val="008A6658"/>
    <w:rsid w:val="008A6F13"/>
    <w:rsid w:val="008B00FB"/>
    <w:rsid w:val="008B118D"/>
    <w:rsid w:val="008B39BF"/>
    <w:rsid w:val="008B3B46"/>
    <w:rsid w:val="008B5DCA"/>
    <w:rsid w:val="008B7658"/>
    <w:rsid w:val="008B78CE"/>
    <w:rsid w:val="008C10BA"/>
    <w:rsid w:val="008C5010"/>
    <w:rsid w:val="008C50C4"/>
    <w:rsid w:val="008C531D"/>
    <w:rsid w:val="008C57C2"/>
    <w:rsid w:val="008C5A24"/>
    <w:rsid w:val="008C6DEA"/>
    <w:rsid w:val="008D19AA"/>
    <w:rsid w:val="008D2312"/>
    <w:rsid w:val="008D2DCF"/>
    <w:rsid w:val="008D3E19"/>
    <w:rsid w:val="008D4392"/>
    <w:rsid w:val="008D4C1F"/>
    <w:rsid w:val="008D4C2A"/>
    <w:rsid w:val="008D4E8C"/>
    <w:rsid w:val="008D5FB2"/>
    <w:rsid w:val="008E09EC"/>
    <w:rsid w:val="008E12E2"/>
    <w:rsid w:val="008E2333"/>
    <w:rsid w:val="008E2E57"/>
    <w:rsid w:val="008E33AF"/>
    <w:rsid w:val="008E4C40"/>
    <w:rsid w:val="008E61C1"/>
    <w:rsid w:val="008E7368"/>
    <w:rsid w:val="008E7C80"/>
    <w:rsid w:val="008F180C"/>
    <w:rsid w:val="008F1B3D"/>
    <w:rsid w:val="008F1E15"/>
    <w:rsid w:val="008F23AE"/>
    <w:rsid w:val="008F295A"/>
    <w:rsid w:val="008F2C39"/>
    <w:rsid w:val="008F2DF3"/>
    <w:rsid w:val="008F57A7"/>
    <w:rsid w:val="008F6E97"/>
    <w:rsid w:val="00900A00"/>
    <w:rsid w:val="0090148B"/>
    <w:rsid w:val="00903833"/>
    <w:rsid w:val="00903CCE"/>
    <w:rsid w:val="00906857"/>
    <w:rsid w:val="00906C5B"/>
    <w:rsid w:val="00907B9E"/>
    <w:rsid w:val="00910D84"/>
    <w:rsid w:val="00911931"/>
    <w:rsid w:val="009132F3"/>
    <w:rsid w:val="009137FE"/>
    <w:rsid w:val="00913A44"/>
    <w:rsid w:val="009158A0"/>
    <w:rsid w:val="00916F8B"/>
    <w:rsid w:val="009205A9"/>
    <w:rsid w:val="00920BF0"/>
    <w:rsid w:val="00921A21"/>
    <w:rsid w:val="00921EBE"/>
    <w:rsid w:val="00921F7C"/>
    <w:rsid w:val="009262B2"/>
    <w:rsid w:val="009271BA"/>
    <w:rsid w:val="0092743B"/>
    <w:rsid w:val="00927D81"/>
    <w:rsid w:val="00930234"/>
    <w:rsid w:val="009311B3"/>
    <w:rsid w:val="00931643"/>
    <w:rsid w:val="00931D7A"/>
    <w:rsid w:val="00932DA2"/>
    <w:rsid w:val="00933A0D"/>
    <w:rsid w:val="00933B07"/>
    <w:rsid w:val="00934607"/>
    <w:rsid w:val="00935CDF"/>
    <w:rsid w:val="00936152"/>
    <w:rsid w:val="00936153"/>
    <w:rsid w:val="0093642E"/>
    <w:rsid w:val="00936695"/>
    <w:rsid w:val="00936FA1"/>
    <w:rsid w:val="009378C9"/>
    <w:rsid w:val="00942315"/>
    <w:rsid w:val="009425C1"/>
    <w:rsid w:val="00943261"/>
    <w:rsid w:val="0094396F"/>
    <w:rsid w:val="00944CFF"/>
    <w:rsid w:val="00945205"/>
    <w:rsid w:val="00945AA0"/>
    <w:rsid w:val="0094625F"/>
    <w:rsid w:val="009468FD"/>
    <w:rsid w:val="00946D20"/>
    <w:rsid w:val="00947982"/>
    <w:rsid w:val="009502E2"/>
    <w:rsid w:val="00952F77"/>
    <w:rsid w:val="00953F4C"/>
    <w:rsid w:val="0095418F"/>
    <w:rsid w:val="00954A59"/>
    <w:rsid w:val="00955896"/>
    <w:rsid w:val="00955D5E"/>
    <w:rsid w:val="0095692A"/>
    <w:rsid w:val="00956DC6"/>
    <w:rsid w:val="0095701C"/>
    <w:rsid w:val="009578CC"/>
    <w:rsid w:val="00957A21"/>
    <w:rsid w:val="00960F4C"/>
    <w:rsid w:val="00960FFD"/>
    <w:rsid w:val="00962432"/>
    <w:rsid w:val="009638AE"/>
    <w:rsid w:val="00966DC9"/>
    <w:rsid w:val="00966FD2"/>
    <w:rsid w:val="00970079"/>
    <w:rsid w:val="009705A8"/>
    <w:rsid w:val="00971C3A"/>
    <w:rsid w:val="00972E40"/>
    <w:rsid w:val="0097373D"/>
    <w:rsid w:val="009746AB"/>
    <w:rsid w:val="00975E38"/>
    <w:rsid w:val="0097684A"/>
    <w:rsid w:val="009769BA"/>
    <w:rsid w:val="0097710B"/>
    <w:rsid w:val="0098003B"/>
    <w:rsid w:val="0098034A"/>
    <w:rsid w:val="00980788"/>
    <w:rsid w:val="0098092F"/>
    <w:rsid w:val="00982581"/>
    <w:rsid w:val="009865B7"/>
    <w:rsid w:val="00991B92"/>
    <w:rsid w:val="00991EC3"/>
    <w:rsid w:val="009922A0"/>
    <w:rsid w:val="00993455"/>
    <w:rsid w:val="009939D9"/>
    <w:rsid w:val="0099413F"/>
    <w:rsid w:val="00995B7F"/>
    <w:rsid w:val="009967BC"/>
    <w:rsid w:val="009970C8"/>
    <w:rsid w:val="00997EF5"/>
    <w:rsid w:val="009A1768"/>
    <w:rsid w:val="009A1845"/>
    <w:rsid w:val="009A2E61"/>
    <w:rsid w:val="009A3D78"/>
    <w:rsid w:val="009A5676"/>
    <w:rsid w:val="009A5850"/>
    <w:rsid w:val="009A5FCB"/>
    <w:rsid w:val="009A615F"/>
    <w:rsid w:val="009A65C6"/>
    <w:rsid w:val="009A6F7A"/>
    <w:rsid w:val="009A7056"/>
    <w:rsid w:val="009A799D"/>
    <w:rsid w:val="009B0F42"/>
    <w:rsid w:val="009B1303"/>
    <w:rsid w:val="009B1547"/>
    <w:rsid w:val="009B1F42"/>
    <w:rsid w:val="009B2322"/>
    <w:rsid w:val="009B2ABF"/>
    <w:rsid w:val="009B2EFF"/>
    <w:rsid w:val="009B49C7"/>
    <w:rsid w:val="009B5162"/>
    <w:rsid w:val="009B5339"/>
    <w:rsid w:val="009B60C0"/>
    <w:rsid w:val="009B63C5"/>
    <w:rsid w:val="009B7B37"/>
    <w:rsid w:val="009B7C99"/>
    <w:rsid w:val="009C33A3"/>
    <w:rsid w:val="009C4AC4"/>
    <w:rsid w:val="009C5860"/>
    <w:rsid w:val="009C5EFA"/>
    <w:rsid w:val="009C6409"/>
    <w:rsid w:val="009C6771"/>
    <w:rsid w:val="009D1FE3"/>
    <w:rsid w:val="009D41D2"/>
    <w:rsid w:val="009D4CC3"/>
    <w:rsid w:val="009E0E09"/>
    <w:rsid w:val="009E13C2"/>
    <w:rsid w:val="009E1B85"/>
    <w:rsid w:val="009E2BC4"/>
    <w:rsid w:val="009E30E5"/>
    <w:rsid w:val="009E3E71"/>
    <w:rsid w:val="009E4557"/>
    <w:rsid w:val="009E59CA"/>
    <w:rsid w:val="009E62C4"/>
    <w:rsid w:val="009E7A91"/>
    <w:rsid w:val="009E7A9A"/>
    <w:rsid w:val="009F08D5"/>
    <w:rsid w:val="009F10A8"/>
    <w:rsid w:val="009F1A26"/>
    <w:rsid w:val="009F2111"/>
    <w:rsid w:val="009F214B"/>
    <w:rsid w:val="009F2B1B"/>
    <w:rsid w:val="009F362C"/>
    <w:rsid w:val="009F39F2"/>
    <w:rsid w:val="009F3DA8"/>
    <w:rsid w:val="009F4586"/>
    <w:rsid w:val="009F5905"/>
    <w:rsid w:val="009F643D"/>
    <w:rsid w:val="009F7D40"/>
    <w:rsid w:val="00A0179C"/>
    <w:rsid w:val="00A026B3"/>
    <w:rsid w:val="00A034C7"/>
    <w:rsid w:val="00A03B2E"/>
    <w:rsid w:val="00A0427D"/>
    <w:rsid w:val="00A04612"/>
    <w:rsid w:val="00A06FC3"/>
    <w:rsid w:val="00A07DF2"/>
    <w:rsid w:val="00A10CBE"/>
    <w:rsid w:val="00A12094"/>
    <w:rsid w:val="00A12773"/>
    <w:rsid w:val="00A12DD8"/>
    <w:rsid w:val="00A14299"/>
    <w:rsid w:val="00A14BC6"/>
    <w:rsid w:val="00A14C4E"/>
    <w:rsid w:val="00A14C6C"/>
    <w:rsid w:val="00A15314"/>
    <w:rsid w:val="00A16534"/>
    <w:rsid w:val="00A21391"/>
    <w:rsid w:val="00A2217C"/>
    <w:rsid w:val="00A225DF"/>
    <w:rsid w:val="00A22A04"/>
    <w:rsid w:val="00A23AF2"/>
    <w:rsid w:val="00A2412A"/>
    <w:rsid w:val="00A24136"/>
    <w:rsid w:val="00A25992"/>
    <w:rsid w:val="00A26187"/>
    <w:rsid w:val="00A271D9"/>
    <w:rsid w:val="00A305FD"/>
    <w:rsid w:val="00A32CC0"/>
    <w:rsid w:val="00A32FFB"/>
    <w:rsid w:val="00A336FC"/>
    <w:rsid w:val="00A33B04"/>
    <w:rsid w:val="00A356BF"/>
    <w:rsid w:val="00A3773F"/>
    <w:rsid w:val="00A37B41"/>
    <w:rsid w:val="00A41058"/>
    <w:rsid w:val="00A43744"/>
    <w:rsid w:val="00A45C2B"/>
    <w:rsid w:val="00A46570"/>
    <w:rsid w:val="00A515DD"/>
    <w:rsid w:val="00A51891"/>
    <w:rsid w:val="00A52BC8"/>
    <w:rsid w:val="00A5399A"/>
    <w:rsid w:val="00A54B60"/>
    <w:rsid w:val="00A56664"/>
    <w:rsid w:val="00A60CB6"/>
    <w:rsid w:val="00A60E5F"/>
    <w:rsid w:val="00A625CA"/>
    <w:rsid w:val="00A6267A"/>
    <w:rsid w:val="00A62941"/>
    <w:rsid w:val="00A62F8B"/>
    <w:rsid w:val="00A64604"/>
    <w:rsid w:val="00A64A84"/>
    <w:rsid w:val="00A65B0B"/>
    <w:rsid w:val="00A65BAA"/>
    <w:rsid w:val="00A65D7F"/>
    <w:rsid w:val="00A67D35"/>
    <w:rsid w:val="00A7089F"/>
    <w:rsid w:val="00A72392"/>
    <w:rsid w:val="00A72D40"/>
    <w:rsid w:val="00A72E1A"/>
    <w:rsid w:val="00A73DD2"/>
    <w:rsid w:val="00A76F32"/>
    <w:rsid w:val="00A7740E"/>
    <w:rsid w:val="00A7798C"/>
    <w:rsid w:val="00A77D44"/>
    <w:rsid w:val="00A802B6"/>
    <w:rsid w:val="00A81027"/>
    <w:rsid w:val="00A833EC"/>
    <w:rsid w:val="00A84071"/>
    <w:rsid w:val="00A85421"/>
    <w:rsid w:val="00A85E32"/>
    <w:rsid w:val="00A86AB2"/>
    <w:rsid w:val="00A86B8D"/>
    <w:rsid w:val="00A876F6"/>
    <w:rsid w:val="00A87DAD"/>
    <w:rsid w:val="00A87EFD"/>
    <w:rsid w:val="00A941C6"/>
    <w:rsid w:val="00A958FF"/>
    <w:rsid w:val="00A96BBC"/>
    <w:rsid w:val="00A97B47"/>
    <w:rsid w:val="00AA0A06"/>
    <w:rsid w:val="00AA2903"/>
    <w:rsid w:val="00AA2925"/>
    <w:rsid w:val="00AA32A6"/>
    <w:rsid w:val="00AA33BE"/>
    <w:rsid w:val="00AA3B75"/>
    <w:rsid w:val="00AA3F1C"/>
    <w:rsid w:val="00AA52E2"/>
    <w:rsid w:val="00AA5B46"/>
    <w:rsid w:val="00AA5BD8"/>
    <w:rsid w:val="00AA6060"/>
    <w:rsid w:val="00AA70E3"/>
    <w:rsid w:val="00AA7228"/>
    <w:rsid w:val="00AA74F0"/>
    <w:rsid w:val="00AA766D"/>
    <w:rsid w:val="00AB0FBE"/>
    <w:rsid w:val="00AB1E34"/>
    <w:rsid w:val="00AB3764"/>
    <w:rsid w:val="00AB5B20"/>
    <w:rsid w:val="00AB7025"/>
    <w:rsid w:val="00AB7AE4"/>
    <w:rsid w:val="00AC049E"/>
    <w:rsid w:val="00AC1F52"/>
    <w:rsid w:val="00AC3A2A"/>
    <w:rsid w:val="00AC3EAA"/>
    <w:rsid w:val="00AC5ECF"/>
    <w:rsid w:val="00AC5F6E"/>
    <w:rsid w:val="00AC69C4"/>
    <w:rsid w:val="00AD06AB"/>
    <w:rsid w:val="00AD2182"/>
    <w:rsid w:val="00AD2722"/>
    <w:rsid w:val="00AD2D38"/>
    <w:rsid w:val="00AD44EA"/>
    <w:rsid w:val="00AD60E4"/>
    <w:rsid w:val="00AE0B2B"/>
    <w:rsid w:val="00AE1129"/>
    <w:rsid w:val="00AE17FF"/>
    <w:rsid w:val="00AE208A"/>
    <w:rsid w:val="00AE2FD7"/>
    <w:rsid w:val="00AE31DA"/>
    <w:rsid w:val="00AE3211"/>
    <w:rsid w:val="00AE4893"/>
    <w:rsid w:val="00AE4D3F"/>
    <w:rsid w:val="00AE749B"/>
    <w:rsid w:val="00AF0008"/>
    <w:rsid w:val="00AF0C5D"/>
    <w:rsid w:val="00AF0EA5"/>
    <w:rsid w:val="00AF0EC2"/>
    <w:rsid w:val="00AF1A37"/>
    <w:rsid w:val="00AF20CC"/>
    <w:rsid w:val="00AF3B74"/>
    <w:rsid w:val="00AF4755"/>
    <w:rsid w:val="00AF5211"/>
    <w:rsid w:val="00AF527D"/>
    <w:rsid w:val="00AF5442"/>
    <w:rsid w:val="00AF6941"/>
    <w:rsid w:val="00AF6CF8"/>
    <w:rsid w:val="00B00236"/>
    <w:rsid w:val="00B012AB"/>
    <w:rsid w:val="00B01AD0"/>
    <w:rsid w:val="00B01FB8"/>
    <w:rsid w:val="00B0203B"/>
    <w:rsid w:val="00B03222"/>
    <w:rsid w:val="00B038DF"/>
    <w:rsid w:val="00B03D99"/>
    <w:rsid w:val="00B058A7"/>
    <w:rsid w:val="00B058F1"/>
    <w:rsid w:val="00B109B1"/>
    <w:rsid w:val="00B134EA"/>
    <w:rsid w:val="00B150DF"/>
    <w:rsid w:val="00B15785"/>
    <w:rsid w:val="00B16806"/>
    <w:rsid w:val="00B16815"/>
    <w:rsid w:val="00B170BA"/>
    <w:rsid w:val="00B17200"/>
    <w:rsid w:val="00B2067E"/>
    <w:rsid w:val="00B21C20"/>
    <w:rsid w:val="00B221DA"/>
    <w:rsid w:val="00B23CF9"/>
    <w:rsid w:val="00B252F1"/>
    <w:rsid w:val="00B25FEB"/>
    <w:rsid w:val="00B265AE"/>
    <w:rsid w:val="00B274D2"/>
    <w:rsid w:val="00B27E5A"/>
    <w:rsid w:val="00B27F55"/>
    <w:rsid w:val="00B31B6D"/>
    <w:rsid w:val="00B34455"/>
    <w:rsid w:val="00B3750C"/>
    <w:rsid w:val="00B40556"/>
    <w:rsid w:val="00B409BF"/>
    <w:rsid w:val="00B40F9B"/>
    <w:rsid w:val="00B411FF"/>
    <w:rsid w:val="00B44139"/>
    <w:rsid w:val="00B44706"/>
    <w:rsid w:val="00B44880"/>
    <w:rsid w:val="00B45BF6"/>
    <w:rsid w:val="00B4649B"/>
    <w:rsid w:val="00B46D96"/>
    <w:rsid w:val="00B50FCF"/>
    <w:rsid w:val="00B51643"/>
    <w:rsid w:val="00B52E90"/>
    <w:rsid w:val="00B54C08"/>
    <w:rsid w:val="00B5587C"/>
    <w:rsid w:val="00B55CA6"/>
    <w:rsid w:val="00B568E7"/>
    <w:rsid w:val="00B5784E"/>
    <w:rsid w:val="00B60BF3"/>
    <w:rsid w:val="00B6264B"/>
    <w:rsid w:val="00B62FFD"/>
    <w:rsid w:val="00B63452"/>
    <w:rsid w:val="00B64C33"/>
    <w:rsid w:val="00B64FEB"/>
    <w:rsid w:val="00B66177"/>
    <w:rsid w:val="00B66BF1"/>
    <w:rsid w:val="00B66CC6"/>
    <w:rsid w:val="00B67A60"/>
    <w:rsid w:val="00B67FFE"/>
    <w:rsid w:val="00B7011A"/>
    <w:rsid w:val="00B706ED"/>
    <w:rsid w:val="00B72F2E"/>
    <w:rsid w:val="00B73ABC"/>
    <w:rsid w:val="00B74DDB"/>
    <w:rsid w:val="00B75142"/>
    <w:rsid w:val="00B7738D"/>
    <w:rsid w:val="00B7745D"/>
    <w:rsid w:val="00B810EC"/>
    <w:rsid w:val="00B84EDE"/>
    <w:rsid w:val="00B84FCB"/>
    <w:rsid w:val="00B85665"/>
    <w:rsid w:val="00B8665C"/>
    <w:rsid w:val="00B86BDB"/>
    <w:rsid w:val="00B87A8C"/>
    <w:rsid w:val="00B900F0"/>
    <w:rsid w:val="00B92580"/>
    <w:rsid w:val="00B92695"/>
    <w:rsid w:val="00B92BB6"/>
    <w:rsid w:val="00B9324A"/>
    <w:rsid w:val="00B93A74"/>
    <w:rsid w:val="00B967B9"/>
    <w:rsid w:val="00B97A2A"/>
    <w:rsid w:val="00BA28D1"/>
    <w:rsid w:val="00BA5796"/>
    <w:rsid w:val="00BA5DC7"/>
    <w:rsid w:val="00BA5E0A"/>
    <w:rsid w:val="00BA69E6"/>
    <w:rsid w:val="00BA6E33"/>
    <w:rsid w:val="00BB2E0D"/>
    <w:rsid w:val="00BB365A"/>
    <w:rsid w:val="00BB3E03"/>
    <w:rsid w:val="00BB7AD8"/>
    <w:rsid w:val="00BC3EB3"/>
    <w:rsid w:val="00BC5FE6"/>
    <w:rsid w:val="00BC61C3"/>
    <w:rsid w:val="00BC6BAB"/>
    <w:rsid w:val="00BC749F"/>
    <w:rsid w:val="00BD04E1"/>
    <w:rsid w:val="00BD2367"/>
    <w:rsid w:val="00BD2D03"/>
    <w:rsid w:val="00BD4233"/>
    <w:rsid w:val="00BD5ADE"/>
    <w:rsid w:val="00BD67DE"/>
    <w:rsid w:val="00BD7983"/>
    <w:rsid w:val="00BE1484"/>
    <w:rsid w:val="00BE1AEB"/>
    <w:rsid w:val="00BE2FFC"/>
    <w:rsid w:val="00BE439E"/>
    <w:rsid w:val="00BE4FE4"/>
    <w:rsid w:val="00BE530B"/>
    <w:rsid w:val="00BE5426"/>
    <w:rsid w:val="00BE56E7"/>
    <w:rsid w:val="00BE6AE4"/>
    <w:rsid w:val="00BE7185"/>
    <w:rsid w:val="00BE7E1F"/>
    <w:rsid w:val="00BF2026"/>
    <w:rsid w:val="00BF21E2"/>
    <w:rsid w:val="00BF2381"/>
    <w:rsid w:val="00BF3EB8"/>
    <w:rsid w:val="00BF4790"/>
    <w:rsid w:val="00BF4C38"/>
    <w:rsid w:val="00BF5183"/>
    <w:rsid w:val="00BF58A8"/>
    <w:rsid w:val="00BF6502"/>
    <w:rsid w:val="00BF65F7"/>
    <w:rsid w:val="00BF6AC7"/>
    <w:rsid w:val="00BF752E"/>
    <w:rsid w:val="00BF7D1B"/>
    <w:rsid w:val="00C032B2"/>
    <w:rsid w:val="00C0457A"/>
    <w:rsid w:val="00C0578E"/>
    <w:rsid w:val="00C069F0"/>
    <w:rsid w:val="00C06CC4"/>
    <w:rsid w:val="00C07CB4"/>
    <w:rsid w:val="00C07E82"/>
    <w:rsid w:val="00C10459"/>
    <w:rsid w:val="00C116F9"/>
    <w:rsid w:val="00C11B42"/>
    <w:rsid w:val="00C12B15"/>
    <w:rsid w:val="00C1341A"/>
    <w:rsid w:val="00C145FB"/>
    <w:rsid w:val="00C149CD"/>
    <w:rsid w:val="00C14D04"/>
    <w:rsid w:val="00C15623"/>
    <w:rsid w:val="00C15CE0"/>
    <w:rsid w:val="00C15DA3"/>
    <w:rsid w:val="00C171E4"/>
    <w:rsid w:val="00C17381"/>
    <w:rsid w:val="00C2128B"/>
    <w:rsid w:val="00C21813"/>
    <w:rsid w:val="00C2195F"/>
    <w:rsid w:val="00C23042"/>
    <w:rsid w:val="00C23646"/>
    <w:rsid w:val="00C24A51"/>
    <w:rsid w:val="00C24F49"/>
    <w:rsid w:val="00C2736A"/>
    <w:rsid w:val="00C30025"/>
    <w:rsid w:val="00C304AA"/>
    <w:rsid w:val="00C31D9B"/>
    <w:rsid w:val="00C3282B"/>
    <w:rsid w:val="00C32C29"/>
    <w:rsid w:val="00C3331E"/>
    <w:rsid w:val="00C358D7"/>
    <w:rsid w:val="00C35E9E"/>
    <w:rsid w:val="00C36852"/>
    <w:rsid w:val="00C371D5"/>
    <w:rsid w:val="00C37215"/>
    <w:rsid w:val="00C37646"/>
    <w:rsid w:val="00C40DFD"/>
    <w:rsid w:val="00C40E11"/>
    <w:rsid w:val="00C41D99"/>
    <w:rsid w:val="00C425E7"/>
    <w:rsid w:val="00C42CA0"/>
    <w:rsid w:val="00C42E53"/>
    <w:rsid w:val="00C47DAE"/>
    <w:rsid w:val="00C50BED"/>
    <w:rsid w:val="00C51603"/>
    <w:rsid w:val="00C51C56"/>
    <w:rsid w:val="00C51C64"/>
    <w:rsid w:val="00C51FEA"/>
    <w:rsid w:val="00C525A8"/>
    <w:rsid w:val="00C52C46"/>
    <w:rsid w:val="00C548EC"/>
    <w:rsid w:val="00C5493E"/>
    <w:rsid w:val="00C61C33"/>
    <w:rsid w:val="00C63400"/>
    <w:rsid w:val="00C64607"/>
    <w:rsid w:val="00C6474B"/>
    <w:rsid w:val="00C64C7F"/>
    <w:rsid w:val="00C658DA"/>
    <w:rsid w:val="00C66321"/>
    <w:rsid w:val="00C66D01"/>
    <w:rsid w:val="00C70026"/>
    <w:rsid w:val="00C705C6"/>
    <w:rsid w:val="00C706A9"/>
    <w:rsid w:val="00C70DC5"/>
    <w:rsid w:val="00C72F10"/>
    <w:rsid w:val="00C73305"/>
    <w:rsid w:val="00C7602F"/>
    <w:rsid w:val="00C77652"/>
    <w:rsid w:val="00C77877"/>
    <w:rsid w:val="00C77CE3"/>
    <w:rsid w:val="00C80989"/>
    <w:rsid w:val="00C815C0"/>
    <w:rsid w:val="00C824C7"/>
    <w:rsid w:val="00C8541A"/>
    <w:rsid w:val="00C871F9"/>
    <w:rsid w:val="00C9171B"/>
    <w:rsid w:val="00C91D89"/>
    <w:rsid w:val="00C9428B"/>
    <w:rsid w:val="00C95107"/>
    <w:rsid w:val="00C961C7"/>
    <w:rsid w:val="00C96E2C"/>
    <w:rsid w:val="00CA3165"/>
    <w:rsid w:val="00CA32C5"/>
    <w:rsid w:val="00CA3BFF"/>
    <w:rsid w:val="00CA4B6B"/>
    <w:rsid w:val="00CA6D34"/>
    <w:rsid w:val="00CA7C3F"/>
    <w:rsid w:val="00CB032C"/>
    <w:rsid w:val="00CB127E"/>
    <w:rsid w:val="00CB7F45"/>
    <w:rsid w:val="00CC062B"/>
    <w:rsid w:val="00CC13DC"/>
    <w:rsid w:val="00CC1A26"/>
    <w:rsid w:val="00CC2111"/>
    <w:rsid w:val="00CC2AD6"/>
    <w:rsid w:val="00CC3212"/>
    <w:rsid w:val="00CC5179"/>
    <w:rsid w:val="00CC5663"/>
    <w:rsid w:val="00CC77B3"/>
    <w:rsid w:val="00CC7E29"/>
    <w:rsid w:val="00CD0EAF"/>
    <w:rsid w:val="00CD1E6B"/>
    <w:rsid w:val="00CD291E"/>
    <w:rsid w:val="00CD30FC"/>
    <w:rsid w:val="00CD37D3"/>
    <w:rsid w:val="00CD40A1"/>
    <w:rsid w:val="00CD441B"/>
    <w:rsid w:val="00CD4AC3"/>
    <w:rsid w:val="00CD59F3"/>
    <w:rsid w:val="00CE18A3"/>
    <w:rsid w:val="00CE2403"/>
    <w:rsid w:val="00CE2EE7"/>
    <w:rsid w:val="00CE642F"/>
    <w:rsid w:val="00CE7172"/>
    <w:rsid w:val="00CF0724"/>
    <w:rsid w:val="00CF0A90"/>
    <w:rsid w:val="00CF0DE8"/>
    <w:rsid w:val="00CF12EE"/>
    <w:rsid w:val="00CF1B27"/>
    <w:rsid w:val="00CF270B"/>
    <w:rsid w:val="00CF35C7"/>
    <w:rsid w:val="00CF48A7"/>
    <w:rsid w:val="00CF764B"/>
    <w:rsid w:val="00D00812"/>
    <w:rsid w:val="00D031DC"/>
    <w:rsid w:val="00D05EE3"/>
    <w:rsid w:val="00D06356"/>
    <w:rsid w:val="00D136D8"/>
    <w:rsid w:val="00D15816"/>
    <w:rsid w:val="00D1675A"/>
    <w:rsid w:val="00D16EF7"/>
    <w:rsid w:val="00D17C18"/>
    <w:rsid w:val="00D2351C"/>
    <w:rsid w:val="00D24058"/>
    <w:rsid w:val="00D250B9"/>
    <w:rsid w:val="00D26AE8"/>
    <w:rsid w:val="00D302F1"/>
    <w:rsid w:val="00D30463"/>
    <w:rsid w:val="00D305BF"/>
    <w:rsid w:val="00D312FE"/>
    <w:rsid w:val="00D322B3"/>
    <w:rsid w:val="00D32A50"/>
    <w:rsid w:val="00D338ED"/>
    <w:rsid w:val="00D345F1"/>
    <w:rsid w:val="00D34ADB"/>
    <w:rsid w:val="00D35115"/>
    <w:rsid w:val="00D36552"/>
    <w:rsid w:val="00D37773"/>
    <w:rsid w:val="00D409F0"/>
    <w:rsid w:val="00D42074"/>
    <w:rsid w:val="00D431C8"/>
    <w:rsid w:val="00D43428"/>
    <w:rsid w:val="00D447A7"/>
    <w:rsid w:val="00D447F8"/>
    <w:rsid w:val="00D45274"/>
    <w:rsid w:val="00D45D92"/>
    <w:rsid w:val="00D45E0E"/>
    <w:rsid w:val="00D47187"/>
    <w:rsid w:val="00D516CF"/>
    <w:rsid w:val="00D52EDC"/>
    <w:rsid w:val="00D60C9A"/>
    <w:rsid w:val="00D60D9A"/>
    <w:rsid w:val="00D6511D"/>
    <w:rsid w:val="00D66066"/>
    <w:rsid w:val="00D666DC"/>
    <w:rsid w:val="00D67805"/>
    <w:rsid w:val="00D7056B"/>
    <w:rsid w:val="00D71BBF"/>
    <w:rsid w:val="00D728A1"/>
    <w:rsid w:val="00D73193"/>
    <w:rsid w:val="00D73258"/>
    <w:rsid w:val="00D7468D"/>
    <w:rsid w:val="00D759FF"/>
    <w:rsid w:val="00D75C47"/>
    <w:rsid w:val="00D804F5"/>
    <w:rsid w:val="00D81936"/>
    <w:rsid w:val="00D81C39"/>
    <w:rsid w:val="00D830A9"/>
    <w:rsid w:val="00D85801"/>
    <w:rsid w:val="00D86CAE"/>
    <w:rsid w:val="00D86EDB"/>
    <w:rsid w:val="00D91156"/>
    <w:rsid w:val="00D916C8"/>
    <w:rsid w:val="00D925CD"/>
    <w:rsid w:val="00D92F91"/>
    <w:rsid w:val="00D93E30"/>
    <w:rsid w:val="00D943CF"/>
    <w:rsid w:val="00D945A0"/>
    <w:rsid w:val="00D95109"/>
    <w:rsid w:val="00D965AE"/>
    <w:rsid w:val="00D96C40"/>
    <w:rsid w:val="00DA16D6"/>
    <w:rsid w:val="00DA2D51"/>
    <w:rsid w:val="00DA31CA"/>
    <w:rsid w:val="00DA51C7"/>
    <w:rsid w:val="00DA5471"/>
    <w:rsid w:val="00DA5FCB"/>
    <w:rsid w:val="00DA62BB"/>
    <w:rsid w:val="00DA65E7"/>
    <w:rsid w:val="00DB0498"/>
    <w:rsid w:val="00DB18DF"/>
    <w:rsid w:val="00DB39A6"/>
    <w:rsid w:val="00DB3B46"/>
    <w:rsid w:val="00DB3D59"/>
    <w:rsid w:val="00DB5C4C"/>
    <w:rsid w:val="00DC17BC"/>
    <w:rsid w:val="00DC3D9D"/>
    <w:rsid w:val="00DC3F2E"/>
    <w:rsid w:val="00DC4577"/>
    <w:rsid w:val="00DC458B"/>
    <w:rsid w:val="00DC5926"/>
    <w:rsid w:val="00DC66F4"/>
    <w:rsid w:val="00DC71EB"/>
    <w:rsid w:val="00DD3067"/>
    <w:rsid w:val="00DD3E18"/>
    <w:rsid w:val="00DD4163"/>
    <w:rsid w:val="00DD461D"/>
    <w:rsid w:val="00DD4951"/>
    <w:rsid w:val="00DD4E96"/>
    <w:rsid w:val="00DD639C"/>
    <w:rsid w:val="00DD66FB"/>
    <w:rsid w:val="00DD6739"/>
    <w:rsid w:val="00DD6E1F"/>
    <w:rsid w:val="00DE000A"/>
    <w:rsid w:val="00DE00A7"/>
    <w:rsid w:val="00DE0DE9"/>
    <w:rsid w:val="00DE1A8C"/>
    <w:rsid w:val="00DE2F67"/>
    <w:rsid w:val="00DE3360"/>
    <w:rsid w:val="00DE4612"/>
    <w:rsid w:val="00DE5B1F"/>
    <w:rsid w:val="00DF09A3"/>
    <w:rsid w:val="00DF2483"/>
    <w:rsid w:val="00DF3D69"/>
    <w:rsid w:val="00DF4B35"/>
    <w:rsid w:val="00DF56AB"/>
    <w:rsid w:val="00DF57BF"/>
    <w:rsid w:val="00DF61AF"/>
    <w:rsid w:val="00DF61D6"/>
    <w:rsid w:val="00E01F06"/>
    <w:rsid w:val="00E02D9C"/>
    <w:rsid w:val="00E03608"/>
    <w:rsid w:val="00E03784"/>
    <w:rsid w:val="00E0580D"/>
    <w:rsid w:val="00E06089"/>
    <w:rsid w:val="00E061EB"/>
    <w:rsid w:val="00E074FE"/>
    <w:rsid w:val="00E1039C"/>
    <w:rsid w:val="00E11D38"/>
    <w:rsid w:val="00E1577C"/>
    <w:rsid w:val="00E16CCF"/>
    <w:rsid w:val="00E1758D"/>
    <w:rsid w:val="00E17C99"/>
    <w:rsid w:val="00E22344"/>
    <w:rsid w:val="00E22D34"/>
    <w:rsid w:val="00E22EB6"/>
    <w:rsid w:val="00E2325F"/>
    <w:rsid w:val="00E23C4B"/>
    <w:rsid w:val="00E2537D"/>
    <w:rsid w:val="00E25445"/>
    <w:rsid w:val="00E25A4B"/>
    <w:rsid w:val="00E261B2"/>
    <w:rsid w:val="00E26D9F"/>
    <w:rsid w:val="00E30018"/>
    <w:rsid w:val="00E3001D"/>
    <w:rsid w:val="00E30C87"/>
    <w:rsid w:val="00E3141F"/>
    <w:rsid w:val="00E325CB"/>
    <w:rsid w:val="00E3282F"/>
    <w:rsid w:val="00E349E8"/>
    <w:rsid w:val="00E3624B"/>
    <w:rsid w:val="00E362EF"/>
    <w:rsid w:val="00E36F63"/>
    <w:rsid w:val="00E37342"/>
    <w:rsid w:val="00E40826"/>
    <w:rsid w:val="00E418DC"/>
    <w:rsid w:val="00E4374F"/>
    <w:rsid w:val="00E4466C"/>
    <w:rsid w:val="00E47B4E"/>
    <w:rsid w:val="00E50C68"/>
    <w:rsid w:val="00E50CCA"/>
    <w:rsid w:val="00E5498E"/>
    <w:rsid w:val="00E54FE4"/>
    <w:rsid w:val="00E560BF"/>
    <w:rsid w:val="00E56BDD"/>
    <w:rsid w:val="00E57BD2"/>
    <w:rsid w:val="00E6036B"/>
    <w:rsid w:val="00E6189E"/>
    <w:rsid w:val="00E61E77"/>
    <w:rsid w:val="00E6238F"/>
    <w:rsid w:val="00E63622"/>
    <w:rsid w:val="00E63B22"/>
    <w:rsid w:val="00E642E6"/>
    <w:rsid w:val="00E65935"/>
    <w:rsid w:val="00E65F26"/>
    <w:rsid w:val="00E66543"/>
    <w:rsid w:val="00E67B03"/>
    <w:rsid w:val="00E67C8A"/>
    <w:rsid w:val="00E70590"/>
    <w:rsid w:val="00E707AE"/>
    <w:rsid w:val="00E70B20"/>
    <w:rsid w:val="00E72434"/>
    <w:rsid w:val="00E72EDA"/>
    <w:rsid w:val="00E73706"/>
    <w:rsid w:val="00E73F60"/>
    <w:rsid w:val="00E7789D"/>
    <w:rsid w:val="00E77E7B"/>
    <w:rsid w:val="00E805C6"/>
    <w:rsid w:val="00E838B6"/>
    <w:rsid w:val="00E83AA3"/>
    <w:rsid w:val="00E8423F"/>
    <w:rsid w:val="00E84D66"/>
    <w:rsid w:val="00E86068"/>
    <w:rsid w:val="00E86361"/>
    <w:rsid w:val="00E869F7"/>
    <w:rsid w:val="00E87686"/>
    <w:rsid w:val="00E87B30"/>
    <w:rsid w:val="00E93048"/>
    <w:rsid w:val="00E93125"/>
    <w:rsid w:val="00E935DA"/>
    <w:rsid w:val="00E950B3"/>
    <w:rsid w:val="00E974D8"/>
    <w:rsid w:val="00E97E67"/>
    <w:rsid w:val="00EA0DA1"/>
    <w:rsid w:val="00EA2E37"/>
    <w:rsid w:val="00EA3080"/>
    <w:rsid w:val="00EA3710"/>
    <w:rsid w:val="00EA3C06"/>
    <w:rsid w:val="00EA3C9A"/>
    <w:rsid w:val="00EA4220"/>
    <w:rsid w:val="00EA48E5"/>
    <w:rsid w:val="00EA4D74"/>
    <w:rsid w:val="00EA690A"/>
    <w:rsid w:val="00EA7487"/>
    <w:rsid w:val="00EA759B"/>
    <w:rsid w:val="00EA7956"/>
    <w:rsid w:val="00EB0883"/>
    <w:rsid w:val="00EB1097"/>
    <w:rsid w:val="00EB10A4"/>
    <w:rsid w:val="00EB33D2"/>
    <w:rsid w:val="00EB5D1F"/>
    <w:rsid w:val="00EB7A82"/>
    <w:rsid w:val="00EC12A8"/>
    <w:rsid w:val="00EC1B32"/>
    <w:rsid w:val="00EC1B80"/>
    <w:rsid w:val="00EC1CFB"/>
    <w:rsid w:val="00EC22AF"/>
    <w:rsid w:val="00EC2908"/>
    <w:rsid w:val="00EC55DF"/>
    <w:rsid w:val="00EC640B"/>
    <w:rsid w:val="00EC6DFD"/>
    <w:rsid w:val="00EC6F04"/>
    <w:rsid w:val="00EC6FEE"/>
    <w:rsid w:val="00EC7103"/>
    <w:rsid w:val="00EC7C3F"/>
    <w:rsid w:val="00ED069B"/>
    <w:rsid w:val="00ED07EC"/>
    <w:rsid w:val="00ED1EC2"/>
    <w:rsid w:val="00ED2D87"/>
    <w:rsid w:val="00ED35EE"/>
    <w:rsid w:val="00ED3CC6"/>
    <w:rsid w:val="00ED48F4"/>
    <w:rsid w:val="00ED70C3"/>
    <w:rsid w:val="00ED75D7"/>
    <w:rsid w:val="00ED7AE5"/>
    <w:rsid w:val="00ED7C3D"/>
    <w:rsid w:val="00EE0F9A"/>
    <w:rsid w:val="00EE1E7A"/>
    <w:rsid w:val="00EE2490"/>
    <w:rsid w:val="00EE24D3"/>
    <w:rsid w:val="00EE2C49"/>
    <w:rsid w:val="00EE4544"/>
    <w:rsid w:val="00EE4E28"/>
    <w:rsid w:val="00EE541B"/>
    <w:rsid w:val="00EE60A9"/>
    <w:rsid w:val="00EE6E8B"/>
    <w:rsid w:val="00EF0C0C"/>
    <w:rsid w:val="00EF1ACF"/>
    <w:rsid w:val="00EF37A3"/>
    <w:rsid w:val="00EF3899"/>
    <w:rsid w:val="00EF57AF"/>
    <w:rsid w:val="00EF6FFB"/>
    <w:rsid w:val="00F00573"/>
    <w:rsid w:val="00F0300F"/>
    <w:rsid w:val="00F03209"/>
    <w:rsid w:val="00F0491A"/>
    <w:rsid w:val="00F050E5"/>
    <w:rsid w:val="00F05DED"/>
    <w:rsid w:val="00F0615F"/>
    <w:rsid w:val="00F07020"/>
    <w:rsid w:val="00F074E4"/>
    <w:rsid w:val="00F07648"/>
    <w:rsid w:val="00F11913"/>
    <w:rsid w:val="00F13317"/>
    <w:rsid w:val="00F13D60"/>
    <w:rsid w:val="00F155C6"/>
    <w:rsid w:val="00F162E1"/>
    <w:rsid w:val="00F177F3"/>
    <w:rsid w:val="00F20180"/>
    <w:rsid w:val="00F21257"/>
    <w:rsid w:val="00F2266D"/>
    <w:rsid w:val="00F22A63"/>
    <w:rsid w:val="00F23281"/>
    <w:rsid w:val="00F2367C"/>
    <w:rsid w:val="00F27028"/>
    <w:rsid w:val="00F3013E"/>
    <w:rsid w:val="00F3068E"/>
    <w:rsid w:val="00F3106E"/>
    <w:rsid w:val="00F32109"/>
    <w:rsid w:val="00F321A6"/>
    <w:rsid w:val="00F32DEF"/>
    <w:rsid w:val="00F34199"/>
    <w:rsid w:val="00F35AFB"/>
    <w:rsid w:val="00F35B65"/>
    <w:rsid w:val="00F366A7"/>
    <w:rsid w:val="00F36D94"/>
    <w:rsid w:val="00F427CA"/>
    <w:rsid w:val="00F42825"/>
    <w:rsid w:val="00F439DF"/>
    <w:rsid w:val="00F4581C"/>
    <w:rsid w:val="00F46DC7"/>
    <w:rsid w:val="00F507F5"/>
    <w:rsid w:val="00F510A0"/>
    <w:rsid w:val="00F52315"/>
    <w:rsid w:val="00F52A16"/>
    <w:rsid w:val="00F5322A"/>
    <w:rsid w:val="00F533E8"/>
    <w:rsid w:val="00F5467D"/>
    <w:rsid w:val="00F608FB"/>
    <w:rsid w:val="00F60D86"/>
    <w:rsid w:val="00F6192D"/>
    <w:rsid w:val="00F620AC"/>
    <w:rsid w:val="00F63272"/>
    <w:rsid w:val="00F63B14"/>
    <w:rsid w:val="00F63E3A"/>
    <w:rsid w:val="00F64C25"/>
    <w:rsid w:val="00F64E7E"/>
    <w:rsid w:val="00F65512"/>
    <w:rsid w:val="00F658E8"/>
    <w:rsid w:val="00F67974"/>
    <w:rsid w:val="00F72728"/>
    <w:rsid w:val="00F72A04"/>
    <w:rsid w:val="00F730C8"/>
    <w:rsid w:val="00F745CC"/>
    <w:rsid w:val="00F74DE4"/>
    <w:rsid w:val="00F76FF5"/>
    <w:rsid w:val="00F77FFC"/>
    <w:rsid w:val="00F8196E"/>
    <w:rsid w:val="00F83E8F"/>
    <w:rsid w:val="00F845C9"/>
    <w:rsid w:val="00F85201"/>
    <w:rsid w:val="00F85BFA"/>
    <w:rsid w:val="00F86245"/>
    <w:rsid w:val="00F86ADB"/>
    <w:rsid w:val="00F87207"/>
    <w:rsid w:val="00F90CD9"/>
    <w:rsid w:val="00F90FC5"/>
    <w:rsid w:val="00F912D4"/>
    <w:rsid w:val="00F92409"/>
    <w:rsid w:val="00F92E66"/>
    <w:rsid w:val="00F93094"/>
    <w:rsid w:val="00F932BC"/>
    <w:rsid w:val="00F9338A"/>
    <w:rsid w:val="00F94834"/>
    <w:rsid w:val="00F96CC2"/>
    <w:rsid w:val="00F97653"/>
    <w:rsid w:val="00FA0C5B"/>
    <w:rsid w:val="00FA33A1"/>
    <w:rsid w:val="00FA39C1"/>
    <w:rsid w:val="00FA632E"/>
    <w:rsid w:val="00FA66DA"/>
    <w:rsid w:val="00FA78AD"/>
    <w:rsid w:val="00FB08F7"/>
    <w:rsid w:val="00FB1187"/>
    <w:rsid w:val="00FB1937"/>
    <w:rsid w:val="00FB2302"/>
    <w:rsid w:val="00FB28DF"/>
    <w:rsid w:val="00FB3DC0"/>
    <w:rsid w:val="00FB5637"/>
    <w:rsid w:val="00FB5E4E"/>
    <w:rsid w:val="00FC009C"/>
    <w:rsid w:val="00FC0EFA"/>
    <w:rsid w:val="00FC11DF"/>
    <w:rsid w:val="00FC2FF9"/>
    <w:rsid w:val="00FC31F2"/>
    <w:rsid w:val="00FC517A"/>
    <w:rsid w:val="00FC65E1"/>
    <w:rsid w:val="00FC6E46"/>
    <w:rsid w:val="00FC6EC2"/>
    <w:rsid w:val="00FD0939"/>
    <w:rsid w:val="00FD0953"/>
    <w:rsid w:val="00FD0B84"/>
    <w:rsid w:val="00FD1166"/>
    <w:rsid w:val="00FD434B"/>
    <w:rsid w:val="00FD515C"/>
    <w:rsid w:val="00FD66BC"/>
    <w:rsid w:val="00FD727A"/>
    <w:rsid w:val="00FE0139"/>
    <w:rsid w:val="00FE0F63"/>
    <w:rsid w:val="00FE23C9"/>
    <w:rsid w:val="00FE44E8"/>
    <w:rsid w:val="00FE57FD"/>
    <w:rsid w:val="00FE674B"/>
    <w:rsid w:val="00FE6BED"/>
    <w:rsid w:val="00FE70F9"/>
    <w:rsid w:val="00FF3192"/>
    <w:rsid w:val="00FF3ECD"/>
    <w:rsid w:val="0144C267"/>
    <w:rsid w:val="02389EA9"/>
    <w:rsid w:val="03012386"/>
    <w:rsid w:val="03B996EA"/>
    <w:rsid w:val="04C87A78"/>
    <w:rsid w:val="04E44DF6"/>
    <w:rsid w:val="053BC9EB"/>
    <w:rsid w:val="0651052E"/>
    <w:rsid w:val="069A01AC"/>
    <w:rsid w:val="06D91ABB"/>
    <w:rsid w:val="0767282C"/>
    <w:rsid w:val="09633C78"/>
    <w:rsid w:val="09F7DEDD"/>
    <w:rsid w:val="0A302573"/>
    <w:rsid w:val="0A62FB34"/>
    <w:rsid w:val="0A734B79"/>
    <w:rsid w:val="0ABDF94C"/>
    <w:rsid w:val="0B09CCDA"/>
    <w:rsid w:val="0B27BAAD"/>
    <w:rsid w:val="0B3CAB40"/>
    <w:rsid w:val="0BAF71E9"/>
    <w:rsid w:val="0BC0DD62"/>
    <w:rsid w:val="0DAAEC3B"/>
    <w:rsid w:val="0E855F2E"/>
    <w:rsid w:val="0F3F9738"/>
    <w:rsid w:val="102BF3E7"/>
    <w:rsid w:val="11B17E83"/>
    <w:rsid w:val="11DDB88D"/>
    <w:rsid w:val="122F4ED5"/>
    <w:rsid w:val="1302C571"/>
    <w:rsid w:val="130B9B24"/>
    <w:rsid w:val="13D7A83A"/>
    <w:rsid w:val="14A76B85"/>
    <w:rsid w:val="161A0764"/>
    <w:rsid w:val="164E1331"/>
    <w:rsid w:val="1659327D"/>
    <w:rsid w:val="16BC162B"/>
    <w:rsid w:val="174CD653"/>
    <w:rsid w:val="17E9E392"/>
    <w:rsid w:val="182F5CC5"/>
    <w:rsid w:val="1857E68C"/>
    <w:rsid w:val="18FA0177"/>
    <w:rsid w:val="1900BAEA"/>
    <w:rsid w:val="1911D8CD"/>
    <w:rsid w:val="197DC66D"/>
    <w:rsid w:val="19836AC2"/>
    <w:rsid w:val="1990D33F"/>
    <w:rsid w:val="1A3A64B6"/>
    <w:rsid w:val="1A512B78"/>
    <w:rsid w:val="1AF51DA2"/>
    <w:rsid w:val="1B8BB96A"/>
    <w:rsid w:val="1BE2BA1F"/>
    <w:rsid w:val="1BFBEC19"/>
    <w:rsid w:val="1C18D0B2"/>
    <w:rsid w:val="1C204776"/>
    <w:rsid w:val="1C750F5C"/>
    <w:rsid w:val="1D2B57AF"/>
    <w:rsid w:val="1DBC17D7"/>
    <w:rsid w:val="1F1A5AE1"/>
    <w:rsid w:val="1F2F7C0D"/>
    <w:rsid w:val="20461B85"/>
    <w:rsid w:val="20B62B42"/>
    <w:rsid w:val="20CB4E9E"/>
    <w:rsid w:val="2155E67D"/>
    <w:rsid w:val="2216CD78"/>
    <w:rsid w:val="233321B5"/>
    <w:rsid w:val="23F028C4"/>
    <w:rsid w:val="2487E2AB"/>
    <w:rsid w:val="249DA7BB"/>
    <w:rsid w:val="24B3B93E"/>
    <w:rsid w:val="24D4044A"/>
    <w:rsid w:val="26BAECAF"/>
    <w:rsid w:val="277B2174"/>
    <w:rsid w:val="27BD9645"/>
    <w:rsid w:val="27C24A6A"/>
    <w:rsid w:val="28FC8BBB"/>
    <w:rsid w:val="29AD2A59"/>
    <w:rsid w:val="29F7B775"/>
    <w:rsid w:val="2A742922"/>
    <w:rsid w:val="2AA1B500"/>
    <w:rsid w:val="2B54E7F2"/>
    <w:rsid w:val="2B8A1F88"/>
    <w:rsid w:val="2C537663"/>
    <w:rsid w:val="2CE4EB16"/>
    <w:rsid w:val="2D967592"/>
    <w:rsid w:val="2E0B6901"/>
    <w:rsid w:val="2E234BB1"/>
    <w:rsid w:val="2EDC6291"/>
    <w:rsid w:val="2F1F94F1"/>
    <w:rsid w:val="2F2B73E3"/>
    <w:rsid w:val="30252117"/>
    <w:rsid w:val="308109C1"/>
    <w:rsid w:val="30F0D323"/>
    <w:rsid w:val="324232CC"/>
    <w:rsid w:val="3342BA03"/>
    <w:rsid w:val="349FBB2B"/>
    <w:rsid w:val="35064041"/>
    <w:rsid w:val="3530660C"/>
    <w:rsid w:val="355036EA"/>
    <w:rsid w:val="370C7FF6"/>
    <w:rsid w:val="379976FA"/>
    <w:rsid w:val="37C663D8"/>
    <w:rsid w:val="382B4E82"/>
    <w:rsid w:val="387A0BEE"/>
    <w:rsid w:val="389D398E"/>
    <w:rsid w:val="39EDA952"/>
    <w:rsid w:val="39FC6E92"/>
    <w:rsid w:val="3A15DC4F"/>
    <w:rsid w:val="3A89AC58"/>
    <w:rsid w:val="3B34A38B"/>
    <w:rsid w:val="3B39E281"/>
    <w:rsid w:val="3B453DE4"/>
    <w:rsid w:val="3BB1ACB0"/>
    <w:rsid w:val="3C739EEC"/>
    <w:rsid w:val="3C834AB7"/>
    <w:rsid w:val="3CDD510B"/>
    <w:rsid w:val="3D0CD901"/>
    <w:rsid w:val="3D229CC3"/>
    <w:rsid w:val="3D273DF9"/>
    <w:rsid w:val="3D340F54"/>
    <w:rsid w:val="3D4D7D11"/>
    <w:rsid w:val="3D60389B"/>
    <w:rsid w:val="3D6C5654"/>
    <w:rsid w:val="3DB2C937"/>
    <w:rsid w:val="3E8B9022"/>
    <w:rsid w:val="3EF81998"/>
    <w:rsid w:val="4039922D"/>
    <w:rsid w:val="405C8B9F"/>
    <w:rsid w:val="40916F24"/>
    <w:rsid w:val="41153E07"/>
    <w:rsid w:val="41BCA4D7"/>
    <w:rsid w:val="41DA9991"/>
    <w:rsid w:val="41ED5163"/>
    <w:rsid w:val="42463F9B"/>
    <w:rsid w:val="4287DE72"/>
    <w:rsid w:val="429BA1E7"/>
    <w:rsid w:val="42E90B79"/>
    <w:rsid w:val="4326C1AE"/>
    <w:rsid w:val="43E02983"/>
    <w:rsid w:val="43F0F2A0"/>
    <w:rsid w:val="4436D262"/>
    <w:rsid w:val="444CA0C0"/>
    <w:rsid w:val="44D3CA42"/>
    <w:rsid w:val="452FFCC2"/>
    <w:rsid w:val="45F9DFAD"/>
    <w:rsid w:val="46E05B80"/>
    <w:rsid w:val="474C018A"/>
    <w:rsid w:val="4A956F8C"/>
    <w:rsid w:val="4BB0A05B"/>
    <w:rsid w:val="4C23B032"/>
    <w:rsid w:val="4C64E7A8"/>
    <w:rsid w:val="4D7E2016"/>
    <w:rsid w:val="4E04169E"/>
    <w:rsid w:val="4E3BA932"/>
    <w:rsid w:val="4E6375F2"/>
    <w:rsid w:val="500E4686"/>
    <w:rsid w:val="504E7C6F"/>
    <w:rsid w:val="50ADCD00"/>
    <w:rsid w:val="5163D713"/>
    <w:rsid w:val="5173BB46"/>
    <w:rsid w:val="539B5417"/>
    <w:rsid w:val="54F3F677"/>
    <w:rsid w:val="5537904B"/>
    <w:rsid w:val="55B1ABDF"/>
    <w:rsid w:val="55EF0E8F"/>
    <w:rsid w:val="564B4594"/>
    <w:rsid w:val="564F3AC4"/>
    <w:rsid w:val="56A083AA"/>
    <w:rsid w:val="56C6E501"/>
    <w:rsid w:val="56FCEA4A"/>
    <w:rsid w:val="5858EDC0"/>
    <w:rsid w:val="59765E4D"/>
    <w:rsid w:val="59FD4C3B"/>
    <w:rsid w:val="5A081992"/>
    <w:rsid w:val="5A5FDECC"/>
    <w:rsid w:val="5B19F48D"/>
    <w:rsid w:val="5B991C9C"/>
    <w:rsid w:val="5C21FBF0"/>
    <w:rsid w:val="5C778780"/>
    <w:rsid w:val="5CD5E718"/>
    <w:rsid w:val="5D119A00"/>
    <w:rsid w:val="5DEB219E"/>
    <w:rsid w:val="5ED0BD5E"/>
    <w:rsid w:val="5F3240F3"/>
    <w:rsid w:val="5F9F5C88"/>
    <w:rsid w:val="60BBB2A9"/>
    <w:rsid w:val="613F3ACF"/>
    <w:rsid w:val="6140847C"/>
    <w:rsid w:val="61B08EF0"/>
    <w:rsid w:val="61FEF316"/>
    <w:rsid w:val="62B60EBE"/>
    <w:rsid w:val="62F3FE42"/>
    <w:rsid w:val="639B6870"/>
    <w:rsid w:val="63B01233"/>
    <w:rsid w:val="64B98925"/>
    <w:rsid w:val="66031829"/>
    <w:rsid w:val="6620146F"/>
    <w:rsid w:val="66667C32"/>
    <w:rsid w:val="675F14BE"/>
    <w:rsid w:val="67AE7C53"/>
    <w:rsid w:val="681B5158"/>
    <w:rsid w:val="68687B2D"/>
    <w:rsid w:val="6A5C3F72"/>
    <w:rsid w:val="6B94D5EE"/>
    <w:rsid w:val="6C4993DD"/>
    <w:rsid w:val="6C8B1484"/>
    <w:rsid w:val="6D3BEC50"/>
    <w:rsid w:val="6D8AA5BA"/>
    <w:rsid w:val="6DD83C6A"/>
    <w:rsid w:val="70BBD3ED"/>
    <w:rsid w:val="70C7803F"/>
    <w:rsid w:val="715E85A7"/>
    <w:rsid w:val="71ED3044"/>
    <w:rsid w:val="72D49928"/>
    <w:rsid w:val="72DA5213"/>
    <w:rsid w:val="734E0683"/>
    <w:rsid w:val="7384DB5E"/>
    <w:rsid w:val="74101CAA"/>
    <w:rsid w:val="74FE2B11"/>
    <w:rsid w:val="752D7D82"/>
    <w:rsid w:val="759E9B0C"/>
    <w:rsid w:val="75CE5C5D"/>
    <w:rsid w:val="76D82A1C"/>
    <w:rsid w:val="773D3491"/>
    <w:rsid w:val="77915A9D"/>
    <w:rsid w:val="780222B2"/>
    <w:rsid w:val="7826933F"/>
    <w:rsid w:val="78679AC4"/>
    <w:rsid w:val="787BFBA2"/>
    <w:rsid w:val="78A259C0"/>
    <w:rsid w:val="7A1953BA"/>
    <w:rsid w:val="7A1A64C0"/>
    <w:rsid w:val="7A7DB8A8"/>
    <w:rsid w:val="7AC70E37"/>
    <w:rsid w:val="7AE4F274"/>
    <w:rsid w:val="7B71D0E7"/>
    <w:rsid w:val="7CAB0963"/>
    <w:rsid w:val="7D07DE4C"/>
    <w:rsid w:val="7D65CF2D"/>
    <w:rsid w:val="7D6B2820"/>
    <w:rsid w:val="7D95D3E0"/>
    <w:rsid w:val="7EAC1B52"/>
    <w:rsid w:val="7FA35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A4F78"/>
  <w15:docId w15:val="{B04E5C07-67C0-424B-8D77-1F65F96D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AF527D"/>
    <w:pPr>
      <w:keepNext/>
      <w:keepLines/>
      <w:spacing w:before="12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AF527D"/>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paragraph" w:styleId="ListParagraph">
    <w:name w:val="List Paragraph"/>
    <w:basedOn w:val="Normal"/>
    <w:uiPriority w:val="34"/>
    <w:qFormat/>
    <w:rsid w:val="00683B26"/>
    <w:pPr>
      <w:ind w:left="720"/>
      <w:contextualSpacing/>
    </w:pPr>
  </w:style>
  <w:style w:type="paragraph" w:customStyle="1" w:styleId="Consultationtext">
    <w:name w:val="Consultation text"/>
    <w:basedOn w:val="Normal"/>
    <w:qFormat/>
    <w:rsid w:val="004A3350"/>
    <w:rPr>
      <w:color w:val="FF0000"/>
    </w:rPr>
  </w:style>
  <w:style w:type="paragraph" w:customStyle="1" w:styleId="Default">
    <w:name w:val="Default"/>
    <w:rsid w:val="002F5B68"/>
    <w:pPr>
      <w:autoSpaceDE w:val="0"/>
      <w:autoSpaceDN w:val="0"/>
      <w:adjustRightInd w:val="0"/>
    </w:pPr>
    <w:rPr>
      <w:rFonts w:ascii="Times New Roman" w:hAnsi="Times New Roman"/>
      <w:color w:val="000000"/>
      <w:sz w:val="24"/>
      <w:szCs w:val="24"/>
    </w:rPr>
  </w:style>
  <w:style w:type="character" w:customStyle="1" w:styleId="TableTextChar">
    <w:name w:val="Table Text Char"/>
    <w:basedOn w:val="DefaultParagraphFont"/>
    <w:link w:val="TableText"/>
    <w:uiPriority w:val="13"/>
    <w:rsid w:val="00282859"/>
    <w:rPr>
      <w:rFonts w:eastAsiaTheme="minorHAnsi" w:cstheme="minorBidi"/>
      <w:sz w:val="18"/>
      <w:szCs w:val="22"/>
      <w:lang w:eastAsia="en-US"/>
    </w:rPr>
  </w:style>
  <w:style w:type="paragraph" w:customStyle="1" w:styleId="EndNoteBibliography">
    <w:name w:val="EndNote Bibliography"/>
    <w:basedOn w:val="Normal"/>
    <w:link w:val="EndNoteBibliographyChar"/>
    <w:rsid w:val="00F13317"/>
    <w:pPr>
      <w:spacing w:line="240" w:lineRule="auto"/>
    </w:pPr>
    <w:rPr>
      <w:noProof/>
      <w:lang w:val="en-US"/>
    </w:rPr>
  </w:style>
  <w:style w:type="character" w:customStyle="1" w:styleId="EndNoteBibliographyChar">
    <w:name w:val="EndNote Bibliography Char"/>
    <w:basedOn w:val="DefaultParagraphFont"/>
    <w:link w:val="EndNoteBibliography"/>
    <w:rsid w:val="00F13317"/>
    <w:rPr>
      <w:rFonts w:eastAsiaTheme="minorHAnsi" w:cstheme="minorBidi"/>
      <w:noProof/>
      <w:sz w:val="22"/>
      <w:szCs w:val="22"/>
      <w:lang w:val="en-US" w:eastAsia="en-US"/>
    </w:rPr>
  </w:style>
  <w:style w:type="paragraph" w:customStyle="1" w:styleId="EndnoteBiolography">
    <w:name w:val="Endnote Biolography"/>
    <w:basedOn w:val="EndNoteBibliography"/>
    <w:link w:val="EndnoteBiolographyChar"/>
    <w:qFormat/>
    <w:rsid w:val="00493F53"/>
    <w:pPr>
      <w:spacing w:after="240"/>
      <w:ind w:left="720" w:hanging="720"/>
    </w:pPr>
  </w:style>
  <w:style w:type="character" w:customStyle="1" w:styleId="EndnoteBiolographyChar">
    <w:name w:val="Endnote Biolography Char"/>
    <w:basedOn w:val="EndNoteBibliographyChar"/>
    <w:link w:val="EndnoteBiolography"/>
    <w:rsid w:val="00493F53"/>
    <w:rPr>
      <w:rFonts w:eastAsiaTheme="minorHAnsi" w:cstheme="minorBidi"/>
      <w:noProof/>
      <w:sz w:val="22"/>
      <w:szCs w:val="22"/>
      <w:lang w:val="en-US" w:eastAsia="en-US"/>
    </w:rPr>
  </w:style>
  <w:style w:type="table" w:styleId="GridTable4-Accent1">
    <w:name w:val="Grid Table 4 Accent 1"/>
    <w:basedOn w:val="TableNormal"/>
    <w:uiPriority w:val="49"/>
    <w:rsid w:val="0080761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SSC">
    <w:name w:val="TSSC"/>
    <w:basedOn w:val="Normal"/>
    <w:qFormat/>
    <w:rsid w:val="00504942"/>
    <w:pPr>
      <w:numPr>
        <w:numId w:val="17"/>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45">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4234623">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5202">
      <w:bodyDiv w:val="1"/>
      <w:marLeft w:val="0"/>
      <w:marRight w:val="0"/>
      <w:marTop w:val="0"/>
      <w:marBottom w:val="0"/>
      <w:divBdr>
        <w:top w:val="none" w:sz="0" w:space="0" w:color="auto"/>
        <w:left w:val="none" w:sz="0" w:space="0" w:color="auto"/>
        <w:bottom w:val="none" w:sz="0" w:space="0" w:color="auto"/>
        <w:right w:val="none" w:sz="0" w:space="0" w:color="auto"/>
      </w:divBdr>
    </w:div>
    <w:div w:id="129787405">
      <w:bodyDiv w:val="1"/>
      <w:marLeft w:val="0"/>
      <w:marRight w:val="0"/>
      <w:marTop w:val="0"/>
      <w:marBottom w:val="0"/>
      <w:divBdr>
        <w:top w:val="none" w:sz="0" w:space="0" w:color="auto"/>
        <w:left w:val="none" w:sz="0" w:space="0" w:color="auto"/>
        <w:bottom w:val="none" w:sz="0" w:space="0" w:color="auto"/>
        <w:right w:val="none" w:sz="0" w:space="0" w:color="auto"/>
      </w:divBdr>
    </w:div>
    <w:div w:id="131875963">
      <w:bodyDiv w:val="1"/>
      <w:marLeft w:val="0"/>
      <w:marRight w:val="0"/>
      <w:marTop w:val="0"/>
      <w:marBottom w:val="0"/>
      <w:divBdr>
        <w:top w:val="none" w:sz="0" w:space="0" w:color="auto"/>
        <w:left w:val="none" w:sz="0" w:space="0" w:color="auto"/>
        <w:bottom w:val="none" w:sz="0" w:space="0" w:color="auto"/>
        <w:right w:val="none" w:sz="0" w:space="0" w:color="auto"/>
      </w:divBdr>
    </w:div>
    <w:div w:id="1400056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41222">
      <w:bodyDiv w:val="1"/>
      <w:marLeft w:val="0"/>
      <w:marRight w:val="0"/>
      <w:marTop w:val="0"/>
      <w:marBottom w:val="0"/>
      <w:divBdr>
        <w:top w:val="none" w:sz="0" w:space="0" w:color="auto"/>
        <w:left w:val="none" w:sz="0" w:space="0" w:color="auto"/>
        <w:bottom w:val="none" w:sz="0" w:space="0" w:color="auto"/>
        <w:right w:val="none" w:sz="0" w:space="0" w:color="auto"/>
      </w:divBdr>
    </w:div>
    <w:div w:id="193616915">
      <w:bodyDiv w:val="1"/>
      <w:marLeft w:val="0"/>
      <w:marRight w:val="0"/>
      <w:marTop w:val="0"/>
      <w:marBottom w:val="0"/>
      <w:divBdr>
        <w:top w:val="none" w:sz="0" w:space="0" w:color="auto"/>
        <w:left w:val="none" w:sz="0" w:space="0" w:color="auto"/>
        <w:bottom w:val="none" w:sz="0" w:space="0" w:color="auto"/>
        <w:right w:val="none" w:sz="0" w:space="0" w:color="auto"/>
      </w:divBdr>
    </w:div>
    <w:div w:id="223763356">
      <w:bodyDiv w:val="1"/>
      <w:marLeft w:val="0"/>
      <w:marRight w:val="0"/>
      <w:marTop w:val="0"/>
      <w:marBottom w:val="0"/>
      <w:divBdr>
        <w:top w:val="none" w:sz="0" w:space="0" w:color="auto"/>
        <w:left w:val="none" w:sz="0" w:space="0" w:color="auto"/>
        <w:bottom w:val="none" w:sz="0" w:space="0" w:color="auto"/>
        <w:right w:val="none" w:sz="0" w:space="0" w:color="auto"/>
      </w:divBdr>
    </w:div>
    <w:div w:id="293143137">
      <w:bodyDiv w:val="1"/>
      <w:marLeft w:val="0"/>
      <w:marRight w:val="0"/>
      <w:marTop w:val="0"/>
      <w:marBottom w:val="0"/>
      <w:divBdr>
        <w:top w:val="none" w:sz="0" w:space="0" w:color="auto"/>
        <w:left w:val="none" w:sz="0" w:space="0" w:color="auto"/>
        <w:bottom w:val="none" w:sz="0" w:space="0" w:color="auto"/>
        <w:right w:val="none" w:sz="0" w:space="0" w:color="auto"/>
      </w:divBdr>
    </w:div>
    <w:div w:id="294485844">
      <w:bodyDiv w:val="1"/>
      <w:marLeft w:val="0"/>
      <w:marRight w:val="0"/>
      <w:marTop w:val="0"/>
      <w:marBottom w:val="0"/>
      <w:divBdr>
        <w:top w:val="none" w:sz="0" w:space="0" w:color="auto"/>
        <w:left w:val="none" w:sz="0" w:space="0" w:color="auto"/>
        <w:bottom w:val="none" w:sz="0" w:space="0" w:color="auto"/>
        <w:right w:val="none" w:sz="0" w:space="0" w:color="auto"/>
      </w:divBdr>
    </w:div>
    <w:div w:id="3028588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3872">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6866140">
      <w:bodyDiv w:val="1"/>
      <w:marLeft w:val="0"/>
      <w:marRight w:val="0"/>
      <w:marTop w:val="0"/>
      <w:marBottom w:val="0"/>
      <w:divBdr>
        <w:top w:val="none" w:sz="0" w:space="0" w:color="auto"/>
        <w:left w:val="none" w:sz="0" w:space="0" w:color="auto"/>
        <w:bottom w:val="none" w:sz="0" w:space="0" w:color="auto"/>
        <w:right w:val="none" w:sz="0" w:space="0" w:color="auto"/>
      </w:divBdr>
    </w:div>
    <w:div w:id="511409394">
      <w:bodyDiv w:val="1"/>
      <w:marLeft w:val="0"/>
      <w:marRight w:val="0"/>
      <w:marTop w:val="0"/>
      <w:marBottom w:val="0"/>
      <w:divBdr>
        <w:top w:val="none" w:sz="0" w:space="0" w:color="auto"/>
        <w:left w:val="none" w:sz="0" w:space="0" w:color="auto"/>
        <w:bottom w:val="none" w:sz="0" w:space="0" w:color="auto"/>
        <w:right w:val="none" w:sz="0" w:space="0" w:color="auto"/>
      </w:divBdr>
    </w:div>
    <w:div w:id="530343282">
      <w:bodyDiv w:val="1"/>
      <w:marLeft w:val="0"/>
      <w:marRight w:val="0"/>
      <w:marTop w:val="0"/>
      <w:marBottom w:val="0"/>
      <w:divBdr>
        <w:top w:val="none" w:sz="0" w:space="0" w:color="auto"/>
        <w:left w:val="none" w:sz="0" w:space="0" w:color="auto"/>
        <w:bottom w:val="none" w:sz="0" w:space="0" w:color="auto"/>
        <w:right w:val="none" w:sz="0" w:space="0" w:color="auto"/>
      </w:divBdr>
    </w:div>
    <w:div w:id="54029214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35960">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517006">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11673634">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425701">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9871262">
      <w:bodyDiv w:val="1"/>
      <w:marLeft w:val="0"/>
      <w:marRight w:val="0"/>
      <w:marTop w:val="0"/>
      <w:marBottom w:val="0"/>
      <w:divBdr>
        <w:top w:val="none" w:sz="0" w:space="0" w:color="auto"/>
        <w:left w:val="none" w:sz="0" w:space="0" w:color="auto"/>
        <w:bottom w:val="none" w:sz="0" w:space="0" w:color="auto"/>
        <w:right w:val="none" w:sz="0" w:space="0" w:color="auto"/>
      </w:divBdr>
    </w:div>
    <w:div w:id="980354087">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665113">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27796">
      <w:bodyDiv w:val="1"/>
      <w:marLeft w:val="0"/>
      <w:marRight w:val="0"/>
      <w:marTop w:val="0"/>
      <w:marBottom w:val="0"/>
      <w:divBdr>
        <w:top w:val="none" w:sz="0" w:space="0" w:color="auto"/>
        <w:left w:val="none" w:sz="0" w:space="0" w:color="auto"/>
        <w:bottom w:val="none" w:sz="0" w:space="0" w:color="auto"/>
        <w:right w:val="none" w:sz="0" w:space="0" w:color="auto"/>
      </w:divBdr>
    </w:div>
    <w:div w:id="1060329081">
      <w:bodyDiv w:val="1"/>
      <w:marLeft w:val="0"/>
      <w:marRight w:val="0"/>
      <w:marTop w:val="0"/>
      <w:marBottom w:val="0"/>
      <w:divBdr>
        <w:top w:val="none" w:sz="0" w:space="0" w:color="auto"/>
        <w:left w:val="none" w:sz="0" w:space="0" w:color="auto"/>
        <w:bottom w:val="none" w:sz="0" w:space="0" w:color="auto"/>
        <w:right w:val="none" w:sz="0" w:space="0" w:color="auto"/>
      </w:divBdr>
    </w:div>
    <w:div w:id="1063597110">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44708">
      <w:bodyDiv w:val="1"/>
      <w:marLeft w:val="0"/>
      <w:marRight w:val="0"/>
      <w:marTop w:val="0"/>
      <w:marBottom w:val="0"/>
      <w:divBdr>
        <w:top w:val="none" w:sz="0" w:space="0" w:color="auto"/>
        <w:left w:val="none" w:sz="0" w:space="0" w:color="auto"/>
        <w:bottom w:val="none" w:sz="0" w:space="0" w:color="auto"/>
        <w:right w:val="none" w:sz="0" w:space="0" w:color="auto"/>
      </w:divBdr>
    </w:div>
    <w:div w:id="1243027410">
      <w:bodyDiv w:val="1"/>
      <w:marLeft w:val="0"/>
      <w:marRight w:val="0"/>
      <w:marTop w:val="0"/>
      <w:marBottom w:val="0"/>
      <w:divBdr>
        <w:top w:val="none" w:sz="0" w:space="0" w:color="auto"/>
        <w:left w:val="none" w:sz="0" w:space="0" w:color="auto"/>
        <w:bottom w:val="none" w:sz="0" w:space="0" w:color="auto"/>
        <w:right w:val="none" w:sz="0" w:space="0" w:color="auto"/>
      </w:divBdr>
    </w:div>
    <w:div w:id="1258634419">
      <w:bodyDiv w:val="1"/>
      <w:marLeft w:val="0"/>
      <w:marRight w:val="0"/>
      <w:marTop w:val="0"/>
      <w:marBottom w:val="0"/>
      <w:divBdr>
        <w:top w:val="none" w:sz="0" w:space="0" w:color="auto"/>
        <w:left w:val="none" w:sz="0" w:space="0" w:color="auto"/>
        <w:bottom w:val="none" w:sz="0" w:space="0" w:color="auto"/>
        <w:right w:val="none" w:sz="0" w:space="0" w:color="auto"/>
      </w:divBdr>
    </w:div>
    <w:div w:id="1274558999">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297954304">
      <w:bodyDiv w:val="1"/>
      <w:marLeft w:val="0"/>
      <w:marRight w:val="0"/>
      <w:marTop w:val="0"/>
      <w:marBottom w:val="0"/>
      <w:divBdr>
        <w:top w:val="none" w:sz="0" w:space="0" w:color="auto"/>
        <w:left w:val="none" w:sz="0" w:space="0" w:color="auto"/>
        <w:bottom w:val="none" w:sz="0" w:space="0" w:color="auto"/>
        <w:right w:val="none" w:sz="0" w:space="0" w:color="auto"/>
      </w:divBdr>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39819071">
      <w:bodyDiv w:val="1"/>
      <w:marLeft w:val="0"/>
      <w:marRight w:val="0"/>
      <w:marTop w:val="0"/>
      <w:marBottom w:val="0"/>
      <w:divBdr>
        <w:top w:val="none" w:sz="0" w:space="0" w:color="auto"/>
        <w:left w:val="none" w:sz="0" w:space="0" w:color="auto"/>
        <w:bottom w:val="none" w:sz="0" w:space="0" w:color="auto"/>
        <w:right w:val="none" w:sz="0" w:space="0" w:color="auto"/>
      </w:divBdr>
    </w:div>
    <w:div w:id="1364096775">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137850">
      <w:bodyDiv w:val="1"/>
      <w:marLeft w:val="0"/>
      <w:marRight w:val="0"/>
      <w:marTop w:val="0"/>
      <w:marBottom w:val="0"/>
      <w:divBdr>
        <w:top w:val="none" w:sz="0" w:space="0" w:color="auto"/>
        <w:left w:val="none" w:sz="0" w:space="0" w:color="auto"/>
        <w:bottom w:val="none" w:sz="0" w:space="0" w:color="auto"/>
        <w:right w:val="none" w:sz="0" w:space="0" w:color="auto"/>
      </w:divBdr>
    </w:div>
    <w:div w:id="1441492417">
      <w:bodyDiv w:val="1"/>
      <w:marLeft w:val="0"/>
      <w:marRight w:val="0"/>
      <w:marTop w:val="0"/>
      <w:marBottom w:val="0"/>
      <w:divBdr>
        <w:top w:val="none" w:sz="0" w:space="0" w:color="auto"/>
        <w:left w:val="none" w:sz="0" w:space="0" w:color="auto"/>
        <w:bottom w:val="none" w:sz="0" w:space="0" w:color="auto"/>
        <w:right w:val="none" w:sz="0" w:space="0" w:color="auto"/>
      </w:divBdr>
    </w:div>
    <w:div w:id="1464930447">
      <w:bodyDiv w:val="1"/>
      <w:marLeft w:val="0"/>
      <w:marRight w:val="0"/>
      <w:marTop w:val="0"/>
      <w:marBottom w:val="0"/>
      <w:divBdr>
        <w:top w:val="none" w:sz="0" w:space="0" w:color="auto"/>
        <w:left w:val="none" w:sz="0" w:space="0" w:color="auto"/>
        <w:bottom w:val="none" w:sz="0" w:space="0" w:color="auto"/>
        <w:right w:val="none" w:sz="0" w:space="0" w:color="auto"/>
      </w:divBdr>
    </w:div>
    <w:div w:id="1489521390">
      <w:bodyDiv w:val="1"/>
      <w:marLeft w:val="0"/>
      <w:marRight w:val="0"/>
      <w:marTop w:val="0"/>
      <w:marBottom w:val="0"/>
      <w:divBdr>
        <w:top w:val="none" w:sz="0" w:space="0" w:color="auto"/>
        <w:left w:val="none" w:sz="0" w:space="0" w:color="auto"/>
        <w:bottom w:val="none" w:sz="0" w:space="0" w:color="auto"/>
        <w:right w:val="none" w:sz="0" w:space="0" w:color="auto"/>
      </w:divBdr>
    </w:div>
    <w:div w:id="1531379920">
      <w:bodyDiv w:val="1"/>
      <w:marLeft w:val="0"/>
      <w:marRight w:val="0"/>
      <w:marTop w:val="0"/>
      <w:marBottom w:val="0"/>
      <w:divBdr>
        <w:top w:val="none" w:sz="0" w:space="0" w:color="auto"/>
        <w:left w:val="none" w:sz="0" w:space="0" w:color="auto"/>
        <w:bottom w:val="none" w:sz="0" w:space="0" w:color="auto"/>
        <w:right w:val="none" w:sz="0" w:space="0" w:color="auto"/>
      </w:divBdr>
    </w:div>
    <w:div w:id="154443687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94388771">
      <w:bodyDiv w:val="1"/>
      <w:marLeft w:val="0"/>
      <w:marRight w:val="0"/>
      <w:marTop w:val="0"/>
      <w:marBottom w:val="0"/>
      <w:divBdr>
        <w:top w:val="none" w:sz="0" w:space="0" w:color="auto"/>
        <w:left w:val="none" w:sz="0" w:space="0" w:color="auto"/>
        <w:bottom w:val="none" w:sz="0" w:space="0" w:color="auto"/>
        <w:right w:val="none" w:sz="0" w:space="0" w:color="auto"/>
      </w:divBdr>
    </w:div>
    <w:div w:id="1628119920">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095091">
      <w:bodyDiv w:val="1"/>
      <w:marLeft w:val="0"/>
      <w:marRight w:val="0"/>
      <w:marTop w:val="0"/>
      <w:marBottom w:val="0"/>
      <w:divBdr>
        <w:top w:val="none" w:sz="0" w:space="0" w:color="auto"/>
        <w:left w:val="none" w:sz="0" w:space="0" w:color="auto"/>
        <w:bottom w:val="none" w:sz="0" w:space="0" w:color="auto"/>
        <w:right w:val="none" w:sz="0" w:space="0" w:color="auto"/>
      </w:divBdr>
    </w:div>
    <w:div w:id="1801651513">
      <w:bodyDiv w:val="1"/>
      <w:marLeft w:val="0"/>
      <w:marRight w:val="0"/>
      <w:marTop w:val="0"/>
      <w:marBottom w:val="0"/>
      <w:divBdr>
        <w:top w:val="none" w:sz="0" w:space="0" w:color="auto"/>
        <w:left w:val="none" w:sz="0" w:space="0" w:color="auto"/>
        <w:bottom w:val="none" w:sz="0" w:space="0" w:color="auto"/>
        <w:right w:val="none" w:sz="0" w:space="0" w:color="auto"/>
      </w:divBdr>
    </w:div>
    <w:div w:id="1802991263">
      <w:bodyDiv w:val="1"/>
      <w:marLeft w:val="0"/>
      <w:marRight w:val="0"/>
      <w:marTop w:val="0"/>
      <w:marBottom w:val="0"/>
      <w:divBdr>
        <w:top w:val="none" w:sz="0" w:space="0" w:color="auto"/>
        <w:left w:val="none" w:sz="0" w:space="0" w:color="auto"/>
        <w:bottom w:val="none" w:sz="0" w:space="0" w:color="auto"/>
        <w:right w:val="none" w:sz="0" w:space="0" w:color="auto"/>
      </w:divBdr>
    </w:div>
    <w:div w:id="1812791436">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849453">
      <w:bodyDiv w:val="1"/>
      <w:marLeft w:val="0"/>
      <w:marRight w:val="0"/>
      <w:marTop w:val="0"/>
      <w:marBottom w:val="0"/>
      <w:divBdr>
        <w:top w:val="none" w:sz="0" w:space="0" w:color="auto"/>
        <w:left w:val="none" w:sz="0" w:space="0" w:color="auto"/>
        <w:bottom w:val="none" w:sz="0" w:space="0" w:color="auto"/>
        <w:right w:val="none" w:sz="0" w:space="0" w:color="auto"/>
      </w:divBdr>
    </w:div>
    <w:div w:id="1883129325">
      <w:bodyDiv w:val="1"/>
      <w:marLeft w:val="0"/>
      <w:marRight w:val="0"/>
      <w:marTop w:val="0"/>
      <w:marBottom w:val="0"/>
      <w:divBdr>
        <w:top w:val="none" w:sz="0" w:space="0" w:color="auto"/>
        <w:left w:val="none" w:sz="0" w:space="0" w:color="auto"/>
        <w:bottom w:val="none" w:sz="0" w:space="0" w:color="auto"/>
        <w:right w:val="none" w:sz="0" w:space="0" w:color="auto"/>
      </w:divBdr>
    </w:div>
    <w:div w:id="1890914722">
      <w:bodyDiv w:val="1"/>
      <w:marLeft w:val="0"/>
      <w:marRight w:val="0"/>
      <w:marTop w:val="0"/>
      <w:marBottom w:val="0"/>
      <w:divBdr>
        <w:top w:val="none" w:sz="0" w:space="0" w:color="auto"/>
        <w:left w:val="none" w:sz="0" w:space="0" w:color="auto"/>
        <w:bottom w:val="none" w:sz="0" w:space="0" w:color="auto"/>
        <w:right w:val="none" w:sz="0" w:space="0" w:color="auto"/>
      </w:divBdr>
    </w:div>
    <w:div w:id="196064719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5908263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environment.gov.au" TargetMode="External"/><Relationship Id="rId18" Type="http://schemas.openxmlformats.org/officeDocument/2006/relationships/hyperlink" Target="https://www.awe.gov.au/environment/biodiversity/threatened/cam" TargetMode="External"/><Relationship Id="rId26" Type="http://schemas.openxmlformats.org/officeDocument/2006/relationships/hyperlink" Target="https://www.environment.gov.au/biodiversity/threatened/publications/threat-abatement-plan-disease-natural-ecosystems-caused-phytophthora-cinnamomi-2018" TargetMode="External"/><Relationship Id="rId39" Type="http://schemas.openxmlformats.org/officeDocument/2006/relationships/hyperlink" Target="https://nc.iucnredlist.org/redlist/content/attachment_files/RedListGuidelines.pdf" TargetMode="External"/><Relationship Id="rId21" Type="http://schemas.openxmlformats.org/officeDocument/2006/relationships/hyperlink" Target="http://www.anbg.gov.au/photo/" TargetMode="External"/><Relationship Id="rId34" Type="http://schemas.openxmlformats.org/officeDocument/2006/relationships/hyperlink" Target="https://www.nationalparks.nsw.gov.au/visit-a-park/parks/nadgee-nature-reserve/learn-more" TargetMode="External"/><Relationship Id="rId42" Type="http://schemas.openxmlformats.org/officeDocument/2006/relationships/hyperlink" Target="https://creativecommons.org/licenses/by/4.0/legalcode" TargetMode="External"/><Relationship Id="rId47" Type="http://schemas.openxmlformats.org/officeDocument/2006/relationships/header" Target="header2.xml"/><Relationship Id="rId50"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awe.gov.au/environment/biodiversity/threatened/nominations" TargetMode="External"/><Relationship Id="rId29" Type="http://schemas.openxmlformats.org/officeDocument/2006/relationships/hyperlink" Target="https://www.awe.gov.au/agriculture-land/land/nrs/science/ibra/australias-bioregions-maps" TargetMode="External"/><Relationship Id="rId11" Type="http://schemas.openxmlformats.org/officeDocument/2006/relationships/footnotes" Target="footnotes.xml"/><Relationship Id="rId24" Type="http://schemas.openxmlformats.org/officeDocument/2006/relationships/hyperlink" Target="http://www.environment.gov.au/science/erin/databases-maps/snes" TargetMode="External"/><Relationship Id="rId32" Type="http://schemas.openxmlformats.org/officeDocument/2006/relationships/hyperlink" Target="https://doi.org/10.1111/ddi.13265" TargetMode="External"/><Relationship Id="rId37" Type="http://schemas.openxmlformats.org/officeDocument/2006/relationships/hyperlink" Target="https://www.environment.nsw.gov.au/savingourspeciesapp/project.aspx?ProfileID=10010" TargetMode="External"/><Relationship Id="rId40" Type="http://schemas.openxmlformats.org/officeDocument/2006/relationships/hyperlink" Target="http://www.environment.gov.au/biodiversity/threatened/cam" TargetMode="External"/><Relationship Id="rId45" Type="http://schemas.openxmlformats.org/officeDocument/2006/relationships/hyperlink" Target="http://agriculture.gov.au/"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we.gov.au/system/files/pages/d72dfd1a-f0d8-4699-8d43-5d95bbb02428/files/tssc-guidelines-assessing-species-2021.pdf" TargetMode="External"/><Relationship Id="rId23" Type="http://schemas.openxmlformats.org/officeDocument/2006/relationships/image" Target="media/image2.jpeg"/><Relationship Id="rId28" Type="http://schemas.openxmlformats.org/officeDocument/2006/relationships/hyperlink" Target="https://pmc.gov.au/government/australian-national-symbols/australian-floral-emblem" TargetMode="External"/><Relationship Id="rId36" Type="http://schemas.openxmlformats.org/officeDocument/2006/relationships/hyperlink" Target="https://www.environment.nsw.gov.au/threatenedSpeciesApp/profile.aspx?id=10010" TargetMode="External"/><Relationship Id="rId49"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awe.gov.au/about/commitment/privacy" TargetMode="External"/><Relationship Id="rId31" Type="http://schemas.openxmlformats.org/officeDocument/2006/relationships/hyperlink" Target="https://aus01.safelinks.protection.outlook.com/?url=https%3A%2F%2Fdoi.org%2F10.5281%2Fzenodo.5908826&amp;data=04%7C01%7CCarly.Rickerby4%40environment.gov.au%7Cccc01e73f1fe42ecc95b08d9e158df05%7C78f05d85d6b34eeba5c3948d2dcdae8a%7C0%7C0%7C637788594073943049%7CUnknown%7CTWFpbGZsb3d8eyJWIjoiMC4wLjAwMDAiLCJQIjoiV2luMzIiLCJBTiI6Ik1haWwiLCJXVCI6Mn0%3D%7C3000&amp;sdata=I94lpD6nNMXnmLyohxy0URxDWcBV7JkSHr%2Bgey1U9oo%3D&amp;reserved=0" TargetMode="External"/><Relationship Id="rId44" Type="http://schemas.openxmlformats.org/officeDocument/2006/relationships/hyperlink" Target="http://www.environment.gov.au/cgi-bin/sprat/public/publicspecies.pl?taxon_id=10798" TargetMode="External"/><Relationship Id="rId52" Type="http://schemas.openxmlformats.org/officeDocument/2006/relationships/glossaryDocument" Target="glossary/document.xml"/><Relationship Id="rId48" Type="http://schemas.openxmlformats.org/officeDocument/2006/relationships/footer" Target="footer1.xml"/><Relationship Id="rId9" Type="http://schemas.openxmlformats.org/officeDocument/2006/relationships/settings" Target="settings.xml"/><Relationship Id="rId14" Type="http://schemas.openxmlformats.org/officeDocument/2006/relationships/hyperlink" Target="https://www.awe.gov.au/environment/biodiversity/threatened" TargetMode="External"/><Relationship Id="rId22" Type="http://schemas.openxmlformats.org/officeDocument/2006/relationships/hyperlink" Target="http://www.environment.gov.au/cgi-bin/sprat/public/sprat.pl" TargetMode="External"/><Relationship Id="rId27" Type="http://schemas.openxmlformats.org/officeDocument/2006/relationships/hyperlink" Target="https://aiatsis.gov.au/explore/map-indigenous-australia" TargetMode="External"/><Relationship Id="rId30" Type="http://schemas.openxmlformats.org/officeDocument/2006/relationships/hyperlink" Target="https://www.forestrycorporation.com.au/__data/assets/pdf_file/0006/559401/nadgee-sate-forest-compartments-144-and-146-harvest-plan.pdf" TargetMode="External"/><Relationship Id="rId35" Type="http://schemas.openxmlformats.org/officeDocument/2006/relationships/hyperlink" Target="https://nrmregionsaustralia.com.au/nrm-regions-map/" TargetMode="External"/><Relationship Id="rId43" Type="http://schemas.openxmlformats.org/officeDocument/2006/relationships/hyperlink" Target="mailto:copyright@awe.gov.au"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we.gov.au/environment/biodiversity/threatened/recovery-plans" TargetMode="External"/><Relationship Id="rId25" Type="http://schemas.openxmlformats.org/officeDocument/2006/relationships/hyperlink" Target="https://www.environment.nsw.gov.au/resources/nature/recoveryplanDraftFloraRockyOutcrops.pdf" TargetMode="External"/><Relationship Id="rId33" Type="http://schemas.openxmlformats.org/officeDocument/2006/relationships/hyperlink" Target="https://plantnet.rbgsyd.nsw.gov.au/cgibin/NSWfl.pl?page=nswfl&amp;lvl=sp&amp;name=Acacia~constablei" TargetMode="External"/><Relationship Id="rId38" Type="http://schemas.openxmlformats.org/officeDocument/2006/relationships/hyperlink" Target="http://www.environment.gov.au/system/files/pages/d72dfd1a-f0d8-4699-8d43-5d95bbb02428/files/tssc-guidelines-assessing-species-2018.pdf" TargetMode="External"/><Relationship Id="rId46" Type="http://schemas.openxmlformats.org/officeDocument/2006/relationships/header" Target="header1.xml"/><Relationship Id="rId20" Type="http://schemas.openxmlformats.org/officeDocument/2006/relationships/image" Target="media/image1.jpeg"/><Relationship Id="rId41" Type="http://schemas.openxmlformats.org/officeDocument/2006/relationships/image" Target="media/image3.png"/><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7231\OneDrive%20-%20Environment\HomeDrive\Profile\Desktop\Conservation%20Advice%20docs\6.16.1%20Conservation%20Advi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8C746AF13946A9811A4F0C910F1861"/>
        <w:category>
          <w:name w:val="General"/>
          <w:gallery w:val="placeholder"/>
        </w:category>
        <w:types>
          <w:type w:val="bbPlcHdr"/>
        </w:types>
        <w:behaviors>
          <w:behavior w:val="content"/>
        </w:behaviors>
        <w:guid w:val="{B3663FBD-E789-43A6-B5CB-B582E881C7B0}"/>
      </w:docPartPr>
      <w:docPartBody>
        <w:p w:rsidR="005D790A" w:rsidRDefault="005D790A">
          <w:pPr>
            <w:pStyle w:val="758C746AF13946A9811A4F0C910F1861"/>
          </w:pPr>
          <w:r w:rsidRPr="0045331C">
            <w:rPr>
              <w:rStyle w:val="PlaceholderText"/>
            </w:rPr>
            <w:t>Choose an item.</w:t>
          </w:r>
        </w:p>
      </w:docPartBody>
    </w:docPart>
    <w:docPart>
      <w:docPartPr>
        <w:name w:val="0484546D0F4F45EA9C04A1B14001DCDC"/>
        <w:category>
          <w:name w:val="General"/>
          <w:gallery w:val="placeholder"/>
        </w:category>
        <w:types>
          <w:type w:val="bbPlcHdr"/>
        </w:types>
        <w:behaviors>
          <w:behavior w:val="content"/>
        </w:behaviors>
        <w:guid w:val="{982314BC-DEFC-45FB-A521-BEC9E33EFCFB}"/>
      </w:docPartPr>
      <w:docPartBody>
        <w:p w:rsidR="005D790A" w:rsidRDefault="005D790A">
          <w:pPr>
            <w:pStyle w:val="0484546D0F4F45EA9C04A1B14001DCDC"/>
          </w:pPr>
          <w:r w:rsidRPr="0045331C">
            <w:rPr>
              <w:rStyle w:val="PlaceholderText"/>
            </w:rPr>
            <w:t>Choose an item.</w:t>
          </w:r>
        </w:p>
      </w:docPartBody>
    </w:docPart>
    <w:docPart>
      <w:docPartPr>
        <w:name w:val="02A5A86BB6DD49DBA761EAFCD7D19DE0"/>
        <w:category>
          <w:name w:val="General"/>
          <w:gallery w:val="placeholder"/>
        </w:category>
        <w:types>
          <w:type w:val="bbPlcHdr"/>
        </w:types>
        <w:behaviors>
          <w:behavior w:val="content"/>
        </w:behaviors>
        <w:guid w:val="{FC87CE71-BBCF-429D-90AC-26D8F473A68A}"/>
      </w:docPartPr>
      <w:docPartBody>
        <w:p w:rsidR="005D790A" w:rsidRDefault="005D790A">
          <w:pPr>
            <w:pStyle w:val="02A5A86BB6DD49DBA761EAFCD7D19DE0"/>
          </w:pPr>
          <w:r w:rsidRPr="0045331C">
            <w:rPr>
              <w:rStyle w:val="PlaceholderText"/>
            </w:rPr>
            <w:t>Choose an item.</w:t>
          </w:r>
        </w:p>
      </w:docPartBody>
    </w:docPart>
    <w:docPart>
      <w:docPartPr>
        <w:name w:val="11F0F2031A634D10AC91FF2129CE91E0"/>
        <w:category>
          <w:name w:val="General"/>
          <w:gallery w:val="placeholder"/>
        </w:category>
        <w:types>
          <w:type w:val="bbPlcHdr"/>
        </w:types>
        <w:behaviors>
          <w:behavior w:val="content"/>
        </w:behaviors>
        <w:guid w:val="{E733A435-E164-4E1B-B86C-E52C4C9C0543}"/>
      </w:docPartPr>
      <w:docPartBody>
        <w:p w:rsidR="005D790A" w:rsidRDefault="005D790A">
          <w:pPr>
            <w:pStyle w:val="11F0F2031A634D10AC91FF2129CE91E0"/>
          </w:pPr>
          <w:r w:rsidRPr="0045331C">
            <w:rPr>
              <w:rStyle w:val="PlaceholderText"/>
            </w:rPr>
            <w:t>Choose an item.</w:t>
          </w:r>
        </w:p>
      </w:docPartBody>
    </w:docPart>
    <w:docPart>
      <w:docPartPr>
        <w:name w:val="5F2383C8766941788DA5FD5CBC5C37BE"/>
        <w:category>
          <w:name w:val="General"/>
          <w:gallery w:val="placeholder"/>
        </w:category>
        <w:types>
          <w:type w:val="bbPlcHdr"/>
        </w:types>
        <w:behaviors>
          <w:behavior w:val="content"/>
        </w:behaviors>
        <w:guid w:val="{CF63B3C5-19CE-461D-8A6E-B8715EB9FA33}"/>
      </w:docPartPr>
      <w:docPartBody>
        <w:p w:rsidR="005D790A" w:rsidRDefault="005D790A">
          <w:pPr>
            <w:pStyle w:val="5F2383C8766941788DA5FD5CBC5C37BE"/>
          </w:pPr>
          <w:r w:rsidRPr="0045331C">
            <w:rPr>
              <w:rStyle w:val="PlaceholderText"/>
            </w:rPr>
            <w:t>Choose an item.</w:t>
          </w:r>
        </w:p>
      </w:docPartBody>
    </w:docPart>
    <w:docPart>
      <w:docPartPr>
        <w:name w:val="114DDC83347D4455BE243AAA3687BEA1"/>
        <w:category>
          <w:name w:val="General"/>
          <w:gallery w:val="placeholder"/>
        </w:category>
        <w:types>
          <w:type w:val="bbPlcHdr"/>
        </w:types>
        <w:behaviors>
          <w:behavior w:val="content"/>
        </w:behaviors>
        <w:guid w:val="{B7DA816A-9681-4773-9163-09AFB1BDC05B}"/>
      </w:docPartPr>
      <w:docPartBody>
        <w:p w:rsidR="005D790A" w:rsidRDefault="005D790A">
          <w:pPr>
            <w:pStyle w:val="114DDC83347D4455BE243AAA3687BEA1"/>
          </w:pPr>
          <w:r w:rsidRPr="0045331C">
            <w:rPr>
              <w:rStyle w:val="PlaceholderText"/>
            </w:rPr>
            <w:t>Choose an item.</w:t>
          </w:r>
        </w:p>
      </w:docPartBody>
    </w:docPart>
    <w:docPart>
      <w:docPartPr>
        <w:name w:val="4252BEF7A05449EF8022554E206F1C7E"/>
        <w:category>
          <w:name w:val="General"/>
          <w:gallery w:val="placeholder"/>
        </w:category>
        <w:types>
          <w:type w:val="bbPlcHdr"/>
        </w:types>
        <w:behaviors>
          <w:behavior w:val="content"/>
        </w:behaviors>
        <w:guid w:val="{81E07084-164F-47B7-91E5-A8D7D84082BB}"/>
      </w:docPartPr>
      <w:docPartBody>
        <w:p w:rsidR="005D790A" w:rsidRDefault="005D790A">
          <w:pPr>
            <w:pStyle w:val="4252BEF7A05449EF8022554E206F1C7E"/>
          </w:pPr>
          <w:r w:rsidRPr="0045331C">
            <w:rPr>
              <w:rStyle w:val="PlaceholderText"/>
            </w:rPr>
            <w:t>Choose an item.</w:t>
          </w:r>
        </w:p>
      </w:docPartBody>
    </w:docPart>
    <w:docPart>
      <w:docPartPr>
        <w:name w:val="EFDD723ED5D54C95BBC024940443A025"/>
        <w:category>
          <w:name w:val="General"/>
          <w:gallery w:val="placeholder"/>
        </w:category>
        <w:types>
          <w:type w:val="bbPlcHdr"/>
        </w:types>
        <w:behaviors>
          <w:behavior w:val="content"/>
        </w:behaviors>
        <w:guid w:val="{14D215F7-D1D2-4065-98ED-1D477D8D4153}"/>
      </w:docPartPr>
      <w:docPartBody>
        <w:p w:rsidR="005D790A" w:rsidRDefault="005D790A">
          <w:pPr>
            <w:pStyle w:val="EFDD723ED5D54C95BBC024940443A025"/>
          </w:pPr>
          <w:r w:rsidRPr="00F20180">
            <w:rPr>
              <w:rStyle w:val="PlaceholderText"/>
              <w:highlight w:val="yellow"/>
            </w:rPr>
            <w:t>Choose an item.</w:t>
          </w:r>
        </w:p>
      </w:docPartBody>
    </w:docPart>
    <w:docPart>
      <w:docPartPr>
        <w:name w:val="9661D063E11849CB88D8EA4D720D107E"/>
        <w:category>
          <w:name w:val="General"/>
          <w:gallery w:val="placeholder"/>
        </w:category>
        <w:types>
          <w:type w:val="bbPlcHdr"/>
        </w:types>
        <w:behaviors>
          <w:behavior w:val="content"/>
        </w:behaviors>
        <w:guid w:val="{6718AEA2-94BC-4F64-B0F4-ABE2127F0922}"/>
      </w:docPartPr>
      <w:docPartBody>
        <w:p w:rsidR="005D790A" w:rsidRDefault="005D790A">
          <w:pPr>
            <w:pStyle w:val="9661D063E11849CB88D8EA4D720D107E"/>
          </w:pPr>
          <w:r w:rsidRPr="00F20180">
            <w:rPr>
              <w:rStyle w:val="PlaceholderText"/>
              <w:highlight w:val="yellow"/>
            </w:rPr>
            <w:t>Choose an item.</w:t>
          </w:r>
        </w:p>
      </w:docPartBody>
    </w:docPart>
    <w:docPart>
      <w:docPartPr>
        <w:name w:val="288F2F32AF5742178EB5D29337DD90FD"/>
        <w:category>
          <w:name w:val="General"/>
          <w:gallery w:val="placeholder"/>
        </w:category>
        <w:types>
          <w:type w:val="bbPlcHdr"/>
        </w:types>
        <w:behaviors>
          <w:behavior w:val="content"/>
        </w:behaviors>
        <w:guid w:val="{9E067036-56BE-4432-BBFA-1CE47FAD6F05}"/>
      </w:docPartPr>
      <w:docPartBody>
        <w:p w:rsidR="005D790A" w:rsidRDefault="005D790A">
          <w:pPr>
            <w:pStyle w:val="288F2F32AF5742178EB5D29337DD90FD"/>
          </w:pPr>
          <w:r w:rsidRPr="00F20180">
            <w:rPr>
              <w:rStyle w:val="PlaceholderText"/>
              <w:highlight w:val="yellow"/>
            </w:rPr>
            <w:t>Choose an item.</w:t>
          </w:r>
        </w:p>
      </w:docPartBody>
    </w:docPart>
    <w:docPart>
      <w:docPartPr>
        <w:name w:val="745B2CBB223B4D7A8836AC1CCC27CB9B"/>
        <w:category>
          <w:name w:val="General"/>
          <w:gallery w:val="placeholder"/>
        </w:category>
        <w:types>
          <w:type w:val="bbPlcHdr"/>
        </w:types>
        <w:behaviors>
          <w:behavior w:val="content"/>
        </w:behaviors>
        <w:guid w:val="{EBC0409B-7BC1-4F96-A1EE-251F1CF18355}"/>
      </w:docPartPr>
      <w:docPartBody>
        <w:p w:rsidR="00B73ABC" w:rsidRDefault="00B73ABC" w:rsidP="00B73ABC">
          <w:pPr>
            <w:pStyle w:val="745B2CBB223B4D7A8836AC1CCC27CB9B"/>
          </w:pPr>
          <w:r w:rsidRPr="0045331C">
            <w:rPr>
              <w:rStyle w:val="PlaceholderText"/>
            </w:rPr>
            <w:t>Choose an item.</w:t>
          </w:r>
        </w:p>
      </w:docPartBody>
    </w:docPart>
    <w:docPart>
      <w:docPartPr>
        <w:name w:val="88720A0BAB5E4F2FB91F989BB8716177"/>
        <w:category>
          <w:name w:val="General"/>
          <w:gallery w:val="placeholder"/>
        </w:category>
        <w:types>
          <w:type w:val="bbPlcHdr"/>
        </w:types>
        <w:behaviors>
          <w:behavior w:val="content"/>
        </w:behaviors>
        <w:guid w:val="{B5A8BE87-8B9D-407C-BDAF-ABABCDCDF193}"/>
      </w:docPartPr>
      <w:docPartBody>
        <w:p w:rsidR="00B73ABC" w:rsidRDefault="00B73ABC" w:rsidP="00B73ABC">
          <w:pPr>
            <w:pStyle w:val="88720A0BAB5E4F2FB91F989BB8716177"/>
          </w:pPr>
          <w:r w:rsidRPr="0045331C">
            <w:rPr>
              <w:rStyle w:val="PlaceholderText"/>
            </w:rPr>
            <w:t>Click here to enter a date.</w:t>
          </w:r>
        </w:p>
      </w:docPartBody>
    </w:docPart>
    <w:docPart>
      <w:docPartPr>
        <w:name w:val="5E36D0F3077F4FF186E9FD6C0016B54E"/>
        <w:category>
          <w:name w:val="General"/>
          <w:gallery w:val="placeholder"/>
        </w:category>
        <w:types>
          <w:type w:val="bbPlcHdr"/>
        </w:types>
        <w:behaviors>
          <w:behavior w:val="content"/>
        </w:behaviors>
        <w:guid w:val="{578B67F2-63C1-499C-88BD-F5C4B587367A}"/>
      </w:docPartPr>
      <w:docPartBody>
        <w:p w:rsidR="00AE7A92" w:rsidRDefault="002C793E" w:rsidP="002C793E">
          <w:pPr>
            <w:pStyle w:val="5E36D0F3077F4FF186E9FD6C0016B54E"/>
          </w:pPr>
          <w:r w:rsidRPr="004D61C9">
            <w:rPr>
              <w:rStyle w:val="PlaceholderText"/>
              <w:highlight w:val="yellow"/>
            </w:rPr>
            <w:t>Choose an item.</w:t>
          </w:r>
        </w:p>
      </w:docPartBody>
    </w:docPart>
    <w:docPart>
      <w:docPartPr>
        <w:name w:val="9817936306014F9B9494CF8962D5EB3D"/>
        <w:category>
          <w:name w:val="General"/>
          <w:gallery w:val="placeholder"/>
        </w:category>
        <w:types>
          <w:type w:val="bbPlcHdr"/>
        </w:types>
        <w:behaviors>
          <w:behavior w:val="content"/>
        </w:behaviors>
        <w:guid w:val="{17E1A035-E469-4116-9BD0-1E6DAF50FC55}"/>
      </w:docPartPr>
      <w:docPartBody>
        <w:p w:rsidR="00BA19E3" w:rsidRDefault="00D45D92" w:rsidP="00D45D92">
          <w:pPr>
            <w:pStyle w:val="9817936306014F9B9494CF8962D5EB3D"/>
          </w:pPr>
          <w:r w:rsidRPr="0045331C">
            <w:rPr>
              <w:rStyle w:val="PlaceholderText"/>
            </w:rPr>
            <w:t>Choose an item.</w:t>
          </w:r>
        </w:p>
      </w:docPartBody>
    </w:docPart>
    <w:docPart>
      <w:docPartPr>
        <w:name w:val="398D8C0724D24EF09419E1D260F22EE0"/>
        <w:category>
          <w:name w:val="General"/>
          <w:gallery w:val="placeholder"/>
        </w:category>
        <w:types>
          <w:type w:val="bbPlcHdr"/>
        </w:types>
        <w:behaviors>
          <w:behavior w:val="content"/>
        </w:behaviors>
        <w:guid w:val="{F711AB45-707C-4758-B747-A209B732B006}"/>
      </w:docPartPr>
      <w:docPartBody>
        <w:p w:rsidR="00BC20E0" w:rsidRDefault="0034440C" w:rsidP="0034440C">
          <w:pPr>
            <w:pStyle w:val="398D8C0724D24EF09419E1D260F22EE0"/>
          </w:pPr>
          <w:r w:rsidRPr="0045331C">
            <w:rPr>
              <w:rStyle w:val="PlaceholderText"/>
            </w:rPr>
            <w:t>Choose an item.</w:t>
          </w:r>
        </w:p>
      </w:docPartBody>
    </w:docPart>
    <w:docPart>
      <w:docPartPr>
        <w:name w:val="82409D6829DA4A0586D886AD3786661C"/>
        <w:category>
          <w:name w:val="General"/>
          <w:gallery w:val="placeholder"/>
        </w:category>
        <w:types>
          <w:type w:val="bbPlcHdr"/>
        </w:types>
        <w:behaviors>
          <w:behavior w:val="content"/>
        </w:behaviors>
        <w:guid w:val="{C6B74F22-A7CD-42F6-A3FB-E47F0F1C51F1}"/>
      </w:docPartPr>
      <w:docPartBody>
        <w:p w:rsidR="00BC20E0" w:rsidRDefault="0034440C" w:rsidP="0034440C">
          <w:pPr>
            <w:pStyle w:val="82409D6829DA4A0586D886AD3786661C"/>
          </w:pPr>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0A"/>
    <w:rsid w:val="00062E4D"/>
    <w:rsid w:val="0008427C"/>
    <w:rsid w:val="00217874"/>
    <w:rsid w:val="002623A2"/>
    <w:rsid w:val="00271C85"/>
    <w:rsid w:val="002A4F91"/>
    <w:rsid w:val="002B7158"/>
    <w:rsid w:val="002C793E"/>
    <w:rsid w:val="0031794A"/>
    <w:rsid w:val="003300DD"/>
    <w:rsid w:val="0034440C"/>
    <w:rsid w:val="0038604E"/>
    <w:rsid w:val="003B4F56"/>
    <w:rsid w:val="00406AA7"/>
    <w:rsid w:val="00452C9F"/>
    <w:rsid w:val="005201F0"/>
    <w:rsid w:val="005C43B4"/>
    <w:rsid w:val="005C5506"/>
    <w:rsid w:val="005D790A"/>
    <w:rsid w:val="0066233D"/>
    <w:rsid w:val="0066724F"/>
    <w:rsid w:val="00726EA7"/>
    <w:rsid w:val="00732399"/>
    <w:rsid w:val="007874B0"/>
    <w:rsid w:val="007A7E04"/>
    <w:rsid w:val="00800C06"/>
    <w:rsid w:val="00892DD4"/>
    <w:rsid w:val="008A2FD0"/>
    <w:rsid w:val="008F4483"/>
    <w:rsid w:val="0094607C"/>
    <w:rsid w:val="00AE5F77"/>
    <w:rsid w:val="00AE7A92"/>
    <w:rsid w:val="00B15292"/>
    <w:rsid w:val="00B46746"/>
    <w:rsid w:val="00B538BC"/>
    <w:rsid w:val="00B66F5B"/>
    <w:rsid w:val="00B73ABC"/>
    <w:rsid w:val="00BA19E3"/>
    <w:rsid w:val="00BB33B5"/>
    <w:rsid w:val="00BC20E0"/>
    <w:rsid w:val="00C71F28"/>
    <w:rsid w:val="00C81B4F"/>
    <w:rsid w:val="00D07294"/>
    <w:rsid w:val="00D45D92"/>
    <w:rsid w:val="00D92258"/>
    <w:rsid w:val="00DE549E"/>
    <w:rsid w:val="00E60ADB"/>
    <w:rsid w:val="00E720F2"/>
    <w:rsid w:val="00ED166E"/>
    <w:rsid w:val="00F753CC"/>
    <w:rsid w:val="00FC4C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40C"/>
    <w:rPr>
      <w:color w:val="808080"/>
    </w:rPr>
  </w:style>
  <w:style w:type="paragraph" w:customStyle="1" w:styleId="758C746AF13946A9811A4F0C910F1861">
    <w:name w:val="758C746AF13946A9811A4F0C910F1861"/>
  </w:style>
  <w:style w:type="paragraph" w:customStyle="1" w:styleId="0484546D0F4F45EA9C04A1B14001DCDC">
    <w:name w:val="0484546D0F4F45EA9C04A1B14001DCDC"/>
  </w:style>
  <w:style w:type="paragraph" w:customStyle="1" w:styleId="02A5A86BB6DD49DBA761EAFCD7D19DE0">
    <w:name w:val="02A5A86BB6DD49DBA761EAFCD7D19DE0"/>
  </w:style>
  <w:style w:type="paragraph" w:customStyle="1" w:styleId="11F0F2031A634D10AC91FF2129CE91E0">
    <w:name w:val="11F0F2031A634D10AC91FF2129CE91E0"/>
  </w:style>
  <w:style w:type="paragraph" w:customStyle="1" w:styleId="5F2383C8766941788DA5FD5CBC5C37BE">
    <w:name w:val="5F2383C8766941788DA5FD5CBC5C37BE"/>
  </w:style>
  <w:style w:type="paragraph" w:customStyle="1" w:styleId="114DDC83347D4455BE243AAA3687BEA1">
    <w:name w:val="114DDC83347D4455BE243AAA3687BEA1"/>
  </w:style>
  <w:style w:type="paragraph" w:customStyle="1" w:styleId="4252BEF7A05449EF8022554E206F1C7E">
    <w:name w:val="4252BEF7A05449EF8022554E206F1C7E"/>
  </w:style>
  <w:style w:type="paragraph" w:customStyle="1" w:styleId="EFDD723ED5D54C95BBC024940443A025">
    <w:name w:val="EFDD723ED5D54C95BBC024940443A025"/>
  </w:style>
  <w:style w:type="paragraph" w:customStyle="1" w:styleId="9661D063E11849CB88D8EA4D720D107E">
    <w:name w:val="9661D063E11849CB88D8EA4D720D107E"/>
  </w:style>
  <w:style w:type="paragraph" w:customStyle="1" w:styleId="288F2F32AF5742178EB5D29337DD90FD">
    <w:name w:val="288F2F32AF5742178EB5D29337DD90FD"/>
  </w:style>
  <w:style w:type="paragraph" w:customStyle="1" w:styleId="745B2CBB223B4D7A8836AC1CCC27CB9B">
    <w:name w:val="745B2CBB223B4D7A8836AC1CCC27CB9B"/>
    <w:rsid w:val="00B73ABC"/>
  </w:style>
  <w:style w:type="paragraph" w:customStyle="1" w:styleId="88720A0BAB5E4F2FB91F989BB8716177">
    <w:name w:val="88720A0BAB5E4F2FB91F989BB8716177"/>
    <w:rsid w:val="00B73ABC"/>
  </w:style>
  <w:style w:type="paragraph" w:customStyle="1" w:styleId="5E36D0F3077F4FF186E9FD6C0016B54E">
    <w:name w:val="5E36D0F3077F4FF186E9FD6C0016B54E"/>
    <w:rsid w:val="002C793E"/>
  </w:style>
  <w:style w:type="paragraph" w:customStyle="1" w:styleId="9817936306014F9B9494CF8962D5EB3D">
    <w:name w:val="9817936306014F9B9494CF8962D5EB3D"/>
    <w:rsid w:val="00D45D92"/>
  </w:style>
  <w:style w:type="paragraph" w:customStyle="1" w:styleId="398D8C0724D24EF09419E1D260F22EE0">
    <w:name w:val="398D8C0724D24EF09419E1D260F22EE0"/>
    <w:rsid w:val="0034440C"/>
  </w:style>
  <w:style w:type="paragraph" w:customStyle="1" w:styleId="82409D6829DA4A0586D886AD3786661C">
    <w:name w:val="82409D6829DA4A0586D886AD3786661C"/>
    <w:rsid w:val="00344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10" ma:contentTypeDescription="SPIRE Document" ma:contentTypeScope="" ma:versionID="055d8106239dcc40562c5241929042a7">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FFD5E-A3DD-489D-97BB-1492484D0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EDB2B-631E-4836-ABB3-676F1E3DEC4E}"/>
</file>

<file path=customXml/itemProps3.xml><?xml version="1.0" encoding="utf-8"?>
<ds:datastoreItem xmlns:ds="http://schemas.openxmlformats.org/officeDocument/2006/customXml" ds:itemID="{DC985812-F7A3-45CD-8611-8A0C31A3B1B9}">
  <ds:schemaRefs>
    <ds:schemaRef ds:uri="http://schemas.openxmlformats.org/officeDocument/2006/bibliography"/>
  </ds:schemaRefs>
</ds:datastoreItem>
</file>

<file path=customXml/itemProps4.xml><?xml version="1.0" encoding="utf-8"?>
<ds:datastoreItem xmlns:ds="http://schemas.openxmlformats.org/officeDocument/2006/customXml" ds:itemID="{19442C10-225F-445A-A73B-7260291D89B4}">
  <ds:schemaRefs>
    <ds:schemaRef ds:uri="http://schemas.microsoft.com/office/2006/metadata/customXsn"/>
  </ds:schemaRefs>
</ds:datastoreItem>
</file>

<file path=customXml/itemProps5.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344c6e69-c594-4ca4-b341-09ae9dfc1422"/>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6.16.1 Conservation Advice template.dotx</Template>
  <TotalTime>0</TotalTime>
  <Pages>39</Pages>
  <Words>13080</Words>
  <Characters>74560</Characters>
  <Application>Microsoft Office Word</Application>
  <DocSecurity>4</DocSecurity>
  <Lines>621</Lines>
  <Paragraphs>174</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 Acacia constablei (Narrabarba wattle)</vt:lpstr>
    </vt:vector>
  </TitlesOfParts>
  <Company/>
  <LinksUpToDate>false</LinksUpToDate>
  <CharactersWithSpaces>87466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Acacia constablei (Narrabarba wattle)</dc:title>
  <dc:creator>Threatened Species Scientific Committee</dc:creator>
  <cp:lastModifiedBy>Bec Durack</cp:lastModifiedBy>
  <cp:revision>2</cp:revision>
  <cp:lastPrinted>2022-02-03T04:55:00Z</cp:lastPrinted>
  <dcterms:created xsi:type="dcterms:W3CDTF">2022-02-07T03:12:00Z</dcterms:created>
  <dcterms:modified xsi:type="dcterms:W3CDTF">2022-02-07T03:12:00Z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{9be28686-0f92-4957-8f0f-353f08e83d80}</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